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789DE" w14:textId="77777777" w:rsidR="008D00D7" w:rsidRPr="003836D9" w:rsidRDefault="008D00D7" w:rsidP="008D00D7">
      <w:pPr>
        <w:autoSpaceDE w:val="0"/>
        <w:autoSpaceDN w:val="0"/>
        <w:adjustRightInd w:val="0"/>
        <w:spacing w:after="0" w:line="240" w:lineRule="auto"/>
        <w:jc w:val="right"/>
        <w:rPr>
          <w:rFonts w:ascii="Times New Roman" w:eastAsia="Calibri" w:hAnsi="Times New Roman" w:cs="Times New Roman"/>
          <w:color w:val="000000"/>
          <w:sz w:val="24"/>
          <w:szCs w:val="28"/>
          <w:lang w:val="ro-MD"/>
        </w:rPr>
      </w:pPr>
      <w:bookmarkStart w:id="0" w:name="_Toc97709276"/>
      <w:r w:rsidRPr="003836D9">
        <w:rPr>
          <w:rFonts w:ascii="Times New Roman" w:eastAsia="Calibri" w:hAnsi="Times New Roman" w:cs="Times New Roman"/>
          <w:color w:val="000000"/>
          <w:sz w:val="24"/>
          <w:szCs w:val="28"/>
          <w:lang w:val="ro-MD"/>
        </w:rPr>
        <w:t xml:space="preserve">Anexa nr. 1 </w:t>
      </w:r>
    </w:p>
    <w:p w14:paraId="7517DC9E" w14:textId="329B86D0" w:rsidR="008D00D7" w:rsidRPr="003836D9" w:rsidRDefault="008D00D7" w:rsidP="008D00D7">
      <w:pPr>
        <w:autoSpaceDE w:val="0"/>
        <w:autoSpaceDN w:val="0"/>
        <w:adjustRightInd w:val="0"/>
        <w:spacing w:after="0" w:line="240" w:lineRule="auto"/>
        <w:jc w:val="right"/>
        <w:rPr>
          <w:rFonts w:ascii="Times New Roman" w:eastAsia="Calibri" w:hAnsi="Times New Roman" w:cs="Times New Roman"/>
          <w:color w:val="000000"/>
          <w:sz w:val="24"/>
          <w:szCs w:val="28"/>
          <w:lang w:val="ro-MD"/>
        </w:rPr>
      </w:pPr>
      <w:r w:rsidRPr="003836D9">
        <w:rPr>
          <w:rFonts w:ascii="Times New Roman" w:eastAsia="Calibri" w:hAnsi="Times New Roman" w:cs="Times New Roman"/>
          <w:color w:val="000000"/>
          <w:sz w:val="24"/>
          <w:szCs w:val="28"/>
          <w:lang w:val="ro-MD"/>
        </w:rPr>
        <w:t xml:space="preserve">la </w:t>
      </w:r>
      <w:r w:rsidR="000F5AFC" w:rsidRPr="003836D9">
        <w:rPr>
          <w:rFonts w:ascii="Times New Roman" w:eastAsia="Calibri" w:hAnsi="Times New Roman" w:cs="Times New Roman"/>
          <w:color w:val="000000"/>
          <w:sz w:val="24"/>
          <w:szCs w:val="28"/>
          <w:lang w:val="ro-MD"/>
        </w:rPr>
        <w:t>Hotărârea</w:t>
      </w:r>
      <w:r w:rsidRPr="003836D9">
        <w:rPr>
          <w:rFonts w:ascii="Times New Roman" w:eastAsia="Calibri" w:hAnsi="Times New Roman" w:cs="Times New Roman"/>
          <w:color w:val="000000"/>
          <w:sz w:val="24"/>
          <w:szCs w:val="28"/>
          <w:lang w:val="ro-MD"/>
        </w:rPr>
        <w:t xml:space="preserve"> Guvernului nr._____ /2022. </w:t>
      </w:r>
    </w:p>
    <w:p w14:paraId="39285824" w14:textId="77777777" w:rsidR="008D00D7" w:rsidRPr="003836D9" w:rsidRDefault="008D00D7" w:rsidP="004E40FC">
      <w:pPr>
        <w:jc w:val="center"/>
        <w:rPr>
          <w:rFonts w:ascii="Times New Roman" w:hAnsi="Times New Roman" w:cs="Times New Roman"/>
          <w:b/>
          <w:bCs/>
          <w:sz w:val="28"/>
          <w:szCs w:val="24"/>
          <w:lang w:val="ro-MD"/>
        </w:rPr>
      </w:pPr>
    </w:p>
    <w:p w14:paraId="6D9D8FDE" w14:textId="2D147BB3" w:rsidR="00B97049" w:rsidRPr="003836D9" w:rsidRDefault="00B97049" w:rsidP="004E40FC">
      <w:pPr>
        <w:jc w:val="center"/>
        <w:rPr>
          <w:rFonts w:ascii="Times New Roman" w:hAnsi="Times New Roman" w:cs="Times New Roman"/>
          <w:b/>
          <w:bCs/>
          <w:sz w:val="28"/>
          <w:szCs w:val="24"/>
          <w:lang w:val="ro-MD"/>
        </w:rPr>
      </w:pPr>
      <w:r w:rsidRPr="003836D9">
        <w:rPr>
          <w:rFonts w:ascii="Times New Roman" w:hAnsi="Times New Roman" w:cs="Times New Roman"/>
          <w:b/>
          <w:bCs/>
          <w:sz w:val="28"/>
          <w:szCs w:val="24"/>
          <w:lang w:val="ro-MD"/>
        </w:rPr>
        <w:t xml:space="preserve">PROGRAMUL NAȚIONAL </w:t>
      </w:r>
    </w:p>
    <w:p w14:paraId="7BC623FE" w14:textId="55154480" w:rsidR="004E40FC" w:rsidRPr="003836D9" w:rsidRDefault="004E40FC" w:rsidP="004E40FC">
      <w:pPr>
        <w:jc w:val="center"/>
        <w:rPr>
          <w:rFonts w:ascii="Times New Roman" w:hAnsi="Times New Roman" w:cs="Times New Roman"/>
          <w:b/>
          <w:bCs/>
          <w:sz w:val="24"/>
          <w:szCs w:val="24"/>
          <w:lang w:val="ro-MD"/>
        </w:rPr>
      </w:pPr>
      <w:r w:rsidRPr="003836D9">
        <w:rPr>
          <w:rFonts w:ascii="Times New Roman" w:hAnsi="Times New Roman" w:cs="Times New Roman"/>
          <w:b/>
          <w:bCs/>
          <w:sz w:val="24"/>
          <w:szCs w:val="24"/>
          <w:lang w:val="ro-MD"/>
        </w:rPr>
        <w:t xml:space="preserve">pentru </w:t>
      </w:r>
      <w:r w:rsidR="00B97049" w:rsidRPr="003836D9">
        <w:rPr>
          <w:rFonts w:ascii="Times New Roman" w:hAnsi="Times New Roman" w:cs="Times New Roman"/>
          <w:b/>
          <w:bCs/>
          <w:sz w:val="24"/>
          <w:szCs w:val="24"/>
          <w:lang w:val="ro-MD"/>
        </w:rPr>
        <w:t>o</w:t>
      </w:r>
      <w:r w:rsidRPr="003836D9">
        <w:rPr>
          <w:rFonts w:ascii="Times New Roman" w:hAnsi="Times New Roman" w:cs="Times New Roman"/>
          <w:b/>
          <w:bCs/>
          <w:sz w:val="24"/>
          <w:szCs w:val="24"/>
          <w:lang w:val="ro-MD"/>
        </w:rPr>
        <w:t xml:space="preserve">cuparea </w:t>
      </w:r>
      <w:r w:rsidR="00B97049" w:rsidRPr="003836D9">
        <w:rPr>
          <w:rFonts w:ascii="Times New Roman" w:hAnsi="Times New Roman" w:cs="Times New Roman"/>
          <w:b/>
          <w:bCs/>
          <w:sz w:val="24"/>
          <w:szCs w:val="24"/>
          <w:lang w:val="ro-MD"/>
        </w:rPr>
        <w:t>f</w:t>
      </w:r>
      <w:r w:rsidRPr="003836D9">
        <w:rPr>
          <w:rFonts w:ascii="Times New Roman" w:hAnsi="Times New Roman" w:cs="Times New Roman"/>
          <w:b/>
          <w:bCs/>
          <w:sz w:val="24"/>
          <w:szCs w:val="24"/>
          <w:lang w:val="ro-MD"/>
        </w:rPr>
        <w:t xml:space="preserve">orței de </w:t>
      </w:r>
      <w:r w:rsidR="00B97049" w:rsidRPr="003836D9">
        <w:rPr>
          <w:rFonts w:ascii="Times New Roman" w:hAnsi="Times New Roman" w:cs="Times New Roman"/>
          <w:b/>
          <w:bCs/>
          <w:sz w:val="24"/>
          <w:szCs w:val="24"/>
          <w:lang w:val="ro-MD"/>
        </w:rPr>
        <w:t>m</w:t>
      </w:r>
      <w:r w:rsidRPr="003836D9">
        <w:rPr>
          <w:rFonts w:ascii="Times New Roman" w:hAnsi="Times New Roman" w:cs="Times New Roman"/>
          <w:b/>
          <w:bCs/>
          <w:sz w:val="24"/>
          <w:szCs w:val="24"/>
          <w:lang w:val="ro-MD"/>
        </w:rPr>
        <w:t xml:space="preserve">uncă </w:t>
      </w:r>
      <w:r w:rsidR="00B97049" w:rsidRPr="003836D9">
        <w:rPr>
          <w:rFonts w:ascii="Times New Roman" w:hAnsi="Times New Roman" w:cs="Times New Roman"/>
          <w:b/>
          <w:bCs/>
          <w:sz w:val="24"/>
          <w:szCs w:val="24"/>
          <w:lang w:val="ro-MD"/>
        </w:rPr>
        <w:t xml:space="preserve">pentru anii </w:t>
      </w:r>
      <w:r w:rsidRPr="003836D9">
        <w:rPr>
          <w:rFonts w:ascii="Times New Roman" w:hAnsi="Times New Roman" w:cs="Times New Roman"/>
          <w:b/>
          <w:bCs/>
          <w:sz w:val="24"/>
          <w:szCs w:val="24"/>
          <w:lang w:val="ro-MD"/>
        </w:rPr>
        <w:t>2022-2026</w:t>
      </w:r>
    </w:p>
    <w:p w14:paraId="0176D412" w14:textId="7811B664" w:rsidR="007A5EB2" w:rsidRPr="003836D9" w:rsidRDefault="00545AF1" w:rsidP="00B97049">
      <w:pPr>
        <w:pStyle w:val="Heading2"/>
        <w:numPr>
          <w:ilvl w:val="0"/>
          <w:numId w:val="33"/>
        </w:numPr>
        <w:spacing w:before="0" w:after="160" w:line="259" w:lineRule="auto"/>
        <w:jc w:val="center"/>
        <w:rPr>
          <w:rFonts w:ascii="Times New Roman" w:hAnsi="Times New Roman"/>
          <w:color w:val="auto"/>
          <w:sz w:val="24"/>
          <w:szCs w:val="24"/>
          <w:lang w:val="ro-MD"/>
        </w:rPr>
      </w:pPr>
      <w:r w:rsidRPr="003836D9">
        <w:rPr>
          <w:rFonts w:ascii="Times New Roman" w:hAnsi="Times New Roman"/>
          <w:color w:val="auto"/>
          <w:sz w:val="24"/>
          <w:szCs w:val="24"/>
          <w:lang w:val="ro-MD"/>
        </w:rPr>
        <w:t>Introducere</w:t>
      </w:r>
      <w:bookmarkEnd w:id="0"/>
    </w:p>
    <w:p w14:paraId="4BC603ED" w14:textId="77777777" w:rsidR="00BE5DE6" w:rsidRDefault="00913B03" w:rsidP="00BE5DE6">
      <w:pPr>
        <w:pStyle w:val="ListParagraph"/>
        <w:shd w:val="clear" w:color="auto" w:fill="FFFFFF" w:themeFill="background1"/>
        <w:ind w:left="0"/>
        <w:contextualSpacing w:val="0"/>
        <w:jc w:val="both"/>
        <w:rPr>
          <w:rFonts w:ascii="Times New Roman" w:hAnsi="Times New Roman" w:cs="Times New Roman"/>
          <w:color w:val="000000"/>
          <w:sz w:val="24"/>
          <w:szCs w:val="24"/>
          <w:lang w:val="ro-MD"/>
        </w:rPr>
      </w:pPr>
      <w:r w:rsidRPr="00BE5DE6">
        <w:rPr>
          <w:rFonts w:ascii="Times New Roman" w:hAnsi="Times New Roman" w:cs="Times New Roman"/>
          <w:sz w:val="24"/>
          <w:szCs w:val="24"/>
          <w:lang w:val="ro-MD"/>
        </w:rPr>
        <w:t>Program</w:t>
      </w:r>
      <w:r w:rsidR="00BE5DE6">
        <w:rPr>
          <w:rFonts w:ascii="Times New Roman" w:hAnsi="Times New Roman" w:cs="Times New Roman"/>
          <w:sz w:val="24"/>
          <w:szCs w:val="24"/>
          <w:lang w:val="ro-MD"/>
        </w:rPr>
        <w:t>ul</w:t>
      </w:r>
      <w:r w:rsidRPr="00BE5DE6">
        <w:rPr>
          <w:rFonts w:ascii="Times New Roman" w:hAnsi="Times New Roman" w:cs="Times New Roman"/>
          <w:sz w:val="24"/>
          <w:szCs w:val="24"/>
          <w:lang w:val="ro-MD"/>
        </w:rPr>
        <w:t xml:space="preserve"> național pentru ocuparea forței de muncă pentru anii 2022-2026 este un document de politici publice în do</w:t>
      </w:r>
      <w:r w:rsidR="00BE5DE6" w:rsidRPr="00BE5DE6">
        <w:rPr>
          <w:rFonts w:ascii="Times New Roman" w:hAnsi="Times New Roman" w:cs="Times New Roman"/>
          <w:sz w:val="24"/>
          <w:szCs w:val="24"/>
          <w:lang w:val="ro-MD"/>
        </w:rPr>
        <w:t xml:space="preserve">meniul ocupării forței de muncă care urmărește </w:t>
      </w:r>
      <w:r w:rsidR="00BE5DE6" w:rsidRPr="00BE5DE6">
        <w:rPr>
          <w:rFonts w:ascii="Times New Roman" w:hAnsi="Times New Roman" w:cs="Times New Roman"/>
          <w:color w:val="000000"/>
          <w:sz w:val="24"/>
          <w:szCs w:val="24"/>
          <w:lang w:val="ro-MD"/>
        </w:rPr>
        <w:t xml:space="preserve">creșterea nivelului de ocupare a forței de muncă și sporirea accesului pe piața muncii pentru toți. </w:t>
      </w:r>
    </w:p>
    <w:p w14:paraId="18DA198F" w14:textId="3EB63446" w:rsidR="00913B03" w:rsidRPr="00BE5DE6" w:rsidRDefault="00BE5DE6" w:rsidP="00BE5DE6">
      <w:pPr>
        <w:pStyle w:val="ListParagraph"/>
        <w:shd w:val="clear" w:color="auto" w:fill="FFFFFF" w:themeFill="background1"/>
        <w:ind w:left="0"/>
        <w:contextualSpacing w:val="0"/>
        <w:jc w:val="both"/>
        <w:rPr>
          <w:rFonts w:ascii="Times New Roman" w:hAnsi="Times New Roman" w:cs="Times New Roman"/>
          <w:color w:val="000000"/>
          <w:sz w:val="24"/>
          <w:szCs w:val="24"/>
          <w:lang w:val="ro-MD"/>
        </w:rPr>
      </w:pPr>
      <w:r w:rsidRPr="00BE5DE6">
        <w:rPr>
          <w:rFonts w:ascii="Times New Roman" w:hAnsi="Times New Roman" w:cs="Times New Roman"/>
          <w:sz w:val="24"/>
          <w:szCs w:val="24"/>
          <w:lang w:val="ro-MD"/>
        </w:rPr>
        <w:t>Programul</w:t>
      </w:r>
      <w:r>
        <w:rPr>
          <w:lang w:val="ro-MD"/>
        </w:rPr>
        <w:t xml:space="preserve"> </w:t>
      </w:r>
      <w:r w:rsidR="00913B03" w:rsidRPr="00BE5DE6">
        <w:rPr>
          <w:rFonts w:ascii="Times New Roman" w:hAnsi="Times New Roman" w:cs="Times New Roman"/>
          <w:sz w:val="24"/>
          <w:szCs w:val="24"/>
          <w:lang w:val="ro-MD"/>
        </w:rPr>
        <w:t>derivă din Acordul de Asociere între Republica Moldova, pe de o parte, şi Uniunea Europeană şi Comunitatea Europeană a Energiei Atomice şi statele membre ale acestora, pe de altă parte din 27.06.2014, care prevede un Capitol aparte</w:t>
      </w:r>
      <w:r w:rsidR="00A13A9C">
        <w:rPr>
          <w:rFonts w:ascii="Times New Roman" w:hAnsi="Times New Roman" w:cs="Times New Roman"/>
          <w:sz w:val="24"/>
          <w:szCs w:val="24"/>
          <w:lang w:val="ro-MD"/>
        </w:rPr>
        <w:t xml:space="preserve"> –</w:t>
      </w:r>
      <w:r w:rsidR="007154EA" w:rsidRPr="00BE5DE6">
        <w:rPr>
          <w:rFonts w:ascii="Times New Roman" w:hAnsi="Times New Roman" w:cs="Times New Roman"/>
          <w:sz w:val="24"/>
          <w:szCs w:val="24"/>
          <w:lang w:val="ro-MD"/>
        </w:rPr>
        <w:t xml:space="preserve"> Capitolul</w:t>
      </w:r>
      <w:r w:rsidR="00A13A9C">
        <w:rPr>
          <w:rFonts w:ascii="Times New Roman" w:hAnsi="Times New Roman" w:cs="Times New Roman"/>
          <w:sz w:val="24"/>
          <w:szCs w:val="24"/>
          <w:lang w:val="ro-MD"/>
        </w:rPr>
        <w:t xml:space="preserve"> nr.</w:t>
      </w:r>
      <w:r w:rsidR="007154EA" w:rsidRPr="00BE5DE6">
        <w:rPr>
          <w:rFonts w:ascii="Times New Roman" w:hAnsi="Times New Roman" w:cs="Times New Roman"/>
          <w:sz w:val="24"/>
          <w:szCs w:val="24"/>
          <w:lang w:val="ro-MD"/>
        </w:rPr>
        <w:t xml:space="preserve"> 4 </w:t>
      </w:r>
      <w:r w:rsidR="001D138C">
        <w:rPr>
          <w:rFonts w:ascii="Times New Roman" w:hAnsi="Times New Roman" w:cs="Times New Roman"/>
          <w:sz w:val="24"/>
          <w:szCs w:val="24"/>
          <w:lang w:val="ro-MD"/>
        </w:rPr>
        <w:t>„</w:t>
      </w:r>
      <w:r w:rsidR="007154EA" w:rsidRPr="00BE5DE6">
        <w:rPr>
          <w:rFonts w:ascii="Times New Roman" w:hAnsi="Times New Roman" w:cs="Times New Roman"/>
          <w:sz w:val="24"/>
          <w:szCs w:val="24"/>
          <w:lang w:val="ro-MD"/>
        </w:rPr>
        <w:t>O</w:t>
      </w:r>
      <w:r w:rsidR="007154EA" w:rsidRPr="00BE5DE6">
        <w:rPr>
          <w:rStyle w:val="italic"/>
          <w:rFonts w:ascii="Times New Roman" w:hAnsi="Times New Roman" w:cs="Times New Roman"/>
          <w:bCs/>
          <w:iCs/>
          <w:color w:val="000000"/>
          <w:sz w:val="24"/>
          <w:szCs w:val="24"/>
          <w:lang w:val="ro-MD"/>
        </w:rPr>
        <w:t>cuparea forței de muncă, politica socială și egalitatea de șanse</w:t>
      </w:r>
      <w:r w:rsidR="001D138C">
        <w:rPr>
          <w:rStyle w:val="italic"/>
          <w:rFonts w:ascii="Times New Roman" w:hAnsi="Times New Roman" w:cs="Times New Roman"/>
          <w:bCs/>
          <w:iCs/>
          <w:color w:val="000000"/>
          <w:sz w:val="24"/>
          <w:szCs w:val="24"/>
          <w:lang w:val="ro-MD"/>
        </w:rPr>
        <w:t>”</w:t>
      </w:r>
      <w:r w:rsidR="007154EA" w:rsidRPr="00BE5DE6">
        <w:rPr>
          <w:rStyle w:val="italic"/>
          <w:rFonts w:ascii="Times New Roman" w:hAnsi="Times New Roman" w:cs="Times New Roman"/>
          <w:bCs/>
          <w:iCs/>
          <w:color w:val="000000"/>
          <w:sz w:val="24"/>
          <w:szCs w:val="24"/>
          <w:lang w:val="ro-MD"/>
        </w:rPr>
        <w:t xml:space="preserve"> și</w:t>
      </w:r>
      <w:r w:rsidR="00913B03" w:rsidRPr="00BE5DE6">
        <w:rPr>
          <w:rFonts w:ascii="Times New Roman" w:hAnsi="Times New Roman" w:cs="Times New Roman"/>
          <w:sz w:val="24"/>
          <w:szCs w:val="24"/>
          <w:lang w:val="ro-MD"/>
        </w:rPr>
        <w:t xml:space="preserve"> Program</w:t>
      </w:r>
      <w:r w:rsidR="001D138C">
        <w:rPr>
          <w:rFonts w:ascii="Times New Roman" w:hAnsi="Times New Roman" w:cs="Times New Roman"/>
          <w:sz w:val="24"/>
          <w:szCs w:val="24"/>
          <w:lang w:val="ro-MD"/>
        </w:rPr>
        <w:t>ul de activitate al Guvernului „</w:t>
      </w:r>
      <w:r w:rsidR="00913B03" w:rsidRPr="00BE5DE6">
        <w:rPr>
          <w:rFonts w:ascii="Times New Roman" w:hAnsi="Times New Roman" w:cs="Times New Roman"/>
          <w:sz w:val="24"/>
          <w:szCs w:val="24"/>
          <w:lang w:val="ro-MD"/>
        </w:rPr>
        <w:t>Moldova vremurilor bune”</w:t>
      </w:r>
      <w:r w:rsidR="00D60FF2" w:rsidRPr="00BE5DE6">
        <w:rPr>
          <w:rFonts w:ascii="Times New Roman" w:hAnsi="Times New Roman" w:cs="Times New Roman"/>
          <w:sz w:val="24"/>
          <w:szCs w:val="24"/>
          <w:lang w:val="ro-MD"/>
        </w:rPr>
        <w:t xml:space="preserve">, Capitolul </w:t>
      </w:r>
      <w:r w:rsidR="005444AD">
        <w:rPr>
          <w:rFonts w:ascii="Times New Roman" w:hAnsi="Times New Roman" w:cs="Times New Roman"/>
          <w:sz w:val="24"/>
          <w:szCs w:val="24"/>
          <w:lang w:val="ro-MD"/>
        </w:rPr>
        <w:t>P</w:t>
      </w:r>
      <w:r w:rsidR="00D60FF2" w:rsidRPr="00BE5DE6">
        <w:rPr>
          <w:rFonts w:ascii="Times New Roman" w:hAnsi="Times New Roman" w:cs="Times New Roman"/>
          <w:sz w:val="24"/>
          <w:szCs w:val="24"/>
          <w:lang w:val="ro-MD"/>
        </w:rPr>
        <w:t>rotecția Socială și Muncă, care prevede promovarea ocupării forței de muncă și diminuarea discriminării pe piața muncii</w:t>
      </w:r>
      <w:r w:rsidR="000F5AFC" w:rsidRPr="00BE5DE6">
        <w:rPr>
          <w:rFonts w:ascii="Times New Roman" w:hAnsi="Times New Roman" w:cs="Times New Roman"/>
          <w:sz w:val="24"/>
          <w:szCs w:val="24"/>
          <w:lang w:val="ro-MD"/>
        </w:rPr>
        <w:t>.</w:t>
      </w:r>
    </w:p>
    <w:p w14:paraId="2A8F34C7" w14:textId="7CAC5C78" w:rsidR="00056BB2" w:rsidRPr="003836D9" w:rsidRDefault="00D77D66" w:rsidP="004000A9">
      <w:pPr>
        <w:pStyle w:val="BodyText3"/>
        <w:tabs>
          <w:tab w:val="left" w:pos="540"/>
        </w:tabs>
        <w:spacing w:before="120" w:line="300" w:lineRule="exact"/>
        <w:ind w:right="11"/>
        <w:jc w:val="both"/>
        <w:rPr>
          <w:rFonts w:eastAsiaTheme="minorHAnsi"/>
          <w:color w:val="000000"/>
          <w:sz w:val="24"/>
          <w:szCs w:val="24"/>
          <w:lang w:val="ro-MD"/>
        </w:rPr>
      </w:pPr>
      <w:r w:rsidRPr="003836D9">
        <w:rPr>
          <w:rFonts w:eastAsiaTheme="minorHAnsi"/>
          <w:color w:val="000000"/>
          <w:sz w:val="24"/>
          <w:szCs w:val="24"/>
          <w:lang w:val="ro-MD"/>
        </w:rPr>
        <w:t>Munca decentă pentru toate persoanele din Moldova reprezintă prioritatea Guvernului, cu atât mai mult după criza profundă generat</w:t>
      </w:r>
      <w:r w:rsidR="007E47EE" w:rsidRPr="003836D9">
        <w:rPr>
          <w:rFonts w:eastAsiaTheme="minorHAnsi"/>
          <w:color w:val="000000"/>
          <w:sz w:val="24"/>
          <w:szCs w:val="24"/>
          <w:lang w:val="ro-MD"/>
        </w:rPr>
        <w:t>ă</w:t>
      </w:r>
      <w:r w:rsidRPr="003836D9">
        <w:rPr>
          <w:rFonts w:eastAsiaTheme="minorHAnsi"/>
          <w:color w:val="000000"/>
          <w:sz w:val="24"/>
          <w:szCs w:val="24"/>
          <w:lang w:val="ro-MD"/>
        </w:rPr>
        <w:t xml:space="preserve"> de pandemia </w:t>
      </w:r>
      <w:r w:rsidR="00DF67F3">
        <w:rPr>
          <w:rFonts w:eastAsiaTheme="minorHAnsi"/>
          <w:color w:val="000000"/>
          <w:sz w:val="24"/>
          <w:szCs w:val="24"/>
          <w:lang w:val="ro-MD"/>
        </w:rPr>
        <w:t>COVID</w:t>
      </w:r>
      <w:r w:rsidR="00056BB2" w:rsidRPr="003836D9">
        <w:rPr>
          <w:rFonts w:eastAsiaTheme="minorHAnsi"/>
          <w:color w:val="000000"/>
          <w:sz w:val="24"/>
          <w:szCs w:val="24"/>
          <w:lang w:val="ro-MD"/>
        </w:rPr>
        <w:t xml:space="preserve">-19. </w:t>
      </w:r>
      <w:r w:rsidR="006F6E9A" w:rsidRPr="003836D9">
        <w:rPr>
          <w:rFonts w:eastAsiaTheme="minorHAnsi"/>
          <w:color w:val="000000"/>
          <w:sz w:val="24"/>
          <w:szCs w:val="24"/>
          <w:lang w:val="ro-MD"/>
        </w:rPr>
        <w:t xml:space="preserve">Această criză va avea efecte de durată asupra pieței muncii, pe care </w:t>
      </w:r>
      <w:r w:rsidR="006F5049" w:rsidRPr="003836D9">
        <w:rPr>
          <w:rFonts w:eastAsiaTheme="minorHAnsi"/>
          <w:color w:val="000000"/>
          <w:sz w:val="24"/>
          <w:szCs w:val="24"/>
          <w:lang w:val="ro-MD"/>
        </w:rPr>
        <w:t xml:space="preserve">Programul </w:t>
      </w:r>
      <w:r w:rsidR="00B97049" w:rsidRPr="003836D9">
        <w:rPr>
          <w:rFonts w:eastAsiaTheme="minorHAnsi"/>
          <w:color w:val="000000"/>
          <w:sz w:val="24"/>
          <w:szCs w:val="24"/>
          <w:lang w:val="ro-MD"/>
        </w:rPr>
        <w:t>n</w:t>
      </w:r>
      <w:r w:rsidR="006F6E9A" w:rsidRPr="003836D9">
        <w:rPr>
          <w:rFonts w:eastAsiaTheme="minorHAnsi"/>
          <w:color w:val="000000"/>
          <w:sz w:val="24"/>
          <w:szCs w:val="24"/>
          <w:lang w:val="ro-MD"/>
        </w:rPr>
        <w:t xml:space="preserve">ațional </w:t>
      </w:r>
      <w:r w:rsidR="006F5049" w:rsidRPr="003836D9">
        <w:rPr>
          <w:rFonts w:eastAsiaTheme="minorHAnsi"/>
          <w:color w:val="000000"/>
          <w:sz w:val="24"/>
          <w:szCs w:val="24"/>
          <w:lang w:val="ro-MD"/>
        </w:rPr>
        <w:t xml:space="preserve">pentru </w:t>
      </w:r>
      <w:r w:rsidR="00B97049" w:rsidRPr="003836D9">
        <w:rPr>
          <w:rFonts w:eastAsiaTheme="minorHAnsi"/>
          <w:color w:val="000000"/>
          <w:sz w:val="24"/>
          <w:szCs w:val="24"/>
          <w:lang w:val="ro-MD"/>
        </w:rPr>
        <w:t>o</w:t>
      </w:r>
      <w:r w:rsidR="006F6E9A" w:rsidRPr="003836D9">
        <w:rPr>
          <w:rFonts w:eastAsiaTheme="minorHAnsi"/>
          <w:color w:val="000000"/>
          <w:sz w:val="24"/>
          <w:szCs w:val="24"/>
          <w:lang w:val="ro-MD"/>
        </w:rPr>
        <w:t>cupare</w:t>
      </w:r>
      <w:r w:rsidR="006F5049" w:rsidRPr="003836D9">
        <w:rPr>
          <w:rFonts w:eastAsiaTheme="minorHAnsi"/>
          <w:color w:val="000000"/>
          <w:sz w:val="24"/>
          <w:szCs w:val="24"/>
          <w:lang w:val="ro-MD"/>
        </w:rPr>
        <w:t xml:space="preserve">a </w:t>
      </w:r>
      <w:r w:rsidR="00B97049" w:rsidRPr="003836D9">
        <w:rPr>
          <w:rFonts w:eastAsiaTheme="minorHAnsi"/>
          <w:color w:val="000000"/>
          <w:sz w:val="24"/>
          <w:szCs w:val="24"/>
          <w:lang w:val="ro-MD"/>
        </w:rPr>
        <w:t>f</w:t>
      </w:r>
      <w:r w:rsidR="006F5049" w:rsidRPr="003836D9">
        <w:rPr>
          <w:rFonts w:eastAsiaTheme="minorHAnsi"/>
          <w:color w:val="000000"/>
          <w:sz w:val="24"/>
          <w:szCs w:val="24"/>
          <w:lang w:val="ro-MD"/>
        </w:rPr>
        <w:t xml:space="preserve">orței de </w:t>
      </w:r>
      <w:r w:rsidR="00B97049" w:rsidRPr="003836D9">
        <w:rPr>
          <w:rFonts w:eastAsiaTheme="minorHAnsi"/>
          <w:color w:val="000000"/>
          <w:sz w:val="24"/>
          <w:szCs w:val="24"/>
          <w:lang w:val="ro-MD"/>
        </w:rPr>
        <w:t>m</w:t>
      </w:r>
      <w:r w:rsidR="006F5049" w:rsidRPr="003836D9">
        <w:rPr>
          <w:rFonts w:eastAsiaTheme="minorHAnsi"/>
          <w:color w:val="000000"/>
          <w:sz w:val="24"/>
          <w:szCs w:val="24"/>
          <w:lang w:val="ro-MD"/>
        </w:rPr>
        <w:t>uncă</w:t>
      </w:r>
      <w:r w:rsidR="00B97049" w:rsidRPr="003836D9">
        <w:rPr>
          <w:rFonts w:eastAsiaTheme="minorHAnsi"/>
          <w:color w:val="000000"/>
          <w:sz w:val="24"/>
          <w:szCs w:val="24"/>
          <w:lang w:val="ro-MD"/>
        </w:rPr>
        <w:t xml:space="preserve"> pentru anii</w:t>
      </w:r>
      <w:r w:rsidR="006F5049" w:rsidRPr="003836D9">
        <w:rPr>
          <w:rFonts w:eastAsiaTheme="minorHAnsi"/>
          <w:color w:val="000000"/>
          <w:sz w:val="24"/>
          <w:szCs w:val="24"/>
          <w:lang w:val="ro-MD"/>
        </w:rPr>
        <w:t xml:space="preserve"> 2022-2026</w:t>
      </w:r>
      <w:r w:rsidR="006F6E9A" w:rsidRPr="003836D9">
        <w:rPr>
          <w:rFonts w:eastAsiaTheme="minorHAnsi"/>
          <w:color w:val="000000"/>
          <w:sz w:val="24"/>
          <w:szCs w:val="24"/>
          <w:lang w:val="ro-MD"/>
        </w:rPr>
        <w:t xml:space="preserve"> le va aborda prin acțiuni concertate de politică privind piața muncii și protecția socială.</w:t>
      </w:r>
      <w:r w:rsidR="00056BB2" w:rsidRPr="003836D9">
        <w:rPr>
          <w:rFonts w:eastAsiaTheme="minorHAnsi"/>
          <w:color w:val="000000"/>
          <w:sz w:val="24"/>
          <w:szCs w:val="24"/>
          <w:lang w:val="ro-MD"/>
        </w:rPr>
        <w:t xml:space="preserve"> </w:t>
      </w:r>
      <w:r w:rsidR="000F5AFC">
        <w:rPr>
          <w:rFonts w:eastAsiaTheme="minorHAnsi"/>
          <w:color w:val="000000"/>
          <w:sz w:val="24"/>
          <w:szCs w:val="24"/>
          <w:lang w:val="ro-MD"/>
        </w:rPr>
        <w:t>P</w:t>
      </w:r>
      <w:r w:rsidR="006F6E9A" w:rsidRPr="003836D9">
        <w:rPr>
          <w:rFonts w:eastAsiaTheme="minorHAnsi"/>
          <w:color w:val="000000"/>
          <w:sz w:val="24"/>
          <w:szCs w:val="24"/>
          <w:lang w:val="ro-MD"/>
        </w:rPr>
        <w:t>rin coordonarea acestor intervenții cu politicile economice, de dezvoltare a întreprinderilor</w:t>
      </w:r>
      <w:r w:rsidR="006F5049" w:rsidRPr="003836D9">
        <w:rPr>
          <w:rFonts w:eastAsiaTheme="minorHAnsi"/>
          <w:color w:val="000000"/>
          <w:sz w:val="24"/>
          <w:szCs w:val="24"/>
          <w:lang w:val="ro-MD"/>
        </w:rPr>
        <w:t>,</w:t>
      </w:r>
      <w:r w:rsidR="006F6E9A" w:rsidRPr="003836D9">
        <w:rPr>
          <w:rFonts w:eastAsiaTheme="minorHAnsi"/>
          <w:color w:val="000000"/>
          <w:sz w:val="24"/>
          <w:szCs w:val="24"/>
          <w:lang w:val="ro-MD"/>
        </w:rPr>
        <w:t xml:space="preserve"> de educație și formare </w:t>
      </w:r>
      <w:r w:rsidR="006F5049" w:rsidRPr="003836D9">
        <w:rPr>
          <w:rFonts w:eastAsiaTheme="minorHAnsi"/>
          <w:color w:val="000000"/>
          <w:sz w:val="24"/>
          <w:szCs w:val="24"/>
          <w:lang w:val="ro-MD"/>
        </w:rPr>
        <w:t xml:space="preserve">profesională </w:t>
      </w:r>
      <w:r w:rsidR="006F6E9A" w:rsidRPr="003836D9">
        <w:rPr>
          <w:rFonts w:eastAsiaTheme="minorHAnsi"/>
          <w:color w:val="000000"/>
          <w:sz w:val="24"/>
          <w:szCs w:val="24"/>
          <w:lang w:val="ro-MD"/>
        </w:rPr>
        <w:t>planificate în Strategia Națională de Dezvoltare 2030 să fie create oportunități de angajare mai multe și mai bune, să crească nivelul de trai și egalitatea de șanse</w:t>
      </w:r>
      <w:r w:rsidR="00507160" w:rsidRPr="003836D9">
        <w:rPr>
          <w:rFonts w:eastAsiaTheme="minorHAnsi"/>
          <w:color w:val="000000"/>
          <w:sz w:val="24"/>
          <w:szCs w:val="24"/>
          <w:lang w:val="ro-MD"/>
        </w:rPr>
        <w:t>.</w:t>
      </w:r>
    </w:p>
    <w:p w14:paraId="50DBE2D5" w14:textId="563F4B3C" w:rsidR="001E69CE" w:rsidRPr="003836D9" w:rsidRDefault="006F5049" w:rsidP="004000A9">
      <w:pPr>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 xml:space="preserve">Programul </w:t>
      </w:r>
      <w:r w:rsidR="00F412A4" w:rsidRPr="003836D9">
        <w:rPr>
          <w:rFonts w:ascii="Times New Roman" w:hAnsi="Times New Roman" w:cs="Times New Roman"/>
          <w:color w:val="000000"/>
          <w:sz w:val="24"/>
          <w:szCs w:val="24"/>
          <w:lang w:val="ro-MD"/>
        </w:rPr>
        <w:t>n</w:t>
      </w:r>
      <w:r w:rsidRPr="003836D9">
        <w:rPr>
          <w:rFonts w:ascii="Times New Roman" w:hAnsi="Times New Roman" w:cs="Times New Roman"/>
          <w:color w:val="000000"/>
          <w:sz w:val="24"/>
          <w:szCs w:val="24"/>
          <w:lang w:val="ro-MD"/>
        </w:rPr>
        <w:t>ațional pentru</w:t>
      </w:r>
      <w:r w:rsidR="009F645E" w:rsidRPr="003836D9">
        <w:rPr>
          <w:rFonts w:ascii="Times New Roman" w:hAnsi="Times New Roman" w:cs="Times New Roman"/>
          <w:color w:val="000000"/>
          <w:sz w:val="24"/>
          <w:szCs w:val="24"/>
          <w:lang w:val="ro-MD"/>
        </w:rPr>
        <w:t xml:space="preserve"> </w:t>
      </w:r>
      <w:r w:rsidR="00F412A4" w:rsidRPr="003836D9">
        <w:rPr>
          <w:rFonts w:ascii="Times New Roman" w:hAnsi="Times New Roman" w:cs="Times New Roman"/>
          <w:color w:val="000000"/>
          <w:sz w:val="24"/>
          <w:szCs w:val="24"/>
          <w:lang w:val="ro-MD"/>
        </w:rPr>
        <w:t>o</w:t>
      </w:r>
      <w:r w:rsidR="009F645E" w:rsidRPr="003836D9">
        <w:rPr>
          <w:rFonts w:ascii="Times New Roman" w:hAnsi="Times New Roman" w:cs="Times New Roman"/>
          <w:color w:val="000000"/>
          <w:sz w:val="24"/>
          <w:szCs w:val="24"/>
          <w:lang w:val="ro-MD"/>
        </w:rPr>
        <w:t xml:space="preserve">cuparea </w:t>
      </w:r>
      <w:r w:rsidR="00F412A4" w:rsidRPr="003836D9">
        <w:rPr>
          <w:rFonts w:ascii="Times New Roman" w:hAnsi="Times New Roman" w:cs="Times New Roman"/>
          <w:color w:val="000000"/>
          <w:sz w:val="24"/>
          <w:szCs w:val="24"/>
          <w:lang w:val="ro-MD"/>
        </w:rPr>
        <w:t>f</w:t>
      </w:r>
      <w:r w:rsidR="009F645E" w:rsidRPr="003836D9">
        <w:rPr>
          <w:rFonts w:ascii="Times New Roman" w:hAnsi="Times New Roman" w:cs="Times New Roman"/>
          <w:color w:val="000000"/>
          <w:sz w:val="24"/>
          <w:szCs w:val="24"/>
          <w:lang w:val="ro-MD"/>
        </w:rPr>
        <w:t xml:space="preserve">orței de </w:t>
      </w:r>
      <w:r w:rsidR="00F412A4" w:rsidRPr="003836D9">
        <w:rPr>
          <w:rFonts w:ascii="Times New Roman" w:hAnsi="Times New Roman" w:cs="Times New Roman"/>
          <w:color w:val="000000"/>
          <w:sz w:val="24"/>
          <w:szCs w:val="24"/>
          <w:lang w:val="ro-MD"/>
        </w:rPr>
        <w:t>m</w:t>
      </w:r>
      <w:r w:rsidR="009F645E" w:rsidRPr="003836D9">
        <w:rPr>
          <w:rFonts w:ascii="Times New Roman" w:hAnsi="Times New Roman" w:cs="Times New Roman"/>
          <w:color w:val="000000"/>
          <w:sz w:val="24"/>
          <w:szCs w:val="24"/>
          <w:lang w:val="ro-MD"/>
        </w:rPr>
        <w:t xml:space="preserve">uncă </w:t>
      </w:r>
      <w:r w:rsidR="00F412A4" w:rsidRPr="003836D9">
        <w:rPr>
          <w:rFonts w:ascii="Times New Roman" w:hAnsi="Times New Roman" w:cs="Times New Roman"/>
          <w:color w:val="000000"/>
          <w:sz w:val="24"/>
          <w:szCs w:val="24"/>
          <w:lang w:val="ro-MD"/>
        </w:rPr>
        <w:t xml:space="preserve">pentru anii </w:t>
      </w:r>
      <w:r w:rsidRPr="003836D9">
        <w:rPr>
          <w:rFonts w:ascii="Times New Roman" w:hAnsi="Times New Roman" w:cs="Times New Roman"/>
          <w:color w:val="000000"/>
          <w:sz w:val="24"/>
          <w:szCs w:val="24"/>
          <w:lang w:val="ro-MD"/>
        </w:rPr>
        <w:t xml:space="preserve">2022-2026 </w:t>
      </w:r>
      <w:r w:rsidR="00AC7401" w:rsidRPr="003836D9">
        <w:rPr>
          <w:rFonts w:ascii="Times New Roman" w:hAnsi="Times New Roman" w:cs="Times New Roman"/>
          <w:color w:val="000000"/>
          <w:sz w:val="24"/>
          <w:szCs w:val="24"/>
          <w:lang w:val="ro-MD"/>
        </w:rPr>
        <w:t>(</w:t>
      </w:r>
      <w:r w:rsidR="00AC7401" w:rsidRPr="003836D9">
        <w:rPr>
          <w:rFonts w:ascii="Times New Roman" w:hAnsi="Times New Roman" w:cs="Times New Roman"/>
          <w:i/>
          <w:color w:val="000000"/>
          <w:sz w:val="24"/>
          <w:szCs w:val="24"/>
          <w:lang w:val="ro-MD"/>
        </w:rPr>
        <w:t>în continuare Program</w:t>
      </w:r>
      <w:r w:rsidR="00AC7401" w:rsidRPr="003836D9">
        <w:rPr>
          <w:rFonts w:ascii="Times New Roman" w:hAnsi="Times New Roman" w:cs="Times New Roman"/>
          <w:color w:val="000000"/>
          <w:sz w:val="24"/>
          <w:szCs w:val="24"/>
          <w:lang w:val="ro-MD"/>
        </w:rPr>
        <w:t xml:space="preserve">) </w:t>
      </w:r>
      <w:r w:rsidR="009F645E" w:rsidRPr="003836D9">
        <w:rPr>
          <w:rFonts w:ascii="Times New Roman" w:hAnsi="Times New Roman" w:cs="Times New Roman"/>
          <w:color w:val="000000"/>
          <w:sz w:val="24"/>
          <w:szCs w:val="24"/>
          <w:lang w:val="ro-MD"/>
        </w:rPr>
        <w:t xml:space="preserve">are ca scop abordarea atât a consecințelor pe termen scurt a pandemiei </w:t>
      </w:r>
      <w:r w:rsidR="00DF67F3">
        <w:rPr>
          <w:rFonts w:ascii="Times New Roman" w:hAnsi="Times New Roman" w:cs="Times New Roman"/>
          <w:color w:val="000000"/>
          <w:sz w:val="24"/>
          <w:szCs w:val="24"/>
          <w:lang w:val="ro-MD"/>
        </w:rPr>
        <w:t>COVID</w:t>
      </w:r>
      <w:r w:rsidR="009F645E" w:rsidRPr="003836D9">
        <w:rPr>
          <w:rFonts w:ascii="Times New Roman" w:hAnsi="Times New Roman" w:cs="Times New Roman"/>
          <w:color w:val="000000"/>
          <w:sz w:val="24"/>
          <w:szCs w:val="24"/>
          <w:lang w:val="ro-MD"/>
        </w:rPr>
        <w:t xml:space="preserve">-19 pe piața muncii, cât și provocărilor structurale care afectează cantitatea și calitatea locurilor de muncă. </w:t>
      </w:r>
    </w:p>
    <w:p w14:paraId="3B976253" w14:textId="77777777" w:rsidR="00AC7401" w:rsidRPr="003836D9" w:rsidRDefault="003B5150" w:rsidP="004000A9">
      <w:pPr>
        <w:autoSpaceDE w:val="0"/>
        <w:autoSpaceDN w:val="0"/>
        <w:adjustRightInd w:val="0"/>
        <w:jc w:val="both"/>
        <w:rPr>
          <w:rFonts w:ascii="Times New Roman" w:hAnsi="Times New Roman" w:cs="Times New Roman"/>
          <w:sz w:val="24"/>
          <w:szCs w:val="24"/>
          <w:lang w:val="ro-MD" w:eastAsia="it-IT"/>
        </w:rPr>
      </w:pPr>
      <w:r w:rsidRPr="003836D9">
        <w:rPr>
          <w:rFonts w:ascii="Times New Roman" w:hAnsi="Times New Roman" w:cs="Times New Roman"/>
          <w:sz w:val="24"/>
          <w:szCs w:val="24"/>
          <w:lang w:val="ro-MD" w:eastAsia="it-IT"/>
        </w:rPr>
        <w:t xml:space="preserve">Prioritățile de politici pentru îmbunătățirea per ansamblu a ocupării forței de muncă se referă la educație și formare, dezvoltarea sectorului privat, politicile pieței muncii și protecției sociale. Se presupune că interacțiunea acestora cu politicile macroeconomice, fiscale și de investiții va îmbunătăți atât cantitatea cât și calitatea locurilor de muncă. </w:t>
      </w:r>
    </w:p>
    <w:p w14:paraId="162FC363" w14:textId="5DB32738" w:rsidR="000D52E4" w:rsidRPr="003836D9" w:rsidRDefault="00AC7401" w:rsidP="004000A9">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eastAsia="it-IT"/>
        </w:rPr>
        <w:t xml:space="preserve">Programul </w:t>
      </w:r>
      <w:r w:rsidR="003B5150" w:rsidRPr="003836D9">
        <w:rPr>
          <w:rFonts w:ascii="Times New Roman" w:hAnsi="Times New Roman" w:cs="Times New Roman"/>
          <w:sz w:val="24"/>
          <w:szCs w:val="24"/>
          <w:lang w:val="ro-MD"/>
        </w:rPr>
        <w:t xml:space="preserve">explorează acțiunile de politici deja incluse în </w:t>
      </w:r>
      <w:r w:rsidR="003B5150" w:rsidRPr="003836D9">
        <w:rPr>
          <w:rFonts w:ascii="Times New Roman" w:hAnsi="Times New Roman" w:cs="Times New Roman"/>
          <w:i/>
          <w:iCs/>
          <w:sz w:val="24"/>
          <w:szCs w:val="24"/>
          <w:lang w:val="ro-MD"/>
        </w:rPr>
        <w:t>Strategia Națională de Dezvoltare 2030</w:t>
      </w:r>
      <w:r w:rsidR="003B5150" w:rsidRPr="003836D9">
        <w:rPr>
          <w:rFonts w:ascii="Times New Roman" w:hAnsi="Times New Roman" w:cs="Times New Roman"/>
          <w:sz w:val="24"/>
          <w:szCs w:val="24"/>
          <w:lang w:val="ro-MD"/>
        </w:rPr>
        <w:t xml:space="preserve"> (SND 2030) în domeniile de politici economice, fiscale, de educație și formare și de dezvoltare a întreprinderilor, care urmează să fie dezvoltate și implementate prin mandatul altor ministere și agenții guvernamentale și </w:t>
      </w:r>
      <w:r w:rsidR="00F412A4" w:rsidRPr="003836D9">
        <w:rPr>
          <w:rFonts w:ascii="Times New Roman" w:hAnsi="Times New Roman" w:cs="Times New Roman"/>
          <w:sz w:val="24"/>
          <w:szCs w:val="24"/>
          <w:lang w:val="ro-MD"/>
        </w:rPr>
        <w:t xml:space="preserve">stabilește </w:t>
      </w:r>
      <w:r w:rsidR="003B5150" w:rsidRPr="003836D9">
        <w:rPr>
          <w:rFonts w:ascii="Times New Roman" w:hAnsi="Times New Roman" w:cs="Times New Roman"/>
          <w:sz w:val="24"/>
          <w:szCs w:val="24"/>
          <w:lang w:val="ro-MD"/>
        </w:rPr>
        <w:t xml:space="preserve">politicile specifice ale pieței muncii și protecției sociale care vor fi </w:t>
      </w:r>
      <w:r w:rsidR="00F412A4" w:rsidRPr="003836D9">
        <w:rPr>
          <w:rFonts w:ascii="Times New Roman" w:hAnsi="Times New Roman" w:cs="Times New Roman"/>
          <w:sz w:val="24"/>
          <w:szCs w:val="24"/>
          <w:lang w:val="ro-MD"/>
        </w:rPr>
        <w:t xml:space="preserve">dezvoltate și implementate de </w:t>
      </w:r>
      <w:r w:rsidR="003B5150" w:rsidRPr="003836D9">
        <w:rPr>
          <w:rFonts w:ascii="Times New Roman" w:hAnsi="Times New Roman" w:cs="Times New Roman"/>
          <w:sz w:val="24"/>
          <w:szCs w:val="24"/>
          <w:lang w:val="ro-MD"/>
        </w:rPr>
        <w:t>Ministerul Muncii și Protecției Sociale în perioada 2022-2026.</w:t>
      </w:r>
    </w:p>
    <w:p w14:paraId="726EFCF1" w14:textId="77777777" w:rsidR="00803F8F" w:rsidRPr="003836D9" w:rsidRDefault="00803F8F" w:rsidP="00803F8F">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Coerența politicilor și coordonarea dintre Ministerul Muncii și Protecției Sociale și alte ministere cu mandat privind politicile macroeconomice, fiscale, educaționale și de dezvoltare a întreprinderilor vor maximiza impactul acțiunilor de politici planificate asupra ocupării forței de muncă și a incluziunii sociale. </w:t>
      </w:r>
    </w:p>
    <w:p w14:paraId="6EB437C1" w14:textId="10E06A6A" w:rsidR="004D1A45" w:rsidRPr="003836D9" w:rsidRDefault="000F5AFC" w:rsidP="00803F8F">
      <w:pPr>
        <w:autoSpaceDE w:val="0"/>
        <w:autoSpaceDN w:val="0"/>
        <w:adjustRightInd w:val="0"/>
        <w:jc w:val="both"/>
        <w:rPr>
          <w:rFonts w:ascii="Times New Roman" w:hAnsi="Times New Roman" w:cs="Times New Roman"/>
          <w:sz w:val="24"/>
          <w:szCs w:val="24"/>
          <w:lang w:val="ro-MD"/>
        </w:rPr>
      </w:pPr>
      <w:r>
        <w:rPr>
          <w:rFonts w:ascii="Times New Roman" w:hAnsi="Times New Roman" w:cs="Times New Roman"/>
          <w:sz w:val="24"/>
          <w:szCs w:val="24"/>
          <w:lang w:val="ro-MD"/>
        </w:rPr>
        <w:t>Concomitent</w:t>
      </w:r>
      <w:r w:rsidR="004D1A45" w:rsidRPr="003836D9">
        <w:rPr>
          <w:rFonts w:ascii="Times New Roman" w:hAnsi="Times New Roman" w:cs="Times New Roman"/>
          <w:sz w:val="24"/>
          <w:szCs w:val="24"/>
          <w:lang w:val="ro-MD"/>
        </w:rPr>
        <w:t xml:space="preserve">, Programul </w:t>
      </w:r>
      <w:r w:rsidR="00120D52">
        <w:rPr>
          <w:rFonts w:ascii="Times New Roman" w:hAnsi="Times New Roman" w:cs="Times New Roman"/>
          <w:sz w:val="24"/>
          <w:szCs w:val="24"/>
          <w:lang w:val="ro-MD"/>
        </w:rPr>
        <w:t xml:space="preserve">este interconectat </w:t>
      </w:r>
      <w:r w:rsidR="004D1A45" w:rsidRPr="003836D9">
        <w:rPr>
          <w:rFonts w:ascii="Times New Roman" w:hAnsi="Times New Roman" w:cs="Times New Roman"/>
          <w:sz w:val="24"/>
          <w:szCs w:val="24"/>
          <w:lang w:val="ro-MD"/>
        </w:rPr>
        <w:t xml:space="preserve">cu </w:t>
      </w:r>
      <w:r w:rsidR="004D1A45" w:rsidRPr="003836D9">
        <w:rPr>
          <w:rFonts w:ascii="Times New Roman" w:hAnsi="Times New Roman" w:cs="Times New Roman"/>
          <w:bCs/>
          <w:iCs/>
          <w:sz w:val="24"/>
          <w:szCs w:val="24"/>
          <w:lang w:val="ro-MD"/>
        </w:rPr>
        <w:t>proiectul</w:t>
      </w:r>
      <w:r w:rsidR="004D1A45" w:rsidRPr="003836D9">
        <w:rPr>
          <w:rFonts w:ascii="Times New Roman" w:hAnsi="Times New Roman" w:cs="Times New Roman"/>
          <w:iCs/>
          <w:sz w:val="24"/>
          <w:szCs w:val="24"/>
          <w:lang w:val="ro-MD"/>
        </w:rPr>
        <w:t xml:space="preserve"> </w:t>
      </w:r>
      <w:r w:rsidR="004D1A45" w:rsidRPr="003836D9">
        <w:rPr>
          <w:rFonts w:ascii="Times New Roman" w:hAnsi="Times New Roman" w:cs="Times New Roman"/>
          <w:bCs/>
          <w:iCs/>
          <w:sz w:val="24"/>
          <w:szCs w:val="24"/>
          <w:lang w:val="ro-MD"/>
        </w:rPr>
        <w:t>Programului privind gestionarea fluxului migrațional, azilului și integrării străinilor pentru anii 2022-2025;</w:t>
      </w:r>
      <w:r w:rsidR="004D1A45" w:rsidRPr="003836D9">
        <w:rPr>
          <w:rFonts w:ascii="Times New Roman" w:hAnsi="Times New Roman" w:cs="Times New Roman"/>
          <w:color w:val="000000"/>
          <w:sz w:val="20"/>
          <w:szCs w:val="20"/>
          <w:shd w:val="clear" w:color="auto" w:fill="FFFFFF"/>
          <w:lang w:val="ro-MD"/>
        </w:rPr>
        <w:t xml:space="preserve"> </w:t>
      </w:r>
      <w:r w:rsidR="004D1A45" w:rsidRPr="003836D9">
        <w:rPr>
          <w:rFonts w:ascii="Times New Roman" w:hAnsi="Times New Roman" w:cs="Times New Roman"/>
          <w:bCs/>
          <w:iCs/>
          <w:sz w:val="24"/>
          <w:szCs w:val="24"/>
          <w:lang w:val="ro-MD"/>
        </w:rPr>
        <w:t>proiectul Programului Național de stimulare a revenirilor și facilitare a (re)integrării cetățenilor Republicii Moldova implicați în procesul de migrație pentru anii 2022-2026; proiectului Programului îmbătrânirii active și sănătoase pentru perioada 2023-2027.</w:t>
      </w:r>
    </w:p>
    <w:p w14:paraId="50028382" w14:textId="77777777" w:rsidR="007F2ED7" w:rsidRPr="003836D9" w:rsidRDefault="004A3D27" w:rsidP="005E7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lastRenderedPageBreak/>
        <w:t>Programul este aliniat la Agenda de Dezvoltare Durabilă 2030</w:t>
      </w:r>
      <w:r w:rsidR="00972454" w:rsidRPr="003836D9">
        <w:rPr>
          <w:rFonts w:ascii="Times New Roman" w:hAnsi="Times New Roman" w:cs="Times New Roman"/>
          <w:sz w:val="24"/>
          <w:szCs w:val="24"/>
          <w:lang w:val="ro-MD"/>
        </w:rPr>
        <w:t xml:space="preserve"> ODD). Astfel, Programul va contribui la atingerea</w:t>
      </w:r>
      <w:r w:rsidR="007F2ED7" w:rsidRPr="003836D9">
        <w:rPr>
          <w:rFonts w:ascii="Times New Roman" w:hAnsi="Times New Roman" w:cs="Times New Roman"/>
          <w:sz w:val="24"/>
          <w:szCs w:val="24"/>
          <w:lang w:val="ro-MD"/>
        </w:rPr>
        <w:t>:</w:t>
      </w:r>
    </w:p>
    <w:p w14:paraId="03C40FE8" w14:textId="3FF50018" w:rsidR="004A3D27" w:rsidRPr="003836D9" w:rsidRDefault="004A3D27" w:rsidP="005E7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ro-MD"/>
        </w:rPr>
      </w:pPr>
      <w:r w:rsidRPr="003836D9">
        <w:rPr>
          <w:rFonts w:ascii="Times New Roman" w:hAnsi="Times New Roman" w:cs="Times New Roman"/>
          <w:b/>
          <w:i/>
          <w:iCs/>
          <w:sz w:val="24"/>
          <w:szCs w:val="24"/>
          <w:lang w:val="ro-MD"/>
        </w:rPr>
        <w:t>ODD 8</w:t>
      </w:r>
      <w:r w:rsidRPr="003836D9">
        <w:rPr>
          <w:rFonts w:ascii="Times New Roman" w:hAnsi="Times New Roman" w:cs="Times New Roman"/>
          <w:i/>
          <w:iCs/>
          <w:sz w:val="24"/>
          <w:szCs w:val="24"/>
          <w:lang w:val="ro-MD"/>
        </w:rPr>
        <w:t>:</w:t>
      </w:r>
      <w:r w:rsidRPr="003836D9">
        <w:rPr>
          <w:rFonts w:ascii="Times New Roman" w:hAnsi="Times New Roman" w:cs="Times New Roman"/>
          <w:sz w:val="24"/>
          <w:szCs w:val="24"/>
          <w:lang w:val="ro-MD"/>
        </w:rPr>
        <w:t xml:space="preserve"> </w:t>
      </w:r>
      <w:r w:rsidRPr="003836D9">
        <w:rPr>
          <w:rFonts w:ascii="Times New Roman" w:hAnsi="Times New Roman" w:cs="Times New Roman"/>
          <w:b/>
          <w:i/>
          <w:iCs/>
          <w:sz w:val="24"/>
          <w:szCs w:val="24"/>
          <w:lang w:val="ro-MD"/>
        </w:rPr>
        <w:t>Muncă decentă și creștere economică</w:t>
      </w:r>
      <w:r w:rsidRPr="003836D9">
        <w:rPr>
          <w:rFonts w:ascii="Times New Roman" w:hAnsi="Times New Roman" w:cs="Times New Roman"/>
          <w:i/>
          <w:iCs/>
          <w:sz w:val="24"/>
          <w:szCs w:val="24"/>
          <w:lang w:val="ro-MD"/>
        </w:rPr>
        <w:t>,</w:t>
      </w:r>
      <w:r w:rsidRPr="003836D9">
        <w:rPr>
          <w:rFonts w:ascii="Times New Roman" w:hAnsi="Times New Roman" w:cs="Times New Roman"/>
          <w:sz w:val="24"/>
          <w:szCs w:val="24"/>
          <w:lang w:val="ro-MD"/>
        </w:rPr>
        <w:t xml:space="preserve"> ținte:</w:t>
      </w:r>
      <w:r w:rsidR="00972454" w:rsidRPr="003836D9">
        <w:rPr>
          <w:rFonts w:ascii="Times New Roman" w:hAnsi="Times New Roman" w:cs="Times New Roman"/>
          <w:sz w:val="24"/>
          <w:szCs w:val="24"/>
          <w:lang w:val="ro-MD"/>
        </w:rPr>
        <w:t xml:space="preserve"> (8.3) </w:t>
      </w:r>
      <w:r w:rsidRPr="003836D9">
        <w:rPr>
          <w:rFonts w:ascii="Times New Roman" w:hAnsi="Times New Roman" w:cs="Times New Roman"/>
          <w:sz w:val="24"/>
          <w:szCs w:val="24"/>
          <w:lang w:val="ro-MD"/>
        </w:rPr>
        <w:t xml:space="preserve">promovarea până în 2030 a unor politici orientate spre dezvoltare, care susțin activitățile productive, crearea locurilor de muncă decente, </w:t>
      </w:r>
      <w:r w:rsidR="00120D52" w:rsidRPr="003836D9">
        <w:rPr>
          <w:rFonts w:ascii="Times New Roman" w:hAnsi="Times New Roman" w:cs="Times New Roman"/>
          <w:sz w:val="24"/>
          <w:szCs w:val="24"/>
          <w:lang w:val="ro-MD"/>
        </w:rPr>
        <w:t>antreprenoria</w:t>
      </w:r>
      <w:r w:rsidR="00120D52">
        <w:rPr>
          <w:rFonts w:ascii="Times New Roman" w:hAnsi="Times New Roman" w:cs="Times New Roman"/>
          <w:sz w:val="24"/>
          <w:szCs w:val="24"/>
          <w:lang w:val="ro-MD"/>
        </w:rPr>
        <w:t>t</w:t>
      </w:r>
      <w:r w:rsidR="00120D52" w:rsidRPr="003836D9">
        <w:rPr>
          <w:rFonts w:ascii="Times New Roman" w:hAnsi="Times New Roman" w:cs="Times New Roman"/>
          <w:sz w:val="24"/>
          <w:szCs w:val="24"/>
          <w:lang w:val="ro-MD"/>
        </w:rPr>
        <w:t>ul</w:t>
      </w:r>
      <w:r w:rsidRPr="003836D9">
        <w:rPr>
          <w:rFonts w:ascii="Times New Roman" w:hAnsi="Times New Roman" w:cs="Times New Roman"/>
          <w:sz w:val="24"/>
          <w:szCs w:val="24"/>
          <w:lang w:val="ro-MD"/>
        </w:rPr>
        <w:t xml:space="preserve">, creativitatea și inovația, și care încurajează formalizarea și creșterea întreprinderilor micro, mici și mijlocii, inclusiv prin acces la servicii financiare; </w:t>
      </w:r>
      <w:r w:rsidR="007F2ED7" w:rsidRPr="003836D9">
        <w:rPr>
          <w:rFonts w:ascii="Times New Roman" w:hAnsi="Times New Roman" w:cs="Times New Roman"/>
          <w:sz w:val="24"/>
          <w:szCs w:val="24"/>
          <w:lang w:val="ro-MD"/>
        </w:rPr>
        <w:t xml:space="preserve">(8.6) </w:t>
      </w:r>
      <w:r w:rsidRPr="003836D9">
        <w:rPr>
          <w:rFonts w:ascii="Times New Roman" w:hAnsi="Times New Roman" w:cs="Times New Roman"/>
          <w:sz w:val="24"/>
          <w:szCs w:val="24"/>
          <w:lang w:val="ro-MD"/>
        </w:rPr>
        <w:t>atingerea, până în 2030, a unui nivel al ocupării similar cu media țărilor din Europa Centrală și de Est, și stimularea ocupării productive și a muncii decente pentru toate femeile și bărbații, inclusiv pentru tineri și persoanele cu dizabilități, precum și remunerarea egală pentru munca de valoare egală (ținta 8.5);</w:t>
      </w:r>
      <w:r w:rsidR="00972454"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reducerea proporției tinerilor fără un loc de muncă, fără educație sau formare până la un nivel similar cu media din ță</w:t>
      </w:r>
      <w:r w:rsidR="007F2ED7" w:rsidRPr="003836D9">
        <w:rPr>
          <w:rFonts w:ascii="Times New Roman" w:hAnsi="Times New Roman" w:cs="Times New Roman"/>
          <w:sz w:val="24"/>
          <w:szCs w:val="24"/>
          <w:lang w:val="ro-MD"/>
        </w:rPr>
        <w:t>rile Europei Centrale și de Est</w:t>
      </w:r>
      <w:r w:rsidRPr="003836D9">
        <w:rPr>
          <w:rFonts w:ascii="Times New Roman" w:hAnsi="Times New Roman" w:cs="Times New Roman"/>
          <w:sz w:val="24"/>
          <w:szCs w:val="24"/>
          <w:lang w:val="ro-MD"/>
        </w:rPr>
        <w:t>;</w:t>
      </w:r>
      <w:r w:rsidR="00972454" w:rsidRPr="003836D9">
        <w:rPr>
          <w:rFonts w:ascii="Times New Roman" w:hAnsi="Times New Roman" w:cs="Times New Roman"/>
          <w:sz w:val="24"/>
          <w:szCs w:val="24"/>
          <w:lang w:val="ro-MD"/>
        </w:rPr>
        <w:t xml:space="preserve"> </w:t>
      </w:r>
      <w:r w:rsidR="007F2ED7" w:rsidRPr="003836D9">
        <w:rPr>
          <w:rFonts w:ascii="Times New Roman" w:hAnsi="Times New Roman" w:cs="Times New Roman"/>
          <w:sz w:val="24"/>
          <w:szCs w:val="24"/>
          <w:lang w:val="ro-MD"/>
        </w:rPr>
        <w:t xml:space="preserve">(8.8) </w:t>
      </w:r>
      <w:r w:rsidRPr="003836D9">
        <w:rPr>
          <w:rFonts w:ascii="Times New Roman" w:hAnsi="Times New Roman" w:cs="Times New Roman"/>
          <w:sz w:val="24"/>
          <w:szCs w:val="24"/>
          <w:lang w:val="ro-MD"/>
        </w:rPr>
        <w:t>protecția drepturilor la muncă și promovarea mediilor de lucru sigure și securizate pentru toți angajații.</w:t>
      </w:r>
    </w:p>
    <w:p w14:paraId="381F475A" w14:textId="398BA96F" w:rsidR="004A3D27" w:rsidRPr="003836D9" w:rsidRDefault="004A3D27" w:rsidP="005E7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ro-MD"/>
        </w:rPr>
      </w:pPr>
      <w:r w:rsidRPr="003836D9">
        <w:rPr>
          <w:rFonts w:ascii="Times New Roman" w:hAnsi="Times New Roman" w:cs="Times New Roman"/>
          <w:b/>
          <w:i/>
          <w:iCs/>
          <w:sz w:val="24"/>
          <w:szCs w:val="24"/>
          <w:lang w:val="ro-MD"/>
        </w:rPr>
        <w:t>ODD 10:</w:t>
      </w:r>
      <w:r w:rsidRPr="003836D9">
        <w:rPr>
          <w:rFonts w:ascii="Times New Roman" w:hAnsi="Times New Roman" w:cs="Times New Roman"/>
          <w:b/>
          <w:sz w:val="24"/>
          <w:szCs w:val="24"/>
          <w:lang w:val="ro-MD"/>
        </w:rPr>
        <w:t xml:space="preserve"> </w:t>
      </w:r>
      <w:r w:rsidRPr="003836D9">
        <w:rPr>
          <w:rFonts w:ascii="Times New Roman" w:hAnsi="Times New Roman" w:cs="Times New Roman"/>
          <w:b/>
          <w:i/>
          <w:iCs/>
          <w:sz w:val="24"/>
          <w:szCs w:val="24"/>
          <w:lang w:val="ro-MD"/>
        </w:rPr>
        <w:t>Reducerea inegalității în interiorul statelor şi între state</w:t>
      </w:r>
      <w:r w:rsidRPr="003836D9">
        <w:rPr>
          <w:rFonts w:ascii="Times New Roman" w:hAnsi="Times New Roman" w:cs="Times New Roman"/>
          <w:i/>
          <w:iCs/>
          <w:sz w:val="24"/>
          <w:szCs w:val="24"/>
          <w:lang w:val="ro-MD"/>
        </w:rPr>
        <w:t>,</w:t>
      </w:r>
      <w:r w:rsidRPr="003836D9">
        <w:rPr>
          <w:rFonts w:ascii="Times New Roman" w:hAnsi="Times New Roman" w:cs="Times New Roman"/>
          <w:iCs/>
          <w:sz w:val="24"/>
          <w:szCs w:val="24"/>
          <w:lang w:val="ro-MD"/>
        </w:rPr>
        <w:t xml:space="preserve"> ținte:</w:t>
      </w:r>
      <w:r w:rsidR="00972454" w:rsidRPr="003836D9">
        <w:rPr>
          <w:rFonts w:ascii="Times New Roman" w:hAnsi="Times New Roman" w:cs="Times New Roman"/>
          <w:iCs/>
          <w:sz w:val="24"/>
          <w:szCs w:val="24"/>
          <w:lang w:val="ro-MD"/>
        </w:rPr>
        <w:t xml:space="preserve"> </w:t>
      </w:r>
      <w:r w:rsidR="007F2ED7" w:rsidRPr="003836D9">
        <w:rPr>
          <w:rFonts w:ascii="Times New Roman" w:hAnsi="Times New Roman" w:cs="Times New Roman"/>
          <w:iCs/>
          <w:sz w:val="24"/>
          <w:szCs w:val="24"/>
          <w:lang w:val="ro-MD"/>
        </w:rPr>
        <w:t xml:space="preserve">(10.4) </w:t>
      </w:r>
      <w:r w:rsidRPr="003836D9">
        <w:rPr>
          <w:rFonts w:ascii="Times New Roman" w:hAnsi="Times New Roman" w:cs="Times New Roman"/>
          <w:sz w:val="24"/>
          <w:szCs w:val="24"/>
          <w:lang w:val="ro-MD"/>
        </w:rPr>
        <w:t>adoptarea politicilor, în special fiscale, salariale și de protecție socială, și realizarea prog</w:t>
      </w:r>
      <w:r w:rsidR="007F2ED7" w:rsidRPr="003836D9">
        <w:rPr>
          <w:rFonts w:ascii="Times New Roman" w:hAnsi="Times New Roman" w:cs="Times New Roman"/>
          <w:sz w:val="24"/>
          <w:szCs w:val="24"/>
          <w:lang w:val="ro-MD"/>
        </w:rPr>
        <w:t>resivă a unei egalități sporite</w:t>
      </w:r>
      <w:r w:rsidRPr="003836D9">
        <w:rPr>
          <w:rFonts w:ascii="Times New Roman" w:hAnsi="Times New Roman" w:cs="Times New Roman"/>
          <w:sz w:val="24"/>
          <w:szCs w:val="24"/>
          <w:lang w:val="ro-MD"/>
        </w:rPr>
        <w:t>;</w:t>
      </w:r>
      <w:r w:rsidR="00972454" w:rsidRPr="003836D9">
        <w:rPr>
          <w:rFonts w:ascii="Times New Roman" w:hAnsi="Times New Roman" w:cs="Times New Roman"/>
          <w:sz w:val="24"/>
          <w:szCs w:val="24"/>
          <w:lang w:val="ro-MD"/>
        </w:rPr>
        <w:t xml:space="preserve"> </w:t>
      </w:r>
      <w:r w:rsidR="007F2ED7" w:rsidRPr="003836D9">
        <w:rPr>
          <w:rFonts w:ascii="Times New Roman" w:hAnsi="Times New Roman" w:cs="Times New Roman"/>
          <w:sz w:val="24"/>
          <w:szCs w:val="24"/>
          <w:lang w:val="ro-MD"/>
        </w:rPr>
        <w:t xml:space="preserve">(10.7) </w:t>
      </w:r>
      <w:r w:rsidRPr="003836D9">
        <w:rPr>
          <w:rFonts w:ascii="Times New Roman" w:hAnsi="Times New Roman" w:cs="Times New Roman"/>
          <w:sz w:val="24"/>
          <w:szCs w:val="24"/>
          <w:lang w:val="ro-MD"/>
        </w:rPr>
        <w:t>asigurarea unui proces de angajare legal, echitabi</w:t>
      </w:r>
      <w:r w:rsidR="00120D52">
        <w:rPr>
          <w:rFonts w:ascii="Times New Roman" w:hAnsi="Times New Roman" w:cs="Times New Roman"/>
          <w:sz w:val="24"/>
          <w:szCs w:val="24"/>
          <w:lang w:val="ro-MD"/>
        </w:rPr>
        <w:t>l, bine informat al migranților.</w:t>
      </w:r>
    </w:p>
    <w:p w14:paraId="45EBC6D8" w14:textId="04967772" w:rsidR="004A3D27" w:rsidRPr="003836D9" w:rsidRDefault="004A3D27" w:rsidP="005E7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ro-MD"/>
        </w:rPr>
      </w:pPr>
      <w:r w:rsidRPr="003836D9">
        <w:rPr>
          <w:rFonts w:ascii="Times New Roman" w:hAnsi="Times New Roman" w:cs="Times New Roman"/>
          <w:b/>
          <w:i/>
          <w:iCs/>
          <w:sz w:val="24"/>
          <w:szCs w:val="24"/>
          <w:lang w:val="ro-MD"/>
        </w:rPr>
        <w:t>ODD 5:</w:t>
      </w:r>
      <w:r w:rsidRPr="003836D9">
        <w:rPr>
          <w:rFonts w:ascii="Times New Roman" w:hAnsi="Times New Roman" w:cs="Times New Roman"/>
          <w:b/>
          <w:sz w:val="24"/>
          <w:szCs w:val="24"/>
          <w:lang w:val="ro-MD"/>
        </w:rPr>
        <w:t xml:space="preserve"> </w:t>
      </w:r>
      <w:r w:rsidRPr="003836D9">
        <w:rPr>
          <w:rFonts w:ascii="Times New Roman" w:hAnsi="Times New Roman" w:cs="Times New Roman"/>
          <w:b/>
          <w:i/>
          <w:iCs/>
          <w:sz w:val="24"/>
          <w:szCs w:val="24"/>
          <w:lang w:val="ro-MD"/>
        </w:rPr>
        <w:t>Realizarea egalității de gen şi abilitarea tuturor femeilor şi fetelor</w:t>
      </w:r>
      <w:r w:rsidRPr="003836D9">
        <w:rPr>
          <w:rFonts w:ascii="Times New Roman" w:hAnsi="Times New Roman" w:cs="Times New Roman"/>
          <w:b/>
          <w:iCs/>
          <w:sz w:val="24"/>
          <w:szCs w:val="24"/>
          <w:lang w:val="ro-MD"/>
        </w:rPr>
        <w:t xml:space="preserve">, </w:t>
      </w:r>
      <w:r w:rsidRPr="003836D9">
        <w:rPr>
          <w:rFonts w:ascii="Times New Roman" w:hAnsi="Times New Roman" w:cs="Times New Roman"/>
          <w:iCs/>
          <w:sz w:val="24"/>
          <w:szCs w:val="24"/>
          <w:lang w:val="ro-MD"/>
        </w:rPr>
        <w:t>țintă:</w:t>
      </w:r>
      <w:r w:rsidRPr="003836D9">
        <w:rPr>
          <w:rFonts w:ascii="Times New Roman" w:hAnsi="Times New Roman" w:cs="Times New Roman"/>
          <w:lang w:val="ro-MD"/>
        </w:rPr>
        <w:t xml:space="preserve"> </w:t>
      </w:r>
      <w:r w:rsidR="00F34212" w:rsidRPr="003836D9">
        <w:rPr>
          <w:rFonts w:ascii="Times New Roman" w:hAnsi="Times New Roman" w:cs="Times New Roman"/>
          <w:lang w:val="ro-MD"/>
        </w:rPr>
        <w:t>(</w:t>
      </w:r>
      <w:r w:rsidRPr="003836D9">
        <w:rPr>
          <w:rFonts w:ascii="Times New Roman" w:hAnsi="Times New Roman" w:cs="Times New Roman"/>
          <w:sz w:val="24"/>
          <w:szCs w:val="24"/>
          <w:lang w:val="ro-MD"/>
        </w:rPr>
        <w:t>5.4</w:t>
      </w:r>
      <w:r w:rsidR="00F34212"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Recunoașterea și aprecierea îngrijirii și lucrului casnic neplătit prin furnizarea de servicii publice, infrastructurii și politicilor de protecție socială</w:t>
      </w:r>
      <w:r w:rsidR="00B614E9" w:rsidRPr="003836D9">
        <w:rPr>
          <w:rFonts w:ascii="Times New Roman" w:hAnsi="Times New Roman" w:cs="Times New Roman"/>
          <w:color w:val="666666"/>
          <w:sz w:val="27"/>
          <w:szCs w:val="27"/>
          <w:shd w:val="clear" w:color="auto" w:fill="FFFFFF"/>
          <w:lang w:val="ro-MD"/>
        </w:rPr>
        <w:t xml:space="preserve"> </w:t>
      </w:r>
      <w:r w:rsidR="00B614E9" w:rsidRPr="003836D9">
        <w:rPr>
          <w:rFonts w:ascii="Times New Roman" w:hAnsi="Times New Roman" w:cs="Times New Roman"/>
          <w:sz w:val="24"/>
          <w:szCs w:val="24"/>
          <w:shd w:val="clear" w:color="auto" w:fill="FFFFFF"/>
          <w:lang w:val="ro-MD"/>
        </w:rPr>
        <w:t>ș</w:t>
      </w:r>
      <w:r w:rsidR="002B1385">
        <w:rPr>
          <w:rFonts w:ascii="Times New Roman" w:hAnsi="Times New Roman" w:cs="Times New Roman"/>
          <w:sz w:val="24"/>
          <w:szCs w:val="24"/>
          <w:shd w:val="clear" w:color="auto" w:fill="FFFFFF"/>
          <w:lang w:val="ro-MD"/>
        </w:rPr>
        <w:t>i promovare</w:t>
      </w:r>
      <w:r w:rsidR="00B614E9" w:rsidRPr="003836D9">
        <w:rPr>
          <w:rFonts w:ascii="Times New Roman" w:hAnsi="Times New Roman" w:cs="Times New Roman"/>
          <w:sz w:val="24"/>
          <w:szCs w:val="24"/>
          <w:shd w:val="clear" w:color="auto" w:fill="FFFFFF"/>
          <w:lang w:val="ro-MD"/>
        </w:rPr>
        <w:t>a responsabilității partajate în gospodărie și familie</w:t>
      </w:r>
      <w:r w:rsidR="00120D52">
        <w:rPr>
          <w:rFonts w:ascii="Times New Roman" w:hAnsi="Times New Roman" w:cs="Times New Roman"/>
          <w:sz w:val="24"/>
          <w:szCs w:val="24"/>
          <w:shd w:val="clear" w:color="auto" w:fill="FFFFFF"/>
          <w:lang w:val="ro-MD"/>
        </w:rPr>
        <w:t>.</w:t>
      </w:r>
    </w:p>
    <w:p w14:paraId="0F0CE5FB" w14:textId="790DFDC1" w:rsidR="00972454" w:rsidRPr="003836D9" w:rsidRDefault="004A3D27" w:rsidP="00B6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val="ro-MD"/>
        </w:rPr>
      </w:pPr>
      <w:r w:rsidRPr="003836D9">
        <w:rPr>
          <w:rFonts w:ascii="Times New Roman" w:hAnsi="Times New Roman" w:cs="Times New Roman"/>
          <w:b/>
          <w:i/>
          <w:iCs/>
          <w:sz w:val="24"/>
          <w:szCs w:val="24"/>
          <w:lang w:val="ro-MD"/>
        </w:rPr>
        <w:t>ODD 1:</w:t>
      </w:r>
      <w:r w:rsidRPr="003836D9">
        <w:rPr>
          <w:rFonts w:ascii="Times New Roman" w:hAnsi="Times New Roman" w:cs="Times New Roman"/>
          <w:b/>
          <w:sz w:val="24"/>
          <w:szCs w:val="24"/>
          <w:lang w:val="ro-MD"/>
        </w:rPr>
        <w:t xml:space="preserve"> </w:t>
      </w:r>
      <w:r w:rsidRPr="003836D9">
        <w:rPr>
          <w:rFonts w:ascii="Times New Roman" w:hAnsi="Times New Roman" w:cs="Times New Roman"/>
          <w:b/>
          <w:i/>
          <w:iCs/>
          <w:sz w:val="24"/>
          <w:szCs w:val="24"/>
          <w:lang w:val="ro-MD"/>
        </w:rPr>
        <w:t>Eliminarea sărăciei în t</w:t>
      </w:r>
      <w:r w:rsidR="00B614E9" w:rsidRPr="003836D9">
        <w:rPr>
          <w:rFonts w:ascii="Times New Roman" w:hAnsi="Times New Roman" w:cs="Times New Roman"/>
          <w:b/>
          <w:i/>
          <w:iCs/>
          <w:sz w:val="24"/>
          <w:szCs w:val="24"/>
          <w:lang w:val="ro-MD"/>
        </w:rPr>
        <w:t xml:space="preserve">oate formele sale pe tot globul, ținta (1.3) </w:t>
      </w:r>
      <w:r w:rsidR="00B614E9" w:rsidRPr="003836D9">
        <w:rPr>
          <w:rFonts w:ascii="Times New Roman" w:hAnsi="Times New Roman" w:cs="Times New Roman"/>
          <w:color w:val="666666"/>
          <w:sz w:val="27"/>
          <w:szCs w:val="27"/>
          <w:shd w:val="clear" w:color="auto" w:fill="FFFFFF"/>
          <w:lang w:val="ro-MD"/>
        </w:rPr>
        <w:t xml:space="preserve"> </w:t>
      </w:r>
      <w:r w:rsidR="00B614E9" w:rsidRPr="003836D9">
        <w:rPr>
          <w:rFonts w:ascii="Times New Roman" w:hAnsi="Times New Roman" w:cs="Times New Roman"/>
          <w:sz w:val="24"/>
          <w:szCs w:val="24"/>
          <w:shd w:val="clear" w:color="auto" w:fill="FFFFFF"/>
          <w:lang w:val="ro-MD"/>
        </w:rPr>
        <w:t>Implementarea unor sisteme de protecție socială adecvate la nivel național și a măsurilor necesare, inclusiv implementarea venitului minim garantat, pentru o acoperire substanțială a celor săraci și vulnerabili până în 2030.</w:t>
      </w:r>
    </w:p>
    <w:p w14:paraId="15AD7A6E" w14:textId="24FC266C" w:rsidR="00E26254" w:rsidRPr="003836D9" w:rsidRDefault="00F3557B" w:rsidP="004B2DF6">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color w:val="000000"/>
          <w:sz w:val="24"/>
          <w:szCs w:val="24"/>
          <w:lang w:val="ro-MD"/>
        </w:rPr>
        <w:t xml:space="preserve">La </w:t>
      </w:r>
      <w:r w:rsidR="00AC0835" w:rsidRPr="003836D9">
        <w:rPr>
          <w:rFonts w:ascii="Times New Roman" w:hAnsi="Times New Roman" w:cs="Times New Roman"/>
          <w:color w:val="000000"/>
          <w:sz w:val="24"/>
          <w:szCs w:val="24"/>
          <w:lang w:val="ro-MD"/>
        </w:rPr>
        <w:t>elaborarea programului au fost considerate rezultatele implementării Strategiei Naționale pentru Ocuparea Forței de Muncă pe anii 2017-2021</w:t>
      </w:r>
      <w:r w:rsidR="004B2DF6" w:rsidRPr="003836D9">
        <w:rPr>
          <w:rFonts w:ascii="Times New Roman" w:hAnsi="Times New Roman" w:cs="Times New Roman"/>
          <w:color w:val="000000"/>
          <w:sz w:val="24"/>
          <w:szCs w:val="24"/>
          <w:lang w:val="ro-MD"/>
        </w:rPr>
        <w:t xml:space="preserve"> (SNOFM 2017-2021). Conform raportului de implementare, SNOFM 2017-2021, </w:t>
      </w:r>
      <w:r w:rsidR="00E26254" w:rsidRPr="003836D9">
        <w:rPr>
          <w:rFonts w:ascii="Times New Roman" w:eastAsia="PMingLiU" w:hAnsi="Times New Roman" w:cs="Times New Roman"/>
          <w:sz w:val="24"/>
          <w:szCs w:val="24"/>
          <w:lang w:val="ro-MD" w:eastAsia="ru-RU"/>
        </w:rPr>
        <w:t xml:space="preserve">nu a contribuit la atingerea integrală a țintelor stabilite, valoarea indicatorilor pieței muncii fiind încă la un nivel scăzut, iar nivelul muncii nedeclarate a rămas același. </w:t>
      </w:r>
      <w:r w:rsidR="004B2DF6" w:rsidRPr="003836D9">
        <w:rPr>
          <w:rFonts w:ascii="Times New Roman" w:eastAsia="PMingLiU" w:hAnsi="Times New Roman" w:cs="Times New Roman"/>
          <w:sz w:val="24"/>
          <w:szCs w:val="24"/>
          <w:lang w:val="ro-MD" w:eastAsia="ru-RU"/>
        </w:rPr>
        <w:t>S-a constatat că a</w:t>
      </w:r>
      <w:r w:rsidR="00E26254" w:rsidRPr="003836D9">
        <w:rPr>
          <w:rFonts w:ascii="Times New Roman" w:eastAsia="PMingLiU" w:hAnsi="Times New Roman" w:cs="Times New Roman"/>
          <w:sz w:val="24"/>
          <w:szCs w:val="24"/>
          <w:lang w:val="ro-MD" w:eastAsia="ru-RU"/>
        </w:rPr>
        <w:t>ceastă situație se datorează</w:t>
      </w:r>
      <w:r w:rsidR="004B2DF6" w:rsidRPr="003836D9">
        <w:rPr>
          <w:rFonts w:ascii="Times New Roman" w:eastAsia="PMingLiU" w:hAnsi="Times New Roman" w:cs="Times New Roman"/>
          <w:sz w:val="24"/>
          <w:szCs w:val="24"/>
          <w:lang w:val="ro-MD" w:eastAsia="ru-RU"/>
        </w:rPr>
        <w:t xml:space="preserve"> c</w:t>
      </w:r>
      <w:r w:rsidR="00E26254" w:rsidRPr="003836D9">
        <w:rPr>
          <w:rFonts w:ascii="Times New Roman" w:eastAsia="PMingLiU" w:hAnsi="Times New Roman" w:cs="Times New Roman"/>
          <w:sz w:val="24"/>
          <w:szCs w:val="24"/>
          <w:lang w:val="ro-MD" w:eastAsia="ru-RU"/>
        </w:rPr>
        <w:t xml:space="preserve">apacității reduse ale unor instituții cu rol major </w:t>
      </w:r>
      <w:r w:rsidR="004B2DF6" w:rsidRPr="003836D9">
        <w:rPr>
          <w:rFonts w:ascii="Times New Roman" w:eastAsia="PMingLiU" w:hAnsi="Times New Roman" w:cs="Times New Roman"/>
          <w:sz w:val="24"/>
          <w:szCs w:val="24"/>
          <w:lang w:val="ro-MD" w:eastAsia="ru-RU"/>
        </w:rPr>
        <w:t>pe piața muncii</w:t>
      </w:r>
      <w:r w:rsidR="00E26254" w:rsidRPr="003836D9">
        <w:rPr>
          <w:rFonts w:ascii="Times New Roman" w:eastAsia="PMingLiU" w:hAnsi="Times New Roman" w:cs="Times New Roman"/>
          <w:sz w:val="24"/>
          <w:szCs w:val="24"/>
          <w:lang w:val="ro-MD" w:eastAsia="ru-RU"/>
        </w:rPr>
        <w:t>, precum este A</w:t>
      </w:r>
      <w:r w:rsidR="00120D52">
        <w:rPr>
          <w:rFonts w:ascii="Times New Roman" w:eastAsia="PMingLiU" w:hAnsi="Times New Roman" w:cs="Times New Roman"/>
          <w:sz w:val="24"/>
          <w:szCs w:val="24"/>
          <w:lang w:val="ro-MD" w:eastAsia="ru-RU"/>
        </w:rPr>
        <w:t>genția Națională pentru Ocuparea Forței de Muncă (A</w:t>
      </w:r>
      <w:r w:rsidR="00E26254" w:rsidRPr="003836D9">
        <w:rPr>
          <w:rFonts w:ascii="Times New Roman" w:eastAsia="PMingLiU" w:hAnsi="Times New Roman" w:cs="Times New Roman"/>
          <w:sz w:val="24"/>
          <w:szCs w:val="24"/>
          <w:lang w:val="ro-MD" w:eastAsia="ru-RU"/>
        </w:rPr>
        <w:t>NOFM</w:t>
      </w:r>
      <w:r w:rsidR="00120D52">
        <w:rPr>
          <w:rFonts w:ascii="Times New Roman" w:eastAsia="PMingLiU" w:hAnsi="Times New Roman" w:cs="Times New Roman"/>
          <w:sz w:val="24"/>
          <w:szCs w:val="24"/>
          <w:lang w:val="ro-MD" w:eastAsia="ru-RU"/>
        </w:rPr>
        <w:t>)</w:t>
      </w:r>
      <w:r w:rsidR="00E26254" w:rsidRPr="003836D9">
        <w:rPr>
          <w:rFonts w:ascii="Times New Roman" w:eastAsia="PMingLiU" w:hAnsi="Times New Roman" w:cs="Times New Roman"/>
          <w:sz w:val="24"/>
          <w:szCs w:val="24"/>
          <w:lang w:val="ro-MD" w:eastAsia="ru-RU"/>
        </w:rPr>
        <w:t xml:space="preserve"> și Inspectoratul de Stat al Muncii</w:t>
      </w:r>
      <w:r w:rsidR="00120D52">
        <w:rPr>
          <w:rFonts w:ascii="Times New Roman" w:eastAsia="PMingLiU" w:hAnsi="Times New Roman" w:cs="Times New Roman"/>
          <w:sz w:val="24"/>
          <w:szCs w:val="24"/>
          <w:lang w:val="ro-MD" w:eastAsia="ru-RU"/>
        </w:rPr>
        <w:t xml:space="preserve"> (ISM)</w:t>
      </w:r>
      <w:r w:rsidR="00E26254" w:rsidRPr="003836D9">
        <w:rPr>
          <w:rFonts w:ascii="Times New Roman" w:eastAsia="PMingLiU" w:hAnsi="Times New Roman" w:cs="Times New Roman"/>
          <w:sz w:val="24"/>
          <w:szCs w:val="24"/>
          <w:lang w:val="ro-MD" w:eastAsia="ru-RU"/>
        </w:rPr>
        <w:t>;</w:t>
      </w:r>
      <w:r w:rsidR="004B2DF6" w:rsidRPr="003836D9">
        <w:rPr>
          <w:rFonts w:ascii="Times New Roman" w:eastAsia="PMingLiU" w:hAnsi="Times New Roman" w:cs="Times New Roman"/>
          <w:sz w:val="24"/>
          <w:szCs w:val="24"/>
          <w:lang w:val="ro-MD" w:eastAsia="ru-RU"/>
        </w:rPr>
        <w:t xml:space="preserve"> s</w:t>
      </w:r>
      <w:r w:rsidR="00E26254" w:rsidRPr="003836D9">
        <w:rPr>
          <w:rFonts w:ascii="Times New Roman" w:eastAsia="PMingLiU" w:hAnsi="Times New Roman" w:cs="Times New Roman"/>
          <w:sz w:val="24"/>
          <w:szCs w:val="24"/>
          <w:lang w:val="ro-MD" w:eastAsia="ru-RU"/>
        </w:rPr>
        <w:t>labei cooperări între instituțiile responsabile de implementarea acțiunilor stabilite în SNOFM 2017-2021</w:t>
      </w:r>
      <w:r w:rsidR="004B2DF6" w:rsidRPr="003836D9">
        <w:rPr>
          <w:rFonts w:ascii="Times New Roman" w:eastAsia="PMingLiU" w:hAnsi="Times New Roman" w:cs="Times New Roman"/>
          <w:sz w:val="24"/>
          <w:szCs w:val="24"/>
          <w:lang w:val="ro-MD" w:eastAsia="ru-RU"/>
        </w:rPr>
        <w:t xml:space="preserve"> precum și f</w:t>
      </w:r>
      <w:r w:rsidR="00E26254" w:rsidRPr="003836D9">
        <w:rPr>
          <w:rFonts w:ascii="Times New Roman" w:eastAsia="PMingLiU" w:hAnsi="Times New Roman" w:cs="Times New Roman"/>
          <w:sz w:val="24"/>
          <w:szCs w:val="24"/>
          <w:lang w:val="ro-MD" w:eastAsia="ru-RU"/>
        </w:rPr>
        <w:t>inanțării inadecvate a măsurilor incluse în Planurile de Acțiuni</w:t>
      </w:r>
      <w:r w:rsidR="004B2DF6" w:rsidRPr="003836D9">
        <w:rPr>
          <w:rFonts w:ascii="Times New Roman" w:eastAsia="PMingLiU" w:hAnsi="Times New Roman" w:cs="Times New Roman"/>
          <w:sz w:val="24"/>
          <w:szCs w:val="24"/>
          <w:lang w:val="ro-MD" w:eastAsia="ru-RU"/>
        </w:rPr>
        <w:t xml:space="preserve"> anuale pentru implementarea </w:t>
      </w:r>
      <w:r w:rsidR="00E26254" w:rsidRPr="003836D9">
        <w:rPr>
          <w:rFonts w:ascii="Times New Roman" w:eastAsia="PMingLiU" w:hAnsi="Times New Roman" w:cs="Times New Roman"/>
          <w:sz w:val="24"/>
          <w:szCs w:val="24"/>
          <w:lang w:val="ro-MD" w:eastAsia="ru-RU"/>
        </w:rPr>
        <w:t>SNOFM 2017-2021.</w:t>
      </w:r>
    </w:p>
    <w:p w14:paraId="4DA68A39" w14:textId="0473CD1A" w:rsidR="004B2DF6" w:rsidRPr="003836D9" w:rsidRDefault="004B2DF6" w:rsidP="00D75821">
      <w:pPr>
        <w:spacing w:before="120" w:after="0" w:line="276" w:lineRule="auto"/>
        <w:jc w:val="both"/>
        <w:rPr>
          <w:rFonts w:ascii="Times New Roman" w:hAnsi="Times New Roman" w:cs="Times New Roman"/>
          <w:color w:val="000000" w:themeColor="text1"/>
          <w:sz w:val="24"/>
          <w:szCs w:val="24"/>
          <w:lang w:val="ro-MD"/>
        </w:rPr>
      </w:pPr>
      <w:r w:rsidRPr="003836D9">
        <w:rPr>
          <w:rFonts w:ascii="Times New Roman" w:hAnsi="Times New Roman" w:cs="Times New Roman"/>
          <w:color w:val="000000" w:themeColor="text1"/>
          <w:sz w:val="24"/>
          <w:szCs w:val="24"/>
          <w:lang w:val="ro-MD"/>
        </w:rPr>
        <w:t xml:space="preserve">Astfel, </w:t>
      </w:r>
      <w:r w:rsidR="00E26254" w:rsidRPr="003836D9">
        <w:rPr>
          <w:rFonts w:ascii="Times New Roman" w:hAnsi="Times New Roman" w:cs="Times New Roman"/>
          <w:color w:val="000000" w:themeColor="text1"/>
          <w:sz w:val="24"/>
          <w:szCs w:val="24"/>
          <w:lang w:val="ro-MD"/>
        </w:rPr>
        <w:t xml:space="preserve">Programul reprezintă o următoare etapă de planificare a acțiunilor pe termen mediu </w:t>
      </w:r>
      <w:r w:rsidRPr="003836D9">
        <w:rPr>
          <w:rFonts w:ascii="Times New Roman" w:hAnsi="Times New Roman" w:cs="Times New Roman"/>
          <w:color w:val="000000" w:themeColor="text1"/>
          <w:sz w:val="24"/>
          <w:szCs w:val="24"/>
          <w:lang w:val="ro-MD"/>
        </w:rPr>
        <w:t>în domeniul îmbunătățirii funcționării pieței muncii, consolidării politicii de măsuri active pe piața muncii, capacităților instituționale ale instituțiilor de bază pe piața muncii, precum și eficientizarea sistemului de protecți</w:t>
      </w:r>
      <w:r w:rsidR="002B1385">
        <w:rPr>
          <w:rFonts w:ascii="Times New Roman" w:hAnsi="Times New Roman" w:cs="Times New Roman"/>
          <w:color w:val="000000" w:themeColor="text1"/>
          <w:sz w:val="24"/>
          <w:szCs w:val="24"/>
          <w:lang w:val="ro-MD"/>
        </w:rPr>
        <w:t>e socială cu scopul prevenirii „</w:t>
      </w:r>
      <w:r w:rsidRPr="003836D9">
        <w:rPr>
          <w:rFonts w:ascii="Times New Roman" w:hAnsi="Times New Roman" w:cs="Times New Roman"/>
          <w:color w:val="000000" w:themeColor="text1"/>
          <w:sz w:val="24"/>
          <w:szCs w:val="24"/>
          <w:lang w:val="ro-MD"/>
        </w:rPr>
        <w:t>capcane</w:t>
      </w:r>
      <w:r w:rsidR="00120D52">
        <w:rPr>
          <w:rFonts w:ascii="Times New Roman" w:hAnsi="Times New Roman" w:cs="Times New Roman"/>
          <w:color w:val="000000" w:themeColor="text1"/>
          <w:sz w:val="24"/>
          <w:szCs w:val="24"/>
          <w:lang w:val="ro-MD"/>
        </w:rPr>
        <w:t>lor inactivității</w:t>
      </w:r>
      <w:r w:rsidRPr="003836D9">
        <w:rPr>
          <w:rFonts w:ascii="Times New Roman" w:hAnsi="Times New Roman" w:cs="Times New Roman"/>
          <w:color w:val="000000" w:themeColor="text1"/>
          <w:sz w:val="24"/>
          <w:szCs w:val="24"/>
          <w:lang w:val="ro-MD"/>
        </w:rPr>
        <w:t xml:space="preserve">”. </w:t>
      </w:r>
    </w:p>
    <w:p w14:paraId="498EA9F2" w14:textId="3075D6F0" w:rsidR="00F85534" w:rsidRPr="003836D9" w:rsidRDefault="00F85534" w:rsidP="00D7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Procesul de elaborare a Programului a fost unul participativ. Identificarea și selectarea domeniilor prioritare pentru intervenție strategică în domeniul ocupării forței de muncă au fost realizate într-un cadru de consultar</w:t>
      </w:r>
      <w:r w:rsidR="002B1385">
        <w:rPr>
          <w:rFonts w:ascii="Times New Roman" w:hAnsi="Times New Roman" w:cs="Times New Roman"/>
          <w:sz w:val="24"/>
          <w:szCs w:val="24"/>
          <w:lang w:val="ro-MD"/>
        </w:rPr>
        <w:t>e largă, care a inclus analiza</w:t>
      </w:r>
      <w:r w:rsidRPr="003836D9">
        <w:rPr>
          <w:rFonts w:ascii="Times New Roman" w:hAnsi="Times New Roman" w:cs="Times New Roman"/>
          <w:sz w:val="24"/>
          <w:szCs w:val="24"/>
          <w:lang w:val="ro-MD"/>
        </w:rPr>
        <w:t xml:space="preserve"> mai multor documente (rapoarte, analize, evaluări, documente de politici etc.)</w:t>
      </w:r>
      <w:r w:rsidR="00D75821">
        <w:rPr>
          <w:rFonts w:ascii="Times New Roman" w:hAnsi="Times New Roman" w:cs="Times New Roman"/>
          <w:sz w:val="24"/>
          <w:szCs w:val="24"/>
          <w:lang w:val="ro-MD"/>
        </w:rPr>
        <w:t>.</w:t>
      </w:r>
    </w:p>
    <w:p w14:paraId="7A2AF22B" w14:textId="27A5AAAB" w:rsidR="00C65A96" w:rsidRPr="003836D9" w:rsidRDefault="00F85534" w:rsidP="00D7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Dimensiunile strategice, obiectivele generale și cele specifice, precum și acțiunile principale au fost stabilite și validate în cadrul a patru sesiuni ale Grupului tehnic de lucru special instituit de Ministerul Muncii și Protecției Sociale, din care au făcut parte reprezentanți ai tuturor ministerelor și agențiilor cu atribuții în domeniul </w:t>
      </w:r>
      <w:r w:rsidR="00C65A96" w:rsidRPr="003836D9">
        <w:rPr>
          <w:rFonts w:ascii="Times New Roman" w:hAnsi="Times New Roman" w:cs="Times New Roman"/>
          <w:sz w:val="24"/>
          <w:szCs w:val="24"/>
          <w:lang w:val="ro-MD"/>
        </w:rPr>
        <w:t>ocupării pieței muncii</w:t>
      </w:r>
      <w:r w:rsidRPr="003836D9">
        <w:rPr>
          <w:rFonts w:ascii="Times New Roman" w:hAnsi="Times New Roman" w:cs="Times New Roman"/>
          <w:sz w:val="24"/>
          <w:szCs w:val="24"/>
          <w:lang w:val="ro-MD"/>
        </w:rPr>
        <w:t>, societății civile și partenerilor de dezvoltare</w:t>
      </w:r>
      <w:r w:rsidR="00C65A96" w:rsidRPr="003836D9">
        <w:rPr>
          <w:rFonts w:ascii="Times New Roman" w:hAnsi="Times New Roman" w:cs="Times New Roman"/>
          <w:sz w:val="24"/>
          <w:szCs w:val="24"/>
          <w:lang w:val="ro-MD"/>
        </w:rPr>
        <w:t xml:space="preserve">, într-un număr de circa 40 de persoane. </w:t>
      </w:r>
    </w:p>
    <w:p w14:paraId="1764820C" w14:textId="77777777" w:rsidR="00E26254" w:rsidRPr="003836D9" w:rsidRDefault="00E26254" w:rsidP="004000A9">
      <w:pPr>
        <w:autoSpaceDE w:val="0"/>
        <w:autoSpaceDN w:val="0"/>
        <w:adjustRightInd w:val="0"/>
        <w:jc w:val="both"/>
        <w:rPr>
          <w:rFonts w:ascii="Times New Roman" w:hAnsi="Times New Roman" w:cs="Times New Roman"/>
          <w:color w:val="000000"/>
          <w:sz w:val="24"/>
          <w:szCs w:val="24"/>
          <w:lang w:val="ro-MD"/>
        </w:rPr>
      </w:pPr>
    </w:p>
    <w:p w14:paraId="4424C9F8" w14:textId="2F644DDE" w:rsidR="00B1796F" w:rsidRPr="003836D9" w:rsidRDefault="00AA0C4A" w:rsidP="00AA0C4A">
      <w:pPr>
        <w:pStyle w:val="Heading1"/>
        <w:spacing w:before="0" w:after="160"/>
        <w:ind w:left="1080"/>
        <w:rPr>
          <w:rFonts w:ascii="Times New Roman" w:eastAsia="Calibri" w:hAnsi="Times New Roman" w:cs="Times New Roman"/>
          <w:b/>
          <w:bCs/>
          <w:color w:val="000000" w:themeColor="text1"/>
          <w:sz w:val="24"/>
          <w:szCs w:val="24"/>
          <w:lang w:val="ro-MD"/>
        </w:rPr>
      </w:pPr>
      <w:bookmarkStart w:id="1" w:name="_Toc97709277"/>
      <w:r w:rsidRPr="003836D9">
        <w:rPr>
          <w:rFonts w:ascii="Times New Roman" w:eastAsia="Calibri" w:hAnsi="Times New Roman" w:cs="Times New Roman"/>
          <w:b/>
          <w:bCs/>
          <w:color w:val="000000" w:themeColor="text1"/>
          <w:sz w:val="28"/>
          <w:szCs w:val="28"/>
          <w:lang w:val="ro-MD"/>
        </w:rPr>
        <w:t xml:space="preserve">                          </w:t>
      </w:r>
      <w:r w:rsidRPr="003836D9">
        <w:rPr>
          <w:rFonts w:ascii="Times New Roman" w:eastAsia="Calibri" w:hAnsi="Times New Roman" w:cs="Times New Roman"/>
          <w:b/>
          <w:bCs/>
          <w:color w:val="000000" w:themeColor="text1"/>
          <w:sz w:val="24"/>
          <w:szCs w:val="24"/>
          <w:lang w:val="ro-MD"/>
        </w:rPr>
        <w:t xml:space="preserve">Capitolul II. </w:t>
      </w:r>
      <w:r w:rsidR="00B1796F" w:rsidRPr="003836D9">
        <w:rPr>
          <w:rFonts w:ascii="Times New Roman" w:eastAsia="Calibri" w:hAnsi="Times New Roman" w:cs="Times New Roman"/>
          <w:b/>
          <w:bCs/>
          <w:color w:val="000000" w:themeColor="text1"/>
          <w:sz w:val="24"/>
          <w:szCs w:val="24"/>
          <w:lang w:val="ro-MD"/>
        </w:rPr>
        <w:t>Analiza situației</w:t>
      </w:r>
    </w:p>
    <w:p w14:paraId="38E396DF" w14:textId="34CD8FE2" w:rsidR="007E3038" w:rsidRPr="003836D9" w:rsidRDefault="004000A9" w:rsidP="004000A9">
      <w:pPr>
        <w:pStyle w:val="Heading1"/>
        <w:spacing w:before="0" w:after="160"/>
        <w:jc w:val="center"/>
        <w:rPr>
          <w:rFonts w:ascii="Times New Roman" w:eastAsia="Calibri" w:hAnsi="Times New Roman" w:cs="Times New Roman"/>
          <w:b/>
          <w:bCs/>
          <w:color w:val="000000" w:themeColor="text1"/>
          <w:sz w:val="24"/>
          <w:szCs w:val="24"/>
          <w:lang w:val="ro-MD"/>
        </w:rPr>
      </w:pPr>
      <w:r w:rsidRPr="003836D9">
        <w:rPr>
          <w:rFonts w:ascii="Times New Roman" w:eastAsia="Calibri" w:hAnsi="Times New Roman" w:cs="Times New Roman"/>
          <w:b/>
          <w:bCs/>
          <w:color w:val="000000" w:themeColor="text1"/>
          <w:sz w:val="24"/>
          <w:szCs w:val="24"/>
          <w:lang w:val="ro-MD"/>
        </w:rPr>
        <w:t>2</w:t>
      </w:r>
      <w:r w:rsidR="00B1796F" w:rsidRPr="003836D9">
        <w:rPr>
          <w:rFonts w:ascii="Times New Roman" w:eastAsia="Calibri" w:hAnsi="Times New Roman" w:cs="Times New Roman"/>
          <w:b/>
          <w:bCs/>
          <w:color w:val="000000" w:themeColor="text1"/>
          <w:sz w:val="24"/>
          <w:szCs w:val="24"/>
          <w:lang w:val="ro-MD"/>
        </w:rPr>
        <w:t>.</w:t>
      </w:r>
      <w:r w:rsidR="006624B2" w:rsidRPr="003836D9">
        <w:rPr>
          <w:rFonts w:ascii="Times New Roman" w:eastAsia="Calibri" w:hAnsi="Times New Roman" w:cs="Times New Roman"/>
          <w:b/>
          <w:bCs/>
          <w:color w:val="000000" w:themeColor="text1"/>
          <w:sz w:val="24"/>
          <w:szCs w:val="24"/>
          <w:lang w:val="ro-MD"/>
        </w:rPr>
        <w:t>1.</w:t>
      </w:r>
      <w:r w:rsidR="00B1796F" w:rsidRPr="003836D9">
        <w:rPr>
          <w:rFonts w:ascii="Times New Roman" w:eastAsia="Calibri" w:hAnsi="Times New Roman" w:cs="Times New Roman"/>
          <w:b/>
          <w:bCs/>
          <w:color w:val="000000" w:themeColor="text1"/>
          <w:sz w:val="24"/>
          <w:szCs w:val="24"/>
          <w:lang w:val="ro-MD"/>
        </w:rPr>
        <w:t xml:space="preserve"> </w:t>
      </w:r>
      <w:r w:rsidR="00842CE2" w:rsidRPr="003836D9">
        <w:rPr>
          <w:rFonts w:ascii="Times New Roman" w:eastAsia="Calibri" w:hAnsi="Times New Roman" w:cs="Times New Roman"/>
          <w:b/>
          <w:bCs/>
          <w:color w:val="000000" w:themeColor="text1"/>
          <w:sz w:val="24"/>
          <w:szCs w:val="24"/>
          <w:lang w:val="ro-MD"/>
        </w:rPr>
        <w:t>A</w:t>
      </w:r>
      <w:r w:rsidR="00B1796F" w:rsidRPr="003836D9">
        <w:rPr>
          <w:rFonts w:ascii="Times New Roman" w:eastAsia="Calibri" w:hAnsi="Times New Roman" w:cs="Times New Roman"/>
          <w:b/>
          <w:bCs/>
          <w:color w:val="000000" w:themeColor="text1"/>
          <w:sz w:val="24"/>
          <w:szCs w:val="24"/>
          <w:lang w:val="ro-MD"/>
        </w:rPr>
        <w:t>naliza contextului macroeconomic și social</w:t>
      </w:r>
      <w:bookmarkEnd w:id="1"/>
    </w:p>
    <w:p w14:paraId="0E1FCADF" w14:textId="2135071B" w:rsidR="007E3038" w:rsidRPr="003836D9" w:rsidRDefault="00F470F2" w:rsidP="00CA0904">
      <w:pPr>
        <w:pStyle w:val="Heading2"/>
        <w:spacing w:before="0" w:after="160" w:line="259" w:lineRule="auto"/>
        <w:jc w:val="center"/>
        <w:rPr>
          <w:rFonts w:ascii="Times New Roman" w:hAnsi="Times New Roman"/>
          <w:color w:val="auto"/>
          <w:sz w:val="24"/>
          <w:szCs w:val="24"/>
          <w:lang w:val="ro-MD"/>
        </w:rPr>
      </w:pPr>
      <w:bookmarkStart w:id="2" w:name="_Toc97709278"/>
      <w:r w:rsidRPr="003836D9">
        <w:rPr>
          <w:rFonts w:ascii="Times New Roman" w:hAnsi="Times New Roman"/>
          <w:color w:val="auto"/>
          <w:sz w:val="24"/>
          <w:szCs w:val="24"/>
          <w:lang w:val="ro-MD"/>
        </w:rPr>
        <w:t xml:space="preserve">Situația </w:t>
      </w:r>
      <w:r w:rsidR="002604E7" w:rsidRPr="003836D9">
        <w:rPr>
          <w:rFonts w:ascii="Times New Roman" w:hAnsi="Times New Roman"/>
          <w:color w:val="auto"/>
          <w:sz w:val="24"/>
          <w:szCs w:val="24"/>
          <w:lang w:val="ro-MD"/>
        </w:rPr>
        <w:t>macroeconomică</w:t>
      </w:r>
      <w:bookmarkEnd w:id="2"/>
    </w:p>
    <w:p w14:paraId="3EA6004E" w14:textId="4D87EB6E" w:rsidR="006A2DDC" w:rsidRPr="003836D9" w:rsidRDefault="00FE1B61" w:rsidP="004000A9">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În ultimele două decenii, Moldova a înregistrat progrese considerabile în ceea ce privește creșterea economică</w:t>
      </w:r>
      <w:r w:rsidR="007E2143"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cu o creștere medie a Produsului Intern Brut (PIB) de </w:t>
      </w:r>
      <w:r w:rsidR="00034EC4" w:rsidRPr="003836D9">
        <w:rPr>
          <w:rFonts w:ascii="Times New Roman" w:hAnsi="Times New Roman" w:cs="Times New Roman"/>
          <w:sz w:val="24"/>
          <w:szCs w:val="24"/>
          <w:lang w:val="ro-MD"/>
        </w:rPr>
        <w:t>6</w:t>
      </w:r>
      <w:r w:rsidRPr="003836D9">
        <w:rPr>
          <w:rFonts w:ascii="Times New Roman" w:hAnsi="Times New Roman" w:cs="Times New Roman"/>
          <w:sz w:val="24"/>
          <w:szCs w:val="24"/>
          <w:lang w:val="ro-MD"/>
        </w:rPr>
        <w:t>,</w:t>
      </w:r>
      <w:r w:rsidR="00034EC4" w:rsidRPr="003836D9">
        <w:rPr>
          <w:rFonts w:ascii="Times New Roman" w:hAnsi="Times New Roman" w:cs="Times New Roman"/>
          <w:sz w:val="24"/>
          <w:szCs w:val="24"/>
          <w:lang w:val="ro-MD"/>
        </w:rPr>
        <w:t>6</w:t>
      </w:r>
      <w:r w:rsidRPr="003836D9">
        <w:rPr>
          <w:rFonts w:ascii="Times New Roman" w:hAnsi="Times New Roman" w:cs="Times New Roman"/>
          <w:sz w:val="24"/>
          <w:szCs w:val="24"/>
          <w:lang w:val="ro-MD"/>
        </w:rPr>
        <w:t xml:space="preserve"> </w:t>
      </w:r>
      <w:r w:rsidR="002930DC" w:rsidRPr="003836D9">
        <w:rPr>
          <w:rFonts w:ascii="Times New Roman" w:hAnsi="Times New Roman" w:cs="Times New Roman"/>
          <w:sz w:val="24"/>
          <w:szCs w:val="24"/>
          <w:lang w:val="ro-MD"/>
        </w:rPr>
        <w:t xml:space="preserve">procente </w:t>
      </w:r>
      <w:r w:rsidRPr="003836D9">
        <w:rPr>
          <w:rFonts w:ascii="Times New Roman" w:hAnsi="Times New Roman" w:cs="Times New Roman"/>
          <w:sz w:val="24"/>
          <w:szCs w:val="24"/>
          <w:lang w:val="ro-MD"/>
        </w:rPr>
        <w:t>anual în perioada 20</w:t>
      </w:r>
      <w:r w:rsidR="00034EC4" w:rsidRPr="003836D9">
        <w:rPr>
          <w:rFonts w:ascii="Times New Roman" w:hAnsi="Times New Roman" w:cs="Times New Roman"/>
          <w:sz w:val="24"/>
          <w:szCs w:val="24"/>
          <w:lang w:val="ro-MD"/>
        </w:rPr>
        <w:t>14</w:t>
      </w:r>
      <w:r w:rsidRPr="003836D9">
        <w:rPr>
          <w:rFonts w:ascii="Times New Roman" w:hAnsi="Times New Roman" w:cs="Times New Roman"/>
          <w:sz w:val="24"/>
          <w:szCs w:val="24"/>
          <w:lang w:val="ro-MD"/>
        </w:rPr>
        <w:t>-20</w:t>
      </w:r>
      <w:r w:rsidR="00034EC4" w:rsidRPr="003836D9">
        <w:rPr>
          <w:rFonts w:ascii="Times New Roman" w:hAnsi="Times New Roman" w:cs="Times New Roman"/>
          <w:sz w:val="24"/>
          <w:szCs w:val="24"/>
          <w:lang w:val="ro-MD"/>
        </w:rPr>
        <w:t>20</w:t>
      </w:r>
      <w:r w:rsidRPr="003836D9">
        <w:rPr>
          <w:rFonts w:ascii="Times New Roman" w:hAnsi="Times New Roman" w:cs="Times New Roman"/>
          <w:sz w:val="24"/>
          <w:szCs w:val="24"/>
          <w:lang w:val="ro-MD"/>
        </w:rPr>
        <w:t xml:space="preserve"> și reducerea sărăciei, cu rata sărăciei absolute în scădere de la 29,5</w:t>
      </w:r>
      <w:r w:rsidR="002930DC"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în 2014 la 2</w:t>
      </w:r>
      <w:r w:rsidR="00034EC4" w:rsidRPr="003836D9">
        <w:rPr>
          <w:rFonts w:ascii="Times New Roman" w:hAnsi="Times New Roman" w:cs="Times New Roman"/>
          <w:sz w:val="24"/>
          <w:szCs w:val="24"/>
          <w:lang w:val="ro-MD"/>
        </w:rPr>
        <w:t>4</w:t>
      </w:r>
      <w:r w:rsidRPr="003836D9">
        <w:rPr>
          <w:rFonts w:ascii="Times New Roman" w:hAnsi="Times New Roman" w:cs="Times New Roman"/>
          <w:sz w:val="24"/>
          <w:szCs w:val="24"/>
          <w:lang w:val="ro-MD"/>
        </w:rPr>
        <w:t>,</w:t>
      </w:r>
      <w:r w:rsidR="00034EC4" w:rsidRPr="003836D9">
        <w:rPr>
          <w:rFonts w:ascii="Times New Roman" w:hAnsi="Times New Roman" w:cs="Times New Roman"/>
          <w:sz w:val="24"/>
          <w:szCs w:val="24"/>
          <w:lang w:val="ro-MD"/>
        </w:rPr>
        <w:t>5</w:t>
      </w:r>
      <w:r w:rsidR="002930DC"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în 20</w:t>
      </w:r>
      <w:r w:rsidR="00034EC4" w:rsidRPr="003836D9">
        <w:rPr>
          <w:rFonts w:ascii="Times New Roman" w:hAnsi="Times New Roman" w:cs="Times New Roman"/>
          <w:sz w:val="24"/>
          <w:szCs w:val="24"/>
          <w:lang w:val="ro-MD"/>
        </w:rPr>
        <w:t>21</w:t>
      </w:r>
      <w:r w:rsidR="005B6E8B" w:rsidRPr="003836D9">
        <w:rPr>
          <w:rFonts w:ascii="Times New Roman" w:hAnsi="Times New Roman" w:cs="Times New Roman"/>
          <w:sz w:val="24"/>
          <w:szCs w:val="24"/>
          <w:lang w:val="ro-MD"/>
        </w:rPr>
        <w:t>.</w:t>
      </w:r>
      <w:r w:rsidR="005B6E8B" w:rsidRPr="003836D9">
        <w:rPr>
          <w:rStyle w:val="FootnoteReference"/>
          <w:rFonts w:ascii="Times New Roman" w:hAnsi="Times New Roman" w:cs="Times New Roman"/>
          <w:sz w:val="24"/>
          <w:szCs w:val="24"/>
          <w:lang w:val="ro-MD"/>
        </w:rPr>
        <w:footnoteReference w:id="1"/>
      </w:r>
      <w:r w:rsidR="00B165B7"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Cu toate acestea, îmbătrânirea populației, emigra</w:t>
      </w:r>
      <w:r w:rsidR="009575D7" w:rsidRPr="003836D9">
        <w:rPr>
          <w:rFonts w:ascii="Times New Roman" w:hAnsi="Times New Roman" w:cs="Times New Roman"/>
          <w:sz w:val="24"/>
          <w:szCs w:val="24"/>
          <w:lang w:val="ro-MD"/>
        </w:rPr>
        <w:t>rea</w:t>
      </w:r>
      <w:r w:rsidRPr="003836D9">
        <w:rPr>
          <w:rFonts w:ascii="Times New Roman" w:hAnsi="Times New Roman" w:cs="Times New Roman"/>
          <w:sz w:val="24"/>
          <w:szCs w:val="24"/>
          <w:lang w:val="ro-MD"/>
        </w:rPr>
        <w:t xml:space="preserve"> și creșterea lentă a productivității au încetinit convergența PIB pe cap de locuitor către media din Europa și Asia Centrală (EAC). În 20</w:t>
      </w:r>
      <w:r w:rsidR="002255E1" w:rsidRPr="003836D9">
        <w:rPr>
          <w:rFonts w:ascii="Times New Roman" w:hAnsi="Times New Roman" w:cs="Times New Roman"/>
          <w:sz w:val="24"/>
          <w:szCs w:val="24"/>
          <w:lang w:val="ro-MD"/>
        </w:rPr>
        <w:t>21</w:t>
      </w:r>
      <w:r w:rsidRPr="003836D9">
        <w:rPr>
          <w:rFonts w:ascii="Times New Roman" w:hAnsi="Times New Roman" w:cs="Times New Roman"/>
          <w:sz w:val="24"/>
          <w:szCs w:val="24"/>
          <w:lang w:val="ro-MD"/>
        </w:rPr>
        <w:t xml:space="preserve">, PIB pe cap de locuitor a fost echivalent cu </w:t>
      </w:r>
      <w:r w:rsidR="002255E1" w:rsidRPr="003836D9">
        <w:rPr>
          <w:rFonts w:ascii="Times New Roman" w:hAnsi="Times New Roman" w:cs="Times New Roman"/>
          <w:sz w:val="24"/>
          <w:szCs w:val="24"/>
          <w:lang w:val="ro-MD"/>
        </w:rPr>
        <w:t>61,0</w:t>
      </w:r>
      <w:r w:rsidR="002930DC"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din media EAC, în ciuda ratelor anuale de creștere de aproximativ 4,3</w:t>
      </w:r>
      <w:r w:rsidR="002930DC" w:rsidRPr="003836D9">
        <w:rPr>
          <w:rFonts w:ascii="Times New Roman" w:hAnsi="Times New Roman" w:cs="Times New Roman"/>
          <w:sz w:val="24"/>
          <w:szCs w:val="24"/>
          <w:lang w:val="ro-MD"/>
        </w:rPr>
        <w:t xml:space="preserve"> procente</w:t>
      </w:r>
      <w:r w:rsidR="0013489A" w:rsidRPr="003836D9">
        <w:rPr>
          <w:rFonts w:ascii="Times New Roman" w:hAnsi="Times New Roman" w:cs="Times New Roman"/>
          <w:sz w:val="24"/>
          <w:szCs w:val="24"/>
          <w:lang w:val="ro-MD"/>
        </w:rPr>
        <w:t>.</w:t>
      </w:r>
      <w:r w:rsidR="00F91D7E" w:rsidRPr="003836D9">
        <w:rPr>
          <w:rStyle w:val="FootnoteReference"/>
          <w:rFonts w:ascii="Times New Roman" w:hAnsi="Times New Roman" w:cs="Times New Roman"/>
          <w:sz w:val="24"/>
          <w:szCs w:val="24"/>
          <w:lang w:val="ro-MD"/>
        </w:rPr>
        <w:footnoteReference w:id="2"/>
      </w:r>
      <w:r w:rsidR="006A2DDC"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 xml:space="preserve">Din anul 2000, țara a fost afectată de </w:t>
      </w:r>
      <w:r w:rsidR="00CC1CC7" w:rsidRPr="003836D9">
        <w:rPr>
          <w:rFonts w:ascii="Times New Roman" w:hAnsi="Times New Roman" w:cs="Times New Roman"/>
          <w:sz w:val="24"/>
          <w:szCs w:val="24"/>
          <w:lang w:val="ro-MD"/>
        </w:rPr>
        <w:t xml:space="preserve">o </w:t>
      </w:r>
      <w:r w:rsidRPr="003836D9">
        <w:rPr>
          <w:rFonts w:ascii="Times New Roman" w:hAnsi="Times New Roman" w:cs="Times New Roman"/>
          <w:sz w:val="24"/>
          <w:szCs w:val="24"/>
          <w:lang w:val="ro-MD"/>
        </w:rPr>
        <w:t>creștere economică volatilă, din cauza dependenței economiei de producția agricolă, dependentă de condițiile meteorologice și a expunerii la șocuri atât externe, cât și interne</w:t>
      </w:r>
      <w:r w:rsidR="0066600E" w:rsidRPr="003836D9">
        <w:rPr>
          <w:rFonts w:ascii="Times New Roman" w:hAnsi="Times New Roman" w:cs="Times New Roman"/>
          <w:sz w:val="24"/>
          <w:szCs w:val="24"/>
          <w:lang w:val="ro-MD"/>
        </w:rPr>
        <w:t>.</w:t>
      </w:r>
      <w:r w:rsidR="00382E6D" w:rsidRPr="003836D9">
        <w:rPr>
          <w:rStyle w:val="FootnoteReference"/>
          <w:rFonts w:ascii="Times New Roman" w:hAnsi="Times New Roman" w:cs="Times New Roman"/>
          <w:sz w:val="24"/>
          <w:szCs w:val="24"/>
          <w:lang w:val="ro-MD"/>
        </w:rPr>
        <w:footnoteReference w:id="3"/>
      </w:r>
      <w:r w:rsidR="0066600E" w:rsidRPr="003836D9">
        <w:rPr>
          <w:rFonts w:ascii="Times New Roman" w:hAnsi="Times New Roman" w:cs="Times New Roman"/>
          <w:sz w:val="24"/>
          <w:szCs w:val="24"/>
          <w:lang w:val="ro-MD"/>
        </w:rPr>
        <w:t xml:space="preserve"> </w:t>
      </w:r>
    </w:p>
    <w:p w14:paraId="561C1BB0" w14:textId="719812F2" w:rsidR="006A2DDC" w:rsidRPr="003836D9" w:rsidRDefault="004F0981" w:rsidP="006F7772">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Pe partea cererii, consumul a fost principalul mot</w:t>
      </w:r>
      <w:r w:rsidR="005B49FD">
        <w:rPr>
          <w:rFonts w:ascii="Times New Roman" w:hAnsi="Times New Roman" w:cs="Times New Roman"/>
          <w:sz w:val="24"/>
          <w:szCs w:val="24"/>
          <w:lang w:val="ro-MD"/>
        </w:rPr>
        <w:t>iv</w:t>
      </w:r>
      <w:r w:rsidRPr="003836D9">
        <w:rPr>
          <w:rFonts w:ascii="Times New Roman" w:hAnsi="Times New Roman" w:cs="Times New Roman"/>
          <w:sz w:val="24"/>
          <w:szCs w:val="24"/>
          <w:lang w:val="ro-MD"/>
        </w:rPr>
        <w:t xml:space="preserve"> al creșterii, alimentat de creșterile salariale și </w:t>
      </w:r>
      <w:r w:rsidR="005B49FD">
        <w:rPr>
          <w:rFonts w:ascii="Times New Roman" w:hAnsi="Times New Roman" w:cs="Times New Roman"/>
          <w:sz w:val="24"/>
          <w:szCs w:val="24"/>
          <w:lang w:val="ro-MD"/>
        </w:rPr>
        <w:t xml:space="preserve">a </w:t>
      </w:r>
      <w:r w:rsidRPr="003836D9">
        <w:rPr>
          <w:rFonts w:ascii="Times New Roman" w:hAnsi="Times New Roman" w:cs="Times New Roman"/>
          <w:sz w:val="24"/>
          <w:szCs w:val="24"/>
          <w:lang w:val="ro-MD"/>
        </w:rPr>
        <w:t>remitențe</w:t>
      </w:r>
      <w:r w:rsidR="005B49FD">
        <w:rPr>
          <w:rFonts w:ascii="Times New Roman" w:hAnsi="Times New Roman" w:cs="Times New Roman"/>
          <w:sz w:val="24"/>
          <w:szCs w:val="24"/>
          <w:lang w:val="ro-MD"/>
        </w:rPr>
        <w:t>lor</w:t>
      </w:r>
      <w:r w:rsidRPr="003836D9">
        <w:rPr>
          <w:rFonts w:ascii="Times New Roman" w:hAnsi="Times New Roman" w:cs="Times New Roman"/>
          <w:sz w:val="24"/>
          <w:szCs w:val="24"/>
          <w:lang w:val="ro-MD"/>
        </w:rPr>
        <w:t xml:space="preserve">. În perioada 2013-2019, salariile nete au crescut în medie cu 11 </w:t>
      </w:r>
      <w:r w:rsidR="002930DC" w:rsidRPr="003836D9">
        <w:rPr>
          <w:rFonts w:ascii="Times New Roman" w:hAnsi="Times New Roman" w:cs="Times New Roman"/>
          <w:sz w:val="24"/>
          <w:szCs w:val="24"/>
          <w:lang w:val="ro-MD"/>
        </w:rPr>
        <w:t xml:space="preserve">procente </w:t>
      </w:r>
      <w:r w:rsidRPr="003836D9">
        <w:rPr>
          <w:rFonts w:ascii="Times New Roman" w:hAnsi="Times New Roman" w:cs="Times New Roman"/>
          <w:sz w:val="24"/>
          <w:szCs w:val="24"/>
          <w:lang w:val="ro-MD"/>
        </w:rPr>
        <w:t xml:space="preserve">anual (peste creșterea prețurilor de consum), în timp ce între 2000 și 2015 remitențele au reprezentat în medie 25 </w:t>
      </w:r>
      <w:r w:rsidR="002930DC" w:rsidRPr="003836D9">
        <w:rPr>
          <w:rFonts w:ascii="Times New Roman" w:hAnsi="Times New Roman" w:cs="Times New Roman"/>
          <w:sz w:val="24"/>
          <w:szCs w:val="24"/>
          <w:lang w:val="ro-MD"/>
        </w:rPr>
        <w:t xml:space="preserve">procente </w:t>
      </w:r>
      <w:r w:rsidRPr="003836D9">
        <w:rPr>
          <w:rFonts w:ascii="Times New Roman" w:hAnsi="Times New Roman" w:cs="Times New Roman"/>
          <w:sz w:val="24"/>
          <w:szCs w:val="24"/>
          <w:lang w:val="ro-MD"/>
        </w:rPr>
        <w:t xml:space="preserve">din PIB. Pe partea ofertei, sectoarele </w:t>
      </w:r>
      <w:r w:rsidR="00CC1CC7" w:rsidRPr="003836D9">
        <w:rPr>
          <w:rFonts w:ascii="Times New Roman" w:hAnsi="Times New Roman" w:cs="Times New Roman"/>
          <w:sz w:val="24"/>
          <w:szCs w:val="24"/>
          <w:lang w:val="ro-MD"/>
        </w:rPr>
        <w:t>industriei prelucrătoare</w:t>
      </w:r>
      <w:r w:rsidRPr="003836D9">
        <w:rPr>
          <w:rFonts w:ascii="Times New Roman" w:hAnsi="Times New Roman" w:cs="Times New Roman"/>
          <w:sz w:val="24"/>
          <w:szCs w:val="24"/>
          <w:lang w:val="ro-MD"/>
        </w:rPr>
        <w:t>, comerț</w:t>
      </w:r>
      <w:r w:rsidR="00CC1CC7" w:rsidRPr="003836D9">
        <w:rPr>
          <w:rFonts w:ascii="Times New Roman" w:hAnsi="Times New Roman" w:cs="Times New Roman"/>
          <w:sz w:val="24"/>
          <w:szCs w:val="24"/>
          <w:lang w:val="ro-MD"/>
        </w:rPr>
        <w:t>ului</w:t>
      </w:r>
      <w:r w:rsidRPr="003836D9">
        <w:rPr>
          <w:rFonts w:ascii="Times New Roman" w:hAnsi="Times New Roman" w:cs="Times New Roman"/>
          <w:sz w:val="24"/>
          <w:szCs w:val="24"/>
          <w:lang w:val="ro-MD"/>
        </w:rPr>
        <w:t xml:space="preserve"> și construcții</w:t>
      </w:r>
      <w:r w:rsidR="00CC1CC7" w:rsidRPr="003836D9">
        <w:rPr>
          <w:rFonts w:ascii="Times New Roman" w:hAnsi="Times New Roman" w:cs="Times New Roman"/>
          <w:sz w:val="24"/>
          <w:szCs w:val="24"/>
          <w:lang w:val="ro-MD"/>
        </w:rPr>
        <w:t>lor</w:t>
      </w:r>
      <w:r w:rsidRPr="003836D9">
        <w:rPr>
          <w:rFonts w:ascii="Times New Roman" w:hAnsi="Times New Roman" w:cs="Times New Roman"/>
          <w:sz w:val="24"/>
          <w:szCs w:val="24"/>
          <w:lang w:val="ro-MD"/>
        </w:rPr>
        <w:t xml:space="preserve"> au alimentat creșteri ale </w:t>
      </w:r>
      <w:r w:rsidR="00780BE4" w:rsidRPr="003836D9">
        <w:rPr>
          <w:rFonts w:ascii="Times New Roman" w:hAnsi="Times New Roman" w:cs="Times New Roman"/>
          <w:sz w:val="24"/>
          <w:szCs w:val="24"/>
          <w:lang w:val="ro-MD"/>
        </w:rPr>
        <w:t>produc</w:t>
      </w:r>
      <w:r w:rsidR="002F6A81" w:rsidRPr="003836D9">
        <w:rPr>
          <w:rFonts w:ascii="Times New Roman" w:hAnsi="Times New Roman" w:cs="Times New Roman"/>
          <w:sz w:val="24"/>
          <w:szCs w:val="24"/>
          <w:lang w:val="ro-MD"/>
        </w:rPr>
        <w:t>ției</w:t>
      </w:r>
      <w:r w:rsidRPr="003836D9">
        <w:rPr>
          <w:rFonts w:ascii="Times New Roman" w:hAnsi="Times New Roman" w:cs="Times New Roman"/>
          <w:sz w:val="24"/>
          <w:szCs w:val="24"/>
          <w:lang w:val="ro-MD"/>
        </w:rPr>
        <w:t xml:space="preserve">, în timp ce ponderea agriculturii în </w:t>
      </w:r>
      <w:r w:rsidR="00AA5F19" w:rsidRPr="003836D9">
        <w:rPr>
          <w:rFonts w:ascii="Times New Roman" w:hAnsi="Times New Roman" w:cs="Times New Roman"/>
          <w:sz w:val="24"/>
          <w:szCs w:val="24"/>
          <w:lang w:val="ro-MD"/>
        </w:rPr>
        <w:t>V</w:t>
      </w:r>
      <w:r w:rsidRPr="003836D9">
        <w:rPr>
          <w:rFonts w:ascii="Times New Roman" w:hAnsi="Times New Roman" w:cs="Times New Roman"/>
          <w:sz w:val="24"/>
          <w:szCs w:val="24"/>
          <w:lang w:val="ro-MD"/>
        </w:rPr>
        <w:t xml:space="preserve">aloarea </w:t>
      </w:r>
      <w:r w:rsidR="00AA5F19" w:rsidRPr="003836D9">
        <w:rPr>
          <w:rFonts w:ascii="Times New Roman" w:hAnsi="Times New Roman" w:cs="Times New Roman"/>
          <w:sz w:val="24"/>
          <w:szCs w:val="24"/>
          <w:lang w:val="ro-MD"/>
        </w:rPr>
        <w:t>A</w:t>
      </w:r>
      <w:r w:rsidRPr="003836D9">
        <w:rPr>
          <w:rFonts w:ascii="Times New Roman" w:hAnsi="Times New Roman" w:cs="Times New Roman"/>
          <w:sz w:val="24"/>
          <w:szCs w:val="24"/>
          <w:lang w:val="ro-MD"/>
        </w:rPr>
        <w:t xml:space="preserve">dăugată </w:t>
      </w:r>
      <w:r w:rsidR="00AA5F19" w:rsidRPr="003836D9">
        <w:rPr>
          <w:rFonts w:ascii="Times New Roman" w:hAnsi="Times New Roman" w:cs="Times New Roman"/>
          <w:sz w:val="24"/>
          <w:szCs w:val="24"/>
          <w:lang w:val="ro-MD"/>
        </w:rPr>
        <w:t>B</w:t>
      </w:r>
      <w:r w:rsidRPr="003836D9">
        <w:rPr>
          <w:rFonts w:ascii="Times New Roman" w:hAnsi="Times New Roman" w:cs="Times New Roman"/>
          <w:sz w:val="24"/>
          <w:szCs w:val="24"/>
          <w:lang w:val="ro-MD"/>
        </w:rPr>
        <w:t xml:space="preserve">rută (VAB) a scăzut </w:t>
      </w:r>
      <w:r w:rsidR="006A2DDC" w:rsidRPr="003836D9">
        <w:rPr>
          <w:rFonts w:ascii="Times New Roman" w:hAnsi="Times New Roman" w:cs="Times New Roman"/>
          <w:sz w:val="24"/>
          <w:szCs w:val="24"/>
          <w:lang w:val="ro-MD"/>
        </w:rPr>
        <w:t>(</w:t>
      </w:r>
      <w:r w:rsidR="00D94B6B">
        <w:rPr>
          <w:rFonts w:ascii="Times New Roman" w:hAnsi="Times New Roman" w:cs="Times New Roman"/>
          <w:sz w:val="24"/>
          <w:szCs w:val="24"/>
          <w:lang w:val="ro-MD"/>
        </w:rPr>
        <w:t>Fig.</w:t>
      </w:r>
      <w:r w:rsidR="006A2DDC" w:rsidRPr="003836D9">
        <w:rPr>
          <w:rFonts w:ascii="Times New Roman" w:hAnsi="Times New Roman" w:cs="Times New Roman"/>
          <w:sz w:val="24"/>
          <w:szCs w:val="24"/>
          <w:lang w:val="ro-MD"/>
        </w:rPr>
        <w:t xml:space="preserve"> 1). </w:t>
      </w:r>
    </w:p>
    <w:p w14:paraId="7385F188" w14:textId="1F343FE9" w:rsidR="009B2DEA" w:rsidRPr="003836D9" w:rsidRDefault="00D94B6B" w:rsidP="009B719D">
      <w:pPr>
        <w:autoSpaceDE w:val="0"/>
        <w:autoSpaceDN w:val="0"/>
        <w:adjustRightInd w:val="0"/>
        <w:jc w:val="center"/>
        <w:rPr>
          <w:rFonts w:ascii="Times New Roman" w:hAnsi="Times New Roman" w:cs="Times New Roman"/>
          <w:b/>
          <w:sz w:val="20"/>
          <w:szCs w:val="20"/>
          <w:lang w:val="ro-MD"/>
        </w:rPr>
      </w:pPr>
      <w:r>
        <w:rPr>
          <w:rFonts w:ascii="Times New Roman" w:hAnsi="Times New Roman" w:cs="Times New Roman"/>
          <w:b/>
          <w:sz w:val="20"/>
          <w:szCs w:val="20"/>
          <w:lang w:val="ro-MD"/>
        </w:rPr>
        <w:t xml:space="preserve">Fig. </w:t>
      </w:r>
      <w:r w:rsidR="00AA5F19" w:rsidRPr="003836D9">
        <w:rPr>
          <w:rFonts w:ascii="Times New Roman" w:hAnsi="Times New Roman" w:cs="Times New Roman"/>
          <w:b/>
          <w:sz w:val="20"/>
          <w:szCs w:val="20"/>
          <w:lang w:val="ro-MD"/>
        </w:rPr>
        <w:t>1</w:t>
      </w:r>
      <w:r>
        <w:rPr>
          <w:rFonts w:ascii="Times New Roman" w:hAnsi="Times New Roman" w:cs="Times New Roman"/>
          <w:b/>
          <w:sz w:val="20"/>
          <w:szCs w:val="20"/>
          <w:lang w:val="ro-MD"/>
        </w:rPr>
        <w:t>.</w:t>
      </w:r>
      <w:r w:rsidR="008E7DCF" w:rsidRPr="003836D9">
        <w:rPr>
          <w:rFonts w:ascii="Times New Roman" w:hAnsi="Times New Roman" w:cs="Times New Roman"/>
          <w:b/>
          <w:sz w:val="20"/>
          <w:szCs w:val="20"/>
          <w:lang w:val="ro-MD"/>
        </w:rPr>
        <w:t xml:space="preserve"> </w:t>
      </w:r>
      <w:r w:rsidR="00AA5F19" w:rsidRPr="003836D9">
        <w:rPr>
          <w:rFonts w:ascii="Times New Roman" w:hAnsi="Times New Roman" w:cs="Times New Roman"/>
          <w:b/>
          <w:sz w:val="20"/>
          <w:szCs w:val="20"/>
          <w:lang w:val="ro-MD"/>
        </w:rPr>
        <w:t>Contribuții ale sectoarelor la Valoarea Adăugată Brută (VAB), 2010-20</w:t>
      </w:r>
      <w:r w:rsidR="0027209C" w:rsidRPr="003836D9">
        <w:rPr>
          <w:rFonts w:ascii="Times New Roman" w:hAnsi="Times New Roman" w:cs="Times New Roman"/>
          <w:b/>
          <w:sz w:val="20"/>
          <w:szCs w:val="20"/>
          <w:lang w:val="ro-MD"/>
        </w:rPr>
        <w:t>20</w:t>
      </w:r>
      <w:r w:rsidR="00AA5F19" w:rsidRPr="003836D9">
        <w:rPr>
          <w:rFonts w:ascii="Times New Roman" w:hAnsi="Times New Roman" w:cs="Times New Roman"/>
          <w:b/>
          <w:sz w:val="20"/>
          <w:szCs w:val="20"/>
          <w:lang w:val="ro-MD"/>
        </w:rPr>
        <w:t>,</w:t>
      </w:r>
      <w:r w:rsidR="0088595A">
        <w:rPr>
          <w:rFonts w:ascii="Times New Roman" w:hAnsi="Times New Roman" w:cs="Times New Roman"/>
          <w:b/>
          <w:sz w:val="20"/>
          <w:szCs w:val="20"/>
          <w:lang w:val="ro-MD"/>
        </w:rPr>
        <w:t>%</w:t>
      </w:r>
    </w:p>
    <w:p w14:paraId="09C4FFC8" w14:textId="7C47ABF4" w:rsidR="008E7DCF" w:rsidRPr="003836D9" w:rsidRDefault="00570B6B" w:rsidP="009B719D">
      <w:pPr>
        <w:autoSpaceDE w:val="0"/>
        <w:autoSpaceDN w:val="0"/>
        <w:adjustRightInd w:val="0"/>
        <w:jc w:val="center"/>
        <w:rPr>
          <w:rFonts w:ascii="Times New Roman" w:hAnsi="Times New Roman" w:cs="Times New Roman"/>
          <w:b/>
          <w:sz w:val="20"/>
          <w:szCs w:val="20"/>
          <w:lang w:val="ro-MD"/>
        </w:rPr>
      </w:pPr>
      <w:r w:rsidRPr="00570B6B">
        <w:rPr>
          <w:rFonts w:ascii="Times New Roman" w:hAnsi="Times New Roman" w:cs="Times New Roman"/>
          <w:b/>
          <w:noProof/>
          <w:sz w:val="20"/>
          <w:szCs w:val="20"/>
          <w:lang w:val="ru-RU" w:eastAsia="ru-RU"/>
        </w:rPr>
        <w:drawing>
          <wp:inline distT="0" distB="0" distL="0" distR="0" wp14:anchorId="1F8594CB" wp14:editId="6AB00E98">
            <wp:extent cx="5618019" cy="3278246"/>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3510" cy="3281450"/>
                    </a:xfrm>
                    <a:prstGeom prst="rect">
                      <a:avLst/>
                    </a:prstGeom>
                    <a:noFill/>
                    <a:ln>
                      <a:noFill/>
                    </a:ln>
                  </pic:spPr>
                </pic:pic>
              </a:graphicData>
            </a:graphic>
          </wp:inline>
        </w:drawing>
      </w:r>
    </w:p>
    <w:p w14:paraId="14A3AD65" w14:textId="1E3A72F6" w:rsidR="006A2DDC" w:rsidRPr="003836D9" w:rsidRDefault="00E31D5C" w:rsidP="006368D5">
      <w:pPr>
        <w:autoSpaceDE w:val="0"/>
        <w:autoSpaceDN w:val="0"/>
        <w:adjustRightInd w:val="0"/>
        <w:spacing w:after="0" w:line="240" w:lineRule="auto"/>
        <w:jc w:val="center"/>
        <w:rPr>
          <w:rFonts w:ascii="Times New Roman" w:hAnsi="Times New Roman" w:cs="Times New Roman"/>
          <w:sz w:val="18"/>
          <w:szCs w:val="18"/>
          <w:lang w:val="ro-MD"/>
        </w:rPr>
      </w:pPr>
      <w:r w:rsidRPr="003836D9">
        <w:rPr>
          <w:rFonts w:ascii="Times New Roman" w:hAnsi="Times New Roman" w:cs="Times New Roman"/>
          <w:i/>
          <w:iCs/>
          <w:sz w:val="18"/>
          <w:szCs w:val="18"/>
          <w:lang w:val="ro-MD"/>
        </w:rPr>
        <w:t>Sursa</w:t>
      </w:r>
      <w:r w:rsidR="008E7DCF" w:rsidRPr="003836D9">
        <w:rPr>
          <w:rFonts w:ascii="Times New Roman" w:hAnsi="Times New Roman" w:cs="Times New Roman"/>
          <w:i/>
          <w:iCs/>
          <w:sz w:val="18"/>
          <w:szCs w:val="18"/>
          <w:lang w:val="ro-MD"/>
        </w:rPr>
        <w:t>:</w:t>
      </w:r>
      <w:r w:rsidR="008E7DCF" w:rsidRPr="003836D9">
        <w:rPr>
          <w:rFonts w:ascii="Times New Roman" w:hAnsi="Times New Roman" w:cs="Times New Roman"/>
          <w:sz w:val="18"/>
          <w:szCs w:val="18"/>
          <w:lang w:val="ro-MD"/>
        </w:rPr>
        <w:t xml:space="preserve"> </w:t>
      </w:r>
      <w:r w:rsidRPr="003836D9">
        <w:rPr>
          <w:rFonts w:ascii="Times New Roman" w:hAnsi="Times New Roman" w:cs="Times New Roman"/>
          <w:sz w:val="18"/>
          <w:szCs w:val="18"/>
          <w:lang w:val="ro-MD"/>
        </w:rPr>
        <w:t>Biroul Național de Statistică</w:t>
      </w:r>
      <w:r w:rsidR="008E7DCF" w:rsidRPr="003836D9">
        <w:rPr>
          <w:rFonts w:ascii="Times New Roman" w:hAnsi="Times New Roman" w:cs="Times New Roman"/>
          <w:sz w:val="18"/>
          <w:szCs w:val="18"/>
          <w:lang w:val="ro-MD"/>
        </w:rPr>
        <w:t xml:space="preserve">, </w:t>
      </w:r>
      <w:r w:rsidRPr="003836D9">
        <w:rPr>
          <w:rFonts w:ascii="Times New Roman" w:hAnsi="Times New Roman" w:cs="Times New Roman"/>
          <w:i/>
          <w:iCs/>
          <w:sz w:val="18"/>
          <w:szCs w:val="18"/>
          <w:lang w:val="ro-MD"/>
        </w:rPr>
        <w:t>Principalii indicatori macroeconomici</w:t>
      </w:r>
      <w:r w:rsidR="008E7DCF" w:rsidRPr="003836D9">
        <w:rPr>
          <w:rFonts w:ascii="Times New Roman" w:hAnsi="Times New Roman" w:cs="Times New Roman"/>
          <w:sz w:val="18"/>
          <w:szCs w:val="18"/>
          <w:lang w:val="ro-MD"/>
        </w:rPr>
        <w:t xml:space="preserve">, </w:t>
      </w:r>
      <w:r w:rsidR="003D47EC" w:rsidRPr="003836D9">
        <w:rPr>
          <w:rFonts w:ascii="Times New Roman" w:hAnsi="Times New Roman" w:cs="Times New Roman"/>
          <w:sz w:val="18"/>
          <w:szCs w:val="18"/>
          <w:lang w:val="ro-MD"/>
        </w:rPr>
        <w:t>diverși ani</w:t>
      </w:r>
    </w:p>
    <w:p w14:paraId="3D4DE21F" w14:textId="0AA64583" w:rsidR="00F7375F" w:rsidRPr="003836D9" w:rsidRDefault="00AA5F19" w:rsidP="00756252">
      <w:pPr>
        <w:autoSpaceDE w:val="0"/>
        <w:autoSpaceDN w:val="0"/>
        <w:adjustRightInd w:val="0"/>
        <w:spacing w:before="12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Investițiile străine directe (ISD) au început să crească în 2004 (3,7 </w:t>
      </w:r>
      <w:r w:rsidR="002930DC" w:rsidRPr="003836D9">
        <w:rPr>
          <w:rFonts w:ascii="Times New Roman" w:hAnsi="Times New Roman" w:cs="Times New Roman"/>
          <w:sz w:val="24"/>
          <w:szCs w:val="24"/>
          <w:lang w:val="ro-MD"/>
        </w:rPr>
        <w:t xml:space="preserve">procente </w:t>
      </w:r>
      <w:r w:rsidRPr="003836D9">
        <w:rPr>
          <w:rFonts w:ascii="Times New Roman" w:hAnsi="Times New Roman" w:cs="Times New Roman"/>
          <w:sz w:val="24"/>
          <w:szCs w:val="24"/>
          <w:lang w:val="ro-MD"/>
        </w:rPr>
        <w:t xml:space="preserve">din PIB), cu un apogeu al intrărilor nete în 2008 (12,1 </w:t>
      </w:r>
      <w:r w:rsidR="002930DC" w:rsidRPr="003836D9">
        <w:rPr>
          <w:rFonts w:ascii="Times New Roman" w:hAnsi="Times New Roman" w:cs="Times New Roman"/>
          <w:sz w:val="24"/>
          <w:szCs w:val="24"/>
          <w:lang w:val="ro-MD"/>
        </w:rPr>
        <w:t xml:space="preserve">procente </w:t>
      </w:r>
      <w:r w:rsidRPr="003836D9">
        <w:rPr>
          <w:rFonts w:ascii="Times New Roman" w:hAnsi="Times New Roman" w:cs="Times New Roman"/>
          <w:sz w:val="24"/>
          <w:szCs w:val="24"/>
          <w:lang w:val="ro-MD"/>
        </w:rPr>
        <w:t>din PIB)</w:t>
      </w:r>
      <w:r w:rsidR="002A735A" w:rsidRPr="003836D9">
        <w:rPr>
          <w:rFonts w:ascii="Times New Roman" w:hAnsi="Times New Roman" w:cs="Times New Roman"/>
          <w:sz w:val="24"/>
          <w:szCs w:val="24"/>
          <w:lang w:val="ro-MD"/>
        </w:rPr>
        <w:t xml:space="preserve">. </w:t>
      </w:r>
      <w:r w:rsidR="002D74A0" w:rsidRPr="003836D9">
        <w:rPr>
          <w:rFonts w:ascii="Times New Roman" w:hAnsi="Times New Roman" w:cs="Times New Roman"/>
          <w:sz w:val="24"/>
          <w:szCs w:val="24"/>
          <w:lang w:val="ro-MD"/>
        </w:rPr>
        <w:t xml:space="preserve">Intrările ISD au scăzut brusc ulterior </w:t>
      </w:r>
      <w:r w:rsidR="006624B2" w:rsidRPr="003836D9">
        <w:rPr>
          <w:rFonts w:ascii="Times New Roman" w:hAnsi="Times New Roman" w:cs="Times New Roman"/>
          <w:sz w:val="24"/>
          <w:szCs w:val="24"/>
          <w:lang w:val="ro-MD"/>
        </w:rPr>
        <w:t>ajungând</w:t>
      </w:r>
      <w:r w:rsidR="002D74A0" w:rsidRPr="003836D9">
        <w:rPr>
          <w:rFonts w:ascii="Times New Roman" w:hAnsi="Times New Roman" w:cs="Times New Roman"/>
          <w:sz w:val="24"/>
          <w:szCs w:val="24"/>
          <w:lang w:val="ro-MD"/>
        </w:rPr>
        <w:t xml:space="preserve"> la </w:t>
      </w:r>
      <w:r w:rsidR="002D74A0" w:rsidRPr="003836D9">
        <w:rPr>
          <w:rFonts w:ascii="Times New Roman" w:hAnsi="Times New Roman" w:cs="Times New Roman"/>
          <w:sz w:val="24"/>
          <w:szCs w:val="24"/>
          <w:lang w:val="ro-MD"/>
        </w:rPr>
        <w:lastRenderedPageBreak/>
        <w:t>doar 1</w:t>
      </w:r>
      <w:r w:rsidR="002930DC" w:rsidRPr="003836D9">
        <w:rPr>
          <w:rFonts w:ascii="Times New Roman" w:hAnsi="Times New Roman" w:cs="Times New Roman"/>
          <w:sz w:val="24"/>
          <w:szCs w:val="24"/>
          <w:lang w:val="ro-MD"/>
        </w:rPr>
        <w:t xml:space="preserve"> procent</w:t>
      </w:r>
      <w:r w:rsidR="002D74A0" w:rsidRPr="003836D9">
        <w:rPr>
          <w:rFonts w:ascii="Times New Roman" w:hAnsi="Times New Roman" w:cs="Times New Roman"/>
          <w:sz w:val="24"/>
          <w:szCs w:val="24"/>
          <w:lang w:val="ro-MD"/>
        </w:rPr>
        <w:t xml:space="preserve"> din PIB în 2016</w:t>
      </w:r>
      <w:r w:rsidR="00756252">
        <w:rPr>
          <w:rFonts w:ascii="Times New Roman" w:hAnsi="Times New Roman" w:cs="Times New Roman"/>
          <w:sz w:val="24"/>
          <w:szCs w:val="24"/>
          <w:lang w:val="ro-MD"/>
        </w:rPr>
        <w:t>,</w:t>
      </w:r>
      <w:r w:rsidR="002D74A0" w:rsidRPr="003836D9">
        <w:rPr>
          <w:rFonts w:ascii="Times New Roman" w:hAnsi="Times New Roman" w:cs="Times New Roman"/>
          <w:sz w:val="24"/>
          <w:szCs w:val="24"/>
          <w:lang w:val="ro-MD"/>
        </w:rPr>
        <w:t xml:space="preserve"> din cauza crizei economice din 2008 și a fraudei bancare din 2014-2015</w:t>
      </w:r>
      <w:r w:rsidR="003934CF" w:rsidRPr="003836D9">
        <w:rPr>
          <w:rFonts w:ascii="Times New Roman" w:hAnsi="Times New Roman" w:cs="Times New Roman"/>
          <w:sz w:val="24"/>
          <w:szCs w:val="24"/>
          <w:lang w:val="ro-MD"/>
        </w:rPr>
        <w:t xml:space="preserve">. </w:t>
      </w:r>
    </w:p>
    <w:p w14:paraId="62630AD1" w14:textId="3BA027CE" w:rsidR="00E246D0" w:rsidRPr="003836D9" w:rsidRDefault="00086D06" w:rsidP="006F7772">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Țara s-a confruntat cu două crize economice principale înainte de izbucnirea pandemiei de </w:t>
      </w:r>
      <w:r w:rsidR="00DF67F3">
        <w:rPr>
          <w:rFonts w:ascii="Times New Roman" w:hAnsi="Times New Roman" w:cs="Times New Roman"/>
          <w:sz w:val="24"/>
          <w:szCs w:val="24"/>
          <w:lang w:val="ro-MD"/>
        </w:rPr>
        <w:t>COVID</w:t>
      </w:r>
      <w:r w:rsidRPr="003836D9">
        <w:rPr>
          <w:rFonts w:ascii="Times New Roman" w:hAnsi="Times New Roman" w:cs="Times New Roman"/>
          <w:sz w:val="24"/>
          <w:szCs w:val="24"/>
          <w:lang w:val="ro-MD"/>
        </w:rPr>
        <w:t xml:space="preserve">-19 din 2020. Criza economică și financiară din 2008 a determinat o scădere bruscă a creșterii economice </w:t>
      </w:r>
      <w:r w:rsidR="006F7772" w:rsidRPr="003836D9">
        <w:rPr>
          <w:rFonts w:ascii="Times New Roman" w:hAnsi="Times New Roman" w:cs="Times New Roman"/>
          <w:sz w:val="24"/>
          <w:szCs w:val="24"/>
          <w:lang w:val="ro-MD"/>
        </w:rPr>
        <w:t xml:space="preserve">cu </w:t>
      </w:r>
      <w:r w:rsidRPr="003836D9">
        <w:rPr>
          <w:rFonts w:ascii="Times New Roman" w:hAnsi="Times New Roman" w:cs="Times New Roman"/>
          <w:sz w:val="24"/>
          <w:szCs w:val="24"/>
          <w:lang w:val="ro-MD"/>
        </w:rPr>
        <w:t xml:space="preserve">6 </w:t>
      </w:r>
      <w:r w:rsidR="002930DC" w:rsidRPr="003836D9">
        <w:rPr>
          <w:rFonts w:ascii="Times New Roman" w:hAnsi="Times New Roman" w:cs="Times New Roman"/>
          <w:sz w:val="24"/>
          <w:szCs w:val="24"/>
          <w:lang w:val="ro-MD"/>
        </w:rPr>
        <w:t>procente</w:t>
      </w:r>
      <w:r w:rsidRPr="003836D9">
        <w:rPr>
          <w:rFonts w:ascii="Times New Roman" w:hAnsi="Times New Roman" w:cs="Times New Roman"/>
          <w:sz w:val="24"/>
          <w:szCs w:val="24"/>
          <w:lang w:val="ro-MD"/>
        </w:rPr>
        <w:t>, precum și scăderi ale volum</w:t>
      </w:r>
      <w:r w:rsidR="006F7772" w:rsidRPr="003836D9">
        <w:rPr>
          <w:rFonts w:ascii="Times New Roman" w:hAnsi="Times New Roman" w:cs="Times New Roman"/>
          <w:sz w:val="24"/>
          <w:szCs w:val="24"/>
          <w:lang w:val="ro-MD"/>
        </w:rPr>
        <w:t>ului</w:t>
      </w:r>
      <w:r w:rsidRPr="003836D9">
        <w:rPr>
          <w:rFonts w:ascii="Times New Roman" w:hAnsi="Times New Roman" w:cs="Times New Roman"/>
          <w:sz w:val="24"/>
          <w:szCs w:val="24"/>
          <w:lang w:val="ro-MD"/>
        </w:rPr>
        <w:t xml:space="preserve"> exporturilor cu peste 8 la sută, </w:t>
      </w:r>
      <w:r w:rsidR="007A75D9">
        <w:rPr>
          <w:rFonts w:ascii="Times New Roman" w:hAnsi="Times New Roman" w:cs="Times New Roman"/>
          <w:sz w:val="24"/>
          <w:szCs w:val="24"/>
          <w:lang w:val="ro-MD"/>
        </w:rPr>
        <w:t xml:space="preserve">a </w:t>
      </w:r>
      <w:r w:rsidRPr="003836D9">
        <w:rPr>
          <w:rFonts w:ascii="Times New Roman" w:hAnsi="Times New Roman" w:cs="Times New Roman"/>
          <w:sz w:val="24"/>
          <w:szCs w:val="24"/>
          <w:lang w:val="ro-MD"/>
        </w:rPr>
        <w:t xml:space="preserve">consumului cu 7 </w:t>
      </w:r>
      <w:r w:rsidR="002930DC" w:rsidRPr="003836D9">
        <w:rPr>
          <w:rFonts w:ascii="Times New Roman" w:hAnsi="Times New Roman" w:cs="Times New Roman"/>
          <w:sz w:val="24"/>
          <w:szCs w:val="24"/>
          <w:lang w:val="ro-MD"/>
        </w:rPr>
        <w:t>procente</w:t>
      </w:r>
      <w:r w:rsidRPr="003836D9">
        <w:rPr>
          <w:rFonts w:ascii="Times New Roman" w:hAnsi="Times New Roman" w:cs="Times New Roman"/>
          <w:sz w:val="24"/>
          <w:szCs w:val="24"/>
          <w:lang w:val="ro-MD"/>
        </w:rPr>
        <w:t xml:space="preserve"> și a fluxurilor de remitențe cu 6,3 puncte procentuale din PIB. Toate aceste pierderi au fost recuperate până în 2009. Rata șomajului, dimpotrivă, a crescut de la 4</w:t>
      </w:r>
      <w:r w:rsidR="00DC4B85" w:rsidRPr="003836D9">
        <w:rPr>
          <w:rFonts w:ascii="Times New Roman" w:hAnsi="Times New Roman" w:cs="Times New Roman"/>
          <w:sz w:val="24"/>
          <w:szCs w:val="24"/>
          <w:lang w:val="ro-MD"/>
        </w:rPr>
        <w:t xml:space="preserve"> procente </w:t>
      </w:r>
      <w:r w:rsidRPr="003836D9">
        <w:rPr>
          <w:rFonts w:ascii="Times New Roman" w:hAnsi="Times New Roman" w:cs="Times New Roman"/>
          <w:sz w:val="24"/>
          <w:szCs w:val="24"/>
          <w:lang w:val="ro-MD"/>
        </w:rPr>
        <w:t>în 2008 la 6,4</w:t>
      </w:r>
      <w:r w:rsidR="00DC4B85"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în 2009 și </w:t>
      </w:r>
      <w:r w:rsidR="00B11CC0" w:rsidRPr="003836D9">
        <w:rPr>
          <w:rFonts w:ascii="Times New Roman" w:hAnsi="Times New Roman" w:cs="Times New Roman"/>
          <w:sz w:val="24"/>
          <w:szCs w:val="24"/>
          <w:lang w:val="ro-MD"/>
        </w:rPr>
        <w:t xml:space="preserve">până în 2014 </w:t>
      </w:r>
      <w:r w:rsidRPr="003836D9">
        <w:rPr>
          <w:rFonts w:ascii="Times New Roman" w:hAnsi="Times New Roman" w:cs="Times New Roman"/>
          <w:sz w:val="24"/>
          <w:szCs w:val="24"/>
          <w:lang w:val="ro-MD"/>
        </w:rPr>
        <w:t xml:space="preserve">a rămas peste nivelurile </w:t>
      </w:r>
      <w:r w:rsidR="00D1692B" w:rsidRPr="003836D9">
        <w:rPr>
          <w:rFonts w:ascii="Times New Roman" w:hAnsi="Times New Roman" w:cs="Times New Roman"/>
          <w:sz w:val="24"/>
          <w:szCs w:val="24"/>
          <w:lang w:val="ro-MD"/>
        </w:rPr>
        <w:t>înregistrate î</w:t>
      </w:r>
      <w:r w:rsidRPr="003836D9">
        <w:rPr>
          <w:rFonts w:ascii="Times New Roman" w:hAnsi="Times New Roman" w:cs="Times New Roman"/>
          <w:sz w:val="24"/>
          <w:szCs w:val="24"/>
          <w:lang w:val="ro-MD"/>
        </w:rPr>
        <w:t>nainte</w:t>
      </w:r>
      <w:r w:rsidR="00D1692B" w:rsidRPr="003836D9">
        <w:rPr>
          <w:rFonts w:ascii="Times New Roman" w:hAnsi="Times New Roman" w:cs="Times New Roman"/>
          <w:sz w:val="24"/>
          <w:szCs w:val="24"/>
          <w:lang w:val="ro-MD"/>
        </w:rPr>
        <w:t>a</w:t>
      </w:r>
      <w:r w:rsidRPr="003836D9">
        <w:rPr>
          <w:rFonts w:ascii="Times New Roman" w:hAnsi="Times New Roman" w:cs="Times New Roman"/>
          <w:sz w:val="24"/>
          <w:szCs w:val="24"/>
          <w:lang w:val="ro-MD"/>
        </w:rPr>
        <w:t xml:space="preserve"> criz</w:t>
      </w:r>
      <w:r w:rsidR="00D1692B" w:rsidRPr="003836D9">
        <w:rPr>
          <w:rFonts w:ascii="Times New Roman" w:hAnsi="Times New Roman" w:cs="Times New Roman"/>
          <w:sz w:val="24"/>
          <w:szCs w:val="24"/>
          <w:lang w:val="ro-MD"/>
        </w:rPr>
        <w:t>ei</w:t>
      </w:r>
      <w:r w:rsidR="00F05F20" w:rsidRPr="003836D9">
        <w:rPr>
          <w:rFonts w:ascii="Times New Roman" w:hAnsi="Times New Roman" w:cs="Times New Roman"/>
          <w:sz w:val="24"/>
          <w:szCs w:val="24"/>
          <w:lang w:val="ro-MD"/>
        </w:rPr>
        <w:t>.</w:t>
      </w:r>
      <w:r w:rsidR="00F05F20" w:rsidRPr="003836D9">
        <w:rPr>
          <w:rFonts w:ascii="Times New Roman" w:hAnsi="Times New Roman" w:cs="Times New Roman"/>
          <w:sz w:val="24"/>
          <w:szCs w:val="24"/>
          <w:vertAlign w:val="superscript"/>
          <w:lang w:val="ro-MD"/>
        </w:rPr>
        <w:footnoteReference w:id="4"/>
      </w:r>
      <w:r w:rsidR="005C4C3B"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În 2015</w:t>
      </w:r>
      <w:r w:rsidR="00D1692B"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w:t>
      </w:r>
      <w:r w:rsidR="00D1692B" w:rsidRPr="003836D9">
        <w:rPr>
          <w:rFonts w:ascii="Times New Roman" w:hAnsi="Times New Roman" w:cs="Times New Roman"/>
          <w:sz w:val="24"/>
          <w:szCs w:val="24"/>
          <w:lang w:val="ro-MD"/>
        </w:rPr>
        <w:t xml:space="preserve">reducerea numărului de </w:t>
      </w:r>
      <w:r w:rsidRPr="003836D9">
        <w:rPr>
          <w:rFonts w:ascii="Times New Roman" w:hAnsi="Times New Roman" w:cs="Times New Roman"/>
          <w:sz w:val="24"/>
          <w:szCs w:val="24"/>
          <w:lang w:val="ro-MD"/>
        </w:rPr>
        <w:t>parteneri comerciali estici ai Moldov</w:t>
      </w:r>
      <w:r w:rsidR="007A75D9">
        <w:rPr>
          <w:rFonts w:ascii="Times New Roman" w:hAnsi="Times New Roman" w:cs="Times New Roman"/>
          <w:sz w:val="24"/>
          <w:szCs w:val="24"/>
          <w:lang w:val="ro-MD"/>
        </w:rPr>
        <w:t>ei și restricția impusă de Federația Rusă</w:t>
      </w:r>
      <w:r w:rsidRPr="003836D9">
        <w:rPr>
          <w:rFonts w:ascii="Times New Roman" w:hAnsi="Times New Roman" w:cs="Times New Roman"/>
          <w:sz w:val="24"/>
          <w:szCs w:val="24"/>
          <w:lang w:val="ro-MD"/>
        </w:rPr>
        <w:t xml:space="preserve"> asupra importurilor au determinat o scădere a remitențelor și exporturilor, urmată de deprecierea cursului de schimb. </w:t>
      </w:r>
      <w:r w:rsidR="00780BE4" w:rsidRPr="003836D9">
        <w:rPr>
          <w:rFonts w:ascii="Times New Roman" w:hAnsi="Times New Roman" w:cs="Times New Roman"/>
          <w:sz w:val="24"/>
          <w:szCs w:val="24"/>
          <w:lang w:val="ro-MD"/>
        </w:rPr>
        <w:t>S</w:t>
      </w:r>
      <w:r w:rsidRPr="003836D9">
        <w:rPr>
          <w:rFonts w:ascii="Times New Roman" w:hAnsi="Times New Roman" w:cs="Times New Roman"/>
          <w:sz w:val="24"/>
          <w:szCs w:val="24"/>
          <w:lang w:val="ro-MD"/>
        </w:rPr>
        <w:t>ecet</w:t>
      </w:r>
      <w:r w:rsidR="00780BE4" w:rsidRPr="003836D9">
        <w:rPr>
          <w:rFonts w:ascii="Times New Roman" w:hAnsi="Times New Roman" w:cs="Times New Roman"/>
          <w:sz w:val="24"/>
          <w:szCs w:val="24"/>
          <w:lang w:val="ro-MD"/>
        </w:rPr>
        <w:t>a</w:t>
      </w:r>
      <w:r w:rsidRPr="003836D9">
        <w:rPr>
          <w:rFonts w:ascii="Times New Roman" w:hAnsi="Times New Roman" w:cs="Times New Roman"/>
          <w:sz w:val="24"/>
          <w:szCs w:val="24"/>
          <w:lang w:val="ro-MD"/>
        </w:rPr>
        <w:t xml:space="preserve"> de vară a provocat o scădere cu 20</w:t>
      </w:r>
      <w:r w:rsidR="00DC4B85"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a producției agricole. Criza bancară provocată de fraud</w:t>
      </w:r>
      <w:r w:rsidR="000F29B4" w:rsidRPr="003836D9">
        <w:rPr>
          <w:rFonts w:ascii="Times New Roman" w:hAnsi="Times New Roman" w:cs="Times New Roman"/>
          <w:sz w:val="24"/>
          <w:szCs w:val="24"/>
          <w:lang w:val="ro-MD"/>
        </w:rPr>
        <w:t xml:space="preserve">a </w:t>
      </w:r>
      <w:r w:rsidRPr="003836D9">
        <w:rPr>
          <w:rFonts w:ascii="Times New Roman" w:hAnsi="Times New Roman" w:cs="Times New Roman"/>
          <w:sz w:val="24"/>
          <w:szCs w:val="24"/>
          <w:lang w:val="ro-MD"/>
        </w:rPr>
        <w:t>a trei bănci naționale a redus încreder</w:t>
      </w:r>
      <w:r w:rsidR="007A75D9">
        <w:rPr>
          <w:rFonts w:ascii="Times New Roman" w:hAnsi="Times New Roman" w:cs="Times New Roman"/>
          <w:sz w:val="24"/>
          <w:szCs w:val="24"/>
          <w:lang w:val="ro-MD"/>
        </w:rPr>
        <w:t>ea în sectorul bancar, determinând</w:t>
      </w:r>
      <w:r w:rsidRPr="003836D9">
        <w:rPr>
          <w:rFonts w:ascii="Times New Roman" w:hAnsi="Times New Roman" w:cs="Times New Roman"/>
          <w:sz w:val="24"/>
          <w:szCs w:val="24"/>
          <w:lang w:val="ro-MD"/>
        </w:rPr>
        <w:t xml:space="preserve"> creșterea ratelor dobânzilor și reducerea </w:t>
      </w:r>
      <w:r w:rsidR="00780BE4" w:rsidRPr="003836D9">
        <w:rPr>
          <w:rFonts w:ascii="Times New Roman" w:hAnsi="Times New Roman" w:cs="Times New Roman"/>
          <w:sz w:val="24"/>
          <w:szCs w:val="24"/>
          <w:lang w:val="ro-MD"/>
        </w:rPr>
        <w:t>împrumuturilor</w:t>
      </w:r>
      <w:r w:rsidRPr="003836D9">
        <w:rPr>
          <w:rFonts w:ascii="Times New Roman" w:hAnsi="Times New Roman" w:cs="Times New Roman"/>
          <w:sz w:val="24"/>
          <w:szCs w:val="24"/>
          <w:lang w:val="ro-MD"/>
        </w:rPr>
        <w:t xml:space="preserve"> </w:t>
      </w:r>
      <w:r w:rsidR="00780BE4" w:rsidRPr="003836D9">
        <w:rPr>
          <w:rFonts w:ascii="Times New Roman" w:hAnsi="Times New Roman" w:cs="Times New Roman"/>
          <w:sz w:val="24"/>
          <w:szCs w:val="24"/>
          <w:lang w:val="ro-MD"/>
        </w:rPr>
        <w:t xml:space="preserve">acordate </w:t>
      </w:r>
      <w:r w:rsidRPr="003836D9">
        <w:rPr>
          <w:rFonts w:ascii="Times New Roman" w:hAnsi="Times New Roman" w:cs="Times New Roman"/>
          <w:sz w:val="24"/>
          <w:szCs w:val="24"/>
          <w:lang w:val="ro-MD"/>
        </w:rPr>
        <w:t>sectorului privat.</w:t>
      </w:r>
      <w:r w:rsidR="000F29B4" w:rsidRPr="003836D9">
        <w:rPr>
          <w:rFonts w:ascii="Times New Roman" w:hAnsi="Times New Roman" w:cs="Times New Roman"/>
          <w:sz w:val="24"/>
          <w:szCs w:val="24"/>
          <w:lang w:val="ro-MD"/>
        </w:rPr>
        <w:t xml:space="preserve"> </w:t>
      </w:r>
      <w:r w:rsidR="00C5428F" w:rsidRPr="003836D9">
        <w:rPr>
          <w:rFonts w:ascii="Times New Roman" w:hAnsi="Times New Roman" w:cs="Times New Roman"/>
          <w:sz w:val="24"/>
          <w:szCs w:val="24"/>
          <w:lang w:val="ro-MD"/>
        </w:rPr>
        <w:t xml:space="preserve">Costurile privind gestionarea </w:t>
      </w:r>
      <w:r w:rsidR="000F29B4" w:rsidRPr="003836D9">
        <w:rPr>
          <w:rFonts w:ascii="Times New Roman" w:hAnsi="Times New Roman" w:cs="Times New Roman"/>
          <w:sz w:val="24"/>
          <w:szCs w:val="24"/>
          <w:lang w:val="ro-MD"/>
        </w:rPr>
        <w:t>băncil</w:t>
      </w:r>
      <w:r w:rsidR="00C5428F" w:rsidRPr="003836D9">
        <w:rPr>
          <w:rFonts w:ascii="Times New Roman" w:hAnsi="Times New Roman" w:cs="Times New Roman"/>
          <w:sz w:val="24"/>
          <w:szCs w:val="24"/>
          <w:lang w:val="ro-MD"/>
        </w:rPr>
        <w:t>or</w:t>
      </w:r>
      <w:r w:rsidR="000F29B4" w:rsidRPr="003836D9">
        <w:rPr>
          <w:rFonts w:ascii="Times New Roman" w:hAnsi="Times New Roman" w:cs="Times New Roman"/>
          <w:sz w:val="24"/>
          <w:szCs w:val="24"/>
          <w:lang w:val="ro-MD"/>
        </w:rPr>
        <w:t xml:space="preserve"> insolvente (echivalentul a 12% din PIB) a </w:t>
      </w:r>
      <w:r w:rsidR="00C5428F" w:rsidRPr="003836D9">
        <w:rPr>
          <w:rFonts w:ascii="Times New Roman" w:hAnsi="Times New Roman" w:cs="Times New Roman"/>
          <w:sz w:val="24"/>
          <w:szCs w:val="24"/>
          <w:lang w:val="ro-MD"/>
        </w:rPr>
        <w:t xml:space="preserve">condiționat </w:t>
      </w:r>
      <w:r w:rsidR="000F29B4" w:rsidRPr="003836D9">
        <w:rPr>
          <w:rFonts w:ascii="Times New Roman" w:hAnsi="Times New Roman" w:cs="Times New Roman"/>
          <w:sz w:val="24"/>
          <w:szCs w:val="24"/>
          <w:lang w:val="ro-MD"/>
        </w:rPr>
        <w:t>datoria publică mai mare, rezerve valutare mai scăzute, o pierdere a încrederii întreprinderilor și mai puține amortizoare macroeconomice pentru a susține șocurile economice</w:t>
      </w:r>
      <w:r w:rsidR="00E246D0" w:rsidRPr="003836D9">
        <w:rPr>
          <w:rFonts w:ascii="Times New Roman" w:hAnsi="Times New Roman" w:cs="Times New Roman"/>
          <w:sz w:val="24"/>
          <w:szCs w:val="24"/>
          <w:lang w:val="ro-MD"/>
        </w:rPr>
        <w:t>.</w:t>
      </w:r>
      <w:r w:rsidR="002A2E99" w:rsidRPr="003836D9">
        <w:rPr>
          <w:rStyle w:val="FootnoteReference"/>
          <w:rFonts w:ascii="Times New Roman" w:hAnsi="Times New Roman" w:cs="Times New Roman"/>
          <w:sz w:val="24"/>
          <w:szCs w:val="24"/>
          <w:lang w:val="ro-MD"/>
        </w:rPr>
        <w:footnoteReference w:id="5"/>
      </w:r>
      <w:r w:rsidR="00E246D0" w:rsidRPr="003836D9">
        <w:rPr>
          <w:rFonts w:ascii="Times New Roman" w:hAnsi="Times New Roman" w:cs="Times New Roman"/>
          <w:sz w:val="24"/>
          <w:szCs w:val="24"/>
          <w:lang w:val="ro-MD"/>
        </w:rPr>
        <w:t xml:space="preserve"> </w:t>
      </w:r>
      <w:r w:rsidR="000F29B4" w:rsidRPr="003836D9">
        <w:rPr>
          <w:rFonts w:ascii="Times New Roman" w:hAnsi="Times New Roman" w:cs="Times New Roman"/>
          <w:sz w:val="24"/>
          <w:szCs w:val="24"/>
          <w:lang w:val="ro-MD"/>
        </w:rPr>
        <w:t>Economia s-a contractat cu 0,3</w:t>
      </w:r>
      <w:r w:rsidR="00DC4B85" w:rsidRPr="003836D9">
        <w:rPr>
          <w:rFonts w:ascii="Times New Roman" w:hAnsi="Times New Roman" w:cs="Times New Roman"/>
          <w:sz w:val="24"/>
          <w:szCs w:val="24"/>
          <w:lang w:val="ro-MD"/>
        </w:rPr>
        <w:t xml:space="preserve"> procente</w:t>
      </w:r>
      <w:r w:rsidR="000F29B4" w:rsidRPr="003836D9">
        <w:rPr>
          <w:rFonts w:ascii="Times New Roman" w:hAnsi="Times New Roman" w:cs="Times New Roman"/>
          <w:sz w:val="24"/>
          <w:szCs w:val="24"/>
          <w:lang w:val="ro-MD"/>
        </w:rPr>
        <w:t xml:space="preserve"> în 2015 pentru a-și reveni ulterior în următorii ani până la izbucnirea pandemiei de </w:t>
      </w:r>
      <w:r w:rsidR="00DF67F3">
        <w:rPr>
          <w:rFonts w:ascii="Times New Roman" w:hAnsi="Times New Roman" w:cs="Times New Roman"/>
          <w:sz w:val="24"/>
          <w:szCs w:val="24"/>
          <w:lang w:val="ro-MD"/>
        </w:rPr>
        <w:t>COVID</w:t>
      </w:r>
      <w:r w:rsidR="000F29B4" w:rsidRPr="003836D9">
        <w:rPr>
          <w:rFonts w:ascii="Times New Roman" w:hAnsi="Times New Roman" w:cs="Times New Roman"/>
          <w:sz w:val="24"/>
          <w:szCs w:val="24"/>
          <w:lang w:val="ro-MD"/>
        </w:rPr>
        <w:t xml:space="preserve">-19 în 2020 </w:t>
      </w:r>
      <w:r w:rsidR="002A2E99" w:rsidRPr="003836D9">
        <w:rPr>
          <w:rFonts w:ascii="Times New Roman" w:hAnsi="Times New Roman" w:cs="Times New Roman"/>
          <w:sz w:val="24"/>
          <w:szCs w:val="24"/>
          <w:lang w:val="ro-MD"/>
        </w:rPr>
        <w:t>(Tab</w:t>
      </w:r>
      <w:r w:rsidR="000F29B4" w:rsidRPr="003836D9">
        <w:rPr>
          <w:rFonts w:ascii="Times New Roman" w:hAnsi="Times New Roman" w:cs="Times New Roman"/>
          <w:sz w:val="24"/>
          <w:szCs w:val="24"/>
          <w:lang w:val="ro-MD"/>
        </w:rPr>
        <w:t>e</w:t>
      </w:r>
      <w:r w:rsidR="002A2E99" w:rsidRPr="003836D9">
        <w:rPr>
          <w:rFonts w:ascii="Times New Roman" w:hAnsi="Times New Roman" w:cs="Times New Roman"/>
          <w:sz w:val="24"/>
          <w:szCs w:val="24"/>
          <w:lang w:val="ro-MD"/>
        </w:rPr>
        <w:t>l</w:t>
      </w:r>
      <w:r w:rsidR="000F29B4" w:rsidRPr="003836D9">
        <w:rPr>
          <w:rFonts w:ascii="Times New Roman" w:hAnsi="Times New Roman" w:cs="Times New Roman"/>
          <w:sz w:val="24"/>
          <w:szCs w:val="24"/>
          <w:lang w:val="ro-MD"/>
        </w:rPr>
        <w:t>ul</w:t>
      </w:r>
      <w:r w:rsidR="002A2E99" w:rsidRPr="003836D9">
        <w:rPr>
          <w:rFonts w:ascii="Times New Roman" w:hAnsi="Times New Roman" w:cs="Times New Roman"/>
          <w:sz w:val="24"/>
          <w:szCs w:val="24"/>
          <w:lang w:val="ro-MD"/>
        </w:rPr>
        <w:t xml:space="preserve"> 1). </w:t>
      </w:r>
    </w:p>
    <w:p w14:paraId="5002924A" w14:textId="2BC3E8D2" w:rsidR="00E41031" w:rsidRPr="003836D9" w:rsidRDefault="00BF4DB6" w:rsidP="00CA0904">
      <w:pPr>
        <w:autoSpaceDE w:val="0"/>
        <w:autoSpaceDN w:val="0"/>
        <w:adjustRightInd w:val="0"/>
        <w:jc w:val="both"/>
        <w:rPr>
          <w:rFonts w:ascii="Times New Roman" w:eastAsia="TTE2844728t00" w:hAnsi="Times New Roman" w:cs="Times New Roman"/>
          <w:sz w:val="24"/>
          <w:szCs w:val="24"/>
          <w:lang w:val="ro-MD"/>
        </w:rPr>
      </w:pPr>
      <w:r w:rsidRPr="003836D9">
        <w:rPr>
          <w:rFonts w:ascii="Times New Roman" w:hAnsi="Times New Roman" w:cs="Times New Roman"/>
          <w:sz w:val="24"/>
          <w:szCs w:val="24"/>
          <w:lang w:val="ro-MD"/>
        </w:rPr>
        <w:t>Între 2000 și 2014, țara a menținut un deficit scăzut – în medie de 1,3</w:t>
      </w:r>
      <w:r w:rsidR="00DC4B85" w:rsidRPr="003836D9">
        <w:rPr>
          <w:rFonts w:ascii="Times New Roman" w:hAnsi="Times New Roman" w:cs="Times New Roman"/>
          <w:sz w:val="24"/>
          <w:szCs w:val="24"/>
          <w:lang w:val="ro-MD"/>
        </w:rPr>
        <w:t xml:space="preserve"> procente </w:t>
      </w:r>
      <w:r w:rsidRPr="003836D9">
        <w:rPr>
          <w:rFonts w:ascii="Times New Roman" w:hAnsi="Times New Roman" w:cs="Times New Roman"/>
          <w:sz w:val="24"/>
          <w:szCs w:val="24"/>
          <w:lang w:val="ro-MD"/>
        </w:rPr>
        <w:t>din PIB de la un an la altul. Acest lucru a ajutat Moldova să mențină datoria la aproximativ 20</w:t>
      </w:r>
      <w:r w:rsidR="00DC4B85"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din PIB până în 2008. Crizele menționate mai sus au determinat o creștere a datoriei la 30</w:t>
      </w:r>
      <w:r w:rsidR="00DC4B85"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în 2008 și 37</w:t>
      </w:r>
      <w:r w:rsidR="00DC4B85"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în 2016.</w:t>
      </w:r>
    </w:p>
    <w:p w14:paraId="16BC551B" w14:textId="6D91D470" w:rsidR="00A90C9A" w:rsidRPr="003836D9" w:rsidRDefault="004A0B0B" w:rsidP="003D47EC">
      <w:pPr>
        <w:autoSpaceDE w:val="0"/>
        <w:autoSpaceDN w:val="0"/>
        <w:adjustRightInd w:val="0"/>
        <w:jc w:val="center"/>
        <w:rPr>
          <w:rFonts w:ascii="Times New Roman" w:hAnsi="Times New Roman" w:cs="Times New Roman"/>
          <w:b/>
          <w:sz w:val="20"/>
          <w:szCs w:val="20"/>
          <w:lang w:val="ro-MD"/>
        </w:rPr>
      </w:pPr>
      <w:bookmarkStart w:id="3" w:name="_Hlk515271070"/>
      <w:r w:rsidRPr="003836D9">
        <w:rPr>
          <w:rFonts w:ascii="Times New Roman" w:hAnsi="Times New Roman" w:cs="Times New Roman"/>
          <w:b/>
          <w:sz w:val="20"/>
          <w:szCs w:val="20"/>
          <w:lang w:val="ro-MD"/>
        </w:rPr>
        <w:t>Tabelul 1</w:t>
      </w:r>
      <w:r w:rsidR="00E41031">
        <w:rPr>
          <w:rFonts w:ascii="Times New Roman" w:hAnsi="Times New Roman" w:cs="Times New Roman"/>
          <w:b/>
          <w:sz w:val="20"/>
          <w:szCs w:val="20"/>
          <w:lang w:val="ro-MD"/>
        </w:rPr>
        <w:t xml:space="preserve">. </w:t>
      </w:r>
      <w:r w:rsidRPr="003836D9">
        <w:rPr>
          <w:rFonts w:ascii="Times New Roman" w:hAnsi="Times New Roman" w:cs="Times New Roman"/>
          <w:b/>
          <w:sz w:val="20"/>
          <w:szCs w:val="20"/>
          <w:lang w:val="ro-MD"/>
        </w:rPr>
        <w:t>Indicatorii și proiecțiile macroeconomice cheie (2014-202</w:t>
      </w:r>
      <w:r w:rsidR="00CA0904" w:rsidRPr="003836D9">
        <w:rPr>
          <w:rFonts w:ascii="Times New Roman" w:hAnsi="Times New Roman" w:cs="Times New Roman"/>
          <w:b/>
          <w:sz w:val="20"/>
          <w:szCs w:val="20"/>
          <w:lang w:val="ro-MD"/>
        </w:rPr>
        <w:t>3</w:t>
      </w:r>
      <w:r w:rsidRPr="003836D9">
        <w:rPr>
          <w:rFonts w:ascii="Times New Roman" w:hAnsi="Times New Roman" w:cs="Times New Roman"/>
          <w:b/>
          <w:sz w:val="20"/>
          <w:szCs w:val="20"/>
          <w:lang w:val="ro-MD"/>
        </w:rPr>
        <w:t>)</w:t>
      </w:r>
    </w:p>
    <w:bookmarkEnd w:id="3"/>
    <w:tbl>
      <w:tblPr>
        <w:tblStyle w:val="GridTable1Light-Accent11"/>
        <w:tblW w:w="9462" w:type="dxa"/>
        <w:tblInd w:w="392" w:type="dxa"/>
        <w:tblLayout w:type="fixed"/>
        <w:tblLook w:val="00A0" w:firstRow="1" w:lastRow="0" w:firstColumn="1" w:lastColumn="0" w:noHBand="0" w:noVBand="0"/>
      </w:tblPr>
      <w:tblGrid>
        <w:gridCol w:w="2551"/>
        <w:gridCol w:w="856"/>
        <w:gridCol w:w="630"/>
        <w:gridCol w:w="641"/>
        <w:gridCol w:w="708"/>
        <w:gridCol w:w="709"/>
        <w:gridCol w:w="709"/>
        <w:gridCol w:w="709"/>
        <w:gridCol w:w="825"/>
        <w:gridCol w:w="545"/>
        <w:gridCol w:w="579"/>
      </w:tblGrid>
      <w:tr w:rsidR="00A97196" w:rsidRPr="003836D9" w14:paraId="19775B1A" w14:textId="44B17D55" w:rsidTr="00A97196">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3752DA52" w14:textId="77777777" w:rsidR="00A97196" w:rsidRPr="003836D9" w:rsidRDefault="00A97196" w:rsidP="00BC075B">
            <w:pPr>
              <w:tabs>
                <w:tab w:val="left" w:leader="dot" w:pos="7938"/>
              </w:tabs>
              <w:jc w:val="both"/>
              <w:rPr>
                <w:rFonts w:ascii="Times New Roman" w:eastAsia="Times New Roman" w:hAnsi="Times New Roman" w:cs="Times New Roman"/>
                <w:sz w:val="18"/>
                <w:szCs w:val="18"/>
                <w:lang w:val="ro-MD"/>
              </w:rPr>
            </w:pPr>
          </w:p>
        </w:tc>
        <w:tc>
          <w:tcPr>
            <w:tcW w:w="856" w:type="dxa"/>
            <w:vMerge w:val="restart"/>
            <w:vAlign w:val="center"/>
          </w:tcPr>
          <w:p w14:paraId="008E52A3" w14:textId="195D1B8A" w:rsidR="00A97196" w:rsidRPr="00E41031" w:rsidRDefault="00A97196" w:rsidP="00A9719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lang w:val="ro-MD"/>
              </w:rPr>
            </w:pPr>
            <w:r w:rsidRPr="00E41031">
              <w:rPr>
                <w:rFonts w:ascii="Times New Roman" w:eastAsia="Times New Roman" w:hAnsi="Times New Roman" w:cs="Times New Roman"/>
                <w:bCs w:val="0"/>
                <w:sz w:val="18"/>
                <w:szCs w:val="18"/>
                <w:lang w:val="ro-MD"/>
              </w:rPr>
              <w:t>2015</w:t>
            </w:r>
          </w:p>
        </w:tc>
        <w:tc>
          <w:tcPr>
            <w:tcW w:w="630" w:type="dxa"/>
            <w:vMerge w:val="restart"/>
            <w:vAlign w:val="center"/>
          </w:tcPr>
          <w:p w14:paraId="6F04D855" w14:textId="08DC750E" w:rsidR="00A97196" w:rsidRPr="00E41031" w:rsidRDefault="00A97196" w:rsidP="00A9719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lang w:val="ro-MD"/>
              </w:rPr>
            </w:pPr>
            <w:r w:rsidRPr="00E41031">
              <w:rPr>
                <w:rFonts w:ascii="Times New Roman" w:eastAsia="Times New Roman" w:hAnsi="Times New Roman" w:cs="Times New Roman"/>
                <w:bCs w:val="0"/>
                <w:sz w:val="18"/>
                <w:szCs w:val="18"/>
                <w:lang w:val="ro-MD"/>
              </w:rPr>
              <w:t>2016</w:t>
            </w:r>
          </w:p>
        </w:tc>
        <w:tc>
          <w:tcPr>
            <w:tcW w:w="641" w:type="dxa"/>
            <w:vMerge w:val="restart"/>
            <w:vAlign w:val="center"/>
          </w:tcPr>
          <w:p w14:paraId="27EC19A9" w14:textId="303A1FA1" w:rsidR="00A97196" w:rsidRPr="00E41031" w:rsidRDefault="00A97196" w:rsidP="00A9719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lang w:val="ro-MD"/>
              </w:rPr>
            </w:pPr>
            <w:r w:rsidRPr="00E41031">
              <w:rPr>
                <w:rFonts w:ascii="Times New Roman" w:eastAsia="Times New Roman" w:hAnsi="Times New Roman" w:cs="Times New Roman"/>
                <w:bCs w:val="0"/>
                <w:sz w:val="18"/>
                <w:szCs w:val="18"/>
                <w:lang w:val="ro-MD"/>
              </w:rPr>
              <w:t>2017</w:t>
            </w:r>
          </w:p>
        </w:tc>
        <w:tc>
          <w:tcPr>
            <w:tcW w:w="708" w:type="dxa"/>
            <w:vMerge w:val="restart"/>
            <w:vAlign w:val="center"/>
          </w:tcPr>
          <w:p w14:paraId="27A13340" w14:textId="01D393C2" w:rsidR="00A97196" w:rsidRPr="00E41031" w:rsidRDefault="00A97196" w:rsidP="00A9719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lang w:val="ro-MD"/>
              </w:rPr>
            </w:pPr>
            <w:r w:rsidRPr="00E41031">
              <w:rPr>
                <w:rFonts w:ascii="Times New Roman" w:eastAsia="Times New Roman" w:hAnsi="Times New Roman" w:cs="Times New Roman"/>
                <w:bCs w:val="0"/>
                <w:sz w:val="18"/>
                <w:szCs w:val="18"/>
                <w:lang w:val="ro-MD"/>
              </w:rPr>
              <w:t>2018</w:t>
            </w:r>
          </w:p>
        </w:tc>
        <w:tc>
          <w:tcPr>
            <w:tcW w:w="709" w:type="dxa"/>
            <w:vMerge w:val="restart"/>
            <w:vAlign w:val="center"/>
          </w:tcPr>
          <w:p w14:paraId="6E37E355" w14:textId="215EC210" w:rsidR="00A97196" w:rsidRPr="00E41031" w:rsidRDefault="00A97196" w:rsidP="00A9719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lang w:val="ro-MD"/>
              </w:rPr>
            </w:pPr>
            <w:r w:rsidRPr="00E41031">
              <w:rPr>
                <w:rFonts w:ascii="Times New Roman" w:eastAsia="Times New Roman" w:hAnsi="Times New Roman" w:cs="Times New Roman"/>
                <w:bCs w:val="0"/>
                <w:sz w:val="18"/>
                <w:szCs w:val="18"/>
                <w:lang w:val="ro-MD"/>
              </w:rPr>
              <w:t>2019</w:t>
            </w:r>
          </w:p>
        </w:tc>
        <w:tc>
          <w:tcPr>
            <w:tcW w:w="709" w:type="dxa"/>
            <w:vMerge w:val="restart"/>
            <w:vAlign w:val="center"/>
          </w:tcPr>
          <w:p w14:paraId="71191FD9" w14:textId="2A21125F" w:rsidR="00A97196" w:rsidRPr="00E41031" w:rsidRDefault="00A97196" w:rsidP="00A9719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lang w:val="ro-MD"/>
              </w:rPr>
            </w:pPr>
            <w:r w:rsidRPr="00E41031">
              <w:rPr>
                <w:rFonts w:ascii="Times New Roman" w:eastAsia="Times New Roman" w:hAnsi="Times New Roman" w:cs="Times New Roman"/>
                <w:bCs w:val="0"/>
                <w:sz w:val="18"/>
                <w:szCs w:val="18"/>
                <w:lang w:val="ro-MD"/>
              </w:rPr>
              <w:t>2020</w:t>
            </w:r>
          </w:p>
        </w:tc>
        <w:tc>
          <w:tcPr>
            <w:tcW w:w="709" w:type="dxa"/>
            <w:vMerge w:val="restart"/>
            <w:shd w:val="clear" w:color="auto" w:fill="auto"/>
          </w:tcPr>
          <w:p w14:paraId="2EB756CF" w14:textId="77777777" w:rsidR="00A97196" w:rsidRDefault="00A97196" w:rsidP="00A9719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val="ro-MD"/>
              </w:rPr>
            </w:pPr>
          </w:p>
          <w:p w14:paraId="4F894132" w14:textId="4711FD9C" w:rsidR="00A97196" w:rsidRPr="00A97196" w:rsidRDefault="00A97196" w:rsidP="00A9719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ro-MD"/>
              </w:rPr>
            </w:pPr>
            <w:r w:rsidRPr="00A97196">
              <w:rPr>
                <w:rFonts w:ascii="Times New Roman" w:eastAsia="Times New Roman" w:hAnsi="Times New Roman" w:cs="Times New Roman"/>
                <w:bCs w:val="0"/>
                <w:sz w:val="18"/>
                <w:szCs w:val="18"/>
                <w:lang w:val="ro-MD"/>
              </w:rPr>
              <w:t>2021</w:t>
            </w:r>
          </w:p>
        </w:tc>
        <w:tc>
          <w:tcPr>
            <w:tcW w:w="1949" w:type="dxa"/>
            <w:gridSpan w:val="3"/>
            <w:shd w:val="clear" w:color="auto" w:fill="D9D9D9" w:themeFill="background1" w:themeFillShade="D9"/>
          </w:tcPr>
          <w:p w14:paraId="6821FA52" w14:textId="389F3A38" w:rsidR="00A97196" w:rsidRPr="003836D9" w:rsidRDefault="00A97196" w:rsidP="009F40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ro-MD"/>
              </w:rPr>
            </w:pPr>
            <w:r w:rsidRPr="003836D9">
              <w:rPr>
                <w:rFonts w:ascii="Times New Roman" w:eastAsia="Times New Roman" w:hAnsi="Times New Roman" w:cs="Times New Roman"/>
                <w:sz w:val="18"/>
                <w:szCs w:val="18"/>
                <w:lang w:val="ro-MD"/>
              </w:rPr>
              <w:t>Proiecții</w:t>
            </w:r>
          </w:p>
        </w:tc>
      </w:tr>
      <w:tr w:rsidR="00A97196" w:rsidRPr="003836D9" w14:paraId="54FE8B81" w14:textId="7A8D10D3"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vMerge/>
          </w:tcPr>
          <w:p w14:paraId="5219B99C" w14:textId="77777777" w:rsidR="00A97196" w:rsidRPr="003836D9" w:rsidRDefault="00A97196" w:rsidP="00BC075B">
            <w:pPr>
              <w:tabs>
                <w:tab w:val="left" w:leader="dot" w:pos="7938"/>
              </w:tabs>
              <w:spacing w:line="259" w:lineRule="auto"/>
              <w:jc w:val="both"/>
              <w:rPr>
                <w:rFonts w:ascii="Times New Roman" w:eastAsia="Times New Roman" w:hAnsi="Times New Roman" w:cs="Times New Roman"/>
                <w:sz w:val="18"/>
                <w:szCs w:val="18"/>
                <w:lang w:val="ro-MD"/>
              </w:rPr>
            </w:pPr>
          </w:p>
        </w:tc>
        <w:tc>
          <w:tcPr>
            <w:tcW w:w="856" w:type="dxa"/>
            <w:vMerge/>
          </w:tcPr>
          <w:p w14:paraId="53B81A3C" w14:textId="731F7875" w:rsidR="00A97196" w:rsidRPr="003836D9" w:rsidRDefault="00A97196" w:rsidP="00BC075B">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ro-MD"/>
              </w:rPr>
            </w:pPr>
          </w:p>
        </w:tc>
        <w:tc>
          <w:tcPr>
            <w:tcW w:w="630" w:type="dxa"/>
            <w:vMerge/>
          </w:tcPr>
          <w:p w14:paraId="58D3498F" w14:textId="3FD927E6" w:rsidR="00A97196" w:rsidRPr="003836D9" w:rsidRDefault="00A97196" w:rsidP="00BC075B">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ro-MD"/>
              </w:rPr>
            </w:pPr>
          </w:p>
        </w:tc>
        <w:tc>
          <w:tcPr>
            <w:tcW w:w="641" w:type="dxa"/>
            <w:vMerge/>
          </w:tcPr>
          <w:p w14:paraId="3CB9E404" w14:textId="41E95A4D" w:rsidR="00A97196" w:rsidRPr="003836D9" w:rsidRDefault="00A97196" w:rsidP="00BC075B">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ro-MD"/>
              </w:rPr>
            </w:pPr>
          </w:p>
        </w:tc>
        <w:tc>
          <w:tcPr>
            <w:tcW w:w="708" w:type="dxa"/>
            <w:vMerge/>
          </w:tcPr>
          <w:p w14:paraId="426D4AF7" w14:textId="5C74A465" w:rsidR="00A97196" w:rsidRPr="003836D9" w:rsidRDefault="00A97196" w:rsidP="00BC075B">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ro-MD"/>
              </w:rPr>
            </w:pPr>
          </w:p>
        </w:tc>
        <w:tc>
          <w:tcPr>
            <w:tcW w:w="709" w:type="dxa"/>
            <w:vMerge/>
          </w:tcPr>
          <w:p w14:paraId="75E1B394" w14:textId="6B07B2AF" w:rsidR="00A97196" w:rsidRPr="003836D9" w:rsidRDefault="00A97196" w:rsidP="00BC075B">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ro-MD"/>
              </w:rPr>
            </w:pPr>
          </w:p>
        </w:tc>
        <w:tc>
          <w:tcPr>
            <w:tcW w:w="709" w:type="dxa"/>
            <w:vMerge/>
          </w:tcPr>
          <w:p w14:paraId="6EB32A67" w14:textId="2B0CEE5C" w:rsidR="00A97196" w:rsidRPr="003836D9" w:rsidRDefault="00A97196" w:rsidP="00BC075B">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ro-MD"/>
              </w:rPr>
            </w:pPr>
          </w:p>
        </w:tc>
        <w:tc>
          <w:tcPr>
            <w:tcW w:w="709" w:type="dxa"/>
            <w:vMerge/>
            <w:shd w:val="clear" w:color="auto" w:fill="auto"/>
          </w:tcPr>
          <w:p w14:paraId="3FE57AA5" w14:textId="05E897BE" w:rsidR="00A97196" w:rsidRPr="00A97196" w:rsidRDefault="00A97196" w:rsidP="00BC07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val="ro-MD"/>
              </w:rPr>
            </w:pPr>
          </w:p>
        </w:tc>
        <w:tc>
          <w:tcPr>
            <w:tcW w:w="825" w:type="dxa"/>
            <w:shd w:val="clear" w:color="auto" w:fill="D9D9D9" w:themeFill="background1" w:themeFillShade="D9"/>
          </w:tcPr>
          <w:p w14:paraId="6A6E9226" w14:textId="5F97069C" w:rsidR="00A97196" w:rsidRPr="00375F79" w:rsidRDefault="00A97196" w:rsidP="00BC075B">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val="ro-MD"/>
              </w:rPr>
            </w:pPr>
            <w:r w:rsidRPr="00375F79">
              <w:rPr>
                <w:rFonts w:ascii="Times New Roman" w:eastAsia="Times New Roman" w:hAnsi="Times New Roman" w:cs="Times New Roman"/>
                <w:b/>
                <w:bCs/>
                <w:sz w:val="18"/>
                <w:szCs w:val="18"/>
                <w:lang w:val="ro-MD"/>
              </w:rPr>
              <w:t>2021</w:t>
            </w:r>
          </w:p>
        </w:tc>
        <w:tc>
          <w:tcPr>
            <w:tcW w:w="545" w:type="dxa"/>
            <w:shd w:val="clear" w:color="auto" w:fill="D9D9D9" w:themeFill="background1" w:themeFillShade="D9"/>
          </w:tcPr>
          <w:p w14:paraId="2EE9A8D4" w14:textId="77777777" w:rsidR="00A97196" w:rsidRPr="00375F79" w:rsidRDefault="00A97196" w:rsidP="00BC075B">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val="ro-MD"/>
              </w:rPr>
            </w:pPr>
            <w:r w:rsidRPr="00375F79">
              <w:rPr>
                <w:rFonts w:ascii="Times New Roman" w:eastAsia="Times New Roman" w:hAnsi="Times New Roman" w:cs="Times New Roman"/>
                <w:b/>
                <w:bCs/>
                <w:sz w:val="18"/>
                <w:szCs w:val="18"/>
                <w:lang w:val="ro-MD"/>
              </w:rPr>
              <w:t>2022</w:t>
            </w:r>
          </w:p>
        </w:tc>
        <w:tc>
          <w:tcPr>
            <w:tcW w:w="579" w:type="dxa"/>
            <w:shd w:val="clear" w:color="auto" w:fill="D9D9D9" w:themeFill="background1" w:themeFillShade="D9"/>
          </w:tcPr>
          <w:p w14:paraId="10CB6438" w14:textId="0A3A5884" w:rsidR="00A97196" w:rsidRPr="00375F79" w:rsidRDefault="00A97196" w:rsidP="00BC07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val="ro-MD"/>
              </w:rPr>
            </w:pPr>
            <w:r w:rsidRPr="00375F79">
              <w:rPr>
                <w:rFonts w:ascii="Times New Roman" w:eastAsia="Times New Roman" w:hAnsi="Times New Roman" w:cs="Times New Roman"/>
                <w:b/>
                <w:bCs/>
                <w:sz w:val="18"/>
                <w:szCs w:val="18"/>
                <w:lang w:val="ro-MD"/>
              </w:rPr>
              <w:t>2023</w:t>
            </w:r>
          </w:p>
        </w:tc>
      </w:tr>
      <w:tr w:rsidR="00A97196" w:rsidRPr="003836D9" w14:paraId="40FCFD40" w14:textId="65D06BAB"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229B5134" w14:textId="4A8C5582" w:rsidR="00A97196" w:rsidRPr="00375F79" w:rsidRDefault="00A97196" w:rsidP="00375F79">
            <w:pPr>
              <w:tabs>
                <w:tab w:val="left" w:leader="dot" w:pos="7938"/>
              </w:tabs>
              <w:spacing w:line="259" w:lineRule="auto"/>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Creșterea reală a PIB (variație procentuală)</w:t>
            </w:r>
          </w:p>
        </w:tc>
        <w:tc>
          <w:tcPr>
            <w:tcW w:w="856" w:type="dxa"/>
          </w:tcPr>
          <w:p w14:paraId="433F5877" w14:textId="77D354F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-0.3</w:t>
            </w:r>
          </w:p>
        </w:tc>
        <w:tc>
          <w:tcPr>
            <w:tcW w:w="630" w:type="dxa"/>
          </w:tcPr>
          <w:p w14:paraId="7031A98A" w14:textId="7EEC8FF4"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4.4</w:t>
            </w:r>
          </w:p>
        </w:tc>
        <w:tc>
          <w:tcPr>
            <w:tcW w:w="641" w:type="dxa"/>
          </w:tcPr>
          <w:p w14:paraId="3C420AF2" w14:textId="3315BEE4"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4.7</w:t>
            </w:r>
          </w:p>
        </w:tc>
        <w:tc>
          <w:tcPr>
            <w:tcW w:w="708" w:type="dxa"/>
          </w:tcPr>
          <w:p w14:paraId="4CAAAA79" w14:textId="53150348"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4.3</w:t>
            </w:r>
          </w:p>
        </w:tc>
        <w:tc>
          <w:tcPr>
            <w:tcW w:w="709" w:type="dxa"/>
          </w:tcPr>
          <w:p w14:paraId="4A5AC583" w14:textId="68CD51F6"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3.7</w:t>
            </w:r>
          </w:p>
        </w:tc>
        <w:tc>
          <w:tcPr>
            <w:tcW w:w="709" w:type="dxa"/>
            <w:tcBorders>
              <w:top w:val="nil"/>
            </w:tcBorders>
          </w:tcPr>
          <w:p w14:paraId="17581F77" w14:textId="528281EC"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-7.4</w:t>
            </w:r>
          </w:p>
        </w:tc>
        <w:tc>
          <w:tcPr>
            <w:tcW w:w="709" w:type="dxa"/>
            <w:shd w:val="clear" w:color="auto" w:fill="auto"/>
          </w:tcPr>
          <w:p w14:paraId="26696C46" w14:textId="4AA6210E"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13,9</w:t>
            </w:r>
          </w:p>
        </w:tc>
        <w:tc>
          <w:tcPr>
            <w:tcW w:w="825" w:type="dxa"/>
            <w:shd w:val="clear" w:color="auto" w:fill="D9D9D9" w:themeFill="background1" w:themeFillShade="D9"/>
          </w:tcPr>
          <w:p w14:paraId="2ABBC8C9" w14:textId="619EDBF7"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7.5</w:t>
            </w:r>
          </w:p>
        </w:tc>
        <w:tc>
          <w:tcPr>
            <w:tcW w:w="545" w:type="dxa"/>
            <w:shd w:val="clear" w:color="auto" w:fill="D9D9D9" w:themeFill="background1" w:themeFillShade="D9"/>
          </w:tcPr>
          <w:p w14:paraId="01129579" w14:textId="28E1ABE3"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4.5</w:t>
            </w:r>
          </w:p>
        </w:tc>
        <w:tc>
          <w:tcPr>
            <w:tcW w:w="579" w:type="dxa"/>
            <w:shd w:val="clear" w:color="auto" w:fill="D9D9D9" w:themeFill="background1" w:themeFillShade="D9"/>
          </w:tcPr>
          <w:p w14:paraId="07BF6939" w14:textId="59BD64A0"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5.5</w:t>
            </w:r>
          </w:p>
        </w:tc>
      </w:tr>
      <w:tr w:rsidR="00A97196" w:rsidRPr="003836D9" w14:paraId="5F3B9B00" w14:textId="55346AF9"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448C663B" w14:textId="5BBC3EC0" w:rsidR="00A97196" w:rsidRPr="00375F79" w:rsidRDefault="00A97196" w:rsidP="00375F79">
            <w:pPr>
              <w:tabs>
                <w:tab w:val="left" w:leader="dot" w:pos="7938"/>
              </w:tabs>
              <w:spacing w:line="259" w:lineRule="auto"/>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Consum (variație procentuală)</w:t>
            </w:r>
          </w:p>
        </w:tc>
        <w:tc>
          <w:tcPr>
            <w:tcW w:w="856" w:type="dxa"/>
          </w:tcPr>
          <w:p w14:paraId="3AFA126F" w14:textId="7542D915"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-2.3</w:t>
            </w:r>
          </w:p>
        </w:tc>
        <w:tc>
          <w:tcPr>
            <w:tcW w:w="630" w:type="dxa"/>
          </w:tcPr>
          <w:p w14:paraId="26A2002C" w14:textId="68EEE674"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2.6</w:t>
            </w:r>
          </w:p>
        </w:tc>
        <w:tc>
          <w:tcPr>
            <w:tcW w:w="641" w:type="dxa"/>
          </w:tcPr>
          <w:p w14:paraId="2FED5547" w14:textId="18A63300"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4.7</w:t>
            </w:r>
          </w:p>
        </w:tc>
        <w:tc>
          <w:tcPr>
            <w:tcW w:w="708" w:type="dxa"/>
          </w:tcPr>
          <w:p w14:paraId="3EED4E99" w14:textId="544C3650"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3.3</w:t>
            </w:r>
          </w:p>
        </w:tc>
        <w:tc>
          <w:tcPr>
            <w:tcW w:w="709" w:type="dxa"/>
          </w:tcPr>
          <w:p w14:paraId="30ED1A33" w14:textId="642E6B3D"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2.9</w:t>
            </w:r>
          </w:p>
        </w:tc>
        <w:tc>
          <w:tcPr>
            <w:tcW w:w="709" w:type="dxa"/>
          </w:tcPr>
          <w:p w14:paraId="1312EF78" w14:textId="4C50F36A"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-6.4</w:t>
            </w:r>
          </w:p>
        </w:tc>
        <w:tc>
          <w:tcPr>
            <w:tcW w:w="709" w:type="dxa"/>
            <w:shd w:val="clear" w:color="auto" w:fill="auto"/>
          </w:tcPr>
          <w:p w14:paraId="7596EDF1" w14:textId="624EFE9C"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13,2</w:t>
            </w:r>
          </w:p>
        </w:tc>
        <w:tc>
          <w:tcPr>
            <w:tcW w:w="825" w:type="dxa"/>
            <w:shd w:val="clear" w:color="auto" w:fill="D9D9D9" w:themeFill="background1" w:themeFillShade="D9"/>
          </w:tcPr>
          <w:p w14:paraId="5879995F" w14:textId="356B6F3B"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6.5</w:t>
            </w:r>
          </w:p>
        </w:tc>
        <w:tc>
          <w:tcPr>
            <w:tcW w:w="545" w:type="dxa"/>
            <w:shd w:val="clear" w:color="auto" w:fill="D9D9D9" w:themeFill="background1" w:themeFillShade="D9"/>
          </w:tcPr>
          <w:p w14:paraId="4BFDB5FD" w14:textId="0712A04E"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4.0</w:t>
            </w:r>
          </w:p>
        </w:tc>
        <w:tc>
          <w:tcPr>
            <w:tcW w:w="579" w:type="dxa"/>
            <w:shd w:val="clear" w:color="auto" w:fill="D9D9D9" w:themeFill="background1" w:themeFillShade="D9"/>
          </w:tcPr>
          <w:p w14:paraId="56F8C64C" w14:textId="20921FD8"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3.9</w:t>
            </w:r>
          </w:p>
        </w:tc>
      </w:tr>
      <w:tr w:rsidR="00A97196" w:rsidRPr="003836D9" w14:paraId="0B1879DC" w14:textId="20DC2468"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7B35B3E2" w14:textId="51F77C3D" w:rsidR="00A97196" w:rsidRPr="00375F79" w:rsidRDefault="00A97196" w:rsidP="00375F79">
            <w:pPr>
              <w:tabs>
                <w:tab w:val="left" w:leader="dot" w:pos="7938"/>
              </w:tabs>
              <w:spacing w:line="259" w:lineRule="auto"/>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Formarea brută de capital fix (variație procentuală)</w:t>
            </w:r>
          </w:p>
        </w:tc>
        <w:tc>
          <w:tcPr>
            <w:tcW w:w="856" w:type="dxa"/>
          </w:tcPr>
          <w:p w14:paraId="5DE28469" w14:textId="1687365A"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-4.8</w:t>
            </w:r>
          </w:p>
        </w:tc>
        <w:tc>
          <w:tcPr>
            <w:tcW w:w="630" w:type="dxa"/>
          </w:tcPr>
          <w:p w14:paraId="55FE9FA3" w14:textId="5AA13DE3"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-0.9</w:t>
            </w:r>
          </w:p>
        </w:tc>
        <w:tc>
          <w:tcPr>
            <w:tcW w:w="641" w:type="dxa"/>
          </w:tcPr>
          <w:p w14:paraId="243F14D8" w14:textId="20F3E3A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8.0</w:t>
            </w:r>
          </w:p>
        </w:tc>
        <w:tc>
          <w:tcPr>
            <w:tcW w:w="708" w:type="dxa"/>
          </w:tcPr>
          <w:p w14:paraId="230F7A23" w14:textId="16956B3B"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14.5</w:t>
            </w:r>
          </w:p>
        </w:tc>
        <w:tc>
          <w:tcPr>
            <w:tcW w:w="709" w:type="dxa"/>
          </w:tcPr>
          <w:p w14:paraId="23CD5820" w14:textId="3BCA6274"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11.9</w:t>
            </w:r>
          </w:p>
        </w:tc>
        <w:tc>
          <w:tcPr>
            <w:tcW w:w="709" w:type="dxa"/>
          </w:tcPr>
          <w:p w14:paraId="17BA7B13" w14:textId="2C66D25D"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0.4</w:t>
            </w:r>
          </w:p>
        </w:tc>
        <w:tc>
          <w:tcPr>
            <w:tcW w:w="709" w:type="dxa"/>
            <w:shd w:val="clear" w:color="auto" w:fill="auto"/>
          </w:tcPr>
          <w:p w14:paraId="57D1526B" w14:textId="0B8A8F6D"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0,4</w:t>
            </w:r>
          </w:p>
        </w:tc>
        <w:tc>
          <w:tcPr>
            <w:tcW w:w="825" w:type="dxa"/>
            <w:shd w:val="clear" w:color="auto" w:fill="D9D9D9" w:themeFill="background1" w:themeFillShade="D9"/>
          </w:tcPr>
          <w:p w14:paraId="68104B43" w14:textId="3A3329A4"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5.8</w:t>
            </w:r>
          </w:p>
        </w:tc>
        <w:tc>
          <w:tcPr>
            <w:tcW w:w="545" w:type="dxa"/>
            <w:shd w:val="clear" w:color="auto" w:fill="D9D9D9" w:themeFill="background1" w:themeFillShade="D9"/>
          </w:tcPr>
          <w:p w14:paraId="54242E7E" w14:textId="67B3FA48"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5.6</w:t>
            </w:r>
          </w:p>
        </w:tc>
        <w:tc>
          <w:tcPr>
            <w:tcW w:w="579" w:type="dxa"/>
            <w:shd w:val="clear" w:color="auto" w:fill="D9D9D9" w:themeFill="background1" w:themeFillShade="D9"/>
          </w:tcPr>
          <w:p w14:paraId="386D789B" w14:textId="264D226B"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6.0</w:t>
            </w:r>
          </w:p>
        </w:tc>
      </w:tr>
      <w:tr w:rsidR="00A97196" w:rsidRPr="003836D9" w14:paraId="5B28D140" w14:textId="5AB8AF71"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4507977B" w14:textId="55C50256" w:rsidR="00A97196" w:rsidRPr="00375F79" w:rsidRDefault="00A97196" w:rsidP="00375F79">
            <w:pPr>
              <w:tabs>
                <w:tab w:val="left" w:leader="dot" w:pos="7938"/>
              </w:tabs>
              <w:spacing w:line="259" w:lineRule="auto"/>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Export de bunuri și servicii (variație procentuală)</w:t>
            </w:r>
          </w:p>
        </w:tc>
        <w:tc>
          <w:tcPr>
            <w:tcW w:w="856" w:type="dxa"/>
          </w:tcPr>
          <w:p w14:paraId="119B91F9" w14:textId="72862963"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2.6</w:t>
            </w:r>
          </w:p>
        </w:tc>
        <w:tc>
          <w:tcPr>
            <w:tcW w:w="630" w:type="dxa"/>
          </w:tcPr>
          <w:p w14:paraId="183BC577" w14:textId="481B89F6"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9.8</w:t>
            </w:r>
          </w:p>
        </w:tc>
        <w:tc>
          <w:tcPr>
            <w:tcW w:w="641" w:type="dxa"/>
          </w:tcPr>
          <w:p w14:paraId="48132F10" w14:textId="0D1EF519"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10.9</w:t>
            </w:r>
          </w:p>
        </w:tc>
        <w:tc>
          <w:tcPr>
            <w:tcW w:w="708" w:type="dxa"/>
          </w:tcPr>
          <w:p w14:paraId="23014192" w14:textId="1A6DC5B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7.2</w:t>
            </w:r>
          </w:p>
        </w:tc>
        <w:tc>
          <w:tcPr>
            <w:tcW w:w="709" w:type="dxa"/>
          </w:tcPr>
          <w:p w14:paraId="023D3FD5" w14:textId="2EC866A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8.2</w:t>
            </w:r>
          </w:p>
        </w:tc>
        <w:tc>
          <w:tcPr>
            <w:tcW w:w="709" w:type="dxa"/>
          </w:tcPr>
          <w:p w14:paraId="02C66DEE" w14:textId="33F7D24D"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-9</w:t>
            </w:r>
            <w:r>
              <w:rPr>
                <w:rFonts w:ascii="Times New Roman" w:eastAsia="Times New Roman" w:hAnsi="Times New Roman" w:cs="Times New Roman"/>
                <w:color w:val="000000"/>
                <w:sz w:val="18"/>
                <w:szCs w:val="18"/>
                <w:lang w:val="ro-MD"/>
              </w:rPr>
              <w:t>.</w:t>
            </w:r>
            <w:r w:rsidRPr="003836D9">
              <w:rPr>
                <w:rFonts w:ascii="Times New Roman" w:eastAsia="Times New Roman" w:hAnsi="Times New Roman" w:cs="Times New Roman"/>
                <w:color w:val="000000"/>
                <w:sz w:val="18"/>
                <w:szCs w:val="18"/>
                <w:lang w:val="ro-MD"/>
              </w:rPr>
              <w:t>6</w:t>
            </w:r>
          </w:p>
        </w:tc>
        <w:tc>
          <w:tcPr>
            <w:tcW w:w="709" w:type="dxa"/>
            <w:shd w:val="clear" w:color="auto" w:fill="auto"/>
          </w:tcPr>
          <w:p w14:paraId="67DC41E2" w14:textId="7FC9CF3E"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-5,0</w:t>
            </w:r>
          </w:p>
        </w:tc>
        <w:tc>
          <w:tcPr>
            <w:tcW w:w="825" w:type="dxa"/>
            <w:shd w:val="clear" w:color="auto" w:fill="D9D9D9" w:themeFill="background1" w:themeFillShade="D9"/>
          </w:tcPr>
          <w:p w14:paraId="1173E2A3" w14:textId="1453A48C"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11.1</w:t>
            </w:r>
          </w:p>
        </w:tc>
        <w:tc>
          <w:tcPr>
            <w:tcW w:w="545" w:type="dxa"/>
            <w:shd w:val="clear" w:color="auto" w:fill="D9D9D9" w:themeFill="background1" w:themeFillShade="D9"/>
          </w:tcPr>
          <w:p w14:paraId="25CA40E8" w14:textId="05B60D77"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6.5</w:t>
            </w:r>
          </w:p>
        </w:tc>
        <w:tc>
          <w:tcPr>
            <w:tcW w:w="579" w:type="dxa"/>
            <w:shd w:val="clear" w:color="auto" w:fill="D9D9D9" w:themeFill="background1" w:themeFillShade="D9"/>
          </w:tcPr>
          <w:p w14:paraId="7A2F79C8" w14:textId="5F797F3A"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8.5</w:t>
            </w:r>
          </w:p>
        </w:tc>
      </w:tr>
      <w:tr w:rsidR="00A97196" w:rsidRPr="003836D9" w14:paraId="4627E343" w14:textId="0A5FF7E7"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47F06B20" w14:textId="262F1D72" w:rsidR="00A97196" w:rsidRPr="00375F79" w:rsidRDefault="00A97196" w:rsidP="00375F79">
            <w:pPr>
              <w:tabs>
                <w:tab w:val="left" w:leader="dot" w:pos="7938"/>
              </w:tabs>
              <w:spacing w:line="259" w:lineRule="auto"/>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Import de bunuri și servicii (variație procentuală)</w:t>
            </w:r>
          </w:p>
        </w:tc>
        <w:tc>
          <w:tcPr>
            <w:tcW w:w="856" w:type="dxa"/>
          </w:tcPr>
          <w:p w14:paraId="610A60E8" w14:textId="04840C2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-5.8</w:t>
            </w:r>
          </w:p>
        </w:tc>
        <w:tc>
          <w:tcPr>
            <w:tcW w:w="630" w:type="dxa"/>
          </w:tcPr>
          <w:p w14:paraId="66348D67" w14:textId="65417F3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2.8</w:t>
            </w:r>
          </w:p>
        </w:tc>
        <w:tc>
          <w:tcPr>
            <w:tcW w:w="641" w:type="dxa"/>
          </w:tcPr>
          <w:p w14:paraId="0921A28E" w14:textId="463D9323"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11.0</w:t>
            </w:r>
          </w:p>
        </w:tc>
        <w:tc>
          <w:tcPr>
            <w:tcW w:w="708" w:type="dxa"/>
          </w:tcPr>
          <w:p w14:paraId="6A65D7E8" w14:textId="12CD61D5"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9.7</w:t>
            </w:r>
          </w:p>
        </w:tc>
        <w:tc>
          <w:tcPr>
            <w:tcW w:w="709" w:type="dxa"/>
          </w:tcPr>
          <w:p w14:paraId="6018D391" w14:textId="10AEDDE9"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6.2</w:t>
            </w:r>
          </w:p>
        </w:tc>
        <w:tc>
          <w:tcPr>
            <w:tcW w:w="709" w:type="dxa"/>
          </w:tcPr>
          <w:p w14:paraId="33795E48" w14:textId="045A8A99"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w:t>
            </w:r>
            <w:r>
              <w:rPr>
                <w:rFonts w:ascii="Times New Roman" w:eastAsia="Times New Roman" w:hAnsi="Times New Roman" w:cs="Times New Roman"/>
                <w:color w:val="000000"/>
                <w:sz w:val="18"/>
                <w:szCs w:val="18"/>
                <w:lang w:val="ro-MD"/>
              </w:rPr>
              <w:t>.</w:t>
            </w:r>
            <w:r w:rsidRPr="003836D9">
              <w:rPr>
                <w:rFonts w:ascii="Times New Roman" w:eastAsia="Times New Roman" w:hAnsi="Times New Roman" w:cs="Times New Roman"/>
                <w:color w:val="000000"/>
                <w:sz w:val="18"/>
                <w:szCs w:val="18"/>
                <w:lang w:val="ro-MD"/>
              </w:rPr>
              <w:t>0</w:t>
            </w:r>
          </w:p>
        </w:tc>
        <w:tc>
          <w:tcPr>
            <w:tcW w:w="709" w:type="dxa"/>
            <w:shd w:val="clear" w:color="auto" w:fill="auto"/>
          </w:tcPr>
          <w:p w14:paraId="1541A50E" w14:textId="7C2089C9"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9,8</w:t>
            </w:r>
          </w:p>
        </w:tc>
        <w:tc>
          <w:tcPr>
            <w:tcW w:w="825" w:type="dxa"/>
            <w:shd w:val="clear" w:color="auto" w:fill="D9D9D9" w:themeFill="background1" w:themeFillShade="D9"/>
          </w:tcPr>
          <w:p w14:paraId="5222CC9E" w14:textId="07D86FB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7.9</w:t>
            </w:r>
          </w:p>
        </w:tc>
        <w:tc>
          <w:tcPr>
            <w:tcW w:w="545" w:type="dxa"/>
            <w:shd w:val="clear" w:color="auto" w:fill="D9D9D9" w:themeFill="background1" w:themeFillShade="D9"/>
          </w:tcPr>
          <w:p w14:paraId="1C10A8C9" w14:textId="78AA407F"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5.6</w:t>
            </w:r>
          </w:p>
        </w:tc>
        <w:tc>
          <w:tcPr>
            <w:tcW w:w="579" w:type="dxa"/>
            <w:shd w:val="clear" w:color="auto" w:fill="D9D9D9" w:themeFill="background1" w:themeFillShade="D9"/>
          </w:tcPr>
          <w:p w14:paraId="1EB61157" w14:textId="0F049263"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5.2</w:t>
            </w:r>
          </w:p>
        </w:tc>
      </w:tr>
      <w:tr w:rsidR="00A97196" w:rsidRPr="003836D9" w14:paraId="2D9AEB46" w14:textId="49C407D4"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03465CAE" w14:textId="3BF832CA" w:rsidR="00A97196" w:rsidRPr="00375F79" w:rsidRDefault="00A97196" w:rsidP="00375F79">
            <w:pPr>
              <w:tabs>
                <w:tab w:val="left" w:leader="dot" w:pos="7938"/>
              </w:tabs>
              <w:spacing w:line="259" w:lineRule="auto"/>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Soldul administrației publice (% PIB)</w:t>
            </w:r>
          </w:p>
        </w:tc>
        <w:tc>
          <w:tcPr>
            <w:tcW w:w="856" w:type="dxa"/>
          </w:tcPr>
          <w:p w14:paraId="64355FCE" w14:textId="45188899"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-1.9</w:t>
            </w:r>
          </w:p>
        </w:tc>
        <w:tc>
          <w:tcPr>
            <w:tcW w:w="630" w:type="dxa"/>
          </w:tcPr>
          <w:p w14:paraId="6EA94E8E" w14:textId="67D55F7A"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-1.5</w:t>
            </w:r>
          </w:p>
        </w:tc>
        <w:tc>
          <w:tcPr>
            <w:tcW w:w="641" w:type="dxa"/>
          </w:tcPr>
          <w:p w14:paraId="70378CED" w14:textId="3FF998F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-0.6</w:t>
            </w:r>
          </w:p>
        </w:tc>
        <w:tc>
          <w:tcPr>
            <w:tcW w:w="708" w:type="dxa"/>
          </w:tcPr>
          <w:p w14:paraId="1E265D4E" w14:textId="2BB0FF1E"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-0.8</w:t>
            </w:r>
          </w:p>
        </w:tc>
        <w:tc>
          <w:tcPr>
            <w:tcW w:w="709" w:type="dxa"/>
          </w:tcPr>
          <w:p w14:paraId="40D640E5" w14:textId="24DEBE1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-1.4</w:t>
            </w:r>
          </w:p>
        </w:tc>
        <w:tc>
          <w:tcPr>
            <w:tcW w:w="709" w:type="dxa"/>
          </w:tcPr>
          <w:p w14:paraId="76845692" w14:textId="13D11D1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-5.1</w:t>
            </w:r>
          </w:p>
        </w:tc>
        <w:tc>
          <w:tcPr>
            <w:tcW w:w="709" w:type="dxa"/>
            <w:shd w:val="clear" w:color="auto" w:fill="auto"/>
          </w:tcPr>
          <w:p w14:paraId="67D204B1" w14:textId="0752E56D"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-1,9</w:t>
            </w:r>
          </w:p>
        </w:tc>
        <w:tc>
          <w:tcPr>
            <w:tcW w:w="825" w:type="dxa"/>
            <w:shd w:val="clear" w:color="auto" w:fill="D9D9D9" w:themeFill="background1" w:themeFillShade="D9"/>
          </w:tcPr>
          <w:p w14:paraId="4DFA26E2" w14:textId="1265D61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-5.2</w:t>
            </w:r>
          </w:p>
        </w:tc>
        <w:tc>
          <w:tcPr>
            <w:tcW w:w="545" w:type="dxa"/>
            <w:shd w:val="clear" w:color="auto" w:fill="D9D9D9" w:themeFill="background1" w:themeFillShade="D9"/>
          </w:tcPr>
          <w:p w14:paraId="10B29215" w14:textId="0E5EC8F3"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-6.0</w:t>
            </w:r>
          </w:p>
        </w:tc>
        <w:tc>
          <w:tcPr>
            <w:tcW w:w="579" w:type="dxa"/>
            <w:shd w:val="clear" w:color="auto" w:fill="D9D9D9" w:themeFill="background1" w:themeFillShade="D9"/>
          </w:tcPr>
          <w:p w14:paraId="006D25F6" w14:textId="68804B5B"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-5.1</w:t>
            </w:r>
          </w:p>
        </w:tc>
      </w:tr>
      <w:tr w:rsidR="00A97196" w:rsidRPr="003836D9" w14:paraId="650A19BD" w14:textId="76560EF4"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2B40A663" w14:textId="53C009FB" w:rsidR="00A97196" w:rsidRPr="00375F79" w:rsidRDefault="00A97196" w:rsidP="00375F79">
            <w:pPr>
              <w:tabs>
                <w:tab w:val="left" w:leader="dot" w:pos="7938"/>
              </w:tabs>
              <w:spacing w:line="259" w:lineRule="auto"/>
              <w:ind w:left="317"/>
              <w:rPr>
                <w:rFonts w:ascii="Times New Roman" w:eastAsia="Times New Roman" w:hAnsi="Times New Roman" w:cs="Times New Roman"/>
                <w:b w:val="0"/>
                <w:bCs w:val="0"/>
                <w:i/>
                <w:color w:val="000000"/>
                <w:sz w:val="18"/>
                <w:szCs w:val="18"/>
                <w:lang w:val="ro-MD"/>
              </w:rPr>
            </w:pPr>
            <w:r w:rsidRPr="00375F79">
              <w:rPr>
                <w:rFonts w:ascii="Times New Roman" w:eastAsia="Times New Roman" w:hAnsi="Times New Roman" w:cs="Times New Roman"/>
                <w:b w:val="0"/>
                <w:bCs w:val="0"/>
                <w:i/>
                <w:color w:val="000000"/>
                <w:sz w:val="18"/>
                <w:szCs w:val="18"/>
                <w:lang w:val="ro-MD"/>
              </w:rPr>
              <w:t>Venit</w:t>
            </w:r>
          </w:p>
        </w:tc>
        <w:tc>
          <w:tcPr>
            <w:tcW w:w="856" w:type="dxa"/>
          </w:tcPr>
          <w:p w14:paraId="165FE93B" w14:textId="6EF67C40"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30.0</w:t>
            </w:r>
          </w:p>
        </w:tc>
        <w:tc>
          <w:tcPr>
            <w:tcW w:w="630" w:type="dxa"/>
          </w:tcPr>
          <w:p w14:paraId="788347F5" w14:textId="2A89C65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26.4</w:t>
            </w:r>
          </w:p>
        </w:tc>
        <w:tc>
          <w:tcPr>
            <w:tcW w:w="641" w:type="dxa"/>
          </w:tcPr>
          <w:p w14:paraId="5F6C85CD" w14:textId="6876A66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27.9</w:t>
            </w:r>
          </w:p>
        </w:tc>
        <w:tc>
          <w:tcPr>
            <w:tcW w:w="708" w:type="dxa"/>
          </w:tcPr>
          <w:p w14:paraId="6155F6CB" w14:textId="63C73256"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28.5</w:t>
            </w:r>
          </w:p>
        </w:tc>
        <w:tc>
          <w:tcPr>
            <w:tcW w:w="709" w:type="dxa"/>
          </w:tcPr>
          <w:p w14:paraId="39E9A41C" w14:textId="287BEDA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27.8</w:t>
            </w:r>
          </w:p>
        </w:tc>
        <w:tc>
          <w:tcPr>
            <w:tcW w:w="709" w:type="dxa"/>
          </w:tcPr>
          <w:p w14:paraId="5349A242" w14:textId="00BAD854"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28.6</w:t>
            </w:r>
          </w:p>
        </w:tc>
        <w:tc>
          <w:tcPr>
            <w:tcW w:w="709" w:type="dxa"/>
            <w:shd w:val="clear" w:color="auto" w:fill="auto"/>
          </w:tcPr>
          <w:p w14:paraId="626CE1B7" w14:textId="12382E63"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32,0</w:t>
            </w:r>
          </w:p>
        </w:tc>
        <w:tc>
          <w:tcPr>
            <w:tcW w:w="825" w:type="dxa"/>
            <w:shd w:val="clear" w:color="auto" w:fill="D9D9D9" w:themeFill="background1" w:themeFillShade="D9"/>
          </w:tcPr>
          <w:p w14:paraId="4AE2A0E2" w14:textId="7F0AF52E"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29.7</w:t>
            </w:r>
          </w:p>
        </w:tc>
        <w:tc>
          <w:tcPr>
            <w:tcW w:w="545" w:type="dxa"/>
            <w:shd w:val="clear" w:color="auto" w:fill="D9D9D9" w:themeFill="background1" w:themeFillShade="D9"/>
          </w:tcPr>
          <w:p w14:paraId="7342CEF2" w14:textId="2CC9B8AE"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29.9</w:t>
            </w:r>
          </w:p>
        </w:tc>
        <w:tc>
          <w:tcPr>
            <w:tcW w:w="579" w:type="dxa"/>
            <w:shd w:val="clear" w:color="auto" w:fill="D9D9D9" w:themeFill="background1" w:themeFillShade="D9"/>
          </w:tcPr>
          <w:p w14:paraId="5E889682" w14:textId="55BC0A9B"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30.4</w:t>
            </w:r>
          </w:p>
        </w:tc>
      </w:tr>
      <w:tr w:rsidR="00A97196" w:rsidRPr="003836D9" w14:paraId="532DCF1D" w14:textId="3902E5F3"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4F8A635E" w14:textId="30FE7BE3" w:rsidR="00A97196" w:rsidRPr="00375F79" w:rsidRDefault="00A97196" w:rsidP="00375F79">
            <w:pPr>
              <w:tabs>
                <w:tab w:val="left" w:leader="dot" w:pos="7938"/>
              </w:tabs>
              <w:spacing w:line="259" w:lineRule="auto"/>
              <w:ind w:left="317"/>
              <w:rPr>
                <w:rFonts w:ascii="Times New Roman" w:eastAsia="Times New Roman" w:hAnsi="Times New Roman" w:cs="Times New Roman"/>
                <w:b w:val="0"/>
                <w:bCs w:val="0"/>
                <w:i/>
                <w:color w:val="000000"/>
                <w:sz w:val="18"/>
                <w:szCs w:val="18"/>
                <w:lang w:val="ro-MD"/>
              </w:rPr>
            </w:pPr>
            <w:r w:rsidRPr="00375F79">
              <w:rPr>
                <w:rFonts w:ascii="Times New Roman" w:eastAsia="Times New Roman" w:hAnsi="Times New Roman" w:cs="Times New Roman"/>
                <w:b w:val="0"/>
                <w:bCs w:val="0"/>
                <w:i/>
                <w:color w:val="000000"/>
                <w:sz w:val="18"/>
                <w:szCs w:val="18"/>
                <w:lang w:val="ro-MD"/>
              </w:rPr>
              <w:t>Cheltuieli</w:t>
            </w:r>
          </w:p>
        </w:tc>
        <w:tc>
          <w:tcPr>
            <w:tcW w:w="856" w:type="dxa"/>
          </w:tcPr>
          <w:p w14:paraId="6E9070F3" w14:textId="7362AE36"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31.8</w:t>
            </w:r>
          </w:p>
        </w:tc>
        <w:tc>
          <w:tcPr>
            <w:tcW w:w="630" w:type="dxa"/>
          </w:tcPr>
          <w:p w14:paraId="364A1EC0" w14:textId="562597D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27.2</w:t>
            </w:r>
          </w:p>
        </w:tc>
        <w:tc>
          <w:tcPr>
            <w:tcW w:w="641" w:type="dxa"/>
          </w:tcPr>
          <w:p w14:paraId="548A8AFC" w14:textId="4D9FDA45"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27.4</w:t>
            </w:r>
          </w:p>
        </w:tc>
        <w:tc>
          <w:tcPr>
            <w:tcW w:w="708" w:type="dxa"/>
          </w:tcPr>
          <w:p w14:paraId="6202BA37" w14:textId="08856C80"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27.8</w:t>
            </w:r>
          </w:p>
        </w:tc>
        <w:tc>
          <w:tcPr>
            <w:tcW w:w="709" w:type="dxa"/>
          </w:tcPr>
          <w:p w14:paraId="1DAEB390" w14:textId="01A01F67"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28.0</w:t>
            </w:r>
          </w:p>
        </w:tc>
        <w:tc>
          <w:tcPr>
            <w:tcW w:w="709" w:type="dxa"/>
          </w:tcPr>
          <w:p w14:paraId="522B5E26" w14:textId="76E16F08"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31.8</w:t>
            </w:r>
          </w:p>
        </w:tc>
        <w:tc>
          <w:tcPr>
            <w:tcW w:w="709" w:type="dxa"/>
            <w:shd w:val="clear" w:color="auto" w:fill="auto"/>
          </w:tcPr>
          <w:p w14:paraId="7F448997" w14:textId="105850C1"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33,9</w:t>
            </w:r>
          </w:p>
        </w:tc>
        <w:tc>
          <w:tcPr>
            <w:tcW w:w="825" w:type="dxa"/>
            <w:shd w:val="clear" w:color="auto" w:fill="D9D9D9" w:themeFill="background1" w:themeFillShade="D9"/>
          </w:tcPr>
          <w:p w14:paraId="64C7B28A" w14:textId="061C1B00"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33.5</w:t>
            </w:r>
          </w:p>
        </w:tc>
        <w:tc>
          <w:tcPr>
            <w:tcW w:w="545" w:type="dxa"/>
            <w:shd w:val="clear" w:color="auto" w:fill="D9D9D9" w:themeFill="background1" w:themeFillShade="D9"/>
          </w:tcPr>
          <w:p w14:paraId="5C19570F" w14:textId="167185A7"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33.9</w:t>
            </w:r>
          </w:p>
        </w:tc>
        <w:tc>
          <w:tcPr>
            <w:tcW w:w="579" w:type="dxa"/>
            <w:shd w:val="clear" w:color="auto" w:fill="D9D9D9" w:themeFill="background1" w:themeFillShade="D9"/>
          </w:tcPr>
          <w:p w14:paraId="3F3C6442" w14:textId="159669F6"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33.2</w:t>
            </w:r>
          </w:p>
        </w:tc>
      </w:tr>
      <w:tr w:rsidR="00A97196" w:rsidRPr="003836D9" w14:paraId="380425E1" w14:textId="0ADF0EAC"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1F6F5E42" w14:textId="76A75B7E" w:rsidR="00A97196" w:rsidRPr="00375F79" w:rsidRDefault="00A97196" w:rsidP="00375F79">
            <w:pPr>
              <w:tabs>
                <w:tab w:val="left" w:leader="dot" w:pos="7938"/>
              </w:tabs>
              <w:spacing w:line="259" w:lineRule="auto"/>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Datoria publică și garantată public (% PIB)</w:t>
            </w:r>
          </w:p>
        </w:tc>
        <w:tc>
          <w:tcPr>
            <w:tcW w:w="856" w:type="dxa"/>
          </w:tcPr>
          <w:p w14:paraId="58A1B9A2" w14:textId="2DD5E6C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29.6</w:t>
            </w:r>
          </w:p>
        </w:tc>
        <w:tc>
          <w:tcPr>
            <w:tcW w:w="630" w:type="dxa"/>
          </w:tcPr>
          <w:p w14:paraId="4F5B7336" w14:textId="4BCF22EF"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37.0</w:t>
            </w:r>
          </w:p>
        </w:tc>
        <w:tc>
          <w:tcPr>
            <w:tcW w:w="641" w:type="dxa"/>
          </w:tcPr>
          <w:p w14:paraId="025FC606" w14:textId="79DB90EC"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32.7</w:t>
            </w:r>
          </w:p>
        </w:tc>
        <w:tc>
          <w:tcPr>
            <w:tcW w:w="708" w:type="dxa"/>
          </w:tcPr>
          <w:p w14:paraId="2F3C7AC5" w14:textId="030873BD"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30.3</w:t>
            </w:r>
          </w:p>
        </w:tc>
        <w:tc>
          <w:tcPr>
            <w:tcW w:w="709" w:type="dxa"/>
          </w:tcPr>
          <w:p w14:paraId="3E3E9FF3" w14:textId="7A8EF316"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27.9</w:t>
            </w:r>
          </w:p>
        </w:tc>
        <w:tc>
          <w:tcPr>
            <w:tcW w:w="709" w:type="dxa"/>
          </w:tcPr>
          <w:p w14:paraId="038B0998" w14:textId="69E08E72"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35.0</w:t>
            </w:r>
          </w:p>
        </w:tc>
        <w:tc>
          <w:tcPr>
            <w:tcW w:w="709" w:type="dxa"/>
            <w:shd w:val="clear" w:color="auto" w:fill="auto"/>
          </w:tcPr>
          <w:p w14:paraId="7E1A5C59" w14:textId="0220D481" w:rsidR="00A97196" w:rsidRPr="0016500E" w:rsidRDefault="0016500E"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w:t>
            </w:r>
          </w:p>
        </w:tc>
        <w:tc>
          <w:tcPr>
            <w:tcW w:w="825" w:type="dxa"/>
            <w:shd w:val="clear" w:color="auto" w:fill="D9D9D9" w:themeFill="background1" w:themeFillShade="D9"/>
          </w:tcPr>
          <w:p w14:paraId="07FBB74E" w14:textId="035F67B6"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37.1</w:t>
            </w:r>
          </w:p>
        </w:tc>
        <w:tc>
          <w:tcPr>
            <w:tcW w:w="545" w:type="dxa"/>
            <w:shd w:val="clear" w:color="auto" w:fill="D9D9D9" w:themeFill="background1" w:themeFillShade="D9"/>
          </w:tcPr>
          <w:p w14:paraId="5EB3EFD2" w14:textId="1625C0DD"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40.0</w:t>
            </w:r>
          </w:p>
        </w:tc>
        <w:tc>
          <w:tcPr>
            <w:tcW w:w="579" w:type="dxa"/>
            <w:shd w:val="clear" w:color="auto" w:fill="D9D9D9" w:themeFill="background1" w:themeFillShade="D9"/>
          </w:tcPr>
          <w:p w14:paraId="2A429608" w14:textId="18CDC597"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42.0</w:t>
            </w:r>
          </w:p>
        </w:tc>
      </w:tr>
      <w:tr w:rsidR="00A97196" w:rsidRPr="003836D9" w14:paraId="13BED53B" w14:textId="57827790"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122DF35F" w14:textId="5AD9052C" w:rsidR="00A97196" w:rsidRPr="00375F79" w:rsidRDefault="00A97196" w:rsidP="00375F79">
            <w:pPr>
              <w:tabs>
                <w:tab w:val="left" w:leader="dot" w:pos="7938"/>
              </w:tabs>
              <w:spacing w:line="259" w:lineRule="auto"/>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Soldul contului curent (% PIB)</w:t>
            </w:r>
          </w:p>
        </w:tc>
        <w:tc>
          <w:tcPr>
            <w:tcW w:w="856" w:type="dxa"/>
          </w:tcPr>
          <w:p w14:paraId="7271DF45" w14:textId="010825A8"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-6.0</w:t>
            </w:r>
          </w:p>
        </w:tc>
        <w:tc>
          <w:tcPr>
            <w:tcW w:w="630" w:type="dxa"/>
          </w:tcPr>
          <w:p w14:paraId="158F4F55" w14:textId="18B78DE4"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-3.6</w:t>
            </w:r>
          </w:p>
        </w:tc>
        <w:tc>
          <w:tcPr>
            <w:tcW w:w="641" w:type="dxa"/>
          </w:tcPr>
          <w:p w14:paraId="35E32DB2" w14:textId="5E6B29CD"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-5.7</w:t>
            </w:r>
          </w:p>
        </w:tc>
        <w:tc>
          <w:tcPr>
            <w:tcW w:w="708" w:type="dxa"/>
          </w:tcPr>
          <w:p w14:paraId="675CD9E2" w14:textId="12886C20"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-10.6</w:t>
            </w:r>
          </w:p>
        </w:tc>
        <w:tc>
          <w:tcPr>
            <w:tcW w:w="709" w:type="dxa"/>
          </w:tcPr>
          <w:p w14:paraId="701F933B" w14:textId="54C2E323"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-9.3</w:t>
            </w:r>
          </w:p>
        </w:tc>
        <w:tc>
          <w:tcPr>
            <w:tcW w:w="709" w:type="dxa"/>
          </w:tcPr>
          <w:p w14:paraId="0660405D" w14:textId="76C1693F"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-7.5</w:t>
            </w:r>
          </w:p>
        </w:tc>
        <w:tc>
          <w:tcPr>
            <w:tcW w:w="709" w:type="dxa"/>
            <w:shd w:val="clear" w:color="auto" w:fill="auto"/>
          </w:tcPr>
          <w:p w14:paraId="77F8403E" w14:textId="271EA5DA"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-11,6</w:t>
            </w:r>
          </w:p>
        </w:tc>
        <w:tc>
          <w:tcPr>
            <w:tcW w:w="825" w:type="dxa"/>
            <w:shd w:val="clear" w:color="auto" w:fill="D9D9D9" w:themeFill="background1" w:themeFillShade="D9"/>
          </w:tcPr>
          <w:p w14:paraId="3591E210" w14:textId="5455BB1E"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-11.3</w:t>
            </w:r>
          </w:p>
        </w:tc>
        <w:tc>
          <w:tcPr>
            <w:tcW w:w="545" w:type="dxa"/>
            <w:shd w:val="clear" w:color="auto" w:fill="D9D9D9" w:themeFill="background1" w:themeFillShade="D9"/>
          </w:tcPr>
          <w:p w14:paraId="389A5515" w14:textId="6C575E1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-10.2</w:t>
            </w:r>
          </w:p>
        </w:tc>
        <w:tc>
          <w:tcPr>
            <w:tcW w:w="579" w:type="dxa"/>
            <w:shd w:val="clear" w:color="auto" w:fill="D9D9D9" w:themeFill="background1" w:themeFillShade="D9"/>
          </w:tcPr>
          <w:p w14:paraId="4331B42B" w14:textId="5447512D"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-9.4</w:t>
            </w:r>
          </w:p>
        </w:tc>
      </w:tr>
      <w:tr w:rsidR="00A97196" w:rsidRPr="003836D9" w14:paraId="2D0FB852" w14:textId="64D99BD4" w:rsidTr="00A97196">
        <w:trPr>
          <w:trHeight w:val="294"/>
        </w:trPr>
        <w:tc>
          <w:tcPr>
            <w:cnfStyle w:val="001000000000" w:firstRow="0" w:lastRow="0" w:firstColumn="1" w:lastColumn="0" w:oddVBand="0" w:evenVBand="0" w:oddHBand="0" w:evenHBand="0" w:firstRowFirstColumn="0" w:firstRowLastColumn="0" w:lastRowFirstColumn="0" w:lastRowLastColumn="0"/>
            <w:tcW w:w="2551" w:type="dxa"/>
          </w:tcPr>
          <w:p w14:paraId="1B0700AB" w14:textId="766FBEAF" w:rsidR="00A97196" w:rsidRPr="00375F79" w:rsidRDefault="00A97196" w:rsidP="00375F79">
            <w:pPr>
              <w:tabs>
                <w:tab w:val="left" w:leader="dot" w:pos="7938"/>
              </w:tabs>
              <w:spacing w:line="259" w:lineRule="auto"/>
              <w:ind w:left="17"/>
              <w:rPr>
                <w:rFonts w:ascii="Times New Roman" w:eastAsia="Times New Roman" w:hAnsi="Times New Roman" w:cs="Times New Roman"/>
                <w:b w:val="0"/>
                <w:bCs w:val="0"/>
                <w:color w:val="000000"/>
                <w:sz w:val="18"/>
                <w:szCs w:val="18"/>
                <w:lang w:val="ro-MD"/>
              </w:rPr>
            </w:pPr>
            <w:r w:rsidRPr="00375F79">
              <w:rPr>
                <w:rFonts w:ascii="Times New Roman" w:eastAsia="Times New Roman" w:hAnsi="Times New Roman" w:cs="Times New Roman"/>
                <w:b w:val="0"/>
                <w:bCs w:val="0"/>
                <w:color w:val="000000"/>
                <w:sz w:val="18"/>
                <w:szCs w:val="18"/>
                <w:lang w:val="ro-MD"/>
              </w:rPr>
              <w:t xml:space="preserve">Remitențe primite (% PIB) </w:t>
            </w:r>
          </w:p>
        </w:tc>
        <w:tc>
          <w:tcPr>
            <w:tcW w:w="856" w:type="dxa"/>
          </w:tcPr>
          <w:p w14:paraId="0C765F88" w14:textId="16AC765D"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19.8</w:t>
            </w:r>
          </w:p>
        </w:tc>
        <w:tc>
          <w:tcPr>
            <w:tcW w:w="630" w:type="dxa"/>
          </w:tcPr>
          <w:p w14:paraId="343BA778" w14:textId="4FC44454"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16.4</w:t>
            </w:r>
          </w:p>
        </w:tc>
        <w:tc>
          <w:tcPr>
            <w:tcW w:w="641" w:type="dxa"/>
          </w:tcPr>
          <w:p w14:paraId="6F946FDF" w14:textId="75A25DAC"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15.4</w:t>
            </w:r>
          </w:p>
        </w:tc>
        <w:tc>
          <w:tcPr>
            <w:tcW w:w="708" w:type="dxa"/>
          </w:tcPr>
          <w:p w14:paraId="2C94B094" w14:textId="29156C87"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14.6</w:t>
            </w:r>
          </w:p>
        </w:tc>
        <w:tc>
          <w:tcPr>
            <w:tcW w:w="709" w:type="dxa"/>
          </w:tcPr>
          <w:p w14:paraId="5F46ED43" w14:textId="14A403E7"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14.4</w:t>
            </w:r>
          </w:p>
        </w:tc>
        <w:tc>
          <w:tcPr>
            <w:tcW w:w="709" w:type="dxa"/>
          </w:tcPr>
          <w:p w14:paraId="3F0918D4" w14:textId="52EC51BD"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14.0</w:t>
            </w:r>
          </w:p>
        </w:tc>
        <w:tc>
          <w:tcPr>
            <w:tcW w:w="709" w:type="dxa"/>
            <w:shd w:val="clear" w:color="auto" w:fill="auto"/>
          </w:tcPr>
          <w:p w14:paraId="783D0C59" w14:textId="5DCD5657" w:rsidR="00A97196" w:rsidRPr="00A97196"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13,1</w:t>
            </w:r>
          </w:p>
        </w:tc>
        <w:tc>
          <w:tcPr>
            <w:tcW w:w="825" w:type="dxa"/>
            <w:shd w:val="clear" w:color="auto" w:fill="D9D9D9" w:themeFill="background1" w:themeFillShade="D9"/>
          </w:tcPr>
          <w:p w14:paraId="5B0A4FA9" w14:textId="09C57C45"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14.5</w:t>
            </w:r>
          </w:p>
        </w:tc>
        <w:tc>
          <w:tcPr>
            <w:tcW w:w="545" w:type="dxa"/>
            <w:shd w:val="clear" w:color="auto" w:fill="D9D9D9" w:themeFill="background1" w:themeFillShade="D9"/>
          </w:tcPr>
          <w:p w14:paraId="359EEDA6" w14:textId="19838A01" w:rsidR="00A97196" w:rsidRPr="003836D9" w:rsidRDefault="00A97196" w:rsidP="00375F79">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14.8</w:t>
            </w:r>
          </w:p>
        </w:tc>
        <w:tc>
          <w:tcPr>
            <w:tcW w:w="579" w:type="dxa"/>
            <w:shd w:val="clear" w:color="auto" w:fill="D9D9D9" w:themeFill="background1" w:themeFillShade="D9"/>
          </w:tcPr>
          <w:p w14:paraId="0B3BF56D" w14:textId="1F06DFBA" w:rsidR="00A97196" w:rsidRPr="003836D9" w:rsidRDefault="00A97196" w:rsidP="00375F7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o-MD"/>
              </w:rPr>
            </w:pPr>
            <w:r w:rsidRPr="003836D9">
              <w:rPr>
                <w:rFonts w:ascii="Times New Roman" w:eastAsia="Times New Roman" w:hAnsi="Times New Roman" w:cs="Times New Roman"/>
                <w:color w:val="000000"/>
                <w:sz w:val="18"/>
                <w:szCs w:val="18"/>
                <w:lang w:val="ro-MD"/>
              </w:rPr>
              <w:t>14.7</w:t>
            </w:r>
          </w:p>
        </w:tc>
      </w:tr>
    </w:tbl>
    <w:p w14:paraId="4F1EF269" w14:textId="3710AE3D" w:rsidR="00A90C9A" w:rsidRPr="003836D9" w:rsidRDefault="00086D06" w:rsidP="00756252">
      <w:pPr>
        <w:tabs>
          <w:tab w:val="left" w:leader="dot" w:pos="7938"/>
        </w:tabs>
        <w:spacing w:after="120"/>
        <w:ind w:left="720"/>
        <w:jc w:val="both"/>
        <w:rPr>
          <w:rFonts w:ascii="Times New Roman" w:eastAsia="Times New Roman" w:hAnsi="Times New Roman" w:cs="Times New Roman"/>
          <w:sz w:val="18"/>
          <w:szCs w:val="18"/>
          <w:lang w:val="ro-MD" w:eastAsia="en-GB"/>
        </w:rPr>
      </w:pPr>
      <w:r w:rsidRPr="003836D9">
        <w:rPr>
          <w:rFonts w:ascii="Times New Roman" w:eastAsia="Times New Roman" w:hAnsi="Times New Roman" w:cs="Times New Roman"/>
          <w:i/>
          <w:color w:val="000000"/>
          <w:sz w:val="18"/>
          <w:szCs w:val="18"/>
          <w:lang w:val="ro-MD"/>
        </w:rPr>
        <w:t>Sursa</w:t>
      </w:r>
      <w:r w:rsidR="00A90C9A" w:rsidRPr="003836D9">
        <w:rPr>
          <w:rFonts w:ascii="Times New Roman" w:eastAsia="Times New Roman" w:hAnsi="Times New Roman" w:cs="Times New Roman"/>
          <w:color w:val="000000"/>
          <w:sz w:val="18"/>
          <w:szCs w:val="18"/>
          <w:lang w:val="ro-MD"/>
        </w:rPr>
        <w:t xml:space="preserve">: </w:t>
      </w:r>
      <w:r w:rsidR="008E3F20" w:rsidRPr="003836D9">
        <w:rPr>
          <w:rFonts w:ascii="Times New Roman" w:eastAsia="Times New Roman" w:hAnsi="Times New Roman" w:cs="Times New Roman"/>
          <w:color w:val="000000"/>
          <w:sz w:val="18"/>
          <w:szCs w:val="18"/>
          <w:lang w:val="ro-MD"/>
        </w:rPr>
        <w:t>Biroul Național de Statistică</w:t>
      </w:r>
      <w:r w:rsidR="00A90C9A" w:rsidRPr="003836D9">
        <w:rPr>
          <w:rFonts w:ascii="Times New Roman" w:eastAsia="Times New Roman" w:hAnsi="Times New Roman" w:cs="Times New Roman"/>
          <w:color w:val="000000"/>
          <w:sz w:val="18"/>
          <w:szCs w:val="18"/>
          <w:lang w:val="ro-MD"/>
        </w:rPr>
        <w:t xml:space="preserve">: </w:t>
      </w:r>
      <w:r w:rsidR="008E3F20" w:rsidRPr="003836D9">
        <w:rPr>
          <w:rFonts w:ascii="Times New Roman" w:eastAsia="Times New Roman" w:hAnsi="Times New Roman" w:cs="Times New Roman"/>
          <w:i/>
          <w:color w:val="000000"/>
          <w:sz w:val="18"/>
          <w:szCs w:val="18"/>
          <w:lang w:val="ro-MD"/>
        </w:rPr>
        <w:t xml:space="preserve">Produsul Intern Brut </w:t>
      </w:r>
      <w:r w:rsidR="00A90C9A" w:rsidRPr="003836D9">
        <w:rPr>
          <w:rFonts w:ascii="Times New Roman" w:eastAsia="Times New Roman" w:hAnsi="Times New Roman" w:cs="Times New Roman"/>
          <w:color w:val="000000"/>
          <w:sz w:val="18"/>
          <w:szCs w:val="18"/>
          <w:lang w:val="ro-MD"/>
        </w:rPr>
        <w:t>(</w:t>
      </w:r>
      <w:r w:rsidR="003D47EC" w:rsidRPr="003836D9">
        <w:rPr>
          <w:rFonts w:ascii="Times New Roman" w:eastAsia="Times New Roman" w:hAnsi="Times New Roman" w:cs="Times New Roman"/>
          <w:color w:val="000000"/>
          <w:sz w:val="18"/>
          <w:szCs w:val="18"/>
          <w:lang w:val="ro-MD"/>
        </w:rPr>
        <w:t>diverși ani</w:t>
      </w:r>
      <w:r w:rsidR="00A90C9A" w:rsidRPr="003836D9">
        <w:rPr>
          <w:rFonts w:ascii="Times New Roman" w:eastAsia="Times New Roman" w:hAnsi="Times New Roman" w:cs="Times New Roman"/>
          <w:color w:val="000000"/>
          <w:sz w:val="18"/>
          <w:szCs w:val="18"/>
          <w:lang w:val="ro-MD"/>
        </w:rPr>
        <w:t xml:space="preserve">); </w:t>
      </w:r>
      <w:r w:rsidR="008E3F20" w:rsidRPr="003836D9">
        <w:rPr>
          <w:rFonts w:ascii="Times New Roman" w:eastAsia="Times New Roman" w:hAnsi="Times New Roman" w:cs="Times New Roman"/>
          <w:color w:val="000000"/>
          <w:sz w:val="18"/>
          <w:szCs w:val="18"/>
          <w:lang w:val="ro-MD"/>
        </w:rPr>
        <w:t>Banca Mondială</w:t>
      </w:r>
      <w:r w:rsidR="00274E59" w:rsidRPr="003836D9">
        <w:rPr>
          <w:rFonts w:ascii="Times New Roman" w:eastAsia="Times New Roman" w:hAnsi="Times New Roman" w:cs="Times New Roman"/>
          <w:color w:val="000000"/>
          <w:sz w:val="18"/>
          <w:szCs w:val="18"/>
          <w:lang w:val="ro-MD"/>
        </w:rPr>
        <w:t xml:space="preserve">: </w:t>
      </w:r>
      <w:r w:rsidR="008E3F20" w:rsidRPr="003836D9">
        <w:rPr>
          <w:rFonts w:ascii="Times New Roman" w:eastAsia="Times New Roman" w:hAnsi="Times New Roman" w:cs="Times New Roman"/>
          <w:color w:val="000000"/>
          <w:sz w:val="18"/>
          <w:szCs w:val="18"/>
          <w:lang w:val="ro-MD"/>
        </w:rPr>
        <w:t>Indicatori de dezvoltare mondială</w:t>
      </w:r>
      <w:r w:rsidR="00274E59" w:rsidRPr="003836D9">
        <w:rPr>
          <w:rFonts w:ascii="Times New Roman" w:eastAsia="Times New Roman" w:hAnsi="Times New Roman" w:cs="Times New Roman"/>
          <w:color w:val="000000"/>
          <w:sz w:val="18"/>
          <w:szCs w:val="18"/>
          <w:lang w:val="ro-MD"/>
        </w:rPr>
        <w:t xml:space="preserve"> (</w:t>
      </w:r>
      <w:r w:rsidR="003D47EC" w:rsidRPr="003836D9">
        <w:rPr>
          <w:rFonts w:ascii="Times New Roman" w:eastAsia="Times New Roman" w:hAnsi="Times New Roman" w:cs="Times New Roman"/>
          <w:color w:val="000000"/>
          <w:sz w:val="18"/>
          <w:szCs w:val="18"/>
          <w:lang w:val="ro-MD"/>
        </w:rPr>
        <w:t>diverși ani</w:t>
      </w:r>
      <w:r w:rsidR="00274E59" w:rsidRPr="003836D9">
        <w:rPr>
          <w:rFonts w:ascii="Times New Roman" w:eastAsia="Times New Roman" w:hAnsi="Times New Roman" w:cs="Times New Roman"/>
          <w:color w:val="000000"/>
          <w:sz w:val="18"/>
          <w:szCs w:val="18"/>
          <w:lang w:val="ro-MD"/>
        </w:rPr>
        <w:t xml:space="preserve">); </w:t>
      </w:r>
      <w:r w:rsidR="008D172C" w:rsidRPr="003836D9">
        <w:rPr>
          <w:rFonts w:ascii="Times New Roman" w:eastAsia="Times New Roman" w:hAnsi="Times New Roman" w:cs="Times New Roman"/>
          <w:color w:val="000000"/>
          <w:sz w:val="18"/>
          <w:szCs w:val="18"/>
          <w:lang w:val="ro-MD"/>
        </w:rPr>
        <w:t>Banca Mondială</w:t>
      </w:r>
      <w:r w:rsidR="00274E59" w:rsidRPr="003836D9">
        <w:rPr>
          <w:rFonts w:ascii="Times New Roman" w:eastAsia="Times New Roman" w:hAnsi="Times New Roman" w:cs="Times New Roman"/>
          <w:color w:val="000000"/>
          <w:sz w:val="18"/>
          <w:szCs w:val="18"/>
          <w:lang w:val="ro-MD"/>
        </w:rPr>
        <w:t>:</w:t>
      </w:r>
      <w:r w:rsidR="00A90C9A" w:rsidRPr="003836D9">
        <w:rPr>
          <w:rFonts w:ascii="Times New Roman" w:eastAsia="Times New Roman" w:hAnsi="Times New Roman" w:cs="Times New Roman"/>
          <w:sz w:val="18"/>
          <w:szCs w:val="18"/>
          <w:lang w:val="ro-MD" w:eastAsia="en-GB"/>
        </w:rPr>
        <w:t xml:space="preserve"> </w:t>
      </w:r>
      <w:r w:rsidR="008D172C" w:rsidRPr="003836D9">
        <w:rPr>
          <w:rFonts w:ascii="Times New Roman" w:hAnsi="Times New Roman" w:cs="Times New Roman"/>
          <w:i/>
          <w:iCs/>
          <w:sz w:val="18"/>
          <w:szCs w:val="18"/>
          <w:lang w:val="ro-MD"/>
        </w:rPr>
        <w:t xml:space="preserve">Note de Politici Moldova </w:t>
      </w:r>
      <w:r w:rsidR="00274E59" w:rsidRPr="003836D9">
        <w:rPr>
          <w:rFonts w:ascii="Times New Roman" w:hAnsi="Times New Roman" w:cs="Times New Roman"/>
          <w:i/>
          <w:iCs/>
          <w:sz w:val="18"/>
          <w:szCs w:val="18"/>
          <w:lang w:val="ro-MD"/>
        </w:rPr>
        <w:t xml:space="preserve">2019. </w:t>
      </w:r>
      <w:r w:rsidR="008D172C" w:rsidRPr="003836D9">
        <w:rPr>
          <w:rFonts w:ascii="Times New Roman" w:hAnsi="Times New Roman" w:cs="Times New Roman"/>
          <w:i/>
          <w:iCs/>
          <w:sz w:val="18"/>
          <w:szCs w:val="18"/>
          <w:lang w:val="ro-MD"/>
        </w:rPr>
        <w:t>Susținerea stabili</w:t>
      </w:r>
      <w:r w:rsidR="0068460E">
        <w:rPr>
          <w:rFonts w:ascii="Times New Roman" w:hAnsi="Times New Roman" w:cs="Times New Roman"/>
          <w:i/>
          <w:iCs/>
          <w:sz w:val="18"/>
          <w:szCs w:val="18"/>
          <w:lang w:val="ro-MD"/>
        </w:rPr>
        <w:t>tății și revitalizarea creșterii</w:t>
      </w:r>
      <w:r w:rsidR="00906EF6" w:rsidRPr="003836D9">
        <w:rPr>
          <w:rFonts w:ascii="Times New Roman" w:hAnsi="Times New Roman" w:cs="Times New Roman"/>
          <w:i/>
          <w:iCs/>
          <w:sz w:val="18"/>
          <w:szCs w:val="18"/>
          <w:lang w:val="ro-MD"/>
        </w:rPr>
        <w:t xml:space="preserve">; </w:t>
      </w:r>
      <w:r w:rsidR="008D172C" w:rsidRPr="003836D9">
        <w:rPr>
          <w:rFonts w:ascii="Times New Roman" w:hAnsi="Times New Roman" w:cs="Times New Roman"/>
          <w:sz w:val="18"/>
          <w:szCs w:val="18"/>
          <w:lang w:val="ro-MD"/>
        </w:rPr>
        <w:t xml:space="preserve">Fondul Monetar Internațional </w:t>
      </w:r>
      <w:r w:rsidR="00906EF6" w:rsidRPr="003836D9">
        <w:rPr>
          <w:rFonts w:ascii="Times New Roman" w:hAnsi="Times New Roman" w:cs="Times New Roman"/>
          <w:sz w:val="18"/>
          <w:szCs w:val="18"/>
          <w:lang w:val="ro-MD"/>
        </w:rPr>
        <w:t>(</w:t>
      </w:r>
      <w:r w:rsidR="008D172C" w:rsidRPr="003836D9">
        <w:rPr>
          <w:rFonts w:ascii="Times New Roman" w:hAnsi="Times New Roman" w:cs="Times New Roman"/>
          <w:sz w:val="18"/>
          <w:szCs w:val="18"/>
          <w:lang w:val="ro-MD"/>
        </w:rPr>
        <w:t>F</w:t>
      </w:r>
      <w:r w:rsidR="00906EF6" w:rsidRPr="003836D9">
        <w:rPr>
          <w:rFonts w:ascii="Times New Roman" w:hAnsi="Times New Roman" w:cs="Times New Roman"/>
          <w:sz w:val="18"/>
          <w:szCs w:val="18"/>
          <w:lang w:val="ro-MD"/>
        </w:rPr>
        <w:t>M</w:t>
      </w:r>
      <w:r w:rsidR="008D172C" w:rsidRPr="003836D9">
        <w:rPr>
          <w:rFonts w:ascii="Times New Roman" w:hAnsi="Times New Roman" w:cs="Times New Roman"/>
          <w:sz w:val="18"/>
          <w:szCs w:val="18"/>
          <w:lang w:val="ro-MD"/>
        </w:rPr>
        <w:t>I</w:t>
      </w:r>
      <w:r w:rsidR="00906EF6" w:rsidRPr="003836D9">
        <w:rPr>
          <w:rFonts w:ascii="Times New Roman" w:hAnsi="Times New Roman" w:cs="Times New Roman"/>
          <w:sz w:val="18"/>
          <w:szCs w:val="18"/>
          <w:lang w:val="ro-MD"/>
        </w:rPr>
        <w:t xml:space="preserve">): Moldova, </w:t>
      </w:r>
      <w:r w:rsidR="008D172C" w:rsidRPr="003836D9">
        <w:rPr>
          <w:rFonts w:ascii="Times New Roman" w:hAnsi="Times New Roman" w:cs="Times New Roman"/>
          <w:sz w:val="18"/>
          <w:szCs w:val="18"/>
          <w:lang w:val="ro-MD"/>
        </w:rPr>
        <w:t>Raport de Țară FMI</w:t>
      </w:r>
      <w:r w:rsidR="00906EF6" w:rsidRPr="003836D9">
        <w:rPr>
          <w:rFonts w:ascii="Times New Roman" w:hAnsi="Times New Roman" w:cs="Times New Roman"/>
          <w:sz w:val="18"/>
          <w:szCs w:val="18"/>
          <w:lang w:val="ro-MD"/>
        </w:rPr>
        <w:t xml:space="preserve"> N</w:t>
      </w:r>
      <w:r w:rsidR="008D172C" w:rsidRPr="003836D9">
        <w:rPr>
          <w:rFonts w:ascii="Times New Roman" w:hAnsi="Times New Roman" w:cs="Times New Roman"/>
          <w:sz w:val="18"/>
          <w:szCs w:val="18"/>
          <w:lang w:val="ro-MD"/>
        </w:rPr>
        <w:t>r</w:t>
      </w:r>
      <w:r w:rsidR="00375F79">
        <w:rPr>
          <w:rFonts w:ascii="Times New Roman" w:hAnsi="Times New Roman" w:cs="Times New Roman"/>
          <w:sz w:val="18"/>
          <w:szCs w:val="18"/>
          <w:lang w:val="ro-MD"/>
        </w:rPr>
        <w:t>.</w:t>
      </w:r>
      <w:r w:rsidR="003869DA" w:rsidRPr="003836D9">
        <w:rPr>
          <w:rFonts w:ascii="Times New Roman" w:hAnsi="Times New Roman" w:cs="Times New Roman"/>
          <w:sz w:val="18"/>
          <w:szCs w:val="18"/>
          <w:lang w:val="ro-MD"/>
        </w:rPr>
        <w:t xml:space="preserve"> </w:t>
      </w:r>
      <w:r w:rsidR="00906EF6" w:rsidRPr="003836D9">
        <w:rPr>
          <w:rFonts w:ascii="Times New Roman" w:hAnsi="Times New Roman" w:cs="Times New Roman"/>
          <w:sz w:val="18"/>
          <w:szCs w:val="18"/>
          <w:lang w:val="ro-MD"/>
        </w:rPr>
        <w:t xml:space="preserve">22/1. </w:t>
      </w:r>
    </w:p>
    <w:p w14:paraId="72436C34" w14:textId="1495724A" w:rsidR="00B55DD0" w:rsidRPr="003836D9" w:rsidRDefault="00DC4B85" w:rsidP="00CA0904">
      <w:pPr>
        <w:pStyle w:val="Default"/>
        <w:spacing w:after="160" w:line="259" w:lineRule="auto"/>
        <w:jc w:val="both"/>
        <w:rPr>
          <w:rFonts w:ascii="Times New Roman" w:hAnsi="Times New Roman" w:cs="Times New Roman"/>
          <w:lang w:val="ro-MD"/>
        </w:rPr>
      </w:pPr>
      <w:r w:rsidRPr="003836D9">
        <w:rPr>
          <w:rFonts w:ascii="Times New Roman" w:hAnsi="Times New Roman" w:cs="Times New Roman"/>
          <w:lang w:val="ro-MD"/>
        </w:rPr>
        <w:lastRenderedPageBreak/>
        <w:t>În 2020</w:t>
      </w:r>
      <w:r w:rsidR="007A75D9">
        <w:rPr>
          <w:rFonts w:ascii="Times New Roman" w:hAnsi="Times New Roman" w:cs="Times New Roman"/>
          <w:lang w:val="ro-MD"/>
        </w:rPr>
        <w:t>,</w:t>
      </w:r>
      <w:r w:rsidRPr="003836D9">
        <w:rPr>
          <w:rFonts w:ascii="Times New Roman" w:hAnsi="Times New Roman" w:cs="Times New Roman"/>
          <w:lang w:val="ro-MD"/>
        </w:rPr>
        <w:t xml:space="preserve"> creșterea produc</w:t>
      </w:r>
      <w:r w:rsidR="002F6A81" w:rsidRPr="003836D9">
        <w:rPr>
          <w:rFonts w:ascii="Times New Roman" w:hAnsi="Times New Roman" w:cs="Times New Roman"/>
          <w:lang w:val="ro-MD"/>
        </w:rPr>
        <w:t>ției</w:t>
      </w:r>
      <w:r w:rsidRPr="003836D9">
        <w:rPr>
          <w:rFonts w:ascii="Times New Roman" w:hAnsi="Times New Roman" w:cs="Times New Roman"/>
          <w:lang w:val="ro-MD"/>
        </w:rPr>
        <w:t xml:space="preserve"> a scăzut cu 7 procente, din cauza efectului combinat al izbucnirii pandemiei </w:t>
      </w:r>
      <w:r w:rsidR="00DF67F3">
        <w:rPr>
          <w:rFonts w:ascii="Times New Roman" w:hAnsi="Times New Roman" w:cs="Times New Roman"/>
          <w:lang w:val="ro-MD"/>
        </w:rPr>
        <w:t>COVID</w:t>
      </w:r>
      <w:r w:rsidRPr="003836D9">
        <w:rPr>
          <w:rFonts w:ascii="Times New Roman" w:hAnsi="Times New Roman" w:cs="Times New Roman"/>
          <w:lang w:val="ro-MD"/>
        </w:rPr>
        <w:t>-19 și al secetei severe, care a afectat producția agricolă. Recesiunea economi</w:t>
      </w:r>
      <w:r w:rsidR="007A4B31" w:rsidRPr="003836D9">
        <w:rPr>
          <w:rFonts w:ascii="Times New Roman" w:hAnsi="Times New Roman" w:cs="Times New Roman"/>
          <w:lang w:val="ro-MD"/>
        </w:rPr>
        <w:t>că</w:t>
      </w:r>
      <w:r w:rsidRPr="003836D9">
        <w:rPr>
          <w:rFonts w:ascii="Times New Roman" w:hAnsi="Times New Roman" w:cs="Times New Roman"/>
          <w:lang w:val="ro-MD"/>
        </w:rPr>
        <w:t xml:space="preserve"> a fost determinată de o scădere a consumului gospodăriilor </w:t>
      </w:r>
      <w:r w:rsidR="00876878" w:rsidRPr="003836D9">
        <w:rPr>
          <w:rFonts w:ascii="Times New Roman" w:hAnsi="Times New Roman" w:cs="Times New Roman"/>
          <w:lang w:val="ro-MD"/>
        </w:rPr>
        <w:t xml:space="preserve">cu </w:t>
      </w:r>
      <w:r w:rsidR="00110E1E" w:rsidRPr="003836D9">
        <w:rPr>
          <w:rFonts w:ascii="Times New Roman" w:hAnsi="Times New Roman" w:cs="Times New Roman"/>
          <w:lang w:val="ro-MD"/>
        </w:rPr>
        <w:t>8,3 procente</w:t>
      </w:r>
      <w:r w:rsidRPr="003836D9">
        <w:rPr>
          <w:rFonts w:ascii="Times New Roman" w:hAnsi="Times New Roman" w:cs="Times New Roman"/>
          <w:lang w:val="ro-MD"/>
        </w:rPr>
        <w:t>, în timp ce măsurile de izolare au afectat negativ comerțul, industria, transporturile și activitățile profesionale. Între 2019 și 2020, agricultura a pierdut 7,2</w:t>
      </w:r>
      <w:r w:rsidR="003869DA" w:rsidRPr="003836D9">
        <w:rPr>
          <w:rFonts w:ascii="Times New Roman" w:hAnsi="Times New Roman" w:cs="Times New Roman"/>
          <w:lang w:val="ro-MD"/>
        </w:rPr>
        <w:t xml:space="preserve"> </w:t>
      </w:r>
      <w:r w:rsidR="00876878" w:rsidRPr="003836D9">
        <w:rPr>
          <w:rFonts w:ascii="Times New Roman" w:hAnsi="Times New Roman" w:cs="Times New Roman"/>
          <w:lang w:val="ro-MD"/>
        </w:rPr>
        <w:t>procente din VAB</w:t>
      </w:r>
      <w:r w:rsidRPr="003836D9">
        <w:rPr>
          <w:rFonts w:ascii="Times New Roman" w:hAnsi="Times New Roman" w:cs="Times New Roman"/>
          <w:lang w:val="ro-MD"/>
        </w:rPr>
        <w:t xml:space="preserve"> (în milioane MLD). Măsurile adoptate de Guvern pentru atenuarea impactului economic și social al crizei </w:t>
      </w:r>
      <w:r w:rsidR="00DF67F3">
        <w:rPr>
          <w:rFonts w:ascii="Times New Roman" w:hAnsi="Times New Roman" w:cs="Times New Roman"/>
          <w:lang w:val="ro-MD"/>
        </w:rPr>
        <w:t>COVID</w:t>
      </w:r>
      <w:r w:rsidRPr="003836D9">
        <w:rPr>
          <w:rFonts w:ascii="Times New Roman" w:hAnsi="Times New Roman" w:cs="Times New Roman"/>
          <w:lang w:val="ro-MD"/>
        </w:rPr>
        <w:t xml:space="preserve">-19 (sprijin financiar pentru firme, lucrători și gospodării) </w:t>
      </w:r>
      <w:r w:rsidR="00712FC5" w:rsidRPr="003836D9">
        <w:rPr>
          <w:rFonts w:ascii="Times New Roman" w:hAnsi="Times New Roman" w:cs="Times New Roman"/>
          <w:lang w:val="ro-MD"/>
        </w:rPr>
        <w:t xml:space="preserve">au </w:t>
      </w:r>
      <w:r w:rsidRPr="003836D9">
        <w:rPr>
          <w:rFonts w:ascii="Times New Roman" w:hAnsi="Times New Roman" w:cs="Times New Roman"/>
          <w:lang w:val="ro-MD"/>
        </w:rPr>
        <w:t>cresc</w:t>
      </w:r>
      <w:r w:rsidR="00712FC5" w:rsidRPr="003836D9">
        <w:rPr>
          <w:rFonts w:ascii="Times New Roman" w:hAnsi="Times New Roman" w:cs="Times New Roman"/>
          <w:lang w:val="ro-MD"/>
        </w:rPr>
        <w:t>ut</w:t>
      </w:r>
      <w:r w:rsidRPr="003836D9">
        <w:rPr>
          <w:rFonts w:ascii="Times New Roman" w:hAnsi="Times New Roman" w:cs="Times New Roman"/>
          <w:lang w:val="ro-MD"/>
        </w:rPr>
        <w:t xml:space="preserve"> cheltuielile public</w:t>
      </w:r>
      <w:r w:rsidR="00C63294">
        <w:rPr>
          <w:rFonts w:ascii="Times New Roman" w:hAnsi="Times New Roman" w:cs="Times New Roman"/>
          <w:lang w:val="ro-MD"/>
        </w:rPr>
        <w:t>e și au determinat o diminuare</w:t>
      </w:r>
      <w:r w:rsidRPr="003836D9">
        <w:rPr>
          <w:rFonts w:ascii="Times New Roman" w:hAnsi="Times New Roman" w:cs="Times New Roman"/>
          <w:lang w:val="ro-MD"/>
        </w:rPr>
        <w:t xml:space="preserve"> a soldului </w:t>
      </w:r>
      <w:r w:rsidR="0094628E" w:rsidRPr="003836D9">
        <w:rPr>
          <w:rFonts w:ascii="Times New Roman" w:hAnsi="Times New Roman" w:cs="Times New Roman"/>
          <w:lang w:val="ro-MD"/>
        </w:rPr>
        <w:t xml:space="preserve">bugetar </w:t>
      </w:r>
      <w:r w:rsidRPr="003836D9">
        <w:rPr>
          <w:rFonts w:ascii="Times New Roman" w:hAnsi="Times New Roman" w:cs="Times New Roman"/>
          <w:lang w:val="ro-MD"/>
        </w:rPr>
        <w:t xml:space="preserve">(-4,6 procente din PIB), ceea ce a </w:t>
      </w:r>
      <w:r w:rsidR="000C7D31" w:rsidRPr="003836D9">
        <w:rPr>
          <w:rFonts w:ascii="Times New Roman" w:hAnsi="Times New Roman" w:cs="Times New Roman"/>
          <w:lang w:val="ro-MD"/>
        </w:rPr>
        <w:t xml:space="preserve">contribuit la creșterea </w:t>
      </w:r>
      <w:r w:rsidRPr="003836D9">
        <w:rPr>
          <w:rFonts w:ascii="Times New Roman" w:hAnsi="Times New Roman" w:cs="Times New Roman"/>
          <w:lang w:val="ro-MD"/>
        </w:rPr>
        <w:t>datorie</w:t>
      </w:r>
      <w:r w:rsidR="000C7D31" w:rsidRPr="003836D9">
        <w:rPr>
          <w:rFonts w:ascii="Times New Roman" w:hAnsi="Times New Roman" w:cs="Times New Roman"/>
          <w:lang w:val="ro-MD"/>
        </w:rPr>
        <w:t>i</w:t>
      </w:r>
      <w:r w:rsidRPr="003836D9">
        <w:rPr>
          <w:rFonts w:ascii="Times New Roman" w:hAnsi="Times New Roman" w:cs="Times New Roman"/>
          <w:lang w:val="ro-MD"/>
        </w:rPr>
        <w:t xml:space="preserve"> public</w:t>
      </w:r>
      <w:r w:rsidR="000C7D31" w:rsidRPr="003836D9">
        <w:rPr>
          <w:rFonts w:ascii="Times New Roman" w:hAnsi="Times New Roman" w:cs="Times New Roman"/>
          <w:lang w:val="ro-MD"/>
        </w:rPr>
        <w:t>e</w:t>
      </w:r>
      <w:r w:rsidRPr="003836D9">
        <w:rPr>
          <w:rFonts w:ascii="Times New Roman" w:hAnsi="Times New Roman" w:cs="Times New Roman"/>
          <w:lang w:val="ro-MD"/>
        </w:rPr>
        <w:t xml:space="preserve">. Economia a </w:t>
      </w:r>
      <w:r w:rsidR="00CB70E9" w:rsidRPr="003836D9">
        <w:rPr>
          <w:rFonts w:ascii="Times New Roman" w:hAnsi="Times New Roman" w:cs="Times New Roman"/>
          <w:lang w:val="ro-MD"/>
        </w:rPr>
        <w:t>evoluat</w:t>
      </w:r>
      <w:r w:rsidRPr="003836D9">
        <w:rPr>
          <w:rFonts w:ascii="Times New Roman" w:hAnsi="Times New Roman" w:cs="Times New Roman"/>
          <w:lang w:val="ro-MD"/>
        </w:rPr>
        <w:t xml:space="preserve"> în 2021 cu o creștere medie de 7,5 procente, datorită creșterii consumului (alimentat de fluxul de remitențe), stimulente</w:t>
      </w:r>
      <w:r w:rsidR="00CB70E9" w:rsidRPr="003836D9">
        <w:rPr>
          <w:rFonts w:ascii="Times New Roman" w:hAnsi="Times New Roman" w:cs="Times New Roman"/>
          <w:lang w:val="ro-MD"/>
        </w:rPr>
        <w:t>lor</w:t>
      </w:r>
      <w:r w:rsidRPr="003836D9">
        <w:rPr>
          <w:rFonts w:ascii="Times New Roman" w:hAnsi="Times New Roman" w:cs="Times New Roman"/>
          <w:lang w:val="ro-MD"/>
        </w:rPr>
        <w:t xml:space="preserve"> fiscale pozitive (salarii și transferuri publice mai mari) și a </w:t>
      </w:r>
      <w:r w:rsidR="006C5801" w:rsidRPr="003836D9">
        <w:rPr>
          <w:rFonts w:ascii="Times New Roman" w:hAnsi="Times New Roman" w:cs="Times New Roman"/>
          <w:lang w:val="ro-MD"/>
        </w:rPr>
        <w:t>politicii</w:t>
      </w:r>
      <w:r w:rsidRPr="003836D9">
        <w:rPr>
          <w:rFonts w:ascii="Times New Roman" w:hAnsi="Times New Roman" w:cs="Times New Roman"/>
          <w:lang w:val="ro-MD"/>
        </w:rPr>
        <w:t xml:space="preserve"> monetare </w:t>
      </w:r>
      <w:r w:rsidR="008B236A" w:rsidRPr="003836D9">
        <w:rPr>
          <w:rFonts w:ascii="Times New Roman" w:hAnsi="Times New Roman" w:cs="Times New Roman"/>
          <w:lang w:val="ro-MD"/>
        </w:rPr>
        <w:t>acomodat</w:t>
      </w:r>
      <w:r w:rsidR="00302239" w:rsidRPr="003836D9">
        <w:rPr>
          <w:rFonts w:ascii="Times New Roman" w:hAnsi="Times New Roman" w:cs="Times New Roman"/>
          <w:lang w:val="ro-MD"/>
        </w:rPr>
        <w:t>iv</w:t>
      </w:r>
      <w:r w:rsidR="006C5801" w:rsidRPr="003836D9">
        <w:rPr>
          <w:rFonts w:ascii="Times New Roman" w:hAnsi="Times New Roman" w:cs="Times New Roman"/>
          <w:lang w:val="ro-MD"/>
        </w:rPr>
        <w:t>e</w:t>
      </w:r>
      <w:r w:rsidR="00690BD3" w:rsidRPr="003836D9">
        <w:rPr>
          <w:rFonts w:ascii="Times New Roman" w:hAnsi="Times New Roman" w:cs="Times New Roman"/>
          <w:lang w:val="ro-MD"/>
        </w:rPr>
        <w:t>.</w:t>
      </w:r>
      <w:r w:rsidR="00AB6CB0" w:rsidRPr="003836D9">
        <w:rPr>
          <w:rStyle w:val="FootnoteReference"/>
          <w:rFonts w:ascii="Times New Roman" w:hAnsi="Times New Roman" w:cs="Times New Roman"/>
          <w:lang w:val="ro-MD"/>
        </w:rPr>
        <w:footnoteReference w:id="6"/>
      </w:r>
    </w:p>
    <w:p w14:paraId="053792AD" w14:textId="0C63A69A" w:rsidR="009617D6" w:rsidRPr="003836D9" w:rsidRDefault="00CB70E9" w:rsidP="00CA0904">
      <w:pPr>
        <w:pStyle w:val="Default"/>
        <w:spacing w:after="160" w:line="259" w:lineRule="auto"/>
        <w:jc w:val="both"/>
        <w:rPr>
          <w:rFonts w:ascii="Times New Roman" w:eastAsia="Calibri" w:hAnsi="Times New Roman" w:cs="Times New Roman"/>
          <w:lang w:val="ro-MD" w:eastAsia="en-GB"/>
        </w:rPr>
      </w:pPr>
      <w:r w:rsidRPr="003836D9">
        <w:rPr>
          <w:rFonts w:ascii="Times New Roman" w:hAnsi="Times New Roman" w:cs="Times New Roman"/>
          <w:lang w:val="ro-MD"/>
        </w:rPr>
        <w:t>Întreprinderile mici și mijlocii (IMM-uri) din Moldova reprezintă aproape totalitatea companiilor (98,7 procente în 2018) și angajează aproximativ 70,6 procente din toți lucrătorii</w:t>
      </w:r>
      <w:r w:rsidR="00091894" w:rsidRPr="003836D9">
        <w:rPr>
          <w:rFonts w:ascii="Times New Roman" w:hAnsi="Times New Roman" w:cs="Times New Roman"/>
          <w:lang w:val="ro-MD"/>
        </w:rPr>
        <w:t>.</w:t>
      </w:r>
      <w:r w:rsidR="00091894" w:rsidRPr="003836D9">
        <w:rPr>
          <w:rFonts w:ascii="Times New Roman" w:eastAsia="Calibri" w:hAnsi="Times New Roman" w:cs="Times New Roman"/>
          <w:vertAlign w:val="superscript"/>
          <w:lang w:val="ro-MD" w:eastAsia="en-GB"/>
        </w:rPr>
        <w:footnoteReference w:id="7"/>
      </w:r>
      <w:r w:rsidR="00091894" w:rsidRPr="003836D9">
        <w:rPr>
          <w:rFonts w:ascii="Times New Roman" w:hAnsi="Times New Roman" w:cs="Times New Roman"/>
          <w:lang w:val="ro-MD"/>
        </w:rPr>
        <w:t xml:space="preserve"> </w:t>
      </w:r>
      <w:r w:rsidRPr="003836D9">
        <w:rPr>
          <w:rFonts w:ascii="Times New Roman" w:hAnsi="Times New Roman" w:cs="Times New Roman"/>
          <w:lang w:val="ro-MD"/>
        </w:rPr>
        <w:t xml:space="preserve">Microîntreprinderile reprezintă 82,9 procente din totalul </w:t>
      </w:r>
      <w:r w:rsidR="000C7D31" w:rsidRPr="003836D9">
        <w:rPr>
          <w:rFonts w:ascii="Times New Roman" w:hAnsi="Times New Roman" w:cs="Times New Roman"/>
          <w:lang w:val="ro-MD"/>
        </w:rPr>
        <w:t xml:space="preserve">companiilor. Acestea </w:t>
      </w:r>
      <w:r w:rsidRPr="003836D9">
        <w:rPr>
          <w:rFonts w:ascii="Times New Roman" w:hAnsi="Times New Roman" w:cs="Times New Roman"/>
          <w:lang w:val="ro-MD"/>
        </w:rPr>
        <w:t>angajează aproximativ 2</w:t>
      </w:r>
      <w:r w:rsidR="000C7D31" w:rsidRPr="003836D9">
        <w:rPr>
          <w:rFonts w:ascii="Times New Roman" w:hAnsi="Times New Roman" w:cs="Times New Roman"/>
          <w:lang w:val="ro-MD"/>
        </w:rPr>
        <w:t xml:space="preserve">1 procente din toți lucrătorii </w:t>
      </w:r>
      <w:r w:rsidRPr="003836D9">
        <w:rPr>
          <w:rFonts w:ascii="Times New Roman" w:hAnsi="Times New Roman" w:cs="Times New Roman"/>
          <w:lang w:val="ro-MD"/>
        </w:rPr>
        <w:t>și generează 19,6 procente din valoarea adăugată. IMM-urile din sectorul comer</w:t>
      </w:r>
      <w:r w:rsidR="00EF4378" w:rsidRPr="003836D9">
        <w:rPr>
          <w:rFonts w:ascii="Times New Roman" w:hAnsi="Times New Roman" w:cs="Times New Roman"/>
          <w:lang w:val="ro-MD"/>
        </w:rPr>
        <w:t>țului</w:t>
      </w:r>
      <w:r w:rsidRPr="003836D9">
        <w:rPr>
          <w:rFonts w:ascii="Times New Roman" w:hAnsi="Times New Roman" w:cs="Times New Roman"/>
          <w:lang w:val="ro-MD"/>
        </w:rPr>
        <w:t xml:space="preserve"> generează </w:t>
      </w:r>
      <w:r w:rsidR="000C7D31" w:rsidRPr="003836D9">
        <w:rPr>
          <w:rFonts w:ascii="Times New Roman" w:hAnsi="Times New Roman" w:cs="Times New Roman"/>
          <w:lang w:val="ro-MD"/>
        </w:rPr>
        <w:t xml:space="preserve">cele mai multe locuri de muncă, cu o </w:t>
      </w:r>
      <w:r w:rsidRPr="003836D9">
        <w:rPr>
          <w:rFonts w:ascii="Times New Roman" w:hAnsi="Times New Roman" w:cs="Times New Roman"/>
          <w:lang w:val="ro-MD"/>
        </w:rPr>
        <w:t xml:space="preserve">pondere </w:t>
      </w:r>
      <w:r w:rsidR="000C7D31" w:rsidRPr="003836D9">
        <w:rPr>
          <w:rFonts w:ascii="Times New Roman" w:hAnsi="Times New Roman" w:cs="Times New Roman"/>
          <w:lang w:val="ro-MD"/>
        </w:rPr>
        <w:t xml:space="preserve">de </w:t>
      </w:r>
      <w:r w:rsidRPr="003836D9">
        <w:rPr>
          <w:rFonts w:ascii="Times New Roman" w:hAnsi="Times New Roman" w:cs="Times New Roman"/>
          <w:lang w:val="ro-MD"/>
        </w:rPr>
        <w:t xml:space="preserve">34,7 procente și valoare adăugată </w:t>
      </w:r>
      <w:r w:rsidR="000C7D31" w:rsidRPr="003836D9">
        <w:rPr>
          <w:rFonts w:ascii="Times New Roman" w:hAnsi="Times New Roman" w:cs="Times New Roman"/>
          <w:lang w:val="ro-MD"/>
        </w:rPr>
        <w:t xml:space="preserve">de </w:t>
      </w:r>
      <w:r w:rsidRPr="003836D9">
        <w:rPr>
          <w:rFonts w:ascii="Times New Roman" w:hAnsi="Times New Roman" w:cs="Times New Roman"/>
          <w:lang w:val="ro-MD"/>
        </w:rPr>
        <w:t xml:space="preserve">36,8 procente, urmate de industria prelucrătoare </w:t>
      </w:r>
      <w:r w:rsidR="000C7D31" w:rsidRPr="003836D9">
        <w:rPr>
          <w:rFonts w:ascii="Times New Roman" w:hAnsi="Times New Roman" w:cs="Times New Roman"/>
          <w:lang w:val="ro-MD"/>
        </w:rPr>
        <w:t xml:space="preserve">unde sunt ocupate </w:t>
      </w:r>
      <w:r w:rsidRPr="003836D9">
        <w:rPr>
          <w:rFonts w:ascii="Times New Roman" w:hAnsi="Times New Roman" w:cs="Times New Roman"/>
          <w:lang w:val="ro-MD"/>
        </w:rPr>
        <w:t>20,9 procente din forț</w:t>
      </w:r>
      <w:r w:rsidR="000C7D31" w:rsidRPr="003836D9">
        <w:rPr>
          <w:rFonts w:ascii="Times New Roman" w:hAnsi="Times New Roman" w:cs="Times New Roman"/>
          <w:lang w:val="ro-MD"/>
        </w:rPr>
        <w:t>a</w:t>
      </w:r>
      <w:r w:rsidRPr="003836D9">
        <w:rPr>
          <w:rFonts w:ascii="Times New Roman" w:hAnsi="Times New Roman" w:cs="Times New Roman"/>
          <w:lang w:val="ro-MD"/>
        </w:rPr>
        <w:t xml:space="preserve"> de muncă</w:t>
      </w:r>
      <w:r w:rsidR="000C7D31" w:rsidRPr="003836D9">
        <w:rPr>
          <w:rFonts w:ascii="Times New Roman" w:hAnsi="Times New Roman" w:cs="Times New Roman"/>
          <w:lang w:val="ro-MD"/>
        </w:rPr>
        <w:t xml:space="preserve">, generând </w:t>
      </w:r>
      <w:r w:rsidRPr="003836D9">
        <w:rPr>
          <w:rFonts w:ascii="Times New Roman" w:hAnsi="Times New Roman" w:cs="Times New Roman"/>
          <w:lang w:val="ro-MD"/>
        </w:rPr>
        <w:t>18,3 procente din valoarea adăugată. Productivitatea anuală a IMM-urilor</w:t>
      </w:r>
      <w:r w:rsidR="000C7D31" w:rsidRPr="003836D9">
        <w:rPr>
          <w:rFonts w:ascii="Times New Roman" w:hAnsi="Times New Roman" w:cs="Times New Roman"/>
          <w:lang w:val="ro-MD"/>
        </w:rPr>
        <w:t>,</w:t>
      </w:r>
      <w:r w:rsidRPr="003836D9">
        <w:rPr>
          <w:rFonts w:ascii="Times New Roman" w:hAnsi="Times New Roman" w:cs="Times New Roman"/>
          <w:lang w:val="ro-MD"/>
        </w:rPr>
        <w:t xml:space="preserve"> măsurată ca valoare adăugată per persoană angajată – este de 7.932 de euro, de cinci ori mai mică decât media realizată de IMM-urile din Uniunea Europeană </w:t>
      </w:r>
      <w:r w:rsidR="009617D6" w:rsidRPr="003836D9">
        <w:rPr>
          <w:rFonts w:ascii="Times New Roman" w:eastAsia="Calibri" w:hAnsi="Times New Roman" w:cs="Times New Roman"/>
          <w:lang w:val="ro-MD" w:eastAsia="en-GB"/>
        </w:rPr>
        <w:t>(43,600 euro)</w:t>
      </w:r>
      <w:r w:rsidR="00091894" w:rsidRPr="003836D9">
        <w:rPr>
          <w:rFonts w:ascii="Times New Roman" w:eastAsia="Calibri" w:hAnsi="Times New Roman" w:cs="Times New Roman"/>
          <w:lang w:val="ro-MD" w:eastAsia="en-GB"/>
        </w:rPr>
        <w:t>.</w:t>
      </w:r>
      <w:r w:rsidR="00091894" w:rsidRPr="003836D9">
        <w:rPr>
          <w:rStyle w:val="FootnoteReference"/>
          <w:rFonts w:ascii="Times New Roman" w:eastAsia="Calibri" w:hAnsi="Times New Roman" w:cs="Times New Roman"/>
          <w:lang w:val="ro-MD" w:eastAsia="en-GB"/>
        </w:rPr>
        <w:footnoteReference w:id="8"/>
      </w:r>
      <w:r w:rsidR="009617D6" w:rsidRPr="003836D9">
        <w:rPr>
          <w:rFonts w:ascii="Times New Roman" w:eastAsia="Calibri" w:hAnsi="Times New Roman" w:cs="Times New Roman"/>
          <w:lang w:val="ro-MD" w:eastAsia="en-GB"/>
        </w:rPr>
        <w:t xml:space="preserve"> </w:t>
      </w:r>
    </w:p>
    <w:p w14:paraId="3609050C" w14:textId="15F527DB" w:rsidR="00F61A48" w:rsidRPr="003836D9" w:rsidRDefault="00CB70E9" w:rsidP="00CA0904">
      <w:pPr>
        <w:pStyle w:val="Default"/>
        <w:spacing w:after="160" w:line="259" w:lineRule="auto"/>
        <w:jc w:val="both"/>
        <w:rPr>
          <w:rFonts w:ascii="Times New Roman" w:eastAsia="Calibri" w:hAnsi="Times New Roman" w:cs="Times New Roman"/>
          <w:lang w:val="ro-MD" w:eastAsia="en-GB"/>
        </w:rPr>
      </w:pPr>
      <w:r w:rsidRPr="003836D9">
        <w:rPr>
          <w:rFonts w:ascii="Times New Roman" w:hAnsi="Times New Roman" w:cs="Times New Roman"/>
          <w:lang w:val="ro-MD"/>
        </w:rPr>
        <w:t>Întreprinderile de stat joacă un rol major în economia Republicii Moldova, deoarece reprezintă aproximativ o treime din PIB și angajează până la 24 procente din forța de muncă. Ace</w:t>
      </w:r>
      <w:r w:rsidR="00EF4378" w:rsidRPr="003836D9">
        <w:rPr>
          <w:rFonts w:ascii="Times New Roman" w:hAnsi="Times New Roman" w:cs="Times New Roman"/>
          <w:lang w:val="ro-MD"/>
        </w:rPr>
        <w:t>stea</w:t>
      </w:r>
      <w:r w:rsidRPr="003836D9">
        <w:rPr>
          <w:rFonts w:ascii="Times New Roman" w:hAnsi="Times New Roman" w:cs="Times New Roman"/>
          <w:lang w:val="ro-MD"/>
        </w:rPr>
        <w:t xml:space="preserve"> primesc aproximativ patru la sută din PIB </w:t>
      </w:r>
      <w:r w:rsidR="00EF4378" w:rsidRPr="003836D9">
        <w:rPr>
          <w:rFonts w:ascii="Times New Roman" w:hAnsi="Times New Roman" w:cs="Times New Roman"/>
          <w:lang w:val="ro-MD"/>
        </w:rPr>
        <w:t>din</w:t>
      </w:r>
      <w:r w:rsidRPr="003836D9">
        <w:rPr>
          <w:rFonts w:ascii="Times New Roman" w:hAnsi="Times New Roman" w:cs="Times New Roman"/>
          <w:lang w:val="ro-MD"/>
        </w:rPr>
        <w:t xml:space="preserve"> ajutor</w:t>
      </w:r>
      <w:r w:rsidR="00EF4378" w:rsidRPr="003836D9">
        <w:rPr>
          <w:rFonts w:ascii="Times New Roman" w:hAnsi="Times New Roman" w:cs="Times New Roman"/>
          <w:lang w:val="ro-MD"/>
        </w:rPr>
        <w:t>ul</w:t>
      </w:r>
      <w:r w:rsidRPr="003836D9">
        <w:rPr>
          <w:rFonts w:ascii="Times New Roman" w:hAnsi="Times New Roman" w:cs="Times New Roman"/>
          <w:lang w:val="ro-MD"/>
        </w:rPr>
        <w:t xml:space="preserve"> </w:t>
      </w:r>
      <w:r w:rsidR="00EF4378" w:rsidRPr="003836D9">
        <w:rPr>
          <w:rFonts w:ascii="Times New Roman" w:hAnsi="Times New Roman" w:cs="Times New Roman"/>
          <w:lang w:val="ro-MD"/>
        </w:rPr>
        <w:t xml:space="preserve">general direct </w:t>
      </w:r>
      <w:r w:rsidRPr="003836D9">
        <w:rPr>
          <w:rFonts w:ascii="Times New Roman" w:hAnsi="Times New Roman" w:cs="Times New Roman"/>
          <w:lang w:val="ro-MD"/>
        </w:rPr>
        <w:t xml:space="preserve">de stat, dar există și un sprijin </w:t>
      </w:r>
      <w:r w:rsidR="00EF4378" w:rsidRPr="003836D9">
        <w:rPr>
          <w:rFonts w:ascii="Times New Roman" w:hAnsi="Times New Roman" w:cs="Times New Roman"/>
          <w:lang w:val="ro-MD"/>
        </w:rPr>
        <w:t xml:space="preserve">de stat </w:t>
      </w:r>
      <w:r w:rsidRPr="003836D9">
        <w:rPr>
          <w:rFonts w:ascii="Times New Roman" w:hAnsi="Times New Roman" w:cs="Times New Roman"/>
          <w:lang w:val="ro-MD"/>
        </w:rPr>
        <w:t>indirect considerabil prin scutiri, reduceri, amânări și reeșalonare</w:t>
      </w:r>
      <w:r w:rsidR="006758F1" w:rsidRPr="003836D9">
        <w:rPr>
          <w:rFonts w:ascii="Times New Roman" w:hAnsi="Times New Roman" w:cs="Times New Roman"/>
          <w:lang w:val="ro-MD"/>
        </w:rPr>
        <w:t xml:space="preserve"> </w:t>
      </w:r>
      <w:r w:rsidRPr="003836D9">
        <w:rPr>
          <w:rFonts w:ascii="Times New Roman" w:hAnsi="Times New Roman" w:cs="Times New Roman"/>
          <w:lang w:val="ro-MD"/>
        </w:rPr>
        <w:t>a plăților fiscale</w:t>
      </w:r>
      <w:r w:rsidR="00F61A48" w:rsidRPr="003836D9">
        <w:rPr>
          <w:rFonts w:ascii="Times New Roman" w:hAnsi="Times New Roman" w:cs="Times New Roman"/>
          <w:lang w:val="ro-MD"/>
        </w:rPr>
        <w:t>.</w:t>
      </w:r>
      <w:r w:rsidR="00F61A48" w:rsidRPr="003836D9">
        <w:rPr>
          <w:rStyle w:val="FootnoteReference"/>
          <w:rFonts w:ascii="Times New Roman" w:hAnsi="Times New Roman" w:cs="Times New Roman"/>
          <w:lang w:val="ro-MD"/>
        </w:rPr>
        <w:footnoteReference w:id="9"/>
      </w:r>
    </w:p>
    <w:p w14:paraId="02F3DFD4" w14:textId="61A50D1D" w:rsidR="00F61A48" w:rsidRPr="003836D9" w:rsidRDefault="0039496D" w:rsidP="00CA0904">
      <w:pPr>
        <w:pStyle w:val="Heading2"/>
        <w:spacing w:before="0" w:after="160" w:line="259" w:lineRule="auto"/>
        <w:ind w:left="720"/>
        <w:jc w:val="center"/>
        <w:rPr>
          <w:rFonts w:ascii="Times New Roman" w:hAnsi="Times New Roman"/>
          <w:color w:val="auto"/>
          <w:sz w:val="24"/>
          <w:szCs w:val="24"/>
          <w:lang w:val="ro-MD"/>
        </w:rPr>
      </w:pPr>
      <w:bookmarkStart w:id="4" w:name="_Toc97709279"/>
      <w:r w:rsidRPr="003836D9">
        <w:rPr>
          <w:rFonts w:ascii="Times New Roman" w:hAnsi="Times New Roman"/>
          <w:color w:val="auto"/>
          <w:sz w:val="24"/>
          <w:szCs w:val="24"/>
          <w:lang w:val="ro-MD"/>
        </w:rPr>
        <w:t>Sărăci</w:t>
      </w:r>
      <w:r w:rsidR="003004C3" w:rsidRPr="003836D9">
        <w:rPr>
          <w:rFonts w:ascii="Times New Roman" w:hAnsi="Times New Roman"/>
          <w:color w:val="auto"/>
          <w:sz w:val="24"/>
          <w:szCs w:val="24"/>
          <w:lang w:val="ro-MD"/>
        </w:rPr>
        <w:t>e</w:t>
      </w:r>
      <w:r w:rsidR="00F61A48" w:rsidRPr="003836D9">
        <w:rPr>
          <w:rFonts w:ascii="Times New Roman" w:hAnsi="Times New Roman"/>
          <w:color w:val="auto"/>
          <w:sz w:val="24"/>
          <w:szCs w:val="24"/>
          <w:lang w:val="ro-MD"/>
        </w:rPr>
        <w:t xml:space="preserve">, </w:t>
      </w:r>
      <w:r w:rsidR="006433EA" w:rsidRPr="003836D9">
        <w:rPr>
          <w:rFonts w:ascii="Times New Roman" w:hAnsi="Times New Roman"/>
          <w:color w:val="auto"/>
          <w:sz w:val="24"/>
          <w:szCs w:val="24"/>
          <w:lang w:val="ro-MD"/>
        </w:rPr>
        <w:t>i</w:t>
      </w:r>
      <w:r w:rsidRPr="003836D9">
        <w:rPr>
          <w:rFonts w:ascii="Times New Roman" w:hAnsi="Times New Roman"/>
          <w:color w:val="auto"/>
          <w:sz w:val="24"/>
          <w:szCs w:val="24"/>
          <w:lang w:val="ro-MD"/>
        </w:rPr>
        <w:t>ncluziune</w:t>
      </w:r>
      <w:r w:rsidR="003004C3" w:rsidRPr="003836D9">
        <w:rPr>
          <w:rFonts w:ascii="Times New Roman" w:hAnsi="Times New Roman"/>
          <w:color w:val="auto"/>
          <w:sz w:val="24"/>
          <w:szCs w:val="24"/>
          <w:lang w:val="ro-MD"/>
        </w:rPr>
        <w:t xml:space="preserve"> socială</w:t>
      </w:r>
      <w:r w:rsidRPr="003836D9">
        <w:rPr>
          <w:rFonts w:ascii="Times New Roman" w:hAnsi="Times New Roman"/>
          <w:color w:val="auto"/>
          <w:sz w:val="24"/>
          <w:szCs w:val="24"/>
          <w:lang w:val="ro-MD"/>
        </w:rPr>
        <w:t xml:space="preserve"> </w:t>
      </w:r>
      <w:r w:rsidR="006433EA" w:rsidRPr="003836D9">
        <w:rPr>
          <w:rFonts w:ascii="Times New Roman" w:hAnsi="Times New Roman"/>
          <w:color w:val="auto"/>
          <w:sz w:val="24"/>
          <w:szCs w:val="24"/>
          <w:lang w:val="ro-MD"/>
        </w:rPr>
        <w:t>și egalitate</w:t>
      </w:r>
      <w:bookmarkEnd w:id="4"/>
    </w:p>
    <w:p w14:paraId="551E3569" w14:textId="71A821AB" w:rsidR="00F61A48" w:rsidRPr="003836D9" w:rsidRDefault="0039496D" w:rsidP="00013B82">
      <w:pPr>
        <w:autoSpaceDE w:val="0"/>
        <w:autoSpaceDN w:val="0"/>
        <w:adjustRightInd w:val="0"/>
        <w:jc w:val="both"/>
        <w:rPr>
          <w:rFonts w:ascii="Times New Roman" w:eastAsia="MinionPro-Regular" w:hAnsi="Times New Roman" w:cs="Times New Roman"/>
          <w:sz w:val="24"/>
          <w:szCs w:val="24"/>
          <w:lang w:val="ro-MD"/>
        </w:rPr>
      </w:pPr>
      <w:r w:rsidRPr="003836D9">
        <w:rPr>
          <w:rFonts w:ascii="Times New Roman" w:hAnsi="Times New Roman" w:cs="Times New Roman"/>
          <w:sz w:val="24"/>
          <w:szCs w:val="24"/>
          <w:lang w:val="ro-MD"/>
        </w:rPr>
        <w:t>Sărăcia în</w:t>
      </w:r>
      <w:r w:rsidR="00C63294">
        <w:rPr>
          <w:rFonts w:ascii="Times New Roman" w:hAnsi="Times New Roman" w:cs="Times New Roman"/>
          <w:sz w:val="24"/>
          <w:szCs w:val="24"/>
          <w:lang w:val="ro-MD"/>
        </w:rPr>
        <w:t xml:space="preserve"> Republica</w:t>
      </w:r>
      <w:r w:rsidRPr="003836D9">
        <w:rPr>
          <w:rFonts w:ascii="Times New Roman" w:hAnsi="Times New Roman" w:cs="Times New Roman"/>
          <w:sz w:val="24"/>
          <w:szCs w:val="24"/>
          <w:lang w:val="ro-MD"/>
        </w:rPr>
        <w:t xml:space="preserve"> Moldo</w:t>
      </w:r>
      <w:r w:rsidR="006301A3" w:rsidRPr="003836D9">
        <w:rPr>
          <w:rFonts w:ascii="Times New Roman" w:hAnsi="Times New Roman" w:cs="Times New Roman"/>
          <w:sz w:val="24"/>
          <w:szCs w:val="24"/>
          <w:lang w:val="ro-MD"/>
        </w:rPr>
        <w:t>va a scăzut în perioada 2014-2021</w:t>
      </w:r>
      <w:r w:rsidRPr="003836D9">
        <w:rPr>
          <w:rFonts w:ascii="Times New Roman" w:hAnsi="Times New Roman" w:cs="Times New Roman"/>
          <w:sz w:val="24"/>
          <w:szCs w:val="24"/>
          <w:lang w:val="ro-MD"/>
        </w:rPr>
        <w:t xml:space="preserve"> cu </w:t>
      </w:r>
      <w:r w:rsidR="006301A3" w:rsidRPr="003836D9">
        <w:rPr>
          <w:rFonts w:ascii="Times New Roman" w:hAnsi="Times New Roman" w:cs="Times New Roman"/>
          <w:sz w:val="24"/>
          <w:szCs w:val="24"/>
          <w:lang w:val="ro-MD"/>
        </w:rPr>
        <w:t>5</w:t>
      </w:r>
      <w:r w:rsidRPr="003836D9">
        <w:rPr>
          <w:rFonts w:ascii="Times New Roman" w:hAnsi="Times New Roman" w:cs="Times New Roman"/>
          <w:sz w:val="24"/>
          <w:szCs w:val="24"/>
          <w:lang w:val="ro-MD"/>
        </w:rPr>
        <w:t xml:space="preserve"> puncte procentuale, determinată de evoluția economică pozitivă și creșterea consumului, alimentată de remitențe și cheltuieli mai mari la pensii</w:t>
      </w:r>
      <w:r w:rsidR="00C47974" w:rsidRPr="003836D9">
        <w:rPr>
          <w:rFonts w:ascii="Times New Roman" w:hAnsi="Times New Roman" w:cs="Times New Roman"/>
          <w:sz w:val="24"/>
          <w:szCs w:val="24"/>
          <w:lang w:val="ro-MD"/>
        </w:rPr>
        <w:t xml:space="preserve">. </w:t>
      </w:r>
      <w:r w:rsidR="00D31901" w:rsidRPr="003836D9">
        <w:rPr>
          <w:rFonts w:ascii="Times New Roman" w:hAnsi="Times New Roman" w:cs="Times New Roman"/>
          <w:sz w:val="24"/>
          <w:szCs w:val="24"/>
          <w:lang w:val="ro-MD"/>
        </w:rPr>
        <w:t>Coeficientul Gini în perioada anilor 2014-2021 a rămas la nivelul de 0,3</w:t>
      </w:r>
      <w:r w:rsidR="00C47974" w:rsidRPr="003836D9">
        <w:rPr>
          <w:rFonts w:ascii="Times New Roman" w:eastAsia="MinionPro-Regular" w:hAnsi="Times New Roman" w:cs="Times New Roman"/>
          <w:sz w:val="24"/>
          <w:szCs w:val="24"/>
          <w:lang w:val="ro-MD"/>
        </w:rPr>
        <w:t xml:space="preserve">. </w:t>
      </w:r>
    </w:p>
    <w:p w14:paraId="3ACACD1E" w14:textId="0D63D728" w:rsidR="00D81B8F" w:rsidRPr="003836D9" w:rsidRDefault="0039496D" w:rsidP="00013B82">
      <w:pPr>
        <w:autoSpaceDE w:val="0"/>
        <w:autoSpaceDN w:val="0"/>
        <w:adjustRightInd w:val="0"/>
        <w:jc w:val="both"/>
        <w:rPr>
          <w:rFonts w:ascii="Times New Roman" w:hAnsi="Times New Roman" w:cs="Times New Roman"/>
          <w:sz w:val="24"/>
          <w:szCs w:val="24"/>
          <w:lang w:val="ro-MD"/>
        </w:rPr>
      </w:pPr>
      <w:r w:rsidRPr="003836D9">
        <w:rPr>
          <w:rFonts w:ascii="Times New Roman" w:eastAsia="MinionPro-Regular" w:hAnsi="Times New Roman" w:cs="Times New Roman"/>
          <w:sz w:val="24"/>
          <w:szCs w:val="24"/>
          <w:lang w:val="ro-MD"/>
        </w:rPr>
        <w:t xml:space="preserve">În ciuda scăderii ratelor sărăciei, disparitățile regionale au rămas puternice, cu sărăcia absolută în zonele rurale de trei ori mai mare decât cea înregistrată în zonele urbane și cu rate mai mari ale sărăciei în sudul țării comparativ cu media națională </w:t>
      </w:r>
      <w:r w:rsidR="00D81B8F" w:rsidRPr="003836D9">
        <w:rPr>
          <w:rFonts w:ascii="Times New Roman" w:eastAsia="MinionPro-Regular" w:hAnsi="Times New Roman" w:cs="Times New Roman"/>
          <w:sz w:val="24"/>
          <w:szCs w:val="24"/>
          <w:lang w:val="ro-MD"/>
        </w:rPr>
        <w:t>(</w:t>
      </w:r>
      <w:r w:rsidR="00D94B6B">
        <w:rPr>
          <w:rFonts w:ascii="Times New Roman" w:eastAsia="MinionPro-Regular" w:hAnsi="Times New Roman" w:cs="Times New Roman"/>
          <w:sz w:val="24"/>
          <w:szCs w:val="24"/>
          <w:lang w:val="ro-MD"/>
        </w:rPr>
        <w:t>Fig.</w:t>
      </w:r>
      <w:r w:rsidR="00D81B8F" w:rsidRPr="003836D9">
        <w:rPr>
          <w:rFonts w:ascii="Times New Roman" w:eastAsia="MinionPro-Regular" w:hAnsi="Times New Roman" w:cs="Times New Roman"/>
          <w:sz w:val="24"/>
          <w:szCs w:val="24"/>
          <w:lang w:val="ro-MD"/>
        </w:rPr>
        <w:t xml:space="preserve"> 2). </w:t>
      </w:r>
      <w:r w:rsidRPr="003836D9">
        <w:rPr>
          <w:rFonts w:ascii="Times New Roman" w:eastAsia="MinionPro-Regular" w:hAnsi="Times New Roman" w:cs="Times New Roman"/>
          <w:sz w:val="24"/>
          <w:szCs w:val="24"/>
          <w:lang w:val="ro-MD"/>
        </w:rPr>
        <w:t xml:space="preserve">Până în 2019, rata sărăciei absolute în sudul țării </w:t>
      </w:r>
      <w:r w:rsidR="00CD4DF7" w:rsidRPr="003836D9">
        <w:rPr>
          <w:rFonts w:ascii="Times New Roman" w:eastAsia="MinionPro-Regular" w:hAnsi="Times New Roman" w:cs="Times New Roman"/>
          <w:sz w:val="24"/>
          <w:szCs w:val="24"/>
          <w:lang w:val="ro-MD"/>
        </w:rPr>
        <w:t xml:space="preserve">a </w:t>
      </w:r>
      <w:r w:rsidRPr="003836D9">
        <w:rPr>
          <w:rFonts w:ascii="Times New Roman" w:eastAsia="MinionPro-Regular" w:hAnsi="Times New Roman" w:cs="Times New Roman"/>
          <w:sz w:val="24"/>
          <w:szCs w:val="24"/>
          <w:lang w:val="ro-MD"/>
        </w:rPr>
        <w:t xml:space="preserve">ajuns la 40,4 </w:t>
      </w:r>
      <w:r w:rsidR="006433EA" w:rsidRPr="003836D9">
        <w:rPr>
          <w:rFonts w:ascii="Times New Roman" w:eastAsia="MinionPro-Regular" w:hAnsi="Times New Roman" w:cs="Times New Roman"/>
          <w:sz w:val="24"/>
          <w:szCs w:val="24"/>
          <w:lang w:val="ro-MD"/>
        </w:rPr>
        <w:t>procente</w:t>
      </w:r>
      <w:r w:rsidRPr="003836D9">
        <w:rPr>
          <w:rFonts w:ascii="Times New Roman" w:eastAsia="MinionPro-Regular" w:hAnsi="Times New Roman" w:cs="Times New Roman"/>
          <w:sz w:val="24"/>
          <w:szCs w:val="24"/>
          <w:lang w:val="ro-MD"/>
        </w:rPr>
        <w:t xml:space="preserve">, de nouă ori mai mare decât rata înregistrată la Chișinău </w:t>
      </w:r>
      <w:r w:rsidR="00D81B8F" w:rsidRPr="003836D9">
        <w:rPr>
          <w:rFonts w:ascii="Times New Roman" w:eastAsia="MinionPro-Regular" w:hAnsi="Times New Roman" w:cs="Times New Roman"/>
          <w:sz w:val="24"/>
          <w:szCs w:val="24"/>
          <w:lang w:val="ro-MD"/>
        </w:rPr>
        <w:t xml:space="preserve">(4.4 </w:t>
      </w:r>
      <w:r w:rsidR="006433EA" w:rsidRPr="003836D9">
        <w:rPr>
          <w:rFonts w:ascii="Times New Roman" w:eastAsia="MinionPro-Regular" w:hAnsi="Times New Roman" w:cs="Times New Roman"/>
          <w:sz w:val="24"/>
          <w:szCs w:val="24"/>
          <w:lang w:val="ro-MD"/>
        </w:rPr>
        <w:t>procente</w:t>
      </w:r>
      <w:r w:rsidR="00D81B8F" w:rsidRPr="003836D9">
        <w:rPr>
          <w:rFonts w:ascii="Times New Roman" w:eastAsia="MinionPro-Regular" w:hAnsi="Times New Roman" w:cs="Times New Roman"/>
          <w:sz w:val="24"/>
          <w:szCs w:val="24"/>
          <w:lang w:val="ro-MD"/>
        </w:rPr>
        <w:t>).</w:t>
      </w:r>
      <w:r w:rsidR="00D81B8F" w:rsidRPr="003836D9">
        <w:rPr>
          <w:rStyle w:val="FootnoteReference"/>
          <w:rFonts w:ascii="Times New Roman" w:eastAsia="MinionPro-Regular" w:hAnsi="Times New Roman" w:cs="Times New Roman"/>
          <w:sz w:val="24"/>
          <w:szCs w:val="24"/>
          <w:lang w:val="ro-MD"/>
        </w:rPr>
        <w:footnoteReference w:id="10"/>
      </w:r>
    </w:p>
    <w:p w14:paraId="3175ACEF" w14:textId="2359A14B" w:rsidR="00D81B8F" w:rsidRPr="003836D9" w:rsidRDefault="00E1025F" w:rsidP="00013B82">
      <w:pPr>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Profilul de sărăcie al țării arată că </w:t>
      </w:r>
      <w:r w:rsidR="00632EA5" w:rsidRPr="003836D9">
        <w:rPr>
          <w:rFonts w:ascii="Times New Roman" w:hAnsi="Times New Roman" w:cs="Times New Roman"/>
          <w:sz w:val="24"/>
          <w:szCs w:val="24"/>
          <w:lang w:val="ro-MD"/>
        </w:rPr>
        <w:t xml:space="preserve">gospodăriile conduse de </w:t>
      </w:r>
      <w:r w:rsidRPr="003836D9">
        <w:rPr>
          <w:rFonts w:ascii="Times New Roman" w:hAnsi="Times New Roman" w:cs="Times New Roman"/>
          <w:sz w:val="24"/>
          <w:szCs w:val="24"/>
          <w:lang w:val="ro-MD"/>
        </w:rPr>
        <w:t>feme</w:t>
      </w:r>
      <w:r w:rsidR="00632EA5" w:rsidRPr="003836D9">
        <w:rPr>
          <w:rFonts w:ascii="Times New Roman" w:hAnsi="Times New Roman" w:cs="Times New Roman"/>
          <w:sz w:val="24"/>
          <w:szCs w:val="24"/>
          <w:lang w:val="ro-MD"/>
        </w:rPr>
        <w:t>i</w:t>
      </w:r>
      <w:r w:rsidRPr="003836D9">
        <w:rPr>
          <w:rFonts w:ascii="Times New Roman" w:hAnsi="Times New Roman" w:cs="Times New Roman"/>
          <w:sz w:val="24"/>
          <w:szCs w:val="24"/>
          <w:lang w:val="ro-MD"/>
        </w:rPr>
        <w:t xml:space="preserve">, persoanele în vârstă, persoanele slab calificate, gospodăriile cu mai mult de trei copii și persoanele care locuiesc în mediul rural sunt mai expuse la sărăcie în comparație cu alte grupuri (Tabelul 2). </w:t>
      </w:r>
      <w:r w:rsidR="00EF4378" w:rsidRPr="003836D9">
        <w:rPr>
          <w:rFonts w:ascii="Times New Roman" w:hAnsi="Times New Roman" w:cs="Times New Roman"/>
          <w:sz w:val="24"/>
          <w:szCs w:val="24"/>
          <w:lang w:val="ro-MD"/>
        </w:rPr>
        <w:t>R</w:t>
      </w:r>
      <w:r w:rsidRPr="003836D9">
        <w:rPr>
          <w:rFonts w:ascii="Times New Roman" w:hAnsi="Times New Roman" w:cs="Times New Roman"/>
          <w:sz w:val="24"/>
          <w:szCs w:val="24"/>
          <w:lang w:val="ro-MD"/>
        </w:rPr>
        <w:t>educerea sărăciei în perioada 2014-202</w:t>
      </w:r>
      <w:r w:rsidR="00CB7E5E" w:rsidRPr="003836D9">
        <w:rPr>
          <w:rFonts w:ascii="Times New Roman" w:hAnsi="Times New Roman" w:cs="Times New Roman"/>
          <w:sz w:val="24"/>
          <w:szCs w:val="24"/>
          <w:lang w:val="ro-MD"/>
        </w:rPr>
        <w:t>1</w:t>
      </w:r>
      <w:r w:rsidRPr="003836D9">
        <w:rPr>
          <w:rFonts w:ascii="Times New Roman" w:hAnsi="Times New Roman" w:cs="Times New Roman"/>
          <w:sz w:val="24"/>
          <w:szCs w:val="24"/>
          <w:lang w:val="ro-MD"/>
        </w:rPr>
        <w:t xml:space="preserve"> s-a resimțit mai mult în </w:t>
      </w:r>
      <w:r w:rsidR="00632EA5" w:rsidRPr="003836D9">
        <w:rPr>
          <w:rFonts w:ascii="Times New Roman" w:hAnsi="Times New Roman" w:cs="Times New Roman"/>
          <w:sz w:val="24"/>
          <w:szCs w:val="24"/>
          <w:lang w:val="ro-MD"/>
        </w:rPr>
        <w:t xml:space="preserve">gospodăriile conduse de </w:t>
      </w:r>
      <w:r w:rsidRPr="003836D9">
        <w:rPr>
          <w:rFonts w:ascii="Times New Roman" w:hAnsi="Times New Roman" w:cs="Times New Roman"/>
          <w:sz w:val="24"/>
          <w:szCs w:val="24"/>
          <w:lang w:val="ro-MD"/>
        </w:rPr>
        <w:t>bărbați decât în cel</w:t>
      </w:r>
      <w:r w:rsidR="00632EA5" w:rsidRPr="003836D9">
        <w:rPr>
          <w:rFonts w:ascii="Times New Roman" w:hAnsi="Times New Roman" w:cs="Times New Roman"/>
          <w:sz w:val="24"/>
          <w:szCs w:val="24"/>
          <w:lang w:val="ro-MD"/>
        </w:rPr>
        <w:t>e</w:t>
      </w:r>
      <w:r w:rsidRPr="003836D9">
        <w:rPr>
          <w:rFonts w:ascii="Times New Roman" w:hAnsi="Times New Roman" w:cs="Times New Roman"/>
          <w:sz w:val="24"/>
          <w:szCs w:val="24"/>
          <w:lang w:val="ro-MD"/>
        </w:rPr>
        <w:t xml:space="preserve"> </w:t>
      </w:r>
      <w:r w:rsidR="00632EA5" w:rsidRPr="003836D9">
        <w:rPr>
          <w:rFonts w:ascii="Times New Roman" w:hAnsi="Times New Roman" w:cs="Times New Roman"/>
          <w:sz w:val="24"/>
          <w:szCs w:val="24"/>
          <w:lang w:val="ro-MD"/>
        </w:rPr>
        <w:t>de</w:t>
      </w:r>
      <w:r w:rsidRPr="003836D9">
        <w:rPr>
          <w:rFonts w:ascii="Times New Roman" w:hAnsi="Times New Roman" w:cs="Times New Roman"/>
          <w:sz w:val="24"/>
          <w:szCs w:val="24"/>
          <w:lang w:val="ro-MD"/>
        </w:rPr>
        <w:t xml:space="preserve"> femei, rata sărăciei absolute </w:t>
      </w:r>
      <w:r w:rsidR="00632EA5" w:rsidRPr="003836D9">
        <w:rPr>
          <w:rFonts w:ascii="Times New Roman" w:hAnsi="Times New Roman" w:cs="Times New Roman"/>
          <w:sz w:val="24"/>
          <w:szCs w:val="24"/>
          <w:lang w:val="ro-MD"/>
        </w:rPr>
        <w:t xml:space="preserve">în gospodăriile conduse de </w:t>
      </w:r>
      <w:r w:rsidRPr="003836D9">
        <w:rPr>
          <w:rFonts w:ascii="Times New Roman" w:hAnsi="Times New Roman" w:cs="Times New Roman"/>
          <w:sz w:val="24"/>
          <w:szCs w:val="24"/>
          <w:lang w:val="ro-MD"/>
        </w:rPr>
        <w:t xml:space="preserve">bărbați scăzând de două ori mai rapid decât </w:t>
      </w:r>
      <w:r w:rsidR="00EF4378" w:rsidRPr="003836D9">
        <w:rPr>
          <w:rFonts w:ascii="Times New Roman" w:hAnsi="Times New Roman" w:cs="Times New Roman"/>
          <w:sz w:val="24"/>
          <w:szCs w:val="24"/>
          <w:lang w:val="ro-MD"/>
        </w:rPr>
        <w:t>ce</w:t>
      </w:r>
      <w:r w:rsidR="00632EA5" w:rsidRPr="003836D9">
        <w:rPr>
          <w:rFonts w:ascii="Times New Roman" w:hAnsi="Times New Roman" w:cs="Times New Roman"/>
          <w:sz w:val="24"/>
          <w:szCs w:val="24"/>
          <w:lang w:val="ro-MD"/>
        </w:rPr>
        <w:t xml:space="preserve">le conduse de </w:t>
      </w:r>
      <w:r w:rsidRPr="003836D9">
        <w:rPr>
          <w:rFonts w:ascii="Times New Roman" w:hAnsi="Times New Roman" w:cs="Times New Roman"/>
          <w:sz w:val="24"/>
          <w:szCs w:val="24"/>
          <w:lang w:val="ro-MD"/>
        </w:rPr>
        <w:t xml:space="preserve">femei (cu </w:t>
      </w:r>
      <w:r w:rsidR="00CB7E5E" w:rsidRPr="003836D9">
        <w:rPr>
          <w:rFonts w:ascii="Times New Roman" w:hAnsi="Times New Roman" w:cs="Times New Roman"/>
          <w:sz w:val="24"/>
          <w:szCs w:val="24"/>
          <w:lang w:val="ro-MD"/>
        </w:rPr>
        <w:t>5</w:t>
      </w:r>
      <w:r w:rsidRPr="003836D9">
        <w:rPr>
          <w:rFonts w:ascii="Times New Roman" w:hAnsi="Times New Roman" w:cs="Times New Roman"/>
          <w:sz w:val="24"/>
          <w:szCs w:val="24"/>
          <w:lang w:val="ro-MD"/>
        </w:rPr>
        <w:t xml:space="preserve">,2 și, respectiv, </w:t>
      </w:r>
      <w:r w:rsidR="00CB7E5E" w:rsidRPr="003836D9">
        <w:rPr>
          <w:rFonts w:ascii="Times New Roman" w:hAnsi="Times New Roman" w:cs="Times New Roman"/>
          <w:sz w:val="24"/>
          <w:szCs w:val="24"/>
          <w:lang w:val="ro-MD"/>
        </w:rPr>
        <w:t>4</w:t>
      </w:r>
      <w:r w:rsidRPr="003836D9">
        <w:rPr>
          <w:rFonts w:ascii="Times New Roman" w:hAnsi="Times New Roman" w:cs="Times New Roman"/>
          <w:sz w:val="24"/>
          <w:szCs w:val="24"/>
          <w:lang w:val="ro-MD"/>
        </w:rPr>
        <w:t xml:space="preserve">,5 puncte procentuale). Sărăcia a scăzut, de asemenea, mai rapid în </w:t>
      </w:r>
      <w:r w:rsidR="00632EA5" w:rsidRPr="003836D9">
        <w:rPr>
          <w:rFonts w:ascii="Times New Roman" w:hAnsi="Times New Roman" w:cs="Times New Roman"/>
          <w:sz w:val="24"/>
          <w:szCs w:val="24"/>
          <w:lang w:val="ro-MD"/>
        </w:rPr>
        <w:t>cazul gospodăriilor conduse de persoane d</w:t>
      </w:r>
      <w:r w:rsidRPr="003836D9">
        <w:rPr>
          <w:rFonts w:ascii="Times New Roman" w:hAnsi="Times New Roman" w:cs="Times New Roman"/>
          <w:sz w:val="24"/>
          <w:szCs w:val="24"/>
          <w:lang w:val="ro-MD"/>
        </w:rPr>
        <w:t xml:space="preserve">in grupa de vârstă principală (40-64 de ani) </w:t>
      </w:r>
      <w:r w:rsidRPr="003836D9">
        <w:rPr>
          <w:rFonts w:ascii="Times New Roman" w:hAnsi="Times New Roman" w:cs="Times New Roman"/>
          <w:sz w:val="24"/>
          <w:szCs w:val="24"/>
          <w:lang w:val="ro-MD"/>
        </w:rPr>
        <w:lastRenderedPageBreak/>
        <w:t xml:space="preserve">comparativ cu </w:t>
      </w:r>
      <w:r w:rsidR="00632EA5" w:rsidRPr="003836D9">
        <w:rPr>
          <w:rFonts w:ascii="Times New Roman" w:hAnsi="Times New Roman" w:cs="Times New Roman"/>
          <w:sz w:val="24"/>
          <w:szCs w:val="24"/>
          <w:lang w:val="ro-MD"/>
        </w:rPr>
        <w:t xml:space="preserve">gospodăriile conduse de </w:t>
      </w:r>
      <w:r w:rsidRPr="003836D9">
        <w:rPr>
          <w:rFonts w:ascii="Times New Roman" w:hAnsi="Times New Roman" w:cs="Times New Roman"/>
          <w:sz w:val="24"/>
          <w:szCs w:val="24"/>
          <w:lang w:val="ro-MD"/>
        </w:rPr>
        <w:t xml:space="preserve">persoanele mai tinere și în vârstă; </w:t>
      </w:r>
      <w:r w:rsidR="00632EA5" w:rsidRPr="003836D9">
        <w:rPr>
          <w:rFonts w:ascii="Times New Roman" w:hAnsi="Times New Roman" w:cs="Times New Roman"/>
          <w:sz w:val="24"/>
          <w:szCs w:val="24"/>
          <w:lang w:val="ro-MD"/>
        </w:rPr>
        <w:t xml:space="preserve">gospodăriile conduse de persoanele </w:t>
      </w:r>
      <w:r w:rsidRPr="003836D9">
        <w:rPr>
          <w:rFonts w:ascii="Times New Roman" w:hAnsi="Times New Roman" w:cs="Times New Roman"/>
          <w:sz w:val="24"/>
          <w:szCs w:val="24"/>
          <w:lang w:val="ro-MD"/>
        </w:rPr>
        <w:t xml:space="preserve">cu studii medii și mai mult în comparație cu </w:t>
      </w:r>
      <w:r w:rsidR="00632EA5" w:rsidRPr="003836D9">
        <w:rPr>
          <w:rFonts w:ascii="Times New Roman" w:hAnsi="Times New Roman" w:cs="Times New Roman"/>
          <w:sz w:val="24"/>
          <w:szCs w:val="24"/>
          <w:lang w:val="ro-MD"/>
        </w:rPr>
        <w:t xml:space="preserve">gospodăriile conduse de </w:t>
      </w:r>
      <w:r w:rsidRPr="003836D9">
        <w:rPr>
          <w:rFonts w:ascii="Times New Roman" w:hAnsi="Times New Roman" w:cs="Times New Roman"/>
          <w:sz w:val="24"/>
          <w:szCs w:val="24"/>
          <w:lang w:val="ro-MD"/>
        </w:rPr>
        <w:t>persoanele slab calificate, precum și în rândul gospodăriilor cu copii, comparativ cu gospodăriile fără copii</w:t>
      </w:r>
      <w:r w:rsidR="009617D6" w:rsidRPr="003836D9">
        <w:rPr>
          <w:rFonts w:ascii="Times New Roman" w:hAnsi="Times New Roman" w:cs="Times New Roman"/>
          <w:sz w:val="24"/>
          <w:szCs w:val="24"/>
          <w:lang w:val="ro-MD"/>
        </w:rPr>
        <w:t xml:space="preserve">. </w:t>
      </w:r>
    </w:p>
    <w:p w14:paraId="55932C31" w14:textId="77777777" w:rsidR="00011A77" w:rsidRDefault="00011A77" w:rsidP="008214A0">
      <w:pPr>
        <w:autoSpaceDE w:val="0"/>
        <w:autoSpaceDN w:val="0"/>
        <w:adjustRightInd w:val="0"/>
        <w:rPr>
          <w:rFonts w:ascii="Times New Roman" w:hAnsi="Times New Roman" w:cs="Times New Roman"/>
          <w:b/>
          <w:sz w:val="20"/>
          <w:szCs w:val="20"/>
          <w:lang w:val="ro-MD"/>
        </w:rPr>
      </w:pPr>
      <w:bookmarkStart w:id="5" w:name="_Hlk93139375"/>
    </w:p>
    <w:p w14:paraId="0A8C1B4B" w14:textId="25420142" w:rsidR="00670DD7" w:rsidRPr="003836D9" w:rsidRDefault="00D94B6B" w:rsidP="00670DD7">
      <w:pPr>
        <w:autoSpaceDE w:val="0"/>
        <w:autoSpaceDN w:val="0"/>
        <w:adjustRightInd w:val="0"/>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670DD7" w:rsidRPr="003836D9">
        <w:rPr>
          <w:rFonts w:ascii="Times New Roman" w:hAnsi="Times New Roman" w:cs="Times New Roman"/>
          <w:b/>
          <w:sz w:val="20"/>
          <w:szCs w:val="20"/>
          <w:lang w:val="ro-MD"/>
        </w:rPr>
        <w:t xml:space="preserve"> 2</w:t>
      </w:r>
      <w:r w:rsidR="006D5BD7">
        <w:rPr>
          <w:rFonts w:ascii="Times New Roman" w:hAnsi="Times New Roman" w:cs="Times New Roman"/>
          <w:b/>
          <w:sz w:val="20"/>
          <w:szCs w:val="20"/>
          <w:lang w:val="ro-MD"/>
        </w:rPr>
        <w:t>.</w:t>
      </w:r>
      <w:r w:rsidR="00670DD7" w:rsidRPr="003836D9">
        <w:rPr>
          <w:rFonts w:ascii="Times New Roman" w:hAnsi="Times New Roman" w:cs="Times New Roman"/>
          <w:b/>
          <w:sz w:val="20"/>
          <w:szCs w:val="20"/>
          <w:lang w:val="ro-MD"/>
        </w:rPr>
        <w:t xml:space="preserve"> </w:t>
      </w:r>
      <w:r w:rsidR="003D47EC" w:rsidRPr="003836D9">
        <w:rPr>
          <w:rFonts w:ascii="Times New Roman" w:hAnsi="Times New Roman" w:cs="Times New Roman"/>
          <w:b/>
          <w:sz w:val="20"/>
          <w:szCs w:val="20"/>
          <w:lang w:val="ro-MD"/>
        </w:rPr>
        <w:t>Sărăcia absolută</w:t>
      </w:r>
      <w:r w:rsidR="00670DD7" w:rsidRPr="003836D9">
        <w:rPr>
          <w:rFonts w:ascii="Times New Roman" w:hAnsi="Times New Roman" w:cs="Times New Roman"/>
          <w:b/>
          <w:sz w:val="20"/>
          <w:szCs w:val="20"/>
          <w:lang w:val="ro-MD"/>
        </w:rPr>
        <w:t xml:space="preserve">, </w:t>
      </w:r>
      <w:r w:rsidR="003D47EC" w:rsidRPr="003836D9">
        <w:rPr>
          <w:rFonts w:ascii="Times New Roman" w:hAnsi="Times New Roman" w:cs="Times New Roman"/>
          <w:b/>
          <w:sz w:val="20"/>
          <w:szCs w:val="20"/>
          <w:lang w:val="ro-MD"/>
        </w:rPr>
        <w:t>zonele rurale și urbane</w:t>
      </w:r>
      <w:r w:rsidR="008214A0">
        <w:rPr>
          <w:rFonts w:ascii="Times New Roman" w:hAnsi="Times New Roman" w:cs="Times New Roman"/>
          <w:b/>
          <w:sz w:val="20"/>
          <w:szCs w:val="20"/>
          <w:lang w:val="ro-MD"/>
        </w:rPr>
        <w:t>,</w:t>
      </w:r>
      <w:r w:rsidR="003D47EC" w:rsidRPr="003836D9">
        <w:rPr>
          <w:rFonts w:ascii="Times New Roman" w:hAnsi="Times New Roman" w:cs="Times New Roman"/>
          <w:b/>
          <w:sz w:val="20"/>
          <w:szCs w:val="20"/>
          <w:lang w:val="ro-MD"/>
        </w:rPr>
        <w:t xml:space="preserve"> </w:t>
      </w:r>
      <w:r w:rsidR="00054A6E" w:rsidRPr="003836D9">
        <w:rPr>
          <w:rFonts w:ascii="Times New Roman" w:hAnsi="Times New Roman" w:cs="Times New Roman"/>
          <w:b/>
          <w:sz w:val="20"/>
          <w:szCs w:val="20"/>
          <w:lang w:val="ro-MD"/>
        </w:rPr>
        <w:t>2014-2021</w:t>
      </w:r>
    </w:p>
    <w:bookmarkEnd w:id="5"/>
    <w:p w14:paraId="285A4A93" w14:textId="3DF0459A" w:rsidR="00670DD7" w:rsidRPr="003836D9" w:rsidRDefault="00A5140A" w:rsidP="00670DD7">
      <w:pPr>
        <w:autoSpaceDE w:val="0"/>
        <w:autoSpaceDN w:val="0"/>
        <w:adjustRightInd w:val="0"/>
        <w:spacing w:after="0" w:line="240" w:lineRule="auto"/>
        <w:jc w:val="center"/>
        <w:rPr>
          <w:rFonts w:ascii="Times New Roman" w:eastAsia="Calibri" w:hAnsi="Times New Roman" w:cs="Times New Roman"/>
          <w:sz w:val="24"/>
          <w:szCs w:val="24"/>
          <w:lang w:val="ro-MD" w:eastAsia="en-GB"/>
        </w:rPr>
      </w:pPr>
      <w:r w:rsidRPr="00A5140A">
        <w:rPr>
          <w:rFonts w:ascii="Times New Roman" w:eastAsia="Calibri" w:hAnsi="Times New Roman" w:cs="Times New Roman"/>
          <w:noProof/>
          <w:sz w:val="24"/>
          <w:szCs w:val="24"/>
          <w:lang w:val="ru-RU" w:eastAsia="ru-RU"/>
        </w:rPr>
        <w:drawing>
          <wp:inline distT="0" distB="0" distL="0" distR="0" wp14:anchorId="051064F8" wp14:editId="41155D0C">
            <wp:extent cx="5781769" cy="21050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8625" cy="2114803"/>
                    </a:xfrm>
                    <a:prstGeom prst="rect">
                      <a:avLst/>
                    </a:prstGeom>
                    <a:noFill/>
                    <a:ln>
                      <a:noFill/>
                    </a:ln>
                  </pic:spPr>
                </pic:pic>
              </a:graphicData>
            </a:graphic>
          </wp:inline>
        </w:drawing>
      </w:r>
    </w:p>
    <w:p w14:paraId="114AE621" w14:textId="77777777" w:rsidR="00A5140A" w:rsidRDefault="00011A77" w:rsidP="00011A77">
      <w:pPr>
        <w:autoSpaceDE w:val="0"/>
        <w:autoSpaceDN w:val="0"/>
        <w:adjustRightInd w:val="0"/>
        <w:spacing w:after="0" w:line="240" w:lineRule="auto"/>
        <w:rPr>
          <w:rFonts w:ascii="Times New Roman" w:eastAsia="Calibri" w:hAnsi="Times New Roman" w:cs="Times New Roman"/>
          <w:i/>
          <w:iCs/>
          <w:sz w:val="18"/>
          <w:szCs w:val="18"/>
          <w:lang w:val="ro-MD" w:eastAsia="en-GB"/>
        </w:rPr>
      </w:pPr>
      <w:r>
        <w:rPr>
          <w:rFonts w:ascii="Times New Roman" w:eastAsia="Calibri" w:hAnsi="Times New Roman" w:cs="Times New Roman"/>
          <w:i/>
          <w:iCs/>
          <w:sz w:val="18"/>
          <w:szCs w:val="18"/>
          <w:lang w:val="ro-MD" w:eastAsia="en-GB"/>
        </w:rPr>
        <w:t xml:space="preserve">      </w:t>
      </w:r>
    </w:p>
    <w:p w14:paraId="5C9F7830" w14:textId="66800040" w:rsidR="00670DD7" w:rsidRPr="003836D9" w:rsidRDefault="00A5140A" w:rsidP="00011A77">
      <w:pPr>
        <w:autoSpaceDE w:val="0"/>
        <w:autoSpaceDN w:val="0"/>
        <w:adjustRightInd w:val="0"/>
        <w:spacing w:after="0" w:line="240" w:lineRule="auto"/>
        <w:rPr>
          <w:rFonts w:ascii="Times New Roman" w:eastAsia="Calibri" w:hAnsi="Times New Roman" w:cs="Times New Roman"/>
          <w:sz w:val="18"/>
          <w:szCs w:val="18"/>
          <w:lang w:val="ro-MD" w:eastAsia="en-GB"/>
        </w:rPr>
      </w:pPr>
      <w:r w:rsidRPr="00A5140A">
        <w:rPr>
          <w:rFonts w:ascii="Times New Roman" w:eastAsia="Calibri" w:hAnsi="Times New Roman" w:cs="Times New Roman"/>
          <w:i/>
          <w:iCs/>
          <w:sz w:val="18"/>
          <w:szCs w:val="18"/>
          <w:lang w:val="ro-MD" w:eastAsia="en-GB"/>
        </w:rPr>
        <w:t xml:space="preserve">      </w:t>
      </w:r>
      <w:r w:rsidR="003D47EC" w:rsidRPr="00A5140A">
        <w:rPr>
          <w:rFonts w:ascii="Times New Roman" w:eastAsia="Calibri" w:hAnsi="Times New Roman" w:cs="Times New Roman"/>
          <w:i/>
          <w:iCs/>
          <w:sz w:val="18"/>
          <w:szCs w:val="18"/>
          <w:lang w:val="ro-MD" w:eastAsia="en-GB"/>
        </w:rPr>
        <w:t>Sursa</w:t>
      </w:r>
      <w:r w:rsidR="00670DD7" w:rsidRPr="00A5140A">
        <w:rPr>
          <w:rFonts w:ascii="Times New Roman" w:eastAsia="Calibri" w:hAnsi="Times New Roman" w:cs="Times New Roman"/>
          <w:i/>
          <w:iCs/>
          <w:sz w:val="18"/>
          <w:szCs w:val="18"/>
          <w:lang w:val="ro-MD" w:eastAsia="en-GB"/>
        </w:rPr>
        <w:t xml:space="preserve">: </w:t>
      </w:r>
      <w:r w:rsidR="003D47EC" w:rsidRPr="00A5140A">
        <w:rPr>
          <w:rFonts w:ascii="Times New Roman" w:eastAsia="Calibri" w:hAnsi="Times New Roman" w:cs="Times New Roman"/>
          <w:i/>
          <w:iCs/>
          <w:sz w:val="18"/>
          <w:szCs w:val="18"/>
          <w:lang w:val="ro-MD" w:eastAsia="en-GB"/>
        </w:rPr>
        <w:t>B</w:t>
      </w:r>
      <w:r w:rsidR="006D5BD7" w:rsidRPr="00A5140A">
        <w:rPr>
          <w:rFonts w:ascii="Times New Roman" w:eastAsia="Calibri" w:hAnsi="Times New Roman" w:cs="Times New Roman"/>
          <w:i/>
          <w:iCs/>
          <w:sz w:val="18"/>
          <w:szCs w:val="18"/>
          <w:lang w:val="ro-MD" w:eastAsia="en-GB"/>
        </w:rPr>
        <w:t>iroul Național de Statistică</w:t>
      </w:r>
      <w:r w:rsidR="00670DD7" w:rsidRPr="00A5140A">
        <w:rPr>
          <w:rFonts w:ascii="Times New Roman" w:eastAsia="Calibri" w:hAnsi="Times New Roman" w:cs="Times New Roman"/>
          <w:i/>
          <w:iCs/>
          <w:sz w:val="18"/>
          <w:szCs w:val="18"/>
          <w:lang w:val="ro-MD" w:eastAsia="en-GB"/>
        </w:rPr>
        <w:t xml:space="preserve">: </w:t>
      </w:r>
      <w:r w:rsidR="003D47EC" w:rsidRPr="00A5140A">
        <w:rPr>
          <w:rFonts w:ascii="Times New Roman" w:eastAsia="Calibri" w:hAnsi="Times New Roman" w:cs="Times New Roman"/>
          <w:i/>
          <w:iCs/>
          <w:sz w:val="18"/>
          <w:szCs w:val="18"/>
          <w:lang w:val="ro-MD" w:eastAsia="en-GB"/>
        </w:rPr>
        <w:t>Statistica</w:t>
      </w:r>
      <w:r w:rsidR="003D47EC" w:rsidRPr="003836D9">
        <w:rPr>
          <w:rFonts w:ascii="Times New Roman" w:eastAsia="Calibri" w:hAnsi="Times New Roman" w:cs="Times New Roman"/>
          <w:i/>
          <w:iCs/>
          <w:sz w:val="18"/>
          <w:szCs w:val="18"/>
          <w:lang w:val="ro-MD" w:eastAsia="en-GB"/>
        </w:rPr>
        <w:t xml:space="preserve"> socială</w:t>
      </w:r>
      <w:r w:rsidR="005B70FA" w:rsidRPr="003836D9">
        <w:rPr>
          <w:rFonts w:ascii="Times New Roman" w:eastAsia="Calibri" w:hAnsi="Times New Roman" w:cs="Times New Roman"/>
          <w:i/>
          <w:iCs/>
          <w:sz w:val="18"/>
          <w:szCs w:val="18"/>
          <w:lang w:val="ro-MD" w:eastAsia="en-GB"/>
        </w:rPr>
        <w:t xml:space="preserve">. </w:t>
      </w:r>
      <w:r w:rsidR="003D47EC" w:rsidRPr="00A5140A">
        <w:rPr>
          <w:rFonts w:ascii="Times New Roman" w:eastAsia="Calibri" w:hAnsi="Times New Roman" w:cs="Times New Roman"/>
          <w:i/>
          <w:iCs/>
          <w:sz w:val="18"/>
          <w:szCs w:val="18"/>
          <w:lang w:val="ro-MD" w:eastAsia="en-GB"/>
        </w:rPr>
        <w:t>Sărăcia</w:t>
      </w:r>
      <w:r w:rsidR="005B70FA" w:rsidRPr="00A5140A">
        <w:rPr>
          <w:rFonts w:ascii="Times New Roman" w:eastAsia="Calibri" w:hAnsi="Times New Roman" w:cs="Times New Roman"/>
          <w:i/>
          <w:iCs/>
          <w:sz w:val="18"/>
          <w:szCs w:val="18"/>
          <w:lang w:val="ro-MD" w:eastAsia="en-GB"/>
        </w:rPr>
        <w:t>,</w:t>
      </w:r>
      <w:r w:rsidR="00670DD7" w:rsidRPr="00A5140A">
        <w:rPr>
          <w:rFonts w:ascii="Times New Roman" w:eastAsia="Calibri" w:hAnsi="Times New Roman" w:cs="Times New Roman"/>
          <w:i/>
          <w:iCs/>
          <w:sz w:val="18"/>
          <w:szCs w:val="18"/>
          <w:lang w:val="ro-MD" w:eastAsia="en-GB"/>
        </w:rPr>
        <w:t xml:space="preserve"> 2014-202</w:t>
      </w:r>
      <w:r w:rsidR="00F41631" w:rsidRPr="00A5140A">
        <w:rPr>
          <w:rFonts w:ascii="Times New Roman" w:eastAsia="Calibri" w:hAnsi="Times New Roman" w:cs="Times New Roman"/>
          <w:i/>
          <w:iCs/>
          <w:sz w:val="18"/>
          <w:szCs w:val="18"/>
          <w:lang w:val="ro-MD" w:eastAsia="en-GB"/>
        </w:rPr>
        <w:t>1</w:t>
      </w:r>
      <w:r w:rsidR="00670DD7" w:rsidRPr="003836D9">
        <w:rPr>
          <w:rFonts w:ascii="Times New Roman" w:eastAsia="Calibri" w:hAnsi="Times New Roman" w:cs="Times New Roman"/>
          <w:sz w:val="18"/>
          <w:szCs w:val="18"/>
          <w:lang w:val="ro-MD" w:eastAsia="en-GB"/>
        </w:rPr>
        <w:t xml:space="preserve"> </w:t>
      </w:r>
    </w:p>
    <w:p w14:paraId="79910D08" w14:textId="4CADDA93" w:rsidR="00632FB7" w:rsidRPr="003836D9" w:rsidRDefault="00632FB7" w:rsidP="00670DD7">
      <w:pPr>
        <w:autoSpaceDE w:val="0"/>
        <w:autoSpaceDN w:val="0"/>
        <w:adjustRightInd w:val="0"/>
        <w:spacing w:after="0" w:line="240" w:lineRule="auto"/>
        <w:jc w:val="center"/>
        <w:rPr>
          <w:rFonts w:ascii="Times New Roman" w:eastAsia="Calibri" w:hAnsi="Times New Roman" w:cs="Times New Roman"/>
          <w:sz w:val="18"/>
          <w:szCs w:val="18"/>
          <w:lang w:val="ro-MD" w:eastAsia="en-GB"/>
        </w:rPr>
      </w:pPr>
    </w:p>
    <w:p w14:paraId="416732DE" w14:textId="0F004E41" w:rsidR="005B70FA" w:rsidRPr="003836D9" w:rsidRDefault="003D47EC" w:rsidP="001820A1">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De asemenea, cifrele arată că </w:t>
      </w:r>
      <w:r w:rsidR="00CA0904" w:rsidRPr="003836D9">
        <w:rPr>
          <w:rFonts w:ascii="Times New Roman" w:hAnsi="Times New Roman" w:cs="Times New Roman"/>
          <w:sz w:val="24"/>
          <w:szCs w:val="24"/>
          <w:lang w:val="ro-MD"/>
        </w:rPr>
        <w:t xml:space="preserve">persoanele </w:t>
      </w:r>
      <w:r w:rsidR="004B39B3" w:rsidRPr="003836D9">
        <w:rPr>
          <w:rFonts w:ascii="Times New Roman" w:hAnsi="Times New Roman" w:cs="Times New Roman"/>
          <w:sz w:val="24"/>
          <w:szCs w:val="24"/>
          <w:lang w:val="ro-MD"/>
        </w:rPr>
        <w:t>cu</w:t>
      </w:r>
      <w:r w:rsidRPr="003836D9">
        <w:rPr>
          <w:rFonts w:ascii="Times New Roman" w:hAnsi="Times New Roman" w:cs="Times New Roman"/>
          <w:sz w:val="24"/>
          <w:szCs w:val="24"/>
          <w:lang w:val="ro-MD"/>
        </w:rPr>
        <w:t xml:space="preserve"> studii superioare </w:t>
      </w:r>
      <w:r w:rsidR="004B39B3" w:rsidRPr="003836D9">
        <w:rPr>
          <w:rFonts w:ascii="Times New Roman" w:hAnsi="Times New Roman" w:cs="Times New Roman"/>
          <w:sz w:val="24"/>
          <w:szCs w:val="24"/>
          <w:lang w:val="ro-MD"/>
        </w:rPr>
        <w:t xml:space="preserve">sunt mai </w:t>
      </w:r>
      <w:r w:rsidRPr="003836D9">
        <w:rPr>
          <w:rFonts w:ascii="Times New Roman" w:hAnsi="Times New Roman" w:cs="Times New Roman"/>
          <w:sz w:val="24"/>
          <w:szCs w:val="24"/>
          <w:lang w:val="ro-MD"/>
        </w:rPr>
        <w:t>protej</w:t>
      </w:r>
      <w:r w:rsidR="004B39B3" w:rsidRPr="003836D9">
        <w:rPr>
          <w:rFonts w:ascii="Times New Roman" w:hAnsi="Times New Roman" w:cs="Times New Roman"/>
          <w:sz w:val="24"/>
          <w:szCs w:val="24"/>
          <w:lang w:val="ro-MD"/>
        </w:rPr>
        <w:t>ați</w:t>
      </w:r>
      <w:r w:rsidRPr="003836D9">
        <w:rPr>
          <w:rFonts w:ascii="Times New Roman" w:hAnsi="Times New Roman" w:cs="Times New Roman"/>
          <w:sz w:val="24"/>
          <w:szCs w:val="24"/>
          <w:lang w:val="ro-MD"/>
        </w:rPr>
        <w:t xml:space="preserve"> de sărăcie. </w:t>
      </w:r>
      <w:r w:rsidR="00C77051" w:rsidRPr="003836D9">
        <w:rPr>
          <w:rFonts w:ascii="Times New Roman" w:hAnsi="Times New Roman" w:cs="Times New Roman"/>
          <w:sz w:val="24"/>
          <w:szCs w:val="24"/>
          <w:lang w:val="ro-MD"/>
        </w:rPr>
        <w:t>S</w:t>
      </w:r>
      <w:r w:rsidRPr="003836D9">
        <w:rPr>
          <w:rFonts w:ascii="Times New Roman" w:hAnsi="Times New Roman" w:cs="Times New Roman"/>
          <w:sz w:val="24"/>
          <w:szCs w:val="24"/>
          <w:lang w:val="ro-MD"/>
        </w:rPr>
        <w:t xml:space="preserve">ărăcia absolută în rândul persoanelor cu calificare scăzută </w:t>
      </w:r>
      <w:r w:rsidR="00C77051" w:rsidRPr="003836D9">
        <w:rPr>
          <w:rFonts w:ascii="Times New Roman" w:hAnsi="Times New Roman" w:cs="Times New Roman"/>
          <w:sz w:val="24"/>
          <w:szCs w:val="24"/>
          <w:lang w:val="ro-MD"/>
        </w:rPr>
        <w:t xml:space="preserve">nu numai că </w:t>
      </w:r>
      <w:r w:rsidRPr="003836D9">
        <w:rPr>
          <w:rFonts w:ascii="Times New Roman" w:hAnsi="Times New Roman" w:cs="Times New Roman"/>
          <w:sz w:val="24"/>
          <w:szCs w:val="24"/>
          <w:lang w:val="ro-MD"/>
        </w:rPr>
        <w:t xml:space="preserve">a fost de aproape trei ori mai mare decât rata </w:t>
      </w:r>
      <w:r w:rsidR="00EF4378" w:rsidRPr="003836D9">
        <w:rPr>
          <w:rFonts w:ascii="Times New Roman" w:hAnsi="Times New Roman" w:cs="Times New Roman"/>
          <w:sz w:val="24"/>
          <w:szCs w:val="24"/>
          <w:lang w:val="ro-MD"/>
        </w:rPr>
        <w:t>constatată</w:t>
      </w:r>
      <w:r w:rsidRPr="003836D9">
        <w:rPr>
          <w:rFonts w:ascii="Times New Roman" w:hAnsi="Times New Roman" w:cs="Times New Roman"/>
          <w:sz w:val="24"/>
          <w:szCs w:val="24"/>
          <w:lang w:val="ro-MD"/>
        </w:rPr>
        <w:t xml:space="preserve"> în rândul persoanelor cu studii </w:t>
      </w:r>
      <w:r w:rsidR="00DB60F9" w:rsidRPr="003836D9">
        <w:rPr>
          <w:rFonts w:ascii="Times New Roman" w:hAnsi="Times New Roman" w:cs="Times New Roman"/>
          <w:sz w:val="24"/>
          <w:szCs w:val="24"/>
          <w:lang w:val="ro-MD"/>
        </w:rPr>
        <w:t>secundare</w:t>
      </w:r>
      <w:r w:rsidRPr="003836D9">
        <w:rPr>
          <w:rFonts w:ascii="Times New Roman" w:hAnsi="Times New Roman" w:cs="Times New Roman"/>
          <w:sz w:val="24"/>
          <w:szCs w:val="24"/>
          <w:lang w:val="ro-MD"/>
        </w:rPr>
        <w:t xml:space="preserve"> </w:t>
      </w:r>
      <w:r w:rsidR="00DB60F9" w:rsidRPr="003836D9">
        <w:rPr>
          <w:rFonts w:ascii="Times New Roman" w:hAnsi="Times New Roman" w:cs="Times New Roman"/>
          <w:sz w:val="24"/>
          <w:szCs w:val="24"/>
          <w:lang w:val="ro-MD"/>
        </w:rPr>
        <w:t>și peste</w:t>
      </w:r>
      <w:r w:rsidRPr="003836D9">
        <w:rPr>
          <w:rFonts w:ascii="Times New Roman" w:hAnsi="Times New Roman" w:cs="Times New Roman"/>
          <w:sz w:val="24"/>
          <w:szCs w:val="24"/>
          <w:lang w:val="ro-MD"/>
        </w:rPr>
        <w:t xml:space="preserve">, dar a crescut, de asemenea, în mod </w:t>
      </w:r>
      <w:r w:rsidR="00DB60F9" w:rsidRPr="003836D9">
        <w:rPr>
          <w:rFonts w:ascii="Times New Roman" w:hAnsi="Times New Roman" w:cs="Times New Roman"/>
          <w:sz w:val="24"/>
          <w:szCs w:val="24"/>
          <w:lang w:val="ro-MD"/>
        </w:rPr>
        <w:t>rațional</w:t>
      </w:r>
      <w:r w:rsidRPr="003836D9">
        <w:rPr>
          <w:rFonts w:ascii="Times New Roman" w:hAnsi="Times New Roman" w:cs="Times New Roman"/>
          <w:sz w:val="24"/>
          <w:szCs w:val="24"/>
          <w:lang w:val="ro-MD"/>
        </w:rPr>
        <w:t xml:space="preserve"> din 2014, atingând </w:t>
      </w:r>
      <w:r w:rsidR="00DB60F9" w:rsidRPr="003836D9">
        <w:rPr>
          <w:rFonts w:ascii="Times New Roman" w:hAnsi="Times New Roman" w:cs="Times New Roman"/>
          <w:sz w:val="24"/>
          <w:szCs w:val="24"/>
          <w:lang w:val="ro-MD"/>
        </w:rPr>
        <w:t xml:space="preserve">valoarea de </w:t>
      </w:r>
      <w:r w:rsidRPr="003836D9">
        <w:rPr>
          <w:rFonts w:ascii="Times New Roman" w:hAnsi="Times New Roman" w:cs="Times New Roman"/>
          <w:sz w:val="24"/>
          <w:szCs w:val="24"/>
          <w:lang w:val="ro-MD"/>
        </w:rPr>
        <w:t>vârf</w:t>
      </w:r>
      <w:r w:rsidR="00DB60F9" w:rsidRPr="003836D9">
        <w:rPr>
          <w:rFonts w:ascii="Times New Roman" w:hAnsi="Times New Roman" w:cs="Times New Roman"/>
          <w:sz w:val="24"/>
          <w:szCs w:val="24"/>
          <w:lang w:val="ro-MD"/>
        </w:rPr>
        <w:t xml:space="preserve"> de </w:t>
      </w:r>
      <w:r w:rsidRPr="003836D9">
        <w:rPr>
          <w:rFonts w:ascii="Times New Roman" w:hAnsi="Times New Roman" w:cs="Times New Roman"/>
          <w:sz w:val="24"/>
          <w:szCs w:val="24"/>
          <w:lang w:val="ro-MD"/>
        </w:rPr>
        <w:t>7</w:t>
      </w:r>
      <w:r w:rsidR="00F41631" w:rsidRPr="003836D9">
        <w:rPr>
          <w:rFonts w:ascii="Times New Roman" w:hAnsi="Times New Roman" w:cs="Times New Roman"/>
          <w:sz w:val="24"/>
          <w:szCs w:val="24"/>
          <w:lang w:val="ro-MD"/>
        </w:rPr>
        <w:t>6</w:t>
      </w:r>
      <w:r w:rsidRPr="003836D9">
        <w:rPr>
          <w:rFonts w:ascii="Times New Roman" w:hAnsi="Times New Roman" w:cs="Times New Roman"/>
          <w:sz w:val="24"/>
          <w:szCs w:val="24"/>
          <w:lang w:val="ro-MD"/>
        </w:rPr>
        <w:t>,</w:t>
      </w:r>
      <w:r w:rsidR="00F41631" w:rsidRPr="003836D9">
        <w:rPr>
          <w:rFonts w:ascii="Times New Roman" w:hAnsi="Times New Roman" w:cs="Times New Roman"/>
          <w:sz w:val="24"/>
          <w:szCs w:val="24"/>
          <w:lang w:val="ro-MD"/>
        </w:rPr>
        <w:t>1</w:t>
      </w:r>
      <w:r w:rsidR="004B39B3"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în 202</w:t>
      </w:r>
      <w:r w:rsidR="00F41631" w:rsidRPr="003836D9">
        <w:rPr>
          <w:rFonts w:ascii="Times New Roman" w:hAnsi="Times New Roman" w:cs="Times New Roman"/>
          <w:sz w:val="24"/>
          <w:szCs w:val="24"/>
          <w:lang w:val="ro-MD"/>
        </w:rPr>
        <w:t>1</w:t>
      </w:r>
      <w:r w:rsidR="005B70FA" w:rsidRPr="003836D9">
        <w:rPr>
          <w:rFonts w:ascii="Times New Roman" w:hAnsi="Times New Roman" w:cs="Times New Roman"/>
          <w:sz w:val="24"/>
          <w:szCs w:val="24"/>
          <w:lang w:val="ro-MD"/>
        </w:rPr>
        <w:t xml:space="preserve">. </w:t>
      </w:r>
    </w:p>
    <w:p w14:paraId="04267C36" w14:textId="77777777" w:rsidR="007469F9" w:rsidRPr="003836D9" w:rsidRDefault="007469F9" w:rsidP="00693E07">
      <w:pPr>
        <w:autoSpaceDE w:val="0"/>
        <w:autoSpaceDN w:val="0"/>
        <w:adjustRightInd w:val="0"/>
        <w:spacing w:after="0"/>
        <w:rPr>
          <w:rFonts w:ascii="Times New Roman" w:hAnsi="Times New Roman" w:cs="Times New Roman"/>
          <w:b/>
          <w:sz w:val="20"/>
          <w:szCs w:val="20"/>
          <w:lang w:val="ro-MD"/>
        </w:rPr>
      </w:pPr>
      <w:bookmarkStart w:id="6" w:name="_Hlk93139386"/>
    </w:p>
    <w:p w14:paraId="6901A4D8" w14:textId="507E8E03" w:rsidR="005E11D5" w:rsidRPr="003836D9" w:rsidRDefault="003D47EC" w:rsidP="00D81B8F">
      <w:pPr>
        <w:autoSpaceDE w:val="0"/>
        <w:autoSpaceDN w:val="0"/>
        <w:adjustRightInd w:val="0"/>
        <w:spacing w:after="0"/>
        <w:ind w:firstLine="567"/>
        <w:jc w:val="center"/>
        <w:rPr>
          <w:rFonts w:ascii="Times New Roman" w:hAnsi="Times New Roman" w:cs="Times New Roman"/>
          <w:b/>
          <w:sz w:val="20"/>
          <w:szCs w:val="20"/>
          <w:lang w:val="ro-MD"/>
        </w:rPr>
      </w:pPr>
      <w:r w:rsidRPr="003836D9">
        <w:rPr>
          <w:rFonts w:ascii="Times New Roman" w:hAnsi="Times New Roman" w:cs="Times New Roman"/>
          <w:b/>
          <w:sz w:val="20"/>
          <w:szCs w:val="20"/>
          <w:lang w:val="ro-MD"/>
        </w:rPr>
        <w:t>Tabelul</w:t>
      </w:r>
      <w:r w:rsidR="005E11D5" w:rsidRPr="003836D9">
        <w:rPr>
          <w:rFonts w:ascii="Times New Roman" w:hAnsi="Times New Roman" w:cs="Times New Roman"/>
          <w:b/>
          <w:sz w:val="20"/>
          <w:szCs w:val="20"/>
          <w:lang w:val="ro-MD"/>
        </w:rPr>
        <w:t xml:space="preserve"> 2</w:t>
      </w:r>
      <w:r w:rsidR="00267375">
        <w:rPr>
          <w:rFonts w:ascii="Times New Roman" w:hAnsi="Times New Roman" w:cs="Times New Roman"/>
          <w:b/>
          <w:sz w:val="20"/>
          <w:szCs w:val="20"/>
          <w:lang w:val="ro-MD"/>
        </w:rPr>
        <w:t>.</w:t>
      </w:r>
      <w:r w:rsidR="005E11D5" w:rsidRPr="003836D9">
        <w:rPr>
          <w:rFonts w:ascii="Times New Roman" w:hAnsi="Times New Roman" w:cs="Times New Roman"/>
          <w:b/>
          <w:sz w:val="20"/>
          <w:szCs w:val="20"/>
          <w:lang w:val="ro-MD"/>
        </w:rPr>
        <w:t xml:space="preserve"> </w:t>
      </w:r>
      <w:r w:rsidRPr="003836D9">
        <w:rPr>
          <w:rFonts w:ascii="Times New Roman" w:hAnsi="Times New Roman" w:cs="Times New Roman"/>
          <w:b/>
          <w:sz w:val="20"/>
          <w:szCs w:val="20"/>
          <w:lang w:val="ro-MD"/>
        </w:rPr>
        <w:t>Sărăcia absolută conform caracteristicilor individuale</w:t>
      </w:r>
      <w:r w:rsidR="005E11D5" w:rsidRPr="003836D9">
        <w:rPr>
          <w:rFonts w:ascii="Times New Roman" w:hAnsi="Times New Roman" w:cs="Times New Roman"/>
          <w:b/>
          <w:sz w:val="20"/>
          <w:szCs w:val="20"/>
          <w:lang w:val="ro-MD"/>
        </w:rPr>
        <w:t>, 2014-202</w:t>
      </w:r>
      <w:r w:rsidR="0003776F" w:rsidRPr="003836D9">
        <w:rPr>
          <w:rFonts w:ascii="Times New Roman" w:hAnsi="Times New Roman" w:cs="Times New Roman"/>
          <w:b/>
          <w:sz w:val="20"/>
          <w:szCs w:val="20"/>
          <w:lang w:val="ro-MD"/>
        </w:rPr>
        <w:t>1</w:t>
      </w:r>
    </w:p>
    <w:bookmarkEnd w:id="6"/>
    <w:tbl>
      <w:tblPr>
        <w:tblpPr w:leftFromText="180" w:rightFromText="180" w:vertAnchor="text" w:horzAnchor="margin" w:tblpXSpec="center" w:tblpY="125"/>
        <w:tblW w:w="838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611"/>
        <w:gridCol w:w="2547"/>
        <w:gridCol w:w="810"/>
        <w:gridCol w:w="900"/>
        <w:gridCol w:w="810"/>
        <w:gridCol w:w="810"/>
        <w:gridCol w:w="900"/>
      </w:tblGrid>
      <w:tr w:rsidR="003923AC" w:rsidRPr="003836D9" w14:paraId="6F82CB57" w14:textId="131F2074" w:rsidTr="00A7096C">
        <w:trPr>
          <w:trHeight w:val="237"/>
        </w:trPr>
        <w:tc>
          <w:tcPr>
            <w:tcW w:w="1611" w:type="dxa"/>
            <w:tcBorders>
              <w:top w:val="single" w:sz="4" w:space="0" w:color="auto"/>
              <w:bottom w:val="single" w:sz="4" w:space="0" w:color="auto"/>
            </w:tcBorders>
            <w:shd w:val="clear" w:color="auto" w:fill="B4C6E7" w:themeFill="accent1" w:themeFillTint="66"/>
          </w:tcPr>
          <w:p w14:paraId="5F0AEA55" w14:textId="77777777" w:rsidR="003923AC" w:rsidRPr="003836D9" w:rsidRDefault="003923AC" w:rsidP="002D345A">
            <w:pPr>
              <w:spacing w:after="0" w:line="240" w:lineRule="auto"/>
              <w:rPr>
                <w:rFonts w:ascii="Times New Roman" w:eastAsia="Times New Roman" w:hAnsi="Times New Roman" w:cs="Times New Roman"/>
                <w:b/>
                <w:bCs/>
                <w:sz w:val="16"/>
                <w:szCs w:val="16"/>
                <w:lang w:val="ro-MD" w:eastAsia="en-GB"/>
              </w:rPr>
            </w:pPr>
          </w:p>
        </w:tc>
        <w:tc>
          <w:tcPr>
            <w:tcW w:w="2547" w:type="dxa"/>
            <w:tcBorders>
              <w:top w:val="single" w:sz="4" w:space="0" w:color="auto"/>
              <w:bottom w:val="single" w:sz="4" w:space="0" w:color="auto"/>
            </w:tcBorders>
            <w:shd w:val="clear" w:color="auto" w:fill="B4C6E7" w:themeFill="accent1" w:themeFillTint="66"/>
            <w:noWrap/>
            <w:vAlign w:val="bottom"/>
            <w:hideMark/>
          </w:tcPr>
          <w:p w14:paraId="40CCA322" w14:textId="77777777" w:rsidR="003923AC" w:rsidRPr="003836D9" w:rsidRDefault="003923AC" w:rsidP="002D345A">
            <w:pPr>
              <w:spacing w:after="0" w:line="240" w:lineRule="auto"/>
              <w:rPr>
                <w:rFonts w:ascii="Times New Roman" w:eastAsia="Times New Roman" w:hAnsi="Times New Roman" w:cs="Times New Roman"/>
                <w:sz w:val="16"/>
                <w:szCs w:val="16"/>
                <w:lang w:val="ro-MD" w:eastAsia="en-GB"/>
              </w:rPr>
            </w:pPr>
          </w:p>
        </w:tc>
        <w:tc>
          <w:tcPr>
            <w:tcW w:w="810" w:type="dxa"/>
            <w:tcBorders>
              <w:top w:val="single" w:sz="4" w:space="0" w:color="auto"/>
              <w:bottom w:val="single" w:sz="4" w:space="0" w:color="auto"/>
            </w:tcBorders>
            <w:shd w:val="clear" w:color="auto" w:fill="B4C6E7" w:themeFill="accent1" w:themeFillTint="66"/>
            <w:noWrap/>
            <w:vAlign w:val="bottom"/>
            <w:hideMark/>
          </w:tcPr>
          <w:p w14:paraId="059B2A8B" w14:textId="77777777" w:rsidR="003923AC" w:rsidRPr="003836D9" w:rsidRDefault="003923AC" w:rsidP="008136FC">
            <w:pPr>
              <w:spacing w:after="0" w:line="240" w:lineRule="auto"/>
              <w:jc w:val="right"/>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2014</w:t>
            </w:r>
          </w:p>
        </w:tc>
        <w:tc>
          <w:tcPr>
            <w:tcW w:w="900" w:type="dxa"/>
            <w:tcBorders>
              <w:top w:val="single" w:sz="4" w:space="0" w:color="auto"/>
              <w:bottom w:val="single" w:sz="4" w:space="0" w:color="auto"/>
            </w:tcBorders>
            <w:shd w:val="clear" w:color="auto" w:fill="B4C6E7" w:themeFill="accent1" w:themeFillTint="66"/>
            <w:noWrap/>
            <w:vAlign w:val="bottom"/>
            <w:hideMark/>
          </w:tcPr>
          <w:p w14:paraId="2CBBCC25" w14:textId="77777777" w:rsidR="003923AC" w:rsidRPr="003836D9" w:rsidRDefault="003923AC" w:rsidP="008136FC">
            <w:pPr>
              <w:spacing w:after="0" w:line="240" w:lineRule="auto"/>
              <w:jc w:val="right"/>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2016</w:t>
            </w:r>
          </w:p>
        </w:tc>
        <w:tc>
          <w:tcPr>
            <w:tcW w:w="810" w:type="dxa"/>
            <w:tcBorders>
              <w:top w:val="single" w:sz="4" w:space="0" w:color="auto"/>
              <w:bottom w:val="single" w:sz="4" w:space="0" w:color="auto"/>
            </w:tcBorders>
            <w:shd w:val="clear" w:color="auto" w:fill="B4C6E7" w:themeFill="accent1" w:themeFillTint="66"/>
            <w:noWrap/>
            <w:vAlign w:val="bottom"/>
            <w:hideMark/>
          </w:tcPr>
          <w:p w14:paraId="3B938361" w14:textId="77777777" w:rsidR="003923AC" w:rsidRPr="003836D9" w:rsidRDefault="003923AC" w:rsidP="008136FC">
            <w:pPr>
              <w:spacing w:after="0" w:line="240" w:lineRule="auto"/>
              <w:jc w:val="right"/>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2018</w:t>
            </w:r>
          </w:p>
        </w:tc>
        <w:tc>
          <w:tcPr>
            <w:tcW w:w="810" w:type="dxa"/>
            <w:tcBorders>
              <w:top w:val="single" w:sz="4" w:space="0" w:color="auto"/>
              <w:bottom w:val="single" w:sz="4" w:space="0" w:color="auto"/>
            </w:tcBorders>
            <w:shd w:val="clear" w:color="auto" w:fill="B4C6E7" w:themeFill="accent1" w:themeFillTint="66"/>
            <w:noWrap/>
            <w:vAlign w:val="bottom"/>
            <w:hideMark/>
          </w:tcPr>
          <w:p w14:paraId="2523F535" w14:textId="77777777" w:rsidR="003923AC" w:rsidRPr="003836D9" w:rsidRDefault="003923AC" w:rsidP="008136FC">
            <w:pPr>
              <w:spacing w:after="0" w:line="240" w:lineRule="auto"/>
              <w:jc w:val="right"/>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2020</w:t>
            </w:r>
          </w:p>
        </w:tc>
        <w:tc>
          <w:tcPr>
            <w:tcW w:w="900" w:type="dxa"/>
            <w:tcBorders>
              <w:top w:val="single" w:sz="4" w:space="0" w:color="auto"/>
              <w:bottom w:val="single" w:sz="4" w:space="0" w:color="auto"/>
            </w:tcBorders>
            <w:shd w:val="clear" w:color="auto" w:fill="B4C6E7" w:themeFill="accent1" w:themeFillTint="66"/>
          </w:tcPr>
          <w:p w14:paraId="04288725" w14:textId="77777777" w:rsidR="003923AC" w:rsidRPr="003836D9" w:rsidRDefault="003923AC" w:rsidP="008136FC">
            <w:pPr>
              <w:spacing w:after="0" w:line="240" w:lineRule="auto"/>
              <w:jc w:val="right"/>
              <w:rPr>
                <w:rFonts w:ascii="Times New Roman" w:eastAsia="Times New Roman" w:hAnsi="Times New Roman" w:cs="Times New Roman"/>
                <w:b/>
                <w:bCs/>
                <w:color w:val="000000"/>
                <w:sz w:val="16"/>
                <w:szCs w:val="16"/>
                <w:lang w:val="ro-MD" w:eastAsia="en-GB"/>
              </w:rPr>
            </w:pPr>
          </w:p>
          <w:p w14:paraId="2C2CBD8F" w14:textId="074BDB4B" w:rsidR="003923AC" w:rsidRPr="003836D9" w:rsidRDefault="003923AC" w:rsidP="008136FC">
            <w:pPr>
              <w:spacing w:after="0" w:line="240" w:lineRule="auto"/>
              <w:jc w:val="right"/>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2021</w:t>
            </w:r>
          </w:p>
        </w:tc>
      </w:tr>
      <w:tr w:rsidR="003923AC" w:rsidRPr="003836D9" w14:paraId="52099225" w14:textId="4B70F25D" w:rsidTr="00A7096C">
        <w:trPr>
          <w:trHeight w:val="237"/>
        </w:trPr>
        <w:tc>
          <w:tcPr>
            <w:tcW w:w="1611" w:type="dxa"/>
            <w:vMerge w:val="restart"/>
            <w:tcBorders>
              <w:top w:val="single" w:sz="4" w:space="0" w:color="auto"/>
            </w:tcBorders>
          </w:tcPr>
          <w:p w14:paraId="07BFC7B0" w14:textId="331D9C0B" w:rsidR="003923AC" w:rsidRPr="003836D9" w:rsidRDefault="0003776F" w:rsidP="002D345A">
            <w:pPr>
              <w:spacing w:after="0" w:line="240" w:lineRule="auto"/>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Sexul capului gospodăriei</w:t>
            </w:r>
          </w:p>
        </w:tc>
        <w:tc>
          <w:tcPr>
            <w:tcW w:w="2547" w:type="dxa"/>
            <w:tcBorders>
              <w:top w:val="single" w:sz="4" w:space="0" w:color="auto"/>
            </w:tcBorders>
            <w:shd w:val="clear" w:color="auto" w:fill="auto"/>
            <w:noWrap/>
            <w:vAlign w:val="bottom"/>
            <w:hideMark/>
          </w:tcPr>
          <w:p w14:paraId="635C60CF" w14:textId="16618945"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Bărbați</w:t>
            </w:r>
          </w:p>
        </w:tc>
        <w:tc>
          <w:tcPr>
            <w:tcW w:w="810" w:type="dxa"/>
            <w:tcBorders>
              <w:top w:val="single" w:sz="4" w:space="0" w:color="auto"/>
            </w:tcBorders>
            <w:shd w:val="clear" w:color="auto" w:fill="auto"/>
            <w:noWrap/>
            <w:vAlign w:val="bottom"/>
            <w:hideMark/>
          </w:tcPr>
          <w:p w14:paraId="69FAD60A"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28.8</w:t>
            </w:r>
          </w:p>
        </w:tc>
        <w:tc>
          <w:tcPr>
            <w:tcW w:w="900" w:type="dxa"/>
            <w:tcBorders>
              <w:top w:val="single" w:sz="4" w:space="0" w:color="auto"/>
            </w:tcBorders>
            <w:shd w:val="clear" w:color="auto" w:fill="auto"/>
            <w:noWrap/>
            <w:vAlign w:val="bottom"/>
            <w:hideMark/>
          </w:tcPr>
          <w:p w14:paraId="56F22C9A"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26.6</w:t>
            </w:r>
          </w:p>
        </w:tc>
        <w:tc>
          <w:tcPr>
            <w:tcW w:w="810" w:type="dxa"/>
            <w:tcBorders>
              <w:top w:val="single" w:sz="4" w:space="0" w:color="auto"/>
            </w:tcBorders>
            <w:shd w:val="clear" w:color="auto" w:fill="auto"/>
            <w:noWrap/>
            <w:vAlign w:val="bottom"/>
            <w:hideMark/>
          </w:tcPr>
          <w:p w14:paraId="23A5EA29"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22.6</w:t>
            </w:r>
          </w:p>
        </w:tc>
        <w:tc>
          <w:tcPr>
            <w:tcW w:w="810" w:type="dxa"/>
            <w:tcBorders>
              <w:top w:val="single" w:sz="4" w:space="0" w:color="auto"/>
            </w:tcBorders>
            <w:shd w:val="clear" w:color="auto" w:fill="auto"/>
            <w:noWrap/>
            <w:vAlign w:val="bottom"/>
            <w:hideMark/>
          </w:tcPr>
          <w:p w14:paraId="2F14F50C"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25.6</w:t>
            </w:r>
          </w:p>
        </w:tc>
        <w:tc>
          <w:tcPr>
            <w:tcW w:w="900" w:type="dxa"/>
            <w:tcBorders>
              <w:top w:val="single" w:sz="4" w:space="0" w:color="auto"/>
            </w:tcBorders>
          </w:tcPr>
          <w:p w14:paraId="470EA457" w14:textId="5A75A452" w:rsidR="003923AC" w:rsidRPr="003836D9" w:rsidRDefault="00704D18"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23.6</w:t>
            </w:r>
          </w:p>
        </w:tc>
      </w:tr>
      <w:tr w:rsidR="003923AC" w:rsidRPr="003836D9" w14:paraId="6FA1B211" w14:textId="17C36D2F" w:rsidTr="00A7096C">
        <w:trPr>
          <w:trHeight w:val="237"/>
        </w:trPr>
        <w:tc>
          <w:tcPr>
            <w:tcW w:w="1611" w:type="dxa"/>
            <w:vMerge/>
            <w:tcBorders>
              <w:bottom w:val="single" w:sz="4" w:space="0" w:color="auto"/>
            </w:tcBorders>
          </w:tcPr>
          <w:p w14:paraId="5438658A"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p>
        </w:tc>
        <w:tc>
          <w:tcPr>
            <w:tcW w:w="2547" w:type="dxa"/>
            <w:tcBorders>
              <w:bottom w:val="single" w:sz="4" w:space="0" w:color="auto"/>
            </w:tcBorders>
            <w:shd w:val="clear" w:color="auto" w:fill="auto"/>
            <w:noWrap/>
            <w:vAlign w:val="bottom"/>
            <w:hideMark/>
          </w:tcPr>
          <w:p w14:paraId="129C3FA5" w14:textId="7252151A"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Femei</w:t>
            </w:r>
          </w:p>
        </w:tc>
        <w:tc>
          <w:tcPr>
            <w:tcW w:w="810" w:type="dxa"/>
            <w:tcBorders>
              <w:bottom w:val="single" w:sz="4" w:space="0" w:color="auto"/>
            </w:tcBorders>
            <w:shd w:val="clear" w:color="auto" w:fill="auto"/>
            <w:noWrap/>
            <w:vAlign w:val="bottom"/>
            <w:hideMark/>
          </w:tcPr>
          <w:p w14:paraId="0F424E9F"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30.8</w:t>
            </w:r>
          </w:p>
        </w:tc>
        <w:tc>
          <w:tcPr>
            <w:tcW w:w="900" w:type="dxa"/>
            <w:tcBorders>
              <w:bottom w:val="single" w:sz="4" w:space="0" w:color="auto"/>
            </w:tcBorders>
            <w:shd w:val="clear" w:color="auto" w:fill="auto"/>
            <w:noWrap/>
            <w:vAlign w:val="bottom"/>
            <w:hideMark/>
          </w:tcPr>
          <w:p w14:paraId="7DCEEDA5"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26.1</w:t>
            </w:r>
          </w:p>
        </w:tc>
        <w:tc>
          <w:tcPr>
            <w:tcW w:w="810" w:type="dxa"/>
            <w:tcBorders>
              <w:bottom w:val="single" w:sz="4" w:space="0" w:color="auto"/>
            </w:tcBorders>
            <w:shd w:val="clear" w:color="auto" w:fill="auto"/>
            <w:noWrap/>
            <w:vAlign w:val="bottom"/>
            <w:hideMark/>
          </w:tcPr>
          <w:p w14:paraId="067FC283"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23.6</w:t>
            </w:r>
          </w:p>
        </w:tc>
        <w:tc>
          <w:tcPr>
            <w:tcW w:w="810" w:type="dxa"/>
            <w:tcBorders>
              <w:bottom w:val="single" w:sz="4" w:space="0" w:color="auto"/>
            </w:tcBorders>
            <w:shd w:val="clear" w:color="auto" w:fill="auto"/>
            <w:noWrap/>
            <w:vAlign w:val="bottom"/>
            <w:hideMark/>
          </w:tcPr>
          <w:p w14:paraId="6E55E0E5"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29.3</w:t>
            </w:r>
          </w:p>
        </w:tc>
        <w:tc>
          <w:tcPr>
            <w:tcW w:w="900" w:type="dxa"/>
            <w:tcBorders>
              <w:bottom w:val="single" w:sz="4" w:space="0" w:color="auto"/>
            </w:tcBorders>
          </w:tcPr>
          <w:p w14:paraId="3F4053CE" w14:textId="6E2DC38A" w:rsidR="003923AC" w:rsidRPr="003836D9" w:rsidRDefault="00704D18"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26.3</w:t>
            </w:r>
          </w:p>
        </w:tc>
      </w:tr>
      <w:tr w:rsidR="003923AC" w:rsidRPr="003836D9" w14:paraId="33653CE8" w14:textId="21DBD45D" w:rsidTr="00A7096C">
        <w:trPr>
          <w:trHeight w:val="237"/>
        </w:trPr>
        <w:tc>
          <w:tcPr>
            <w:tcW w:w="1611" w:type="dxa"/>
            <w:vMerge w:val="restart"/>
            <w:tcBorders>
              <w:top w:val="single" w:sz="4" w:space="0" w:color="auto"/>
              <w:bottom w:val="dotted" w:sz="4" w:space="0" w:color="auto"/>
            </w:tcBorders>
          </w:tcPr>
          <w:p w14:paraId="11F8338E"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Grup de vârstă</w:t>
            </w:r>
          </w:p>
          <w:p w14:paraId="29392033" w14:textId="527AE9F1" w:rsidR="0003776F" w:rsidRPr="003836D9" w:rsidRDefault="0003776F" w:rsidP="002D345A">
            <w:pPr>
              <w:spacing w:after="0" w:line="240" w:lineRule="auto"/>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a capului gospodăriei</w:t>
            </w:r>
          </w:p>
        </w:tc>
        <w:tc>
          <w:tcPr>
            <w:tcW w:w="2547" w:type="dxa"/>
            <w:tcBorders>
              <w:top w:val="single" w:sz="4" w:space="0" w:color="auto"/>
              <w:bottom w:val="dotted" w:sz="4" w:space="0" w:color="auto"/>
            </w:tcBorders>
            <w:shd w:val="clear" w:color="auto" w:fill="auto"/>
            <w:noWrap/>
            <w:vAlign w:val="bottom"/>
            <w:hideMark/>
          </w:tcPr>
          <w:p w14:paraId="0F951F45" w14:textId="7E2A992E"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Până la 30 ani</w:t>
            </w:r>
          </w:p>
        </w:tc>
        <w:tc>
          <w:tcPr>
            <w:tcW w:w="810" w:type="dxa"/>
            <w:tcBorders>
              <w:top w:val="single" w:sz="4" w:space="0" w:color="auto"/>
              <w:bottom w:val="dotted" w:sz="4" w:space="0" w:color="auto"/>
            </w:tcBorders>
            <w:shd w:val="clear" w:color="auto" w:fill="auto"/>
            <w:noWrap/>
            <w:vAlign w:val="bottom"/>
            <w:hideMark/>
          </w:tcPr>
          <w:p w14:paraId="66DD4C44"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18.1</w:t>
            </w:r>
          </w:p>
        </w:tc>
        <w:tc>
          <w:tcPr>
            <w:tcW w:w="900" w:type="dxa"/>
            <w:tcBorders>
              <w:top w:val="single" w:sz="4" w:space="0" w:color="auto"/>
              <w:bottom w:val="dotted" w:sz="4" w:space="0" w:color="auto"/>
            </w:tcBorders>
            <w:shd w:val="clear" w:color="auto" w:fill="auto"/>
            <w:noWrap/>
            <w:vAlign w:val="bottom"/>
            <w:hideMark/>
          </w:tcPr>
          <w:p w14:paraId="52C3C15E"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16.1</w:t>
            </w:r>
          </w:p>
        </w:tc>
        <w:tc>
          <w:tcPr>
            <w:tcW w:w="810" w:type="dxa"/>
            <w:tcBorders>
              <w:top w:val="single" w:sz="4" w:space="0" w:color="auto"/>
              <w:bottom w:val="dotted" w:sz="4" w:space="0" w:color="auto"/>
            </w:tcBorders>
            <w:shd w:val="clear" w:color="auto" w:fill="auto"/>
            <w:noWrap/>
            <w:vAlign w:val="bottom"/>
            <w:hideMark/>
          </w:tcPr>
          <w:p w14:paraId="3ADE05DF"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13.1</w:t>
            </w:r>
          </w:p>
        </w:tc>
        <w:tc>
          <w:tcPr>
            <w:tcW w:w="810" w:type="dxa"/>
            <w:tcBorders>
              <w:top w:val="single" w:sz="4" w:space="0" w:color="auto"/>
              <w:bottom w:val="dotted" w:sz="4" w:space="0" w:color="auto"/>
            </w:tcBorders>
            <w:shd w:val="clear" w:color="auto" w:fill="auto"/>
            <w:noWrap/>
            <w:vAlign w:val="bottom"/>
            <w:hideMark/>
          </w:tcPr>
          <w:p w14:paraId="729403DD"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16.7</w:t>
            </w:r>
          </w:p>
        </w:tc>
        <w:tc>
          <w:tcPr>
            <w:tcW w:w="900" w:type="dxa"/>
            <w:tcBorders>
              <w:top w:val="single" w:sz="4" w:space="0" w:color="auto"/>
              <w:bottom w:val="dotted" w:sz="4" w:space="0" w:color="auto"/>
            </w:tcBorders>
          </w:tcPr>
          <w:p w14:paraId="096EB50D" w14:textId="6CB37898" w:rsidR="003923AC" w:rsidRPr="003836D9" w:rsidRDefault="00704D18"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15.4</w:t>
            </w:r>
          </w:p>
        </w:tc>
      </w:tr>
      <w:tr w:rsidR="003923AC" w:rsidRPr="003836D9" w14:paraId="0D78835C" w14:textId="77246F36" w:rsidTr="00A7096C">
        <w:trPr>
          <w:trHeight w:val="237"/>
        </w:trPr>
        <w:tc>
          <w:tcPr>
            <w:tcW w:w="1611" w:type="dxa"/>
            <w:vMerge/>
            <w:tcBorders>
              <w:top w:val="dotted" w:sz="4" w:space="0" w:color="auto"/>
              <w:bottom w:val="dotted" w:sz="4" w:space="0" w:color="auto"/>
            </w:tcBorders>
          </w:tcPr>
          <w:p w14:paraId="4DDE616E"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p>
        </w:tc>
        <w:tc>
          <w:tcPr>
            <w:tcW w:w="2547" w:type="dxa"/>
            <w:tcBorders>
              <w:top w:val="dotted" w:sz="4" w:space="0" w:color="auto"/>
              <w:bottom w:val="dotted" w:sz="4" w:space="0" w:color="auto"/>
            </w:tcBorders>
            <w:shd w:val="clear" w:color="auto" w:fill="auto"/>
            <w:noWrap/>
            <w:vAlign w:val="bottom"/>
            <w:hideMark/>
          </w:tcPr>
          <w:p w14:paraId="674C87EF" w14:textId="1733167E"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30 - 39 ani</w:t>
            </w:r>
          </w:p>
        </w:tc>
        <w:tc>
          <w:tcPr>
            <w:tcW w:w="810" w:type="dxa"/>
            <w:tcBorders>
              <w:top w:val="dotted" w:sz="4" w:space="0" w:color="auto"/>
              <w:bottom w:val="dotted" w:sz="4" w:space="0" w:color="auto"/>
            </w:tcBorders>
            <w:shd w:val="clear" w:color="auto" w:fill="auto"/>
            <w:noWrap/>
            <w:vAlign w:val="bottom"/>
            <w:hideMark/>
          </w:tcPr>
          <w:p w14:paraId="7E07C6E5"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25.4</w:t>
            </w:r>
          </w:p>
        </w:tc>
        <w:tc>
          <w:tcPr>
            <w:tcW w:w="900" w:type="dxa"/>
            <w:tcBorders>
              <w:top w:val="dotted" w:sz="4" w:space="0" w:color="auto"/>
              <w:bottom w:val="dotted" w:sz="4" w:space="0" w:color="auto"/>
            </w:tcBorders>
            <w:shd w:val="clear" w:color="auto" w:fill="auto"/>
            <w:noWrap/>
            <w:vAlign w:val="bottom"/>
            <w:hideMark/>
          </w:tcPr>
          <w:p w14:paraId="0B662EB0"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20.1</w:t>
            </w:r>
          </w:p>
        </w:tc>
        <w:tc>
          <w:tcPr>
            <w:tcW w:w="810" w:type="dxa"/>
            <w:tcBorders>
              <w:top w:val="dotted" w:sz="4" w:space="0" w:color="auto"/>
              <w:bottom w:val="dotted" w:sz="4" w:space="0" w:color="auto"/>
            </w:tcBorders>
            <w:shd w:val="clear" w:color="auto" w:fill="auto"/>
            <w:noWrap/>
            <w:vAlign w:val="bottom"/>
            <w:hideMark/>
          </w:tcPr>
          <w:p w14:paraId="6A19D433"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20.5</w:t>
            </w:r>
          </w:p>
        </w:tc>
        <w:tc>
          <w:tcPr>
            <w:tcW w:w="810" w:type="dxa"/>
            <w:tcBorders>
              <w:top w:val="dotted" w:sz="4" w:space="0" w:color="auto"/>
              <w:bottom w:val="dotted" w:sz="4" w:space="0" w:color="auto"/>
            </w:tcBorders>
            <w:shd w:val="clear" w:color="auto" w:fill="auto"/>
            <w:noWrap/>
            <w:vAlign w:val="bottom"/>
            <w:hideMark/>
          </w:tcPr>
          <w:p w14:paraId="7BEEA68E"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22.3</w:t>
            </w:r>
          </w:p>
        </w:tc>
        <w:tc>
          <w:tcPr>
            <w:tcW w:w="900" w:type="dxa"/>
            <w:tcBorders>
              <w:top w:val="dotted" w:sz="4" w:space="0" w:color="auto"/>
              <w:bottom w:val="dotted" w:sz="4" w:space="0" w:color="auto"/>
            </w:tcBorders>
          </w:tcPr>
          <w:p w14:paraId="4BCB735C" w14:textId="3C265BFA" w:rsidR="003923AC" w:rsidRPr="003836D9" w:rsidRDefault="00704D18"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18.6</w:t>
            </w:r>
          </w:p>
        </w:tc>
      </w:tr>
      <w:tr w:rsidR="003923AC" w:rsidRPr="003836D9" w14:paraId="209F35FB" w14:textId="57157D4B" w:rsidTr="00A7096C">
        <w:trPr>
          <w:trHeight w:val="237"/>
        </w:trPr>
        <w:tc>
          <w:tcPr>
            <w:tcW w:w="1611" w:type="dxa"/>
            <w:vMerge/>
            <w:tcBorders>
              <w:top w:val="dotted" w:sz="4" w:space="0" w:color="auto"/>
              <w:bottom w:val="dotted" w:sz="4" w:space="0" w:color="auto"/>
            </w:tcBorders>
          </w:tcPr>
          <w:p w14:paraId="635417F1"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p>
        </w:tc>
        <w:tc>
          <w:tcPr>
            <w:tcW w:w="2547" w:type="dxa"/>
            <w:tcBorders>
              <w:top w:val="dotted" w:sz="4" w:space="0" w:color="auto"/>
              <w:bottom w:val="dotted" w:sz="4" w:space="0" w:color="auto"/>
            </w:tcBorders>
            <w:shd w:val="clear" w:color="auto" w:fill="auto"/>
            <w:noWrap/>
            <w:vAlign w:val="bottom"/>
            <w:hideMark/>
          </w:tcPr>
          <w:p w14:paraId="2C27693F" w14:textId="55022B51"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40 - 49  ani</w:t>
            </w:r>
          </w:p>
        </w:tc>
        <w:tc>
          <w:tcPr>
            <w:tcW w:w="810" w:type="dxa"/>
            <w:tcBorders>
              <w:top w:val="dotted" w:sz="4" w:space="0" w:color="auto"/>
              <w:bottom w:val="dotted" w:sz="4" w:space="0" w:color="auto"/>
            </w:tcBorders>
            <w:shd w:val="clear" w:color="auto" w:fill="auto"/>
            <w:noWrap/>
            <w:vAlign w:val="bottom"/>
            <w:hideMark/>
          </w:tcPr>
          <w:p w14:paraId="7EFD508D"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28.9</w:t>
            </w:r>
          </w:p>
        </w:tc>
        <w:tc>
          <w:tcPr>
            <w:tcW w:w="900" w:type="dxa"/>
            <w:tcBorders>
              <w:top w:val="dotted" w:sz="4" w:space="0" w:color="auto"/>
              <w:bottom w:val="dotted" w:sz="4" w:space="0" w:color="auto"/>
            </w:tcBorders>
            <w:shd w:val="clear" w:color="auto" w:fill="auto"/>
            <w:noWrap/>
            <w:vAlign w:val="bottom"/>
            <w:hideMark/>
          </w:tcPr>
          <w:p w14:paraId="57083A0A"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28.6</w:t>
            </w:r>
          </w:p>
        </w:tc>
        <w:tc>
          <w:tcPr>
            <w:tcW w:w="810" w:type="dxa"/>
            <w:tcBorders>
              <w:top w:val="dotted" w:sz="4" w:space="0" w:color="auto"/>
              <w:bottom w:val="dotted" w:sz="4" w:space="0" w:color="auto"/>
            </w:tcBorders>
            <w:shd w:val="clear" w:color="auto" w:fill="auto"/>
            <w:noWrap/>
            <w:vAlign w:val="bottom"/>
            <w:hideMark/>
          </w:tcPr>
          <w:p w14:paraId="71A7858B"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22.7</w:t>
            </w:r>
          </w:p>
        </w:tc>
        <w:tc>
          <w:tcPr>
            <w:tcW w:w="810" w:type="dxa"/>
            <w:tcBorders>
              <w:top w:val="dotted" w:sz="4" w:space="0" w:color="auto"/>
              <w:bottom w:val="dotted" w:sz="4" w:space="0" w:color="auto"/>
            </w:tcBorders>
            <w:shd w:val="clear" w:color="auto" w:fill="auto"/>
            <w:noWrap/>
            <w:vAlign w:val="bottom"/>
            <w:hideMark/>
          </w:tcPr>
          <w:p w14:paraId="42BB25A0"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23.3</w:t>
            </w:r>
          </w:p>
        </w:tc>
        <w:tc>
          <w:tcPr>
            <w:tcW w:w="900" w:type="dxa"/>
            <w:tcBorders>
              <w:top w:val="dotted" w:sz="4" w:space="0" w:color="auto"/>
              <w:bottom w:val="dotted" w:sz="4" w:space="0" w:color="auto"/>
            </w:tcBorders>
          </w:tcPr>
          <w:p w14:paraId="6E747D29" w14:textId="26A349EF" w:rsidR="003923AC" w:rsidRPr="003836D9" w:rsidRDefault="00704D18"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23.3</w:t>
            </w:r>
          </w:p>
        </w:tc>
      </w:tr>
      <w:tr w:rsidR="003923AC" w:rsidRPr="003836D9" w14:paraId="138FB5CB" w14:textId="05F282B6" w:rsidTr="00A7096C">
        <w:trPr>
          <w:trHeight w:val="237"/>
        </w:trPr>
        <w:tc>
          <w:tcPr>
            <w:tcW w:w="1611" w:type="dxa"/>
            <w:vMerge/>
            <w:tcBorders>
              <w:top w:val="dotted" w:sz="4" w:space="0" w:color="auto"/>
              <w:bottom w:val="dotted" w:sz="4" w:space="0" w:color="auto"/>
            </w:tcBorders>
          </w:tcPr>
          <w:p w14:paraId="16E6A345"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p>
        </w:tc>
        <w:tc>
          <w:tcPr>
            <w:tcW w:w="2547" w:type="dxa"/>
            <w:tcBorders>
              <w:top w:val="dotted" w:sz="4" w:space="0" w:color="auto"/>
              <w:bottom w:val="dotted" w:sz="4" w:space="0" w:color="auto"/>
            </w:tcBorders>
            <w:shd w:val="clear" w:color="auto" w:fill="auto"/>
            <w:noWrap/>
            <w:vAlign w:val="bottom"/>
            <w:hideMark/>
          </w:tcPr>
          <w:p w14:paraId="291253AD" w14:textId="14DBA31D"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50 - 59  ani</w:t>
            </w:r>
          </w:p>
        </w:tc>
        <w:tc>
          <w:tcPr>
            <w:tcW w:w="810" w:type="dxa"/>
            <w:tcBorders>
              <w:top w:val="dotted" w:sz="4" w:space="0" w:color="auto"/>
              <w:bottom w:val="dotted" w:sz="4" w:space="0" w:color="auto"/>
            </w:tcBorders>
            <w:shd w:val="clear" w:color="auto" w:fill="auto"/>
            <w:noWrap/>
            <w:vAlign w:val="bottom"/>
            <w:hideMark/>
          </w:tcPr>
          <w:p w14:paraId="3F20E3DF"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30.2</w:t>
            </w:r>
          </w:p>
        </w:tc>
        <w:tc>
          <w:tcPr>
            <w:tcW w:w="900" w:type="dxa"/>
            <w:tcBorders>
              <w:top w:val="dotted" w:sz="4" w:space="0" w:color="auto"/>
              <w:bottom w:val="dotted" w:sz="4" w:space="0" w:color="auto"/>
            </w:tcBorders>
            <w:shd w:val="clear" w:color="auto" w:fill="auto"/>
            <w:noWrap/>
            <w:vAlign w:val="bottom"/>
            <w:hideMark/>
          </w:tcPr>
          <w:p w14:paraId="6BD2BB8C"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25.0</w:t>
            </w:r>
          </w:p>
        </w:tc>
        <w:tc>
          <w:tcPr>
            <w:tcW w:w="810" w:type="dxa"/>
            <w:tcBorders>
              <w:top w:val="dotted" w:sz="4" w:space="0" w:color="auto"/>
              <w:bottom w:val="dotted" w:sz="4" w:space="0" w:color="auto"/>
            </w:tcBorders>
            <w:shd w:val="clear" w:color="auto" w:fill="auto"/>
            <w:noWrap/>
            <w:vAlign w:val="bottom"/>
            <w:hideMark/>
          </w:tcPr>
          <w:p w14:paraId="0E71EC63"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23.6</w:t>
            </w:r>
          </w:p>
        </w:tc>
        <w:tc>
          <w:tcPr>
            <w:tcW w:w="810" w:type="dxa"/>
            <w:tcBorders>
              <w:top w:val="dotted" w:sz="4" w:space="0" w:color="auto"/>
              <w:bottom w:val="dotted" w:sz="4" w:space="0" w:color="auto"/>
            </w:tcBorders>
            <w:shd w:val="clear" w:color="auto" w:fill="auto"/>
            <w:noWrap/>
            <w:vAlign w:val="bottom"/>
            <w:hideMark/>
          </w:tcPr>
          <w:p w14:paraId="438655A0"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26.2</w:t>
            </w:r>
          </w:p>
        </w:tc>
        <w:tc>
          <w:tcPr>
            <w:tcW w:w="900" w:type="dxa"/>
            <w:tcBorders>
              <w:top w:val="dotted" w:sz="4" w:space="0" w:color="auto"/>
              <w:bottom w:val="dotted" w:sz="4" w:space="0" w:color="auto"/>
            </w:tcBorders>
          </w:tcPr>
          <w:p w14:paraId="438D3A7D" w14:textId="61580D92" w:rsidR="003923AC" w:rsidRPr="003836D9" w:rsidRDefault="00704D18"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21.1</w:t>
            </w:r>
          </w:p>
        </w:tc>
      </w:tr>
      <w:tr w:rsidR="003923AC" w:rsidRPr="003836D9" w14:paraId="11C18CB2" w14:textId="1C0993FF" w:rsidTr="00A7096C">
        <w:trPr>
          <w:trHeight w:val="237"/>
        </w:trPr>
        <w:tc>
          <w:tcPr>
            <w:tcW w:w="1611" w:type="dxa"/>
            <w:vMerge/>
            <w:tcBorders>
              <w:top w:val="dotted" w:sz="4" w:space="0" w:color="auto"/>
              <w:bottom w:val="dotted" w:sz="4" w:space="0" w:color="auto"/>
            </w:tcBorders>
          </w:tcPr>
          <w:p w14:paraId="0B3DD7FC"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p>
        </w:tc>
        <w:tc>
          <w:tcPr>
            <w:tcW w:w="2547" w:type="dxa"/>
            <w:tcBorders>
              <w:top w:val="dotted" w:sz="4" w:space="0" w:color="auto"/>
              <w:bottom w:val="dotted" w:sz="4" w:space="0" w:color="auto"/>
            </w:tcBorders>
            <w:shd w:val="clear" w:color="auto" w:fill="auto"/>
            <w:noWrap/>
            <w:vAlign w:val="bottom"/>
            <w:hideMark/>
          </w:tcPr>
          <w:p w14:paraId="5E938A9A" w14:textId="75993869"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60 - 64  ani</w:t>
            </w:r>
          </w:p>
        </w:tc>
        <w:tc>
          <w:tcPr>
            <w:tcW w:w="810" w:type="dxa"/>
            <w:tcBorders>
              <w:top w:val="dotted" w:sz="4" w:space="0" w:color="auto"/>
              <w:bottom w:val="dotted" w:sz="4" w:space="0" w:color="auto"/>
            </w:tcBorders>
            <w:shd w:val="clear" w:color="auto" w:fill="auto"/>
            <w:noWrap/>
            <w:vAlign w:val="bottom"/>
            <w:hideMark/>
          </w:tcPr>
          <w:p w14:paraId="5D392EA7"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33.8</w:t>
            </w:r>
          </w:p>
        </w:tc>
        <w:tc>
          <w:tcPr>
            <w:tcW w:w="900" w:type="dxa"/>
            <w:tcBorders>
              <w:top w:val="dotted" w:sz="4" w:space="0" w:color="auto"/>
              <w:bottom w:val="dotted" w:sz="4" w:space="0" w:color="auto"/>
            </w:tcBorders>
            <w:shd w:val="clear" w:color="auto" w:fill="auto"/>
            <w:noWrap/>
            <w:vAlign w:val="bottom"/>
            <w:hideMark/>
          </w:tcPr>
          <w:p w14:paraId="75BFAE68"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31.9</w:t>
            </w:r>
          </w:p>
        </w:tc>
        <w:tc>
          <w:tcPr>
            <w:tcW w:w="810" w:type="dxa"/>
            <w:tcBorders>
              <w:top w:val="dotted" w:sz="4" w:space="0" w:color="auto"/>
              <w:bottom w:val="dotted" w:sz="4" w:space="0" w:color="auto"/>
            </w:tcBorders>
            <w:shd w:val="clear" w:color="auto" w:fill="auto"/>
            <w:noWrap/>
            <w:vAlign w:val="bottom"/>
            <w:hideMark/>
          </w:tcPr>
          <w:p w14:paraId="5592C1A4"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22.9</w:t>
            </w:r>
          </w:p>
        </w:tc>
        <w:tc>
          <w:tcPr>
            <w:tcW w:w="810" w:type="dxa"/>
            <w:tcBorders>
              <w:top w:val="dotted" w:sz="4" w:space="0" w:color="auto"/>
              <w:bottom w:val="dotted" w:sz="4" w:space="0" w:color="auto"/>
            </w:tcBorders>
            <w:shd w:val="clear" w:color="auto" w:fill="auto"/>
            <w:noWrap/>
            <w:vAlign w:val="bottom"/>
            <w:hideMark/>
          </w:tcPr>
          <w:p w14:paraId="7A1BA623"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28.5</w:t>
            </w:r>
          </w:p>
        </w:tc>
        <w:tc>
          <w:tcPr>
            <w:tcW w:w="900" w:type="dxa"/>
            <w:tcBorders>
              <w:top w:val="dotted" w:sz="4" w:space="0" w:color="auto"/>
              <w:bottom w:val="dotted" w:sz="4" w:space="0" w:color="auto"/>
            </w:tcBorders>
          </w:tcPr>
          <w:p w14:paraId="367F5529" w14:textId="0A0D7947" w:rsidR="003923AC" w:rsidRPr="003836D9" w:rsidRDefault="00704D18"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26.6</w:t>
            </w:r>
          </w:p>
        </w:tc>
      </w:tr>
      <w:tr w:rsidR="003923AC" w:rsidRPr="003836D9" w14:paraId="409E3AEA" w14:textId="4DF2D039" w:rsidTr="00A7096C">
        <w:trPr>
          <w:trHeight w:val="237"/>
        </w:trPr>
        <w:tc>
          <w:tcPr>
            <w:tcW w:w="1611" w:type="dxa"/>
            <w:vMerge/>
            <w:tcBorders>
              <w:top w:val="dotted" w:sz="4" w:space="0" w:color="auto"/>
              <w:bottom w:val="single" w:sz="4" w:space="0" w:color="auto"/>
            </w:tcBorders>
          </w:tcPr>
          <w:p w14:paraId="493F456E"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p>
        </w:tc>
        <w:tc>
          <w:tcPr>
            <w:tcW w:w="2547" w:type="dxa"/>
            <w:tcBorders>
              <w:top w:val="dotted" w:sz="4" w:space="0" w:color="auto"/>
              <w:bottom w:val="single" w:sz="4" w:space="0" w:color="auto"/>
            </w:tcBorders>
            <w:shd w:val="clear" w:color="auto" w:fill="auto"/>
            <w:noWrap/>
            <w:vAlign w:val="bottom"/>
            <w:hideMark/>
          </w:tcPr>
          <w:p w14:paraId="1B5772B7" w14:textId="57AF6AFD"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65  ani și peste</w:t>
            </w:r>
          </w:p>
        </w:tc>
        <w:tc>
          <w:tcPr>
            <w:tcW w:w="810" w:type="dxa"/>
            <w:tcBorders>
              <w:top w:val="dotted" w:sz="4" w:space="0" w:color="auto"/>
              <w:bottom w:val="single" w:sz="4" w:space="0" w:color="auto"/>
            </w:tcBorders>
            <w:shd w:val="clear" w:color="auto" w:fill="auto"/>
            <w:noWrap/>
            <w:vAlign w:val="bottom"/>
            <w:hideMark/>
          </w:tcPr>
          <w:p w14:paraId="04D8A396"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37.7</w:t>
            </w:r>
          </w:p>
        </w:tc>
        <w:tc>
          <w:tcPr>
            <w:tcW w:w="900" w:type="dxa"/>
            <w:tcBorders>
              <w:top w:val="dotted" w:sz="4" w:space="0" w:color="auto"/>
              <w:bottom w:val="single" w:sz="4" w:space="0" w:color="auto"/>
            </w:tcBorders>
            <w:shd w:val="clear" w:color="auto" w:fill="auto"/>
            <w:noWrap/>
            <w:vAlign w:val="bottom"/>
            <w:hideMark/>
          </w:tcPr>
          <w:p w14:paraId="06086173"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34.3</w:t>
            </w:r>
          </w:p>
        </w:tc>
        <w:tc>
          <w:tcPr>
            <w:tcW w:w="810" w:type="dxa"/>
            <w:tcBorders>
              <w:top w:val="dotted" w:sz="4" w:space="0" w:color="auto"/>
              <w:bottom w:val="single" w:sz="4" w:space="0" w:color="auto"/>
            </w:tcBorders>
            <w:shd w:val="clear" w:color="auto" w:fill="auto"/>
            <w:noWrap/>
            <w:vAlign w:val="bottom"/>
            <w:hideMark/>
          </w:tcPr>
          <w:p w14:paraId="0A8F35D9"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29.4</w:t>
            </w:r>
          </w:p>
        </w:tc>
        <w:tc>
          <w:tcPr>
            <w:tcW w:w="810" w:type="dxa"/>
            <w:tcBorders>
              <w:top w:val="dotted" w:sz="4" w:space="0" w:color="auto"/>
              <w:bottom w:val="single" w:sz="4" w:space="0" w:color="auto"/>
            </w:tcBorders>
            <w:shd w:val="clear" w:color="auto" w:fill="auto"/>
            <w:noWrap/>
            <w:vAlign w:val="bottom"/>
            <w:hideMark/>
          </w:tcPr>
          <w:p w14:paraId="33117ABC"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41.1</w:t>
            </w:r>
          </w:p>
        </w:tc>
        <w:tc>
          <w:tcPr>
            <w:tcW w:w="900" w:type="dxa"/>
            <w:tcBorders>
              <w:top w:val="dotted" w:sz="4" w:space="0" w:color="auto"/>
              <w:bottom w:val="single" w:sz="4" w:space="0" w:color="auto"/>
            </w:tcBorders>
          </w:tcPr>
          <w:p w14:paraId="772AFBBC" w14:textId="41F24719" w:rsidR="003923AC" w:rsidRPr="003836D9" w:rsidRDefault="00704D18"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39.7</w:t>
            </w:r>
          </w:p>
        </w:tc>
      </w:tr>
      <w:tr w:rsidR="003923AC" w:rsidRPr="003836D9" w14:paraId="5D5765BF" w14:textId="4708641E" w:rsidTr="00A7096C">
        <w:trPr>
          <w:trHeight w:val="237"/>
        </w:trPr>
        <w:tc>
          <w:tcPr>
            <w:tcW w:w="1611" w:type="dxa"/>
            <w:vMerge w:val="restart"/>
            <w:tcBorders>
              <w:top w:val="single" w:sz="4" w:space="0" w:color="auto"/>
            </w:tcBorders>
          </w:tcPr>
          <w:p w14:paraId="1146FAD4" w14:textId="7BE7B965" w:rsidR="003923AC" w:rsidRPr="003836D9" w:rsidRDefault="003923AC" w:rsidP="0003776F">
            <w:pPr>
              <w:spacing w:after="0" w:line="240" w:lineRule="auto"/>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 xml:space="preserve">Nivel de </w:t>
            </w:r>
            <w:r w:rsidR="0003776F" w:rsidRPr="003836D9">
              <w:rPr>
                <w:rFonts w:ascii="Times New Roman" w:eastAsia="Times New Roman" w:hAnsi="Times New Roman" w:cs="Times New Roman"/>
                <w:b/>
                <w:bCs/>
                <w:color w:val="000000"/>
                <w:sz w:val="16"/>
                <w:szCs w:val="16"/>
                <w:lang w:val="ro-MD" w:eastAsia="en-GB"/>
              </w:rPr>
              <w:t>educație a capului gospodăriei</w:t>
            </w:r>
          </w:p>
        </w:tc>
        <w:tc>
          <w:tcPr>
            <w:tcW w:w="2547" w:type="dxa"/>
            <w:tcBorders>
              <w:top w:val="single" w:sz="4" w:space="0" w:color="auto"/>
            </w:tcBorders>
            <w:shd w:val="clear" w:color="auto" w:fill="auto"/>
            <w:noWrap/>
            <w:hideMark/>
          </w:tcPr>
          <w:p w14:paraId="6B1145FE" w14:textId="53C41E5F" w:rsidR="003923AC" w:rsidRPr="003836D9" w:rsidRDefault="003923AC" w:rsidP="005F17B8">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hAnsi="Times New Roman" w:cs="Times New Roman"/>
                <w:sz w:val="16"/>
                <w:szCs w:val="16"/>
                <w:lang w:val="ro-MD"/>
              </w:rPr>
              <w:t>Studii primare și fără studii</w:t>
            </w:r>
          </w:p>
        </w:tc>
        <w:tc>
          <w:tcPr>
            <w:tcW w:w="810" w:type="dxa"/>
            <w:tcBorders>
              <w:top w:val="single" w:sz="4" w:space="0" w:color="auto"/>
            </w:tcBorders>
            <w:shd w:val="clear" w:color="auto" w:fill="auto"/>
            <w:noWrap/>
            <w:vAlign w:val="bottom"/>
            <w:hideMark/>
          </w:tcPr>
          <w:p w14:paraId="10B71D35"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62.8</w:t>
            </w:r>
          </w:p>
        </w:tc>
        <w:tc>
          <w:tcPr>
            <w:tcW w:w="900" w:type="dxa"/>
            <w:tcBorders>
              <w:top w:val="single" w:sz="4" w:space="0" w:color="auto"/>
            </w:tcBorders>
            <w:shd w:val="clear" w:color="auto" w:fill="auto"/>
            <w:noWrap/>
            <w:vAlign w:val="bottom"/>
            <w:hideMark/>
          </w:tcPr>
          <w:p w14:paraId="5BE83E83"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52.1</w:t>
            </w:r>
          </w:p>
        </w:tc>
        <w:tc>
          <w:tcPr>
            <w:tcW w:w="810" w:type="dxa"/>
            <w:tcBorders>
              <w:top w:val="single" w:sz="4" w:space="0" w:color="auto"/>
            </w:tcBorders>
            <w:shd w:val="clear" w:color="auto" w:fill="auto"/>
            <w:noWrap/>
            <w:vAlign w:val="bottom"/>
            <w:hideMark/>
          </w:tcPr>
          <w:p w14:paraId="77B313A2"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48.5</w:t>
            </w:r>
          </w:p>
        </w:tc>
        <w:tc>
          <w:tcPr>
            <w:tcW w:w="810" w:type="dxa"/>
            <w:tcBorders>
              <w:top w:val="single" w:sz="4" w:space="0" w:color="auto"/>
            </w:tcBorders>
            <w:shd w:val="clear" w:color="auto" w:fill="auto"/>
            <w:noWrap/>
            <w:vAlign w:val="bottom"/>
            <w:hideMark/>
          </w:tcPr>
          <w:p w14:paraId="2C052B35"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78.6</w:t>
            </w:r>
          </w:p>
        </w:tc>
        <w:tc>
          <w:tcPr>
            <w:tcW w:w="900" w:type="dxa"/>
            <w:tcBorders>
              <w:top w:val="single" w:sz="4" w:space="0" w:color="auto"/>
            </w:tcBorders>
          </w:tcPr>
          <w:p w14:paraId="27F5A073" w14:textId="2B537D93" w:rsidR="003923AC" w:rsidRPr="003836D9" w:rsidRDefault="002E410F"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76.1</w:t>
            </w:r>
          </w:p>
        </w:tc>
      </w:tr>
      <w:tr w:rsidR="003923AC" w:rsidRPr="003836D9" w14:paraId="64ECF334" w14:textId="1519358B" w:rsidTr="00A7096C">
        <w:trPr>
          <w:trHeight w:val="237"/>
        </w:trPr>
        <w:tc>
          <w:tcPr>
            <w:tcW w:w="1611" w:type="dxa"/>
            <w:vMerge/>
          </w:tcPr>
          <w:p w14:paraId="7CE733E3" w14:textId="77777777" w:rsidR="003923AC" w:rsidRPr="003836D9" w:rsidRDefault="003923AC" w:rsidP="005F17B8">
            <w:pPr>
              <w:spacing w:after="0" w:line="240" w:lineRule="auto"/>
              <w:rPr>
                <w:rFonts w:ascii="Times New Roman" w:eastAsia="Times New Roman" w:hAnsi="Times New Roman" w:cs="Times New Roman"/>
                <w:b/>
                <w:bCs/>
                <w:color w:val="000000"/>
                <w:sz w:val="16"/>
                <w:szCs w:val="16"/>
                <w:lang w:val="ro-MD" w:eastAsia="en-GB"/>
              </w:rPr>
            </w:pPr>
          </w:p>
        </w:tc>
        <w:tc>
          <w:tcPr>
            <w:tcW w:w="2547" w:type="dxa"/>
            <w:shd w:val="clear" w:color="auto" w:fill="auto"/>
            <w:noWrap/>
            <w:hideMark/>
          </w:tcPr>
          <w:p w14:paraId="4CBE940F" w14:textId="77D916CA" w:rsidR="003923AC" w:rsidRPr="003836D9" w:rsidRDefault="003923AC" w:rsidP="00B671B6">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hAnsi="Times New Roman" w:cs="Times New Roman"/>
                <w:sz w:val="16"/>
                <w:szCs w:val="16"/>
                <w:lang w:val="ro-MD"/>
              </w:rPr>
              <w:t xml:space="preserve">Studii </w:t>
            </w:r>
            <w:r w:rsidR="00B671B6" w:rsidRPr="003836D9">
              <w:rPr>
                <w:rFonts w:ascii="Times New Roman" w:hAnsi="Times New Roman" w:cs="Times New Roman"/>
                <w:sz w:val="16"/>
                <w:szCs w:val="16"/>
                <w:lang w:val="ro-MD"/>
              </w:rPr>
              <w:t>gimnaziale</w:t>
            </w:r>
          </w:p>
        </w:tc>
        <w:tc>
          <w:tcPr>
            <w:tcW w:w="810" w:type="dxa"/>
            <w:shd w:val="clear" w:color="auto" w:fill="auto"/>
            <w:noWrap/>
            <w:vAlign w:val="bottom"/>
            <w:hideMark/>
          </w:tcPr>
          <w:p w14:paraId="4642E262"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44.6</w:t>
            </w:r>
          </w:p>
        </w:tc>
        <w:tc>
          <w:tcPr>
            <w:tcW w:w="900" w:type="dxa"/>
            <w:shd w:val="clear" w:color="auto" w:fill="auto"/>
            <w:noWrap/>
            <w:vAlign w:val="bottom"/>
            <w:hideMark/>
          </w:tcPr>
          <w:p w14:paraId="0EF3A8C4"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44.8</w:t>
            </w:r>
          </w:p>
        </w:tc>
        <w:tc>
          <w:tcPr>
            <w:tcW w:w="810" w:type="dxa"/>
            <w:shd w:val="clear" w:color="auto" w:fill="auto"/>
            <w:noWrap/>
            <w:vAlign w:val="bottom"/>
            <w:hideMark/>
          </w:tcPr>
          <w:p w14:paraId="349E0E8B"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40.1</w:t>
            </w:r>
          </w:p>
        </w:tc>
        <w:tc>
          <w:tcPr>
            <w:tcW w:w="810" w:type="dxa"/>
            <w:shd w:val="clear" w:color="auto" w:fill="auto"/>
            <w:noWrap/>
            <w:vAlign w:val="bottom"/>
            <w:hideMark/>
          </w:tcPr>
          <w:p w14:paraId="2EA0ABD6"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45.2</w:t>
            </w:r>
          </w:p>
        </w:tc>
        <w:tc>
          <w:tcPr>
            <w:tcW w:w="900" w:type="dxa"/>
          </w:tcPr>
          <w:p w14:paraId="0327E034" w14:textId="3D053C88" w:rsidR="003923AC" w:rsidRPr="003836D9" w:rsidRDefault="002E410F"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42.0</w:t>
            </w:r>
          </w:p>
        </w:tc>
      </w:tr>
      <w:tr w:rsidR="003923AC" w:rsidRPr="003836D9" w14:paraId="7DF86E30" w14:textId="2BD0E20A" w:rsidTr="00A7096C">
        <w:trPr>
          <w:trHeight w:val="237"/>
        </w:trPr>
        <w:tc>
          <w:tcPr>
            <w:tcW w:w="1611" w:type="dxa"/>
            <w:vMerge/>
          </w:tcPr>
          <w:p w14:paraId="713AF026" w14:textId="77777777" w:rsidR="003923AC" w:rsidRPr="003836D9" w:rsidRDefault="003923AC" w:rsidP="005F17B8">
            <w:pPr>
              <w:spacing w:after="0" w:line="240" w:lineRule="auto"/>
              <w:rPr>
                <w:rFonts w:ascii="Times New Roman" w:eastAsia="Times New Roman" w:hAnsi="Times New Roman" w:cs="Times New Roman"/>
                <w:b/>
                <w:bCs/>
                <w:color w:val="000000"/>
                <w:sz w:val="16"/>
                <w:szCs w:val="16"/>
                <w:lang w:val="ro-MD" w:eastAsia="en-GB"/>
              </w:rPr>
            </w:pPr>
          </w:p>
        </w:tc>
        <w:tc>
          <w:tcPr>
            <w:tcW w:w="2547" w:type="dxa"/>
            <w:shd w:val="clear" w:color="auto" w:fill="auto"/>
            <w:noWrap/>
            <w:hideMark/>
          </w:tcPr>
          <w:p w14:paraId="7D1BCEF9" w14:textId="5E4C2CA8" w:rsidR="003923AC" w:rsidRPr="003836D9" w:rsidRDefault="003923AC" w:rsidP="00B671B6">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hAnsi="Times New Roman" w:cs="Times New Roman"/>
                <w:sz w:val="16"/>
                <w:szCs w:val="16"/>
                <w:lang w:val="ro-MD"/>
              </w:rPr>
              <w:t xml:space="preserve">Studii </w:t>
            </w:r>
            <w:r w:rsidR="00B671B6" w:rsidRPr="003836D9">
              <w:rPr>
                <w:rFonts w:ascii="Times New Roman" w:hAnsi="Times New Roman" w:cs="Times New Roman"/>
                <w:sz w:val="16"/>
                <w:szCs w:val="16"/>
                <w:lang w:val="ro-MD"/>
              </w:rPr>
              <w:t>liceale</w:t>
            </w:r>
          </w:p>
        </w:tc>
        <w:tc>
          <w:tcPr>
            <w:tcW w:w="810" w:type="dxa"/>
            <w:shd w:val="clear" w:color="auto" w:fill="auto"/>
            <w:noWrap/>
            <w:vAlign w:val="bottom"/>
            <w:hideMark/>
          </w:tcPr>
          <w:p w14:paraId="2EE01953"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31.2</w:t>
            </w:r>
          </w:p>
        </w:tc>
        <w:tc>
          <w:tcPr>
            <w:tcW w:w="900" w:type="dxa"/>
            <w:shd w:val="clear" w:color="auto" w:fill="auto"/>
            <w:noWrap/>
            <w:vAlign w:val="bottom"/>
            <w:hideMark/>
          </w:tcPr>
          <w:p w14:paraId="66384A29"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27.9</w:t>
            </w:r>
          </w:p>
        </w:tc>
        <w:tc>
          <w:tcPr>
            <w:tcW w:w="810" w:type="dxa"/>
            <w:shd w:val="clear" w:color="auto" w:fill="auto"/>
            <w:noWrap/>
            <w:vAlign w:val="bottom"/>
            <w:hideMark/>
          </w:tcPr>
          <w:p w14:paraId="1881EBE7"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25.1</w:t>
            </w:r>
          </w:p>
        </w:tc>
        <w:tc>
          <w:tcPr>
            <w:tcW w:w="810" w:type="dxa"/>
            <w:shd w:val="clear" w:color="auto" w:fill="auto"/>
            <w:noWrap/>
            <w:vAlign w:val="bottom"/>
            <w:hideMark/>
          </w:tcPr>
          <w:p w14:paraId="4B43AAB3"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27.8</w:t>
            </w:r>
          </w:p>
        </w:tc>
        <w:tc>
          <w:tcPr>
            <w:tcW w:w="900" w:type="dxa"/>
          </w:tcPr>
          <w:p w14:paraId="077C677D" w14:textId="0CEFF5DE" w:rsidR="003923AC" w:rsidRPr="003836D9" w:rsidRDefault="002E410F"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25.6</w:t>
            </w:r>
          </w:p>
        </w:tc>
      </w:tr>
      <w:tr w:rsidR="003923AC" w:rsidRPr="003836D9" w14:paraId="7B60F636" w14:textId="4A9AE653" w:rsidTr="00A7096C">
        <w:trPr>
          <w:trHeight w:val="237"/>
        </w:trPr>
        <w:tc>
          <w:tcPr>
            <w:tcW w:w="1611" w:type="dxa"/>
            <w:vMerge/>
          </w:tcPr>
          <w:p w14:paraId="3EA82D7C" w14:textId="77777777" w:rsidR="003923AC" w:rsidRPr="003836D9" w:rsidRDefault="003923AC" w:rsidP="005F17B8">
            <w:pPr>
              <w:spacing w:after="0" w:line="240" w:lineRule="auto"/>
              <w:rPr>
                <w:rFonts w:ascii="Times New Roman" w:eastAsia="Times New Roman" w:hAnsi="Times New Roman" w:cs="Times New Roman"/>
                <w:b/>
                <w:bCs/>
                <w:color w:val="000000"/>
                <w:sz w:val="16"/>
                <w:szCs w:val="16"/>
                <w:lang w:val="ro-MD" w:eastAsia="en-GB"/>
              </w:rPr>
            </w:pPr>
          </w:p>
        </w:tc>
        <w:tc>
          <w:tcPr>
            <w:tcW w:w="2547" w:type="dxa"/>
            <w:shd w:val="clear" w:color="auto" w:fill="auto"/>
            <w:noWrap/>
            <w:hideMark/>
          </w:tcPr>
          <w:p w14:paraId="54E5C63D" w14:textId="502C1BD9" w:rsidR="003923AC" w:rsidRPr="003836D9" w:rsidRDefault="003923AC" w:rsidP="00B671B6">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hAnsi="Times New Roman" w:cs="Times New Roman"/>
                <w:sz w:val="16"/>
                <w:szCs w:val="16"/>
                <w:lang w:val="ro-MD"/>
              </w:rPr>
              <w:t>Studii profesional</w:t>
            </w:r>
            <w:r w:rsidR="00B671B6" w:rsidRPr="003836D9">
              <w:rPr>
                <w:rFonts w:ascii="Times New Roman" w:hAnsi="Times New Roman" w:cs="Times New Roman"/>
                <w:sz w:val="16"/>
                <w:szCs w:val="16"/>
                <w:lang w:val="ro-MD"/>
              </w:rPr>
              <w:t xml:space="preserve"> tehnice pos</w:t>
            </w:r>
            <w:r w:rsidR="008136FC">
              <w:rPr>
                <w:rFonts w:ascii="Times New Roman" w:hAnsi="Times New Roman" w:cs="Times New Roman"/>
                <w:sz w:val="16"/>
                <w:szCs w:val="16"/>
                <w:lang w:val="ro-MD"/>
              </w:rPr>
              <w:t>t</w:t>
            </w:r>
            <w:r w:rsidR="00B671B6" w:rsidRPr="003836D9">
              <w:rPr>
                <w:rFonts w:ascii="Times New Roman" w:hAnsi="Times New Roman" w:cs="Times New Roman"/>
                <w:sz w:val="16"/>
                <w:szCs w:val="16"/>
                <w:lang w:val="ro-MD"/>
              </w:rPr>
              <w:t>secundare</w:t>
            </w:r>
          </w:p>
        </w:tc>
        <w:tc>
          <w:tcPr>
            <w:tcW w:w="810" w:type="dxa"/>
            <w:shd w:val="clear" w:color="auto" w:fill="auto"/>
            <w:noWrap/>
            <w:vAlign w:val="bottom"/>
            <w:hideMark/>
          </w:tcPr>
          <w:p w14:paraId="0DF2E3FC"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32.8</w:t>
            </w:r>
          </w:p>
        </w:tc>
        <w:tc>
          <w:tcPr>
            <w:tcW w:w="900" w:type="dxa"/>
            <w:shd w:val="clear" w:color="auto" w:fill="auto"/>
            <w:noWrap/>
            <w:vAlign w:val="bottom"/>
            <w:hideMark/>
          </w:tcPr>
          <w:p w14:paraId="3A20FB83"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28.2</w:t>
            </w:r>
          </w:p>
        </w:tc>
        <w:tc>
          <w:tcPr>
            <w:tcW w:w="810" w:type="dxa"/>
            <w:shd w:val="clear" w:color="auto" w:fill="auto"/>
            <w:noWrap/>
            <w:vAlign w:val="bottom"/>
            <w:hideMark/>
          </w:tcPr>
          <w:p w14:paraId="1E5D9693"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25.3</w:t>
            </w:r>
          </w:p>
        </w:tc>
        <w:tc>
          <w:tcPr>
            <w:tcW w:w="810" w:type="dxa"/>
            <w:shd w:val="clear" w:color="auto" w:fill="auto"/>
            <w:noWrap/>
            <w:vAlign w:val="bottom"/>
            <w:hideMark/>
          </w:tcPr>
          <w:p w14:paraId="076651E8"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28.7</w:t>
            </w:r>
          </w:p>
        </w:tc>
        <w:tc>
          <w:tcPr>
            <w:tcW w:w="900" w:type="dxa"/>
          </w:tcPr>
          <w:p w14:paraId="3382D5AB" w14:textId="6CB7EB8F" w:rsidR="003923AC" w:rsidRPr="003836D9" w:rsidRDefault="002E410F"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26.3</w:t>
            </w:r>
          </w:p>
        </w:tc>
      </w:tr>
      <w:tr w:rsidR="003923AC" w:rsidRPr="003836D9" w14:paraId="6C25754F" w14:textId="3D4BE0F4" w:rsidTr="00A7096C">
        <w:trPr>
          <w:trHeight w:val="237"/>
        </w:trPr>
        <w:tc>
          <w:tcPr>
            <w:tcW w:w="1611" w:type="dxa"/>
            <w:vMerge/>
          </w:tcPr>
          <w:p w14:paraId="51D27A04" w14:textId="77777777" w:rsidR="003923AC" w:rsidRPr="003836D9" w:rsidRDefault="003923AC" w:rsidP="005F17B8">
            <w:pPr>
              <w:spacing w:after="0" w:line="240" w:lineRule="auto"/>
              <w:rPr>
                <w:rFonts w:ascii="Times New Roman" w:eastAsia="Times New Roman" w:hAnsi="Times New Roman" w:cs="Times New Roman"/>
                <w:b/>
                <w:bCs/>
                <w:color w:val="000000"/>
                <w:sz w:val="16"/>
                <w:szCs w:val="16"/>
                <w:lang w:val="ro-MD" w:eastAsia="en-GB"/>
              </w:rPr>
            </w:pPr>
          </w:p>
        </w:tc>
        <w:tc>
          <w:tcPr>
            <w:tcW w:w="2547" w:type="dxa"/>
            <w:shd w:val="clear" w:color="auto" w:fill="auto"/>
            <w:noWrap/>
            <w:hideMark/>
          </w:tcPr>
          <w:p w14:paraId="129FC3CC" w14:textId="0CF27601" w:rsidR="003923AC" w:rsidRPr="003836D9" w:rsidRDefault="003923AC" w:rsidP="00B671B6">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hAnsi="Times New Roman" w:cs="Times New Roman"/>
                <w:sz w:val="16"/>
                <w:szCs w:val="16"/>
                <w:lang w:val="ro-MD"/>
              </w:rPr>
              <w:t xml:space="preserve">Studii </w:t>
            </w:r>
            <w:r w:rsidR="00B671B6" w:rsidRPr="003836D9">
              <w:rPr>
                <w:rFonts w:ascii="Times New Roman" w:hAnsi="Times New Roman" w:cs="Times New Roman"/>
                <w:sz w:val="16"/>
                <w:szCs w:val="16"/>
                <w:lang w:val="ro-MD"/>
              </w:rPr>
              <w:t>profesional tehnice postsecundare nonter</w:t>
            </w:r>
            <w:r w:rsidR="008136FC">
              <w:rPr>
                <w:rFonts w:ascii="Times New Roman" w:hAnsi="Times New Roman" w:cs="Times New Roman"/>
                <w:sz w:val="16"/>
                <w:szCs w:val="16"/>
                <w:lang w:val="ro-RO"/>
              </w:rPr>
              <w:t>ți</w:t>
            </w:r>
            <w:r w:rsidR="00B671B6" w:rsidRPr="003836D9">
              <w:rPr>
                <w:rFonts w:ascii="Times New Roman" w:hAnsi="Times New Roman" w:cs="Times New Roman"/>
                <w:sz w:val="16"/>
                <w:szCs w:val="16"/>
                <w:lang w:val="ro-MD"/>
              </w:rPr>
              <w:t>are</w:t>
            </w:r>
          </w:p>
        </w:tc>
        <w:tc>
          <w:tcPr>
            <w:tcW w:w="810" w:type="dxa"/>
            <w:shd w:val="clear" w:color="auto" w:fill="auto"/>
            <w:noWrap/>
            <w:vAlign w:val="bottom"/>
            <w:hideMark/>
          </w:tcPr>
          <w:p w14:paraId="16272282"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17.0</w:t>
            </w:r>
          </w:p>
        </w:tc>
        <w:tc>
          <w:tcPr>
            <w:tcW w:w="900" w:type="dxa"/>
            <w:shd w:val="clear" w:color="auto" w:fill="auto"/>
            <w:noWrap/>
            <w:vAlign w:val="bottom"/>
            <w:hideMark/>
          </w:tcPr>
          <w:p w14:paraId="76638DF2"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17.5</w:t>
            </w:r>
          </w:p>
        </w:tc>
        <w:tc>
          <w:tcPr>
            <w:tcW w:w="810" w:type="dxa"/>
            <w:shd w:val="clear" w:color="auto" w:fill="auto"/>
            <w:noWrap/>
            <w:vAlign w:val="bottom"/>
            <w:hideMark/>
          </w:tcPr>
          <w:p w14:paraId="64496A02"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11.1</w:t>
            </w:r>
          </w:p>
        </w:tc>
        <w:tc>
          <w:tcPr>
            <w:tcW w:w="810" w:type="dxa"/>
            <w:shd w:val="clear" w:color="auto" w:fill="auto"/>
            <w:noWrap/>
            <w:vAlign w:val="bottom"/>
            <w:hideMark/>
          </w:tcPr>
          <w:p w14:paraId="6F74BA8C"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19.1</w:t>
            </w:r>
          </w:p>
        </w:tc>
        <w:tc>
          <w:tcPr>
            <w:tcW w:w="900" w:type="dxa"/>
          </w:tcPr>
          <w:p w14:paraId="2301D6B2" w14:textId="66D4C9B4" w:rsidR="003923AC" w:rsidRPr="003836D9" w:rsidRDefault="002E410F"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16.6</w:t>
            </w:r>
          </w:p>
        </w:tc>
      </w:tr>
      <w:tr w:rsidR="003923AC" w:rsidRPr="003836D9" w14:paraId="3DA639A0" w14:textId="18962D47" w:rsidTr="00A7096C">
        <w:trPr>
          <w:trHeight w:val="237"/>
        </w:trPr>
        <w:tc>
          <w:tcPr>
            <w:tcW w:w="1611" w:type="dxa"/>
            <w:vMerge/>
            <w:tcBorders>
              <w:bottom w:val="single" w:sz="4" w:space="0" w:color="auto"/>
            </w:tcBorders>
          </w:tcPr>
          <w:p w14:paraId="741239A1" w14:textId="77777777" w:rsidR="003923AC" w:rsidRPr="003836D9" w:rsidRDefault="003923AC" w:rsidP="005F17B8">
            <w:pPr>
              <w:spacing w:after="0" w:line="240" w:lineRule="auto"/>
              <w:rPr>
                <w:rFonts w:ascii="Times New Roman" w:eastAsia="Times New Roman" w:hAnsi="Times New Roman" w:cs="Times New Roman"/>
                <w:b/>
                <w:bCs/>
                <w:color w:val="000000"/>
                <w:sz w:val="16"/>
                <w:szCs w:val="16"/>
                <w:lang w:val="ro-MD" w:eastAsia="en-GB"/>
              </w:rPr>
            </w:pPr>
          </w:p>
        </w:tc>
        <w:tc>
          <w:tcPr>
            <w:tcW w:w="2547" w:type="dxa"/>
            <w:tcBorders>
              <w:bottom w:val="single" w:sz="4" w:space="0" w:color="auto"/>
            </w:tcBorders>
            <w:shd w:val="clear" w:color="auto" w:fill="auto"/>
            <w:noWrap/>
            <w:hideMark/>
          </w:tcPr>
          <w:p w14:paraId="7A39BEE9" w14:textId="380958EE" w:rsidR="003923AC" w:rsidRPr="003836D9" w:rsidRDefault="003923AC" w:rsidP="005F17B8">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hAnsi="Times New Roman" w:cs="Times New Roman"/>
                <w:sz w:val="16"/>
                <w:szCs w:val="16"/>
                <w:lang w:val="ro-MD"/>
              </w:rPr>
              <w:t>Studii superioare</w:t>
            </w:r>
          </w:p>
        </w:tc>
        <w:tc>
          <w:tcPr>
            <w:tcW w:w="810" w:type="dxa"/>
            <w:tcBorders>
              <w:bottom w:val="single" w:sz="4" w:space="0" w:color="auto"/>
            </w:tcBorders>
            <w:shd w:val="clear" w:color="auto" w:fill="auto"/>
            <w:noWrap/>
            <w:vAlign w:val="bottom"/>
            <w:hideMark/>
          </w:tcPr>
          <w:p w14:paraId="145DE05E"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8.6</w:t>
            </w:r>
          </w:p>
        </w:tc>
        <w:tc>
          <w:tcPr>
            <w:tcW w:w="900" w:type="dxa"/>
            <w:tcBorders>
              <w:bottom w:val="single" w:sz="4" w:space="0" w:color="auto"/>
            </w:tcBorders>
            <w:shd w:val="clear" w:color="auto" w:fill="auto"/>
            <w:noWrap/>
            <w:vAlign w:val="bottom"/>
            <w:hideMark/>
          </w:tcPr>
          <w:p w14:paraId="70752307"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4.3</w:t>
            </w:r>
          </w:p>
        </w:tc>
        <w:tc>
          <w:tcPr>
            <w:tcW w:w="810" w:type="dxa"/>
            <w:tcBorders>
              <w:bottom w:val="single" w:sz="4" w:space="0" w:color="auto"/>
            </w:tcBorders>
            <w:shd w:val="clear" w:color="auto" w:fill="auto"/>
            <w:noWrap/>
            <w:vAlign w:val="bottom"/>
            <w:hideMark/>
          </w:tcPr>
          <w:p w14:paraId="58CDBC2D"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5.2</w:t>
            </w:r>
          </w:p>
        </w:tc>
        <w:tc>
          <w:tcPr>
            <w:tcW w:w="810" w:type="dxa"/>
            <w:tcBorders>
              <w:bottom w:val="single" w:sz="4" w:space="0" w:color="auto"/>
            </w:tcBorders>
            <w:shd w:val="clear" w:color="auto" w:fill="auto"/>
            <w:noWrap/>
            <w:vAlign w:val="bottom"/>
            <w:hideMark/>
          </w:tcPr>
          <w:p w14:paraId="67B8F545" w14:textId="77777777" w:rsidR="003923AC" w:rsidRPr="003836D9" w:rsidRDefault="003923AC"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6.6</w:t>
            </w:r>
          </w:p>
        </w:tc>
        <w:tc>
          <w:tcPr>
            <w:tcW w:w="900" w:type="dxa"/>
            <w:tcBorders>
              <w:bottom w:val="single" w:sz="4" w:space="0" w:color="auto"/>
            </w:tcBorders>
          </w:tcPr>
          <w:p w14:paraId="5453C2A0" w14:textId="0C4AE8DE" w:rsidR="003923AC" w:rsidRPr="003836D9" w:rsidRDefault="002E410F" w:rsidP="005F17B8">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4.9</w:t>
            </w:r>
          </w:p>
        </w:tc>
      </w:tr>
      <w:tr w:rsidR="003923AC" w:rsidRPr="003836D9" w14:paraId="014A5077" w14:textId="2C5E590E" w:rsidTr="00A7096C">
        <w:trPr>
          <w:trHeight w:val="237"/>
        </w:trPr>
        <w:tc>
          <w:tcPr>
            <w:tcW w:w="1611" w:type="dxa"/>
            <w:vMerge w:val="restart"/>
            <w:tcBorders>
              <w:top w:val="single" w:sz="4" w:space="0" w:color="auto"/>
              <w:bottom w:val="dotted" w:sz="4" w:space="0" w:color="auto"/>
            </w:tcBorders>
          </w:tcPr>
          <w:p w14:paraId="2CFD75A2" w14:textId="5F1D8D6B"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r w:rsidRPr="003836D9">
              <w:rPr>
                <w:rFonts w:ascii="Times New Roman" w:eastAsia="Times New Roman" w:hAnsi="Times New Roman" w:cs="Times New Roman"/>
                <w:b/>
                <w:bCs/>
                <w:color w:val="000000"/>
                <w:sz w:val="16"/>
                <w:szCs w:val="16"/>
                <w:lang w:val="ro-MD" w:eastAsia="en-GB"/>
              </w:rPr>
              <w:t xml:space="preserve">Componența gospodăriilor </w:t>
            </w:r>
          </w:p>
        </w:tc>
        <w:tc>
          <w:tcPr>
            <w:tcW w:w="2547" w:type="dxa"/>
            <w:tcBorders>
              <w:top w:val="single" w:sz="4" w:space="0" w:color="auto"/>
              <w:bottom w:val="dotted" w:sz="4" w:space="0" w:color="auto"/>
            </w:tcBorders>
            <w:shd w:val="clear" w:color="auto" w:fill="auto"/>
            <w:noWrap/>
            <w:vAlign w:val="bottom"/>
            <w:hideMark/>
          </w:tcPr>
          <w:p w14:paraId="12969EC5" w14:textId="48A6747C"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Fără copii</w:t>
            </w:r>
          </w:p>
        </w:tc>
        <w:tc>
          <w:tcPr>
            <w:tcW w:w="810" w:type="dxa"/>
            <w:tcBorders>
              <w:top w:val="single" w:sz="4" w:space="0" w:color="auto"/>
              <w:bottom w:val="dotted" w:sz="4" w:space="0" w:color="auto"/>
            </w:tcBorders>
            <w:shd w:val="clear" w:color="auto" w:fill="auto"/>
            <w:noWrap/>
            <w:vAlign w:val="bottom"/>
            <w:hideMark/>
          </w:tcPr>
          <w:p w14:paraId="3755BA04"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26.6</w:t>
            </w:r>
          </w:p>
        </w:tc>
        <w:tc>
          <w:tcPr>
            <w:tcW w:w="900" w:type="dxa"/>
            <w:tcBorders>
              <w:top w:val="single" w:sz="4" w:space="0" w:color="auto"/>
              <w:bottom w:val="dotted" w:sz="4" w:space="0" w:color="auto"/>
            </w:tcBorders>
            <w:shd w:val="clear" w:color="auto" w:fill="auto"/>
            <w:noWrap/>
            <w:vAlign w:val="bottom"/>
            <w:hideMark/>
          </w:tcPr>
          <w:p w14:paraId="6ECE0C1C"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24.8</w:t>
            </w:r>
          </w:p>
        </w:tc>
        <w:tc>
          <w:tcPr>
            <w:tcW w:w="810" w:type="dxa"/>
            <w:tcBorders>
              <w:top w:val="single" w:sz="4" w:space="0" w:color="auto"/>
              <w:bottom w:val="dotted" w:sz="4" w:space="0" w:color="auto"/>
            </w:tcBorders>
            <w:shd w:val="clear" w:color="auto" w:fill="auto"/>
            <w:noWrap/>
            <w:vAlign w:val="bottom"/>
            <w:hideMark/>
          </w:tcPr>
          <w:p w14:paraId="71B37426"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22.1</w:t>
            </w:r>
          </w:p>
        </w:tc>
        <w:tc>
          <w:tcPr>
            <w:tcW w:w="810" w:type="dxa"/>
            <w:tcBorders>
              <w:top w:val="single" w:sz="4" w:space="0" w:color="auto"/>
              <w:bottom w:val="dotted" w:sz="4" w:space="0" w:color="auto"/>
            </w:tcBorders>
            <w:shd w:val="clear" w:color="auto" w:fill="auto"/>
            <w:noWrap/>
            <w:vAlign w:val="bottom"/>
            <w:hideMark/>
          </w:tcPr>
          <w:p w14:paraId="0C7BB7E4"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28.4</w:t>
            </w:r>
          </w:p>
        </w:tc>
        <w:tc>
          <w:tcPr>
            <w:tcW w:w="900" w:type="dxa"/>
            <w:tcBorders>
              <w:top w:val="single" w:sz="4" w:space="0" w:color="auto"/>
              <w:bottom w:val="dotted" w:sz="4" w:space="0" w:color="auto"/>
            </w:tcBorders>
          </w:tcPr>
          <w:p w14:paraId="3A8B3B43" w14:textId="3C1C861F" w:rsidR="003923AC" w:rsidRPr="003836D9" w:rsidRDefault="00A210D0"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25.3</w:t>
            </w:r>
          </w:p>
        </w:tc>
      </w:tr>
      <w:tr w:rsidR="003923AC" w:rsidRPr="003836D9" w14:paraId="6BD0010E" w14:textId="0A6D56A1" w:rsidTr="00A7096C">
        <w:trPr>
          <w:trHeight w:val="237"/>
        </w:trPr>
        <w:tc>
          <w:tcPr>
            <w:tcW w:w="1611" w:type="dxa"/>
            <w:vMerge/>
            <w:tcBorders>
              <w:top w:val="dotted" w:sz="4" w:space="0" w:color="auto"/>
            </w:tcBorders>
          </w:tcPr>
          <w:p w14:paraId="1AFDA645"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p>
        </w:tc>
        <w:tc>
          <w:tcPr>
            <w:tcW w:w="2547" w:type="dxa"/>
            <w:tcBorders>
              <w:top w:val="dotted" w:sz="4" w:space="0" w:color="auto"/>
            </w:tcBorders>
            <w:shd w:val="clear" w:color="auto" w:fill="auto"/>
            <w:noWrap/>
            <w:vAlign w:val="bottom"/>
            <w:hideMark/>
          </w:tcPr>
          <w:p w14:paraId="0FE07206" w14:textId="47684856"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Cu 2 copii</w:t>
            </w:r>
          </w:p>
        </w:tc>
        <w:tc>
          <w:tcPr>
            <w:tcW w:w="810" w:type="dxa"/>
            <w:tcBorders>
              <w:top w:val="dotted" w:sz="4" w:space="0" w:color="auto"/>
            </w:tcBorders>
            <w:shd w:val="clear" w:color="auto" w:fill="auto"/>
            <w:noWrap/>
            <w:vAlign w:val="bottom"/>
            <w:hideMark/>
          </w:tcPr>
          <w:p w14:paraId="3082FDB3"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31.6</w:t>
            </w:r>
          </w:p>
        </w:tc>
        <w:tc>
          <w:tcPr>
            <w:tcW w:w="900" w:type="dxa"/>
            <w:tcBorders>
              <w:top w:val="dotted" w:sz="4" w:space="0" w:color="auto"/>
            </w:tcBorders>
            <w:shd w:val="clear" w:color="auto" w:fill="auto"/>
            <w:noWrap/>
            <w:vAlign w:val="bottom"/>
            <w:hideMark/>
          </w:tcPr>
          <w:p w14:paraId="2C4B8FFC"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24.0</w:t>
            </w:r>
          </w:p>
        </w:tc>
        <w:tc>
          <w:tcPr>
            <w:tcW w:w="810" w:type="dxa"/>
            <w:tcBorders>
              <w:top w:val="dotted" w:sz="4" w:space="0" w:color="auto"/>
            </w:tcBorders>
            <w:shd w:val="clear" w:color="auto" w:fill="auto"/>
            <w:noWrap/>
            <w:vAlign w:val="bottom"/>
            <w:hideMark/>
          </w:tcPr>
          <w:p w14:paraId="69DF9178"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22.3</w:t>
            </w:r>
          </w:p>
        </w:tc>
        <w:tc>
          <w:tcPr>
            <w:tcW w:w="810" w:type="dxa"/>
            <w:tcBorders>
              <w:top w:val="dotted" w:sz="4" w:space="0" w:color="auto"/>
            </w:tcBorders>
            <w:shd w:val="clear" w:color="auto" w:fill="auto"/>
            <w:noWrap/>
            <w:vAlign w:val="bottom"/>
            <w:hideMark/>
          </w:tcPr>
          <w:p w14:paraId="40DCA5C3"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21.4</w:t>
            </w:r>
          </w:p>
        </w:tc>
        <w:tc>
          <w:tcPr>
            <w:tcW w:w="900" w:type="dxa"/>
            <w:tcBorders>
              <w:top w:val="dotted" w:sz="4" w:space="0" w:color="auto"/>
            </w:tcBorders>
          </w:tcPr>
          <w:p w14:paraId="1FA11770" w14:textId="2D522130" w:rsidR="003923AC" w:rsidRPr="003836D9" w:rsidRDefault="00A210D0"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22.4</w:t>
            </w:r>
          </w:p>
        </w:tc>
      </w:tr>
      <w:tr w:rsidR="003923AC" w:rsidRPr="003836D9" w14:paraId="1D64CB48" w14:textId="020CD8F7" w:rsidTr="00A7096C">
        <w:trPr>
          <w:trHeight w:val="237"/>
        </w:trPr>
        <w:tc>
          <w:tcPr>
            <w:tcW w:w="1611" w:type="dxa"/>
            <w:vMerge/>
          </w:tcPr>
          <w:p w14:paraId="25C56069" w14:textId="77777777" w:rsidR="003923AC" w:rsidRPr="003836D9" w:rsidRDefault="003923AC" w:rsidP="002D345A">
            <w:pPr>
              <w:spacing w:after="0" w:line="240" w:lineRule="auto"/>
              <w:rPr>
                <w:rFonts w:ascii="Times New Roman" w:eastAsia="Times New Roman" w:hAnsi="Times New Roman" w:cs="Times New Roman"/>
                <w:b/>
                <w:bCs/>
                <w:color w:val="000000"/>
                <w:sz w:val="16"/>
                <w:szCs w:val="16"/>
                <w:lang w:val="ro-MD" w:eastAsia="en-GB"/>
              </w:rPr>
            </w:pPr>
          </w:p>
        </w:tc>
        <w:tc>
          <w:tcPr>
            <w:tcW w:w="2547" w:type="dxa"/>
            <w:shd w:val="clear" w:color="auto" w:fill="auto"/>
            <w:noWrap/>
            <w:vAlign w:val="bottom"/>
            <w:hideMark/>
          </w:tcPr>
          <w:p w14:paraId="20106C65" w14:textId="0FBCCA19" w:rsidR="003923AC" w:rsidRPr="003836D9" w:rsidRDefault="003923AC" w:rsidP="002D345A">
            <w:pPr>
              <w:spacing w:after="0" w:line="240" w:lineRule="auto"/>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Cu 3 copii și mai mult</w:t>
            </w:r>
          </w:p>
        </w:tc>
        <w:tc>
          <w:tcPr>
            <w:tcW w:w="810" w:type="dxa"/>
            <w:shd w:val="clear" w:color="auto" w:fill="auto"/>
            <w:noWrap/>
            <w:vAlign w:val="bottom"/>
            <w:hideMark/>
          </w:tcPr>
          <w:p w14:paraId="311B26C6"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57.8</w:t>
            </w:r>
          </w:p>
        </w:tc>
        <w:tc>
          <w:tcPr>
            <w:tcW w:w="900" w:type="dxa"/>
            <w:shd w:val="clear" w:color="auto" w:fill="auto"/>
            <w:noWrap/>
            <w:vAlign w:val="bottom"/>
            <w:hideMark/>
          </w:tcPr>
          <w:p w14:paraId="79AB49BA"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48.8</w:t>
            </w:r>
          </w:p>
        </w:tc>
        <w:tc>
          <w:tcPr>
            <w:tcW w:w="810" w:type="dxa"/>
            <w:shd w:val="clear" w:color="auto" w:fill="auto"/>
            <w:noWrap/>
            <w:vAlign w:val="bottom"/>
            <w:hideMark/>
          </w:tcPr>
          <w:p w14:paraId="3B384F92"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42.0</w:t>
            </w:r>
          </w:p>
        </w:tc>
        <w:tc>
          <w:tcPr>
            <w:tcW w:w="810" w:type="dxa"/>
            <w:shd w:val="clear" w:color="auto" w:fill="auto"/>
            <w:noWrap/>
            <w:vAlign w:val="bottom"/>
            <w:hideMark/>
          </w:tcPr>
          <w:p w14:paraId="7A515633" w14:textId="77777777" w:rsidR="003923AC" w:rsidRPr="003836D9" w:rsidRDefault="003923AC"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42.1</w:t>
            </w:r>
          </w:p>
        </w:tc>
        <w:tc>
          <w:tcPr>
            <w:tcW w:w="900" w:type="dxa"/>
          </w:tcPr>
          <w:p w14:paraId="41EC34D3" w14:textId="42D004AE" w:rsidR="003923AC" w:rsidRPr="003836D9" w:rsidRDefault="00A210D0" w:rsidP="002D345A">
            <w:pPr>
              <w:spacing w:after="0" w:line="240" w:lineRule="auto"/>
              <w:jc w:val="right"/>
              <w:rPr>
                <w:rFonts w:ascii="Times New Roman" w:eastAsia="Times New Roman" w:hAnsi="Times New Roman" w:cs="Times New Roman"/>
                <w:color w:val="000000"/>
                <w:sz w:val="16"/>
                <w:szCs w:val="16"/>
                <w:lang w:val="ro-MD" w:eastAsia="en-GB"/>
              </w:rPr>
            </w:pPr>
            <w:r w:rsidRPr="003836D9">
              <w:rPr>
                <w:rFonts w:ascii="Times New Roman" w:eastAsia="Times New Roman" w:hAnsi="Times New Roman" w:cs="Times New Roman"/>
                <w:color w:val="000000"/>
                <w:sz w:val="16"/>
                <w:szCs w:val="16"/>
                <w:lang w:val="ro-MD" w:eastAsia="en-GB"/>
              </w:rPr>
              <w:t>36.9</w:t>
            </w:r>
          </w:p>
        </w:tc>
      </w:tr>
    </w:tbl>
    <w:p w14:paraId="6169F050" w14:textId="77777777" w:rsidR="00A5140A" w:rsidRDefault="007469F9" w:rsidP="00B1796F">
      <w:pPr>
        <w:autoSpaceDE w:val="0"/>
        <w:autoSpaceDN w:val="0"/>
        <w:adjustRightInd w:val="0"/>
        <w:spacing w:after="0" w:line="240" w:lineRule="auto"/>
        <w:rPr>
          <w:rFonts w:ascii="Times New Roman" w:eastAsia="Calibri" w:hAnsi="Times New Roman" w:cs="Times New Roman"/>
          <w:i/>
          <w:iCs/>
          <w:sz w:val="18"/>
          <w:szCs w:val="18"/>
          <w:lang w:val="ro-MD" w:eastAsia="en-GB"/>
        </w:rPr>
      </w:pPr>
      <w:r w:rsidRPr="008136FC">
        <w:rPr>
          <w:rFonts w:ascii="Times New Roman" w:eastAsia="Calibri" w:hAnsi="Times New Roman" w:cs="Times New Roman"/>
          <w:i/>
          <w:iCs/>
          <w:sz w:val="18"/>
          <w:szCs w:val="18"/>
          <w:lang w:val="ro-MD" w:eastAsia="en-GB"/>
        </w:rPr>
        <w:t xml:space="preserve">             </w:t>
      </w:r>
      <w:r w:rsidR="00A5140A">
        <w:rPr>
          <w:rFonts w:ascii="Times New Roman" w:eastAsia="Calibri" w:hAnsi="Times New Roman" w:cs="Times New Roman"/>
          <w:i/>
          <w:iCs/>
          <w:sz w:val="18"/>
          <w:szCs w:val="18"/>
          <w:lang w:val="ro-MD" w:eastAsia="en-GB"/>
        </w:rPr>
        <w:t xml:space="preserve">           </w:t>
      </w:r>
    </w:p>
    <w:p w14:paraId="1F09920F" w14:textId="77777777" w:rsidR="00A5140A" w:rsidRDefault="00A5140A" w:rsidP="00B1796F">
      <w:pPr>
        <w:autoSpaceDE w:val="0"/>
        <w:autoSpaceDN w:val="0"/>
        <w:adjustRightInd w:val="0"/>
        <w:spacing w:after="0" w:line="240" w:lineRule="auto"/>
        <w:rPr>
          <w:rFonts w:ascii="Times New Roman" w:eastAsia="Calibri" w:hAnsi="Times New Roman" w:cs="Times New Roman"/>
          <w:i/>
          <w:iCs/>
          <w:sz w:val="18"/>
          <w:szCs w:val="18"/>
          <w:lang w:val="ro-MD" w:eastAsia="en-GB"/>
        </w:rPr>
      </w:pPr>
      <w:r>
        <w:rPr>
          <w:rFonts w:ascii="Times New Roman" w:eastAsia="Calibri" w:hAnsi="Times New Roman" w:cs="Times New Roman"/>
          <w:i/>
          <w:iCs/>
          <w:sz w:val="18"/>
          <w:szCs w:val="18"/>
          <w:lang w:val="ro-MD" w:eastAsia="en-GB"/>
        </w:rPr>
        <w:t xml:space="preserve">  </w:t>
      </w:r>
    </w:p>
    <w:p w14:paraId="525E72D6" w14:textId="77777777" w:rsidR="00A5140A" w:rsidRDefault="00A5140A" w:rsidP="00A5140A">
      <w:pPr>
        <w:autoSpaceDE w:val="0"/>
        <w:autoSpaceDN w:val="0"/>
        <w:adjustRightInd w:val="0"/>
        <w:spacing w:after="0" w:line="240" w:lineRule="auto"/>
        <w:rPr>
          <w:rFonts w:ascii="Times New Roman" w:eastAsia="Calibri" w:hAnsi="Times New Roman" w:cs="Times New Roman"/>
          <w:i/>
          <w:iCs/>
          <w:sz w:val="18"/>
          <w:szCs w:val="18"/>
          <w:lang w:val="ro-MD" w:eastAsia="en-GB"/>
        </w:rPr>
      </w:pPr>
      <w:r>
        <w:rPr>
          <w:rFonts w:ascii="Times New Roman" w:eastAsia="Calibri" w:hAnsi="Times New Roman" w:cs="Times New Roman"/>
          <w:i/>
          <w:iCs/>
          <w:sz w:val="18"/>
          <w:szCs w:val="18"/>
          <w:lang w:val="ro-MD" w:eastAsia="en-GB"/>
        </w:rPr>
        <w:t xml:space="preserve">         </w:t>
      </w:r>
    </w:p>
    <w:p w14:paraId="546C3717" w14:textId="679C342E" w:rsidR="005B70FA" w:rsidRPr="008136FC" w:rsidRDefault="00A5140A" w:rsidP="00A5140A">
      <w:pPr>
        <w:autoSpaceDE w:val="0"/>
        <w:autoSpaceDN w:val="0"/>
        <w:adjustRightInd w:val="0"/>
        <w:spacing w:after="0" w:line="240" w:lineRule="auto"/>
        <w:ind w:left="720"/>
        <w:rPr>
          <w:rFonts w:ascii="Times New Roman" w:eastAsia="Calibri" w:hAnsi="Times New Roman" w:cs="Times New Roman"/>
          <w:i/>
          <w:iCs/>
          <w:sz w:val="18"/>
          <w:szCs w:val="18"/>
          <w:lang w:val="ro-MD" w:eastAsia="en-GB"/>
        </w:rPr>
      </w:pPr>
      <w:r>
        <w:rPr>
          <w:rFonts w:ascii="Times New Roman" w:eastAsia="Calibri" w:hAnsi="Times New Roman" w:cs="Times New Roman"/>
          <w:i/>
          <w:iCs/>
          <w:sz w:val="18"/>
          <w:szCs w:val="18"/>
          <w:lang w:val="ro-MD" w:eastAsia="en-GB"/>
        </w:rPr>
        <w:t xml:space="preserve">   </w:t>
      </w:r>
      <w:r w:rsidR="008136FC" w:rsidRPr="008136FC">
        <w:rPr>
          <w:rFonts w:ascii="Times New Roman" w:eastAsia="Calibri" w:hAnsi="Times New Roman" w:cs="Times New Roman"/>
          <w:i/>
          <w:iCs/>
          <w:sz w:val="18"/>
          <w:szCs w:val="18"/>
          <w:lang w:val="ro-MD" w:eastAsia="en-GB"/>
        </w:rPr>
        <w:t xml:space="preserve">Sursa: </w:t>
      </w:r>
      <w:r w:rsidR="00AA3FD5" w:rsidRPr="008136FC">
        <w:rPr>
          <w:rFonts w:ascii="Times New Roman" w:eastAsia="Calibri" w:hAnsi="Times New Roman" w:cs="Times New Roman"/>
          <w:i/>
          <w:iCs/>
          <w:sz w:val="18"/>
          <w:szCs w:val="18"/>
          <w:lang w:val="ro-MD" w:eastAsia="en-GB"/>
        </w:rPr>
        <w:t>B</w:t>
      </w:r>
      <w:r w:rsidR="008136FC" w:rsidRPr="008136FC">
        <w:rPr>
          <w:rFonts w:ascii="Times New Roman" w:eastAsia="Calibri" w:hAnsi="Times New Roman" w:cs="Times New Roman"/>
          <w:i/>
          <w:iCs/>
          <w:sz w:val="18"/>
          <w:szCs w:val="18"/>
          <w:lang w:val="ro-MD" w:eastAsia="en-GB"/>
        </w:rPr>
        <w:t>iroul Național de Statistică.</w:t>
      </w:r>
      <w:r w:rsidR="005B70FA" w:rsidRPr="008136FC">
        <w:rPr>
          <w:rFonts w:ascii="Times New Roman" w:eastAsia="Calibri" w:hAnsi="Times New Roman" w:cs="Times New Roman"/>
          <w:i/>
          <w:iCs/>
          <w:sz w:val="18"/>
          <w:szCs w:val="18"/>
          <w:lang w:val="ro-MD" w:eastAsia="en-GB"/>
        </w:rPr>
        <w:t xml:space="preserve"> </w:t>
      </w:r>
      <w:r w:rsidR="00AA3FD5" w:rsidRPr="008136FC">
        <w:rPr>
          <w:rFonts w:ascii="Times New Roman" w:eastAsia="Calibri" w:hAnsi="Times New Roman" w:cs="Times New Roman"/>
          <w:i/>
          <w:iCs/>
          <w:sz w:val="18"/>
          <w:szCs w:val="18"/>
          <w:lang w:val="ro-MD" w:eastAsia="en-GB"/>
        </w:rPr>
        <w:t>Statistica socială</w:t>
      </w:r>
      <w:r w:rsidR="005B70FA" w:rsidRPr="008136FC">
        <w:rPr>
          <w:rFonts w:ascii="Times New Roman" w:eastAsia="Calibri" w:hAnsi="Times New Roman" w:cs="Times New Roman"/>
          <w:i/>
          <w:iCs/>
          <w:sz w:val="18"/>
          <w:szCs w:val="18"/>
          <w:lang w:val="ro-MD" w:eastAsia="en-GB"/>
        </w:rPr>
        <w:t xml:space="preserve">: </w:t>
      </w:r>
      <w:r w:rsidR="00AA3FD5" w:rsidRPr="008136FC">
        <w:rPr>
          <w:rFonts w:ascii="Times New Roman" w:eastAsia="Calibri" w:hAnsi="Times New Roman" w:cs="Times New Roman"/>
          <w:i/>
          <w:iCs/>
          <w:sz w:val="18"/>
          <w:szCs w:val="18"/>
          <w:lang w:val="ro-MD" w:eastAsia="en-GB"/>
        </w:rPr>
        <w:t>Sărăcia</w:t>
      </w:r>
      <w:r w:rsidR="005B70FA" w:rsidRPr="008136FC">
        <w:rPr>
          <w:rFonts w:ascii="Times New Roman" w:eastAsia="Calibri" w:hAnsi="Times New Roman" w:cs="Times New Roman"/>
          <w:i/>
          <w:iCs/>
          <w:sz w:val="18"/>
          <w:szCs w:val="18"/>
          <w:lang w:val="ro-MD" w:eastAsia="en-GB"/>
        </w:rPr>
        <w:t>, 2014-202</w:t>
      </w:r>
      <w:r w:rsidR="0003776F" w:rsidRPr="008136FC">
        <w:rPr>
          <w:rFonts w:ascii="Times New Roman" w:eastAsia="Calibri" w:hAnsi="Times New Roman" w:cs="Times New Roman"/>
          <w:i/>
          <w:iCs/>
          <w:sz w:val="18"/>
          <w:szCs w:val="18"/>
          <w:lang w:val="ro-MD" w:eastAsia="en-GB"/>
        </w:rPr>
        <w:t>1</w:t>
      </w:r>
      <w:r w:rsidR="005B70FA" w:rsidRPr="008136FC">
        <w:rPr>
          <w:rFonts w:ascii="Times New Roman" w:eastAsia="Calibri" w:hAnsi="Times New Roman" w:cs="Times New Roman"/>
          <w:i/>
          <w:iCs/>
          <w:sz w:val="18"/>
          <w:szCs w:val="18"/>
          <w:lang w:val="ro-MD" w:eastAsia="en-GB"/>
        </w:rPr>
        <w:t xml:space="preserve"> </w:t>
      </w:r>
    </w:p>
    <w:p w14:paraId="7571FECE" w14:textId="77777777" w:rsidR="007469F9" w:rsidRDefault="007469F9" w:rsidP="00FD75C5">
      <w:pPr>
        <w:autoSpaceDE w:val="0"/>
        <w:autoSpaceDN w:val="0"/>
        <w:adjustRightInd w:val="0"/>
        <w:spacing w:before="120" w:after="0" w:line="240" w:lineRule="auto"/>
        <w:jc w:val="both"/>
        <w:rPr>
          <w:rFonts w:ascii="Times New Roman" w:hAnsi="Times New Roman" w:cs="Times New Roman"/>
          <w:sz w:val="24"/>
          <w:lang w:val="ro-MD"/>
        </w:rPr>
      </w:pPr>
    </w:p>
    <w:p w14:paraId="424587D3" w14:textId="5D415287" w:rsidR="00133F58" w:rsidRPr="003836D9" w:rsidRDefault="00AA3FD5" w:rsidP="00FD75C5">
      <w:pPr>
        <w:autoSpaceDE w:val="0"/>
        <w:autoSpaceDN w:val="0"/>
        <w:adjustRightInd w:val="0"/>
        <w:spacing w:before="120" w:after="0" w:line="240" w:lineRule="auto"/>
        <w:jc w:val="both"/>
        <w:rPr>
          <w:rFonts w:ascii="Times New Roman" w:hAnsi="Times New Roman" w:cs="Times New Roman"/>
          <w:sz w:val="24"/>
          <w:lang w:val="ro-MD"/>
        </w:rPr>
      </w:pPr>
      <w:r w:rsidRPr="003836D9">
        <w:rPr>
          <w:rFonts w:ascii="Times New Roman" w:hAnsi="Times New Roman" w:cs="Times New Roman"/>
          <w:sz w:val="24"/>
          <w:lang w:val="ro-MD"/>
        </w:rPr>
        <w:t xml:space="preserve">Cifrele privind sărăcia arată clar dezavantajele cu care se confruntă </w:t>
      </w:r>
      <w:r w:rsidR="0003776F" w:rsidRPr="003836D9">
        <w:rPr>
          <w:rFonts w:ascii="Times New Roman" w:hAnsi="Times New Roman" w:cs="Times New Roman"/>
          <w:sz w:val="24"/>
          <w:lang w:val="ro-MD"/>
        </w:rPr>
        <w:t xml:space="preserve">gospodăriile conduse de </w:t>
      </w:r>
      <w:r w:rsidRPr="003836D9">
        <w:rPr>
          <w:rFonts w:ascii="Times New Roman" w:hAnsi="Times New Roman" w:cs="Times New Roman"/>
          <w:sz w:val="24"/>
          <w:lang w:val="ro-MD"/>
        </w:rPr>
        <w:t>persoane angajate în producția agricolă în comparație cu alți muncitori</w:t>
      </w:r>
      <w:r w:rsidR="00BB1494" w:rsidRPr="003836D9">
        <w:rPr>
          <w:rFonts w:ascii="Times New Roman" w:hAnsi="Times New Roman" w:cs="Times New Roman"/>
          <w:sz w:val="24"/>
          <w:lang w:val="ro-MD"/>
        </w:rPr>
        <w:t>,</w:t>
      </w:r>
      <w:r w:rsidRPr="003836D9">
        <w:rPr>
          <w:rFonts w:ascii="Times New Roman" w:hAnsi="Times New Roman" w:cs="Times New Roman"/>
          <w:sz w:val="24"/>
          <w:lang w:val="ro-MD"/>
        </w:rPr>
        <w:t xml:space="preserve"> și pensionari față de alte grupuri de populație (</w:t>
      </w:r>
      <w:r w:rsidR="00D94B6B">
        <w:rPr>
          <w:rFonts w:ascii="Times New Roman" w:hAnsi="Times New Roman" w:cs="Times New Roman"/>
          <w:sz w:val="24"/>
          <w:lang w:val="ro-MD"/>
        </w:rPr>
        <w:t>Fig.</w:t>
      </w:r>
      <w:r w:rsidRPr="003836D9">
        <w:rPr>
          <w:rFonts w:ascii="Times New Roman" w:hAnsi="Times New Roman" w:cs="Times New Roman"/>
          <w:sz w:val="24"/>
          <w:lang w:val="ro-MD"/>
        </w:rPr>
        <w:t xml:space="preserve"> 3). Între 2014 și 2018 ratele sărăciei au scăzut substanțial pentru toate grup</w:t>
      </w:r>
      <w:r w:rsidR="00BB1494" w:rsidRPr="003836D9">
        <w:rPr>
          <w:rFonts w:ascii="Times New Roman" w:hAnsi="Times New Roman" w:cs="Times New Roman"/>
          <w:sz w:val="24"/>
          <w:lang w:val="ro-MD"/>
        </w:rPr>
        <w:t>urile</w:t>
      </w:r>
      <w:r w:rsidRPr="003836D9">
        <w:rPr>
          <w:rFonts w:ascii="Times New Roman" w:hAnsi="Times New Roman" w:cs="Times New Roman"/>
          <w:sz w:val="24"/>
          <w:lang w:val="ro-MD"/>
        </w:rPr>
        <w:t xml:space="preserve"> de venituri, cu </w:t>
      </w:r>
      <w:r w:rsidR="0052668F" w:rsidRPr="003836D9">
        <w:rPr>
          <w:rFonts w:ascii="Times New Roman" w:hAnsi="Times New Roman" w:cs="Times New Roman"/>
          <w:sz w:val="24"/>
          <w:lang w:val="ro-MD"/>
        </w:rPr>
        <w:t>evoluție pozitivă</w:t>
      </w:r>
      <w:r w:rsidRPr="003836D9">
        <w:rPr>
          <w:rFonts w:ascii="Times New Roman" w:hAnsi="Times New Roman" w:cs="Times New Roman"/>
          <w:sz w:val="24"/>
          <w:lang w:val="ro-MD"/>
        </w:rPr>
        <w:t xml:space="preserve"> în rândul </w:t>
      </w:r>
      <w:r w:rsidR="0003776F" w:rsidRPr="003836D9">
        <w:rPr>
          <w:rFonts w:ascii="Times New Roman" w:hAnsi="Times New Roman" w:cs="Times New Roman"/>
          <w:sz w:val="24"/>
          <w:lang w:val="ro-MD"/>
        </w:rPr>
        <w:t xml:space="preserve">gospodăriilor conduse de </w:t>
      </w:r>
      <w:r w:rsidRPr="003836D9">
        <w:rPr>
          <w:rFonts w:ascii="Times New Roman" w:hAnsi="Times New Roman" w:cs="Times New Roman"/>
          <w:sz w:val="24"/>
          <w:lang w:val="ro-MD"/>
        </w:rPr>
        <w:t>lucrători</w:t>
      </w:r>
      <w:r w:rsidR="0003776F" w:rsidRPr="003836D9">
        <w:rPr>
          <w:rFonts w:ascii="Times New Roman" w:hAnsi="Times New Roman" w:cs="Times New Roman"/>
          <w:sz w:val="24"/>
          <w:lang w:val="ro-MD"/>
        </w:rPr>
        <w:t>i</w:t>
      </w:r>
      <w:r w:rsidRPr="003836D9">
        <w:rPr>
          <w:rFonts w:ascii="Times New Roman" w:hAnsi="Times New Roman" w:cs="Times New Roman"/>
          <w:sz w:val="24"/>
          <w:lang w:val="ro-MD"/>
        </w:rPr>
        <w:t xml:space="preserve"> salariați din </w:t>
      </w:r>
      <w:r w:rsidRPr="003836D9">
        <w:rPr>
          <w:rFonts w:ascii="Times New Roman" w:hAnsi="Times New Roman" w:cs="Times New Roman"/>
          <w:sz w:val="24"/>
          <w:lang w:val="ro-MD"/>
        </w:rPr>
        <w:lastRenderedPageBreak/>
        <w:t>agricultură (-11,6 puncte procentuale), pensionari (-8,8 puncte procentuale) și lucrători salariați neagricoli (-7,5 puncte procentuale).</w:t>
      </w:r>
      <w:r w:rsidR="006E0009" w:rsidRPr="003836D9">
        <w:rPr>
          <w:rFonts w:ascii="Times New Roman" w:hAnsi="Times New Roman" w:cs="Times New Roman"/>
          <w:sz w:val="24"/>
          <w:lang w:val="ro-MD"/>
        </w:rPr>
        <w:t xml:space="preserve"> </w:t>
      </w:r>
    </w:p>
    <w:p w14:paraId="5D6F6A58" w14:textId="77777777" w:rsidR="007469F9" w:rsidRDefault="007469F9" w:rsidP="005E1093">
      <w:pPr>
        <w:autoSpaceDE w:val="0"/>
        <w:autoSpaceDN w:val="0"/>
        <w:adjustRightInd w:val="0"/>
        <w:ind w:firstLine="567"/>
        <w:jc w:val="center"/>
        <w:rPr>
          <w:rFonts w:ascii="Times New Roman" w:hAnsi="Times New Roman" w:cs="Times New Roman"/>
          <w:b/>
          <w:sz w:val="20"/>
          <w:szCs w:val="20"/>
          <w:lang w:val="ro-MD"/>
        </w:rPr>
      </w:pPr>
      <w:bookmarkStart w:id="7" w:name="_Hlk93139396"/>
    </w:p>
    <w:p w14:paraId="284BA021" w14:textId="444CDD76" w:rsidR="00A11A84" w:rsidRPr="00267375" w:rsidRDefault="00D94B6B" w:rsidP="00267375">
      <w:pPr>
        <w:autoSpaceDE w:val="0"/>
        <w:autoSpaceDN w:val="0"/>
        <w:adjustRightInd w:val="0"/>
        <w:ind w:firstLine="567"/>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52668F" w:rsidRPr="003836D9">
        <w:rPr>
          <w:rFonts w:ascii="Times New Roman" w:hAnsi="Times New Roman" w:cs="Times New Roman"/>
          <w:b/>
          <w:sz w:val="20"/>
          <w:szCs w:val="20"/>
          <w:lang w:val="ro-MD"/>
        </w:rPr>
        <w:t xml:space="preserve"> </w:t>
      </w:r>
      <w:r w:rsidR="005E1093" w:rsidRPr="003836D9">
        <w:rPr>
          <w:rFonts w:ascii="Times New Roman" w:hAnsi="Times New Roman" w:cs="Times New Roman"/>
          <w:b/>
          <w:sz w:val="20"/>
          <w:szCs w:val="20"/>
          <w:lang w:val="ro-MD"/>
        </w:rPr>
        <w:t>3</w:t>
      </w:r>
      <w:r w:rsidR="00F70675">
        <w:rPr>
          <w:rFonts w:ascii="Times New Roman" w:hAnsi="Times New Roman" w:cs="Times New Roman"/>
          <w:b/>
          <w:sz w:val="20"/>
          <w:szCs w:val="20"/>
          <w:lang w:val="ro-MD"/>
        </w:rPr>
        <w:t>.</w:t>
      </w:r>
      <w:r w:rsidR="005E1093" w:rsidRPr="003836D9">
        <w:rPr>
          <w:rFonts w:ascii="Times New Roman" w:hAnsi="Times New Roman" w:cs="Times New Roman"/>
          <w:b/>
          <w:sz w:val="20"/>
          <w:szCs w:val="20"/>
          <w:lang w:val="ro-MD"/>
        </w:rPr>
        <w:t xml:space="preserve"> </w:t>
      </w:r>
      <w:r w:rsidR="0052668F" w:rsidRPr="003836D9">
        <w:rPr>
          <w:rFonts w:ascii="Times New Roman" w:hAnsi="Times New Roman" w:cs="Times New Roman"/>
          <w:b/>
          <w:sz w:val="20"/>
          <w:szCs w:val="20"/>
          <w:lang w:val="ro-MD"/>
        </w:rPr>
        <w:t>Sărăcie absolută după sursa principală de venit a</w:t>
      </w:r>
      <w:r w:rsidR="00ED5E0C" w:rsidRPr="003836D9">
        <w:rPr>
          <w:rFonts w:ascii="Times New Roman" w:hAnsi="Times New Roman" w:cs="Times New Roman"/>
          <w:b/>
          <w:sz w:val="20"/>
          <w:szCs w:val="20"/>
          <w:lang w:val="ro-MD"/>
        </w:rPr>
        <w:t>l</w:t>
      </w:r>
      <w:r w:rsidR="0052668F" w:rsidRPr="003836D9">
        <w:rPr>
          <w:rFonts w:ascii="Times New Roman" w:hAnsi="Times New Roman" w:cs="Times New Roman"/>
          <w:b/>
          <w:sz w:val="20"/>
          <w:szCs w:val="20"/>
          <w:lang w:val="ro-MD"/>
        </w:rPr>
        <w:t xml:space="preserve"> capului gospodăriei</w:t>
      </w:r>
      <w:r w:rsidR="005E1093" w:rsidRPr="003836D9">
        <w:rPr>
          <w:rFonts w:ascii="Times New Roman" w:hAnsi="Times New Roman" w:cs="Times New Roman"/>
          <w:b/>
          <w:sz w:val="20"/>
          <w:szCs w:val="20"/>
          <w:lang w:val="ro-MD"/>
        </w:rPr>
        <w:t>, 2014-202</w:t>
      </w:r>
      <w:bookmarkEnd w:id="7"/>
      <w:r w:rsidR="002B2465" w:rsidRPr="003836D9">
        <w:rPr>
          <w:rFonts w:ascii="Times New Roman" w:hAnsi="Times New Roman" w:cs="Times New Roman"/>
          <w:b/>
          <w:sz w:val="20"/>
          <w:szCs w:val="20"/>
          <w:lang w:val="ro-MD"/>
        </w:rPr>
        <w:t>1</w:t>
      </w:r>
    </w:p>
    <w:p w14:paraId="784AD426" w14:textId="31ABC145" w:rsidR="00A11A84" w:rsidRPr="003836D9" w:rsidRDefault="006368D5" w:rsidP="005E1093">
      <w:pPr>
        <w:autoSpaceDE w:val="0"/>
        <w:autoSpaceDN w:val="0"/>
        <w:adjustRightInd w:val="0"/>
        <w:spacing w:after="0" w:line="240" w:lineRule="auto"/>
        <w:jc w:val="center"/>
        <w:rPr>
          <w:rFonts w:ascii="Times New Roman" w:eastAsia="Calibri" w:hAnsi="Times New Roman" w:cs="Times New Roman"/>
          <w:i/>
          <w:iCs/>
          <w:sz w:val="18"/>
          <w:szCs w:val="18"/>
          <w:lang w:val="ro-MD" w:eastAsia="en-GB"/>
        </w:rPr>
      </w:pPr>
      <w:r w:rsidRPr="006368D5">
        <w:rPr>
          <w:rFonts w:ascii="Times New Roman" w:eastAsia="Calibri" w:hAnsi="Times New Roman" w:cs="Times New Roman"/>
          <w:i/>
          <w:iCs/>
          <w:noProof/>
          <w:sz w:val="18"/>
          <w:szCs w:val="18"/>
          <w:lang w:val="ru-RU" w:eastAsia="ru-RU"/>
        </w:rPr>
        <w:drawing>
          <wp:inline distT="0" distB="0" distL="0" distR="0" wp14:anchorId="39B53604" wp14:editId="178B8F09">
            <wp:extent cx="5481711" cy="375666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4494" cy="3779127"/>
                    </a:xfrm>
                    <a:prstGeom prst="rect">
                      <a:avLst/>
                    </a:prstGeom>
                    <a:noFill/>
                    <a:ln>
                      <a:noFill/>
                    </a:ln>
                  </pic:spPr>
                </pic:pic>
              </a:graphicData>
            </a:graphic>
          </wp:inline>
        </w:drawing>
      </w:r>
    </w:p>
    <w:p w14:paraId="760B687A" w14:textId="77777777" w:rsidR="00267375" w:rsidRDefault="00267375" w:rsidP="00267375">
      <w:pPr>
        <w:autoSpaceDE w:val="0"/>
        <w:autoSpaceDN w:val="0"/>
        <w:adjustRightInd w:val="0"/>
        <w:spacing w:after="0" w:line="240" w:lineRule="auto"/>
        <w:rPr>
          <w:rFonts w:ascii="Times New Roman" w:eastAsia="Calibri" w:hAnsi="Times New Roman" w:cs="Times New Roman"/>
          <w:i/>
          <w:iCs/>
          <w:sz w:val="18"/>
          <w:szCs w:val="18"/>
          <w:lang w:val="ro-MD" w:eastAsia="en-GB"/>
        </w:rPr>
      </w:pPr>
      <w:r>
        <w:rPr>
          <w:rFonts w:ascii="Times New Roman" w:eastAsia="Calibri" w:hAnsi="Times New Roman" w:cs="Times New Roman"/>
          <w:i/>
          <w:iCs/>
          <w:sz w:val="18"/>
          <w:szCs w:val="18"/>
          <w:lang w:val="ro-MD" w:eastAsia="en-GB"/>
        </w:rPr>
        <w:t xml:space="preserve">           </w:t>
      </w:r>
    </w:p>
    <w:p w14:paraId="62C4540F" w14:textId="7A145BAF" w:rsidR="005E1093" w:rsidRPr="00267375" w:rsidRDefault="00267375" w:rsidP="00267375">
      <w:pPr>
        <w:autoSpaceDE w:val="0"/>
        <w:autoSpaceDN w:val="0"/>
        <w:adjustRightInd w:val="0"/>
        <w:spacing w:after="0" w:line="240" w:lineRule="auto"/>
        <w:rPr>
          <w:rFonts w:ascii="Times New Roman" w:eastAsia="Calibri" w:hAnsi="Times New Roman" w:cs="Times New Roman"/>
          <w:i/>
          <w:iCs/>
          <w:sz w:val="18"/>
          <w:szCs w:val="18"/>
          <w:lang w:val="ro-MD" w:eastAsia="en-GB"/>
        </w:rPr>
      </w:pPr>
      <w:r>
        <w:rPr>
          <w:rFonts w:ascii="Times New Roman" w:eastAsia="Calibri" w:hAnsi="Times New Roman" w:cs="Times New Roman"/>
          <w:i/>
          <w:iCs/>
          <w:sz w:val="18"/>
          <w:szCs w:val="18"/>
          <w:lang w:val="ro-MD" w:eastAsia="en-GB"/>
        </w:rPr>
        <w:t xml:space="preserve">           </w:t>
      </w:r>
      <w:r w:rsidR="00D12F16" w:rsidRPr="003836D9">
        <w:rPr>
          <w:rFonts w:ascii="Times New Roman" w:eastAsia="Calibri" w:hAnsi="Times New Roman" w:cs="Times New Roman"/>
          <w:i/>
          <w:iCs/>
          <w:sz w:val="18"/>
          <w:szCs w:val="18"/>
          <w:lang w:val="ro-MD" w:eastAsia="en-GB"/>
        </w:rPr>
        <w:t>Sursa</w:t>
      </w:r>
      <w:r w:rsidR="005E1093" w:rsidRPr="003836D9">
        <w:rPr>
          <w:rFonts w:ascii="Times New Roman" w:eastAsia="Calibri" w:hAnsi="Times New Roman" w:cs="Times New Roman"/>
          <w:sz w:val="18"/>
          <w:szCs w:val="18"/>
          <w:lang w:val="ro-MD" w:eastAsia="en-GB"/>
        </w:rPr>
        <w:t xml:space="preserve">: </w:t>
      </w:r>
      <w:r w:rsidR="00D12F16" w:rsidRPr="003836D9">
        <w:rPr>
          <w:rFonts w:ascii="Times New Roman" w:eastAsia="Calibri" w:hAnsi="Times New Roman" w:cs="Times New Roman"/>
          <w:sz w:val="18"/>
          <w:szCs w:val="18"/>
          <w:lang w:val="ro-MD" w:eastAsia="en-GB"/>
        </w:rPr>
        <w:t>B</w:t>
      </w:r>
      <w:r w:rsidR="00F70675">
        <w:rPr>
          <w:rFonts w:ascii="Times New Roman" w:eastAsia="Calibri" w:hAnsi="Times New Roman" w:cs="Times New Roman"/>
          <w:sz w:val="18"/>
          <w:szCs w:val="18"/>
          <w:lang w:val="ro-MD" w:eastAsia="en-GB"/>
        </w:rPr>
        <w:t>iroul Național de Statistic</w:t>
      </w:r>
      <w:r w:rsidR="00DB481C">
        <w:rPr>
          <w:rFonts w:ascii="Times New Roman" w:eastAsia="Calibri" w:hAnsi="Times New Roman" w:cs="Times New Roman"/>
          <w:sz w:val="18"/>
          <w:szCs w:val="18"/>
          <w:lang w:val="ro-MD" w:eastAsia="en-GB"/>
        </w:rPr>
        <w:t>ă:</w:t>
      </w:r>
      <w:r w:rsidR="00F70675">
        <w:rPr>
          <w:rFonts w:ascii="Times New Roman" w:eastAsia="Calibri" w:hAnsi="Times New Roman" w:cs="Times New Roman"/>
          <w:sz w:val="18"/>
          <w:szCs w:val="18"/>
          <w:lang w:val="ro-MD" w:eastAsia="en-GB"/>
        </w:rPr>
        <w:t xml:space="preserve"> </w:t>
      </w:r>
      <w:r w:rsidR="00D12F16" w:rsidRPr="003836D9">
        <w:rPr>
          <w:rFonts w:ascii="Times New Roman" w:eastAsia="Calibri" w:hAnsi="Times New Roman" w:cs="Times New Roman"/>
          <w:i/>
          <w:iCs/>
          <w:sz w:val="18"/>
          <w:szCs w:val="18"/>
          <w:lang w:val="ro-MD" w:eastAsia="en-GB"/>
        </w:rPr>
        <w:t>Statistica socială</w:t>
      </w:r>
      <w:r w:rsidR="005E1093" w:rsidRPr="003836D9">
        <w:rPr>
          <w:rFonts w:ascii="Times New Roman" w:eastAsia="Calibri" w:hAnsi="Times New Roman" w:cs="Times New Roman"/>
          <w:i/>
          <w:iCs/>
          <w:sz w:val="18"/>
          <w:szCs w:val="18"/>
          <w:lang w:val="ro-MD" w:eastAsia="en-GB"/>
        </w:rPr>
        <w:t xml:space="preserve">: </w:t>
      </w:r>
      <w:r w:rsidR="00D12F16" w:rsidRPr="003836D9">
        <w:rPr>
          <w:rFonts w:ascii="Times New Roman" w:eastAsia="Calibri" w:hAnsi="Times New Roman" w:cs="Times New Roman"/>
          <w:i/>
          <w:iCs/>
          <w:sz w:val="18"/>
          <w:szCs w:val="18"/>
          <w:lang w:val="ro-MD" w:eastAsia="en-GB"/>
        </w:rPr>
        <w:t>Sărăcia</w:t>
      </w:r>
      <w:r w:rsidR="005E1093" w:rsidRPr="003836D9">
        <w:rPr>
          <w:rFonts w:ascii="Times New Roman" w:eastAsia="Calibri" w:hAnsi="Times New Roman" w:cs="Times New Roman"/>
          <w:i/>
          <w:iCs/>
          <w:sz w:val="18"/>
          <w:szCs w:val="18"/>
          <w:lang w:val="ro-MD" w:eastAsia="en-GB"/>
        </w:rPr>
        <w:t>,</w:t>
      </w:r>
      <w:r w:rsidR="00E21494" w:rsidRPr="003836D9">
        <w:rPr>
          <w:rFonts w:ascii="Times New Roman" w:eastAsia="Calibri" w:hAnsi="Times New Roman" w:cs="Times New Roman"/>
          <w:sz w:val="18"/>
          <w:szCs w:val="18"/>
          <w:lang w:val="ro-MD" w:eastAsia="en-GB"/>
        </w:rPr>
        <w:t xml:space="preserve"> </w:t>
      </w:r>
      <w:r w:rsidR="00E21494" w:rsidRPr="00267375">
        <w:rPr>
          <w:rFonts w:ascii="Times New Roman" w:eastAsia="Calibri" w:hAnsi="Times New Roman" w:cs="Times New Roman"/>
          <w:i/>
          <w:iCs/>
          <w:sz w:val="18"/>
          <w:szCs w:val="18"/>
          <w:lang w:val="ro-MD" w:eastAsia="en-GB"/>
        </w:rPr>
        <w:t>2014-2021</w:t>
      </w:r>
    </w:p>
    <w:p w14:paraId="603BB080" w14:textId="77777777" w:rsidR="00102135" w:rsidRPr="003836D9" w:rsidRDefault="00102135" w:rsidP="005E1093">
      <w:pPr>
        <w:autoSpaceDE w:val="0"/>
        <w:autoSpaceDN w:val="0"/>
        <w:adjustRightInd w:val="0"/>
        <w:spacing w:after="0" w:line="240" w:lineRule="auto"/>
        <w:jc w:val="center"/>
        <w:rPr>
          <w:rFonts w:ascii="Times New Roman" w:eastAsia="Calibri" w:hAnsi="Times New Roman" w:cs="Times New Roman"/>
          <w:sz w:val="18"/>
          <w:szCs w:val="18"/>
          <w:lang w:val="ro-MD" w:eastAsia="en-GB"/>
        </w:rPr>
      </w:pPr>
    </w:p>
    <w:p w14:paraId="49D08FA1" w14:textId="66CACB3C" w:rsidR="00D709BF" w:rsidRDefault="00D12F16" w:rsidP="00D709BF">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Cu toate acestea, în 2019, sărăcia absolută a început să crească din nou, mai ales în rândul </w:t>
      </w:r>
      <w:r w:rsidR="007F2C88" w:rsidRPr="003836D9">
        <w:rPr>
          <w:rFonts w:ascii="Times New Roman" w:hAnsi="Times New Roman" w:cs="Times New Roman"/>
          <w:sz w:val="24"/>
          <w:szCs w:val="24"/>
          <w:lang w:val="ro-MD"/>
        </w:rPr>
        <w:t xml:space="preserve">gospodăriilor conduse de </w:t>
      </w:r>
      <w:r w:rsidRPr="003836D9">
        <w:rPr>
          <w:rFonts w:ascii="Times New Roman" w:hAnsi="Times New Roman" w:cs="Times New Roman"/>
          <w:sz w:val="24"/>
          <w:szCs w:val="24"/>
          <w:lang w:val="ro-MD"/>
        </w:rPr>
        <w:t>pensionari</w:t>
      </w:r>
      <w:r w:rsidR="00003CAF" w:rsidRPr="003836D9">
        <w:rPr>
          <w:rFonts w:ascii="Times New Roman" w:hAnsi="Times New Roman" w:cs="Times New Roman"/>
          <w:sz w:val="24"/>
          <w:szCs w:val="24"/>
          <w:lang w:val="ro-MD"/>
        </w:rPr>
        <w:t>, cu peste 9 puncte procentuale</w:t>
      </w:r>
      <w:r w:rsidRPr="003836D9">
        <w:rPr>
          <w:rFonts w:ascii="Times New Roman" w:hAnsi="Times New Roman" w:cs="Times New Roman"/>
          <w:sz w:val="24"/>
          <w:szCs w:val="24"/>
          <w:lang w:val="ro-MD"/>
        </w:rPr>
        <w:t xml:space="preserve">, </w:t>
      </w:r>
      <w:r w:rsidR="007F2C88" w:rsidRPr="003836D9">
        <w:rPr>
          <w:rFonts w:ascii="Times New Roman" w:hAnsi="Times New Roman" w:cs="Times New Roman"/>
          <w:sz w:val="24"/>
          <w:szCs w:val="24"/>
          <w:lang w:val="ro-MD"/>
        </w:rPr>
        <w:t xml:space="preserve">de </w:t>
      </w:r>
      <w:r w:rsidRPr="003836D9">
        <w:rPr>
          <w:rFonts w:ascii="Times New Roman" w:hAnsi="Times New Roman" w:cs="Times New Roman"/>
          <w:sz w:val="24"/>
          <w:szCs w:val="24"/>
          <w:lang w:val="ro-MD"/>
        </w:rPr>
        <w:t>lucrători</w:t>
      </w:r>
      <w:r w:rsidR="007F2C88" w:rsidRPr="003836D9">
        <w:rPr>
          <w:rFonts w:ascii="Times New Roman" w:hAnsi="Times New Roman" w:cs="Times New Roman"/>
          <w:sz w:val="24"/>
          <w:szCs w:val="24"/>
          <w:lang w:val="ro-MD"/>
        </w:rPr>
        <w:t>i</w:t>
      </w:r>
      <w:r w:rsidRPr="003836D9">
        <w:rPr>
          <w:rFonts w:ascii="Times New Roman" w:hAnsi="Times New Roman" w:cs="Times New Roman"/>
          <w:sz w:val="24"/>
          <w:szCs w:val="24"/>
          <w:lang w:val="ro-MD"/>
        </w:rPr>
        <w:t xml:space="preserve"> pe cont propriu</w:t>
      </w:r>
      <w:r w:rsidR="00003CAF" w:rsidRPr="003836D9">
        <w:rPr>
          <w:rFonts w:ascii="Times New Roman" w:hAnsi="Times New Roman" w:cs="Times New Roman"/>
          <w:sz w:val="24"/>
          <w:szCs w:val="24"/>
          <w:lang w:val="ro-MD"/>
        </w:rPr>
        <w:t xml:space="preserve">, cu </w:t>
      </w:r>
      <w:r w:rsidRPr="003836D9">
        <w:rPr>
          <w:rFonts w:ascii="Times New Roman" w:hAnsi="Times New Roman" w:cs="Times New Roman"/>
          <w:sz w:val="24"/>
          <w:szCs w:val="24"/>
          <w:lang w:val="ro-MD"/>
        </w:rPr>
        <w:t xml:space="preserve">4 puncte procentuale </w:t>
      </w:r>
      <w:r w:rsidR="00E278C9" w:rsidRPr="003836D9">
        <w:rPr>
          <w:rFonts w:ascii="Times New Roman" w:hAnsi="Times New Roman" w:cs="Times New Roman"/>
          <w:sz w:val="24"/>
          <w:szCs w:val="24"/>
          <w:lang w:val="ro-MD"/>
        </w:rPr>
        <w:t>anual</w:t>
      </w:r>
      <w:r w:rsidRPr="003836D9">
        <w:rPr>
          <w:rFonts w:ascii="Times New Roman" w:hAnsi="Times New Roman" w:cs="Times New Roman"/>
          <w:sz w:val="24"/>
          <w:szCs w:val="24"/>
          <w:lang w:val="ro-MD"/>
        </w:rPr>
        <w:t xml:space="preserve"> și în rândul muncitorilor agricoli salariați</w:t>
      </w:r>
      <w:r w:rsidR="00003CAF" w:rsidRPr="003836D9">
        <w:rPr>
          <w:rFonts w:ascii="Times New Roman" w:hAnsi="Times New Roman" w:cs="Times New Roman"/>
          <w:sz w:val="24"/>
          <w:szCs w:val="24"/>
          <w:lang w:val="ro-MD"/>
        </w:rPr>
        <w:t xml:space="preserve">, cu </w:t>
      </w:r>
      <w:r w:rsidRPr="003836D9">
        <w:rPr>
          <w:rFonts w:ascii="Times New Roman" w:hAnsi="Times New Roman" w:cs="Times New Roman"/>
          <w:sz w:val="24"/>
          <w:szCs w:val="24"/>
          <w:lang w:val="ro-MD"/>
        </w:rPr>
        <w:t xml:space="preserve">3,3 puncte procentuale. Ratele sărăciei gospodăriilor care se bazează pe remitențele ca sursă </w:t>
      </w:r>
      <w:r w:rsidR="00895C27" w:rsidRPr="003836D9">
        <w:rPr>
          <w:rFonts w:ascii="Times New Roman" w:hAnsi="Times New Roman" w:cs="Times New Roman"/>
          <w:sz w:val="24"/>
          <w:szCs w:val="24"/>
          <w:lang w:val="ro-MD"/>
        </w:rPr>
        <w:t xml:space="preserve">principală </w:t>
      </w:r>
      <w:r w:rsidRPr="003836D9">
        <w:rPr>
          <w:rFonts w:ascii="Times New Roman" w:hAnsi="Times New Roman" w:cs="Times New Roman"/>
          <w:sz w:val="24"/>
          <w:szCs w:val="24"/>
          <w:lang w:val="ro-MD"/>
        </w:rPr>
        <w:t xml:space="preserve">de venit </w:t>
      </w:r>
      <w:r w:rsidR="007F2C88" w:rsidRPr="003836D9">
        <w:rPr>
          <w:rFonts w:ascii="Times New Roman" w:hAnsi="Times New Roman" w:cs="Times New Roman"/>
          <w:sz w:val="24"/>
          <w:szCs w:val="24"/>
          <w:lang w:val="ro-MD"/>
        </w:rPr>
        <w:t xml:space="preserve">al capului gospodăriei </w:t>
      </w:r>
      <w:r w:rsidRPr="003836D9">
        <w:rPr>
          <w:rFonts w:ascii="Times New Roman" w:hAnsi="Times New Roman" w:cs="Times New Roman"/>
          <w:sz w:val="24"/>
          <w:szCs w:val="24"/>
          <w:lang w:val="ro-MD"/>
        </w:rPr>
        <w:t xml:space="preserve">prezintă un model neuniform, cu ani </w:t>
      </w:r>
      <w:r w:rsidR="003774AD" w:rsidRPr="003836D9">
        <w:rPr>
          <w:rFonts w:ascii="Times New Roman" w:hAnsi="Times New Roman" w:cs="Times New Roman"/>
          <w:sz w:val="24"/>
          <w:szCs w:val="24"/>
          <w:lang w:val="ro-MD"/>
        </w:rPr>
        <w:t>în</w:t>
      </w:r>
      <w:r w:rsidRPr="003836D9">
        <w:rPr>
          <w:rFonts w:ascii="Times New Roman" w:hAnsi="Times New Roman" w:cs="Times New Roman"/>
          <w:sz w:val="24"/>
          <w:szCs w:val="24"/>
          <w:lang w:val="ro-MD"/>
        </w:rPr>
        <w:t xml:space="preserve"> scădere (de exemplu, 2016 și 2019) și ani </w:t>
      </w:r>
      <w:r w:rsidR="003774AD" w:rsidRPr="003836D9">
        <w:rPr>
          <w:rFonts w:ascii="Times New Roman" w:hAnsi="Times New Roman" w:cs="Times New Roman"/>
          <w:sz w:val="24"/>
          <w:szCs w:val="24"/>
          <w:lang w:val="ro-MD"/>
        </w:rPr>
        <w:t>în</w:t>
      </w:r>
      <w:r w:rsidRPr="003836D9">
        <w:rPr>
          <w:rFonts w:ascii="Times New Roman" w:hAnsi="Times New Roman" w:cs="Times New Roman"/>
          <w:sz w:val="24"/>
          <w:szCs w:val="24"/>
          <w:lang w:val="ro-MD"/>
        </w:rPr>
        <w:t xml:space="preserve"> creștere (de exemplu, 2017 și 2020), în pofida tendinței continue de scădere a fluxurilor de remitențe (</w:t>
      </w:r>
      <w:r w:rsidR="00D94B6B">
        <w:rPr>
          <w:rFonts w:ascii="Times New Roman" w:hAnsi="Times New Roman" w:cs="Times New Roman"/>
          <w:sz w:val="24"/>
          <w:szCs w:val="24"/>
          <w:lang w:val="ro-MD"/>
        </w:rPr>
        <w:t>Fig.</w:t>
      </w:r>
      <w:r w:rsidR="00895C27" w:rsidRPr="003836D9">
        <w:rPr>
          <w:rFonts w:ascii="Times New Roman" w:hAnsi="Times New Roman" w:cs="Times New Roman"/>
          <w:sz w:val="24"/>
          <w:szCs w:val="24"/>
          <w:lang w:val="ro-MD"/>
        </w:rPr>
        <w:t xml:space="preserve"> </w:t>
      </w:r>
      <w:r w:rsidR="00D54E04">
        <w:rPr>
          <w:rFonts w:ascii="Times New Roman" w:hAnsi="Times New Roman" w:cs="Times New Roman"/>
          <w:sz w:val="24"/>
          <w:szCs w:val="24"/>
          <w:lang w:val="ro-MD"/>
        </w:rPr>
        <w:t>4). Corelația discordantă</w:t>
      </w:r>
      <w:r w:rsidRPr="003836D9">
        <w:rPr>
          <w:rFonts w:ascii="Times New Roman" w:hAnsi="Times New Roman" w:cs="Times New Roman"/>
          <w:sz w:val="24"/>
          <w:szCs w:val="24"/>
          <w:lang w:val="ro-MD"/>
        </w:rPr>
        <w:t xml:space="preserve"> între sărăcie și fluxul de remitenț</w:t>
      </w:r>
      <w:r w:rsidR="00D54E04">
        <w:rPr>
          <w:rFonts w:ascii="Times New Roman" w:hAnsi="Times New Roman" w:cs="Times New Roman"/>
          <w:sz w:val="24"/>
          <w:szCs w:val="24"/>
          <w:lang w:val="ro-MD"/>
        </w:rPr>
        <w:t>e</w:t>
      </w:r>
      <w:r w:rsidR="00BB1494" w:rsidRPr="003836D9">
        <w:rPr>
          <w:rFonts w:ascii="Times New Roman" w:hAnsi="Times New Roman" w:cs="Times New Roman"/>
          <w:sz w:val="24"/>
          <w:szCs w:val="24"/>
          <w:lang w:val="ro-MD"/>
        </w:rPr>
        <w:t xml:space="preserve"> </w:t>
      </w:r>
      <w:r w:rsidR="00D54E04">
        <w:rPr>
          <w:rFonts w:ascii="Times New Roman" w:hAnsi="Times New Roman" w:cs="Times New Roman"/>
          <w:sz w:val="24"/>
          <w:szCs w:val="24"/>
          <w:lang w:val="ro-MD"/>
        </w:rPr>
        <w:t>este cauzată</w:t>
      </w:r>
      <w:r w:rsidR="00BB1494" w:rsidRPr="003836D9">
        <w:rPr>
          <w:rFonts w:ascii="Times New Roman" w:hAnsi="Times New Roman" w:cs="Times New Roman"/>
          <w:sz w:val="24"/>
          <w:szCs w:val="24"/>
          <w:lang w:val="ro-MD"/>
        </w:rPr>
        <w:t xml:space="preserve"> </w:t>
      </w:r>
      <w:r w:rsidR="00D54E04">
        <w:rPr>
          <w:rFonts w:ascii="Times New Roman" w:hAnsi="Times New Roman" w:cs="Times New Roman"/>
          <w:sz w:val="24"/>
          <w:szCs w:val="24"/>
          <w:lang w:val="ro-MD"/>
        </w:rPr>
        <w:t>probabil de extinderea/scăderea</w:t>
      </w:r>
      <w:r w:rsidRPr="003836D9">
        <w:rPr>
          <w:rFonts w:ascii="Times New Roman" w:hAnsi="Times New Roman" w:cs="Times New Roman"/>
          <w:sz w:val="24"/>
          <w:szCs w:val="24"/>
          <w:lang w:val="ro-MD"/>
        </w:rPr>
        <w:t xml:space="preserve"> ocupării forței de muncă în agricultură ca sursă secundară de venit. În 2016, ocuparea forței de muncă a crescut, dar numai în zonele rurale (cu 1,1 </w:t>
      </w:r>
      <w:r w:rsidR="007E5B9A" w:rsidRPr="003836D9">
        <w:rPr>
          <w:rFonts w:ascii="Times New Roman" w:hAnsi="Times New Roman" w:cs="Times New Roman"/>
          <w:sz w:val="24"/>
          <w:szCs w:val="24"/>
          <w:lang w:val="ro-MD"/>
        </w:rPr>
        <w:t>procente)</w:t>
      </w:r>
      <w:r w:rsidRPr="003836D9">
        <w:rPr>
          <w:rFonts w:ascii="Times New Roman" w:hAnsi="Times New Roman" w:cs="Times New Roman"/>
          <w:sz w:val="24"/>
          <w:szCs w:val="24"/>
          <w:lang w:val="ro-MD"/>
        </w:rPr>
        <w:t>, ajutând gospodăriile rurale</w:t>
      </w:r>
      <w:r w:rsidR="007E5B9A"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care trăiesc în principal din remitențe</w:t>
      </w:r>
      <w:r w:rsidR="007E5B9A"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să scape de sărăcia absolută</w:t>
      </w:r>
      <w:r w:rsidR="00D81B8F" w:rsidRPr="003836D9">
        <w:rPr>
          <w:rFonts w:ascii="Times New Roman" w:hAnsi="Times New Roman" w:cs="Times New Roman"/>
          <w:sz w:val="24"/>
          <w:szCs w:val="24"/>
          <w:lang w:val="ro-MD"/>
        </w:rPr>
        <w:t xml:space="preserve">. </w:t>
      </w:r>
      <w:r w:rsidR="00895C27" w:rsidRPr="003836D9">
        <w:rPr>
          <w:rFonts w:ascii="Times New Roman" w:hAnsi="Times New Roman" w:cs="Times New Roman"/>
          <w:sz w:val="24"/>
          <w:szCs w:val="24"/>
          <w:lang w:val="ro-MD"/>
        </w:rPr>
        <w:t xml:space="preserve"> </w:t>
      </w:r>
      <w:bookmarkStart w:id="8" w:name="_Hlk93139407"/>
    </w:p>
    <w:p w14:paraId="4BB114BF" w14:textId="77777777" w:rsidR="003423DA" w:rsidRPr="00D709BF" w:rsidRDefault="003423DA" w:rsidP="00D709BF">
      <w:pPr>
        <w:autoSpaceDE w:val="0"/>
        <w:autoSpaceDN w:val="0"/>
        <w:adjustRightInd w:val="0"/>
        <w:jc w:val="both"/>
        <w:rPr>
          <w:rFonts w:ascii="Times New Roman" w:hAnsi="Times New Roman" w:cs="Times New Roman"/>
          <w:sz w:val="24"/>
          <w:szCs w:val="24"/>
          <w:lang w:val="ro-MD"/>
        </w:rPr>
      </w:pPr>
    </w:p>
    <w:p w14:paraId="2CFCBABE" w14:textId="3595FB01" w:rsidR="002B453B" w:rsidRPr="003836D9" w:rsidRDefault="00D94B6B" w:rsidP="002B453B">
      <w:pPr>
        <w:autoSpaceDE w:val="0"/>
        <w:autoSpaceDN w:val="0"/>
        <w:adjustRightInd w:val="0"/>
        <w:ind w:firstLine="567"/>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2B453B" w:rsidRPr="003836D9">
        <w:rPr>
          <w:rFonts w:ascii="Times New Roman" w:hAnsi="Times New Roman" w:cs="Times New Roman"/>
          <w:b/>
          <w:sz w:val="20"/>
          <w:szCs w:val="20"/>
          <w:lang w:val="ro-MD"/>
        </w:rPr>
        <w:t xml:space="preserve"> 4</w:t>
      </w:r>
      <w:r w:rsidR="003423DA">
        <w:rPr>
          <w:rFonts w:ascii="Times New Roman" w:hAnsi="Times New Roman" w:cs="Times New Roman"/>
          <w:b/>
          <w:sz w:val="20"/>
          <w:szCs w:val="20"/>
          <w:lang w:val="ro-MD"/>
        </w:rPr>
        <w:t>.</w:t>
      </w:r>
      <w:r w:rsidR="002B453B" w:rsidRPr="003836D9">
        <w:rPr>
          <w:rFonts w:ascii="Times New Roman" w:hAnsi="Times New Roman" w:cs="Times New Roman"/>
          <w:b/>
          <w:sz w:val="20"/>
          <w:szCs w:val="20"/>
          <w:lang w:val="ro-MD"/>
        </w:rPr>
        <w:t xml:space="preserve"> </w:t>
      </w:r>
      <w:r w:rsidR="007E5B9A" w:rsidRPr="003836D9">
        <w:rPr>
          <w:rFonts w:ascii="Times New Roman" w:hAnsi="Times New Roman" w:cs="Times New Roman"/>
          <w:b/>
          <w:sz w:val="20"/>
          <w:szCs w:val="20"/>
          <w:lang w:val="ro-MD"/>
        </w:rPr>
        <w:t>Gospodării sărace c</w:t>
      </w:r>
      <w:r w:rsidR="003774AD" w:rsidRPr="003836D9">
        <w:rPr>
          <w:rFonts w:ascii="Times New Roman" w:hAnsi="Times New Roman" w:cs="Times New Roman"/>
          <w:b/>
          <w:sz w:val="20"/>
          <w:szCs w:val="20"/>
          <w:lang w:val="ro-MD"/>
        </w:rPr>
        <w:t>are</w:t>
      </w:r>
      <w:r w:rsidR="007E5B9A" w:rsidRPr="003836D9">
        <w:rPr>
          <w:rFonts w:ascii="Times New Roman" w:hAnsi="Times New Roman" w:cs="Times New Roman"/>
          <w:b/>
          <w:sz w:val="20"/>
          <w:szCs w:val="20"/>
          <w:lang w:val="ro-MD"/>
        </w:rPr>
        <w:t xml:space="preserve"> se bazează pe remitențe (%) și pe fluxurile de remitențe </w:t>
      </w:r>
      <w:r w:rsidR="002B453B" w:rsidRPr="003836D9">
        <w:rPr>
          <w:rFonts w:ascii="Times New Roman" w:hAnsi="Times New Roman" w:cs="Times New Roman"/>
          <w:b/>
          <w:sz w:val="20"/>
          <w:szCs w:val="20"/>
          <w:lang w:val="ro-MD"/>
        </w:rPr>
        <w:t>(%</w:t>
      </w:r>
      <w:r w:rsidR="003774AD" w:rsidRPr="003836D9">
        <w:rPr>
          <w:rFonts w:ascii="Times New Roman" w:hAnsi="Times New Roman" w:cs="Times New Roman"/>
          <w:b/>
          <w:sz w:val="20"/>
          <w:szCs w:val="20"/>
          <w:lang w:val="ro-MD"/>
        </w:rPr>
        <w:t xml:space="preserve"> PIB</w:t>
      </w:r>
      <w:r w:rsidR="002B453B" w:rsidRPr="003836D9">
        <w:rPr>
          <w:rFonts w:ascii="Times New Roman" w:hAnsi="Times New Roman" w:cs="Times New Roman"/>
          <w:b/>
          <w:sz w:val="20"/>
          <w:szCs w:val="20"/>
          <w:lang w:val="ro-MD"/>
        </w:rPr>
        <w:t>), 2014-2020</w:t>
      </w:r>
    </w:p>
    <w:bookmarkEnd w:id="8"/>
    <w:p w14:paraId="10213BC7" w14:textId="50B084B5" w:rsidR="00E0030F" w:rsidRPr="003836D9" w:rsidRDefault="001D2530" w:rsidP="00102135">
      <w:pPr>
        <w:autoSpaceDE w:val="0"/>
        <w:autoSpaceDN w:val="0"/>
        <w:adjustRightInd w:val="0"/>
        <w:ind w:firstLine="567"/>
        <w:jc w:val="center"/>
        <w:rPr>
          <w:rFonts w:ascii="Times New Roman" w:hAnsi="Times New Roman" w:cs="Times New Roman"/>
          <w:sz w:val="24"/>
          <w:szCs w:val="24"/>
          <w:lang w:val="ro-MD"/>
        </w:rPr>
      </w:pPr>
      <w:r w:rsidRPr="001D2530">
        <w:rPr>
          <w:rFonts w:ascii="Times New Roman" w:hAnsi="Times New Roman" w:cs="Times New Roman"/>
          <w:noProof/>
          <w:sz w:val="24"/>
          <w:szCs w:val="24"/>
          <w:lang w:val="ru-RU" w:eastAsia="ru-RU"/>
        </w:rPr>
        <w:lastRenderedPageBreak/>
        <w:drawing>
          <wp:inline distT="0" distB="0" distL="0" distR="0" wp14:anchorId="04D46FED" wp14:editId="6B2C4EC4">
            <wp:extent cx="4648200" cy="299591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6445" cy="3020564"/>
                    </a:xfrm>
                    <a:prstGeom prst="rect">
                      <a:avLst/>
                    </a:prstGeom>
                    <a:noFill/>
                    <a:ln>
                      <a:noFill/>
                    </a:ln>
                  </pic:spPr>
                </pic:pic>
              </a:graphicData>
            </a:graphic>
          </wp:inline>
        </w:drawing>
      </w:r>
    </w:p>
    <w:p w14:paraId="70812E94" w14:textId="77777777" w:rsidR="001D2530" w:rsidRDefault="007E5B9A" w:rsidP="001D2530">
      <w:pPr>
        <w:autoSpaceDE w:val="0"/>
        <w:autoSpaceDN w:val="0"/>
        <w:adjustRightInd w:val="0"/>
        <w:spacing w:after="0" w:line="240" w:lineRule="auto"/>
        <w:ind w:left="1848"/>
        <w:rPr>
          <w:rFonts w:ascii="Times New Roman" w:eastAsia="Calibri" w:hAnsi="Times New Roman" w:cs="Times New Roman"/>
          <w:sz w:val="18"/>
          <w:szCs w:val="18"/>
          <w:lang w:val="ro-MD" w:eastAsia="en-GB"/>
        </w:rPr>
      </w:pPr>
      <w:r w:rsidRPr="003836D9">
        <w:rPr>
          <w:rFonts w:ascii="Times New Roman" w:eastAsia="Calibri" w:hAnsi="Times New Roman" w:cs="Times New Roman"/>
          <w:i/>
          <w:iCs/>
          <w:sz w:val="18"/>
          <w:szCs w:val="18"/>
          <w:lang w:val="ro-MD" w:eastAsia="en-GB"/>
        </w:rPr>
        <w:t>Sursa</w:t>
      </w:r>
      <w:r w:rsidR="002B453B" w:rsidRPr="003836D9">
        <w:rPr>
          <w:rFonts w:ascii="Times New Roman" w:eastAsia="Calibri" w:hAnsi="Times New Roman" w:cs="Times New Roman"/>
          <w:sz w:val="18"/>
          <w:szCs w:val="18"/>
          <w:lang w:val="ro-MD" w:eastAsia="en-GB"/>
        </w:rPr>
        <w:t xml:space="preserve">: </w:t>
      </w:r>
      <w:r w:rsidRPr="003836D9">
        <w:rPr>
          <w:rFonts w:ascii="Times New Roman" w:eastAsia="Calibri" w:hAnsi="Times New Roman" w:cs="Times New Roman"/>
          <w:sz w:val="18"/>
          <w:szCs w:val="18"/>
          <w:lang w:val="ro-MD" w:eastAsia="en-GB"/>
        </w:rPr>
        <w:t>B</w:t>
      </w:r>
      <w:r w:rsidR="000312E7">
        <w:rPr>
          <w:rFonts w:ascii="Times New Roman" w:eastAsia="Calibri" w:hAnsi="Times New Roman" w:cs="Times New Roman"/>
          <w:sz w:val="18"/>
          <w:szCs w:val="18"/>
          <w:lang w:val="ro-MD" w:eastAsia="en-GB"/>
        </w:rPr>
        <w:t>iroul Național de Statistică</w:t>
      </w:r>
      <w:r w:rsidR="002B453B" w:rsidRPr="003836D9">
        <w:rPr>
          <w:rFonts w:ascii="Times New Roman" w:eastAsia="Calibri" w:hAnsi="Times New Roman" w:cs="Times New Roman"/>
          <w:sz w:val="18"/>
          <w:szCs w:val="18"/>
          <w:lang w:val="ro-MD" w:eastAsia="en-GB"/>
        </w:rPr>
        <w:t xml:space="preserve">: </w:t>
      </w:r>
      <w:r w:rsidRPr="003836D9">
        <w:rPr>
          <w:rFonts w:ascii="Times New Roman" w:eastAsia="Calibri" w:hAnsi="Times New Roman" w:cs="Times New Roman"/>
          <w:i/>
          <w:iCs/>
          <w:sz w:val="18"/>
          <w:szCs w:val="18"/>
          <w:lang w:val="ro-MD" w:eastAsia="en-GB"/>
        </w:rPr>
        <w:t>Statistica socială</w:t>
      </w:r>
      <w:r w:rsidR="002B453B" w:rsidRPr="003836D9">
        <w:rPr>
          <w:rFonts w:ascii="Times New Roman" w:eastAsia="Calibri" w:hAnsi="Times New Roman" w:cs="Times New Roman"/>
          <w:i/>
          <w:iCs/>
          <w:sz w:val="18"/>
          <w:szCs w:val="18"/>
          <w:lang w:val="ro-MD" w:eastAsia="en-GB"/>
        </w:rPr>
        <w:t xml:space="preserve">: </w:t>
      </w:r>
      <w:r w:rsidRPr="003836D9">
        <w:rPr>
          <w:rFonts w:ascii="Times New Roman" w:eastAsia="Calibri" w:hAnsi="Times New Roman" w:cs="Times New Roman"/>
          <w:i/>
          <w:iCs/>
          <w:sz w:val="18"/>
          <w:szCs w:val="18"/>
          <w:lang w:val="ro-MD" w:eastAsia="en-GB"/>
        </w:rPr>
        <w:t>Sărăcia</w:t>
      </w:r>
      <w:r w:rsidR="002B453B" w:rsidRPr="003836D9">
        <w:rPr>
          <w:rFonts w:ascii="Times New Roman" w:eastAsia="Calibri" w:hAnsi="Times New Roman" w:cs="Times New Roman"/>
          <w:i/>
          <w:iCs/>
          <w:sz w:val="18"/>
          <w:szCs w:val="18"/>
          <w:lang w:val="ro-MD" w:eastAsia="en-GB"/>
        </w:rPr>
        <w:t>,</w:t>
      </w:r>
      <w:r w:rsidR="002B453B" w:rsidRPr="003836D9">
        <w:rPr>
          <w:rFonts w:ascii="Times New Roman" w:eastAsia="Calibri" w:hAnsi="Times New Roman" w:cs="Times New Roman"/>
          <w:sz w:val="18"/>
          <w:szCs w:val="18"/>
          <w:lang w:val="ro-MD" w:eastAsia="en-GB"/>
        </w:rPr>
        <w:t xml:space="preserve"> 2014-2020; </w:t>
      </w:r>
      <w:r w:rsidRPr="003836D9">
        <w:rPr>
          <w:rFonts w:ascii="Times New Roman" w:eastAsia="Calibri" w:hAnsi="Times New Roman" w:cs="Times New Roman"/>
          <w:sz w:val="18"/>
          <w:szCs w:val="18"/>
          <w:lang w:val="ro-MD" w:eastAsia="en-GB"/>
        </w:rPr>
        <w:t>Banca Mondială</w:t>
      </w:r>
      <w:r w:rsidR="002B453B" w:rsidRPr="003836D9">
        <w:rPr>
          <w:rFonts w:ascii="Times New Roman" w:eastAsia="Calibri" w:hAnsi="Times New Roman" w:cs="Times New Roman"/>
          <w:sz w:val="18"/>
          <w:szCs w:val="18"/>
          <w:lang w:val="ro-MD" w:eastAsia="en-GB"/>
        </w:rPr>
        <w:t xml:space="preserve">, </w:t>
      </w:r>
    </w:p>
    <w:p w14:paraId="31A620F9" w14:textId="4BDFFD37" w:rsidR="002B453B" w:rsidRPr="003836D9" w:rsidRDefault="007E5B9A" w:rsidP="001D2530">
      <w:pPr>
        <w:autoSpaceDE w:val="0"/>
        <w:autoSpaceDN w:val="0"/>
        <w:adjustRightInd w:val="0"/>
        <w:spacing w:after="0" w:line="240" w:lineRule="auto"/>
        <w:ind w:left="1848"/>
        <w:rPr>
          <w:rFonts w:ascii="Times New Roman" w:eastAsia="Calibri" w:hAnsi="Times New Roman" w:cs="Times New Roman"/>
          <w:sz w:val="18"/>
          <w:szCs w:val="18"/>
          <w:lang w:val="ro-MD" w:eastAsia="en-GB"/>
        </w:rPr>
      </w:pPr>
      <w:r w:rsidRPr="003836D9">
        <w:rPr>
          <w:rFonts w:ascii="Times New Roman" w:eastAsia="Calibri" w:hAnsi="Times New Roman" w:cs="Times New Roman"/>
          <w:i/>
          <w:iCs/>
          <w:sz w:val="18"/>
          <w:szCs w:val="18"/>
          <w:lang w:val="ro-MD" w:eastAsia="en-GB"/>
        </w:rPr>
        <w:t>Indicatorii de dezvoltare mondială</w:t>
      </w:r>
      <w:r w:rsidR="002B453B" w:rsidRPr="003836D9">
        <w:rPr>
          <w:rFonts w:ascii="Times New Roman" w:eastAsia="Calibri" w:hAnsi="Times New Roman" w:cs="Times New Roman"/>
          <w:sz w:val="18"/>
          <w:szCs w:val="18"/>
          <w:lang w:val="ro-MD" w:eastAsia="en-GB"/>
        </w:rPr>
        <w:t xml:space="preserve">, </w:t>
      </w:r>
      <w:r w:rsidRPr="003836D9">
        <w:rPr>
          <w:rFonts w:ascii="Times New Roman" w:eastAsia="Calibri" w:hAnsi="Times New Roman" w:cs="Times New Roman"/>
          <w:sz w:val="18"/>
          <w:szCs w:val="18"/>
          <w:lang w:val="ro-MD" w:eastAsia="en-GB"/>
        </w:rPr>
        <w:t>remitențe personale</w:t>
      </w:r>
      <w:r w:rsidR="002B453B" w:rsidRPr="003836D9">
        <w:rPr>
          <w:rFonts w:ascii="Times New Roman" w:eastAsia="Calibri" w:hAnsi="Times New Roman" w:cs="Times New Roman"/>
          <w:sz w:val="18"/>
          <w:szCs w:val="18"/>
          <w:lang w:val="ro-MD" w:eastAsia="en-GB"/>
        </w:rPr>
        <w:t xml:space="preserve">, </w:t>
      </w:r>
      <w:r w:rsidRPr="003836D9">
        <w:rPr>
          <w:rFonts w:ascii="Times New Roman" w:eastAsia="Calibri" w:hAnsi="Times New Roman" w:cs="Times New Roman"/>
          <w:sz w:val="18"/>
          <w:szCs w:val="18"/>
          <w:lang w:val="ro-MD" w:eastAsia="en-GB"/>
        </w:rPr>
        <w:t>diverși ani</w:t>
      </w:r>
    </w:p>
    <w:p w14:paraId="05E808D9" w14:textId="2B298F37" w:rsidR="00594C4F" w:rsidRPr="003836D9" w:rsidRDefault="00CA0904" w:rsidP="00CA0904">
      <w:pPr>
        <w:pStyle w:val="Heading1"/>
        <w:ind w:firstLine="720"/>
        <w:jc w:val="center"/>
        <w:rPr>
          <w:rFonts w:ascii="Times New Roman" w:eastAsia="Calibri" w:hAnsi="Times New Roman" w:cs="Times New Roman"/>
          <w:color w:val="auto"/>
          <w:sz w:val="24"/>
          <w:szCs w:val="24"/>
          <w:lang w:val="ro-MD"/>
        </w:rPr>
      </w:pPr>
      <w:bookmarkStart w:id="9" w:name="_Toc97709280"/>
      <w:r w:rsidRPr="003836D9">
        <w:rPr>
          <w:rFonts w:ascii="Times New Roman" w:eastAsia="Calibri" w:hAnsi="Times New Roman" w:cs="Times New Roman"/>
          <w:b/>
          <w:color w:val="auto"/>
          <w:sz w:val="24"/>
          <w:szCs w:val="24"/>
          <w:lang w:val="ro-MD"/>
        </w:rPr>
        <w:t>2.2. Piața muncii</w:t>
      </w:r>
      <w:r w:rsidRPr="003836D9">
        <w:rPr>
          <w:rStyle w:val="FootnoteReference"/>
          <w:rFonts w:ascii="Times New Roman" w:eastAsia="Calibri" w:hAnsi="Times New Roman" w:cs="Times New Roman"/>
          <w:color w:val="auto"/>
          <w:sz w:val="24"/>
          <w:szCs w:val="24"/>
          <w:lang w:val="ro-MD"/>
        </w:rPr>
        <w:t xml:space="preserve"> </w:t>
      </w:r>
      <w:r w:rsidR="00594C4F" w:rsidRPr="003836D9">
        <w:rPr>
          <w:rStyle w:val="FootnoteReference"/>
          <w:rFonts w:ascii="Times New Roman" w:eastAsia="Calibri" w:hAnsi="Times New Roman" w:cs="Times New Roman"/>
          <w:color w:val="auto"/>
          <w:sz w:val="24"/>
          <w:szCs w:val="24"/>
          <w:lang w:val="ro-MD"/>
        </w:rPr>
        <w:footnoteReference w:id="11"/>
      </w:r>
      <w:bookmarkEnd w:id="9"/>
    </w:p>
    <w:p w14:paraId="31A82F12" w14:textId="2877DBD8" w:rsidR="00594C4F" w:rsidRPr="003836D9" w:rsidRDefault="0007668D" w:rsidP="00CA0904">
      <w:pPr>
        <w:pStyle w:val="Heading2"/>
        <w:spacing w:after="120" w:line="259" w:lineRule="auto"/>
        <w:ind w:left="4320"/>
        <w:rPr>
          <w:rFonts w:ascii="Times New Roman" w:hAnsi="Times New Roman"/>
          <w:color w:val="auto"/>
          <w:sz w:val="22"/>
          <w:szCs w:val="22"/>
          <w:lang w:val="ro-MD"/>
        </w:rPr>
      </w:pPr>
      <w:bookmarkStart w:id="10" w:name="_Toc97709281"/>
      <w:r w:rsidRPr="003836D9">
        <w:rPr>
          <w:rFonts w:ascii="Times New Roman" w:hAnsi="Times New Roman"/>
          <w:color w:val="auto"/>
          <w:sz w:val="22"/>
          <w:szCs w:val="22"/>
          <w:lang w:val="ro-MD"/>
        </w:rPr>
        <w:t>Tendințe demografice</w:t>
      </w:r>
      <w:bookmarkEnd w:id="10"/>
    </w:p>
    <w:p w14:paraId="6A8CB29C" w14:textId="67CCC4C2" w:rsidR="00D709BF" w:rsidRDefault="0007668D" w:rsidP="00FD75C5">
      <w:pPr>
        <w:jc w:val="both"/>
        <w:rPr>
          <w:rFonts w:ascii="Times New Roman" w:hAnsi="Times New Roman" w:cs="Times New Roman"/>
          <w:color w:val="211D1E"/>
          <w:sz w:val="24"/>
          <w:szCs w:val="24"/>
          <w:lang w:val="ro-MD"/>
        </w:rPr>
      </w:pPr>
      <w:r w:rsidRPr="003836D9">
        <w:rPr>
          <w:rFonts w:ascii="Times New Roman" w:hAnsi="Times New Roman" w:cs="Times New Roman"/>
          <w:color w:val="211D1E"/>
          <w:sz w:val="24"/>
          <w:szCs w:val="24"/>
          <w:lang w:val="ro-MD"/>
        </w:rPr>
        <w:t xml:space="preserve">Conform estimărilor populației efectuate de către Biroul Național de Statistică, la finele anului 2021 Moldova avea aproximativ 2,6 milioane de locuitori, cu </w:t>
      </w:r>
      <w:r w:rsidR="00A36C38" w:rsidRPr="003836D9">
        <w:rPr>
          <w:rFonts w:ascii="Times New Roman" w:hAnsi="Times New Roman" w:cs="Times New Roman"/>
          <w:color w:val="211D1E"/>
          <w:sz w:val="24"/>
          <w:szCs w:val="24"/>
          <w:lang w:val="ro-MD"/>
        </w:rPr>
        <w:t>8</w:t>
      </w:r>
      <w:r w:rsidRPr="003836D9">
        <w:rPr>
          <w:rFonts w:ascii="Times New Roman" w:hAnsi="Times New Roman" w:cs="Times New Roman"/>
          <w:color w:val="211D1E"/>
          <w:sz w:val="24"/>
          <w:szCs w:val="24"/>
          <w:lang w:val="ro-MD"/>
        </w:rPr>
        <w:t>,4 procente mai puțin decât în 2014.</w:t>
      </w:r>
      <w:r w:rsidRPr="003836D9">
        <w:rPr>
          <w:rStyle w:val="FootnoteReference"/>
          <w:rFonts w:ascii="Times New Roman" w:hAnsi="Times New Roman" w:cs="Times New Roman"/>
          <w:color w:val="211D1E"/>
          <w:sz w:val="24"/>
          <w:szCs w:val="24"/>
          <w:lang w:val="ro-MD"/>
        </w:rPr>
        <w:footnoteReference w:id="12"/>
      </w:r>
      <w:r w:rsidRPr="003836D9">
        <w:rPr>
          <w:rFonts w:ascii="Times New Roman" w:hAnsi="Times New Roman" w:cs="Times New Roman"/>
          <w:color w:val="211D1E"/>
          <w:sz w:val="24"/>
          <w:szCs w:val="24"/>
          <w:lang w:val="ro-MD"/>
        </w:rPr>
        <w:t xml:space="preserve">  În 2021, ponderea femeilor în populația totală era de 52,</w:t>
      </w:r>
      <w:r w:rsidR="00A36C38" w:rsidRPr="003836D9">
        <w:rPr>
          <w:rFonts w:ascii="Times New Roman" w:hAnsi="Times New Roman" w:cs="Times New Roman"/>
          <w:color w:val="211D1E"/>
          <w:sz w:val="24"/>
          <w:szCs w:val="24"/>
          <w:lang w:val="ro-MD"/>
        </w:rPr>
        <w:t>3</w:t>
      </w:r>
      <w:r w:rsidRPr="003836D9">
        <w:rPr>
          <w:rFonts w:ascii="Times New Roman" w:hAnsi="Times New Roman" w:cs="Times New Roman"/>
          <w:color w:val="211D1E"/>
          <w:sz w:val="24"/>
          <w:szCs w:val="24"/>
          <w:lang w:val="ro-MD"/>
        </w:rPr>
        <w:t xml:space="preserve"> procente. Ponderea persoanelor în vârstă (60 de ani și peste) a crescut progresiv: în 2014, aproximativ 17,5 procente din populație avea 60 de ani și peste, în timp ce în 2021 această pondere a ajuns la 22,</w:t>
      </w:r>
      <w:r w:rsidR="00A36C38" w:rsidRPr="003836D9">
        <w:rPr>
          <w:rFonts w:ascii="Times New Roman" w:hAnsi="Times New Roman" w:cs="Times New Roman"/>
          <w:color w:val="211D1E"/>
          <w:sz w:val="24"/>
          <w:szCs w:val="24"/>
          <w:lang w:val="ro-MD"/>
        </w:rPr>
        <w:t>4</w:t>
      </w:r>
      <w:r w:rsidR="000E3ED8">
        <w:rPr>
          <w:rFonts w:ascii="Times New Roman" w:hAnsi="Times New Roman" w:cs="Times New Roman"/>
          <w:color w:val="211D1E"/>
          <w:sz w:val="24"/>
          <w:szCs w:val="24"/>
          <w:lang w:val="ro-MD"/>
        </w:rPr>
        <w:t xml:space="preserve"> procente. Prognozele</w:t>
      </w:r>
      <w:r w:rsidRPr="003836D9">
        <w:rPr>
          <w:rFonts w:ascii="Times New Roman" w:hAnsi="Times New Roman" w:cs="Times New Roman"/>
          <w:color w:val="211D1E"/>
          <w:sz w:val="24"/>
          <w:szCs w:val="24"/>
          <w:lang w:val="ro-MD"/>
        </w:rPr>
        <w:t xml:space="preserve"> disponibile privind populația arată că în următoarele trei decenii populația cu vârstă de muncă (adică, persoanele cu vârsta între 15 și 64 de ani) va scădea cu 25,3 procente</w:t>
      </w:r>
      <w:r w:rsidR="00E0234A" w:rsidRPr="003836D9">
        <w:rPr>
          <w:rFonts w:ascii="Times New Roman" w:hAnsi="Times New Roman" w:cs="Times New Roman"/>
          <w:color w:val="211D1E"/>
          <w:sz w:val="24"/>
          <w:szCs w:val="24"/>
          <w:lang w:val="ro-MD"/>
        </w:rPr>
        <w:t>.</w:t>
      </w:r>
      <w:r w:rsidR="008951B3" w:rsidRPr="003836D9">
        <w:rPr>
          <w:rStyle w:val="FootnoteReference"/>
          <w:rFonts w:ascii="Times New Roman" w:hAnsi="Times New Roman" w:cs="Times New Roman"/>
          <w:color w:val="211D1E"/>
          <w:sz w:val="24"/>
          <w:szCs w:val="24"/>
          <w:lang w:val="ro-MD"/>
        </w:rPr>
        <w:footnoteReference w:id="13"/>
      </w:r>
    </w:p>
    <w:p w14:paraId="52F74F0C" w14:textId="77777777" w:rsidR="003B4F66" w:rsidRDefault="003B4F66" w:rsidP="00102135">
      <w:pPr>
        <w:ind w:right="-285"/>
        <w:jc w:val="center"/>
        <w:rPr>
          <w:rFonts w:ascii="Times New Roman" w:hAnsi="Times New Roman" w:cs="Times New Roman"/>
          <w:b/>
          <w:sz w:val="20"/>
          <w:szCs w:val="20"/>
          <w:lang w:val="ro-MD"/>
        </w:rPr>
      </w:pPr>
      <w:bookmarkStart w:id="11" w:name="_Ref25258258"/>
      <w:bookmarkStart w:id="12" w:name="_Toc27397386"/>
      <w:bookmarkStart w:id="13" w:name="_Hlk72743501"/>
    </w:p>
    <w:p w14:paraId="74A06D80" w14:textId="77777777" w:rsidR="003B4F66" w:rsidRDefault="003B4F66" w:rsidP="00102135">
      <w:pPr>
        <w:ind w:right="-285"/>
        <w:jc w:val="center"/>
        <w:rPr>
          <w:rFonts w:ascii="Times New Roman" w:hAnsi="Times New Roman" w:cs="Times New Roman"/>
          <w:b/>
          <w:sz w:val="20"/>
          <w:szCs w:val="20"/>
          <w:lang w:val="ro-MD"/>
        </w:rPr>
      </w:pPr>
    </w:p>
    <w:p w14:paraId="4995C827" w14:textId="77777777" w:rsidR="003B4F66" w:rsidRDefault="003B4F66" w:rsidP="00102135">
      <w:pPr>
        <w:ind w:right="-285"/>
        <w:jc w:val="center"/>
        <w:rPr>
          <w:rFonts w:ascii="Times New Roman" w:hAnsi="Times New Roman" w:cs="Times New Roman"/>
          <w:b/>
          <w:sz w:val="20"/>
          <w:szCs w:val="20"/>
          <w:lang w:val="ro-MD"/>
        </w:rPr>
      </w:pPr>
    </w:p>
    <w:p w14:paraId="122C555D" w14:textId="77777777" w:rsidR="003B4F66" w:rsidRDefault="003B4F66" w:rsidP="00102135">
      <w:pPr>
        <w:ind w:right="-285"/>
        <w:jc w:val="center"/>
        <w:rPr>
          <w:rFonts w:ascii="Times New Roman" w:hAnsi="Times New Roman" w:cs="Times New Roman"/>
          <w:b/>
          <w:sz w:val="20"/>
          <w:szCs w:val="20"/>
          <w:lang w:val="ro-MD"/>
        </w:rPr>
      </w:pPr>
    </w:p>
    <w:p w14:paraId="49D3986B" w14:textId="77777777" w:rsidR="003B4F66" w:rsidRDefault="003B4F66" w:rsidP="00102135">
      <w:pPr>
        <w:ind w:right="-285"/>
        <w:jc w:val="center"/>
        <w:rPr>
          <w:rFonts w:ascii="Times New Roman" w:hAnsi="Times New Roman" w:cs="Times New Roman"/>
          <w:b/>
          <w:sz w:val="20"/>
          <w:szCs w:val="20"/>
          <w:lang w:val="ro-MD"/>
        </w:rPr>
      </w:pPr>
    </w:p>
    <w:p w14:paraId="558B0D39" w14:textId="77777777" w:rsidR="003B4F66" w:rsidRDefault="003B4F66" w:rsidP="00102135">
      <w:pPr>
        <w:ind w:right="-285"/>
        <w:jc w:val="center"/>
        <w:rPr>
          <w:rFonts w:ascii="Times New Roman" w:hAnsi="Times New Roman" w:cs="Times New Roman"/>
          <w:b/>
          <w:sz w:val="20"/>
          <w:szCs w:val="20"/>
          <w:lang w:val="ro-MD"/>
        </w:rPr>
      </w:pPr>
    </w:p>
    <w:p w14:paraId="52872111" w14:textId="77777777" w:rsidR="003B4F66" w:rsidRDefault="003B4F66" w:rsidP="00102135">
      <w:pPr>
        <w:ind w:right="-285"/>
        <w:jc w:val="center"/>
        <w:rPr>
          <w:rFonts w:ascii="Times New Roman" w:hAnsi="Times New Roman" w:cs="Times New Roman"/>
          <w:b/>
          <w:sz w:val="20"/>
          <w:szCs w:val="20"/>
          <w:lang w:val="ro-MD"/>
        </w:rPr>
      </w:pPr>
    </w:p>
    <w:p w14:paraId="250C6F74" w14:textId="77777777" w:rsidR="003B4F66" w:rsidRDefault="003B4F66" w:rsidP="00102135">
      <w:pPr>
        <w:ind w:right="-285"/>
        <w:jc w:val="center"/>
        <w:rPr>
          <w:rFonts w:ascii="Times New Roman" w:hAnsi="Times New Roman" w:cs="Times New Roman"/>
          <w:b/>
          <w:sz w:val="20"/>
          <w:szCs w:val="20"/>
          <w:lang w:val="ro-MD"/>
        </w:rPr>
      </w:pPr>
    </w:p>
    <w:p w14:paraId="691C8CA8" w14:textId="77777777" w:rsidR="003B4F66" w:rsidRDefault="003B4F66" w:rsidP="00102135">
      <w:pPr>
        <w:ind w:right="-285"/>
        <w:jc w:val="center"/>
        <w:rPr>
          <w:rFonts w:ascii="Times New Roman" w:hAnsi="Times New Roman" w:cs="Times New Roman"/>
          <w:b/>
          <w:sz w:val="20"/>
          <w:szCs w:val="20"/>
          <w:lang w:val="ro-MD"/>
        </w:rPr>
      </w:pPr>
    </w:p>
    <w:p w14:paraId="5B4301B9" w14:textId="19299632" w:rsidR="007B5538" w:rsidRPr="003836D9" w:rsidRDefault="00D94B6B" w:rsidP="00102135">
      <w:pPr>
        <w:ind w:right="-285"/>
        <w:jc w:val="center"/>
        <w:rPr>
          <w:rFonts w:ascii="Times New Roman" w:hAnsi="Times New Roman" w:cs="Times New Roman"/>
          <w:b/>
          <w:sz w:val="20"/>
          <w:szCs w:val="20"/>
          <w:lang w:val="ro-MD"/>
        </w:rPr>
      </w:pPr>
      <w:r>
        <w:rPr>
          <w:rFonts w:ascii="Times New Roman" w:hAnsi="Times New Roman" w:cs="Times New Roman"/>
          <w:b/>
          <w:sz w:val="20"/>
          <w:szCs w:val="20"/>
          <w:lang w:val="ro-MD"/>
        </w:rPr>
        <w:lastRenderedPageBreak/>
        <w:t>Fig.</w:t>
      </w:r>
      <w:r w:rsidR="007B5538" w:rsidRPr="003836D9">
        <w:rPr>
          <w:rFonts w:ascii="Times New Roman" w:hAnsi="Times New Roman" w:cs="Times New Roman"/>
          <w:b/>
          <w:sz w:val="20"/>
          <w:szCs w:val="20"/>
          <w:lang w:val="ro-MD"/>
        </w:rPr>
        <w:t xml:space="preserve"> </w:t>
      </w:r>
      <w:bookmarkEnd w:id="11"/>
      <w:r w:rsidR="007B5538" w:rsidRPr="003836D9">
        <w:rPr>
          <w:rFonts w:ascii="Times New Roman" w:hAnsi="Times New Roman" w:cs="Times New Roman"/>
          <w:b/>
          <w:sz w:val="20"/>
          <w:szCs w:val="20"/>
          <w:lang w:val="ro-MD"/>
        </w:rPr>
        <w:t>5</w:t>
      </w:r>
      <w:r w:rsidR="007D1599">
        <w:rPr>
          <w:rFonts w:ascii="Times New Roman" w:hAnsi="Times New Roman" w:cs="Times New Roman"/>
          <w:b/>
          <w:sz w:val="20"/>
          <w:szCs w:val="20"/>
          <w:lang w:val="ro-MD"/>
        </w:rPr>
        <w:t>.</w:t>
      </w:r>
      <w:r w:rsidR="007B5538" w:rsidRPr="003836D9">
        <w:rPr>
          <w:rFonts w:ascii="Times New Roman" w:hAnsi="Times New Roman" w:cs="Times New Roman"/>
          <w:b/>
          <w:sz w:val="20"/>
          <w:szCs w:val="20"/>
          <w:lang w:val="ro-MD"/>
        </w:rPr>
        <w:t xml:space="preserve"> </w:t>
      </w:r>
      <w:bookmarkEnd w:id="12"/>
      <w:r w:rsidR="0007668D" w:rsidRPr="003836D9">
        <w:rPr>
          <w:rFonts w:ascii="Times New Roman" w:hAnsi="Times New Roman" w:cs="Times New Roman"/>
          <w:b/>
          <w:sz w:val="20"/>
          <w:szCs w:val="20"/>
          <w:lang w:val="ro-MD"/>
        </w:rPr>
        <w:t>Piramida populației Moldovei, după grupul de vârstă</w:t>
      </w:r>
      <w:r w:rsidR="007B5538" w:rsidRPr="003836D9">
        <w:rPr>
          <w:rFonts w:ascii="Times New Roman" w:hAnsi="Times New Roman" w:cs="Times New Roman"/>
          <w:b/>
          <w:sz w:val="20"/>
          <w:szCs w:val="20"/>
          <w:lang w:val="ro-MD"/>
        </w:rPr>
        <w:t>, 1950-2020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2"/>
      </w:tblGrid>
      <w:tr w:rsidR="007B5538" w:rsidRPr="003836D9" w14:paraId="3A126BE8" w14:textId="77777777" w:rsidTr="00DF40A0">
        <w:trPr>
          <w:trHeight w:val="157"/>
        </w:trPr>
        <w:tc>
          <w:tcPr>
            <w:tcW w:w="4728" w:type="dxa"/>
          </w:tcPr>
          <w:bookmarkEnd w:id="13"/>
          <w:p w14:paraId="77E3DA53" w14:textId="06CA95AD" w:rsidR="007B5538" w:rsidRPr="003836D9" w:rsidRDefault="007B5538" w:rsidP="007B5538">
            <w:pPr>
              <w:jc w:val="center"/>
              <w:rPr>
                <w:rFonts w:ascii="Times New Roman" w:hAnsi="Times New Roman" w:cs="Times New Roman"/>
                <w:b/>
                <w:bCs/>
                <w:color w:val="211D1E"/>
                <w:sz w:val="18"/>
                <w:szCs w:val="18"/>
                <w:lang w:val="ro-MD"/>
              </w:rPr>
            </w:pPr>
            <w:r w:rsidRPr="003836D9">
              <w:rPr>
                <w:rFonts w:ascii="Times New Roman" w:hAnsi="Times New Roman" w:cs="Times New Roman"/>
                <w:b/>
                <w:bCs/>
                <w:color w:val="211D1E"/>
                <w:sz w:val="18"/>
                <w:szCs w:val="18"/>
                <w:lang w:val="ro-MD"/>
              </w:rPr>
              <w:t>1950</w:t>
            </w:r>
          </w:p>
        </w:tc>
        <w:tc>
          <w:tcPr>
            <w:tcW w:w="4728" w:type="dxa"/>
          </w:tcPr>
          <w:p w14:paraId="7B3BA413" w14:textId="4569D8C8" w:rsidR="007B5538" w:rsidRPr="003836D9" w:rsidRDefault="007B5538" w:rsidP="007B5538">
            <w:pPr>
              <w:jc w:val="center"/>
              <w:rPr>
                <w:rFonts w:ascii="Times New Roman" w:hAnsi="Times New Roman" w:cs="Times New Roman"/>
                <w:b/>
                <w:bCs/>
                <w:sz w:val="18"/>
                <w:szCs w:val="18"/>
                <w:lang w:val="ro-MD"/>
              </w:rPr>
            </w:pPr>
            <w:r w:rsidRPr="003836D9">
              <w:rPr>
                <w:rFonts w:ascii="Times New Roman" w:hAnsi="Times New Roman" w:cs="Times New Roman"/>
                <w:b/>
                <w:bCs/>
                <w:sz w:val="18"/>
                <w:szCs w:val="18"/>
                <w:lang w:val="ro-MD"/>
              </w:rPr>
              <w:t>2020</w:t>
            </w:r>
          </w:p>
        </w:tc>
      </w:tr>
      <w:tr w:rsidR="007B5538" w:rsidRPr="003836D9" w14:paraId="717C465C" w14:textId="77777777" w:rsidTr="00DF40A0">
        <w:trPr>
          <w:trHeight w:val="3126"/>
        </w:trPr>
        <w:tc>
          <w:tcPr>
            <w:tcW w:w="4728" w:type="dxa"/>
          </w:tcPr>
          <w:p w14:paraId="64940880" w14:textId="4479AEAB" w:rsidR="007B5538" w:rsidRPr="003836D9" w:rsidRDefault="007B5538" w:rsidP="00594C4F">
            <w:pPr>
              <w:jc w:val="both"/>
              <w:rPr>
                <w:rFonts w:ascii="Times New Roman" w:hAnsi="Times New Roman" w:cs="Times New Roman"/>
                <w:color w:val="211D1E"/>
                <w:sz w:val="24"/>
                <w:szCs w:val="24"/>
                <w:lang w:val="ro-MD"/>
              </w:rPr>
            </w:pPr>
            <w:r w:rsidRPr="003836D9">
              <w:rPr>
                <w:rFonts w:ascii="Times New Roman" w:hAnsi="Times New Roman" w:cs="Times New Roman"/>
                <w:lang w:val="ro-MD"/>
              </w:rPr>
              <w:object w:dxaOrig="6912" w:dyaOrig="6072" w14:anchorId="0F9F2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35pt;height:206.35pt" o:ole="">
                  <v:imagedata r:id="rId13" o:title=""/>
                </v:shape>
                <o:OLEObject Type="Embed" ProgID="PBrush" ShapeID="_x0000_i1025" DrawAspect="Content" ObjectID="_1724495944" r:id="rId14"/>
              </w:object>
            </w:r>
          </w:p>
        </w:tc>
        <w:tc>
          <w:tcPr>
            <w:tcW w:w="4728" w:type="dxa"/>
          </w:tcPr>
          <w:p w14:paraId="1E16F330" w14:textId="2859081B" w:rsidR="007B5538" w:rsidRPr="003836D9" w:rsidRDefault="007B5538" w:rsidP="00594C4F">
            <w:pPr>
              <w:jc w:val="both"/>
              <w:rPr>
                <w:rFonts w:ascii="Times New Roman" w:hAnsi="Times New Roman" w:cs="Times New Roman"/>
                <w:color w:val="211D1E"/>
                <w:sz w:val="24"/>
                <w:szCs w:val="24"/>
                <w:lang w:val="ro-MD"/>
              </w:rPr>
            </w:pPr>
            <w:r w:rsidRPr="003836D9">
              <w:rPr>
                <w:rFonts w:ascii="Times New Roman" w:hAnsi="Times New Roman" w:cs="Times New Roman"/>
                <w:lang w:val="ro-MD"/>
              </w:rPr>
              <w:object w:dxaOrig="6984" w:dyaOrig="5988" w14:anchorId="566D38E2">
                <v:shape id="_x0000_i1026" type="#_x0000_t75" style="width:233.35pt;height:201pt" o:ole="">
                  <v:imagedata r:id="rId15" o:title=""/>
                </v:shape>
                <o:OLEObject Type="Embed" ProgID="PBrush" ShapeID="_x0000_i1026" DrawAspect="Content" ObjectID="_1724495945" r:id="rId16"/>
              </w:object>
            </w:r>
          </w:p>
        </w:tc>
      </w:tr>
    </w:tbl>
    <w:p w14:paraId="3177AF47" w14:textId="7DC18583" w:rsidR="008951B3" w:rsidRPr="003836D9" w:rsidRDefault="0007668D" w:rsidP="006A0994">
      <w:pPr>
        <w:jc w:val="both"/>
        <w:rPr>
          <w:rFonts w:ascii="Times New Roman" w:hAnsi="Times New Roman" w:cs="Times New Roman"/>
          <w:sz w:val="18"/>
          <w:szCs w:val="18"/>
          <w:lang w:val="ro-MD"/>
        </w:rPr>
      </w:pPr>
      <w:r w:rsidRPr="003836D9">
        <w:rPr>
          <w:rFonts w:ascii="Times New Roman" w:hAnsi="Times New Roman" w:cs="Times New Roman"/>
          <w:i/>
          <w:iCs/>
          <w:color w:val="211D1E"/>
          <w:sz w:val="18"/>
          <w:szCs w:val="18"/>
          <w:lang w:val="ro-MD"/>
        </w:rPr>
        <w:t xml:space="preserve">Sursă: </w:t>
      </w:r>
      <w:r w:rsidRPr="003836D9">
        <w:rPr>
          <w:rFonts w:ascii="Times New Roman" w:hAnsi="Times New Roman" w:cs="Times New Roman"/>
          <w:color w:val="211D1E"/>
          <w:sz w:val="18"/>
          <w:szCs w:val="18"/>
          <w:lang w:val="ro-MD"/>
        </w:rPr>
        <w:t>Națiunile Unite, Departamentul Afaceri Economice și Sociale:</w:t>
      </w:r>
      <w:r w:rsidRPr="003836D9">
        <w:rPr>
          <w:rFonts w:ascii="Times New Roman" w:hAnsi="Times New Roman" w:cs="Times New Roman"/>
          <w:i/>
          <w:iCs/>
          <w:color w:val="211D1E"/>
          <w:sz w:val="18"/>
          <w:szCs w:val="18"/>
          <w:lang w:val="ro-MD"/>
        </w:rPr>
        <w:t xml:space="preserve"> Indicatorii Populației după gen și grup de vârstă </w:t>
      </w:r>
      <w:r w:rsidR="006A0994" w:rsidRPr="003836D9">
        <w:rPr>
          <w:rFonts w:ascii="Times New Roman" w:hAnsi="Times New Roman" w:cs="Times New Roman"/>
          <w:sz w:val="18"/>
          <w:szCs w:val="18"/>
          <w:lang w:val="ro-MD"/>
        </w:rPr>
        <w:t>(1950-2020)</w:t>
      </w:r>
    </w:p>
    <w:p w14:paraId="06F58575" w14:textId="2D84DFF0" w:rsidR="000D05BD" w:rsidRPr="003836D9" w:rsidRDefault="00515F89" w:rsidP="00FD75C5">
      <w:pPr>
        <w:jc w:val="both"/>
        <w:rPr>
          <w:rFonts w:ascii="Times New Roman" w:hAnsi="Times New Roman" w:cs="Times New Roman"/>
          <w:color w:val="211D1E"/>
          <w:sz w:val="24"/>
          <w:szCs w:val="24"/>
          <w:lang w:val="ro-MD"/>
        </w:rPr>
      </w:pPr>
      <w:r w:rsidRPr="003836D9">
        <w:rPr>
          <w:rFonts w:ascii="Times New Roman" w:hAnsi="Times New Roman" w:cs="Times New Roman"/>
          <w:color w:val="211D1E"/>
          <w:sz w:val="24"/>
          <w:szCs w:val="24"/>
          <w:lang w:val="ro-MD"/>
        </w:rPr>
        <w:t>Din anul 2000, m</w:t>
      </w:r>
      <w:r w:rsidR="007448B2" w:rsidRPr="003836D9">
        <w:rPr>
          <w:rFonts w:ascii="Times New Roman" w:hAnsi="Times New Roman" w:cs="Times New Roman"/>
          <w:color w:val="211D1E"/>
          <w:sz w:val="24"/>
          <w:szCs w:val="24"/>
          <w:lang w:val="ro-MD"/>
        </w:rPr>
        <w:t>igrația internațională a forței de muncă a crescut. Până în 2019 stocul de cetățeni moldoveni care trăiesc în străinătate reprezenta 17,6 procente din totalul populației și m</w:t>
      </w:r>
      <w:r w:rsidR="007D1599">
        <w:rPr>
          <w:rFonts w:ascii="Times New Roman" w:hAnsi="Times New Roman" w:cs="Times New Roman"/>
          <w:color w:val="211D1E"/>
          <w:sz w:val="24"/>
          <w:szCs w:val="24"/>
          <w:lang w:val="ro-MD"/>
        </w:rPr>
        <w:t>ai mult de jum</w:t>
      </w:r>
      <w:proofErr w:type="spellStart"/>
      <w:r w:rsidR="007D1599">
        <w:rPr>
          <w:rFonts w:ascii="Times New Roman" w:hAnsi="Times New Roman" w:cs="Times New Roman"/>
          <w:color w:val="211D1E"/>
          <w:sz w:val="24"/>
          <w:szCs w:val="24"/>
          <w:lang w:val="ro-RO"/>
        </w:rPr>
        <w:t>ătate</w:t>
      </w:r>
      <w:proofErr w:type="spellEnd"/>
      <w:r w:rsidR="007D1599">
        <w:rPr>
          <w:rFonts w:ascii="Times New Roman" w:hAnsi="Times New Roman" w:cs="Times New Roman"/>
          <w:color w:val="211D1E"/>
          <w:sz w:val="24"/>
          <w:szCs w:val="24"/>
          <w:lang w:val="ro-RO"/>
        </w:rPr>
        <w:t xml:space="preserve"> (56,5 procente din total)</w:t>
      </w:r>
      <w:r w:rsidR="007448B2" w:rsidRPr="003836D9">
        <w:rPr>
          <w:rFonts w:ascii="Times New Roman" w:hAnsi="Times New Roman" w:cs="Times New Roman"/>
          <w:color w:val="211D1E"/>
          <w:sz w:val="24"/>
          <w:szCs w:val="24"/>
          <w:lang w:val="ro-MD"/>
        </w:rPr>
        <w:t xml:space="preserve"> se aflau în grupul de vârstă 20-64 de ani. Principalele țări de destinație sunt Federația Rusă (32,9</w:t>
      </w:r>
      <w:r w:rsidR="0094240C" w:rsidRPr="003836D9">
        <w:rPr>
          <w:rFonts w:ascii="Times New Roman" w:hAnsi="Times New Roman" w:cs="Times New Roman"/>
          <w:color w:val="211D1E"/>
          <w:sz w:val="24"/>
          <w:szCs w:val="24"/>
          <w:lang w:val="ro-MD"/>
        </w:rPr>
        <w:t xml:space="preserve"> </w:t>
      </w:r>
      <w:r w:rsidR="007448B2" w:rsidRPr="003836D9">
        <w:rPr>
          <w:rFonts w:ascii="Times New Roman" w:hAnsi="Times New Roman" w:cs="Times New Roman"/>
          <w:color w:val="211D1E"/>
          <w:sz w:val="24"/>
          <w:szCs w:val="24"/>
          <w:lang w:val="ro-MD"/>
        </w:rPr>
        <w:t>procente din stocul total de migranți moldoveni), România (19,4 procente) și Ucraina (14,6 procente din stocul total</w:t>
      </w:r>
      <w:r w:rsidR="00D52233" w:rsidRPr="003836D9">
        <w:rPr>
          <w:rFonts w:ascii="Times New Roman" w:hAnsi="Times New Roman" w:cs="Times New Roman"/>
          <w:color w:val="211D1E"/>
          <w:sz w:val="24"/>
          <w:szCs w:val="24"/>
          <w:lang w:val="ro-MD"/>
        </w:rPr>
        <w:t>).</w:t>
      </w:r>
      <w:r w:rsidR="00D52233" w:rsidRPr="003836D9">
        <w:rPr>
          <w:rStyle w:val="FootnoteReference"/>
          <w:rFonts w:ascii="Times New Roman" w:hAnsi="Times New Roman" w:cs="Times New Roman"/>
          <w:color w:val="211D1E"/>
          <w:sz w:val="24"/>
          <w:szCs w:val="24"/>
          <w:lang w:val="ro-MD"/>
        </w:rPr>
        <w:footnoteReference w:id="14"/>
      </w:r>
      <w:r w:rsidR="002F1628" w:rsidRPr="003836D9">
        <w:rPr>
          <w:rFonts w:ascii="Times New Roman" w:hAnsi="Times New Roman" w:cs="Times New Roman"/>
          <w:color w:val="211D1E"/>
          <w:sz w:val="24"/>
          <w:szCs w:val="24"/>
          <w:lang w:val="ro-MD"/>
        </w:rPr>
        <w:t xml:space="preserve"> </w:t>
      </w:r>
      <w:r w:rsidR="007448B2" w:rsidRPr="003836D9">
        <w:rPr>
          <w:rFonts w:ascii="Times New Roman" w:hAnsi="Times New Roman" w:cs="Times New Roman"/>
          <w:color w:val="211D1E"/>
          <w:sz w:val="24"/>
          <w:szCs w:val="24"/>
          <w:lang w:val="ro-MD"/>
        </w:rPr>
        <w:t xml:space="preserve">O cercetare recentă asupra profilului de competențe al migranților moldoveni relevă că peste jumătate dintre aceștia au studii </w:t>
      </w:r>
      <w:r w:rsidR="003774AD" w:rsidRPr="003836D9">
        <w:rPr>
          <w:rFonts w:ascii="Times New Roman" w:hAnsi="Times New Roman" w:cs="Times New Roman"/>
          <w:color w:val="211D1E"/>
          <w:sz w:val="24"/>
          <w:szCs w:val="24"/>
          <w:lang w:val="ro-MD"/>
        </w:rPr>
        <w:t>liceale</w:t>
      </w:r>
      <w:r w:rsidR="007448B2" w:rsidRPr="003836D9">
        <w:rPr>
          <w:rFonts w:ascii="Times New Roman" w:hAnsi="Times New Roman" w:cs="Times New Roman"/>
          <w:color w:val="211D1E"/>
          <w:sz w:val="24"/>
          <w:szCs w:val="24"/>
          <w:lang w:val="ro-MD"/>
        </w:rPr>
        <w:t xml:space="preserve"> (52 procente), 16 procente sunt slab calificați, iar restul 32 procente au studii universitare</w:t>
      </w:r>
      <w:r w:rsidR="000D05BD" w:rsidRPr="003836D9">
        <w:rPr>
          <w:rFonts w:ascii="Times New Roman" w:hAnsi="Times New Roman" w:cs="Times New Roman"/>
          <w:color w:val="211D1E"/>
          <w:sz w:val="24"/>
          <w:szCs w:val="24"/>
          <w:lang w:val="ro-MD"/>
        </w:rPr>
        <w:t>.</w:t>
      </w:r>
      <w:r w:rsidR="000D05BD" w:rsidRPr="003836D9">
        <w:rPr>
          <w:rStyle w:val="FootnoteReference"/>
          <w:rFonts w:ascii="Times New Roman" w:hAnsi="Times New Roman" w:cs="Times New Roman"/>
          <w:color w:val="211D1E"/>
          <w:sz w:val="24"/>
          <w:szCs w:val="24"/>
          <w:lang w:val="ro-MD"/>
        </w:rPr>
        <w:footnoteReference w:id="15"/>
      </w:r>
      <w:r w:rsidR="004E2E71" w:rsidRPr="003836D9">
        <w:rPr>
          <w:rFonts w:ascii="Times New Roman" w:hAnsi="Times New Roman" w:cs="Times New Roman"/>
          <w:color w:val="211D1E"/>
          <w:sz w:val="24"/>
          <w:szCs w:val="24"/>
          <w:lang w:val="ro-MD"/>
        </w:rPr>
        <w:t xml:space="preserve"> </w:t>
      </w:r>
      <w:r w:rsidR="007448B2" w:rsidRPr="003836D9">
        <w:rPr>
          <w:rFonts w:ascii="Times New Roman" w:hAnsi="Times New Roman" w:cs="Times New Roman"/>
          <w:color w:val="211D1E"/>
          <w:sz w:val="24"/>
          <w:szCs w:val="24"/>
          <w:lang w:val="ro-MD"/>
        </w:rPr>
        <w:t xml:space="preserve">Datele disponibile pentru Germania și Federația Rusă arată o prevalență a migranților moldoveni cu calificare mediu-scăzută (78,5 procente și, respectiv, 54,7 procente), în timp ce migrația către România și Statele Unite ale Americii este în principal înalt-calificată (78,3 procente </w:t>
      </w:r>
      <w:r w:rsidR="002D295D" w:rsidRPr="003836D9">
        <w:rPr>
          <w:rFonts w:ascii="Times New Roman" w:hAnsi="Times New Roman" w:cs="Times New Roman"/>
          <w:color w:val="211D1E"/>
          <w:sz w:val="24"/>
          <w:szCs w:val="24"/>
          <w:lang w:val="ro-MD"/>
        </w:rPr>
        <w:t>și respectiv</w:t>
      </w:r>
      <w:r w:rsidR="007448B2" w:rsidRPr="003836D9">
        <w:rPr>
          <w:rFonts w:ascii="Times New Roman" w:hAnsi="Times New Roman" w:cs="Times New Roman"/>
          <w:color w:val="211D1E"/>
          <w:sz w:val="24"/>
          <w:szCs w:val="24"/>
          <w:lang w:val="ro-MD"/>
        </w:rPr>
        <w:t xml:space="preserve">  67,1 procente</w:t>
      </w:r>
      <w:r w:rsidR="004E2E71" w:rsidRPr="003836D9">
        <w:rPr>
          <w:rFonts w:ascii="Times New Roman" w:hAnsi="Times New Roman" w:cs="Times New Roman"/>
          <w:color w:val="211D1E"/>
          <w:sz w:val="24"/>
          <w:szCs w:val="24"/>
          <w:lang w:val="ro-MD"/>
        </w:rPr>
        <w:t>).</w:t>
      </w:r>
      <w:r w:rsidR="004E2E71" w:rsidRPr="003836D9">
        <w:rPr>
          <w:rStyle w:val="FootnoteReference"/>
          <w:rFonts w:ascii="Times New Roman" w:hAnsi="Times New Roman" w:cs="Times New Roman"/>
          <w:color w:val="211D1E"/>
          <w:sz w:val="24"/>
          <w:szCs w:val="24"/>
          <w:lang w:val="ro-MD"/>
        </w:rPr>
        <w:footnoteReference w:id="16"/>
      </w:r>
    </w:p>
    <w:p w14:paraId="317F8DAB" w14:textId="253A3E3D" w:rsidR="0057323E" w:rsidRPr="003836D9" w:rsidRDefault="00075579" w:rsidP="00DB59F5">
      <w:pPr>
        <w:pStyle w:val="Heading2"/>
        <w:spacing w:after="120" w:line="259" w:lineRule="auto"/>
        <w:ind w:left="3600"/>
        <w:rPr>
          <w:rFonts w:ascii="Times New Roman" w:hAnsi="Times New Roman"/>
          <w:color w:val="auto"/>
          <w:sz w:val="24"/>
          <w:szCs w:val="24"/>
          <w:lang w:val="ro-MD"/>
        </w:rPr>
      </w:pPr>
      <w:bookmarkStart w:id="14" w:name="_Toc97709282"/>
      <w:r w:rsidRPr="003836D9">
        <w:rPr>
          <w:rFonts w:ascii="Times New Roman" w:hAnsi="Times New Roman"/>
          <w:color w:val="auto"/>
          <w:sz w:val="24"/>
          <w:szCs w:val="24"/>
          <w:lang w:val="ro-MD"/>
        </w:rPr>
        <w:t>Tendințele în educație</w:t>
      </w:r>
      <w:bookmarkEnd w:id="14"/>
      <w:r w:rsidR="0057323E" w:rsidRPr="003836D9">
        <w:rPr>
          <w:rFonts w:ascii="Times New Roman" w:hAnsi="Times New Roman"/>
          <w:color w:val="auto"/>
          <w:sz w:val="24"/>
          <w:szCs w:val="24"/>
          <w:lang w:val="ro-MD"/>
        </w:rPr>
        <w:t xml:space="preserve"> </w:t>
      </w:r>
    </w:p>
    <w:p w14:paraId="056A98BD" w14:textId="2A94C535" w:rsidR="0057323E" w:rsidRDefault="00075579" w:rsidP="00EC4E87">
      <w:pPr>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Sistemul de învățământ din Moldova prezintă rate înalte de alfabetizare (99,4 procente pentru populația de 15 ani și peste), cu un număr net de școlarizare în învățământul primar egal cu 86,3 procente. Ponderea copiilor de trei ani care urmează educația timpurie în 2019 a </w:t>
      </w:r>
      <w:r w:rsidR="00EC4E87" w:rsidRPr="003836D9">
        <w:rPr>
          <w:rFonts w:ascii="Times New Roman" w:hAnsi="Times New Roman" w:cs="Times New Roman"/>
          <w:sz w:val="24"/>
          <w:szCs w:val="24"/>
          <w:lang w:val="ro-MD"/>
        </w:rPr>
        <w:t xml:space="preserve">constituit </w:t>
      </w:r>
      <w:r w:rsidRPr="003836D9">
        <w:rPr>
          <w:rFonts w:ascii="Times New Roman" w:hAnsi="Times New Roman" w:cs="Times New Roman"/>
          <w:sz w:val="24"/>
          <w:szCs w:val="24"/>
          <w:lang w:val="ro-MD"/>
        </w:rPr>
        <w:t>87,8 procente</w:t>
      </w:r>
      <w:r w:rsidR="00EC4E87"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w:t>
      </w:r>
      <w:r w:rsidR="00EC4E87" w:rsidRPr="003836D9">
        <w:rPr>
          <w:rFonts w:ascii="Times New Roman" w:hAnsi="Times New Roman" w:cs="Times New Roman"/>
          <w:sz w:val="24"/>
          <w:szCs w:val="24"/>
          <w:lang w:val="ro-MD"/>
        </w:rPr>
        <w:t xml:space="preserve">aproape </w:t>
      </w:r>
      <w:r w:rsidRPr="003836D9">
        <w:rPr>
          <w:rFonts w:ascii="Times New Roman" w:hAnsi="Times New Roman" w:cs="Times New Roman"/>
          <w:sz w:val="24"/>
          <w:szCs w:val="24"/>
          <w:lang w:val="ro-MD"/>
        </w:rPr>
        <w:t xml:space="preserve">similară cu ponderea înregistrată în țările Uniunii Europene (88,8 </w:t>
      </w:r>
      <w:r w:rsidR="0094240C" w:rsidRPr="003836D9">
        <w:rPr>
          <w:rFonts w:ascii="Times New Roman" w:hAnsi="Times New Roman" w:cs="Times New Roman"/>
          <w:sz w:val="24"/>
          <w:szCs w:val="24"/>
          <w:lang w:val="ro-MD"/>
        </w:rPr>
        <w:t>procente</w:t>
      </w:r>
      <w:r w:rsidR="00B87289" w:rsidRPr="003836D9">
        <w:rPr>
          <w:rFonts w:ascii="Times New Roman" w:hAnsi="Times New Roman" w:cs="Times New Roman"/>
          <w:sz w:val="24"/>
          <w:szCs w:val="24"/>
          <w:lang w:val="ro-MD"/>
        </w:rPr>
        <w:t>)</w:t>
      </w:r>
      <w:r w:rsidR="0057323E" w:rsidRPr="003836D9">
        <w:rPr>
          <w:rFonts w:ascii="Times New Roman" w:hAnsi="Times New Roman" w:cs="Times New Roman"/>
          <w:sz w:val="24"/>
          <w:szCs w:val="24"/>
          <w:lang w:val="ro-MD"/>
        </w:rPr>
        <w:t>.</w:t>
      </w:r>
      <w:r w:rsidR="0057323E" w:rsidRPr="003836D9">
        <w:rPr>
          <w:rStyle w:val="FootnoteReference"/>
          <w:rFonts w:ascii="Times New Roman" w:hAnsi="Times New Roman" w:cs="Times New Roman"/>
          <w:sz w:val="24"/>
          <w:szCs w:val="24"/>
          <w:lang w:val="ro-MD"/>
        </w:rPr>
        <w:footnoteReference w:id="17"/>
      </w:r>
      <w:r w:rsidR="0057323E"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 xml:space="preserve">Nivelul de educație al populației de 15 ani </w:t>
      </w:r>
      <w:r w:rsidR="00181C02" w:rsidRPr="003836D9">
        <w:rPr>
          <w:rFonts w:ascii="Times New Roman" w:hAnsi="Times New Roman" w:cs="Times New Roman"/>
          <w:sz w:val="24"/>
          <w:szCs w:val="24"/>
          <w:lang w:val="ro-MD"/>
        </w:rPr>
        <w:t xml:space="preserve">și peste </w:t>
      </w:r>
      <w:r w:rsidRPr="003836D9">
        <w:rPr>
          <w:rFonts w:ascii="Times New Roman" w:hAnsi="Times New Roman" w:cs="Times New Roman"/>
          <w:sz w:val="24"/>
          <w:szCs w:val="24"/>
          <w:lang w:val="ro-MD"/>
        </w:rPr>
        <w:t>a crescut de-a lungul anilor (</w:t>
      </w:r>
      <w:r w:rsidR="00D94B6B">
        <w:rPr>
          <w:rFonts w:ascii="Times New Roman" w:hAnsi="Times New Roman" w:cs="Times New Roman"/>
          <w:sz w:val="24"/>
          <w:szCs w:val="24"/>
          <w:lang w:val="ro-MD"/>
        </w:rPr>
        <w:t>Fig.</w:t>
      </w:r>
      <w:r w:rsidRPr="003836D9">
        <w:rPr>
          <w:rFonts w:ascii="Times New Roman" w:hAnsi="Times New Roman" w:cs="Times New Roman"/>
          <w:sz w:val="24"/>
          <w:szCs w:val="24"/>
          <w:lang w:val="ro-MD"/>
        </w:rPr>
        <w:t xml:space="preserve"> 6), dar este încă sub media UE</w:t>
      </w:r>
      <w:r w:rsidR="000E3ED8">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27</w:t>
      </w:r>
      <w:r w:rsidR="000E3ED8">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mai ales în ceea ce privește ponderea persoanelor cu studii superioare (18,</w:t>
      </w:r>
      <w:r w:rsidR="007C3207" w:rsidRPr="003836D9">
        <w:rPr>
          <w:rFonts w:ascii="Times New Roman" w:hAnsi="Times New Roman" w:cs="Times New Roman"/>
          <w:sz w:val="24"/>
          <w:szCs w:val="24"/>
          <w:lang w:val="ro-MD"/>
        </w:rPr>
        <w:t>4</w:t>
      </w:r>
      <w:r w:rsidRPr="003836D9">
        <w:rPr>
          <w:rFonts w:ascii="Times New Roman" w:hAnsi="Times New Roman" w:cs="Times New Roman"/>
          <w:sz w:val="24"/>
          <w:szCs w:val="24"/>
          <w:lang w:val="ro-MD"/>
        </w:rPr>
        <w:t xml:space="preserve"> procente în Moldova față de 27,5 procente în </w:t>
      </w:r>
      <w:r w:rsidR="0094240C" w:rsidRPr="003836D9">
        <w:rPr>
          <w:rFonts w:ascii="Times New Roman" w:hAnsi="Times New Roman" w:cs="Times New Roman"/>
          <w:sz w:val="24"/>
          <w:szCs w:val="24"/>
          <w:lang w:val="ro-MD"/>
        </w:rPr>
        <w:t>țările</w:t>
      </w:r>
      <w:r w:rsidRPr="003836D9">
        <w:rPr>
          <w:rFonts w:ascii="Times New Roman" w:hAnsi="Times New Roman" w:cs="Times New Roman"/>
          <w:sz w:val="24"/>
          <w:szCs w:val="24"/>
          <w:lang w:val="ro-MD"/>
        </w:rPr>
        <w:t xml:space="preserve"> europene</w:t>
      </w:r>
      <w:r w:rsidR="0057323E" w:rsidRPr="003836D9">
        <w:rPr>
          <w:rFonts w:ascii="Times New Roman" w:hAnsi="Times New Roman" w:cs="Times New Roman"/>
          <w:sz w:val="24"/>
          <w:szCs w:val="24"/>
          <w:lang w:val="ro-MD"/>
        </w:rPr>
        <w:t xml:space="preserve">). </w:t>
      </w:r>
    </w:p>
    <w:p w14:paraId="2C61D371" w14:textId="2662016C" w:rsidR="00EF0636" w:rsidRDefault="00EF0636" w:rsidP="00EC4E87">
      <w:pPr>
        <w:jc w:val="both"/>
        <w:rPr>
          <w:rFonts w:ascii="Times New Roman" w:hAnsi="Times New Roman" w:cs="Times New Roman"/>
          <w:sz w:val="24"/>
          <w:szCs w:val="24"/>
          <w:lang w:val="ro-MD"/>
        </w:rPr>
      </w:pPr>
    </w:p>
    <w:p w14:paraId="18DD5AFD" w14:textId="7EF84BB6" w:rsidR="00EF0636" w:rsidRDefault="00EF0636" w:rsidP="00EC4E87">
      <w:pPr>
        <w:jc w:val="both"/>
        <w:rPr>
          <w:rFonts w:ascii="Times New Roman" w:hAnsi="Times New Roman" w:cs="Times New Roman"/>
          <w:sz w:val="24"/>
          <w:szCs w:val="24"/>
          <w:lang w:val="ro-MD"/>
        </w:rPr>
      </w:pPr>
    </w:p>
    <w:p w14:paraId="038DA973" w14:textId="77777777" w:rsidR="00EF0636" w:rsidRPr="003836D9" w:rsidRDefault="00EF0636" w:rsidP="00EC4E87">
      <w:pPr>
        <w:jc w:val="both"/>
        <w:rPr>
          <w:rFonts w:ascii="Times New Roman" w:hAnsi="Times New Roman" w:cs="Times New Roman"/>
          <w:sz w:val="24"/>
          <w:szCs w:val="24"/>
          <w:lang w:val="ro-MD"/>
        </w:rPr>
      </w:pPr>
    </w:p>
    <w:p w14:paraId="08FE69A6" w14:textId="77777777" w:rsidR="00EF0636" w:rsidRDefault="00EF0636" w:rsidP="00F8045B">
      <w:pPr>
        <w:ind w:firstLine="709"/>
        <w:jc w:val="center"/>
        <w:rPr>
          <w:rFonts w:ascii="Times New Roman" w:hAnsi="Times New Roman" w:cs="Times New Roman"/>
          <w:b/>
          <w:sz w:val="20"/>
          <w:szCs w:val="20"/>
          <w:lang w:val="ro-MD"/>
        </w:rPr>
      </w:pPr>
      <w:bookmarkStart w:id="15" w:name="_Hlk72743535"/>
    </w:p>
    <w:p w14:paraId="6572464D" w14:textId="32E7FDBF" w:rsidR="0057323E" w:rsidRPr="003836D9" w:rsidRDefault="00D94B6B" w:rsidP="00F8045B">
      <w:pPr>
        <w:ind w:firstLine="709"/>
        <w:jc w:val="center"/>
        <w:rPr>
          <w:rFonts w:ascii="Times New Roman" w:hAnsi="Times New Roman" w:cs="Times New Roman"/>
          <w:b/>
          <w:sz w:val="20"/>
          <w:szCs w:val="20"/>
          <w:lang w:val="ro-MD"/>
        </w:rPr>
      </w:pPr>
      <w:r>
        <w:rPr>
          <w:rFonts w:ascii="Times New Roman" w:hAnsi="Times New Roman" w:cs="Times New Roman"/>
          <w:b/>
          <w:sz w:val="20"/>
          <w:szCs w:val="20"/>
          <w:lang w:val="ro-MD"/>
        </w:rPr>
        <w:lastRenderedPageBreak/>
        <w:t>Fig.</w:t>
      </w:r>
      <w:r w:rsidR="0057323E" w:rsidRPr="003836D9">
        <w:rPr>
          <w:rFonts w:ascii="Times New Roman" w:hAnsi="Times New Roman" w:cs="Times New Roman"/>
          <w:b/>
          <w:sz w:val="20"/>
          <w:szCs w:val="20"/>
          <w:lang w:val="ro-MD"/>
        </w:rPr>
        <w:t xml:space="preserve"> </w:t>
      </w:r>
      <w:r w:rsidR="006B1A42" w:rsidRPr="003836D9">
        <w:rPr>
          <w:rFonts w:ascii="Times New Roman" w:hAnsi="Times New Roman" w:cs="Times New Roman"/>
          <w:b/>
          <w:sz w:val="20"/>
          <w:szCs w:val="20"/>
          <w:lang w:val="ro-MD"/>
        </w:rPr>
        <w:t>6</w:t>
      </w:r>
      <w:r w:rsidR="007D1599">
        <w:rPr>
          <w:rFonts w:ascii="Times New Roman" w:hAnsi="Times New Roman" w:cs="Times New Roman"/>
          <w:b/>
          <w:sz w:val="20"/>
          <w:szCs w:val="20"/>
          <w:lang w:val="ro-MD"/>
        </w:rPr>
        <w:t>.</w:t>
      </w:r>
      <w:r w:rsidR="0057323E" w:rsidRPr="003836D9">
        <w:rPr>
          <w:rFonts w:ascii="Times New Roman" w:hAnsi="Times New Roman" w:cs="Times New Roman"/>
          <w:b/>
          <w:sz w:val="20"/>
          <w:szCs w:val="20"/>
          <w:lang w:val="ro-MD"/>
        </w:rPr>
        <w:t xml:space="preserve"> </w:t>
      </w:r>
      <w:r w:rsidR="00075579" w:rsidRPr="003836D9">
        <w:rPr>
          <w:rFonts w:ascii="Times New Roman" w:hAnsi="Times New Roman" w:cs="Times New Roman"/>
          <w:b/>
          <w:sz w:val="20"/>
          <w:szCs w:val="20"/>
          <w:lang w:val="ro-MD"/>
        </w:rPr>
        <w:t>Populația</w:t>
      </w:r>
      <w:r w:rsidR="003B172E">
        <w:rPr>
          <w:rFonts w:ascii="Times New Roman" w:hAnsi="Times New Roman" w:cs="Times New Roman"/>
          <w:b/>
          <w:sz w:val="20"/>
          <w:szCs w:val="20"/>
          <w:lang w:val="ro-MD"/>
        </w:rPr>
        <w:t xml:space="preserve">, </w:t>
      </w:r>
      <w:r w:rsidR="00075579" w:rsidRPr="003836D9">
        <w:rPr>
          <w:rFonts w:ascii="Times New Roman" w:hAnsi="Times New Roman" w:cs="Times New Roman"/>
          <w:b/>
          <w:sz w:val="20"/>
          <w:szCs w:val="20"/>
          <w:lang w:val="ro-MD"/>
        </w:rPr>
        <w:t xml:space="preserve">15+ după nivelul de studii </w:t>
      </w:r>
      <w:r w:rsidR="0057323E" w:rsidRPr="003836D9">
        <w:rPr>
          <w:rFonts w:ascii="Times New Roman" w:hAnsi="Times New Roman" w:cs="Times New Roman"/>
          <w:b/>
          <w:sz w:val="20"/>
          <w:szCs w:val="20"/>
          <w:lang w:val="ro-MD"/>
        </w:rPr>
        <w:t>(%), 20</w:t>
      </w:r>
      <w:r w:rsidR="006B1A42" w:rsidRPr="003836D9">
        <w:rPr>
          <w:rFonts w:ascii="Times New Roman" w:hAnsi="Times New Roman" w:cs="Times New Roman"/>
          <w:b/>
          <w:sz w:val="20"/>
          <w:szCs w:val="20"/>
          <w:lang w:val="ro-MD"/>
        </w:rPr>
        <w:t>14</w:t>
      </w:r>
      <w:r w:rsidR="003B172E">
        <w:rPr>
          <w:rFonts w:ascii="Times New Roman" w:hAnsi="Times New Roman" w:cs="Times New Roman"/>
          <w:b/>
          <w:sz w:val="20"/>
          <w:szCs w:val="20"/>
          <w:lang w:val="ro-MD"/>
        </w:rPr>
        <w:t xml:space="preserve"> și </w:t>
      </w:r>
      <w:r w:rsidR="0057323E" w:rsidRPr="003836D9">
        <w:rPr>
          <w:rFonts w:ascii="Times New Roman" w:hAnsi="Times New Roman" w:cs="Times New Roman"/>
          <w:b/>
          <w:sz w:val="20"/>
          <w:szCs w:val="20"/>
          <w:lang w:val="ro-MD"/>
        </w:rPr>
        <w:t>20</w:t>
      </w:r>
      <w:r w:rsidR="00B06EB8" w:rsidRPr="003836D9">
        <w:rPr>
          <w:rFonts w:ascii="Times New Roman" w:hAnsi="Times New Roman" w:cs="Times New Roman"/>
          <w:b/>
          <w:sz w:val="20"/>
          <w:szCs w:val="20"/>
          <w:lang w:val="ro-MD"/>
        </w:rPr>
        <w:t>21</w:t>
      </w:r>
    </w:p>
    <w:bookmarkEnd w:id="15"/>
    <w:p w14:paraId="5CD04E6F" w14:textId="77777777" w:rsidR="007F77D7" w:rsidRPr="003836D9" w:rsidRDefault="000312E7" w:rsidP="000312E7">
      <w:pPr>
        <w:jc w:val="center"/>
        <w:rPr>
          <w:rFonts w:ascii="Times New Roman" w:hAnsi="Times New Roman" w:cs="Times New Roman"/>
          <w:b/>
          <w:sz w:val="20"/>
          <w:szCs w:val="20"/>
          <w:lang w:val="ro-MD"/>
        </w:rPr>
      </w:pPr>
      <w:r w:rsidRPr="000312E7">
        <w:rPr>
          <w:rFonts w:ascii="Times New Roman" w:hAnsi="Times New Roman" w:cs="Times New Roman"/>
          <w:b/>
          <w:noProof/>
          <w:sz w:val="20"/>
          <w:szCs w:val="20"/>
          <w:lang w:val="ru-RU" w:eastAsia="ru-RU"/>
        </w:rPr>
        <w:drawing>
          <wp:inline distT="0" distB="0" distL="0" distR="0" wp14:anchorId="06CEEBBA" wp14:editId="1743C55F">
            <wp:extent cx="4696691" cy="3001827"/>
            <wp:effectExtent l="0" t="0" r="8890"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37549" cy="3027941"/>
                    </a:xfrm>
                    <a:prstGeom prst="rect">
                      <a:avLst/>
                    </a:prstGeom>
                    <a:noFill/>
                    <a:ln>
                      <a:noFill/>
                    </a:ln>
                  </pic:spPr>
                </pic:pic>
              </a:graphicData>
            </a:graphic>
          </wp:inline>
        </w:drawing>
      </w:r>
    </w:p>
    <w:p w14:paraId="582FA093" w14:textId="50F31513" w:rsidR="006B1A42" w:rsidRPr="003836D9" w:rsidRDefault="0002634C" w:rsidP="0002634C">
      <w:pPr>
        <w:autoSpaceDE w:val="0"/>
        <w:autoSpaceDN w:val="0"/>
        <w:adjustRightInd w:val="0"/>
        <w:spacing w:after="0" w:line="240" w:lineRule="auto"/>
        <w:rPr>
          <w:rFonts w:ascii="Times New Roman" w:eastAsia="Calibri" w:hAnsi="Times New Roman" w:cs="Times New Roman"/>
          <w:sz w:val="18"/>
          <w:szCs w:val="18"/>
          <w:lang w:val="ro-MD" w:eastAsia="en-GB"/>
        </w:rPr>
      </w:pPr>
      <w:r>
        <w:rPr>
          <w:rFonts w:ascii="Times New Roman" w:eastAsia="Calibri" w:hAnsi="Times New Roman" w:cs="Times New Roman"/>
          <w:i/>
          <w:iCs/>
          <w:sz w:val="18"/>
          <w:szCs w:val="18"/>
          <w:lang w:val="ro-MD" w:eastAsia="en-GB"/>
        </w:rPr>
        <w:t xml:space="preserve">                         </w:t>
      </w:r>
      <w:r w:rsidR="00075579" w:rsidRPr="003836D9">
        <w:rPr>
          <w:rFonts w:ascii="Times New Roman" w:eastAsia="Calibri" w:hAnsi="Times New Roman" w:cs="Times New Roman"/>
          <w:i/>
          <w:iCs/>
          <w:sz w:val="18"/>
          <w:szCs w:val="18"/>
          <w:lang w:val="ro-MD" w:eastAsia="en-GB"/>
        </w:rPr>
        <w:t xml:space="preserve">Sursa: </w:t>
      </w:r>
      <w:r w:rsidR="00075579" w:rsidRPr="000312E7">
        <w:rPr>
          <w:rFonts w:ascii="Times New Roman" w:eastAsia="Calibri" w:hAnsi="Times New Roman" w:cs="Times New Roman"/>
          <w:sz w:val="18"/>
          <w:szCs w:val="18"/>
          <w:lang w:val="ro-MD" w:eastAsia="en-GB"/>
        </w:rPr>
        <w:t>B</w:t>
      </w:r>
      <w:r w:rsidR="000312E7" w:rsidRPr="000312E7">
        <w:rPr>
          <w:rFonts w:ascii="Times New Roman" w:eastAsia="Calibri" w:hAnsi="Times New Roman" w:cs="Times New Roman"/>
          <w:sz w:val="18"/>
          <w:szCs w:val="18"/>
          <w:lang w:val="ro-MD" w:eastAsia="en-GB"/>
        </w:rPr>
        <w:t>iroul Național de Statistică</w:t>
      </w:r>
      <w:r w:rsidR="00075579" w:rsidRPr="000312E7">
        <w:rPr>
          <w:rFonts w:ascii="Times New Roman" w:eastAsia="Calibri" w:hAnsi="Times New Roman" w:cs="Times New Roman"/>
          <w:sz w:val="18"/>
          <w:szCs w:val="18"/>
          <w:lang w:val="ro-MD" w:eastAsia="en-GB"/>
        </w:rPr>
        <w:t>:</w:t>
      </w:r>
      <w:r w:rsidR="00075579" w:rsidRPr="003836D9">
        <w:rPr>
          <w:rFonts w:ascii="Times New Roman" w:eastAsia="Calibri" w:hAnsi="Times New Roman" w:cs="Times New Roman"/>
          <w:i/>
          <w:iCs/>
          <w:sz w:val="18"/>
          <w:szCs w:val="18"/>
          <w:lang w:val="ro-MD" w:eastAsia="en-GB"/>
        </w:rPr>
        <w:t xml:space="preserve"> Ancheta Forței de Muncă</w:t>
      </w:r>
    </w:p>
    <w:p w14:paraId="1958EE4C" w14:textId="77777777" w:rsidR="00A6490C" w:rsidRPr="003836D9" w:rsidRDefault="00A6490C" w:rsidP="006B1A42">
      <w:pPr>
        <w:autoSpaceDE w:val="0"/>
        <w:autoSpaceDN w:val="0"/>
        <w:adjustRightInd w:val="0"/>
        <w:spacing w:after="0" w:line="240" w:lineRule="auto"/>
        <w:jc w:val="center"/>
        <w:rPr>
          <w:rFonts w:ascii="Times New Roman" w:eastAsia="Calibri" w:hAnsi="Times New Roman" w:cs="Times New Roman"/>
          <w:sz w:val="18"/>
          <w:szCs w:val="18"/>
          <w:lang w:val="ro-MD" w:eastAsia="en-GB"/>
        </w:rPr>
      </w:pPr>
    </w:p>
    <w:p w14:paraId="242F62C0" w14:textId="03E60B06" w:rsidR="0042108A" w:rsidRPr="003836D9" w:rsidRDefault="0042108A" w:rsidP="00FD75C5">
      <w:pPr>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În 202</w:t>
      </w:r>
      <w:r w:rsidR="00257296" w:rsidRPr="003836D9">
        <w:rPr>
          <w:rFonts w:ascii="Times New Roman" w:hAnsi="Times New Roman" w:cs="Times New Roman"/>
          <w:sz w:val="24"/>
          <w:szCs w:val="24"/>
          <w:lang w:val="ro-MD"/>
        </w:rPr>
        <w:t>1</w:t>
      </w:r>
      <w:r w:rsidRPr="003836D9">
        <w:rPr>
          <w:rFonts w:ascii="Times New Roman" w:hAnsi="Times New Roman" w:cs="Times New Roman"/>
          <w:sz w:val="24"/>
          <w:szCs w:val="24"/>
          <w:lang w:val="ro-MD"/>
        </w:rPr>
        <w:t xml:space="preserve">, peste </w:t>
      </w:r>
      <w:r w:rsidR="00257296" w:rsidRPr="003836D9">
        <w:rPr>
          <w:rFonts w:ascii="Times New Roman" w:hAnsi="Times New Roman" w:cs="Times New Roman"/>
          <w:sz w:val="24"/>
          <w:szCs w:val="24"/>
          <w:lang w:val="ro-MD"/>
        </w:rPr>
        <w:t>10,3</w:t>
      </w:r>
      <w:r w:rsidRPr="003836D9">
        <w:rPr>
          <w:rFonts w:ascii="Times New Roman" w:hAnsi="Times New Roman" w:cs="Times New Roman"/>
          <w:sz w:val="24"/>
          <w:szCs w:val="24"/>
          <w:lang w:val="ro-MD"/>
        </w:rPr>
        <w:t xml:space="preserve"> procente dintre bărbați aveau studii medii</w:t>
      </w:r>
      <w:r w:rsidR="00257296" w:rsidRPr="003836D9">
        <w:rPr>
          <w:rFonts w:ascii="Times New Roman" w:hAnsi="Times New Roman" w:cs="Times New Roman"/>
          <w:sz w:val="24"/>
          <w:szCs w:val="24"/>
          <w:lang w:val="ro-MD"/>
        </w:rPr>
        <w:t xml:space="preserve"> de specialitate</w:t>
      </w:r>
      <w:r w:rsidRPr="003836D9">
        <w:rPr>
          <w:rFonts w:ascii="Times New Roman" w:hAnsi="Times New Roman" w:cs="Times New Roman"/>
          <w:sz w:val="24"/>
          <w:szCs w:val="24"/>
          <w:lang w:val="ro-MD"/>
        </w:rPr>
        <w:t xml:space="preserve">, comparativ cu </w:t>
      </w:r>
      <w:r w:rsidR="00257296" w:rsidRPr="003836D9">
        <w:rPr>
          <w:rFonts w:ascii="Times New Roman" w:hAnsi="Times New Roman" w:cs="Times New Roman"/>
          <w:sz w:val="24"/>
          <w:szCs w:val="24"/>
          <w:lang w:val="ro-MD"/>
        </w:rPr>
        <w:t>15,6</w:t>
      </w:r>
      <w:r w:rsidRPr="003836D9">
        <w:rPr>
          <w:rFonts w:ascii="Times New Roman" w:hAnsi="Times New Roman" w:cs="Times New Roman"/>
          <w:sz w:val="24"/>
          <w:szCs w:val="24"/>
          <w:lang w:val="ro-MD"/>
        </w:rPr>
        <w:t xml:space="preserve"> procente dintre femei. Ponderea femeilor cu studii superioare </w:t>
      </w:r>
      <w:r w:rsidR="00181C02" w:rsidRPr="003836D9">
        <w:rPr>
          <w:rFonts w:ascii="Times New Roman" w:hAnsi="Times New Roman" w:cs="Times New Roman"/>
          <w:sz w:val="24"/>
          <w:szCs w:val="24"/>
          <w:lang w:val="ro-MD"/>
        </w:rPr>
        <w:t xml:space="preserve">însă </w:t>
      </w:r>
      <w:r w:rsidRPr="003836D9">
        <w:rPr>
          <w:rFonts w:ascii="Times New Roman" w:hAnsi="Times New Roman" w:cs="Times New Roman"/>
          <w:sz w:val="24"/>
          <w:szCs w:val="24"/>
          <w:lang w:val="ro-MD"/>
        </w:rPr>
        <w:t>este mai mare decât a bărbaților (20,</w:t>
      </w:r>
      <w:r w:rsidR="00257296" w:rsidRPr="003836D9">
        <w:rPr>
          <w:rFonts w:ascii="Times New Roman" w:hAnsi="Times New Roman" w:cs="Times New Roman"/>
          <w:sz w:val="24"/>
          <w:szCs w:val="24"/>
          <w:lang w:val="ro-MD"/>
        </w:rPr>
        <w:t>2</w:t>
      </w:r>
      <w:r w:rsidRPr="003836D9">
        <w:rPr>
          <w:rFonts w:ascii="Times New Roman" w:hAnsi="Times New Roman" w:cs="Times New Roman"/>
          <w:sz w:val="24"/>
          <w:szCs w:val="24"/>
          <w:lang w:val="ro-MD"/>
        </w:rPr>
        <w:t xml:space="preserve"> procente, 1</w:t>
      </w:r>
      <w:r w:rsidR="00257296" w:rsidRPr="003836D9">
        <w:rPr>
          <w:rFonts w:ascii="Times New Roman" w:hAnsi="Times New Roman" w:cs="Times New Roman"/>
          <w:sz w:val="24"/>
          <w:szCs w:val="24"/>
          <w:lang w:val="ro-MD"/>
        </w:rPr>
        <w:t>6</w:t>
      </w:r>
      <w:r w:rsidRPr="003836D9">
        <w:rPr>
          <w:rFonts w:ascii="Times New Roman" w:hAnsi="Times New Roman" w:cs="Times New Roman"/>
          <w:sz w:val="24"/>
          <w:szCs w:val="24"/>
          <w:lang w:val="ro-MD"/>
        </w:rPr>
        <w:t>,</w:t>
      </w:r>
      <w:r w:rsidR="00257296" w:rsidRPr="003836D9">
        <w:rPr>
          <w:rFonts w:ascii="Times New Roman" w:hAnsi="Times New Roman" w:cs="Times New Roman"/>
          <w:sz w:val="24"/>
          <w:szCs w:val="24"/>
          <w:lang w:val="ro-MD"/>
        </w:rPr>
        <w:t>3</w:t>
      </w:r>
      <w:r w:rsidRPr="003836D9">
        <w:rPr>
          <w:rFonts w:ascii="Times New Roman" w:hAnsi="Times New Roman" w:cs="Times New Roman"/>
          <w:sz w:val="24"/>
          <w:szCs w:val="24"/>
          <w:lang w:val="ro-MD"/>
        </w:rPr>
        <w:t xml:space="preserve"> procente</w:t>
      </w:r>
      <w:r w:rsidR="00181C02" w:rsidRPr="003836D9">
        <w:rPr>
          <w:rFonts w:ascii="Times New Roman" w:hAnsi="Times New Roman" w:cs="Times New Roman"/>
          <w:sz w:val="24"/>
          <w:szCs w:val="24"/>
          <w:lang w:val="ro-MD"/>
        </w:rPr>
        <w:t xml:space="preserve"> respectiv</w:t>
      </w:r>
      <w:r w:rsidRPr="003836D9">
        <w:rPr>
          <w:rFonts w:ascii="Times New Roman" w:hAnsi="Times New Roman" w:cs="Times New Roman"/>
          <w:sz w:val="24"/>
          <w:szCs w:val="24"/>
          <w:lang w:val="ro-MD"/>
        </w:rPr>
        <w:t>).</w:t>
      </w:r>
    </w:p>
    <w:p w14:paraId="68D584F5" w14:textId="5604D833" w:rsidR="008D78B0" w:rsidRPr="003836D9" w:rsidRDefault="0042108A" w:rsidP="00FD75C5">
      <w:pPr>
        <w:jc w:val="both"/>
        <w:rPr>
          <w:rFonts w:ascii="Times New Roman" w:eastAsia="Times New Roman" w:hAnsi="Times New Roman" w:cs="Times New Roman"/>
          <w:color w:val="000000"/>
          <w:sz w:val="24"/>
          <w:szCs w:val="24"/>
          <w:lang w:val="ro-MD"/>
        </w:rPr>
      </w:pPr>
      <w:r w:rsidRPr="003836D9">
        <w:rPr>
          <w:rFonts w:ascii="Times New Roman" w:hAnsi="Times New Roman" w:cs="Times New Roman"/>
          <w:sz w:val="24"/>
          <w:szCs w:val="24"/>
          <w:lang w:val="ro-MD"/>
        </w:rPr>
        <w:t>În pofida tendințelor de îmbunătățire a nivelului de educație al populației, calitatea rezultatelor educaționale</w:t>
      </w:r>
      <w:r w:rsidR="00F66F68"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măsurată prin Programul de Evaluare Internațională a Studenților (PISA)</w:t>
      </w:r>
      <w:r w:rsidR="00F66F68"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este sub cea a țărilor partenere (</w:t>
      </w:r>
      <w:r w:rsidR="00D94B6B">
        <w:rPr>
          <w:rFonts w:ascii="Times New Roman" w:hAnsi="Times New Roman" w:cs="Times New Roman"/>
          <w:sz w:val="24"/>
          <w:szCs w:val="24"/>
          <w:lang w:val="ro-MD"/>
        </w:rPr>
        <w:t>Fig.</w:t>
      </w:r>
      <w:r w:rsidRPr="003836D9">
        <w:rPr>
          <w:rFonts w:ascii="Times New Roman" w:hAnsi="Times New Roman" w:cs="Times New Roman"/>
          <w:sz w:val="24"/>
          <w:szCs w:val="24"/>
          <w:lang w:val="ro-MD"/>
        </w:rPr>
        <w:t xml:space="preserve"> 7), fără progres măsurabil înregistrat între 2015 și 2018. Aceleași date arată că 17 procente din variația performanței elevilor la matematică este explicată de mediul socio-economic (adică, elevii din medii defavorizate se descurcă mai rău decât colegii lor). De asemenea, gradul de incluziune a educației </w:t>
      </w:r>
      <w:r w:rsidR="00F66F68" w:rsidRPr="003836D9">
        <w:rPr>
          <w:rFonts w:ascii="Times New Roman" w:hAnsi="Times New Roman" w:cs="Times New Roman"/>
          <w:sz w:val="24"/>
          <w:szCs w:val="24"/>
          <w:lang w:val="ro-MD"/>
        </w:rPr>
        <w:t xml:space="preserve">arată </w:t>
      </w:r>
      <w:r w:rsidR="00FF6B5E" w:rsidRPr="003836D9">
        <w:rPr>
          <w:rFonts w:ascii="Times New Roman" w:hAnsi="Times New Roman" w:cs="Times New Roman"/>
          <w:sz w:val="24"/>
          <w:szCs w:val="24"/>
          <w:lang w:val="ro-MD"/>
        </w:rPr>
        <w:t xml:space="preserve">că </w:t>
      </w:r>
      <w:r w:rsidR="004E5F95" w:rsidRPr="003836D9">
        <w:rPr>
          <w:rFonts w:ascii="Times New Roman" w:hAnsi="Times New Roman" w:cs="Times New Roman"/>
          <w:sz w:val="24"/>
          <w:szCs w:val="24"/>
          <w:lang w:val="ro-MD"/>
        </w:rPr>
        <w:t xml:space="preserve">doar </w:t>
      </w:r>
      <w:r w:rsidRPr="003836D9">
        <w:rPr>
          <w:rFonts w:ascii="Times New Roman" w:hAnsi="Times New Roman" w:cs="Times New Roman"/>
          <w:sz w:val="24"/>
          <w:szCs w:val="24"/>
          <w:lang w:val="ro-MD"/>
        </w:rPr>
        <w:t>8 procente dintre studenți</w:t>
      </w:r>
      <w:r w:rsidR="00FF6B5E" w:rsidRPr="003836D9">
        <w:rPr>
          <w:rFonts w:ascii="Times New Roman" w:hAnsi="Times New Roman" w:cs="Times New Roman"/>
          <w:sz w:val="24"/>
          <w:szCs w:val="24"/>
          <w:lang w:val="ro-MD"/>
        </w:rPr>
        <w:t xml:space="preserve"> sunt</w:t>
      </w:r>
      <w:r w:rsidRPr="003836D9">
        <w:rPr>
          <w:rFonts w:ascii="Times New Roman" w:hAnsi="Times New Roman" w:cs="Times New Roman"/>
          <w:sz w:val="24"/>
          <w:szCs w:val="24"/>
          <w:lang w:val="ro-MD"/>
        </w:rPr>
        <w:t xml:space="preserve"> rezi</w:t>
      </w:r>
      <w:r w:rsidR="004E5F95" w:rsidRPr="003836D9">
        <w:rPr>
          <w:rFonts w:ascii="Times New Roman" w:hAnsi="Times New Roman" w:cs="Times New Roman"/>
          <w:sz w:val="24"/>
          <w:szCs w:val="24"/>
          <w:lang w:val="ro-MD"/>
        </w:rPr>
        <w:t>lienți</w:t>
      </w:r>
      <w:r w:rsidRPr="003836D9">
        <w:rPr>
          <w:rFonts w:ascii="Times New Roman" w:hAnsi="Times New Roman" w:cs="Times New Roman"/>
          <w:sz w:val="24"/>
          <w:szCs w:val="24"/>
          <w:lang w:val="ro-MD"/>
        </w:rPr>
        <w:t xml:space="preserve"> (au înregistrat niveluri ridicate de performanță academică în ciuda faptului că provin dintr-un mediu dezavantajat), </w:t>
      </w:r>
      <w:r w:rsidR="00C9214D" w:rsidRPr="003836D9">
        <w:rPr>
          <w:rFonts w:ascii="Times New Roman" w:hAnsi="Times New Roman" w:cs="Times New Roman"/>
          <w:sz w:val="24"/>
          <w:szCs w:val="24"/>
          <w:lang w:val="ro-MD"/>
        </w:rPr>
        <w:t>sub</w:t>
      </w:r>
      <w:r w:rsidRPr="003836D9">
        <w:rPr>
          <w:rFonts w:ascii="Times New Roman" w:hAnsi="Times New Roman" w:cs="Times New Roman"/>
          <w:sz w:val="24"/>
          <w:szCs w:val="24"/>
          <w:lang w:val="ro-MD"/>
        </w:rPr>
        <w:t xml:space="preserve"> 11 procente </w:t>
      </w:r>
      <w:r w:rsidR="004E5F95" w:rsidRPr="003836D9">
        <w:rPr>
          <w:rFonts w:ascii="Times New Roman" w:hAnsi="Times New Roman" w:cs="Times New Roman"/>
          <w:sz w:val="24"/>
          <w:szCs w:val="24"/>
          <w:lang w:val="ro-MD"/>
        </w:rPr>
        <w:t xml:space="preserve">a celor </w:t>
      </w:r>
      <w:r w:rsidRPr="003836D9">
        <w:rPr>
          <w:rFonts w:ascii="Times New Roman" w:hAnsi="Times New Roman" w:cs="Times New Roman"/>
          <w:sz w:val="24"/>
          <w:szCs w:val="24"/>
          <w:lang w:val="ro-MD"/>
        </w:rPr>
        <w:t>înregistrați în țările OCDE</w:t>
      </w:r>
      <w:r w:rsidR="0051028D" w:rsidRPr="003836D9">
        <w:rPr>
          <w:rFonts w:ascii="Times New Roman" w:eastAsia="Times New Roman" w:hAnsi="Times New Roman" w:cs="Times New Roman"/>
          <w:color w:val="000000"/>
          <w:sz w:val="24"/>
          <w:szCs w:val="24"/>
          <w:lang w:val="ro-MD"/>
        </w:rPr>
        <w:t>.</w:t>
      </w:r>
      <w:r w:rsidR="008D78B0" w:rsidRPr="003836D9">
        <w:rPr>
          <w:rFonts w:ascii="Times New Roman" w:eastAsia="Times New Roman" w:hAnsi="Times New Roman" w:cs="Times New Roman"/>
          <w:color w:val="000000"/>
          <w:sz w:val="24"/>
          <w:szCs w:val="24"/>
          <w:lang w:val="ro-MD"/>
        </w:rPr>
        <w:br w:type="page"/>
      </w:r>
    </w:p>
    <w:p w14:paraId="352DA602" w14:textId="41B0AF36" w:rsidR="008D78B0" w:rsidRPr="003836D9" w:rsidRDefault="00D94B6B" w:rsidP="0094240C">
      <w:pPr>
        <w:autoSpaceDE w:val="0"/>
        <w:autoSpaceDN w:val="0"/>
        <w:adjustRightInd w:val="0"/>
        <w:jc w:val="center"/>
        <w:rPr>
          <w:rFonts w:ascii="Times New Roman" w:eastAsia="Times New Roman" w:hAnsi="Times New Roman" w:cs="Times New Roman"/>
          <w:b/>
          <w:color w:val="000000"/>
          <w:sz w:val="20"/>
          <w:szCs w:val="20"/>
          <w:lang w:val="ro-MD"/>
        </w:rPr>
      </w:pPr>
      <w:bookmarkStart w:id="16" w:name="_Hlk93139442"/>
      <w:r>
        <w:rPr>
          <w:rFonts w:ascii="Times New Roman" w:hAnsi="Times New Roman" w:cs="Times New Roman"/>
          <w:b/>
          <w:sz w:val="20"/>
          <w:szCs w:val="20"/>
          <w:lang w:val="ro-MD"/>
        </w:rPr>
        <w:lastRenderedPageBreak/>
        <w:t>Fig.</w:t>
      </w:r>
      <w:r w:rsidR="008D78B0" w:rsidRPr="003836D9">
        <w:rPr>
          <w:rFonts w:ascii="Times New Roman" w:hAnsi="Times New Roman" w:cs="Times New Roman"/>
          <w:b/>
          <w:sz w:val="20"/>
          <w:szCs w:val="20"/>
          <w:lang w:val="ro-MD"/>
        </w:rPr>
        <w:t xml:space="preserve"> 7</w:t>
      </w:r>
      <w:r w:rsidR="00EF0636">
        <w:rPr>
          <w:rFonts w:ascii="Times New Roman" w:hAnsi="Times New Roman" w:cs="Times New Roman"/>
          <w:b/>
          <w:sz w:val="20"/>
          <w:szCs w:val="20"/>
          <w:lang w:val="ro-MD"/>
        </w:rPr>
        <w:t>.</w:t>
      </w:r>
      <w:r w:rsidR="008D78B0" w:rsidRPr="003836D9">
        <w:rPr>
          <w:rFonts w:ascii="Times New Roman" w:hAnsi="Times New Roman" w:cs="Times New Roman"/>
          <w:b/>
          <w:sz w:val="20"/>
          <w:szCs w:val="20"/>
          <w:lang w:val="ro-MD"/>
        </w:rPr>
        <w:t xml:space="preserve"> </w:t>
      </w:r>
      <w:r w:rsidR="0042108A" w:rsidRPr="003836D9">
        <w:rPr>
          <w:rFonts w:ascii="Times New Roman" w:eastAsia="Times New Roman" w:hAnsi="Times New Roman" w:cs="Times New Roman"/>
          <w:b/>
          <w:color w:val="000000"/>
          <w:sz w:val="20"/>
          <w:szCs w:val="20"/>
          <w:lang w:val="ro-MD"/>
        </w:rPr>
        <w:t>Scor mediu după PISA, Moldova și țări selectate</w:t>
      </w:r>
      <w:r w:rsidR="00EF0636">
        <w:rPr>
          <w:rFonts w:ascii="Times New Roman" w:eastAsia="Times New Roman" w:hAnsi="Times New Roman" w:cs="Times New Roman"/>
          <w:b/>
          <w:color w:val="000000"/>
          <w:sz w:val="20"/>
          <w:szCs w:val="20"/>
          <w:lang w:val="ro-MD"/>
        </w:rPr>
        <w:t xml:space="preserve">, </w:t>
      </w:r>
      <w:r w:rsidR="008D78B0" w:rsidRPr="003836D9">
        <w:rPr>
          <w:rFonts w:ascii="Times New Roman" w:eastAsia="Times New Roman" w:hAnsi="Times New Roman" w:cs="Times New Roman"/>
          <w:b/>
          <w:color w:val="000000"/>
          <w:sz w:val="20"/>
          <w:szCs w:val="20"/>
          <w:lang w:val="ro-MD"/>
        </w:rPr>
        <w:t>2018</w:t>
      </w:r>
    </w:p>
    <w:tbl>
      <w:tblPr>
        <w:tblStyle w:val="TableGrid"/>
        <w:tblW w:w="1039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3259"/>
        <w:gridCol w:w="2995"/>
      </w:tblGrid>
      <w:tr w:rsidR="00102135" w:rsidRPr="003836D9" w14:paraId="4604FBC7" w14:textId="77777777" w:rsidTr="00787810">
        <w:trPr>
          <w:trHeight w:val="6407"/>
        </w:trPr>
        <w:tc>
          <w:tcPr>
            <w:tcW w:w="4145" w:type="dxa"/>
          </w:tcPr>
          <w:bookmarkEnd w:id="16"/>
          <w:p w14:paraId="33465D6A" w14:textId="1C0CDD32" w:rsidR="008D78B0" w:rsidRPr="003836D9" w:rsidRDefault="00102135" w:rsidP="00BC075B">
            <w:pPr>
              <w:autoSpaceDE w:val="0"/>
              <w:autoSpaceDN w:val="0"/>
              <w:adjustRightInd w:val="0"/>
              <w:spacing w:line="259" w:lineRule="auto"/>
              <w:jc w:val="both"/>
              <w:rPr>
                <w:rFonts w:ascii="Times New Roman" w:hAnsi="Times New Roman" w:cs="Times New Roman"/>
                <w:b/>
                <w:sz w:val="20"/>
                <w:szCs w:val="20"/>
                <w:lang w:val="ro-MD"/>
              </w:rPr>
            </w:pPr>
            <w:r w:rsidRPr="003836D9">
              <w:rPr>
                <w:rFonts w:ascii="Times New Roman" w:hAnsi="Times New Roman" w:cs="Times New Roman"/>
                <w:b/>
                <w:noProof/>
                <w:sz w:val="20"/>
                <w:szCs w:val="20"/>
                <w:lang w:val="ru-RU" w:eastAsia="ru-RU"/>
              </w:rPr>
              <w:drawing>
                <wp:inline distT="0" distB="0" distL="0" distR="0" wp14:anchorId="2D1E7D00" wp14:editId="627B1DAC">
                  <wp:extent cx="2261432" cy="422910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5260" cy="4236258"/>
                          </a:xfrm>
                          <a:prstGeom prst="rect">
                            <a:avLst/>
                          </a:prstGeom>
                          <a:noFill/>
                        </pic:spPr>
                      </pic:pic>
                    </a:graphicData>
                  </a:graphic>
                </wp:inline>
              </w:drawing>
            </w:r>
          </w:p>
        </w:tc>
        <w:tc>
          <w:tcPr>
            <w:tcW w:w="3259" w:type="dxa"/>
          </w:tcPr>
          <w:p w14:paraId="2D7A7850" w14:textId="6F41B27C" w:rsidR="008D78B0" w:rsidRPr="003836D9" w:rsidRDefault="00102135" w:rsidP="00BC075B">
            <w:pPr>
              <w:autoSpaceDE w:val="0"/>
              <w:autoSpaceDN w:val="0"/>
              <w:adjustRightInd w:val="0"/>
              <w:spacing w:line="259" w:lineRule="auto"/>
              <w:jc w:val="both"/>
              <w:rPr>
                <w:rFonts w:ascii="Times New Roman" w:hAnsi="Times New Roman" w:cs="Times New Roman"/>
                <w:b/>
                <w:sz w:val="20"/>
                <w:szCs w:val="20"/>
                <w:lang w:val="ro-MD"/>
              </w:rPr>
            </w:pPr>
            <w:r w:rsidRPr="003836D9">
              <w:rPr>
                <w:rFonts w:ascii="Times New Roman" w:hAnsi="Times New Roman" w:cs="Times New Roman"/>
                <w:b/>
                <w:noProof/>
                <w:sz w:val="20"/>
                <w:szCs w:val="20"/>
                <w:lang w:val="ru-RU" w:eastAsia="ru-RU"/>
              </w:rPr>
              <w:drawing>
                <wp:inline distT="0" distB="0" distL="0" distR="0" wp14:anchorId="2A39A910" wp14:editId="505353EE">
                  <wp:extent cx="1618742" cy="4229100"/>
                  <wp:effectExtent l="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8953" cy="4229651"/>
                          </a:xfrm>
                          <a:prstGeom prst="rect">
                            <a:avLst/>
                          </a:prstGeom>
                          <a:noFill/>
                        </pic:spPr>
                      </pic:pic>
                    </a:graphicData>
                  </a:graphic>
                </wp:inline>
              </w:drawing>
            </w:r>
          </w:p>
        </w:tc>
        <w:tc>
          <w:tcPr>
            <w:tcW w:w="2995" w:type="dxa"/>
          </w:tcPr>
          <w:p w14:paraId="4E664F82" w14:textId="622F68E9" w:rsidR="008D78B0" w:rsidRPr="003836D9" w:rsidRDefault="00102135" w:rsidP="00BC075B">
            <w:pPr>
              <w:autoSpaceDE w:val="0"/>
              <w:autoSpaceDN w:val="0"/>
              <w:adjustRightInd w:val="0"/>
              <w:spacing w:line="259" w:lineRule="auto"/>
              <w:ind w:right="-686"/>
              <w:jc w:val="both"/>
              <w:rPr>
                <w:rFonts w:ascii="Times New Roman" w:hAnsi="Times New Roman" w:cs="Times New Roman"/>
                <w:b/>
                <w:sz w:val="20"/>
                <w:szCs w:val="20"/>
                <w:lang w:val="ro-MD"/>
              </w:rPr>
            </w:pPr>
            <w:r w:rsidRPr="003836D9">
              <w:rPr>
                <w:rFonts w:ascii="Times New Roman" w:hAnsi="Times New Roman" w:cs="Times New Roman"/>
                <w:b/>
                <w:noProof/>
                <w:sz w:val="20"/>
                <w:szCs w:val="20"/>
                <w:lang w:val="ru-RU" w:eastAsia="ru-RU"/>
              </w:rPr>
              <w:drawing>
                <wp:inline distT="0" distB="0" distL="0" distR="0" wp14:anchorId="029195A1" wp14:editId="308AEB96">
                  <wp:extent cx="1642353" cy="4191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43758" cy="4194586"/>
                          </a:xfrm>
                          <a:prstGeom prst="rect">
                            <a:avLst/>
                          </a:prstGeom>
                          <a:noFill/>
                        </pic:spPr>
                      </pic:pic>
                    </a:graphicData>
                  </a:graphic>
                </wp:inline>
              </w:drawing>
            </w:r>
          </w:p>
        </w:tc>
      </w:tr>
    </w:tbl>
    <w:p w14:paraId="483BDB0F" w14:textId="48810B91" w:rsidR="008D78B0" w:rsidRPr="003C3DC8" w:rsidRDefault="0042108A" w:rsidP="00EF0636">
      <w:pPr>
        <w:autoSpaceDE w:val="0"/>
        <w:autoSpaceDN w:val="0"/>
        <w:adjustRightInd w:val="0"/>
        <w:ind w:left="-567"/>
        <w:rPr>
          <w:rFonts w:ascii="Times New Roman" w:hAnsi="Times New Roman" w:cs="Times New Roman"/>
          <w:bCs/>
          <w:i/>
          <w:iCs/>
          <w:sz w:val="16"/>
          <w:szCs w:val="16"/>
          <w:lang w:val="ro-MD"/>
        </w:rPr>
      </w:pPr>
      <w:r w:rsidRPr="003C3DC8">
        <w:rPr>
          <w:rFonts w:ascii="Times New Roman" w:hAnsi="Times New Roman" w:cs="Times New Roman"/>
          <w:bCs/>
          <w:i/>
          <w:iCs/>
          <w:sz w:val="16"/>
          <w:szCs w:val="16"/>
          <w:lang w:val="ro-MD"/>
        </w:rPr>
        <w:t>Sursa: OCDE</w:t>
      </w:r>
      <w:r w:rsidR="009D3243" w:rsidRPr="003C3DC8">
        <w:rPr>
          <w:rFonts w:ascii="Times New Roman" w:hAnsi="Times New Roman" w:cs="Times New Roman"/>
          <w:bCs/>
          <w:i/>
          <w:iCs/>
          <w:sz w:val="16"/>
          <w:szCs w:val="16"/>
          <w:lang w:val="ro-MD"/>
        </w:rPr>
        <w:t xml:space="preserve">: </w:t>
      </w:r>
      <w:r w:rsidRPr="003C3DC8">
        <w:rPr>
          <w:rFonts w:ascii="Times New Roman" w:hAnsi="Times New Roman" w:cs="Times New Roman"/>
          <w:bCs/>
          <w:i/>
          <w:iCs/>
          <w:sz w:val="16"/>
          <w:szCs w:val="16"/>
          <w:lang w:val="ro-MD"/>
        </w:rPr>
        <w:t>Rezultatele PISA 2018. Instantaneu al performanței studenților în lectură, matematică și știință</w:t>
      </w:r>
      <w:r w:rsidR="008D78B0" w:rsidRPr="003C3DC8">
        <w:rPr>
          <w:rFonts w:ascii="Times New Roman" w:hAnsi="Times New Roman" w:cs="Times New Roman"/>
          <w:bCs/>
          <w:i/>
          <w:iCs/>
          <w:sz w:val="16"/>
          <w:szCs w:val="16"/>
          <w:lang w:val="ro-MD"/>
        </w:rPr>
        <w:t xml:space="preserve">, </w:t>
      </w:r>
      <w:hyperlink r:id="rId21" w:history="1">
        <w:r w:rsidR="008D78B0" w:rsidRPr="003C3DC8">
          <w:rPr>
            <w:rStyle w:val="Hyperlink"/>
            <w:rFonts w:ascii="Times New Roman" w:hAnsi="Times New Roman" w:cs="Times New Roman"/>
            <w:bCs/>
            <w:i/>
            <w:iCs/>
            <w:sz w:val="16"/>
            <w:szCs w:val="16"/>
            <w:lang w:val="ro-MD"/>
          </w:rPr>
          <w:t>https://www.oecd.org/pisa/PISA-results_ENGLISH.png</w:t>
        </w:r>
      </w:hyperlink>
    </w:p>
    <w:p w14:paraId="554E8184" w14:textId="36729B3A" w:rsidR="00695436" w:rsidRPr="003836D9" w:rsidRDefault="009D3243" w:rsidP="00754D1D">
      <w:pPr>
        <w:autoSpaceDE w:val="0"/>
        <w:autoSpaceDN w:val="0"/>
        <w:adjustRightInd w:val="0"/>
        <w:jc w:val="both"/>
        <w:rPr>
          <w:rFonts w:ascii="Times New Roman" w:eastAsia="Times New Roman" w:hAnsi="Times New Roman" w:cs="Times New Roman"/>
          <w:color w:val="000000"/>
          <w:sz w:val="24"/>
          <w:szCs w:val="24"/>
          <w:lang w:val="ro-MD"/>
        </w:rPr>
      </w:pPr>
      <w:r w:rsidRPr="003836D9">
        <w:rPr>
          <w:rFonts w:ascii="Times New Roman" w:eastAsia="Times New Roman" w:hAnsi="Times New Roman" w:cs="Times New Roman"/>
          <w:color w:val="000000"/>
          <w:sz w:val="24"/>
          <w:szCs w:val="24"/>
          <w:lang w:val="ro-MD"/>
        </w:rPr>
        <w:t xml:space="preserve">Țara a investit resurse substanțiale în sistemul său de învățământ (7 procente din PIB în medie din 2000), deși </w:t>
      </w:r>
      <w:r w:rsidR="00FF6B5E" w:rsidRPr="003836D9">
        <w:rPr>
          <w:rFonts w:ascii="Times New Roman" w:eastAsia="Times New Roman" w:hAnsi="Times New Roman" w:cs="Times New Roman"/>
          <w:color w:val="000000"/>
          <w:sz w:val="24"/>
          <w:szCs w:val="24"/>
          <w:lang w:val="ro-MD"/>
        </w:rPr>
        <w:t>într-o</w:t>
      </w:r>
      <w:r w:rsidRPr="003836D9">
        <w:rPr>
          <w:rFonts w:ascii="Times New Roman" w:eastAsia="Times New Roman" w:hAnsi="Times New Roman" w:cs="Times New Roman"/>
          <w:color w:val="000000"/>
          <w:sz w:val="24"/>
          <w:szCs w:val="24"/>
          <w:lang w:val="ro-MD"/>
        </w:rPr>
        <w:t xml:space="preserve"> tendință de scădere din 2010. În 2018, cheltuielile guvernamentale pentru educație au </w:t>
      </w:r>
      <w:r w:rsidR="00F66F68" w:rsidRPr="003836D9">
        <w:rPr>
          <w:rFonts w:ascii="Times New Roman" w:eastAsia="Times New Roman" w:hAnsi="Times New Roman" w:cs="Times New Roman"/>
          <w:color w:val="000000"/>
          <w:sz w:val="24"/>
          <w:szCs w:val="24"/>
          <w:lang w:val="ro-MD"/>
        </w:rPr>
        <w:t xml:space="preserve">constituit </w:t>
      </w:r>
      <w:r w:rsidRPr="003836D9">
        <w:rPr>
          <w:rFonts w:ascii="Times New Roman" w:eastAsia="Times New Roman" w:hAnsi="Times New Roman" w:cs="Times New Roman"/>
          <w:color w:val="000000"/>
          <w:sz w:val="24"/>
          <w:szCs w:val="24"/>
          <w:lang w:val="ro-MD"/>
        </w:rPr>
        <w:t>5,4 procente din PIB</w:t>
      </w:r>
      <w:r w:rsidR="008D78B0" w:rsidRPr="003836D9">
        <w:rPr>
          <w:rFonts w:ascii="Times New Roman" w:eastAsia="Times New Roman" w:hAnsi="Times New Roman" w:cs="Times New Roman"/>
          <w:color w:val="000000"/>
          <w:sz w:val="24"/>
          <w:szCs w:val="24"/>
          <w:lang w:val="ro-MD"/>
        </w:rPr>
        <w:t>.</w:t>
      </w:r>
      <w:r w:rsidR="00EB3256" w:rsidRPr="003836D9">
        <w:rPr>
          <w:rStyle w:val="FootnoteReference"/>
          <w:rFonts w:ascii="Times New Roman" w:eastAsia="Times New Roman" w:hAnsi="Times New Roman" w:cs="Times New Roman"/>
          <w:color w:val="000000"/>
          <w:sz w:val="24"/>
          <w:szCs w:val="24"/>
          <w:lang w:val="ro-MD"/>
        </w:rPr>
        <w:footnoteReference w:id="18"/>
      </w:r>
      <w:r w:rsidR="00695436" w:rsidRPr="003836D9">
        <w:rPr>
          <w:rFonts w:ascii="Times New Roman" w:hAnsi="Times New Roman" w:cs="Times New Roman"/>
          <w:color w:val="616264"/>
          <w:sz w:val="24"/>
          <w:szCs w:val="24"/>
          <w:lang w:val="ro-MD"/>
        </w:rPr>
        <w:t xml:space="preserve"> </w:t>
      </w:r>
      <w:r w:rsidRPr="003836D9">
        <w:rPr>
          <w:rFonts w:ascii="Times New Roman" w:eastAsia="Times New Roman" w:hAnsi="Times New Roman" w:cs="Times New Roman"/>
          <w:color w:val="000000"/>
          <w:sz w:val="24"/>
          <w:szCs w:val="24"/>
          <w:lang w:val="ro-MD"/>
        </w:rPr>
        <w:t>Nivelurile relativ ridicate ale cheltuielilor guvernamentale în educație au dat roade în ceea ce privește creșterea ponderii populației care realizează studii medii și terțiare, dar nu și în ceea ce privește calitatea, fără nici</w:t>
      </w:r>
      <w:r w:rsidR="00F66F68" w:rsidRPr="003836D9">
        <w:rPr>
          <w:rFonts w:ascii="Times New Roman" w:eastAsia="Times New Roman" w:hAnsi="Times New Roman" w:cs="Times New Roman"/>
          <w:color w:val="000000"/>
          <w:sz w:val="24"/>
          <w:szCs w:val="24"/>
          <w:lang w:val="ro-MD"/>
        </w:rPr>
        <w:t xml:space="preserve"> </w:t>
      </w:r>
      <w:r w:rsidRPr="003836D9">
        <w:rPr>
          <w:rFonts w:ascii="Times New Roman" w:eastAsia="Times New Roman" w:hAnsi="Times New Roman" w:cs="Times New Roman"/>
          <w:color w:val="000000"/>
          <w:sz w:val="24"/>
          <w:szCs w:val="24"/>
          <w:lang w:val="ro-MD"/>
        </w:rPr>
        <w:t xml:space="preserve">o modificare </w:t>
      </w:r>
      <w:r w:rsidR="00D91806" w:rsidRPr="003836D9">
        <w:rPr>
          <w:rFonts w:ascii="Times New Roman" w:eastAsia="Times New Roman" w:hAnsi="Times New Roman" w:cs="Times New Roman"/>
          <w:color w:val="000000"/>
          <w:sz w:val="24"/>
          <w:szCs w:val="24"/>
          <w:lang w:val="ro-MD"/>
        </w:rPr>
        <w:t>constatată</w:t>
      </w:r>
      <w:r w:rsidRPr="003836D9">
        <w:rPr>
          <w:rFonts w:ascii="Times New Roman" w:eastAsia="Times New Roman" w:hAnsi="Times New Roman" w:cs="Times New Roman"/>
          <w:color w:val="000000"/>
          <w:sz w:val="24"/>
          <w:szCs w:val="24"/>
          <w:lang w:val="ro-MD"/>
        </w:rPr>
        <w:t xml:space="preserve"> a rezultatelor PISA între 2015 și 2018</w:t>
      </w:r>
      <w:r w:rsidR="00E67F25" w:rsidRPr="003836D9">
        <w:rPr>
          <w:rFonts w:ascii="Times New Roman" w:eastAsia="Times New Roman" w:hAnsi="Times New Roman" w:cs="Times New Roman"/>
          <w:color w:val="000000"/>
          <w:sz w:val="24"/>
          <w:szCs w:val="24"/>
          <w:lang w:val="ro-MD"/>
        </w:rPr>
        <w:t xml:space="preserve">. </w:t>
      </w:r>
    </w:p>
    <w:p w14:paraId="595184BD" w14:textId="4DCCAC8E" w:rsidR="00FE6577" w:rsidRPr="003836D9" w:rsidRDefault="009D3243" w:rsidP="00754D1D">
      <w:pPr>
        <w:jc w:val="both"/>
        <w:rPr>
          <w:rFonts w:ascii="Times New Roman" w:eastAsia="Times New Roman" w:hAnsi="Times New Roman" w:cs="Times New Roman"/>
          <w:color w:val="000000"/>
          <w:sz w:val="24"/>
          <w:szCs w:val="24"/>
          <w:lang w:val="ro-MD"/>
        </w:rPr>
      </w:pPr>
      <w:r w:rsidRPr="003836D9">
        <w:rPr>
          <w:rFonts w:ascii="Times New Roman" w:eastAsia="Times New Roman" w:hAnsi="Times New Roman" w:cs="Times New Roman"/>
          <w:color w:val="000000"/>
          <w:sz w:val="24"/>
          <w:szCs w:val="24"/>
          <w:lang w:val="ro-MD"/>
        </w:rPr>
        <w:t xml:space="preserve">În 2020, participarea adulților (populația 18+) la </w:t>
      </w:r>
      <w:r w:rsidR="00E67830" w:rsidRPr="003836D9">
        <w:rPr>
          <w:rFonts w:ascii="Times New Roman" w:eastAsia="Times New Roman" w:hAnsi="Times New Roman" w:cs="Times New Roman"/>
          <w:color w:val="000000"/>
          <w:sz w:val="24"/>
          <w:szCs w:val="24"/>
          <w:lang w:val="ro-MD"/>
        </w:rPr>
        <w:t>educație</w:t>
      </w:r>
      <w:r w:rsidRPr="003836D9">
        <w:rPr>
          <w:rFonts w:ascii="Times New Roman" w:eastAsia="Times New Roman" w:hAnsi="Times New Roman" w:cs="Times New Roman"/>
          <w:color w:val="000000"/>
          <w:sz w:val="24"/>
          <w:szCs w:val="24"/>
          <w:lang w:val="ro-MD"/>
        </w:rPr>
        <w:t xml:space="preserve"> a fost de 5,3 procente, </w:t>
      </w:r>
      <w:r w:rsidR="00D91806" w:rsidRPr="003836D9">
        <w:rPr>
          <w:rFonts w:ascii="Times New Roman" w:eastAsia="Times New Roman" w:hAnsi="Times New Roman" w:cs="Times New Roman"/>
          <w:color w:val="000000"/>
          <w:sz w:val="24"/>
          <w:szCs w:val="24"/>
          <w:lang w:val="ro-MD"/>
        </w:rPr>
        <w:t>într-</w:t>
      </w:r>
      <w:r w:rsidRPr="003836D9">
        <w:rPr>
          <w:rFonts w:ascii="Times New Roman" w:eastAsia="Times New Roman" w:hAnsi="Times New Roman" w:cs="Times New Roman"/>
          <w:color w:val="000000"/>
          <w:sz w:val="24"/>
          <w:szCs w:val="24"/>
          <w:lang w:val="ro-MD"/>
        </w:rPr>
        <w:t>o tendință de scădere față de 2014 (7,1 procente), de trei ori mai mică decât rata înregistrată la nivelul UE în același an (15,4 procente</w:t>
      </w:r>
      <w:r w:rsidR="00FE6577" w:rsidRPr="003836D9">
        <w:rPr>
          <w:rFonts w:ascii="Times New Roman" w:eastAsia="Times New Roman" w:hAnsi="Times New Roman" w:cs="Times New Roman"/>
          <w:color w:val="000000"/>
          <w:sz w:val="24"/>
          <w:szCs w:val="24"/>
          <w:lang w:val="ro-MD"/>
        </w:rPr>
        <w:t>)</w:t>
      </w:r>
      <w:r w:rsidR="0094240C" w:rsidRPr="003836D9">
        <w:rPr>
          <w:rFonts w:ascii="Times New Roman" w:eastAsia="Times New Roman" w:hAnsi="Times New Roman" w:cs="Times New Roman"/>
          <w:color w:val="000000"/>
          <w:sz w:val="24"/>
          <w:szCs w:val="24"/>
          <w:lang w:val="ro-MD"/>
        </w:rPr>
        <w:t>.</w:t>
      </w:r>
      <w:r w:rsidR="00FE6577" w:rsidRPr="003836D9">
        <w:rPr>
          <w:rFonts w:ascii="Times New Roman" w:hAnsi="Times New Roman" w:cs="Times New Roman"/>
          <w:sz w:val="24"/>
          <w:szCs w:val="24"/>
          <w:vertAlign w:val="superscript"/>
          <w:lang w:val="ro-MD"/>
        </w:rPr>
        <w:footnoteReference w:id="19"/>
      </w:r>
      <w:r w:rsidR="00991102" w:rsidRPr="003836D9">
        <w:rPr>
          <w:rFonts w:ascii="Times New Roman" w:eastAsia="Times New Roman" w:hAnsi="Times New Roman" w:cs="Times New Roman"/>
          <w:color w:val="000000"/>
          <w:sz w:val="24"/>
          <w:szCs w:val="24"/>
          <w:vertAlign w:val="superscript"/>
          <w:lang w:val="ro-MD"/>
        </w:rPr>
        <w:t xml:space="preserve"> </w:t>
      </w:r>
      <w:r w:rsidRPr="003836D9">
        <w:rPr>
          <w:rFonts w:ascii="Times New Roman" w:eastAsia="Times New Roman" w:hAnsi="Times New Roman" w:cs="Times New Roman"/>
          <w:color w:val="000000"/>
          <w:sz w:val="24"/>
          <w:szCs w:val="24"/>
          <w:lang w:val="ro-MD"/>
        </w:rPr>
        <w:t xml:space="preserve">Rata de participare la </w:t>
      </w:r>
      <w:r w:rsidR="00E67830" w:rsidRPr="003836D9">
        <w:rPr>
          <w:rFonts w:ascii="Times New Roman" w:eastAsia="Times New Roman" w:hAnsi="Times New Roman" w:cs="Times New Roman"/>
          <w:color w:val="000000"/>
          <w:sz w:val="24"/>
          <w:szCs w:val="24"/>
          <w:lang w:val="ro-MD"/>
        </w:rPr>
        <w:t>educație a</w:t>
      </w:r>
      <w:r w:rsidR="00D91806" w:rsidRPr="003836D9">
        <w:rPr>
          <w:rFonts w:ascii="Times New Roman" w:eastAsia="Times New Roman" w:hAnsi="Times New Roman" w:cs="Times New Roman"/>
          <w:color w:val="000000"/>
          <w:sz w:val="24"/>
          <w:szCs w:val="24"/>
          <w:lang w:val="ro-MD"/>
        </w:rPr>
        <w:t xml:space="preserve"> </w:t>
      </w:r>
      <w:r w:rsidRPr="003836D9">
        <w:rPr>
          <w:rFonts w:ascii="Times New Roman" w:eastAsia="Times New Roman" w:hAnsi="Times New Roman" w:cs="Times New Roman"/>
          <w:color w:val="000000"/>
          <w:sz w:val="24"/>
          <w:szCs w:val="24"/>
          <w:lang w:val="ro-MD"/>
        </w:rPr>
        <w:t>adulților este puțin mai mică pentru b</w:t>
      </w:r>
      <w:r w:rsidR="003D4EC1">
        <w:rPr>
          <w:rFonts w:ascii="Times New Roman" w:eastAsia="Times New Roman" w:hAnsi="Times New Roman" w:cs="Times New Roman"/>
          <w:color w:val="000000"/>
          <w:sz w:val="24"/>
          <w:szCs w:val="24"/>
          <w:lang w:val="ro-MD"/>
        </w:rPr>
        <w:t>ărbați comparativ cu femeile (5,</w:t>
      </w:r>
      <w:r w:rsidRPr="003836D9">
        <w:rPr>
          <w:rFonts w:ascii="Times New Roman" w:eastAsia="Times New Roman" w:hAnsi="Times New Roman" w:cs="Times New Roman"/>
          <w:color w:val="000000"/>
          <w:sz w:val="24"/>
          <w:szCs w:val="24"/>
          <w:lang w:val="ro-MD"/>
        </w:rPr>
        <w:t>1 pr</w:t>
      </w:r>
      <w:r w:rsidR="00115830" w:rsidRPr="003836D9">
        <w:rPr>
          <w:rFonts w:ascii="Times New Roman" w:eastAsia="Times New Roman" w:hAnsi="Times New Roman" w:cs="Times New Roman"/>
          <w:color w:val="000000"/>
          <w:sz w:val="24"/>
          <w:szCs w:val="24"/>
          <w:lang w:val="ro-MD"/>
        </w:rPr>
        <w:t>ocente, respectiv 5,5 procente)</w:t>
      </w:r>
      <w:r w:rsidRPr="003836D9">
        <w:rPr>
          <w:rFonts w:ascii="Times New Roman" w:eastAsia="Times New Roman" w:hAnsi="Times New Roman" w:cs="Times New Roman"/>
          <w:color w:val="000000"/>
          <w:sz w:val="24"/>
          <w:szCs w:val="24"/>
          <w:lang w:val="ro-MD"/>
        </w:rPr>
        <w:t xml:space="preserve"> și mai mică în zonele rurale comparativ cu cele urbane (4,5 și, respectiv, 6,6 procente</w:t>
      </w:r>
      <w:r w:rsidR="00991102" w:rsidRPr="003836D9">
        <w:rPr>
          <w:rFonts w:ascii="Times New Roman" w:eastAsia="Times New Roman" w:hAnsi="Times New Roman" w:cs="Times New Roman"/>
          <w:color w:val="000000"/>
          <w:sz w:val="24"/>
          <w:szCs w:val="24"/>
          <w:lang w:val="ro-MD"/>
        </w:rPr>
        <w:t>)</w:t>
      </w:r>
      <w:r w:rsidR="00F8045B" w:rsidRPr="003836D9">
        <w:rPr>
          <w:rFonts w:ascii="Times New Roman" w:eastAsia="Times New Roman" w:hAnsi="Times New Roman" w:cs="Times New Roman"/>
          <w:color w:val="000000"/>
          <w:sz w:val="24"/>
          <w:szCs w:val="24"/>
          <w:lang w:val="ro-MD"/>
        </w:rPr>
        <w:t>.</w:t>
      </w:r>
    </w:p>
    <w:p w14:paraId="288E647A" w14:textId="08BC5D22" w:rsidR="00695436" w:rsidRPr="003C3DC8" w:rsidRDefault="009D3243" w:rsidP="00DB59F5">
      <w:pPr>
        <w:pStyle w:val="ListParagraph"/>
        <w:ind w:left="3600"/>
        <w:rPr>
          <w:rFonts w:ascii="Times New Roman" w:eastAsia="Times New Roman" w:hAnsi="Times New Roman" w:cs="Times New Roman"/>
          <w:b/>
          <w:bCs/>
          <w:sz w:val="24"/>
          <w:szCs w:val="24"/>
          <w:lang w:val="ro-MD"/>
        </w:rPr>
      </w:pPr>
      <w:bookmarkStart w:id="17" w:name="_Toc97709283"/>
      <w:r w:rsidRPr="003C3DC8">
        <w:rPr>
          <w:rFonts w:ascii="Times New Roman" w:hAnsi="Times New Roman" w:cs="Times New Roman"/>
          <w:b/>
          <w:i/>
          <w:iCs/>
          <w:sz w:val="24"/>
          <w:szCs w:val="24"/>
          <w:lang w:val="ro-MD"/>
        </w:rPr>
        <w:t>Participarea forței de muncă</w:t>
      </w:r>
      <w:bookmarkEnd w:id="17"/>
    </w:p>
    <w:p w14:paraId="57F33304" w14:textId="115310E9" w:rsidR="003C68A8" w:rsidRDefault="009D3243" w:rsidP="00754D1D">
      <w:pPr>
        <w:jc w:val="both"/>
        <w:rPr>
          <w:rFonts w:ascii="Times New Roman" w:eastAsia="Times New Roman" w:hAnsi="Times New Roman" w:cs="Times New Roman"/>
          <w:color w:val="000000"/>
          <w:sz w:val="24"/>
          <w:szCs w:val="24"/>
          <w:lang w:val="ro-MD"/>
        </w:rPr>
      </w:pPr>
      <w:r w:rsidRPr="003836D9">
        <w:rPr>
          <w:rFonts w:ascii="Times New Roman" w:eastAsia="Times New Roman" w:hAnsi="Times New Roman" w:cs="Times New Roman"/>
          <w:color w:val="000000"/>
          <w:sz w:val="24"/>
          <w:szCs w:val="24"/>
          <w:lang w:val="ro-MD"/>
        </w:rPr>
        <w:t>În 202</w:t>
      </w:r>
      <w:r w:rsidR="00614EA0"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 rata de participare la forța de muncă a populației cu vârsta de 15 ani și peste a fost de 4</w:t>
      </w:r>
      <w:r w:rsidR="007F6C1F"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w:t>
      </w:r>
      <w:r w:rsidR="007F6C1F"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 xml:space="preserve"> procente – 36,</w:t>
      </w:r>
      <w:r w:rsidR="007F6C1F" w:rsidRPr="003836D9">
        <w:rPr>
          <w:rFonts w:ascii="Times New Roman" w:eastAsia="Times New Roman" w:hAnsi="Times New Roman" w:cs="Times New Roman"/>
          <w:color w:val="000000"/>
          <w:sz w:val="24"/>
          <w:szCs w:val="24"/>
          <w:lang w:val="ro-MD"/>
        </w:rPr>
        <w:t>4</w:t>
      </w:r>
      <w:r w:rsidRPr="003836D9">
        <w:rPr>
          <w:rFonts w:ascii="Times New Roman" w:eastAsia="Times New Roman" w:hAnsi="Times New Roman" w:cs="Times New Roman"/>
          <w:color w:val="000000"/>
          <w:sz w:val="24"/>
          <w:szCs w:val="24"/>
          <w:lang w:val="ro-MD"/>
        </w:rPr>
        <w:t xml:space="preserve"> procente pentru femei și 4</w:t>
      </w:r>
      <w:r w:rsidR="007F6C1F" w:rsidRPr="003836D9">
        <w:rPr>
          <w:rFonts w:ascii="Times New Roman" w:eastAsia="Times New Roman" w:hAnsi="Times New Roman" w:cs="Times New Roman"/>
          <w:color w:val="000000"/>
          <w:sz w:val="24"/>
          <w:szCs w:val="24"/>
          <w:lang w:val="ro-MD"/>
        </w:rPr>
        <w:t>6</w:t>
      </w:r>
      <w:r w:rsidRPr="003836D9">
        <w:rPr>
          <w:rFonts w:ascii="Times New Roman" w:eastAsia="Times New Roman" w:hAnsi="Times New Roman" w:cs="Times New Roman"/>
          <w:color w:val="000000"/>
          <w:sz w:val="24"/>
          <w:szCs w:val="24"/>
          <w:lang w:val="ro-MD"/>
        </w:rPr>
        <w:t>,</w:t>
      </w:r>
      <w:r w:rsidR="007F6C1F" w:rsidRPr="003836D9">
        <w:rPr>
          <w:rFonts w:ascii="Times New Roman" w:eastAsia="Times New Roman" w:hAnsi="Times New Roman" w:cs="Times New Roman"/>
          <w:color w:val="000000"/>
          <w:sz w:val="24"/>
          <w:szCs w:val="24"/>
          <w:lang w:val="ro-MD"/>
        </w:rPr>
        <w:t>5</w:t>
      </w:r>
      <w:r w:rsidRPr="003836D9">
        <w:rPr>
          <w:rFonts w:ascii="Times New Roman" w:eastAsia="Times New Roman" w:hAnsi="Times New Roman" w:cs="Times New Roman"/>
          <w:color w:val="000000"/>
          <w:sz w:val="24"/>
          <w:szCs w:val="24"/>
          <w:lang w:val="ro-MD"/>
        </w:rPr>
        <w:t xml:space="preserve"> procente pentru bărbați</w:t>
      </w:r>
      <w:r w:rsidR="00754D1D" w:rsidRPr="003836D9">
        <w:rPr>
          <w:rFonts w:ascii="Times New Roman" w:eastAsia="Times New Roman" w:hAnsi="Times New Roman" w:cs="Times New Roman"/>
          <w:color w:val="000000"/>
          <w:sz w:val="24"/>
          <w:szCs w:val="24"/>
          <w:lang w:val="ro-MD"/>
        </w:rPr>
        <w:t>,</w:t>
      </w:r>
      <w:r w:rsidR="00EF0636">
        <w:rPr>
          <w:rFonts w:ascii="Times New Roman" w:eastAsia="Times New Roman" w:hAnsi="Times New Roman" w:cs="Times New Roman"/>
          <w:color w:val="000000"/>
          <w:sz w:val="24"/>
          <w:szCs w:val="24"/>
          <w:lang w:val="ro-MD"/>
        </w:rPr>
        <w:t xml:space="preserve"> </w:t>
      </w:r>
      <w:r w:rsidR="00754D1D" w:rsidRPr="003836D9">
        <w:rPr>
          <w:rFonts w:ascii="Times New Roman" w:eastAsia="Times New Roman" w:hAnsi="Times New Roman" w:cs="Times New Roman"/>
          <w:color w:val="000000"/>
          <w:sz w:val="24"/>
          <w:szCs w:val="24"/>
          <w:lang w:val="ro-MD"/>
        </w:rPr>
        <w:t xml:space="preserve">fiind </w:t>
      </w:r>
      <w:r w:rsidRPr="003836D9">
        <w:rPr>
          <w:rFonts w:ascii="Times New Roman" w:eastAsia="Times New Roman" w:hAnsi="Times New Roman" w:cs="Times New Roman"/>
          <w:color w:val="000000"/>
          <w:sz w:val="24"/>
          <w:szCs w:val="24"/>
          <w:lang w:val="ro-MD"/>
        </w:rPr>
        <w:t xml:space="preserve">într-o tendință de scădere față de 2014 (43,3 procente) și mult sub nivelul UE (56,8 procente pentru populația cu vârsta de 15 ani </w:t>
      </w:r>
      <w:r w:rsidR="00D91806" w:rsidRPr="003836D9">
        <w:rPr>
          <w:rFonts w:ascii="Times New Roman" w:eastAsia="Times New Roman" w:hAnsi="Times New Roman" w:cs="Times New Roman"/>
          <w:color w:val="000000"/>
          <w:sz w:val="24"/>
          <w:szCs w:val="24"/>
          <w:lang w:val="ro-MD"/>
        </w:rPr>
        <w:t>ș</w:t>
      </w:r>
      <w:r w:rsidRPr="003836D9">
        <w:rPr>
          <w:rFonts w:ascii="Times New Roman" w:eastAsia="Times New Roman" w:hAnsi="Times New Roman" w:cs="Times New Roman"/>
          <w:color w:val="000000"/>
          <w:sz w:val="24"/>
          <w:szCs w:val="24"/>
          <w:lang w:val="ro-MD"/>
        </w:rPr>
        <w:t>i peste). Ratele scăzute de participare se datorează scăderii ratelor de activitate în rândul femeilor (scădere cu 3,</w:t>
      </w:r>
      <w:r w:rsidR="007F6C1F" w:rsidRPr="003836D9">
        <w:rPr>
          <w:rFonts w:ascii="Times New Roman" w:eastAsia="Times New Roman" w:hAnsi="Times New Roman" w:cs="Times New Roman"/>
          <w:color w:val="000000"/>
          <w:sz w:val="24"/>
          <w:szCs w:val="24"/>
          <w:lang w:val="ro-MD"/>
        </w:rPr>
        <w:t>6</w:t>
      </w:r>
      <w:r w:rsidRPr="003836D9">
        <w:rPr>
          <w:rFonts w:ascii="Times New Roman" w:eastAsia="Times New Roman" w:hAnsi="Times New Roman" w:cs="Times New Roman"/>
          <w:color w:val="000000"/>
          <w:sz w:val="24"/>
          <w:szCs w:val="24"/>
          <w:lang w:val="ro-MD"/>
        </w:rPr>
        <w:t xml:space="preserve"> puncte procentuale în perioada 2014-202</w:t>
      </w:r>
      <w:r w:rsidR="007F6C1F"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 și în rândul tinerilor 15-24 de ani (scădere cu 2,</w:t>
      </w:r>
      <w:r w:rsidR="007F6C1F" w:rsidRPr="003836D9">
        <w:rPr>
          <w:rFonts w:ascii="Times New Roman" w:eastAsia="Times New Roman" w:hAnsi="Times New Roman" w:cs="Times New Roman"/>
          <w:color w:val="000000"/>
          <w:sz w:val="24"/>
          <w:szCs w:val="24"/>
          <w:lang w:val="ro-MD"/>
        </w:rPr>
        <w:t>5</w:t>
      </w:r>
      <w:r w:rsidRPr="003836D9">
        <w:rPr>
          <w:rFonts w:ascii="Times New Roman" w:eastAsia="Times New Roman" w:hAnsi="Times New Roman" w:cs="Times New Roman"/>
          <w:color w:val="000000"/>
          <w:sz w:val="24"/>
          <w:szCs w:val="24"/>
          <w:lang w:val="ro-MD"/>
        </w:rPr>
        <w:t xml:space="preserve"> puncte procentuale în aceeași perioadă)</w:t>
      </w:r>
      <w:r w:rsidR="005E7C98" w:rsidRPr="003836D9">
        <w:rPr>
          <w:rFonts w:ascii="Times New Roman" w:eastAsia="Times New Roman" w:hAnsi="Times New Roman" w:cs="Times New Roman"/>
          <w:color w:val="000000"/>
          <w:sz w:val="24"/>
          <w:szCs w:val="24"/>
          <w:lang w:val="ro-MD"/>
        </w:rPr>
        <w:t xml:space="preserve">, cauzate, în principal de ajustarea </w:t>
      </w:r>
      <w:r w:rsidR="005E7C98" w:rsidRPr="003836D9">
        <w:rPr>
          <w:rFonts w:ascii="Times New Roman" w:eastAsia="Times New Roman" w:hAnsi="Times New Roman" w:cs="Times New Roman"/>
          <w:color w:val="000000"/>
          <w:sz w:val="24"/>
          <w:szCs w:val="24"/>
          <w:lang w:val="ro-MD"/>
        </w:rPr>
        <w:lastRenderedPageBreak/>
        <w:t xml:space="preserve">definiției </w:t>
      </w:r>
      <w:r w:rsidR="005E7C98" w:rsidRPr="003836D9">
        <w:rPr>
          <w:rFonts w:ascii="Times New Roman" w:eastAsia="Times New Roman" w:hAnsi="Times New Roman" w:cs="Times New Roman"/>
          <w:i/>
          <w:color w:val="000000"/>
          <w:sz w:val="24"/>
          <w:szCs w:val="24"/>
          <w:lang w:val="ro-MD"/>
        </w:rPr>
        <w:t>ocupării</w:t>
      </w:r>
      <w:r w:rsidR="005E7C98" w:rsidRPr="003836D9">
        <w:rPr>
          <w:rFonts w:ascii="Times New Roman" w:eastAsia="Times New Roman" w:hAnsi="Times New Roman" w:cs="Times New Roman"/>
          <w:color w:val="000000"/>
          <w:sz w:val="24"/>
          <w:szCs w:val="24"/>
          <w:lang w:val="ro-MD"/>
        </w:rPr>
        <w:t xml:space="preserve"> la noul standard internațional</w:t>
      </w:r>
      <w:r w:rsidR="005E7C98" w:rsidRPr="003836D9">
        <w:rPr>
          <w:rStyle w:val="FootnoteReference"/>
          <w:rFonts w:ascii="Times New Roman" w:eastAsia="Times New Roman" w:hAnsi="Times New Roman" w:cs="Times New Roman"/>
          <w:color w:val="000000"/>
          <w:sz w:val="24"/>
          <w:szCs w:val="24"/>
          <w:lang w:val="ro-MD"/>
        </w:rPr>
        <w:footnoteReference w:id="20"/>
      </w:r>
      <w:r w:rsidRPr="003836D9">
        <w:rPr>
          <w:rFonts w:ascii="Times New Roman" w:eastAsia="Times New Roman" w:hAnsi="Times New Roman" w:cs="Times New Roman"/>
          <w:color w:val="000000"/>
          <w:sz w:val="24"/>
          <w:szCs w:val="24"/>
          <w:lang w:val="ro-MD"/>
        </w:rPr>
        <w:t>. Pentru persoanele din grup</w:t>
      </w:r>
      <w:r w:rsidR="00D91806" w:rsidRPr="003836D9">
        <w:rPr>
          <w:rFonts w:ascii="Times New Roman" w:eastAsia="Times New Roman" w:hAnsi="Times New Roman" w:cs="Times New Roman"/>
          <w:color w:val="000000"/>
          <w:sz w:val="24"/>
          <w:szCs w:val="24"/>
          <w:lang w:val="ro-MD"/>
        </w:rPr>
        <w:t>ul</w:t>
      </w:r>
      <w:r w:rsidRPr="003836D9">
        <w:rPr>
          <w:rFonts w:ascii="Times New Roman" w:eastAsia="Times New Roman" w:hAnsi="Times New Roman" w:cs="Times New Roman"/>
          <w:color w:val="000000"/>
          <w:sz w:val="24"/>
          <w:szCs w:val="24"/>
          <w:lang w:val="ro-MD"/>
        </w:rPr>
        <w:t xml:space="preserve"> de vârstă 55-64 de ani, dimpotrivă, ratele de activitate au crescut </w:t>
      </w:r>
      <w:r w:rsidR="00CE0E83" w:rsidRPr="003836D9">
        <w:rPr>
          <w:rFonts w:ascii="Times New Roman" w:eastAsia="Times New Roman" w:hAnsi="Times New Roman" w:cs="Times New Roman"/>
          <w:color w:val="000000"/>
          <w:sz w:val="24"/>
          <w:szCs w:val="24"/>
          <w:lang w:val="ro-MD"/>
        </w:rPr>
        <w:t xml:space="preserve">cu 7 puncte procentuale </w:t>
      </w:r>
      <w:r w:rsidRPr="003836D9">
        <w:rPr>
          <w:rFonts w:ascii="Times New Roman" w:eastAsia="Times New Roman" w:hAnsi="Times New Roman" w:cs="Times New Roman"/>
          <w:color w:val="000000"/>
          <w:sz w:val="24"/>
          <w:szCs w:val="24"/>
          <w:lang w:val="ro-MD"/>
        </w:rPr>
        <w:t>în perioada 2014-2018, pentru a scădea apoi în 2019-202</w:t>
      </w:r>
      <w:r w:rsidR="00AF6B5A"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 xml:space="preserve">, cu </w:t>
      </w:r>
      <w:r w:rsidR="00AF6B5A"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w:t>
      </w:r>
      <w:r w:rsidR="00AF6B5A" w:rsidRPr="003836D9">
        <w:rPr>
          <w:rFonts w:ascii="Times New Roman" w:eastAsia="Times New Roman" w:hAnsi="Times New Roman" w:cs="Times New Roman"/>
          <w:color w:val="000000"/>
          <w:sz w:val="24"/>
          <w:szCs w:val="24"/>
          <w:lang w:val="ro-MD"/>
        </w:rPr>
        <w:t>6</w:t>
      </w:r>
      <w:r w:rsidRPr="003836D9">
        <w:rPr>
          <w:rFonts w:ascii="Times New Roman" w:eastAsia="Times New Roman" w:hAnsi="Times New Roman" w:cs="Times New Roman"/>
          <w:color w:val="000000"/>
          <w:sz w:val="24"/>
          <w:szCs w:val="24"/>
          <w:lang w:val="ro-MD"/>
        </w:rPr>
        <w:t xml:space="preserve"> puncte procentuale</w:t>
      </w:r>
      <w:r w:rsidR="00E90F80" w:rsidRPr="003836D9">
        <w:rPr>
          <w:rFonts w:ascii="Times New Roman" w:eastAsia="Times New Roman" w:hAnsi="Times New Roman" w:cs="Times New Roman"/>
          <w:color w:val="000000"/>
          <w:sz w:val="24"/>
          <w:szCs w:val="24"/>
          <w:lang w:val="ro-MD"/>
        </w:rPr>
        <w:t xml:space="preserve">. </w:t>
      </w:r>
    </w:p>
    <w:p w14:paraId="3ABC6654" w14:textId="77777777" w:rsidR="00B72393" w:rsidRPr="003836D9" w:rsidRDefault="00B72393" w:rsidP="00754D1D">
      <w:pPr>
        <w:jc w:val="both"/>
        <w:rPr>
          <w:rFonts w:ascii="Times New Roman" w:eastAsia="Times New Roman" w:hAnsi="Times New Roman" w:cs="Times New Roman"/>
          <w:color w:val="000000"/>
          <w:sz w:val="24"/>
          <w:szCs w:val="24"/>
          <w:lang w:val="ro-MD"/>
        </w:rPr>
      </w:pPr>
    </w:p>
    <w:p w14:paraId="24C1BA97" w14:textId="64298C6B" w:rsidR="00695436" w:rsidRPr="003836D9" w:rsidRDefault="00D94B6B" w:rsidP="00343DA8">
      <w:pPr>
        <w:autoSpaceDE w:val="0"/>
        <w:autoSpaceDN w:val="0"/>
        <w:adjustRightInd w:val="0"/>
        <w:ind w:left="1276"/>
        <w:jc w:val="both"/>
        <w:rPr>
          <w:rFonts w:ascii="Times New Roman" w:hAnsi="Times New Roman" w:cs="Times New Roman"/>
          <w:b/>
          <w:sz w:val="20"/>
          <w:szCs w:val="20"/>
          <w:lang w:val="ro-MD"/>
        </w:rPr>
      </w:pPr>
      <w:bookmarkStart w:id="18" w:name="_Ref58326914"/>
      <w:bookmarkStart w:id="19" w:name="_Hlk515271310"/>
      <w:r>
        <w:rPr>
          <w:rFonts w:ascii="Times New Roman" w:hAnsi="Times New Roman" w:cs="Times New Roman"/>
          <w:b/>
          <w:sz w:val="20"/>
          <w:szCs w:val="20"/>
          <w:lang w:val="ro-MD"/>
        </w:rPr>
        <w:t>Fig.</w:t>
      </w:r>
      <w:r w:rsidR="00695436" w:rsidRPr="003836D9">
        <w:rPr>
          <w:rFonts w:ascii="Times New Roman" w:hAnsi="Times New Roman" w:cs="Times New Roman"/>
          <w:b/>
          <w:sz w:val="20"/>
          <w:szCs w:val="20"/>
          <w:lang w:val="ro-MD"/>
        </w:rPr>
        <w:t xml:space="preserve"> </w:t>
      </w:r>
      <w:bookmarkEnd w:id="18"/>
      <w:r w:rsidR="00672E3B" w:rsidRPr="003836D9">
        <w:rPr>
          <w:rFonts w:ascii="Times New Roman" w:hAnsi="Times New Roman" w:cs="Times New Roman"/>
          <w:b/>
          <w:sz w:val="20"/>
          <w:szCs w:val="20"/>
          <w:lang w:val="ro-MD"/>
        </w:rPr>
        <w:t>8</w:t>
      </w:r>
      <w:r w:rsidR="00392A80">
        <w:rPr>
          <w:rFonts w:ascii="Times New Roman" w:hAnsi="Times New Roman" w:cs="Times New Roman"/>
          <w:b/>
          <w:sz w:val="20"/>
          <w:szCs w:val="20"/>
          <w:lang w:val="ro-MD"/>
        </w:rPr>
        <w:t>.</w:t>
      </w:r>
      <w:r w:rsidR="00695436" w:rsidRPr="003836D9">
        <w:rPr>
          <w:rFonts w:ascii="Times New Roman" w:hAnsi="Times New Roman" w:cs="Times New Roman"/>
          <w:b/>
          <w:sz w:val="20"/>
          <w:szCs w:val="20"/>
          <w:lang w:val="ro-MD"/>
        </w:rPr>
        <w:t xml:space="preserve"> </w:t>
      </w:r>
      <w:r w:rsidR="009D3243" w:rsidRPr="003836D9">
        <w:rPr>
          <w:rFonts w:ascii="Times New Roman" w:hAnsi="Times New Roman" w:cs="Times New Roman"/>
          <w:b/>
          <w:sz w:val="20"/>
          <w:szCs w:val="20"/>
          <w:lang w:val="ro-MD"/>
        </w:rPr>
        <w:t>Participarea forței de muncă a tinerilor și adulților, după sex</w:t>
      </w:r>
      <w:r w:rsidR="00695436" w:rsidRPr="003836D9">
        <w:rPr>
          <w:rFonts w:ascii="Times New Roman" w:hAnsi="Times New Roman" w:cs="Times New Roman"/>
          <w:b/>
          <w:sz w:val="20"/>
          <w:szCs w:val="20"/>
          <w:lang w:val="ro-MD"/>
        </w:rPr>
        <w:t>, 201</w:t>
      </w:r>
      <w:r w:rsidR="00672E3B" w:rsidRPr="003836D9">
        <w:rPr>
          <w:rFonts w:ascii="Times New Roman" w:hAnsi="Times New Roman" w:cs="Times New Roman"/>
          <w:b/>
          <w:sz w:val="20"/>
          <w:szCs w:val="20"/>
          <w:lang w:val="ro-MD"/>
        </w:rPr>
        <w:t>4</w:t>
      </w:r>
      <w:r w:rsidR="00443010" w:rsidRPr="003836D9">
        <w:rPr>
          <w:rFonts w:ascii="Times New Roman" w:hAnsi="Times New Roman" w:cs="Times New Roman"/>
          <w:b/>
          <w:sz w:val="20"/>
          <w:szCs w:val="20"/>
          <w:lang w:val="ro-MD"/>
        </w:rPr>
        <w:t>-2021</w:t>
      </w:r>
    </w:p>
    <w:bookmarkEnd w:id="19"/>
    <w:p w14:paraId="371FFC36" w14:textId="442B7FC5" w:rsidR="00695436" w:rsidRPr="00163285" w:rsidRDefault="00163285" w:rsidP="00163285">
      <w:pPr>
        <w:autoSpaceDE w:val="0"/>
        <w:autoSpaceDN w:val="0"/>
        <w:adjustRightInd w:val="0"/>
        <w:jc w:val="center"/>
        <w:rPr>
          <w:rFonts w:ascii="Times New Roman" w:hAnsi="Times New Roman" w:cs="Times New Roman"/>
          <w:noProof/>
          <w:lang w:val="en-US"/>
        </w:rPr>
      </w:pPr>
      <w:r w:rsidRPr="00163285">
        <w:rPr>
          <w:rFonts w:ascii="Times New Roman" w:hAnsi="Times New Roman" w:cs="Times New Roman"/>
          <w:noProof/>
          <w:lang w:val="ru-RU" w:eastAsia="ru-RU"/>
        </w:rPr>
        <w:drawing>
          <wp:inline distT="0" distB="0" distL="0" distR="0" wp14:anchorId="1A159152" wp14:editId="22C11C20">
            <wp:extent cx="4238625" cy="259339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2494" cy="2626359"/>
                    </a:xfrm>
                    <a:prstGeom prst="rect">
                      <a:avLst/>
                    </a:prstGeom>
                    <a:noFill/>
                    <a:ln>
                      <a:noFill/>
                    </a:ln>
                  </pic:spPr>
                </pic:pic>
              </a:graphicData>
            </a:graphic>
          </wp:inline>
        </w:drawing>
      </w:r>
    </w:p>
    <w:p w14:paraId="611B76C9" w14:textId="0C72B0C0" w:rsidR="00695436" w:rsidRPr="003836D9" w:rsidRDefault="00B72393" w:rsidP="00B72393">
      <w:pPr>
        <w:spacing w:before="120" w:after="120"/>
        <w:ind w:left="720" w:firstLine="720"/>
        <w:rPr>
          <w:rFonts w:ascii="Times New Roman" w:eastAsia="Times New Roman" w:hAnsi="Times New Roman" w:cs="Times New Roman"/>
          <w:i/>
          <w:color w:val="000000"/>
          <w:sz w:val="18"/>
          <w:szCs w:val="18"/>
          <w:lang w:val="ro-MD"/>
        </w:rPr>
      </w:pPr>
      <w:r>
        <w:rPr>
          <w:rFonts w:ascii="Times New Roman" w:eastAsia="Times New Roman" w:hAnsi="Times New Roman" w:cs="Times New Roman"/>
          <w:i/>
          <w:color w:val="000000"/>
          <w:sz w:val="18"/>
          <w:szCs w:val="18"/>
          <w:lang w:val="ro-MD"/>
        </w:rPr>
        <w:t xml:space="preserve"> </w:t>
      </w:r>
      <w:r w:rsidR="009D3243" w:rsidRPr="003836D9">
        <w:rPr>
          <w:rFonts w:ascii="Times New Roman" w:eastAsia="Times New Roman" w:hAnsi="Times New Roman" w:cs="Times New Roman"/>
          <w:i/>
          <w:color w:val="000000"/>
          <w:sz w:val="18"/>
          <w:szCs w:val="18"/>
          <w:lang w:val="ro-MD"/>
        </w:rPr>
        <w:t xml:space="preserve">Sursa: </w:t>
      </w:r>
      <w:r w:rsidR="009D3243" w:rsidRPr="003836D9">
        <w:rPr>
          <w:rFonts w:ascii="Times New Roman" w:eastAsia="Times New Roman" w:hAnsi="Times New Roman" w:cs="Times New Roman"/>
          <w:iCs/>
          <w:color w:val="000000"/>
          <w:sz w:val="18"/>
          <w:szCs w:val="18"/>
          <w:lang w:val="ro-MD"/>
        </w:rPr>
        <w:t>Elaborare în baza datelor Anchetei Forței de Muncă, diverși ani</w:t>
      </w:r>
    </w:p>
    <w:p w14:paraId="20607E35" w14:textId="0F5AD829" w:rsidR="002B453B" w:rsidRPr="003836D9" w:rsidRDefault="002B453B" w:rsidP="002B453B">
      <w:pPr>
        <w:autoSpaceDE w:val="0"/>
        <w:autoSpaceDN w:val="0"/>
        <w:adjustRightInd w:val="0"/>
        <w:spacing w:after="0" w:line="240" w:lineRule="auto"/>
        <w:jc w:val="center"/>
        <w:rPr>
          <w:rFonts w:ascii="Times New Roman" w:hAnsi="Times New Roman" w:cs="Times New Roman"/>
          <w:sz w:val="24"/>
          <w:szCs w:val="24"/>
          <w:lang w:val="ro-MD"/>
        </w:rPr>
      </w:pPr>
    </w:p>
    <w:p w14:paraId="0350CF63" w14:textId="0D13396E" w:rsidR="00E90F80" w:rsidRDefault="00D91806" w:rsidP="00754D1D">
      <w:pPr>
        <w:jc w:val="both"/>
        <w:rPr>
          <w:rFonts w:ascii="Times New Roman" w:eastAsia="Times New Roman" w:hAnsi="Times New Roman" w:cs="Times New Roman"/>
          <w:color w:val="000000"/>
          <w:sz w:val="24"/>
          <w:szCs w:val="24"/>
          <w:lang w:val="ro-MO"/>
        </w:rPr>
      </w:pPr>
      <w:r w:rsidRPr="003836D9">
        <w:rPr>
          <w:rFonts w:ascii="Times New Roman" w:eastAsia="Times New Roman" w:hAnsi="Times New Roman" w:cs="Times New Roman"/>
          <w:sz w:val="24"/>
          <w:szCs w:val="24"/>
          <w:lang w:val="ro-MD"/>
        </w:rPr>
        <w:t>R</w:t>
      </w:r>
      <w:r w:rsidR="009D3243" w:rsidRPr="003836D9">
        <w:rPr>
          <w:rFonts w:ascii="Times New Roman" w:eastAsia="Times New Roman" w:hAnsi="Times New Roman" w:cs="Times New Roman"/>
          <w:sz w:val="24"/>
          <w:szCs w:val="24"/>
          <w:lang w:val="ro-MD"/>
        </w:rPr>
        <w:t xml:space="preserve">atele scăzute de activitate </w:t>
      </w:r>
      <w:r w:rsidRPr="003836D9">
        <w:rPr>
          <w:rFonts w:ascii="Times New Roman" w:eastAsia="Times New Roman" w:hAnsi="Times New Roman" w:cs="Times New Roman"/>
          <w:sz w:val="24"/>
          <w:szCs w:val="24"/>
          <w:lang w:val="ro-MD"/>
        </w:rPr>
        <w:t xml:space="preserve">pentru tineri </w:t>
      </w:r>
      <w:r w:rsidR="003D4EC1">
        <w:rPr>
          <w:rFonts w:ascii="Times New Roman" w:eastAsia="Times New Roman" w:hAnsi="Times New Roman" w:cs="Times New Roman"/>
          <w:sz w:val="24"/>
          <w:szCs w:val="24"/>
          <w:lang w:val="ro-MD"/>
        </w:rPr>
        <w:t>sunt cauzate</w:t>
      </w:r>
      <w:r w:rsidR="009D3243" w:rsidRPr="003836D9">
        <w:rPr>
          <w:rFonts w:ascii="Times New Roman" w:eastAsia="Times New Roman" w:hAnsi="Times New Roman" w:cs="Times New Roman"/>
          <w:sz w:val="24"/>
          <w:szCs w:val="24"/>
          <w:lang w:val="ro-MD"/>
        </w:rPr>
        <w:t xml:space="preserve"> în mare parte</w:t>
      </w:r>
      <w:r w:rsidR="003D4EC1">
        <w:rPr>
          <w:rFonts w:ascii="Times New Roman" w:eastAsia="Times New Roman" w:hAnsi="Times New Roman" w:cs="Times New Roman"/>
          <w:sz w:val="24"/>
          <w:szCs w:val="24"/>
          <w:lang w:val="ro-MD"/>
        </w:rPr>
        <w:t xml:space="preserve"> de</w:t>
      </w:r>
      <w:r w:rsidR="009D3243" w:rsidRPr="003836D9">
        <w:rPr>
          <w:rFonts w:ascii="Times New Roman" w:eastAsia="Times New Roman" w:hAnsi="Times New Roman" w:cs="Times New Roman"/>
          <w:sz w:val="24"/>
          <w:szCs w:val="24"/>
          <w:lang w:val="ro-MD"/>
        </w:rPr>
        <w:t xml:space="preserve"> parti</w:t>
      </w:r>
      <w:r w:rsidR="003D4EC1">
        <w:rPr>
          <w:rFonts w:ascii="Times New Roman" w:eastAsia="Times New Roman" w:hAnsi="Times New Roman" w:cs="Times New Roman"/>
          <w:sz w:val="24"/>
          <w:szCs w:val="24"/>
          <w:lang w:val="ro-MD"/>
        </w:rPr>
        <w:t>cipărea</w:t>
      </w:r>
      <w:r w:rsidR="006F5721" w:rsidRPr="003836D9">
        <w:rPr>
          <w:rFonts w:ascii="Times New Roman" w:eastAsia="Times New Roman" w:hAnsi="Times New Roman" w:cs="Times New Roman"/>
          <w:sz w:val="24"/>
          <w:szCs w:val="24"/>
          <w:lang w:val="ro-MD"/>
        </w:rPr>
        <w:t xml:space="preserve"> la educație (aproape </w:t>
      </w:r>
      <w:r w:rsidR="00275564">
        <w:rPr>
          <w:rFonts w:ascii="Times New Roman" w:eastAsia="Times New Roman" w:hAnsi="Times New Roman" w:cs="Times New Roman"/>
          <w:sz w:val="24"/>
          <w:szCs w:val="24"/>
          <w:lang w:val="ro-MD"/>
        </w:rPr>
        <w:t>7</w:t>
      </w:r>
      <w:r w:rsidR="009D3243" w:rsidRPr="003836D9">
        <w:rPr>
          <w:rFonts w:ascii="Times New Roman" w:eastAsia="Times New Roman" w:hAnsi="Times New Roman" w:cs="Times New Roman"/>
          <w:sz w:val="24"/>
          <w:szCs w:val="24"/>
          <w:lang w:val="ro-MD"/>
        </w:rPr>
        <w:t xml:space="preserve"> din </w:t>
      </w:r>
      <w:r w:rsidR="00275564">
        <w:rPr>
          <w:rFonts w:ascii="Times New Roman" w:eastAsia="Times New Roman" w:hAnsi="Times New Roman" w:cs="Times New Roman"/>
          <w:sz w:val="24"/>
          <w:szCs w:val="24"/>
          <w:lang w:val="ro-MD"/>
        </w:rPr>
        <w:t>10</w:t>
      </w:r>
      <w:r w:rsidR="009D3243" w:rsidRPr="003836D9">
        <w:rPr>
          <w:rFonts w:ascii="Times New Roman" w:eastAsia="Times New Roman" w:hAnsi="Times New Roman" w:cs="Times New Roman"/>
          <w:sz w:val="24"/>
          <w:szCs w:val="24"/>
          <w:lang w:val="ro-MD"/>
        </w:rPr>
        <w:t xml:space="preserve"> tineri din grup</w:t>
      </w:r>
      <w:r w:rsidR="00CE0E83" w:rsidRPr="003836D9">
        <w:rPr>
          <w:rFonts w:ascii="Times New Roman" w:eastAsia="Times New Roman" w:hAnsi="Times New Roman" w:cs="Times New Roman"/>
          <w:sz w:val="24"/>
          <w:szCs w:val="24"/>
          <w:lang w:val="ro-MD"/>
        </w:rPr>
        <w:t>ul</w:t>
      </w:r>
      <w:r w:rsidR="009D3243" w:rsidRPr="003836D9">
        <w:rPr>
          <w:rFonts w:ascii="Times New Roman" w:eastAsia="Times New Roman" w:hAnsi="Times New Roman" w:cs="Times New Roman"/>
          <w:sz w:val="24"/>
          <w:szCs w:val="24"/>
          <w:lang w:val="ro-MD"/>
        </w:rPr>
        <w:t xml:space="preserve"> de vârstă 15-24 sunt </w:t>
      </w:r>
      <w:r w:rsidR="006F5721" w:rsidRPr="003836D9">
        <w:rPr>
          <w:rFonts w:ascii="Times New Roman" w:eastAsia="Times New Roman" w:hAnsi="Times New Roman" w:cs="Times New Roman"/>
          <w:sz w:val="24"/>
          <w:szCs w:val="24"/>
          <w:lang w:val="ro-MD"/>
        </w:rPr>
        <w:t>elevi</w:t>
      </w:r>
      <w:r w:rsidR="009D3243" w:rsidRPr="003836D9">
        <w:rPr>
          <w:rFonts w:ascii="Times New Roman" w:eastAsia="Times New Roman" w:hAnsi="Times New Roman" w:cs="Times New Roman"/>
          <w:sz w:val="24"/>
          <w:szCs w:val="24"/>
          <w:lang w:val="ro-MD"/>
        </w:rPr>
        <w:t>). Pentru femeile adulte (25-64 de ani), ratele scă</w:t>
      </w:r>
      <w:r w:rsidR="003D4EC1">
        <w:rPr>
          <w:rFonts w:ascii="Times New Roman" w:eastAsia="Times New Roman" w:hAnsi="Times New Roman" w:cs="Times New Roman"/>
          <w:sz w:val="24"/>
          <w:szCs w:val="24"/>
          <w:lang w:val="ro-MD"/>
        </w:rPr>
        <w:t>zute de participare sunt cauzate</w:t>
      </w:r>
      <w:r w:rsidR="009D3243" w:rsidRPr="003836D9">
        <w:rPr>
          <w:rFonts w:ascii="Times New Roman" w:eastAsia="Times New Roman" w:hAnsi="Times New Roman" w:cs="Times New Roman"/>
          <w:sz w:val="24"/>
          <w:szCs w:val="24"/>
          <w:lang w:val="ro-MD"/>
        </w:rPr>
        <w:t xml:space="preserve"> parțial </w:t>
      </w:r>
      <w:r w:rsidR="003D4EC1">
        <w:rPr>
          <w:rFonts w:ascii="Times New Roman" w:eastAsia="Times New Roman" w:hAnsi="Times New Roman" w:cs="Times New Roman"/>
          <w:sz w:val="24"/>
          <w:szCs w:val="24"/>
          <w:lang w:val="ro-MD"/>
        </w:rPr>
        <w:t>de responsabilitățile</w:t>
      </w:r>
      <w:r w:rsidR="009D3243" w:rsidRPr="003836D9">
        <w:rPr>
          <w:rFonts w:ascii="Times New Roman" w:eastAsia="Times New Roman" w:hAnsi="Times New Roman" w:cs="Times New Roman"/>
          <w:sz w:val="24"/>
          <w:szCs w:val="24"/>
          <w:lang w:val="ro-MD"/>
        </w:rPr>
        <w:t xml:space="preserve"> casnice și de îngrijire </w:t>
      </w:r>
      <w:r w:rsidR="006F5721" w:rsidRPr="003836D9">
        <w:rPr>
          <w:rFonts w:ascii="Times New Roman" w:eastAsia="Times New Roman" w:hAnsi="Times New Roman" w:cs="Times New Roman"/>
          <w:sz w:val="24"/>
          <w:szCs w:val="24"/>
          <w:lang w:val="ro-MD"/>
        </w:rPr>
        <w:t>(</w:t>
      </w:r>
      <w:r w:rsidR="009D3243" w:rsidRPr="003836D9">
        <w:rPr>
          <w:rFonts w:ascii="Times New Roman" w:eastAsia="Times New Roman" w:hAnsi="Times New Roman" w:cs="Times New Roman"/>
          <w:sz w:val="24"/>
          <w:szCs w:val="24"/>
          <w:lang w:val="ro-MD"/>
        </w:rPr>
        <w:t>3</w:t>
      </w:r>
      <w:r w:rsidR="006F5721" w:rsidRPr="003836D9">
        <w:rPr>
          <w:rFonts w:ascii="Times New Roman" w:eastAsia="Times New Roman" w:hAnsi="Times New Roman" w:cs="Times New Roman"/>
          <w:sz w:val="24"/>
          <w:szCs w:val="24"/>
          <w:lang w:val="ro-MD"/>
        </w:rPr>
        <w:t>8</w:t>
      </w:r>
      <w:r w:rsidR="009D3243" w:rsidRPr="003836D9">
        <w:rPr>
          <w:rFonts w:ascii="Times New Roman" w:eastAsia="Times New Roman" w:hAnsi="Times New Roman" w:cs="Times New Roman"/>
          <w:sz w:val="24"/>
          <w:szCs w:val="24"/>
          <w:lang w:val="ro-MD"/>
        </w:rPr>
        <w:t>,</w:t>
      </w:r>
      <w:r w:rsidR="006F5721" w:rsidRPr="003836D9">
        <w:rPr>
          <w:rFonts w:ascii="Times New Roman" w:eastAsia="Times New Roman" w:hAnsi="Times New Roman" w:cs="Times New Roman"/>
          <w:sz w:val="24"/>
          <w:szCs w:val="24"/>
          <w:lang w:val="ro-MD"/>
        </w:rPr>
        <w:t>6</w:t>
      </w:r>
      <w:r w:rsidR="009D3243" w:rsidRPr="003836D9">
        <w:rPr>
          <w:rFonts w:ascii="Times New Roman" w:eastAsia="Times New Roman" w:hAnsi="Times New Roman" w:cs="Times New Roman"/>
          <w:sz w:val="24"/>
          <w:szCs w:val="24"/>
          <w:lang w:val="ro-MD"/>
        </w:rPr>
        <w:t xml:space="preserve"> procente din toate femeile inactive antrenate în </w:t>
      </w:r>
      <w:r w:rsidR="006F5721" w:rsidRPr="003836D9">
        <w:rPr>
          <w:rFonts w:ascii="Times New Roman" w:eastAsia="Times New Roman" w:hAnsi="Times New Roman" w:cs="Times New Roman"/>
          <w:sz w:val="24"/>
          <w:szCs w:val="24"/>
          <w:lang w:val="ro-MD"/>
        </w:rPr>
        <w:t>responsabilități casnice)</w:t>
      </w:r>
      <w:r w:rsidR="009D3243" w:rsidRPr="003836D9">
        <w:rPr>
          <w:rFonts w:ascii="Times New Roman" w:eastAsia="Times New Roman" w:hAnsi="Times New Roman" w:cs="Times New Roman"/>
          <w:sz w:val="24"/>
          <w:szCs w:val="24"/>
          <w:lang w:val="ro-MD"/>
        </w:rPr>
        <w:t xml:space="preserve"> și </w:t>
      </w:r>
      <w:r w:rsidR="006F5721" w:rsidRPr="003836D9">
        <w:rPr>
          <w:rFonts w:ascii="Times New Roman" w:eastAsia="Times New Roman" w:hAnsi="Times New Roman" w:cs="Times New Roman"/>
          <w:sz w:val="24"/>
          <w:szCs w:val="24"/>
          <w:lang w:val="ro-MD"/>
        </w:rPr>
        <w:t>pensionării (</w:t>
      </w:r>
      <w:r w:rsidR="009D3243" w:rsidRPr="003836D9">
        <w:rPr>
          <w:rFonts w:ascii="Times New Roman" w:eastAsia="Times New Roman" w:hAnsi="Times New Roman" w:cs="Times New Roman"/>
          <w:sz w:val="24"/>
          <w:szCs w:val="24"/>
          <w:lang w:val="ro-MD"/>
        </w:rPr>
        <w:t>3</w:t>
      </w:r>
      <w:r w:rsidR="006F5721" w:rsidRPr="003836D9">
        <w:rPr>
          <w:rFonts w:ascii="Times New Roman" w:eastAsia="Times New Roman" w:hAnsi="Times New Roman" w:cs="Times New Roman"/>
          <w:sz w:val="24"/>
          <w:szCs w:val="24"/>
          <w:lang w:val="ro-MD"/>
        </w:rPr>
        <w:t>8</w:t>
      </w:r>
      <w:r w:rsidR="009D3243" w:rsidRPr="003836D9">
        <w:rPr>
          <w:rFonts w:ascii="Times New Roman" w:eastAsia="Times New Roman" w:hAnsi="Times New Roman" w:cs="Times New Roman"/>
          <w:sz w:val="24"/>
          <w:szCs w:val="24"/>
          <w:lang w:val="ro-MD"/>
        </w:rPr>
        <w:t>,</w:t>
      </w:r>
      <w:r w:rsidR="006F5721" w:rsidRPr="003836D9">
        <w:rPr>
          <w:rFonts w:ascii="Times New Roman" w:eastAsia="Times New Roman" w:hAnsi="Times New Roman" w:cs="Times New Roman"/>
          <w:sz w:val="24"/>
          <w:szCs w:val="24"/>
          <w:lang w:val="ro-MD"/>
        </w:rPr>
        <w:t>2</w:t>
      </w:r>
      <w:r w:rsidR="009D3243" w:rsidRPr="003836D9">
        <w:rPr>
          <w:rFonts w:ascii="Times New Roman" w:eastAsia="Times New Roman" w:hAnsi="Times New Roman" w:cs="Times New Roman"/>
          <w:sz w:val="24"/>
          <w:szCs w:val="24"/>
          <w:lang w:val="ro-MD"/>
        </w:rPr>
        <w:t xml:space="preserve"> procente dintre toate femeile inactive</w:t>
      </w:r>
      <w:r w:rsidR="00275564">
        <w:rPr>
          <w:rFonts w:ascii="Times New Roman" w:eastAsia="Times New Roman" w:hAnsi="Times New Roman" w:cs="Times New Roman"/>
          <w:sz w:val="24"/>
          <w:szCs w:val="24"/>
          <w:lang w:val="ro-MD"/>
        </w:rPr>
        <w:t>,</w:t>
      </w:r>
      <w:r w:rsidR="009D3243" w:rsidRPr="003836D9">
        <w:rPr>
          <w:rFonts w:ascii="Times New Roman" w:eastAsia="Times New Roman" w:hAnsi="Times New Roman" w:cs="Times New Roman"/>
          <w:sz w:val="24"/>
          <w:szCs w:val="24"/>
          <w:lang w:val="ro-MD"/>
        </w:rPr>
        <w:t xml:space="preserve"> 25-64</w:t>
      </w:r>
      <w:r w:rsidR="00275564">
        <w:rPr>
          <w:rFonts w:ascii="Times New Roman" w:eastAsia="Times New Roman" w:hAnsi="Times New Roman" w:cs="Times New Roman"/>
          <w:sz w:val="24"/>
          <w:szCs w:val="24"/>
          <w:lang w:val="ro-MD"/>
        </w:rPr>
        <w:t xml:space="preserve"> ani</w:t>
      </w:r>
      <w:r w:rsidR="009D3243" w:rsidRPr="003836D9">
        <w:rPr>
          <w:rFonts w:ascii="Times New Roman" w:eastAsia="Times New Roman" w:hAnsi="Times New Roman" w:cs="Times New Roman"/>
          <w:sz w:val="24"/>
          <w:szCs w:val="24"/>
          <w:lang w:val="ro-MD"/>
        </w:rPr>
        <w:t xml:space="preserve"> fiind inactive din acest motiv în 2020</w:t>
      </w:r>
      <w:r w:rsidR="006F5721" w:rsidRPr="003836D9">
        <w:rPr>
          <w:rFonts w:ascii="Times New Roman" w:eastAsia="Times New Roman" w:hAnsi="Times New Roman" w:cs="Times New Roman"/>
          <w:sz w:val="24"/>
          <w:szCs w:val="24"/>
          <w:lang w:val="ro-MD"/>
        </w:rPr>
        <w:t xml:space="preserve">), comparativ cu </w:t>
      </w:r>
      <w:r w:rsidR="009D3243" w:rsidRPr="003836D9">
        <w:rPr>
          <w:rFonts w:ascii="Times New Roman" w:eastAsia="Times New Roman" w:hAnsi="Times New Roman" w:cs="Times New Roman"/>
          <w:sz w:val="24"/>
          <w:szCs w:val="24"/>
          <w:lang w:val="ro-MD"/>
        </w:rPr>
        <w:t>26,7 procente pentru bărbați</w:t>
      </w:r>
      <w:r w:rsidR="007244D8" w:rsidRPr="003836D9">
        <w:rPr>
          <w:rFonts w:ascii="Times New Roman" w:eastAsia="Times New Roman" w:hAnsi="Times New Roman" w:cs="Times New Roman"/>
          <w:color w:val="000000"/>
          <w:sz w:val="24"/>
          <w:szCs w:val="24"/>
          <w:lang w:val="ro-MD"/>
        </w:rPr>
        <w:t>.</w:t>
      </w:r>
      <w:r w:rsidR="007244D8" w:rsidRPr="003836D9">
        <w:rPr>
          <w:rStyle w:val="FootnoteReference"/>
          <w:rFonts w:ascii="Times New Roman" w:eastAsia="Times New Roman" w:hAnsi="Times New Roman" w:cs="Times New Roman"/>
          <w:color w:val="000000"/>
          <w:sz w:val="24"/>
          <w:szCs w:val="24"/>
          <w:lang w:val="ro-MD"/>
        </w:rPr>
        <w:footnoteReference w:id="21"/>
      </w:r>
      <w:r w:rsidR="0028382E" w:rsidRPr="003836D9">
        <w:rPr>
          <w:rFonts w:ascii="Times New Roman" w:eastAsia="Times New Roman" w:hAnsi="Times New Roman" w:cs="Times New Roman"/>
          <w:color w:val="000000"/>
          <w:sz w:val="24"/>
          <w:szCs w:val="24"/>
          <w:lang w:val="ro-MD"/>
        </w:rPr>
        <w:t xml:space="preserve"> </w:t>
      </w:r>
    </w:p>
    <w:p w14:paraId="283BF78F" w14:textId="13905254" w:rsidR="00E3035D" w:rsidRDefault="00E3035D" w:rsidP="00E3035D">
      <w:pPr>
        <w:spacing w:after="0"/>
        <w:jc w:val="both"/>
        <w:rPr>
          <w:rFonts w:ascii="Times New Roman" w:hAnsi="Times New Roman" w:cs="Times New Roman"/>
          <w:color w:val="000000" w:themeColor="text1"/>
          <w:sz w:val="24"/>
          <w:szCs w:val="24"/>
          <w:shd w:val="clear" w:color="auto" w:fill="FFFFFF"/>
        </w:rPr>
      </w:pPr>
      <w:r w:rsidRPr="00E3035D">
        <w:rPr>
          <w:rFonts w:ascii="Times New Roman" w:hAnsi="Times New Roman" w:cs="Times New Roman"/>
          <w:color w:val="000000" w:themeColor="text1"/>
          <w:sz w:val="24"/>
          <w:szCs w:val="24"/>
          <w:shd w:val="clear" w:color="auto" w:fill="FFFFFF"/>
        </w:rPr>
        <w:t xml:space="preserve">Rata de </w:t>
      </w:r>
      <w:proofErr w:type="spellStart"/>
      <w:r w:rsidRPr="00E3035D">
        <w:rPr>
          <w:rFonts w:ascii="Times New Roman" w:hAnsi="Times New Roman" w:cs="Times New Roman"/>
          <w:color w:val="000000" w:themeColor="text1"/>
          <w:sz w:val="24"/>
          <w:szCs w:val="24"/>
          <w:shd w:val="clear" w:color="auto" w:fill="FFFFFF"/>
        </w:rPr>
        <w:t>participare</w:t>
      </w:r>
      <w:proofErr w:type="spellEnd"/>
      <w:r w:rsidRPr="00E3035D">
        <w:rPr>
          <w:rFonts w:ascii="Times New Roman" w:hAnsi="Times New Roman" w:cs="Times New Roman"/>
          <w:color w:val="000000" w:themeColor="text1"/>
          <w:sz w:val="24"/>
          <w:szCs w:val="24"/>
          <w:shd w:val="clear" w:color="auto" w:fill="FFFFFF"/>
        </w:rPr>
        <w:t xml:space="preserve"> la </w:t>
      </w:r>
      <w:proofErr w:type="spellStart"/>
      <w:r w:rsidRPr="00E3035D">
        <w:rPr>
          <w:rFonts w:ascii="Times New Roman" w:hAnsi="Times New Roman" w:cs="Times New Roman"/>
          <w:color w:val="000000" w:themeColor="text1"/>
          <w:sz w:val="24"/>
          <w:szCs w:val="24"/>
          <w:shd w:val="clear" w:color="auto" w:fill="FFFFFF"/>
        </w:rPr>
        <w:t>forța</w:t>
      </w:r>
      <w:proofErr w:type="spellEnd"/>
      <w:r w:rsidRPr="00E3035D">
        <w:rPr>
          <w:rFonts w:ascii="Times New Roman" w:hAnsi="Times New Roman" w:cs="Times New Roman"/>
          <w:color w:val="000000" w:themeColor="text1"/>
          <w:sz w:val="24"/>
          <w:szCs w:val="24"/>
          <w:shd w:val="clear" w:color="auto" w:fill="FFFFFF"/>
        </w:rPr>
        <w:t xml:space="preserve"> de </w:t>
      </w:r>
      <w:proofErr w:type="spellStart"/>
      <w:r w:rsidRPr="00E3035D">
        <w:rPr>
          <w:rFonts w:ascii="Times New Roman" w:hAnsi="Times New Roman" w:cs="Times New Roman"/>
          <w:color w:val="000000" w:themeColor="text1"/>
          <w:sz w:val="24"/>
          <w:szCs w:val="24"/>
          <w:shd w:val="clear" w:color="auto" w:fill="FFFFFF"/>
        </w:rPr>
        <w:t>muncă</w:t>
      </w:r>
      <w:proofErr w:type="spellEnd"/>
      <w:r w:rsidRPr="00E3035D">
        <w:rPr>
          <w:rFonts w:ascii="Times New Roman" w:hAnsi="Times New Roman" w:cs="Times New Roman"/>
          <w:color w:val="000000" w:themeColor="text1"/>
          <w:sz w:val="24"/>
          <w:szCs w:val="24"/>
          <w:shd w:val="clear" w:color="auto" w:fill="FFFFFF"/>
        </w:rPr>
        <w:t xml:space="preserve"> a</w:t>
      </w:r>
      <w:r>
        <w:rPr>
          <w:rFonts w:ascii="Times New Roman" w:hAnsi="Times New Roman" w:cs="Times New Roman"/>
          <w:color w:val="000000" w:themeColor="text1"/>
          <w:sz w:val="24"/>
          <w:szCs w:val="24"/>
          <w:shd w:val="clear" w:color="auto" w:fill="FFFFFF"/>
        </w:rPr>
        <w:t xml:space="preserve"> </w:t>
      </w:r>
      <w:proofErr w:type="spellStart"/>
      <w:r w:rsidRPr="00E3035D">
        <w:rPr>
          <w:rFonts w:ascii="Times New Roman" w:hAnsi="Times New Roman" w:cs="Times New Roman"/>
          <w:b/>
          <w:bCs/>
          <w:color w:val="000000" w:themeColor="text1"/>
          <w:sz w:val="24"/>
          <w:szCs w:val="24"/>
          <w:shd w:val="clear" w:color="auto" w:fill="FFFFFF"/>
        </w:rPr>
        <w:t>persoanelor</w:t>
      </w:r>
      <w:proofErr w:type="spellEnd"/>
      <w:r w:rsidRPr="00E3035D">
        <w:rPr>
          <w:rFonts w:ascii="Times New Roman" w:hAnsi="Times New Roman" w:cs="Times New Roman"/>
          <w:b/>
          <w:bCs/>
          <w:color w:val="000000" w:themeColor="text1"/>
          <w:sz w:val="24"/>
          <w:szCs w:val="24"/>
          <w:shd w:val="clear" w:color="auto" w:fill="FFFFFF"/>
        </w:rPr>
        <w:t xml:space="preserve"> cu dizabilități</w:t>
      </w:r>
      <w:r w:rsidRPr="00E3035D">
        <w:rPr>
          <w:rFonts w:ascii="Times New Roman" w:hAnsi="Times New Roman" w:cs="Times New Roman"/>
          <w:color w:val="000000" w:themeColor="text1"/>
          <w:sz w:val="24"/>
          <w:szCs w:val="24"/>
          <w:shd w:val="clear" w:color="auto" w:fill="FFFFFF"/>
          <w:vertAlign w:val="superscript"/>
        </w:rPr>
        <w:t>4</w:t>
      </w:r>
      <w:r>
        <w:rPr>
          <w:rFonts w:ascii="Times New Roman" w:hAnsi="Times New Roman" w:cs="Times New Roman"/>
          <w:color w:val="000000" w:themeColor="text1"/>
          <w:sz w:val="24"/>
          <w:szCs w:val="24"/>
          <w:shd w:val="clear" w:color="auto" w:fill="FFFFFF"/>
          <w:vertAlign w:val="superscript"/>
        </w:rPr>
        <w:t xml:space="preserve"> </w:t>
      </w:r>
      <w:r w:rsidRPr="00E3035D">
        <w:rPr>
          <w:rFonts w:ascii="Times New Roman" w:hAnsi="Times New Roman" w:cs="Times New Roman"/>
          <w:color w:val="000000" w:themeColor="text1"/>
          <w:sz w:val="24"/>
          <w:szCs w:val="24"/>
          <w:shd w:val="clear" w:color="auto" w:fill="FFFFFF"/>
        </w:rPr>
        <w:t xml:space="preserve">a </w:t>
      </w:r>
      <w:proofErr w:type="spellStart"/>
      <w:r w:rsidRPr="00E3035D">
        <w:rPr>
          <w:rFonts w:ascii="Times New Roman" w:hAnsi="Times New Roman" w:cs="Times New Roman"/>
          <w:color w:val="000000" w:themeColor="text1"/>
          <w:sz w:val="24"/>
          <w:szCs w:val="24"/>
          <w:shd w:val="clear" w:color="auto" w:fill="FFFFFF"/>
        </w:rPr>
        <w:t>constituit</w:t>
      </w:r>
      <w:proofErr w:type="spellEnd"/>
      <w:r w:rsidRPr="00E3035D">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în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anul</w:t>
      </w:r>
      <w:proofErr w:type="spellEnd"/>
      <w:r>
        <w:rPr>
          <w:rFonts w:ascii="Times New Roman" w:hAnsi="Times New Roman" w:cs="Times New Roman"/>
          <w:color w:val="000000" w:themeColor="text1"/>
          <w:sz w:val="24"/>
          <w:szCs w:val="24"/>
          <w:shd w:val="clear" w:color="auto" w:fill="FFFFFF"/>
        </w:rPr>
        <w:t xml:space="preserve"> 2021 - </w:t>
      </w:r>
      <w:r w:rsidRPr="00E3035D">
        <w:rPr>
          <w:rFonts w:ascii="Times New Roman" w:hAnsi="Times New Roman" w:cs="Times New Roman"/>
          <w:color w:val="000000" w:themeColor="text1"/>
          <w:sz w:val="24"/>
          <w:szCs w:val="24"/>
          <w:shd w:val="clear" w:color="auto" w:fill="FFFFFF"/>
        </w:rPr>
        <w:t xml:space="preserve">14,1%, </w:t>
      </w:r>
      <w:proofErr w:type="spellStart"/>
      <w:r w:rsidRPr="00E3035D">
        <w:rPr>
          <w:rFonts w:ascii="Times New Roman" w:hAnsi="Times New Roman" w:cs="Times New Roman"/>
          <w:color w:val="000000" w:themeColor="text1"/>
          <w:sz w:val="24"/>
          <w:szCs w:val="24"/>
          <w:shd w:val="clear" w:color="auto" w:fill="FFFFFF"/>
        </w:rPr>
        <w:t>inclusiv</w:t>
      </w:r>
      <w:proofErr w:type="spellEnd"/>
      <w:r w:rsidRPr="00E3035D">
        <w:rPr>
          <w:rFonts w:ascii="Times New Roman" w:hAnsi="Times New Roman" w:cs="Times New Roman"/>
          <w:color w:val="000000" w:themeColor="text1"/>
          <w:sz w:val="24"/>
          <w:szCs w:val="24"/>
          <w:shd w:val="clear" w:color="auto" w:fill="FFFFFF"/>
        </w:rPr>
        <w:t xml:space="preserve"> 14,1% la </w:t>
      </w:r>
      <w:proofErr w:type="spellStart"/>
      <w:r w:rsidRPr="00E3035D">
        <w:rPr>
          <w:rFonts w:ascii="Times New Roman" w:hAnsi="Times New Roman" w:cs="Times New Roman"/>
          <w:color w:val="000000" w:themeColor="text1"/>
          <w:sz w:val="24"/>
          <w:szCs w:val="24"/>
          <w:shd w:val="clear" w:color="auto" w:fill="FFFFFF"/>
        </w:rPr>
        <w:t>bărbați</w:t>
      </w:r>
      <w:proofErr w:type="spellEnd"/>
      <w:r w:rsidRPr="00E3035D">
        <w:rPr>
          <w:rFonts w:ascii="Times New Roman" w:hAnsi="Times New Roman" w:cs="Times New Roman"/>
          <w:color w:val="000000" w:themeColor="text1"/>
          <w:sz w:val="24"/>
          <w:szCs w:val="24"/>
          <w:shd w:val="clear" w:color="auto" w:fill="FFFFFF"/>
        </w:rPr>
        <w:t xml:space="preserve">, 13,9% la </w:t>
      </w:r>
      <w:proofErr w:type="spellStart"/>
      <w:r w:rsidRPr="00E3035D">
        <w:rPr>
          <w:rFonts w:ascii="Times New Roman" w:hAnsi="Times New Roman" w:cs="Times New Roman"/>
          <w:color w:val="000000" w:themeColor="text1"/>
          <w:sz w:val="24"/>
          <w:szCs w:val="24"/>
          <w:shd w:val="clear" w:color="auto" w:fill="FFFFFF"/>
        </w:rPr>
        <w:t>femei</w:t>
      </w:r>
      <w:proofErr w:type="spellEnd"/>
      <w:r w:rsidRPr="00E3035D">
        <w:rPr>
          <w:rFonts w:ascii="Times New Roman" w:hAnsi="Times New Roman" w:cs="Times New Roman"/>
          <w:color w:val="000000" w:themeColor="text1"/>
          <w:sz w:val="24"/>
          <w:szCs w:val="24"/>
          <w:shd w:val="clear" w:color="auto" w:fill="FFFFFF"/>
        </w:rPr>
        <w:t xml:space="preserve">, 15,9% </w:t>
      </w:r>
      <w:proofErr w:type="spellStart"/>
      <w:r w:rsidRPr="00E3035D">
        <w:rPr>
          <w:rFonts w:ascii="Times New Roman" w:hAnsi="Times New Roman" w:cs="Times New Roman"/>
          <w:color w:val="000000" w:themeColor="text1"/>
          <w:sz w:val="24"/>
          <w:szCs w:val="24"/>
          <w:shd w:val="clear" w:color="auto" w:fill="FFFFFF"/>
        </w:rPr>
        <w:t>în</w:t>
      </w:r>
      <w:proofErr w:type="spellEnd"/>
      <w:r w:rsidRPr="00E3035D">
        <w:rPr>
          <w:rFonts w:ascii="Times New Roman" w:hAnsi="Times New Roman" w:cs="Times New Roman"/>
          <w:color w:val="000000" w:themeColor="text1"/>
          <w:sz w:val="24"/>
          <w:szCs w:val="24"/>
          <w:shd w:val="clear" w:color="auto" w:fill="FFFFFF"/>
        </w:rPr>
        <w:t xml:space="preserve"> </w:t>
      </w:r>
      <w:proofErr w:type="spellStart"/>
      <w:r w:rsidRPr="00E3035D">
        <w:rPr>
          <w:rFonts w:ascii="Times New Roman" w:hAnsi="Times New Roman" w:cs="Times New Roman"/>
          <w:color w:val="000000" w:themeColor="text1"/>
          <w:sz w:val="24"/>
          <w:szCs w:val="24"/>
          <w:shd w:val="clear" w:color="auto" w:fill="FFFFFF"/>
        </w:rPr>
        <w:t>mediul</w:t>
      </w:r>
      <w:proofErr w:type="spellEnd"/>
      <w:r w:rsidRPr="00E3035D">
        <w:rPr>
          <w:rFonts w:ascii="Times New Roman" w:hAnsi="Times New Roman" w:cs="Times New Roman"/>
          <w:color w:val="000000" w:themeColor="text1"/>
          <w:sz w:val="24"/>
          <w:szCs w:val="24"/>
          <w:shd w:val="clear" w:color="auto" w:fill="FFFFFF"/>
        </w:rPr>
        <w:t xml:space="preserve"> urban </w:t>
      </w:r>
      <w:proofErr w:type="spellStart"/>
      <w:r w:rsidRPr="00E3035D">
        <w:rPr>
          <w:rFonts w:ascii="Times New Roman" w:hAnsi="Times New Roman" w:cs="Times New Roman"/>
          <w:color w:val="000000" w:themeColor="text1"/>
          <w:sz w:val="24"/>
          <w:szCs w:val="24"/>
          <w:shd w:val="clear" w:color="auto" w:fill="FFFFFF"/>
        </w:rPr>
        <w:t>și</w:t>
      </w:r>
      <w:proofErr w:type="spellEnd"/>
      <w:r w:rsidRPr="00E3035D">
        <w:rPr>
          <w:rFonts w:ascii="Times New Roman" w:hAnsi="Times New Roman" w:cs="Times New Roman"/>
          <w:color w:val="000000" w:themeColor="text1"/>
          <w:sz w:val="24"/>
          <w:szCs w:val="24"/>
          <w:shd w:val="clear" w:color="auto" w:fill="FFFFFF"/>
        </w:rPr>
        <w:t xml:space="preserve"> 13,3% </w:t>
      </w:r>
      <w:proofErr w:type="spellStart"/>
      <w:r w:rsidRPr="00E3035D">
        <w:rPr>
          <w:rFonts w:ascii="Times New Roman" w:hAnsi="Times New Roman" w:cs="Times New Roman"/>
          <w:color w:val="000000" w:themeColor="text1"/>
          <w:sz w:val="24"/>
          <w:szCs w:val="24"/>
          <w:shd w:val="clear" w:color="auto" w:fill="FFFFFF"/>
        </w:rPr>
        <w:t>în</w:t>
      </w:r>
      <w:proofErr w:type="spellEnd"/>
      <w:r w:rsidRPr="00E3035D">
        <w:rPr>
          <w:rFonts w:ascii="Times New Roman" w:hAnsi="Times New Roman" w:cs="Times New Roman"/>
          <w:color w:val="000000" w:themeColor="text1"/>
          <w:sz w:val="24"/>
          <w:szCs w:val="24"/>
          <w:shd w:val="clear" w:color="auto" w:fill="FFFFFF"/>
        </w:rPr>
        <w:t xml:space="preserve"> </w:t>
      </w:r>
      <w:proofErr w:type="spellStart"/>
      <w:r w:rsidRPr="00E3035D">
        <w:rPr>
          <w:rFonts w:ascii="Times New Roman" w:hAnsi="Times New Roman" w:cs="Times New Roman"/>
          <w:color w:val="000000" w:themeColor="text1"/>
          <w:sz w:val="24"/>
          <w:szCs w:val="24"/>
          <w:shd w:val="clear" w:color="auto" w:fill="FFFFFF"/>
        </w:rPr>
        <w:t>mediul</w:t>
      </w:r>
      <w:proofErr w:type="spellEnd"/>
      <w:r w:rsidRPr="00E3035D">
        <w:rPr>
          <w:rFonts w:ascii="Times New Roman" w:hAnsi="Times New Roman" w:cs="Times New Roman"/>
          <w:color w:val="000000" w:themeColor="text1"/>
          <w:sz w:val="24"/>
          <w:szCs w:val="24"/>
          <w:shd w:val="clear" w:color="auto" w:fill="FFFFFF"/>
        </w:rPr>
        <w:t xml:space="preserve"> rural.</w:t>
      </w:r>
    </w:p>
    <w:p w14:paraId="22B313D8" w14:textId="26047BFC" w:rsidR="00E3035D" w:rsidRPr="00E3035D" w:rsidRDefault="00E3035D" w:rsidP="00E3035D">
      <w:pPr>
        <w:spacing w:after="0"/>
        <w:jc w:val="both"/>
        <w:rPr>
          <w:rFonts w:ascii="Times New Roman" w:eastAsia="Times New Roman" w:hAnsi="Times New Roman" w:cs="Times New Roman"/>
          <w:color w:val="000000" w:themeColor="text1"/>
          <w:sz w:val="24"/>
          <w:szCs w:val="24"/>
          <w:lang w:val="ro-MO"/>
        </w:rPr>
      </w:pPr>
      <w:proofErr w:type="spellStart"/>
      <w:r>
        <w:rPr>
          <w:rFonts w:ascii="Times New Roman" w:hAnsi="Times New Roman" w:cs="Times New Roman"/>
          <w:color w:val="000000" w:themeColor="text1"/>
          <w:sz w:val="24"/>
          <w:szCs w:val="24"/>
          <w:shd w:val="clear" w:color="auto" w:fill="FFFFFF"/>
        </w:rPr>
        <w:t>Ratele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scăzute</w:t>
      </w:r>
      <w:proofErr w:type="spellEnd"/>
      <w:r>
        <w:rPr>
          <w:rFonts w:ascii="Times New Roman" w:hAnsi="Times New Roman" w:cs="Times New Roman"/>
          <w:color w:val="000000" w:themeColor="text1"/>
          <w:sz w:val="24"/>
          <w:szCs w:val="24"/>
          <w:shd w:val="clear" w:color="auto" w:fill="FFFFFF"/>
        </w:rPr>
        <w:t xml:space="preserve"> de </w:t>
      </w:r>
      <w:proofErr w:type="spellStart"/>
      <w:r>
        <w:rPr>
          <w:rFonts w:ascii="Times New Roman" w:hAnsi="Times New Roman" w:cs="Times New Roman"/>
          <w:color w:val="000000" w:themeColor="text1"/>
          <w:sz w:val="24"/>
          <w:szCs w:val="24"/>
          <w:shd w:val="clear" w:color="auto" w:fill="FFFFFF"/>
        </w:rPr>
        <w:t>participare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în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rîndul</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persoanelor</w:t>
      </w:r>
      <w:proofErr w:type="spellEnd"/>
      <w:r>
        <w:rPr>
          <w:rFonts w:ascii="Times New Roman" w:hAnsi="Times New Roman" w:cs="Times New Roman"/>
          <w:color w:val="000000" w:themeColor="text1"/>
          <w:sz w:val="24"/>
          <w:szCs w:val="24"/>
          <w:shd w:val="clear" w:color="auto" w:fill="FFFFFF"/>
        </w:rPr>
        <w:t xml:space="preserve"> cu </w:t>
      </w:r>
      <w:proofErr w:type="spellStart"/>
      <w:r>
        <w:rPr>
          <w:rFonts w:ascii="Times New Roman" w:hAnsi="Times New Roman" w:cs="Times New Roman"/>
          <w:color w:val="000000" w:themeColor="text1"/>
          <w:sz w:val="24"/>
          <w:szCs w:val="24"/>
          <w:shd w:val="clear" w:color="auto" w:fill="FFFFFF"/>
        </w:rPr>
        <w:t>dizabilități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sînt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cauzate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în</w:t>
      </w:r>
      <w:proofErr w:type="spellEnd"/>
      <w:r>
        <w:rPr>
          <w:rFonts w:ascii="Times New Roman" w:hAnsi="Times New Roman" w:cs="Times New Roman"/>
          <w:color w:val="000000" w:themeColor="text1"/>
          <w:sz w:val="24"/>
          <w:szCs w:val="24"/>
          <w:shd w:val="clear" w:color="auto" w:fill="FFFFFF"/>
        </w:rPr>
        <w:t xml:space="preserve"> mod special, de un </w:t>
      </w:r>
      <w:proofErr w:type="spellStart"/>
      <w:r>
        <w:rPr>
          <w:rFonts w:ascii="Times New Roman" w:hAnsi="Times New Roman" w:cs="Times New Roman"/>
          <w:color w:val="000000" w:themeColor="text1"/>
          <w:sz w:val="24"/>
          <w:szCs w:val="24"/>
          <w:shd w:val="clear" w:color="auto" w:fill="FFFFFF"/>
        </w:rPr>
        <w:t>nivel</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scăzut</w:t>
      </w:r>
      <w:proofErr w:type="spellEnd"/>
      <w:r>
        <w:rPr>
          <w:rFonts w:ascii="Times New Roman" w:hAnsi="Times New Roman" w:cs="Times New Roman"/>
          <w:color w:val="000000" w:themeColor="text1"/>
          <w:sz w:val="24"/>
          <w:szCs w:val="24"/>
          <w:shd w:val="clear" w:color="auto" w:fill="FFFFFF"/>
        </w:rPr>
        <w:t xml:space="preserve"> de </w:t>
      </w:r>
      <w:proofErr w:type="spellStart"/>
      <w:r>
        <w:rPr>
          <w:rFonts w:ascii="Times New Roman" w:hAnsi="Times New Roman" w:cs="Times New Roman"/>
          <w:color w:val="000000" w:themeColor="text1"/>
          <w:sz w:val="24"/>
          <w:szCs w:val="24"/>
          <w:shd w:val="clear" w:color="auto" w:fill="FFFFFF"/>
        </w:rPr>
        <w:t>percepție</w:t>
      </w:r>
      <w:proofErr w:type="spellEnd"/>
      <w:r>
        <w:rPr>
          <w:rFonts w:ascii="Times New Roman" w:hAnsi="Times New Roman" w:cs="Times New Roman"/>
          <w:color w:val="000000" w:themeColor="text1"/>
          <w:sz w:val="24"/>
          <w:szCs w:val="24"/>
          <w:shd w:val="clear" w:color="auto" w:fill="FFFFFF"/>
        </w:rPr>
        <w:t xml:space="preserve"> </w:t>
      </w:r>
      <w:r w:rsidR="008729EB">
        <w:rPr>
          <w:rFonts w:ascii="Times New Roman" w:hAnsi="Times New Roman" w:cs="Times New Roman"/>
          <w:color w:val="000000" w:themeColor="text1"/>
          <w:sz w:val="24"/>
          <w:szCs w:val="24"/>
          <w:shd w:val="clear" w:color="auto" w:fill="FFFFFF"/>
        </w:rPr>
        <w:t xml:space="preserve">de </w:t>
      </w:r>
      <w:proofErr w:type="spellStart"/>
      <w:r w:rsidR="008729EB">
        <w:rPr>
          <w:rFonts w:ascii="Times New Roman" w:hAnsi="Times New Roman" w:cs="Times New Roman"/>
          <w:color w:val="000000" w:themeColor="text1"/>
          <w:sz w:val="24"/>
          <w:szCs w:val="24"/>
          <w:shd w:val="clear" w:color="auto" w:fill="FFFFFF"/>
        </w:rPr>
        <w:t>către</w:t>
      </w:r>
      <w:proofErr w:type="spellEnd"/>
      <w:r w:rsidR="008729EB">
        <w:rPr>
          <w:rFonts w:ascii="Times New Roman" w:hAnsi="Times New Roman" w:cs="Times New Roman"/>
          <w:color w:val="000000" w:themeColor="text1"/>
          <w:sz w:val="24"/>
          <w:szCs w:val="24"/>
          <w:shd w:val="clear" w:color="auto" w:fill="FFFFFF"/>
        </w:rPr>
        <w:t xml:space="preserve"> </w:t>
      </w:r>
      <w:proofErr w:type="spellStart"/>
      <w:r w:rsidR="008729EB">
        <w:rPr>
          <w:rFonts w:ascii="Times New Roman" w:hAnsi="Times New Roman" w:cs="Times New Roman"/>
          <w:color w:val="000000" w:themeColor="text1"/>
          <w:sz w:val="24"/>
          <w:szCs w:val="24"/>
          <w:shd w:val="clear" w:color="auto" w:fill="FFFFFF"/>
        </w:rPr>
        <w:t>angajatori</w:t>
      </w:r>
      <w:proofErr w:type="spellEnd"/>
      <w:r w:rsidR="008729EB">
        <w:rPr>
          <w:rFonts w:ascii="Times New Roman" w:hAnsi="Times New Roman" w:cs="Times New Roman"/>
          <w:color w:val="000000" w:themeColor="text1"/>
          <w:sz w:val="24"/>
          <w:szCs w:val="24"/>
          <w:shd w:val="clear" w:color="auto" w:fill="FFFFFF"/>
        </w:rPr>
        <w:t xml:space="preserve"> a </w:t>
      </w:r>
      <w:proofErr w:type="spellStart"/>
      <w:r w:rsidR="008729EB">
        <w:rPr>
          <w:rFonts w:ascii="Times New Roman" w:hAnsi="Times New Roman" w:cs="Times New Roman"/>
          <w:color w:val="000000" w:themeColor="text1"/>
          <w:sz w:val="24"/>
          <w:szCs w:val="24"/>
          <w:shd w:val="clear" w:color="auto" w:fill="FFFFFF"/>
        </w:rPr>
        <w:t>capacităților</w:t>
      </w:r>
      <w:proofErr w:type="spellEnd"/>
      <w:r w:rsidR="008729EB">
        <w:rPr>
          <w:rFonts w:ascii="Times New Roman" w:hAnsi="Times New Roman" w:cs="Times New Roman"/>
          <w:color w:val="000000" w:themeColor="text1"/>
          <w:sz w:val="24"/>
          <w:szCs w:val="24"/>
          <w:shd w:val="clear" w:color="auto" w:fill="FFFFFF"/>
        </w:rPr>
        <w:t xml:space="preserve"> </w:t>
      </w:r>
      <w:proofErr w:type="spellStart"/>
      <w:r w:rsidR="008729EB">
        <w:rPr>
          <w:rFonts w:ascii="Times New Roman" w:hAnsi="Times New Roman" w:cs="Times New Roman"/>
          <w:color w:val="000000" w:themeColor="text1"/>
          <w:sz w:val="24"/>
          <w:szCs w:val="24"/>
          <w:shd w:val="clear" w:color="auto" w:fill="FFFFFF"/>
        </w:rPr>
        <w:t>persoanelor</w:t>
      </w:r>
      <w:proofErr w:type="spellEnd"/>
      <w:r w:rsidR="008729EB">
        <w:rPr>
          <w:rFonts w:ascii="Times New Roman" w:hAnsi="Times New Roman" w:cs="Times New Roman"/>
          <w:color w:val="000000" w:themeColor="text1"/>
          <w:sz w:val="24"/>
          <w:szCs w:val="24"/>
          <w:shd w:val="clear" w:color="auto" w:fill="FFFFFF"/>
        </w:rPr>
        <w:t xml:space="preserve"> cu </w:t>
      </w:r>
      <w:proofErr w:type="spellStart"/>
      <w:r w:rsidR="008729EB">
        <w:rPr>
          <w:rFonts w:ascii="Times New Roman" w:hAnsi="Times New Roman" w:cs="Times New Roman"/>
          <w:color w:val="000000" w:themeColor="text1"/>
          <w:sz w:val="24"/>
          <w:szCs w:val="24"/>
          <w:shd w:val="clear" w:color="auto" w:fill="FFFFFF"/>
        </w:rPr>
        <w:t>dizabilități</w:t>
      </w:r>
      <w:proofErr w:type="spellEnd"/>
      <w:r w:rsidR="008729EB">
        <w:rPr>
          <w:rFonts w:ascii="Times New Roman" w:hAnsi="Times New Roman" w:cs="Times New Roman"/>
          <w:color w:val="000000" w:themeColor="text1"/>
          <w:sz w:val="24"/>
          <w:szCs w:val="24"/>
          <w:shd w:val="clear" w:color="auto" w:fill="FFFFFF"/>
        </w:rPr>
        <w:t xml:space="preserve">, </w:t>
      </w:r>
      <w:proofErr w:type="spellStart"/>
      <w:r w:rsidR="008729EB">
        <w:rPr>
          <w:rFonts w:ascii="Times New Roman" w:hAnsi="Times New Roman" w:cs="Times New Roman"/>
          <w:color w:val="000000" w:themeColor="text1"/>
          <w:sz w:val="24"/>
          <w:szCs w:val="24"/>
          <w:shd w:val="clear" w:color="auto" w:fill="FFFFFF"/>
        </w:rPr>
        <w:t>dar</w:t>
      </w:r>
      <w:proofErr w:type="spellEnd"/>
      <w:r w:rsidR="008729EB">
        <w:rPr>
          <w:rFonts w:ascii="Times New Roman" w:hAnsi="Times New Roman" w:cs="Times New Roman"/>
          <w:color w:val="000000" w:themeColor="text1"/>
          <w:sz w:val="24"/>
          <w:szCs w:val="24"/>
          <w:shd w:val="clear" w:color="auto" w:fill="FFFFFF"/>
        </w:rPr>
        <w:t xml:space="preserve"> </w:t>
      </w:r>
      <w:proofErr w:type="spellStart"/>
      <w:r w:rsidR="008729EB">
        <w:rPr>
          <w:rFonts w:ascii="Times New Roman" w:hAnsi="Times New Roman" w:cs="Times New Roman"/>
          <w:color w:val="000000" w:themeColor="text1"/>
          <w:sz w:val="24"/>
          <w:szCs w:val="24"/>
          <w:shd w:val="clear" w:color="auto" w:fill="FFFFFF"/>
        </w:rPr>
        <w:t>și</w:t>
      </w:r>
      <w:proofErr w:type="spellEnd"/>
      <w:r w:rsidR="008729EB">
        <w:rPr>
          <w:rFonts w:ascii="Times New Roman" w:hAnsi="Times New Roman" w:cs="Times New Roman"/>
          <w:color w:val="000000" w:themeColor="text1"/>
          <w:sz w:val="24"/>
          <w:szCs w:val="24"/>
          <w:shd w:val="clear" w:color="auto" w:fill="FFFFFF"/>
        </w:rPr>
        <w:t xml:space="preserve"> un </w:t>
      </w:r>
      <w:proofErr w:type="spellStart"/>
      <w:r w:rsidR="008729EB">
        <w:rPr>
          <w:rFonts w:ascii="Times New Roman" w:hAnsi="Times New Roman" w:cs="Times New Roman"/>
          <w:color w:val="000000" w:themeColor="text1"/>
          <w:sz w:val="24"/>
          <w:szCs w:val="24"/>
          <w:shd w:val="clear" w:color="auto" w:fill="FFFFFF"/>
        </w:rPr>
        <w:t>nivel</w:t>
      </w:r>
      <w:proofErr w:type="spellEnd"/>
      <w:r w:rsidR="008729EB">
        <w:rPr>
          <w:rFonts w:ascii="Times New Roman" w:hAnsi="Times New Roman" w:cs="Times New Roman"/>
          <w:color w:val="000000" w:themeColor="text1"/>
          <w:sz w:val="24"/>
          <w:szCs w:val="24"/>
          <w:shd w:val="clear" w:color="auto" w:fill="FFFFFF"/>
        </w:rPr>
        <w:t xml:space="preserve"> de </w:t>
      </w:r>
      <w:proofErr w:type="spellStart"/>
      <w:r w:rsidR="008729EB">
        <w:rPr>
          <w:rFonts w:ascii="Times New Roman" w:hAnsi="Times New Roman" w:cs="Times New Roman"/>
          <w:color w:val="000000" w:themeColor="text1"/>
          <w:sz w:val="24"/>
          <w:szCs w:val="24"/>
          <w:shd w:val="clear" w:color="auto" w:fill="FFFFFF"/>
        </w:rPr>
        <w:t>pregătire</w:t>
      </w:r>
      <w:proofErr w:type="spellEnd"/>
      <w:r w:rsidR="008729EB">
        <w:rPr>
          <w:rFonts w:ascii="Times New Roman" w:hAnsi="Times New Roman" w:cs="Times New Roman"/>
          <w:color w:val="000000" w:themeColor="text1"/>
          <w:sz w:val="24"/>
          <w:szCs w:val="24"/>
          <w:shd w:val="clear" w:color="auto" w:fill="FFFFFF"/>
        </w:rPr>
        <w:t xml:space="preserve"> </w:t>
      </w:r>
      <w:proofErr w:type="spellStart"/>
      <w:r w:rsidR="008729EB">
        <w:rPr>
          <w:rFonts w:ascii="Times New Roman" w:hAnsi="Times New Roman" w:cs="Times New Roman"/>
          <w:color w:val="000000" w:themeColor="text1"/>
          <w:sz w:val="24"/>
          <w:szCs w:val="24"/>
          <w:shd w:val="clear" w:color="auto" w:fill="FFFFFF"/>
        </w:rPr>
        <w:t>profesională</w:t>
      </w:r>
      <w:proofErr w:type="spellEnd"/>
      <w:r w:rsidR="008729EB">
        <w:rPr>
          <w:rFonts w:ascii="Times New Roman" w:hAnsi="Times New Roman" w:cs="Times New Roman"/>
          <w:color w:val="000000" w:themeColor="text1"/>
          <w:sz w:val="24"/>
          <w:szCs w:val="24"/>
          <w:shd w:val="clear" w:color="auto" w:fill="FFFFFF"/>
        </w:rPr>
        <w:t xml:space="preserve"> </w:t>
      </w:r>
      <w:proofErr w:type="spellStart"/>
      <w:r w:rsidR="008729EB">
        <w:rPr>
          <w:rFonts w:ascii="Times New Roman" w:hAnsi="Times New Roman" w:cs="Times New Roman"/>
          <w:color w:val="000000" w:themeColor="text1"/>
          <w:sz w:val="24"/>
          <w:szCs w:val="24"/>
          <w:shd w:val="clear" w:color="auto" w:fill="FFFFFF"/>
        </w:rPr>
        <w:t>scăzut</w:t>
      </w:r>
      <w:proofErr w:type="spellEnd"/>
      <w:r w:rsidR="008729EB">
        <w:rPr>
          <w:rFonts w:ascii="Times New Roman" w:hAnsi="Times New Roman" w:cs="Times New Roman"/>
          <w:color w:val="000000" w:themeColor="text1"/>
          <w:sz w:val="24"/>
          <w:szCs w:val="24"/>
          <w:shd w:val="clear" w:color="auto" w:fill="FFFFFF"/>
        </w:rPr>
        <w:t xml:space="preserve"> a </w:t>
      </w:r>
      <w:proofErr w:type="spellStart"/>
      <w:r w:rsidR="008729EB">
        <w:rPr>
          <w:rFonts w:ascii="Times New Roman" w:hAnsi="Times New Roman" w:cs="Times New Roman"/>
          <w:color w:val="000000" w:themeColor="text1"/>
          <w:sz w:val="24"/>
          <w:szCs w:val="24"/>
          <w:shd w:val="clear" w:color="auto" w:fill="FFFFFF"/>
        </w:rPr>
        <w:t>acestei</w:t>
      </w:r>
      <w:proofErr w:type="spellEnd"/>
      <w:r w:rsidR="008729EB">
        <w:rPr>
          <w:rFonts w:ascii="Times New Roman" w:hAnsi="Times New Roman" w:cs="Times New Roman"/>
          <w:color w:val="000000" w:themeColor="text1"/>
          <w:sz w:val="24"/>
          <w:szCs w:val="24"/>
          <w:shd w:val="clear" w:color="auto" w:fill="FFFFFF"/>
        </w:rPr>
        <w:t xml:space="preserve"> </w:t>
      </w:r>
      <w:proofErr w:type="spellStart"/>
      <w:r w:rsidR="008729EB">
        <w:rPr>
          <w:rFonts w:ascii="Times New Roman" w:hAnsi="Times New Roman" w:cs="Times New Roman"/>
          <w:color w:val="000000" w:themeColor="text1"/>
          <w:sz w:val="24"/>
          <w:szCs w:val="24"/>
          <w:shd w:val="clear" w:color="auto" w:fill="FFFFFF"/>
        </w:rPr>
        <w:t>categorii</w:t>
      </w:r>
      <w:proofErr w:type="spellEnd"/>
      <w:r w:rsidR="008729EB">
        <w:rPr>
          <w:rFonts w:ascii="Times New Roman" w:hAnsi="Times New Roman" w:cs="Times New Roman"/>
          <w:color w:val="000000" w:themeColor="text1"/>
          <w:sz w:val="24"/>
          <w:szCs w:val="24"/>
          <w:shd w:val="clear" w:color="auto" w:fill="FFFFFF"/>
        </w:rPr>
        <w:t xml:space="preserve"> de </w:t>
      </w:r>
      <w:proofErr w:type="spellStart"/>
      <w:r w:rsidR="008729EB">
        <w:rPr>
          <w:rFonts w:ascii="Times New Roman" w:hAnsi="Times New Roman" w:cs="Times New Roman"/>
          <w:color w:val="000000" w:themeColor="text1"/>
          <w:sz w:val="24"/>
          <w:szCs w:val="24"/>
          <w:shd w:val="clear" w:color="auto" w:fill="FFFFFF"/>
        </w:rPr>
        <w:t>persoane</w:t>
      </w:r>
      <w:proofErr w:type="spellEnd"/>
      <w:r w:rsidR="008729EB">
        <w:rPr>
          <w:rFonts w:ascii="Times New Roman" w:hAnsi="Times New Roman" w:cs="Times New Roman"/>
          <w:color w:val="000000" w:themeColor="text1"/>
          <w:sz w:val="24"/>
          <w:szCs w:val="24"/>
          <w:shd w:val="clear" w:color="auto" w:fill="FFFFFF"/>
        </w:rPr>
        <w:t xml:space="preserve">. </w:t>
      </w:r>
    </w:p>
    <w:p w14:paraId="4E00513B" w14:textId="4F98655C" w:rsidR="009D3243" w:rsidRPr="003836D9" w:rsidRDefault="009D3243" w:rsidP="00E3035D">
      <w:pPr>
        <w:spacing w:before="120"/>
        <w:jc w:val="both"/>
        <w:rPr>
          <w:rFonts w:ascii="Times New Roman" w:eastAsia="Times New Roman" w:hAnsi="Times New Roman" w:cs="Times New Roman"/>
          <w:color w:val="000000"/>
          <w:sz w:val="24"/>
          <w:szCs w:val="24"/>
          <w:lang w:val="ro-MD"/>
        </w:rPr>
      </w:pPr>
      <w:r w:rsidRPr="003836D9">
        <w:rPr>
          <w:rFonts w:ascii="Times New Roman" w:eastAsia="Times New Roman" w:hAnsi="Times New Roman" w:cs="Times New Roman"/>
          <w:color w:val="000000"/>
          <w:sz w:val="24"/>
          <w:szCs w:val="24"/>
          <w:lang w:val="ro-MD"/>
        </w:rPr>
        <w:t>Participarea la forța de muncă este pozitiv corelată de nivelul de educație: persoanele cu studii terțiare au rate de participare egale cu 6</w:t>
      </w:r>
      <w:r w:rsidR="006F5721"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w:t>
      </w:r>
      <w:r w:rsidR="006F5721" w:rsidRPr="003836D9">
        <w:rPr>
          <w:rFonts w:ascii="Times New Roman" w:eastAsia="Times New Roman" w:hAnsi="Times New Roman" w:cs="Times New Roman"/>
          <w:color w:val="000000"/>
          <w:sz w:val="24"/>
          <w:szCs w:val="24"/>
          <w:lang w:val="ro-MD"/>
        </w:rPr>
        <w:t>8</w:t>
      </w:r>
      <w:r w:rsidRPr="003836D9">
        <w:rPr>
          <w:rFonts w:ascii="Times New Roman" w:eastAsia="Times New Roman" w:hAnsi="Times New Roman" w:cs="Times New Roman"/>
          <w:color w:val="000000"/>
          <w:sz w:val="24"/>
          <w:szCs w:val="24"/>
          <w:lang w:val="ro-MD"/>
        </w:rPr>
        <w:t xml:space="preserve"> procente, față de </w:t>
      </w:r>
      <w:r w:rsidR="006F5721" w:rsidRPr="003836D9">
        <w:rPr>
          <w:rFonts w:ascii="Times New Roman" w:eastAsia="Times New Roman" w:hAnsi="Times New Roman" w:cs="Times New Roman"/>
          <w:color w:val="000000"/>
          <w:sz w:val="24"/>
          <w:szCs w:val="24"/>
          <w:lang w:val="ro-MD"/>
        </w:rPr>
        <w:t>27,7</w:t>
      </w:r>
      <w:r w:rsidRPr="003836D9">
        <w:rPr>
          <w:rFonts w:ascii="Times New Roman" w:eastAsia="Times New Roman" w:hAnsi="Times New Roman" w:cs="Times New Roman"/>
          <w:color w:val="000000"/>
          <w:sz w:val="24"/>
          <w:szCs w:val="24"/>
          <w:lang w:val="ro-MD"/>
        </w:rPr>
        <w:t xml:space="preserve"> procente pentru cei care au absolvit nivelul </w:t>
      </w:r>
      <w:r w:rsidR="00D91806" w:rsidRPr="003836D9">
        <w:rPr>
          <w:rFonts w:ascii="Times New Roman" w:eastAsia="Times New Roman" w:hAnsi="Times New Roman" w:cs="Times New Roman"/>
          <w:color w:val="000000"/>
          <w:sz w:val="24"/>
          <w:szCs w:val="24"/>
          <w:lang w:val="ro-MD"/>
        </w:rPr>
        <w:t>gimnazial</w:t>
      </w:r>
      <w:r w:rsidRPr="003836D9">
        <w:rPr>
          <w:rFonts w:ascii="Times New Roman" w:eastAsia="Times New Roman" w:hAnsi="Times New Roman" w:cs="Times New Roman"/>
          <w:color w:val="000000"/>
          <w:sz w:val="24"/>
          <w:szCs w:val="24"/>
          <w:lang w:val="ro-MD"/>
        </w:rPr>
        <w:t>. Pentru femei, acest raport este mult mai mare, deoarece femeile cu studii terțiare sunt de 2,</w:t>
      </w:r>
      <w:r w:rsidR="006F5721" w:rsidRPr="003836D9">
        <w:rPr>
          <w:rFonts w:ascii="Times New Roman" w:eastAsia="Times New Roman" w:hAnsi="Times New Roman" w:cs="Times New Roman"/>
          <w:color w:val="000000"/>
          <w:sz w:val="24"/>
          <w:szCs w:val="24"/>
          <w:lang w:val="ro-MD"/>
        </w:rPr>
        <w:t>6</w:t>
      </w:r>
      <w:r w:rsidRPr="003836D9">
        <w:rPr>
          <w:rFonts w:ascii="Times New Roman" w:eastAsia="Times New Roman" w:hAnsi="Times New Roman" w:cs="Times New Roman"/>
          <w:color w:val="000000"/>
          <w:sz w:val="24"/>
          <w:szCs w:val="24"/>
          <w:lang w:val="ro-MD"/>
        </w:rPr>
        <w:t xml:space="preserve"> ori mai active decât femeile cu studii </w:t>
      </w:r>
      <w:r w:rsidR="00D91806" w:rsidRPr="003836D9">
        <w:rPr>
          <w:rFonts w:ascii="Times New Roman" w:eastAsia="Times New Roman" w:hAnsi="Times New Roman" w:cs="Times New Roman"/>
          <w:color w:val="000000"/>
          <w:sz w:val="24"/>
          <w:szCs w:val="24"/>
          <w:lang w:val="ro-MD"/>
        </w:rPr>
        <w:t>gimnaziale</w:t>
      </w:r>
      <w:r w:rsidR="006F5721" w:rsidRPr="003836D9">
        <w:rPr>
          <w:rFonts w:ascii="Times New Roman" w:eastAsia="Times New Roman" w:hAnsi="Times New Roman" w:cs="Times New Roman"/>
          <w:color w:val="000000"/>
          <w:sz w:val="24"/>
          <w:szCs w:val="24"/>
          <w:lang w:val="ro-MD"/>
        </w:rPr>
        <w:t xml:space="preserve"> (cu studii superioare – 57,9%, cu studii gimnaziale – 22,5%)</w:t>
      </w:r>
      <w:r w:rsidRPr="003836D9">
        <w:rPr>
          <w:rFonts w:ascii="Times New Roman" w:eastAsia="Times New Roman" w:hAnsi="Times New Roman" w:cs="Times New Roman"/>
          <w:color w:val="000000"/>
          <w:sz w:val="24"/>
          <w:szCs w:val="24"/>
          <w:lang w:val="ro-MD"/>
        </w:rPr>
        <w:t>. Diferența este foarte pronunțată și pentru tineri (15-24 de ani)</w:t>
      </w:r>
      <w:r w:rsidR="005D6764">
        <w:rPr>
          <w:rFonts w:ascii="Times New Roman" w:eastAsia="Times New Roman" w:hAnsi="Times New Roman" w:cs="Times New Roman"/>
          <w:color w:val="000000"/>
          <w:sz w:val="24"/>
          <w:szCs w:val="24"/>
          <w:lang w:val="ro-MD"/>
        </w:rPr>
        <w:t>,</w:t>
      </w:r>
      <w:r w:rsidRPr="003836D9">
        <w:rPr>
          <w:rFonts w:ascii="Times New Roman" w:eastAsia="Times New Roman" w:hAnsi="Times New Roman" w:cs="Times New Roman"/>
          <w:color w:val="000000"/>
          <w:sz w:val="24"/>
          <w:szCs w:val="24"/>
          <w:lang w:val="ro-MD"/>
        </w:rPr>
        <w:t xml:space="preserve"> 48,4 procen</w:t>
      </w:r>
      <w:r w:rsidR="0094240C" w:rsidRPr="003836D9">
        <w:rPr>
          <w:rFonts w:ascii="Times New Roman" w:eastAsia="Times New Roman" w:hAnsi="Times New Roman" w:cs="Times New Roman"/>
          <w:color w:val="000000"/>
          <w:sz w:val="24"/>
          <w:szCs w:val="24"/>
          <w:lang w:val="ro-MD"/>
        </w:rPr>
        <w:t>t</w:t>
      </w:r>
      <w:r w:rsidRPr="003836D9">
        <w:rPr>
          <w:rFonts w:ascii="Times New Roman" w:eastAsia="Times New Roman" w:hAnsi="Times New Roman" w:cs="Times New Roman"/>
          <w:color w:val="000000"/>
          <w:sz w:val="24"/>
          <w:szCs w:val="24"/>
          <w:lang w:val="ro-MD"/>
        </w:rPr>
        <w:t>e dintre tinerii cu studii superioare participând pe piața muncii, comparativ cu doar 1</w:t>
      </w:r>
      <w:r w:rsidR="006F5721"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w:t>
      </w:r>
      <w:r w:rsidR="006F5721" w:rsidRPr="003836D9">
        <w:rPr>
          <w:rFonts w:ascii="Times New Roman" w:eastAsia="Times New Roman" w:hAnsi="Times New Roman" w:cs="Times New Roman"/>
          <w:color w:val="000000"/>
          <w:sz w:val="24"/>
          <w:szCs w:val="24"/>
          <w:lang w:val="ro-MD"/>
        </w:rPr>
        <w:t>1</w:t>
      </w:r>
      <w:r w:rsidRPr="003836D9">
        <w:rPr>
          <w:rFonts w:ascii="Times New Roman" w:eastAsia="Times New Roman" w:hAnsi="Times New Roman" w:cs="Times New Roman"/>
          <w:color w:val="000000"/>
          <w:sz w:val="24"/>
          <w:szCs w:val="24"/>
          <w:lang w:val="ro-MD"/>
        </w:rPr>
        <w:t xml:space="preserve"> procente dintre tinerii cu studii </w:t>
      </w:r>
      <w:r w:rsidR="006F5721" w:rsidRPr="003836D9">
        <w:rPr>
          <w:rFonts w:ascii="Times New Roman" w:eastAsia="Times New Roman" w:hAnsi="Times New Roman" w:cs="Times New Roman"/>
          <w:color w:val="000000"/>
          <w:sz w:val="24"/>
          <w:szCs w:val="24"/>
          <w:lang w:val="ro-MD"/>
        </w:rPr>
        <w:t>gimnaziale</w:t>
      </w:r>
      <w:r w:rsidRPr="003836D9">
        <w:rPr>
          <w:rFonts w:ascii="Times New Roman" w:eastAsia="Times New Roman" w:hAnsi="Times New Roman" w:cs="Times New Roman"/>
          <w:color w:val="000000"/>
          <w:sz w:val="24"/>
          <w:szCs w:val="24"/>
          <w:lang w:val="ro-MD"/>
        </w:rPr>
        <w:t>.</w:t>
      </w:r>
    </w:p>
    <w:p w14:paraId="26B21BBF" w14:textId="19D6CD16" w:rsidR="00E64D2A" w:rsidRDefault="009D3243" w:rsidP="0087526D">
      <w:pPr>
        <w:jc w:val="both"/>
        <w:rPr>
          <w:rFonts w:ascii="Times New Roman" w:eastAsia="Times New Roman" w:hAnsi="Times New Roman" w:cs="Times New Roman"/>
          <w:color w:val="000000"/>
          <w:sz w:val="24"/>
          <w:szCs w:val="24"/>
          <w:lang w:val="ro-MD"/>
        </w:rPr>
      </w:pPr>
      <w:r w:rsidRPr="003836D9">
        <w:rPr>
          <w:rFonts w:ascii="Times New Roman" w:eastAsia="Times New Roman" w:hAnsi="Times New Roman" w:cs="Times New Roman"/>
          <w:color w:val="000000"/>
          <w:sz w:val="24"/>
          <w:szCs w:val="24"/>
          <w:lang w:val="ro-MD"/>
        </w:rPr>
        <w:t xml:space="preserve">Participarea la forța de muncă are și o dimensiune geografică, persoanele care locuiesc în Chișinău </w:t>
      </w:r>
      <w:r w:rsidR="00D96A20" w:rsidRPr="003836D9">
        <w:rPr>
          <w:rFonts w:ascii="Times New Roman" w:eastAsia="Times New Roman" w:hAnsi="Times New Roman" w:cs="Times New Roman"/>
          <w:color w:val="000000"/>
          <w:sz w:val="24"/>
          <w:szCs w:val="24"/>
          <w:lang w:val="ro-MD"/>
        </w:rPr>
        <w:t xml:space="preserve">sunt </w:t>
      </w:r>
      <w:r w:rsidRPr="003836D9">
        <w:rPr>
          <w:rFonts w:ascii="Times New Roman" w:eastAsia="Times New Roman" w:hAnsi="Times New Roman" w:cs="Times New Roman"/>
          <w:color w:val="000000"/>
          <w:sz w:val="24"/>
          <w:szCs w:val="24"/>
          <w:lang w:val="ro-MD"/>
        </w:rPr>
        <w:t>mai active decât persoanele care locuiesc în sudul țării</w:t>
      </w:r>
      <w:r w:rsidR="0087526D" w:rsidRPr="003836D9">
        <w:rPr>
          <w:rFonts w:ascii="Times New Roman" w:eastAsia="Times New Roman" w:hAnsi="Times New Roman" w:cs="Times New Roman"/>
          <w:color w:val="000000"/>
          <w:sz w:val="24"/>
          <w:szCs w:val="24"/>
          <w:lang w:val="ro-MD"/>
        </w:rPr>
        <w:t xml:space="preserve">, cu rata de activitate mai mare </w:t>
      </w:r>
      <w:r w:rsidRPr="003836D9">
        <w:rPr>
          <w:rFonts w:ascii="Times New Roman" w:eastAsia="Times New Roman" w:hAnsi="Times New Roman" w:cs="Times New Roman"/>
          <w:color w:val="000000"/>
          <w:sz w:val="24"/>
          <w:szCs w:val="24"/>
          <w:lang w:val="ro-MD"/>
        </w:rPr>
        <w:t xml:space="preserve">cu peste </w:t>
      </w:r>
      <w:r w:rsidRPr="003836D9">
        <w:rPr>
          <w:rFonts w:ascii="Times New Roman" w:eastAsia="Times New Roman" w:hAnsi="Times New Roman" w:cs="Times New Roman"/>
          <w:color w:val="000000"/>
          <w:sz w:val="24"/>
          <w:szCs w:val="24"/>
          <w:lang w:val="ro-MD"/>
        </w:rPr>
        <w:lastRenderedPageBreak/>
        <w:t xml:space="preserve">20 de puncte procentuale (51,2 procente și, respectiv, 31,4 procente), în pofida scăderii accentuate a ratelor de activitate înregistrate </w:t>
      </w:r>
      <w:r w:rsidR="0087526D" w:rsidRPr="003836D9">
        <w:rPr>
          <w:rFonts w:ascii="Times New Roman" w:eastAsia="Times New Roman" w:hAnsi="Times New Roman" w:cs="Times New Roman"/>
          <w:color w:val="000000"/>
          <w:sz w:val="24"/>
          <w:szCs w:val="24"/>
          <w:lang w:val="ro-MD"/>
        </w:rPr>
        <w:t>la</w:t>
      </w:r>
      <w:r w:rsidRPr="003836D9">
        <w:rPr>
          <w:rFonts w:ascii="Times New Roman" w:eastAsia="Times New Roman" w:hAnsi="Times New Roman" w:cs="Times New Roman"/>
          <w:color w:val="000000"/>
          <w:sz w:val="24"/>
          <w:szCs w:val="24"/>
          <w:lang w:val="ro-MD"/>
        </w:rPr>
        <w:t xml:space="preserve"> Chișinău în perioada 2019-2020, care a fost aproape de două ori mai mare decât media națională </w:t>
      </w:r>
      <w:r w:rsidR="00672E3B" w:rsidRPr="003836D9">
        <w:rPr>
          <w:rFonts w:ascii="Times New Roman" w:eastAsia="Times New Roman" w:hAnsi="Times New Roman" w:cs="Times New Roman"/>
          <w:color w:val="000000"/>
          <w:sz w:val="24"/>
          <w:szCs w:val="24"/>
          <w:lang w:val="ro-MD"/>
        </w:rPr>
        <w:t>(-3</w:t>
      </w:r>
      <w:r w:rsidRPr="003836D9">
        <w:rPr>
          <w:rFonts w:ascii="Times New Roman" w:eastAsia="Times New Roman" w:hAnsi="Times New Roman" w:cs="Times New Roman"/>
          <w:color w:val="000000"/>
          <w:sz w:val="24"/>
          <w:szCs w:val="24"/>
          <w:lang w:val="ro-MD"/>
        </w:rPr>
        <w:t>,</w:t>
      </w:r>
      <w:r w:rsidR="00672E3B" w:rsidRPr="003836D9">
        <w:rPr>
          <w:rFonts w:ascii="Times New Roman" w:eastAsia="Times New Roman" w:hAnsi="Times New Roman" w:cs="Times New Roman"/>
          <w:color w:val="000000"/>
          <w:sz w:val="24"/>
          <w:szCs w:val="24"/>
          <w:lang w:val="ro-MD"/>
        </w:rPr>
        <w:t xml:space="preserve">9 </w:t>
      </w:r>
      <w:r w:rsidRPr="003836D9">
        <w:rPr>
          <w:rFonts w:ascii="Times New Roman" w:eastAsia="Times New Roman" w:hAnsi="Times New Roman" w:cs="Times New Roman"/>
          <w:color w:val="000000"/>
          <w:sz w:val="24"/>
          <w:szCs w:val="24"/>
          <w:lang w:val="ro-MD"/>
        </w:rPr>
        <w:t>puncte procentuale</w:t>
      </w:r>
      <w:r w:rsidR="0087526D" w:rsidRPr="003836D9">
        <w:rPr>
          <w:rFonts w:ascii="Times New Roman" w:eastAsia="Times New Roman" w:hAnsi="Times New Roman" w:cs="Times New Roman"/>
          <w:color w:val="000000"/>
          <w:sz w:val="24"/>
          <w:szCs w:val="24"/>
          <w:lang w:val="ro-MD"/>
        </w:rPr>
        <w:t xml:space="preserve"> și</w:t>
      </w:r>
      <w:r w:rsidRPr="003836D9">
        <w:rPr>
          <w:rFonts w:ascii="Times New Roman" w:eastAsia="Times New Roman" w:hAnsi="Times New Roman" w:cs="Times New Roman"/>
          <w:color w:val="000000"/>
          <w:sz w:val="24"/>
          <w:szCs w:val="24"/>
          <w:lang w:val="ro-MD"/>
        </w:rPr>
        <w:t>, respectiv</w:t>
      </w:r>
      <w:r w:rsidR="0087526D" w:rsidRPr="003836D9">
        <w:rPr>
          <w:rFonts w:ascii="Times New Roman" w:eastAsia="Times New Roman" w:hAnsi="Times New Roman" w:cs="Times New Roman"/>
          <w:color w:val="000000"/>
          <w:sz w:val="24"/>
          <w:szCs w:val="24"/>
          <w:lang w:val="ro-MD"/>
        </w:rPr>
        <w:t>,</w:t>
      </w:r>
      <w:r w:rsidRPr="003836D9">
        <w:rPr>
          <w:rFonts w:ascii="Times New Roman" w:eastAsia="Times New Roman" w:hAnsi="Times New Roman" w:cs="Times New Roman"/>
          <w:color w:val="000000"/>
          <w:sz w:val="24"/>
          <w:szCs w:val="24"/>
          <w:lang w:val="ro-MD"/>
        </w:rPr>
        <w:t xml:space="preserve"> 2 puncte procentuale). Persoanele care locuiesc în mediul rural au rămas mai puțin active decât omologii lor din mediul urban (36,3 procente</w:t>
      </w:r>
      <w:r w:rsidR="0087526D" w:rsidRPr="003836D9">
        <w:rPr>
          <w:rFonts w:ascii="Times New Roman" w:eastAsia="Times New Roman" w:hAnsi="Times New Roman" w:cs="Times New Roman"/>
          <w:color w:val="000000"/>
          <w:sz w:val="24"/>
          <w:szCs w:val="24"/>
          <w:lang w:val="ro-MD"/>
        </w:rPr>
        <w:t xml:space="preserve"> și</w:t>
      </w:r>
      <w:r w:rsidRPr="003836D9">
        <w:rPr>
          <w:rFonts w:ascii="Times New Roman" w:eastAsia="Times New Roman" w:hAnsi="Times New Roman" w:cs="Times New Roman"/>
          <w:color w:val="000000"/>
          <w:sz w:val="24"/>
          <w:szCs w:val="24"/>
          <w:lang w:val="ro-MD"/>
        </w:rPr>
        <w:t>, respectiv</w:t>
      </w:r>
      <w:r w:rsidR="0087526D" w:rsidRPr="003836D9">
        <w:rPr>
          <w:rFonts w:ascii="Times New Roman" w:eastAsia="Times New Roman" w:hAnsi="Times New Roman" w:cs="Times New Roman"/>
          <w:color w:val="000000"/>
          <w:sz w:val="24"/>
          <w:szCs w:val="24"/>
          <w:lang w:val="ro-MD"/>
        </w:rPr>
        <w:t>,</w:t>
      </w:r>
      <w:r w:rsidRPr="003836D9">
        <w:rPr>
          <w:rFonts w:ascii="Times New Roman" w:eastAsia="Times New Roman" w:hAnsi="Times New Roman" w:cs="Times New Roman"/>
          <w:color w:val="000000"/>
          <w:sz w:val="24"/>
          <w:szCs w:val="24"/>
          <w:lang w:val="ro-MD"/>
        </w:rPr>
        <w:t xml:space="preserve"> 46,5 procente), chiar dacă ratele de activitate în perioada 2019-2020 au scăzut de două ori mai rapid pentru populația urbană comparativ cu cea rurală (-2,9 puncte procentuale ratel</w:t>
      </w:r>
      <w:r w:rsidR="0087526D" w:rsidRPr="003836D9">
        <w:rPr>
          <w:rFonts w:ascii="Times New Roman" w:eastAsia="Times New Roman" w:hAnsi="Times New Roman" w:cs="Times New Roman"/>
          <w:color w:val="000000"/>
          <w:sz w:val="24"/>
          <w:szCs w:val="24"/>
          <w:lang w:val="ro-MD"/>
        </w:rPr>
        <w:t>e</w:t>
      </w:r>
      <w:r w:rsidRPr="003836D9">
        <w:rPr>
          <w:rFonts w:ascii="Times New Roman" w:eastAsia="Times New Roman" w:hAnsi="Times New Roman" w:cs="Times New Roman"/>
          <w:color w:val="000000"/>
          <w:sz w:val="24"/>
          <w:szCs w:val="24"/>
          <w:lang w:val="ro-MD"/>
        </w:rPr>
        <w:t xml:space="preserve"> de participare în mediul urban, comparativ cu scăderea cu 1,3 puncte procentuale în zonele rurale</w:t>
      </w:r>
      <w:r w:rsidR="007F3CDC" w:rsidRPr="003836D9">
        <w:rPr>
          <w:rFonts w:ascii="Times New Roman" w:eastAsia="Times New Roman" w:hAnsi="Times New Roman" w:cs="Times New Roman"/>
          <w:color w:val="000000"/>
          <w:sz w:val="24"/>
          <w:szCs w:val="24"/>
          <w:lang w:val="ro-MD"/>
        </w:rPr>
        <w:t xml:space="preserve">). </w:t>
      </w:r>
      <w:r w:rsidR="0094240C" w:rsidRPr="003836D9">
        <w:rPr>
          <w:rFonts w:ascii="Times New Roman" w:eastAsia="Times New Roman" w:hAnsi="Times New Roman" w:cs="Times New Roman"/>
          <w:color w:val="000000"/>
          <w:sz w:val="24"/>
          <w:szCs w:val="24"/>
          <w:lang w:val="ro-MD"/>
        </w:rPr>
        <w:t xml:space="preserve"> </w:t>
      </w:r>
    </w:p>
    <w:p w14:paraId="58CF251B" w14:textId="77777777" w:rsidR="003C3DC8" w:rsidRDefault="003C3DC8" w:rsidP="003C3DC8">
      <w:pPr>
        <w:autoSpaceDE w:val="0"/>
        <w:autoSpaceDN w:val="0"/>
        <w:adjustRightInd w:val="0"/>
        <w:jc w:val="both"/>
        <w:rPr>
          <w:rFonts w:ascii="Times New Roman" w:eastAsia="Times New Roman" w:hAnsi="Times New Roman" w:cs="Times New Roman"/>
          <w:color w:val="000000"/>
          <w:sz w:val="24"/>
          <w:szCs w:val="24"/>
          <w:lang w:val="ro-MD"/>
        </w:rPr>
      </w:pPr>
      <w:bookmarkStart w:id="20" w:name="_Hlk93139465"/>
    </w:p>
    <w:p w14:paraId="386AA784" w14:textId="5A390705" w:rsidR="00672E3B" w:rsidRPr="003836D9" w:rsidRDefault="00D94B6B" w:rsidP="003C3DC8">
      <w:pPr>
        <w:autoSpaceDE w:val="0"/>
        <w:autoSpaceDN w:val="0"/>
        <w:adjustRightInd w:val="0"/>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672E3B" w:rsidRPr="003836D9">
        <w:rPr>
          <w:rFonts w:ascii="Times New Roman" w:hAnsi="Times New Roman" w:cs="Times New Roman"/>
          <w:b/>
          <w:sz w:val="20"/>
          <w:szCs w:val="20"/>
          <w:lang w:val="ro-MD"/>
        </w:rPr>
        <w:t xml:space="preserve"> 9</w:t>
      </w:r>
      <w:r w:rsidR="002329AC">
        <w:rPr>
          <w:rFonts w:ascii="Times New Roman" w:hAnsi="Times New Roman" w:cs="Times New Roman"/>
          <w:b/>
          <w:sz w:val="20"/>
          <w:szCs w:val="20"/>
          <w:lang w:val="ro-MD"/>
        </w:rPr>
        <w:t>.</w:t>
      </w:r>
      <w:r w:rsidR="00672E3B" w:rsidRPr="003836D9">
        <w:rPr>
          <w:rFonts w:ascii="Times New Roman" w:hAnsi="Times New Roman" w:cs="Times New Roman"/>
          <w:b/>
          <w:sz w:val="20"/>
          <w:szCs w:val="20"/>
          <w:lang w:val="ro-MD"/>
        </w:rPr>
        <w:t xml:space="preserve"> </w:t>
      </w:r>
      <w:r w:rsidR="0094240C" w:rsidRPr="003836D9">
        <w:rPr>
          <w:rFonts w:ascii="Times New Roman" w:hAnsi="Times New Roman" w:cs="Times New Roman"/>
          <w:b/>
          <w:sz w:val="20"/>
          <w:szCs w:val="20"/>
          <w:lang w:val="ro-MD"/>
        </w:rPr>
        <w:t xml:space="preserve">Ratele de participare a forței de muncă </w:t>
      </w:r>
      <w:r w:rsidR="00D94468">
        <w:rPr>
          <w:rFonts w:ascii="Times New Roman" w:hAnsi="Times New Roman" w:cs="Times New Roman"/>
          <w:b/>
          <w:sz w:val="20"/>
          <w:szCs w:val="20"/>
          <w:lang w:val="ro-MD"/>
        </w:rPr>
        <w:t xml:space="preserve">(%) </w:t>
      </w:r>
      <w:r w:rsidR="00D96A20" w:rsidRPr="003836D9">
        <w:rPr>
          <w:rFonts w:ascii="Times New Roman" w:hAnsi="Times New Roman" w:cs="Times New Roman"/>
          <w:b/>
          <w:sz w:val="20"/>
          <w:szCs w:val="20"/>
          <w:lang w:val="ro-MD"/>
        </w:rPr>
        <w:t>după</w:t>
      </w:r>
      <w:r w:rsidR="0094240C" w:rsidRPr="003836D9">
        <w:rPr>
          <w:rFonts w:ascii="Times New Roman" w:hAnsi="Times New Roman" w:cs="Times New Roman"/>
          <w:b/>
          <w:sz w:val="20"/>
          <w:szCs w:val="20"/>
          <w:lang w:val="ro-MD"/>
        </w:rPr>
        <w:t xml:space="preserve"> zon</w:t>
      </w:r>
      <w:r w:rsidR="00D96A20" w:rsidRPr="003836D9">
        <w:rPr>
          <w:rFonts w:ascii="Times New Roman" w:hAnsi="Times New Roman" w:cs="Times New Roman"/>
          <w:b/>
          <w:sz w:val="20"/>
          <w:szCs w:val="20"/>
          <w:lang w:val="ro-MD"/>
        </w:rPr>
        <w:t>e</w:t>
      </w:r>
      <w:r w:rsidR="0094240C" w:rsidRPr="003836D9">
        <w:rPr>
          <w:rFonts w:ascii="Times New Roman" w:hAnsi="Times New Roman" w:cs="Times New Roman"/>
          <w:b/>
          <w:sz w:val="20"/>
          <w:szCs w:val="20"/>
          <w:lang w:val="ro-MD"/>
        </w:rPr>
        <w:t xml:space="preserve"> geografic</w:t>
      </w:r>
      <w:r w:rsidR="00D96A20" w:rsidRPr="003836D9">
        <w:rPr>
          <w:rFonts w:ascii="Times New Roman" w:hAnsi="Times New Roman" w:cs="Times New Roman"/>
          <w:b/>
          <w:sz w:val="20"/>
          <w:szCs w:val="20"/>
          <w:lang w:val="ro-MD"/>
        </w:rPr>
        <w:t>e</w:t>
      </w:r>
      <w:r w:rsidR="0094240C" w:rsidRPr="003836D9">
        <w:rPr>
          <w:rFonts w:ascii="Times New Roman" w:hAnsi="Times New Roman" w:cs="Times New Roman"/>
          <w:b/>
          <w:sz w:val="20"/>
          <w:szCs w:val="20"/>
          <w:lang w:val="ro-MD"/>
        </w:rPr>
        <w:t xml:space="preserve"> și reședință</w:t>
      </w:r>
      <w:r w:rsidR="00C23CA0" w:rsidRPr="003836D9">
        <w:rPr>
          <w:rFonts w:ascii="Times New Roman" w:hAnsi="Times New Roman" w:cs="Times New Roman"/>
          <w:b/>
          <w:sz w:val="20"/>
          <w:szCs w:val="20"/>
          <w:lang w:val="ro-MD"/>
        </w:rPr>
        <w:t>, 2019</w:t>
      </w:r>
      <w:r w:rsidR="00BA733B">
        <w:rPr>
          <w:rFonts w:ascii="Times New Roman" w:hAnsi="Times New Roman" w:cs="Times New Roman"/>
          <w:b/>
          <w:sz w:val="20"/>
          <w:szCs w:val="20"/>
          <w:lang w:val="ro-MD"/>
        </w:rPr>
        <w:t xml:space="preserve"> și </w:t>
      </w:r>
      <w:r w:rsidR="00C23CA0" w:rsidRPr="003836D9">
        <w:rPr>
          <w:rFonts w:ascii="Times New Roman" w:hAnsi="Times New Roman" w:cs="Times New Roman"/>
          <w:b/>
          <w:sz w:val="20"/>
          <w:szCs w:val="20"/>
          <w:lang w:val="ro-MD"/>
        </w:rPr>
        <w:t>2021</w:t>
      </w:r>
    </w:p>
    <w:bookmarkEnd w:id="20"/>
    <w:p w14:paraId="069C0E0B" w14:textId="23BA7DFF" w:rsidR="0098544D" w:rsidRPr="00D17CA2" w:rsidRDefault="00D94468" w:rsidP="00BA733B">
      <w:pPr>
        <w:autoSpaceDE w:val="0"/>
        <w:autoSpaceDN w:val="0"/>
        <w:adjustRightInd w:val="0"/>
        <w:jc w:val="center"/>
        <w:rPr>
          <w:rFonts w:ascii="Times New Roman" w:hAnsi="Times New Roman" w:cs="Times New Roman"/>
          <w:noProof/>
          <w:lang w:val="ro-MD"/>
        </w:rPr>
      </w:pPr>
      <w:r w:rsidRPr="00D94468">
        <w:rPr>
          <w:rFonts w:ascii="Times New Roman" w:hAnsi="Times New Roman" w:cs="Times New Roman"/>
          <w:noProof/>
          <w:lang w:val="ru-RU" w:eastAsia="ru-RU"/>
        </w:rPr>
        <w:drawing>
          <wp:inline distT="0" distB="0" distL="0" distR="0" wp14:anchorId="4F20BB2E" wp14:editId="20F86CAD">
            <wp:extent cx="4555066" cy="2968497"/>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63725" cy="2974140"/>
                    </a:xfrm>
                    <a:prstGeom prst="rect">
                      <a:avLst/>
                    </a:prstGeom>
                    <a:noFill/>
                    <a:ln>
                      <a:noFill/>
                    </a:ln>
                  </pic:spPr>
                </pic:pic>
              </a:graphicData>
            </a:graphic>
          </wp:inline>
        </w:drawing>
      </w:r>
    </w:p>
    <w:p w14:paraId="20EB1334" w14:textId="66372585" w:rsidR="00E64D2A" w:rsidRPr="003836D9" w:rsidRDefault="00BA733B" w:rsidP="00BA733B">
      <w:pPr>
        <w:ind w:left="720"/>
        <w:rPr>
          <w:rFonts w:ascii="Times New Roman" w:eastAsia="Times New Roman" w:hAnsi="Times New Roman" w:cs="Times New Roman"/>
          <w:color w:val="000000"/>
          <w:sz w:val="24"/>
          <w:szCs w:val="24"/>
          <w:lang w:val="ro-MD"/>
        </w:rPr>
      </w:pPr>
      <w:r>
        <w:rPr>
          <w:rFonts w:ascii="Times New Roman" w:eastAsia="Times New Roman" w:hAnsi="Times New Roman" w:cs="Times New Roman"/>
          <w:i/>
          <w:color w:val="000000"/>
          <w:sz w:val="18"/>
          <w:szCs w:val="18"/>
          <w:lang w:val="ro-MD"/>
        </w:rPr>
        <w:t xml:space="preserve">             </w:t>
      </w:r>
      <w:r w:rsidR="00C9214D" w:rsidRPr="003836D9">
        <w:rPr>
          <w:rFonts w:ascii="Times New Roman" w:eastAsia="Times New Roman" w:hAnsi="Times New Roman" w:cs="Times New Roman"/>
          <w:i/>
          <w:color w:val="000000"/>
          <w:sz w:val="18"/>
          <w:szCs w:val="18"/>
          <w:lang w:val="ro-MD"/>
        </w:rPr>
        <w:t xml:space="preserve">Sursa: </w:t>
      </w:r>
      <w:r w:rsidR="00C9214D" w:rsidRPr="003836D9">
        <w:rPr>
          <w:rFonts w:ascii="Times New Roman" w:eastAsia="Times New Roman" w:hAnsi="Times New Roman" w:cs="Times New Roman"/>
          <w:iCs/>
          <w:color w:val="000000"/>
          <w:sz w:val="18"/>
          <w:szCs w:val="18"/>
          <w:lang w:val="ro-MD"/>
        </w:rPr>
        <w:t xml:space="preserve">Elaborare în baza datelor </w:t>
      </w:r>
      <w:r w:rsidR="009F64A1" w:rsidRPr="003836D9">
        <w:rPr>
          <w:rFonts w:ascii="Times New Roman" w:eastAsia="Times New Roman" w:hAnsi="Times New Roman" w:cs="Times New Roman"/>
          <w:iCs/>
          <w:color w:val="000000"/>
          <w:sz w:val="18"/>
          <w:szCs w:val="18"/>
          <w:lang w:val="ro-MD"/>
        </w:rPr>
        <w:t>B</w:t>
      </w:r>
      <w:r w:rsidR="002329AC">
        <w:rPr>
          <w:rFonts w:ascii="Times New Roman" w:eastAsia="Times New Roman" w:hAnsi="Times New Roman" w:cs="Times New Roman"/>
          <w:iCs/>
          <w:color w:val="000000"/>
          <w:sz w:val="18"/>
          <w:szCs w:val="18"/>
          <w:lang w:val="ro-MD"/>
        </w:rPr>
        <w:t>iroului Național de Statistică</w:t>
      </w:r>
      <w:r w:rsidR="00161A52" w:rsidRPr="003836D9">
        <w:rPr>
          <w:rFonts w:ascii="Times New Roman" w:eastAsia="Times New Roman" w:hAnsi="Times New Roman" w:cs="Times New Roman"/>
          <w:iCs/>
          <w:color w:val="000000"/>
          <w:sz w:val="18"/>
          <w:szCs w:val="18"/>
          <w:lang w:val="ro-MD"/>
        </w:rPr>
        <w:t xml:space="preserve"> ale </w:t>
      </w:r>
      <w:r w:rsidR="00C9214D" w:rsidRPr="003836D9">
        <w:rPr>
          <w:rFonts w:ascii="Times New Roman" w:eastAsia="Times New Roman" w:hAnsi="Times New Roman" w:cs="Times New Roman"/>
          <w:iCs/>
          <w:color w:val="000000"/>
          <w:sz w:val="18"/>
          <w:szCs w:val="18"/>
          <w:lang w:val="ro-MD"/>
        </w:rPr>
        <w:t>Anchetei Forței de Muncă, diverși ani</w:t>
      </w:r>
    </w:p>
    <w:p w14:paraId="73701818" w14:textId="3AD1636D" w:rsidR="00F41AF2" w:rsidRPr="003836D9" w:rsidRDefault="00C9214D" w:rsidP="00DB59F5">
      <w:pPr>
        <w:pStyle w:val="Heading3"/>
        <w:spacing w:before="0" w:after="160"/>
        <w:ind w:left="2880"/>
        <w:rPr>
          <w:rFonts w:ascii="Times New Roman" w:hAnsi="Times New Roman" w:cs="Times New Roman"/>
          <w:b/>
          <w:bCs/>
          <w:i/>
          <w:iCs/>
          <w:color w:val="auto"/>
          <w:lang w:val="ro-MD"/>
        </w:rPr>
      </w:pPr>
      <w:bookmarkStart w:id="21" w:name="_Toc97709284"/>
      <w:r w:rsidRPr="003836D9">
        <w:rPr>
          <w:rFonts w:ascii="Times New Roman" w:hAnsi="Times New Roman" w:cs="Times New Roman"/>
          <w:b/>
          <w:i/>
          <w:iCs/>
          <w:color w:val="auto"/>
          <w:lang w:val="ro-MD"/>
        </w:rPr>
        <w:t>Tendințele de ocupare a forței de muncă</w:t>
      </w:r>
      <w:bookmarkEnd w:id="21"/>
    </w:p>
    <w:p w14:paraId="12F077E2" w14:textId="01F8E5A1" w:rsidR="00A80080" w:rsidRDefault="00C9214D" w:rsidP="005B22F2">
      <w:pPr>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R</w:t>
      </w:r>
      <w:r w:rsidR="005B22F2" w:rsidRPr="003836D9">
        <w:rPr>
          <w:rFonts w:ascii="Times New Roman" w:eastAsia="Times New Roman" w:hAnsi="Times New Roman" w:cs="Times New Roman"/>
          <w:sz w:val="24"/>
          <w:szCs w:val="24"/>
          <w:lang w:val="ro-MD"/>
        </w:rPr>
        <w:t xml:space="preserve">ata de ocupare </w:t>
      </w:r>
      <w:r w:rsidRPr="003836D9">
        <w:rPr>
          <w:rFonts w:ascii="Times New Roman" w:eastAsia="Times New Roman" w:hAnsi="Times New Roman" w:cs="Times New Roman"/>
          <w:sz w:val="24"/>
          <w:szCs w:val="24"/>
          <w:lang w:val="ro-MD"/>
        </w:rPr>
        <w:t>în Moldova a avut o traiectorie moderat ascendentă din 2014, cu o accelerare în 2018 (</w:t>
      </w:r>
      <w:r w:rsidR="00D94B6B">
        <w:rPr>
          <w:rFonts w:ascii="Times New Roman" w:eastAsia="Times New Roman" w:hAnsi="Times New Roman" w:cs="Times New Roman"/>
          <w:sz w:val="24"/>
          <w:szCs w:val="24"/>
          <w:lang w:val="ro-MD"/>
        </w:rPr>
        <w:t>Fig.</w:t>
      </w:r>
      <w:r w:rsidRPr="003836D9">
        <w:rPr>
          <w:rFonts w:ascii="Times New Roman" w:eastAsia="Times New Roman" w:hAnsi="Times New Roman" w:cs="Times New Roman"/>
          <w:sz w:val="24"/>
          <w:szCs w:val="24"/>
          <w:lang w:val="ro-MD"/>
        </w:rPr>
        <w:t xml:space="preserve"> 10). În </w:t>
      </w:r>
      <w:r w:rsidR="006E30C6" w:rsidRPr="003836D9">
        <w:rPr>
          <w:rFonts w:ascii="Times New Roman" w:eastAsia="Times New Roman" w:hAnsi="Times New Roman" w:cs="Times New Roman"/>
          <w:sz w:val="24"/>
          <w:szCs w:val="24"/>
          <w:lang w:val="ro-MD"/>
        </w:rPr>
        <w:t>anul 2018</w:t>
      </w:r>
      <w:r w:rsidRPr="003836D9">
        <w:rPr>
          <w:rFonts w:ascii="Times New Roman" w:eastAsia="Times New Roman" w:hAnsi="Times New Roman" w:cs="Times New Roman"/>
          <w:sz w:val="24"/>
          <w:szCs w:val="24"/>
          <w:lang w:val="ro-MD"/>
        </w:rPr>
        <w:t>, rata ocupării forței de muncă a ajuns la 44,5 procente pentru populația cu vârsta de 15 ani și peste</w:t>
      </w:r>
      <w:r w:rsidR="00F41AF2" w:rsidRPr="003836D9">
        <w:rPr>
          <w:rFonts w:ascii="Times New Roman" w:eastAsia="Times New Roman" w:hAnsi="Times New Roman" w:cs="Times New Roman"/>
          <w:sz w:val="24"/>
          <w:szCs w:val="24"/>
          <w:lang w:val="ro-MD"/>
        </w:rPr>
        <w:t xml:space="preserve">. </w:t>
      </w:r>
    </w:p>
    <w:p w14:paraId="448E1560" w14:textId="77777777" w:rsidR="003C3DC8" w:rsidRPr="00A80080" w:rsidRDefault="003C3DC8" w:rsidP="005B22F2">
      <w:pPr>
        <w:jc w:val="both"/>
        <w:rPr>
          <w:rFonts w:ascii="Times New Roman" w:eastAsia="Times New Roman" w:hAnsi="Times New Roman" w:cs="Times New Roman"/>
          <w:sz w:val="24"/>
          <w:szCs w:val="24"/>
          <w:lang w:val="ro-MD"/>
        </w:rPr>
      </w:pPr>
    </w:p>
    <w:p w14:paraId="76FC3388" w14:textId="1B50CF4B" w:rsidR="00F92051" w:rsidRPr="003836D9" w:rsidRDefault="00D94B6B" w:rsidP="00D26EF6">
      <w:pPr>
        <w:autoSpaceDE w:val="0"/>
        <w:autoSpaceDN w:val="0"/>
        <w:adjustRightInd w:val="0"/>
        <w:jc w:val="center"/>
        <w:rPr>
          <w:rFonts w:ascii="Times New Roman" w:hAnsi="Times New Roman" w:cs="Times New Roman"/>
          <w:b/>
          <w:sz w:val="20"/>
          <w:szCs w:val="20"/>
          <w:lang w:val="ro-MD"/>
        </w:rPr>
      </w:pPr>
      <w:bookmarkStart w:id="22" w:name="_Hlk72743586"/>
      <w:r>
        <w:rPr>
          <w:rFonts w:ascii="Times New Roman" w:hAnsi="Times New Roman" w:cs="Times New Roman"/>
          <w:b/>
          <w:sz w:val="20"/>
          <w:szCs w:val="20"/>
          <w:lang w:val="ro-MD"/>
        </w:rPr>
        <w:t>Fig.</w:t>
      </w:r>
      <w:r w:rsidR="00F92051" w:rsidRPr="003836D9">
        <w:rPr>
          <w:rFonts w:ascii="Times New Roman" w:hAnsi="Times New Roman" w:cs="Times New Roman"/>
          <w:b/>
          <w:sz w:val="20"/>
          <w:szCs w:val="20"/>
          <w:lang w:val="ro-MD"/>
        </w:rPr>
        <w:t xml:space="preserve"> 10</w:t>
      </w:r>
      <w:r w:rsidR="00A80080">
        <w:rPr>
          <w:rFonts w:ascii="Times New Roman" w:hAnsi="Times New Roman" w:cs="Times New Roman"/>
          <w:b/>
          <w:sz w:val="20"/>
          <w:szCs w:val="20"/>
          <w:lang w:val="ro-MD"/>
        </w:rPr>
        <w:t>.</w:t>
      </w:r>
      <w:r w:rsidR="00F92051" w:rsidRPr="003836D9">
        <w:rPr>
          <w:rFonts w:ascii="Times New Roman" w:hAnsi="Times New Roman" w:cs="Times New Roman"/>
          <w:b/>
          <w:sz w:val="20"/>
          <w:szCs w:val="20"/>
          <w:lang w:val="ro-MD"/>
        </w:rPr>
        <w:t xml:space="preserve"> </w:t>
      </w:r>
      <w:r w:rsidR="00C9214D" w:rsidRPr="003836D9">
        <w:rPr>
          <w:rFonts w:ascii="Times New Roman" w:hAnsi="Times New Roman" w:cs="Times New Roman"/>
          <w:b/>
          <w:sz w:val="20"/>
          <w:szCs w:val="20"/>
          <w:lang w:val="ro-MD"/>
        </w:rPr>
        <w:t>Ra</w:t>
      </w:r>
      <w:r w:rsidR="00FD18A2" w:rsidRPr="003836D9">
        <w:rPr>
          <w:rFonts w:ascii="Times New Roman" w:hAnsi="Times New Roman" w:cs="Times New Roman"/>
          <w:b/>
          <w:sz w:val="20"/>
          <w:szCs w:val="20"/>
          <w:lang w:val="ro-MD"/>
        </w:rPr>
        <w:t>ta de ocupare</w:t>
      </w:r>
      <w:r w:rsidR="00A80080">
        <w:rPr>
          <w:rFonts w:ascii="Times New Roman" w:hAnsi="Times New Roman" w:cs="Times New Roman"/>
          <w:b/>
          <w:sz w:val="20"/>
          <w:szCs w:val="20"/>
          <w:lang w:val="ro-MD"/>
        </w:rPr>
        <w:t xml:space="preserve"> (%)</w:t>
      </w:r>
      <w:r w:rsidR="00D94468">
        <w:rPr>
          <w:rFonts w:ascii="Times New Roman" w:hAnsi="Times New Roman" w:cs="Times New Roman"/>
          <w:b/>
          <w:sz w:val="20"/>
          <w:szCs w:val="20"/>
          <w:lang w:val="ro-MD"/>
        </w:rPr>
        <w:t xml:space="preserve"> a t</w:t>
      </w:r>
      <w:r w:rsidR="00C9214D" w:rsidRPr="003836D9">
        <w:rPr>
          <w:rFonts w:ascii="Times New Roman" w:hAnsi="Times New Roman" w:cs="Times New Roman"/>
          <w:b/>
          <w:sz w:val="20"/>
          <w:szCs w:val="20"/>
          <w:lang w:val="ro-MD"/>
        </w:rPr>
        <w:t>ineri</w:t>
      </w:r>
      <w:r w:rsidR="00D94468">
        <w:rPr>
          <w:rFonts w:ascii="Times New Roman" w:hAnsi="Times New Roman" w:cs="Times New Roman"/>
          <w:b/>
          <w:sz w:val="20"/>
          <w:szCs w:val="20"/>
          <w:lang w:val="ro-MD"/>
        </w:rPr>
        <w:t>lor</w:t>
      </w:r>
      <w:r w:rsidR="00C9214D" w:rsidRPr="003836D9">
        <w:rPr>
          <w:rFonts w:ascii="Times New Roman" w:hAnsi="Times New Roman" w:cs="Times New Roman"/>
          <w:b/>
          <w:sz w:val="20"/>
          <w:szCs w:val="20"/>
          <w:lang w:val="ro-MD"/>
        </w:rPr>
        <w:t xml:space="preserve"> și </w:t>
      </w:r>
      <w:r w:rsidR="00D94468">
        <w:rPr>
          <w:rFonts w:ascii="Times New Roman" w:hAnsi="Times New Roman" w:cs="Times New Roman"/>
          <w:b/>
          <w:sz w:val="20"/>
          <w:szCs w:val="20"/>
          <w:lang w:val="ro-MD"/>
        </w:rPr>
        <w:t xml:space="preserve">a </w:t>
      </w:r>
      <w:r w:rsidR="00C9214D" w:rsidRPr="003836D9">
        <w:rPr>
          <w:rFonts w:ascii="Times New Roman" w:hAnsi="Times New Roman" w:cs="Times New Roman"/>
          <w:b/>
          <w:sz w:val="20"/>
          <w:szCs w:val="20"/>
          <w:lang w:val="ro-MD"/>
        </w:rPr>
        <w:t>populație</w:t>
      </w:r>
      <w:r w:rsidR="00D94468">
        <w:rPr>
          <w:rFonts w:ascii="Times New Roman" w:hAnsi="Times New Roman" w:cs="Times New Roman"/>
          <w:b/>
          <w:sz w:val="20"/>
          <w:szCs w:val="20"/>
          <w:lang w:val="ro-MD"/>
        </w:rPr>
        <w:t>i</w:t>
      </w:r>
      <w:r w:rsidR="00C9214D" w:rsidRPr="003836D9">
        <w:rPr>
          <w:rFonts w:ascii="Times New Roman" w:hAnsi="Times New Roman" w:cs="Times New Roman"/>
          <w:b/>
          <w:sz w:val="20"/>
          <w:szCs w:val="20"/>
          <w:lang w:val="ro-MD"/>
        </w:rPr>
        <w:t xml:space="preserve"> </w:t>
      </w:r>
      <w:r w:rsidR="006945B8" w:rsidRPr="003836D9">
        <w:rPr>
          <w:rFonts w:ascii="Times New Roman" w:hAnsi="Times New Roman" w:cs="Times New Roman"/>
          <w:b/>
          <w:sz w:val="20"/>
          <w:szCs w:val="20"/>
          <w:lang w:val="ro-MD"/>
        </w:rPr>
        <w:t>de</w:t>
      </w:r>
      <w:r w:rsidR="00C9214D" w:rsidRPr="003836D9">
        <w:rPr>
          <w:rFonts w:ascii="Times New Roman" w:hAnsi="Times New Roman" w:cs="Times New Roman"/>
          <w:b/>
          <w:sz w:val="20"/>
          <w:szCs w:val="20"/>
          <w:lang w:val="ro-MD"/>
        </w:rPr>
        <w:t xml:space="preserve"> 15 ani</w:t>
      </w:r>
      <w:r w:rsidR="006945B8" w:rsidRPr="003836D9">
        <w:rPr>
          <w:rFonts w:ascii="Times New Roman" w:hAnsi="Times New Roman" w:cs="Times New Roman"/>
          <w:b/>
          <w:sz w:val="20"/>
          <w:szCs w:val="20"/>
          <w:lang w:val="ro-MD"/>
        </w:rPr>
        <w:t xml:space="preserve"> și peste</w:t>
      </w:r>
      <w:r w:rsidR="00C9214D" w:rsidRPr="003836D9">
        <w:rPr>
          <w:rFonts w:ascii="Times New Roman" w:hAnsi="Times New Roman" w:cs="Times New Roman"/>
          <w:b/>
          <w:sz w:val="20"/>
          <w:szCs w:val="20"/>
          <w:lang w:val="ro-MD"/>
        </w:rPr>
        <w:t xml:space="preserve">, </w:t>
      </w:r>
      <w:r w:rsidR="000C56CD" w:rsidRPr="003836D9">
        <w:rPr>
          <w:rFonts w:ascii="Times New Roman" w:hAnsi="Times New Roman" w:cs="Times New Roman"/>
          <w:b/>
          <w:sz w:val="20"/>
          <w:szCs w:val="20"/>
          <w:lang w:val="ro-MD"/>
        </w:rPr>
        <w:t>după</w:t>
      </w:r>
      <w:r w:rsidR="00C9214D" w:rsidRPr="003836D9">
        <w:rPr>
          <w:rFonts w:ascii="Times New Roman" w:hAnsi="Times New Roman" w:cs="Times New Roman"/>
          <w:b/>
          <w:sz w:val="20"/>
          <w:szCs w:val="20"/>
          <w:lang w:val="ro-MD"/>
        </w:rPr>
        <w:t xml:space="preserve"> sex</w:t>
      </w:r>
      <w:r w:rsidR="008A274F" w:rsidRPr="003836D9">
        <w:rPr>
          <w:rFonts w:ascii="Times New Roman" w:hAnsi="Times New Roman" w:cs="Times New Roman"/>
          <w:b/>
          <w:sz w:val="20"/>
          <w:szCs w:val="20"/>
          <w:lang w:val="ro-MD"/>
        </w:rPr>
        <w:t>, 2014-2021</w:t>
      </w:r>
    </w:p>
    <w:bookmarkEnd w:id="22"/>
    <w:p w14:paraId="4229D1CE" w14:textId="696A44F7" w:rsidR="00F92051" w:rsidRPr="003836D9" w:rsidRDefault="00B72393" w:rsidP="00B72393">
      <w:pPr>
        <w:autoSpaceDE w:val="0"/>
        <w:autoSpaceDN w:val="0"/>
        <w:adjustRightInd w:val="0"/>
        <w:jc w:val="center"/>
        <w:rPr>
          <w:rFonts w:ascii="Times New Roman" w:hAnsi="Times New Roman" w:cs="Times New Roman"/>
          <w:b/>
          <w:sz w:val="20"/>
          <w:szCs w:val="20"/>
          <w:lang w:val="ro-MD"/>
        </w:rPr>
      </w:pPr>
      <w:r w:rsidRPr="00B72393">
        <w:rPr>
          <w:rFonts w:ascii="Times New Roman" w:hAnsi="Times New Roman" w:cs="Times New Roman"/>
          <w:b/>
          <w:noProof/>
          <w:sz w:val="20"/>
          <w:szCs w:val="20"/>
          <w:lang w:val="ru-RU" w:eastAsia="ru-RU"/>
        </w:rPr>
        <w:lastRenderedPageBreak/>
        <w:drawing>
          <wp:inline distT="0" distB="0" distL="0" distR="0" wp14:anchorId="46624846" wp14:editId="687D022D">
            <wp:extent cx="4324350" cy="2540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47969" cy="2554285"/>
                    </a:xfrm>
                    <a:prstGeom prst="rect">
                      <a:avLst/>
                    </a:prstGeom>
                    <a:noFill/>
                    <a:ln>
                      <a:noFill/>
                    </a:ln>
                  </pic:spPr>
                </pic:pic>
              </a:graphicData>
            </a:graphic>
          </wp:inline>
        </w:drawing>
      </w:r>
    </w:p>
    <w:p w14:paraId="7030D64C" w14:textId="4CE03752" w:rsidR="00ED06F3" w:rsidRPr="003836D9" w:rsidRDefault="00A80080" w:rsidP="00A80080">
      <w:pPr>
        <w:spacing w:before="120" w:after="120"/>
        <w:ind w:left="720"/>
        <w:rPr>
          <w:rFonts w:ascii="Times New Roman" w:eastAsia="Times New Roman" w:hAnsi="Times New Roman" w:cs="Times New Roman"/>
          <w:iCs/>
          <w:color w:val="000000"/>
          <w:sz w:val="18"/>
          <w:szCs w:val="18"/>
          <w:lang w:val="ro-MD"/>
        </w:rPr>
      </w:pPr>
      <w:r>
        <w:rPr>
          <w:rFonts w:ascii="Times New Roman" w:eastAsia="Times New Roman" w:hAnsi="Times New Roman" w:cs="Times New Roman"/>
          <w:i/>
          <w:color w:val="000000"/>
          <w:sz w:val="18"/>
          <w:szCs w:val="18"/>
          <w:lang w:val="ro-MD"/>
        </w:rPr>
        <w:t xml:space="preserve">            </w:t>
      </w:r>
      <w:r w:rsidR="00B72393">
        <w:rPr>
          <w:rFonts w:ascii="Times New Roman" w:eastAsia="Times New Roman" w:hAnsi="Times New Roman" w:cs="Times New Roman"/>
          <w:i/>
          <w:color w:val="000000"/>
          <w:sz w:val="18"/>
          <w:szCs w:val="18"/>
          <w:lang w:val="ro-MD"/>
        </w:rPr>
        <w:t xml:space="preserve">      </w:t>
      </w:r>
      <w:r w:rsidR="00C9214D" w:rsidRPr="003836D9">
        <w:rPr>
          <w:rFonts w:ascii="Times New Roman" w:eastAsia="Times New Roman" w:hAnsi="Times New Roman" w:cs="Times New Roman"/>
          <w:i/>
          <w:color w:val="000000"/>
          <w:sz w:val="18"/>
          <w:szCs w:val="18"/>
          <w:lang w:val="ro-MD"/>
        </w:rPr>
        <w:t xml:space="preserve">Sursa: </w:t>
      </w:r>
      <w:r w:rsidR="00C9214D" w:rsidRPr="003836D9">
        <w:rPr>
          <w:rFonts w:ascii="Times New Roman" w:eastAsia="Times New Roman" w:hAnsi="Times New Roman" w:cs="Times New Roman"/>
          <w:iCs/>
          <w:color w:val="000000"/>
          <w:sz w:val="18"/>
          <w:szCs w:val="18"/>
          <w:lang w:val="ro-MD"/>
        </w:rPr>
        <w:t>Elaborare în baza datelor B</w:t>
      </w:r>
      <w:r w:rsidR="008B22B6">
        <w:rPr>
          <w:rFonts w:ascii="Times New Roman" w:eastAsia="Times New Roman" w:hAnsi="Times New Roman" w:cs="Times New Roman"/>
          <w:iCs/>
          <w:color w:val="000000"/>
          <w:sz w:val="18"/>
          <w:szCs w:val="18"/>
          <w:lang w:val="ro-MD"/>
        </w:rPr>
        <w:t>iroului Național de Statistică</w:t>
      </w:r>
      <w:r w:rsidR="00C9214D" w:rsidRPr="003836D9">
        <w:rPr>
          <w:rFonts w:ascii="Times New Roman" w:eastAsia="Times New Roman" w:hAnsi="Times New Roman" w:cs="Times New Roman"/>
          <w:iCs/>
          <w:color w:val="000000"/>
          <w:sz w:val="18"/>
          <w:szCs w:val="18"/>
          <w:lang w:val="ro-MD"/>
        </w:rPr>
        <w:t xml:space="preserve"> ale Anchetei Forței de Muncă, diverși ani</w:t>
      </w:r>
    </w:p>
    <w:p w14:paraId="2FF31851" w14:textId="681EEFC8" w:rsidR="00B008E0" w:rsidRDefault="00C9214D" w:rsidP="005B22F2">
      <w:pPr>
        <w:jc w:val="both"/>
        <w:rPr>
          <w:rFonts w:ascii="Times New Roman" w:eastAsia="Times New Roman" w:hAnsi="Times New Roman" w:cs="Times New Roman"/>
          <w:sz w:val="24"/>
          <w:szCs w:val="24"/>
          <w:lang w:val="ro-MO"/>
        </w:rPr>
      </w:pPr>
      <w:r w:rsidRPr="003836D9">
        <w:rPr>
          <w:rFonts w:ascii="Times New Roman" w:eastAsia="Times New Roman" w:hAnsi="Times New Roman" w:cs="Times New Roman"/>
          <w:sz w:val="24"/>
          <w:szCs w:val="24"/>
          <w:lang w:val="ro-MD"/>
        </w:rPr>
        <w:t>Ra</w:t>
      </w:r>
      <w:r w:rsidR="00821FEC" w:rsidRPr="003836D9">
        <w:rPr>
          <w:rFonts w:ascii="Times New Roman" w:eastAsia="Times New Roman" w:hAnsi="Times New Roman" w:cs="Times New Roman"/>
          <w:sz w:val="24"/>
          <w:szCs w:val="24"/>
          <w:lang w:val="ro-MD"/>
        </w:rPr>
        <w:t xml:space="preserve">ta de ocupare </w:t>
      </w:r>
      <w:r w:rsidRPr="003836D9">
        <w:rPr>
          <w:rFonts w:ascii="Times New Roman" w:eastAsia="Times New Roman" w:hAnsi="Times New Roman" w:cs="Times New Roman"/>
          <w:sz w:val="24"/>
          <w:szCs w:val="24"/>
          <w:lang w:val="ro-MD"/>
        </w:rPr>
        <w:t>este deosebit de scăzut</w:t>
      </w:r>
      <w:r w:rsidR="00821FEC" w:rsidRPr="003836D9">
        <w:rPr>
          <w:rFonts w:ascii="Times New Roman" w:eastAsia="Times New Roman" w:hAnsi="Times New Roman" w:cs="Times New Roman"/>
          <w:sz w:val="24"/>
          <w:szCs w:val="24"/>
          <w:lang w:val="ro-MD"/>
        </w:rPr>
        <w:t>ă</w:t>
      </w:r>
      <w:r w:rsidRPr="003836D9">
        <w:rPr>
          <w:rFonts w:ascii="Times New Roman" w:eastAsia="Times New Roman" w:hAnsi="Times New Roman" w:cs="Times New Roman"/>
          <w:sz w:val="24"/>
          <w:szCs w:val="24"/>
          <w:lang w:val="ro-MD"/>
        </w:rPr>
        <w:t xml:space="preserve"> în rândul tinerilor cu vârsta cuprinsă între 15 și 24 de ani (1</w:t>
      </w:r>
      <w:r w:rsidR="00FD18A2" w:rsidRPr="003836D9">
        <w:rPr>
          <w:rFonts w:ascii="Times New Roman" w:eastAsia="Times New Roman" w:hAnsi="Times New Roman" w:cs="Times New Roman"/>
          <w:sz w:val="24"/>
          <w:szCs w:val="24"/>
          <w:lang w:val="ro-MD"/>
        </w:rPr>
        <w:t>6,4</w:t>
      </w:r>
      <w:r w:rsidRPr="003836D9">
        <w:rPr>
          <w:rFonts w:ascii="Times New Roman" w:eastAsia="Times New Roman" w:hAnsi="Times New Roman" w:cs="Times New Roman"/>
          <w:sz w:val="24"/>
          <w:szCs w:val="24"/>
          <w:lang w:val="ro-MD"/>
        </w:rPr>
        <w:t xml:space="preserve"> procente în 20</w:t>
      </w:r>
      <w:r w:rsidR="00FD18A2" w:rsidRPr="003836D9">
        <w:rPr>
          <w:rFonts w:ascii="Times New Roman" w:eastAsia="Times New Roman" w:hAnsi="Times New Roman" w:cs="Times New Roman"/>
          <w:sz w:val="24"/>
          <w:szCs w:val="24"/>
          <w:lang w:val="ro-MD"/>
        </w:rPr>
        <w:t>21</w:t>
      </w:r>
      <w:r w:rsidRPr="003836D9">
        <w:rPr>
          <w:rFonts w:ascii="Times New Roman" w:eastAsia="Times New Roman" w:hAnsi="Times New Roman" w:cs="Times New Roman"/>
          <w:sz w:val="24"/>
          <w:szCs w:val="24"/>
          <w:lang w:val="ro-MD"/>
        </w:rPr>
        <w:t>, comparativ cu 33,4 procente în țările UE</w:t>
      </w:r>
      <w:r w:rsidRPr="003D4EC1">
        <w:rPr>
          <w:rFonts w:ascii="Times New Roman" w:eastAsia="Times New Roman" w:hAnsi="Times New Roman" w:cs="Times New Roman"/>
          <w:color w:val="000000" w:themeColor="text1"/>
          <w:sz w:val="24"/>
          <w:szCs w:val="24"/>
          <w:lang w:val="ro-MD"/>
        </w:rPr>
        <w:t>).</w:t>
      </w:r>
      <w:r w:rsidRPr="003D4EC1">
        <w:rPr>
          <w:rFonts w:ascii="Times New Roman" w:eastAsia="Times New Roman" w:hAnsi="Times New Roman" w:cs="Times New Roman"/>
          <w:color w:val="FF0000"/>
          <w:sz w:val="24"/>
          <w:szCs w:val="24"/>
          <w:lang w:val="ro-MD"/>
        </w:rPr>
        <w:t xml:space="preserve"> </w:t>
      </w:r>
      <w:r w:rsidRPr="00E705A8">
        <w:rPr>
          <w:rFonts w:ascii="Times New Roman" w:eastAsia="Times New Roman" w:hAnsi="Times New Roman" w:cs="Times New Roman"/>
          <w:sz w:val="24"/>
          <w:szCs w:val="24"/>
          <w:lang w:val="ro-MD"/>
        </w:rPr>
        <w:t>În 2019, bărbații (15+) erau mai puțin probabil să fie angajați</w:t>
      </w:r>
      <w:r w:rsidR="00497194" w:rsidRPr="00E705A8">
        <w:rPr>
          <w:rFonts w:ascii="Times New Roman" w:eastAsia="Times New Roman" w:hAnsi="Times New Roman" w:cs="Times New Roman"/>
          <w:sz w:val="24"/>
          <w:szCs w:val="24"/>
          <w:lang w:val="ro-MD"/>
        </w:rPr>
        <w:t xml:space="preserve">, rata de ocupare înregistrând </w:t>
      </w:r>
      <w:r w:rsidRPr="00E705A8">
        <w:rPr>
          <w:rFonts w:ascii="Times New Roman" w:eastAsia="Times New Roman" w:hAnsi="Times New Roman" w:cs="Times New Roman"/>
          <w:sz w:val="24"/>
          <w:szCs w:val="24"/>
          <w:lang w:val="ro-MD"/>
        </w:rPr>
        <w:t>44,2 procente în comparație cu femeile (</w:t>
      </w:r>
      <w:r w:rsidR="007F32CA" w:rsidRPr="00E705A8">
        <w:rPr>
          <w:rFonts w:ascii="Times New Roman" w:eastAsia="Times New Roman" w:hAnsi="Times New Roman" w:cs="Times New Roman"/>
          <w:sz w:val="24"/>
          <w:szCs w:val="24"/>
          <w:lang w:val="ro-MD"/>
        </w:rPr>
        <w:t>36,5</w:t>
      </w:r>
      <w:r w:rsidRPr="00E705A8">
        <w:rPr>
          <w:rFonts w:ascii="Times New Roman" w:eastAsia="Times New Roman" w:hAnsi="Times New Roman" w:cs="Times New Roman"/>
          <w:sz w:val="24"/>
          <w:szCs w:val="24"/>
          <w:lang w:val="ro-MD"/>
        </w:rPr>
        <w:t xml:space="preserve"> procente), </w:t>
      </w:r>
      <w:r w:rsidRPr="00694D63">
        <w:rPr>
          <w:rFonts w:ascii="Times New Roman" w:eastAsia="Times New Roman" w:hAnsi="Times New Roman" w:cs="Times New Roman"/>
          <w:color w:val="000000" w:themeColor="text1"/>
          <w:sz w:val="24"/>
          <w:szCs w:val="24"/>
          <w:lang w:val="ro-MD"/>
        </w:rPr>
        <w:t xml:space="preserve">cu o diferență de gen în ceea ce privește ocuparea forței de muncă de </w:t>
      </w:r>
      <w:r w:rsidR="007F32CA" w:rsidRPr="00694D63">
        <w:rPr>
          <w:rFonts w:ascii="Times New Roman" w:eastAsia="Times New Roman" w:hAnsi="Times New Roman" w:cs="Times New Roman"/>
          <w:color w:val="000000" w:themeColor="text1"/>
          <w:sz w:val="24"/>
          <w:szCs w:val="24"/>
          <w:lang w:val="ro-MD"/>
        </w:rPr>
        <w:t>7,7</w:t>
      </w:r>
      <w:r w:rsidRPr="00694D63">
        <w:rPr>
          <w:rFonts w:ascii="Times New Roman" w:eastAsia="Times New Roman" w:hAnsi="Times New Roman" w:cs="Times New Roman"/>
          <w:color w:val="000000" w:themeColor="text1"/>
          <w:sz w:val="24"/>
          <w:szCs w:val="24"/>
          <w:lang w:val="ro-MD"/>
        </w:rPr>
        <w:t xml:space="preserve"> punct</w:t>
      </w:r>
      <w:r w:rsidR="007F32CA" w:rsidRPr="00694D63">
        <w:rPr>
          <w:rFonts w:ascii="Times New Roman" w:eastAsia="Times New Roman" w:hAnsi="Times New Roman" w:cs="Times New Roman"/>
          <w:color w:val="000000" w:themeColor="text1"/>
          <w:sz w:val="24"/>
          <w:szCs w:val="24"/>
          <w:lang w:val="ro-MD"/>
        </w:rPr>
        <w:t>e</w:t>
      </w:r>
      <w:r w:rsidRPr="00694D63">
        <w:rPr>
          <w:rFonts w:ascii="Times New Roman" w:eastAsia="Times New Roman" w:hAnsi="Times New Roman" w:cs="Times New Roman"/>
          <w:color w:val="000000" w:themeColor="text1"/>
          <w:sz w:val="24"/>
          <w:szCs w:val="24"/>
          <w:lang w:val="ro-MD"/>
        </w:rPr>
        <w:t xml:space="preserve"> procentual</w:t>
      </w:r>
      <w:r w:rsidR="007F32CA" w:rsidRPr="00694D63">
        <w:rPr>
          <w:rFonts w:ascii="Times New Roman" w:eastAsia="Times New Roman" w:hAnsi="Times New Roman" w:cs="Times New Roman"/>
          <w:color w:val="000000" w:themeColor="text1"/>
          <w:sz w:val="24"/>
          <w:szCs w:val="24"/>
          <w:lang w:val="ro-MD"/>
        </w:rPr>
        <w:t>e</w:t>
      </w:r>
      <w:r w:rsidRPr="00694D63">
        <w:rPr>
          <w:rFonts w:ascii="Times New Roman" w:eastAsia="Times New Roman" w:hAnsi="Times New Roman" w:cs="Times New Roman"/>
          <w:color w:val="000000" w:themeColor="text1"/>
          <w:sz w:val="24"/>
          <w:szCs w:val="24"/>
          <w:lang w:val="ro-MD"/>
        </w:rPr>
        <w:t>.</w:t>
      </w:r>
      <w:r w:rsidRPr="003836D9">
        <w:rPr>
          <w:rFonts w:ascii="Times New Roman" w:eastAsia="Times New Roman" w:hAnsi="Times New Roman" w:cs="Times New Roman"/>
          <w:sz w:val="24"/>
          <w:szCs w:val="24"/>
          <w:lang w:val="ro-MD"/>
        </w:rPr>
        <w:t xml:space="preserve"> </w:t>
      </w:r>
      <w:r w:rsidR="007F32CA" w:rsidRPr="003836D9">
        <w:rPr>
          <w:rFonts w:ascii="Times New Roman" w:eastAsia="Times New Roman" w:hAnsi="Times New Roman" w:cs="Times New Roman"/>
          <w:sz w:val="24"/>
          <w:szCs w:val="24"/>
          <w:lang w:val="ro-MD"/>
        </w:rPr>
        <w:t>D</w:t>
      </w:r>
      <w:r w:rsidRPr="003836D9">
        <w:rPr>
          <w:rFonts w:ascii="Times New Roman" w:eastAsia="Times New Roman" w:hAnsi="Times New Roman" w:cs="Times New Roman"/>
          <w:sz w:val="24"/>
          <w:szCs w:val="24"/>
          <w:lang w:val="ro-MD"/>
        </w:rPr>
        <w:t>ecalajul de gen</w:t>
      </w:r>
      <w:r w:rsidR="009F64A1" w:rsidRPr="003836D9">
        <w:rPr>
          <w:rFonts w:ascii="Times New Roman" w:eastAsia="Times New Roman" w:hAnsi="Times New Roman" w:cs="Times New Roman"/>
          <w:sz w:val="24"/>
          <w:szCs w:val="24"/>
          <w:lang w:val="ro-MD"/>
        </w:rPr>
        <w:t xml:space="preserve"> </w:t>
      </w:r>
      <w:r w:rsidRPr="003836D9">
        <w:rPr>
          <w:rFonts w:ascii="Times New Roman" w:eastAsia="Times New Roman" w:hAnsi="Times New Roman" w:cs="Times New Roman"/>
          <w:sz w:val="24"/>
          <w:szCs w:val="24"/>
          <w:lang w:val="ro-MD"/>
        </w:rPr>
        <w:t xml:space="preserve">s-a extins în </w:t>
      </w:r>
      <w:r w:rsidR="007F32CA" w:rsidRPr="003836D9">
        <w:rPr>
          <w:rFonts w:ascii="Times New Roman" w:eastAsia="Times New Roman" w:hAnsi="Times New Roman" w:cs="Times New Roman"/>
          <w:sz w:val="24"/>
          <w:szCs w:val="24"/>
          <w:lang w:val="ro-MD"/>
        </w:rPr>
        <w:t xml:space="preserve">anii </w:t>
      </w:r>
      <w:r w:rsidRPr="003836D9">
        <w:rPr>
          <w:rFonts w:ascii="Times New Roman" w:eastAsia="Times New Roman" w:hAnsi="Times New Roman" w:cs="Times New Roman"/>
          <w:sz w:val="24"/>
          <w:szCs w:val="24"/>
          <w:lang w:val="ro-MD"/>
        </w:rPr>
        <w:t>2019-2020, deoarece ra</w:t>
      </w:r>
      <w:r w:rsidR="00497194" w:rsidRPr="003836D9">
        <w:rPr>
          <w:rFonts w:ascii="Times New Roman" w:eastAsia="Times New Roman" w:hAnsi="Times New Roman" w:cs="Times New Roman"/>
          <w:sz w:val="24"/>
          <w:szCs w:val="24"/>
          <w:lang w:val="ro-MD"/>
        </w:rPr>
        <w:t xml:space="preserve">ta de ocupare </w:t>
      </w:r>
      <w:r w:rsidRPr="003836D9">
        <w:rPr>
          <w:rFonts w:ascii="Times New Roman" w:eastAsia="Times New Roman" w:hAnsi="Times New Roman" w:cs="Times New Roman"/>
          <w:sz w:val="24"/>
          <w:szCs w:val="24"/>
          <w:lang w:val="ro-MD"/>
        </w:rPr>
        <w:t>a scăzut mult mai rapid în rândul femeilor comparativ cu bărbații (cu 8,1 puncte procentuale și, respectiv, 1,1 puncte procentuale</w:t>
      </w:r>
      <w:r w:rsidR="00F14883" w:rsidRPr="003836D9">
        <w:rPr>
          <w:rFonts w:ascii="Times New Roman" w:eastAsia="Times New Roman" w:hAnsi="Times New Roman" w:cs="Times New Roman"/>
          <w:sz w:val="24"/>
          <w:szCs w:val="24"/>
          <w:lang w:val="ro-MD"/>
        </w:rPr>
        <w:t>)</w:t>
      </w:r>
      <w:r w:rsidR="00FD18A2" w:rsidRPr="003836D9">
        <w:rPr>
          <w:rFonts w:ascii="Times New Roman" w:eastAsia="Times New Roman" w:hAnsi="Times New Roman" w:cs="Times New Roman"/>
          <w:sz w:val="24"/>
          <w:szCs w:val="24"/>
          <w:lang w:val="ro-MD"/>
        </w:rPr>
        <w:t xml:space="preserve">, iar în anul 2021 rata de ocupare în rândul femeilor (35,4%) a fost mai mică cu 9,3% comparativ cu cea a bărbaților (44,7%). </w:t>
      </w:r>
    </w:p>
    <w:p w14:paraId="178ADFE1" w14:textId="58FD0996" w:rsidR="00C77C72" w:rsidRPr="00C77C72" w:rsidRDefault="00C77C72" w:rsidP="005B22F2">
      <w:pPr>
        <w:jc w:val="both"/>
        <w:rPr>
          <w:rFonts w:ascii="Times New Roman" w:eastAsia="Times New Roman" w:hAnsi="Times New Roman" w:cs="Times New Roman"/>
          <w:color w:val="000000" w:themeColor="text1"/>
          <w:sz w:val="24"/>
          <w:szCs w:val="24"/>
          <w:lang w:val="ro-MO"/>
        </w:rPr>
      </w:pPr>
      <w:r w:rsidRPr="00C77C72">
        <w:rPr>
          <w:rFonts w:ascii="Times New Roman" w:hAnsi="Times New Roman" w:cs="Times New Roman"/>
          <w:color w:val="000000" w:themeColor="text1"/>
          <w:sz w:val="24"/>
          <w:szCs w:val="24"/>
          <w:shd w:val="clear" w:color="auto" w:fill="FFFFFF"/>
        </w:rPr>
        <w:t xml:space="preserve">Rata de </w:t>
      </w:r>
      <w:proofErr w:type="spellStart"/>
      <w:r w:rsidRPr="00C77C72">
        <w:rPr>
          <w:rFonts w:ascii="Times New Roman" w:hAnsi="Times New Roman" w:cs="Times New Roman"/>
          <w:color w:val="000000" w:themeColor="text1"/>
          <w:sz w:val="24"/>
          <w:szCs w:val="24"/>
          <w:shd w:val="clear" w:color="auto" w:fill="FFFFFF"/>
        </w:rPr>
        <w:t>ocupare</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este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extrem</w:t>
      </w:r>
      <w:proofErr w:type="spellEnd"/>
      <w:r>
        <w:rPr>
          <w:rFonts w:ascii="Times New Roman" w:hAnsi="Times New Roman" w:cs="Times New Roman"/>
          <w:color w:val="000000" w:themeColor="text1"/>
          <w:sz w:val="24"/>
          <w:szCs w:val="24"/>
          <w:shd w:val="clear" w:color="auto" w:fill="FFFFFF"/>
        </w:rPr>
        <w:t xml:space="preserve"> de </w:t>
      </w:r>
      <w:proofErr w:type="spellStart"/>
      <w:r>
        <w:rPr>
          <w:rFonts w:ascii="Times New Roman" w:hAnsi="Times New Roman" w:cs="Times New Roman"/>
          <w:color w:val="000000" w:themeColor="text1"/>
          <w:sz w:val="24"/>
          <w:szCs w:val="24"/>
          <w:shd w:val="clear" w:color="auto" w:fill="FFFFFF"/>
        </w:rPr>
        <w:t>scăzută</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în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rîndul</w:t>
      </w:r>
      <w:proofErr w:type="spellEnd"/>
      <w:r>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bCs/>
          <w:color w:val="000000" w:themeColor="text1"/>
          <w:sz w:val="24"/>
          <w:szCs w:val="24"/>
          <w:shd w:val="clear" w:color="auto" w:fill="FFFFFF"/>
        </w:rPr>
        <w:t>persoanelor</w:t>
      </w:r>
      <w:proofErr w:type="spellEnd"/>
      <w:r w:rsidRPr="00C77C72">
        <w:rPr>
          <w:rFonts w:ascii="Times New Roman" w:hAnsi="Times New Roman" w:cs="Times New Roman"/>
          <w:bCs/>
          <w:color w:val="000000" w:themeColor="text1"/>
          <w:sz w:val="24"/>
          <w:szCs w:val="24"/>
          <w:shd w:val="clear" w:color="auto" w:fill="FFFFFF"/>
        </w:rPr>
        <w:t xml:space="preserve"> cu </w:t>
      </w:r>
      <w:proofErr w:type="spellStart"/>
      <w:r w:rsidRPr="00C77C72">
        <w:rPr>
          <w:rFonts w:ascii="Times New Roman" w:hAnsi="Times New Roman" w:cs="Times New Roman"/>
          <w:bCs/>
          <w:color w:val="000000" w:themeColor="text1"/>
          <w:sz w:val="24"/>
          <w:szCs w:val="24"/>
          <w:shd w:val="clear" w:color="auto" w:fill="FFFFFF"/>
        </w:rPr>
        <w:t>dizabilități</w:t>
      </w:r>
      <w:proofErr w:type="spellEnd"/>
      <w:r w:rsidRPr="00C77C72">
        <w:rPr>
          <w:rFonts w:ascii="Times New Roman" w:hAnsi="Times New Roman" w:cs="Times New Roman"/>
          <w:bCs/>
          <w:color w:val="000000" w:themeColor="text1"/>
          <w:sz w:val="24"/>
          <w:szCs w:val="24"/>
          <w:shd w:val="clear" w:color="auto" w:fill="FFFFFF"/>
        </w:rPr>
        <w:t xml:space="preserve"> </w:t>
      </w:r>
      <w:proofErr w:type="spellStart"/>
      <w:r w:rsidRPr="00C77C72">
        <w:rPr>
          <w:rFonts w:ascii="Times New Roman" w:hAnsi="Times New Roman" w:cs="Times New Roman"/>
          <w:bCs/>
          <w:color w:val="000000" w:themeColor="text1"/>
          <w:sz w:val="24"/>
          <w:szCs w:val="24"/>
          <w:shd w:val="clear" w:color="auto" w:fill="FFFFFF"/>
        </w:rPr>
        <w:t>și</w:t>
      </w:r>
      <w:proofErr w:type="spellEnd"/>
      <w:r w:rsidRPr="00C77C72">
        <w:rPr>
          <w:rFonts w:ascii="Times New Roman" w:hAnsi="Times New Roman" w:cs="Times New Roman"/>
          <w:bCs/>
          <w:color w:val="000000" w:themeColor="text1"/>
          <w:sz w:val="24"/>
          <w:szCs w:val="24"/>
          <w:shd w:val="clear" w:color="auto" w:fill="FFFFFF"/>
        </w:rPr>
        <w:t xml:space="preserve"> a</w:t>
      </w:r>
      <w:r>
        <w:rPr>
          <w:rFonts w:ascii="Times New Roman" w:hAnsi="Times New Roman" w:cs="Times New Roman"/>
          <w:b/>
          <w:bCs/>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constituit</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în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anul</w:t>
      </w:r>
      <w:proofErr w:type="spellEnd"/>
      <w:r>
        <w:rPr>
          <w:rFonts w:ascii="Times New Roman" w:hAnsi="Times New Roman" w:cs="Times New Roman"/>
          <w:color w:val="000000" w:themeColor="text1"/>
          <w:sz w:val="24"/>
          <w:szCs w:val="24"/>
          <w:shd w:val="clear" w:color="auto" w:fill="FFFFFF"/>
        </w:rPr>
        <w:t xml:space="preserve"> 2021 - </w:t>
      </w:r>
      <w:r w:rsidRPr="00C77C72">
        <w:rPr>
          <w:rFonts w:ascii="Times New Roman" w:hAnsi="Times New Roman" w:cs="Times New Roman"/>
          <w:color w:val="000000" w:themeColor="text1"/>
          <w:sz w:val="24"/>
          <w:szCs w:val="24"/>
          <w:shd w:val="clear" w:color="auto" w:fill="FFFFFF"/>
        </w:rPr>
        <w:t xml:space="preserve">13,5%. </w:t>
      </w:r>
      <w:proofErr w:type="spellStart"/>
      <w:r w:rsidRPr="00C77C72">
        <w:rPr>
          <w:rFonts w:ascii="Times New Roman" w:hAnsi="Times New Roman" w:cs="Times New Roman"/>
          <w:color w:val="000000" w:themeColor="text1"/>
          <w:sz w:val="24"/>
          <w:szCs w:val="24"/>
          <w:shd w:val="clear" w:color="auto" w:fill="FFFFFF"/>
        </w:rPr>
        <w:t>În</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distribuția</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pe</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sexe</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acest</w:t>
      </w:r>
      <w:proofErr w:type="spellEnd"/>
      <w:r w:rsidRPr="00C77C72">
        <w:rPr>
          <w:rFonts w:ascii="Times New Roman" w:hAnsi="Times New Roman" w:cs="Times New Roman"/>
          <w:color w:val="000000" w:themeColor="text1"/>
          <w:sz w:val="24"/>
          <w:szCs w:val="24"/>
          <w:shd w:val="clear" w:color="auto" w:fill="FFFFFF"/>
        </w:rPr>
        <w:t xml:space="preserve"> indicator a </w:t>
      </w:r>
      <w:proofErr w:type="spellStart"/>
      <w:r w:rsidRPr="00C77C72">
        <w:rPr>
          <w:rFonts w:ascii="Times New Roman" w:hAnsi="Times New Roman" w:cs="Times New Roman"/>
          <w:color w:val="000000" w:themeColor="text1"/>
          <w:sz w:val="24"/>
          <w:szCs w:val="24"/>
          <w:shd w:val="clear" w:color="auto" w:fill="FFFFFF"/>
        </w:rPr>
        <w:t>înregistrat</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valorile</w:t>
      </w:r>
      <w:proofErr w:type="spellEnd"/>
      <w:r w:rsidRPr="00C77C72">
        <w:rPr>
          <w:rFonts w:ascii="Times New Roman" w:hAnsi="Times New Roman" w:cs="Times New Roman"/>
          <w:color w:val="000000" w:themeColor="text1"/>
          <w:sz w:val="24"/>
          <w:szCs w:val="24"/>
          <w:shd w:val="clear" w:color="auto" w:fill="FFFFFF"/>
        </w:rPr>
        <w:t xml:space="preserve">: 13,7% </w:t>
      </w:r>
      <w:proofErr w:type="spellStart"/>
      <w:r w:rsidRPr="00C77C72">
        <w:rPr>
          <w:rFonts w:ascii="Times New Roman" w:hAnsi="Times New Roman" w:cs="Times New Roman"/>
          <w:color w:val="000000" w:themeColor="text1"/>
          <w:sz w:val="24"/>
          <w:szCs w:val="24"/>
          <w:shd w:val="clear" w:color="auto" w:fill="FFFFFF"/>
        </w:rPr>
        <w:t>pentru</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bărbați</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și</w:t>
      </w:r>
      <w:proofErr w:type="spellEnd"/>
      <w:r w:rsidRPr="00C77C72">
        <w:rPr>
          <w:rFonts w:ascii="Times New Roman" w:hAnsi="Times New Roman" w:cs="Times New Roman"/>
          <w:color w:val="000000" w:themeColor="text1"/>
          <w:sz w:val="24"/>
          <w:szCs w:val="24"/>
          <w:shd w:val="clear" w:color="auto" w:fill="FFFFFF"/>
        </w:rPr>
        <w:t xml:space="preserve"> 13,2% </w:t>
      </w:r>
      <w:proofErr w:type="spellStart"/>
      <w:r w:rsidRPr="00C77C72">
        <w:rPr>
          <w:rFonts w:ascii="Times New Roman" w:hAnsi="Times New Roman" w:cs="Times New Roman"/>
          <w:color w:val="000000" w:themeColor="text1"/>
          <w:sz w:val="24"/>
          <w:szCs w:val="24"/>
          <w:shd w:val="clear" w:color="auto" w:fill="FFFFFF"/>
        </w:rPr>
        <w:t>pentru</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femei</w:t>
      </w:r>
      <w:proofErr w:type="spellEnd"/>
      <w:r w:rsidRPr="00C77C72">
        <w:rPr>
          <w:rFonts w:ascii="Times New Roman" w:hAnsi="Times New Roman" w:cs="Times New Roman"/>
          <w:color w:val="000000" w:themeColor="text1"/>
          <w:sz w:val="24"/>
          <w:szCs w:val="24"/>
          <w:shd w:val="clear" w:color="auto" w:fill="FFFFFF"/>
        </w:rPr>
        <w:t xml:space="preserve">. Rata de </w:t>
      </w:r>
      <w:proofErr w:type="spellStart"/>
      <w:r w:rsidRPr="00C77C72">
        <w:rPr>
          <w:rFonts w:ascii="Times New Roman" w:hAnsi="Times New Roman" w:cs="Times New Roman"/>
          <w:color w:val="000000" w:themeColor="text1"/>
          <w:sz w:val="24"/>
          <w:szCs w:val="24"/>
          <w:shd w:val="clear" w:color="auto" w:fill="FFFFFF"/>
        </w:rPr>
        <w:t>ocupare</w:t>
      </w:r>
      <w:proofErr w:type="spellEnd"/>
      <w:r w:rsidRPr="00C77C72">
        <w:rPr>
          <w:rFonts w:ascii="Times New Roman" w:hAnsi="Times New Roman" w:cs="Times New Roman"/>
          <w:color w:val="000000" w:themeColor="text1"/>
          <w:sz w:val="24"/>
          <w:szCs w:val="24"/>
          <w:shd w:val="clear" w:color="auto" w:fill="FFFFFF"/>
        </w:rPr>
        <w:t xml:space="preserve"> a </w:t>
      </w:r>
      <w:proofErr w:type="spellStart"/>
      <w:r w:rsidRPr="00C77C72">
        <w:rPr>
          <w:rFonts w:ascii="Times New Roman" w:hAnsi="Times New Roman" w:cs="Times New Roman"/>
          <w:color w:val="000000" w:themeColor="text1"/>
          <w:sz w:val="24"/>
          <w:szCs w:val="24"/>
          <w:shd w:val="clear" w:color="auto" w:fill="FFFFFF"/>
        </w:rPr>
        <w:t>persoanelor</w:t>
      </w:r>
      <w:proofErr w:type="spellEnd"/>
      <w:r w:rsidRPr="00C77C72">
        <w:rPr>
          <w:rFonts w:ascii="Times New Roman" w:hAnsi="Times New Roman" w:cs="Times New Roman"/>
          <w:color w:val="000000" w:themeColor="text1"/>
          <w:sz w:val="24"/>
          <w:szCs w:val="24"/>
          <w:shd w:val="clear" w:color="auto" w:fill="FFFFFF"/>
        </w:rPr>
        <w:t xml:space="preserve"> cu </w:t>
      </w:r>
      <w:proofErr w:type="spellStart"/>
      <w:r w:rsidRPr="00C77C72">
        <w:rPr>
          <w:rFonts w:ascii="Times New Roman" w:hAnsi="Times New Roman" w:cs="Times New Roman"/>
          <w:color w:val="000000" w:themeColor="text1"/>
          <w:sz w:val="24"/>
          <w:szCs w:val="24"/>
          <w:shd w:val="clear" w:color="auto" w:fill="FFFFFF"/>
        </w:rPr>
        <w:t>dizabilități</w:t>
      </w:r>
      <w:proofErr w:type="spellEnd"/>
      <w:r w:rsidRPr="00C77C72">
        <w:rPr>
          <w:rFonts w:ascii="Times New Roman" w:hAnsi="Times New Roman" w:cs="Times New Roman"/>
          <w:color w:val="000000" w:themeColor="text1"/>
          <w:sz w:val="24"/>
          <w:szCs w:val="24"/>
          <w:shd w:val="clear" w:color="auto" w:fill="FFFFFF"/>
        </w:rPr>
        <w:t xml:space="preserve"> din </w:t>
      </w:r>
      <w:proofErr w:type="spellStart"/>
      <w:r w:rsidRPr="00C77C72">
        <w:rPr>
          <w:rFonts w:ascii="Times New Roman" w:hAnsi="Times New Roman" w:cs="Times New Roman"/>
          <w:color w:val="000000" w:themeColor="text1"/>
          <w:sz w:val="24"/>
          <w:szCs w:val="24"/>
          <w:shd w:val="clear" w:color="auto" w:fill="FFFFFF"/>
        </w:rPr>
        <w:t>mediul</w:t>
      </w:r>
      <w:proofErr w:type="spellEnd"/>
      <w:r w:rsidRPr="00C77C72">
        <w:rPr>
          <w:rFonts w:ascii="Times New Roman" w:hAnsi="Times New Roman" w:cs="Times New Roman"/>
          <w:color w:val="000000" w:themeColor="text1"/>
          <w:sz w:val="24"/>
          <w:szCs w:val="24"/>
          <w:shd w:val="clear" w:color="auto" w:fill="FFFFFF"/>
        </w:rPr>
        <w:t xml:space="preserve"> urban a </w:t>
      </w:r>
      <w:proofErr w:type="spellStart"/>
      <w:r w:rsidRPr="00C77C72">
        <w:rPr>
          <w:rFonts w:ascii="Times New Roman" w:hAnsi="Times New Roman" w:cs="Times New Roman"/>
          <w:color w:val="000000" w:themeColor="text1"/>
          <w:sz w:val="24"/>
          <w:szCs w:val="24"/>
          <w:shd w:val="clear" w:color="auto" w:fill="FFFFFF"/>
        </w:rPr>
        <w:t>fost</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mai</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înaltă</w:t>
      </w:r>
      <w:proofErr w:type="spellEnd"/>
      <w:r w:rsidRPr="00C77C72">
        <w:rPr>
          <w:rFonts w:ascii="Times New Roman" w:hAnsi="Times New Roman" w:cs="Times New Roman"/>
          <w:color w:val="000000" w:themeColor="text1"/>
          <w:sz w:val="24"/>
          <w:szCs w:val="24"/>
          <w:shd w:val="clear" w:color="auto" w:fill="FFFFFF"/>
        </w:rPr>
        <w:t xml:space="preserve"> (14,3%) </w:t>
      </w:r>
      <w:proofErr w:type="spellStart"/>
      <w:r w:rsidRPr="00C77C72">
        <w:rPr>
          <w:rFonts w:ascii="Times New Roman" w:hAnsi="Times New Roman" w:cs="Times New Roman"/>
          <w:color w:val="000000" w:themeColor="text1"/>
          <w:sz w:val="24"/>
          <w:szCs w:val="24"/>
          <w:shd w:val="clear" w:color="auto" w:fill="FFFFFF"/>
        </w:rPr>
        <w:t>în</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comparație</w:t>
      </w:r>
      <w:proofErr w:type="spellEnd"/>
      <w:r w:rsidRPr="00C77C72">
        <w:rPr>
          <w:rFonts w:ascii="Times New Roman" w:hAnsi="Times New Roman" w:cs="Times New Roman"/>
          <w:color w:val="000000" w:themeColor="text1"/>
          <w:sz w:val="24"/>
          <w:szCs w:val="24"/>
          <w:shd w:val="clear" w:color="auto" w:fill="FFFFFF"/>
        </w:rPr>
        <w:t xml:space="preserve"> cu rata </w:t>
      </w:r>
      <w:proofErr w:type="spellStart"/>
      <w:r w:rsidRPr="00C77C72">
        <w:rPr>
          <w:rFonts w:ascii="Times New Roman" w:hAnsi="Times New Roman" w:cs="Times New Roman"/>
          <w:color w:val="000000" w:themeColor="text1"/>
          <w:sz w:val="24"/>
          <w:szCs w:val="24"/>
          <w:shd w:val="clear" w:color="auto" w:fill="FFFFFF"/>
        </w:rPr>
        <w:t>pentru</w:t>
      </w:r>
      <w:proofErr w:type="spellEnd"/>
      <w:r w:rsidRPr="00C77C72">
        <w:rPr>
          <w:rFonts w:ascii="Times New Roman" w:hAnsi="Times New Roman" w:cs="Times New Roman"/>
          <w:color w:val="000000" w:themeColor="text1"/>
          <w:sz w:val="24"/>
          <w:szCs w:val="24"/>
          <w:shd w:val="clear" w:color="auto" w:fill="FFFFFF"/>
        </w:rPr>
        <w:t xml:space="preserve"> </w:t>
      </w:r>
      <w:proofErr w:type="spellStart"/>
      <w:r w:rsidRPr="00C77C72">
        <w:rPr>
          <w:rFonts w:ascii="Times New Roman" w:hAnsi="Times New Roman" w:cs="Times New Roman"/>
          <w:color w:val="000000" w:themeColor="text1"/>
          <w:sz w:val="24"/>
          <w:szCs w:val="24"/>
          <w:shd w:val="clear" w:color="auto" w:fill="FFFFFF"/>
        </w:rPr>
        <w:t>persoanele</w:t>
      </w:r>
      <w:proofErr w:type="spellEnd"/>
      <w:r w:rsidRPr="00C77C72">
        <w:rPr>
          <w:rFonts w:ascii="Times New Roman" w:hAnsi="Times New Roman" w:cs="Times New Roman"/>
          <w:color w:val="000000" w:themeColor="text1"/>
          <w:sz w:val="24"/>
          <w:szCs w:val="24"/>
          <w:shd w:val="clear" w:color="auto" w:fill="FFFFFF"/>
        </w:rPr>
        <w:t xml:space="preserve"> din </w:t>
      </w:r>
      <w:proofErr w:type="spellStart"/>
      <w:r w:rsidRPr="00C77C72">
        <w:rPr>
          <w:rFonts w:ascii="Times New Roman" w:hAnsi="Times New Roman" w:cs="Times New Roman"/>
          <w:color w:val="000000" w:themeColor="text1"/>
          <w:sz w:val="24"/>
          <w:szCs w:val="24"/>
          <w:shd w:val="clear" w:color="auto" w:fill="FFFFFF"/>
        </w:rPr>
        <w:t>mediul</w:t>
      </w:r>
      <w:proofErr w:type="spellEnd"/>
      <w:r w:rsidRPr="00C77C72">
        <w:rPr>
          <w:rFonts w:ascii="Times New Roman" w:hAnsi="Times New Roman" w:cs="Times New Roman"/>
          <w:color w:val="000000" w:themeColor="text1"/>
          <w:sz w:val="24"/>
          <w:szCs w:val="24"/>
          <w:shd w:val="clear" w:color="auto" w:fill="FFFFFF"/>
        </w:rPr>
        <w:t xml:space="preserve"> rural (13,2%).</w:t>
      </w:r>
    </w:p>
    <w:p w14:paraId="47BC48D8" w14:textId="6B80295E" w:rsidR="00ED06F3" w:rsidRPr="003836D9" w:rsidRDefault="00C9214D" w:rsidP="005B22F2">
      <w:pPr>
        <w:autoSpaceDE w:val="0"/>
        <w:autoSpaceDN w:val="0"/>
        <w:adjustRightInd w:val="0"/>
        <w:jc w:val="both"/>
        <w:rPr>
          <w:rFonts w:ascii="Times New Roman" w:hAnsi="Times New Roman" w:cs="Times New Roman"/>
          <w:sz w:val="24"/>
          <w:szCs w:val="24"/>
          <w:lang w:val="ro-MD"/>
        </w:rPr>
      </w:pPr>
      <w:r w:rsidRPr="003836D9">
        <w:rPr>
          <w:rFonts w:ascii="Times New Roman" w:eastAsia="Times New Roman" w:hAnsi="Times New Roman" w:cs="Times New Roman"/>
          <w:sz w:val="24"/>
          <w:szCs w:val="24"/>
          <w:lang w:val="ro-MD"/>
        </w:rPr>
        <w:t>În perioada 2014-2016, nivelul de ocupare a forței de muncă pentru adulți (25-64) a crescut moderat (1,2 procente în ansamblu), ocuparea forței de muncă a femeilor crescând mai mult decât cea a bărbaților (1,6 procente și, respectiv, 0,9 procente). În schimb, pentru tineri, nivelul de ocupare a forței de muncă a scăzut cu 13,3 procente în perioada respectivă (cu 16,6 procente pentru bărbații tineri și 8,2 procente pentru femeile tinere), din cauza factorilor demografici (populația tânără scăzând cu 25,8 procente în perioada 2014-2018) și creșter</w:t>
      </w:r>
      <w:r w:rsidR="00850AC4" w:rsidRPr="003836D9">
        <w:rPr>
          <w:rFonts w:ascii="Times New Roman" w:eastAsia="Times New Roman" w:hAnsi="Times New Roman" w:cs="Times New Roman"/>
          <w:sz w:val="24"/>
          <w:szCs w:val="24"/>
          <w:lang w:val="ro-MD"/>
        </w:rPr>
        <w:t>ii</w:t>
      </w:r>
      <w:r w:rsidRPr="003836D9">
        <w:rPr>
          <w:rFonts w:ascii="Times New Roman" w:eastAsia="Times New Roman" w:hAnsi="Times New Roman" w:cs="Times New Roman"/>
          <w:sz w:val="24"/>
          <w:szCs w:val="24"/>
          <w:lang w:val="ro-MD"/>
        </w:rPr>
        <w:t xml:space="preserve"> nivelurilor de inactivitate din cauza participării la educație (</w:t>
      </w:r>
      <w:r w:rsidR="00D94B6B">
        <w:rPr>
          <w:rFonts w:ascii="Times New Roman" w:eastAsia="Times New Roman" w:hAnsi="Times New Roman" w:cs="Times New Roman"/>
          <w:sz w:val="24"/>
          <w:szCs w:val="24"/>
          <w:lang w:val="ro-MD"/>
        </w:rPr>
        <w:t>Fig.</w:t>
      </w:r>
      <w:r w:rsidRPr="003836D9">
        <w:rPr>
          <w:rFonts w:ascii="Times New Roman" w:eastAsia="Times New Roman" w:hAnsi="Times New Roman" w:cs="Times New Roman"/>
          <w:sz w:val="24"/>
          <w:szCs w:val="24"/>
          <w:lang w:val="ro-MD"/>
        </w:rPr>
        <w:t xml:space="preserve"> 11). În perioada 2014-2018, ponderea tinerilor 15-24 de ani inactivi din cauza </w:t>
      </w:r>
      <w:r w:rsidR="000C56CD" w:rsidRPr="003836D9">
        <w:rPr>
          <w:rFonts w:ascii="Times New Roman" w:eastAsia="Times New Roman" w:hAnsi="Times New Roman" w:cs="Times New Roman"/>
          <w:sz w:val="24"/>
          <w:szCs w:val="24"/>
          <w:lang w:val="ro-MD"/>
        </w:rPr>
        <w:t>continuării studiilor</w:t>
      </w:r>
      <w:r w:rsidRPr="003836D9">
        <w:rPr>
          <w:rFonts w:ascii="Times New Roman" w:eastAsia="Times New Roman" w:hAnsi="Times New Roman" w:cs="Times New Roman"/>
          <w:sz w:val="24"/>
          <w:szCs w:val="24"/>
          <w:lang w:val="ro-MD"/>
        </w:rPr>
        <w:t xml:space="preserve"> a crescut de la 66,7 procente la 69,7 procente. </w:t>
      </w:r>
      <w:r w:rsidR="00D94B6B">
        <w:rPr>
          <w:rFonts w:ascii="Times New Roman" w:eastAsia="Times New Roman" w:hAnsi="Times New Roman" w:cs="Times New Roman"/>
          <w:sz w:val="24"/>
          <w:szCs w:val="24"/>
          <w:lang w:val="ro-MD"/>
        </w:rPr>
        <w:t>Fig.</w:t>
      </w:r>
      <w:r w:rsidRPr="003836D9">
        <w:rPr>
          <w:rFonts w:ascii="Times New Roman" w:eastAsia="Times New Roman" w:hAnsi="Times New Roman" w:cs="Times New Roman"/>
          <w:sz w:val="24"/>
          <w:szCs w:val="24"/>
          <w:lang w:val="ro-MD"/>
        </w:rPr>
        <w:t xml:space="preserve"> 11 de mai jos arată că criza de pe piața muncii generată de pandemia de </w:t>
      </w:r>
      <w:r w:rsidR="00DF67F3">
        <w:rPr>
          <w:rFonts w:ascii="Times New Roman" w:eastAsia="Times New Roman" w:hAnsi="Times New Roman" w:cs="Times New Roman"/>
          <w:sz w:val="24"/>
          <w:szCs w:val="24"/>
          <w:lang w:val="ro-MD"/>
        </w:rPr>
        <w:t>COVID</w:t>
      </w:r>
      <w:r w:rsidRPr="003836D9">
        <w:rPr>
          <w:rFonts w:ascii="Times New Roman" w:eastAsia="Times New Roman" w:hAnsi="Times New Roman" w:cs="Times New Roman"/>
          <w:sz w:val="24"/>
          <w:szCs w:val="24"/>
          <w:lang w:val="ro-MD"/>
        </w:rPr>
        <w:t xml:space="preserve">-19 a afectat ocuparea forței de muncă în rândul tinerilor mai mult decât </w:t>
      </w:r>
      <w:r w:rsidR="00850AC4" w:rsidRPr="003836D9">
        <w:rPr>
          <w:rFonts w:ascii="Times New Roman" w:eastAsia="Times New Roman" w:hAnsi="Times New Roman" w:cs="Times New Roman"/>
          <w:sz w:val="24"/>
          <w:szCs w:val="24"/>
          <w:lang w:val="ro-MD"/>
        </w:rPr>
        <w:t>cea a</w:t>
      </w:r>
      <w:r w:rsidRPr="003836D9">
        <w:rPr>
          <w:rFonts w:ascii="Times New Roman" w:eastAsia="Times New Roman" w:hAnsi="Times New Roman" w:cs="Times New Roman"/>
          <w:sz w:val="24"/>
          <w:szCs w:val="24"/>
          <w:lang w:val="ro-MD"/>
        </w:rPr>
        <w:t xml:space="preserve"> adulților, nivelul de ocupare în rândul tinerilor scăzând cu peste 18 procente, comparativ cu o scădere a ocupării adulților cu 3 procente</w:t>
      </w:r>
      <w:r w:rsidR="00740345" w:rsidRPr="003836D9">
        <w:rPr>
          <w:rFonts w:ascii="Times New Roman" w:eastAsia="Times New Roman" w:hAnsi="Times New Roman" w:cs="Times New Roman"/>
          <w:sz w:val="24"/>
          <w:szCs w:val="24"/>
          <w:lang w:val="ro-MD"/>
        </w:rPr>
        <w:t xml:space="preserve">. </w:t>
      </w:r>
    </w:p>
    <w:p w14:paraId="5388D59C" w14:textId="77777777" w:rsidR="005A0CB9" w:rsidRDefault="005A0CB9" w:rsidP="00B008E0">
      <w:pPr>
        <w:autoSpaceDE w:val="0"/>
        <w:autoSpaceDN w:val="0"/>
        <w:adjustRightInd w:val="0"/>
        <w:jc w:val="center"/>
        <w:rPr>
          <w:rFonts w:ascii="Times New Roman" w:hAnsi="Times New Roman" w:cs="Times New Roman"/>
          <w:b/>
          <w:sz w:val="20"/>
          <w:szCs w:val="20"/>
          <w:lang w:val="ro-MD"/>
        </w:rPr>
      </w:pPr>
      <w:bookmarkStart w:id="23" w:name="_Hlk93139485"/>
    </w:p>
    <w:p w14:paraId="30B04776" w14:textId="321CD5E9" w:rsidR="00B008E0" w:rsidRPr="003836D9" w:rsidRDefault="00D94B6B" w:rsidP="00B008E0">
      <w:pPr>
        <w:autoSpaceDE w:val="0"/>
        <w:autoSpaceDN w:val="0"/>
        <w:adjustRightInd w:val="0"/>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B008E0" w:rsidRPr="003836D9">
        <w:rPr>
          <w:rFonts w:ascii="Times New Roman" w:hAnsi="Times New Roman" w:cs="Times New Roman"/>
          <w:b/>
          <w:sz w:val="20"/>
          <w:szCs w:val="20"/>
          <w:lang w:val="ro-MD"/>
        </w:rPr>
        <w:t xml:space="preserve"> 11</w:t>
      </w:r>
      <w:r w:rsidR="00D94468">
        <w:rPr>
          <w:rFonts w:ascii="Times New Roman" w:hAnsi="Times New Roman" w:cs="Times New Roman"/>
          <w:b/>
          <w:sz w:val="20"/>
          <w:szCs w:val="20"/>
          <w:lang w:val="ro-MD"/>
        </w:rPr>
        <w:t xml:space="preserve">. </w:t>
      </w:r>
      <w:r w:rsidR="00C9214D" w:rsidRPr="003836D9">
        <w:rPr>
          <w:rFonts w:ascii="Times New Roman" w:hAnsi="Times New Roman" w:cs="Times New Roman"/>
          <w:b/>
          <w:sz w:val="20"/>
          <w:szCs w:val="20"/>
          <w:lang w:val="ro-MD"/>
        </w:rPr>
        <w:t>Schimbări în ocuparea forței de muncă, tineri (15-24) și adulți</w:t>
      </w:r>
      <w:r w:rsidR="00740345" w:rsidRPr="003836D9">
        <w:rPr>
          <w:rFonts w:ascii="Times New Roman" w:hAnsi="Times New Roman" w:cs="Times New Roman"/>
          <w:b/>
          <w:sz w:val="20"/>
          <w:szCs w:val="20"/>
          <w:lang w:val="ro-MD"/>
        </w:rPr>
        <w:t xml:space="preserve"> (25-64)</w:t>
      </w:r>
      <w:r w:rsidR="005C49CA" w:rsidRPr="003836D9">
        <w:rPr>
          <w:rFonts w:ascii="Times New Roman" w:hAnsi="Times New Roman" w:cs="Times New Roman"/>
          <w:b/>
          <w:sz w:val="20"/>
          <w:szCs w:val="20"/>
          <w:lang w:val="ro-MD"/>
        </w:rPr>
        <w:t>, 2014-2021</w:t>
      </w:r>
    </w:p>
    <w:bookmarkEnd w:id="23"/>
    <w:p w14:paraId="53568E8A" w14:textId="4DD9660E" w:rsidR="00B008E0" w:rsidRPr="003836D9" w:rsidRDefault="003C3DC8" w:rsidP="005C49CA">
      <w:pPr>
        <w:autoSpaceDE w:val="0"/>
        <w:autoSpaceDN w:val="0"/>
        <w:adjustRightInd w:val="0"/>
        <w:jc w:val="center"/>
        <w:rPr>
          <w:rFonts w:ascii="Times New Roman" w:hAnsi="Times New Roman" w:cs="Times New Roman"/>
          <w:b/>
          <w:sz w:val="20"/>
          <w:szCs w:val="20"/>
          <w:lang w:val="ro-MD"/>
        </w:rPr>
      </w:pPr>
      <w:r w:rsidRPr="003C3DC8">
        <w:rPr>
          <w:rFonts w:ascii="Times New Roman" w:hAnsi="Times New Roman" w:cs="Times New Roman"/>
          <w:b/>
          <w:noProof/>
          <w:sz w:val="20"/>
          <w:szCs w:val="20"/>
          <w:lang w:val="ru-RU" w:eastAsia="ru-RU"/>
        </w:rPr>
        <w:lastRenderedPageBreak/>
        <w:drawing>
          <wp:inline distT="0" distB="0" distL="0" distR="0" wp14:anchorId="4EFBEB16" wp14:editId="300D27D7">
            <wp:extent cx="5062678" cy="2948940"/>
            <wp:effectExtent l="0" t="0" r="508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83717" cy="2961195"/>
                    </a:xfrm>
                    <a:prstGeom prst="rect">
                      <a:avLst/>
                    </a:prstGeom>
                    <a:noFill/>
                    <a:ln>
                      <a:noFill/>
                    </a:ln>
                  </pic:spPr>
                </pic:pic>
              </a:graphicData>
            </a:graphic>
          </wp:inline>
        </w:drawing>
      </w:r>
    </w:p>
    <w:p w14:paraId="444567EB" w14:textId="416DD747" w:rsidR="00F63BB2" w:rsidRDefault="00E7227C" w:rsidP="00B87550">
      <w:pPr>
        <w:spacing w:before="120" w:after="120"/>
        <w:ind w:left="841"/>
        <w:rPr>
          <w:rFonts w:ascii="Times New Roman" w:eastAsia="Calibri" w:hAnsi="Times New Roman" w:cs="Times New Roman"/>
          <w:sz w:val="24"/>
          <w:szCs w:val="24"/>
          <w:lang w:val="ro-MD"/>
        </w:rPr>
      </w:pPr>
      <w:r w:rsidRPr="003836D9">
        <w:rPr>
          <w:rFonts w:ascii="Times New Roman" w:eastAsia="Times New Roman" w:hAnsi="Times New Roman" w:cs="Times New Roman"/>
          <w:i/>
          <w:color w:val="000000"/>
          <w:sz w:val="18"/>
          <w:szCs w:val="18"/>
          <w:lang w:val="ro-MD"/>
        </w:rPr>
        <w:t xml:space="preserve">Sursa: </w:t>
      </w:r>
      <w:r w:rsidRPr="003836D9">
        <w:rPr>
          <w:rFonts w:ascii="Times New Roman" w:eastAsia="Times New Roman" w:hAnsi="Times New Roman" w:cs="Times New Roman"/>
          <w:iCs/>
          <w:color w:val="000000"/>
          <w:sz w:val="18"/>
          <w:szCs w:val="18"/>
          <w:lang w:val="ro-MD"/>
        </w:rPr>
        <w:t>Elaborare în baza datelor B</w:t>
      </w:r>
      <w:r w:rsidR="003C3DC8">
        <w:rPr>
          <w:rFonts w:ascii="Times New Roman" w:eastAsia="Times New Roman" w:hAnsi="Times New Roman" w:cs="Times New Roman"/>
          <w:iCs/>
          <w:color w:val="000000"/>
          <w:sz w:val="18"/>
          <w:szCs w:val="18"/>
          <w:lang w:val="ro-MD"/>
        </w:rPr>
        <w:t>iroului Național de Statistică</w:t>
      </w:r>
      <w:r w:rsidRPr="003836D9">
        <w:rPr>
          <w:rFonts w:ascii="Times New Roman" w:eastAsia="Times New Roman" w:hAnsi="Times New Roman" w:cs="Times New Roman"/>
          <w:iCs/>
          <w:color w:val="000000"/>
          <w:sz w:val="18"/>
          <w:szCs w:val="18"/>
          <w:lang w:val="ro-MD"/>
        </w:rPr>
        <w:t xml:space="preserve"> ale Anchetei Forței de Muncă, </w:t>
      </w:r>
      <w:r w:rsidR="003C3DC8">
        <w:rPr>
          <w:rFonts w:ascii="Times New Roman" w:eastAsia="Times New Roman" w:hAnsi="Times New Roman" w:cs="Times New Roman"/>
          <w:iCs/>
          <w:color w:val="000000"/>
          <w:sz w:val="18"/>
          <w:szCs w:val="18"/>
          <w:lang w:val="ro-MD"/>
        </w:rPr>
        <w:t>anul 2019 nu este disponibil</w:t>
      </w:r>
    </w:p>
    <w:p w14:paraId="1757806D" w14:textId="4E198663" w:rsidR="00E7227C" w:rsidRPr="003836D9" w:rsidRDefault="00E7227C" w:rsidP="00B925CB">
      <w:pPr>
        <w:jc w:val="both"/>
        <w:rPr>
          <w:rFonts w:ascii="Times New Roman" w:eastAsia="Calibri" w:hAnsi="Times New Roman" w:cs="Times New Roman"/>
          <w:sz w:val="24"/>
          <w:szCs w:val="24"/>
          <w:lang w:val="ro-MD"/>
        </w:rPr>
      </w:pPr>
      <w:r w:rsidRPr="003836D9">
        <w:rPr>
          <w:rFonts w:ascii="Times New Roman" w:eastAsia="Calibri" w:hAnsi="Times New Roman" w:cs="Times New Roman"/>
          <w:sz w:val="24"/>
          <w:szCs w:val="24"/>
          <w:lang w:val="ro-MD"/>
        </w:rPr>
        <w:t xml:space="preserve">Persoanele cu studii </w:t>
      </w:r>
      <w:r w:rsidR="001A7699" w:rsidRPr="003836D9">
        <w:rPr>
          <w:rFonts w:ascii="Times New Roman" w:eastAsia="Calibri" w:hAnsi="Times New Roman" w:cs="Times New Roman"/>
          <w:sz w:val="24"/>
          <w:szCs w:val="24"/>
          <w:lang w:val="ro-MD"/>
        </w:rPr>
        <w:t>superioare</w:t>
      </w:r>
      <w:r w:rsidRPr="003836D9">
        <w:rPr>
          <w:rFonts w:ascii="Times New Roman" w:eastAsia="Calibri" w:hAnsi="Times New Roman" w:cs="Times New Roman"/>
          <w:sz w:val="24"/>
          <w:szCs w:val="24"/>
          <w:lang w:val="ro-MD"/>
        </w:rPr>
        <w:t xml:space="preserve"> au șanse de 2,3 ori mai mari de a fi angajate în comparație cu persoanele slab calificate. În 2020, ra</w:t>
      </w:r>
      <w:r w:rsidR="00845B54" w:rsidRPr="003836D9">
        <w:rPr>
          <w:rFonts w:ascii="Times New Roman" w:eastAsia="Calibri" w:hAnsi="Times New Roman" w:cs="Times New Roman"/>
          <w:sz w:val="24"/>
          <w:szCs w:val="24"/>
          <w:lang w:val="ro-MD"/>
        </w:rPr>
        <w:t xml:space="preserve">ta de ocupare a </w:t>
      </w:r>
      <w:r w:rsidRPr="003836D9">
        <w:rPr>
          <w:rFonts w:ascii="Times New Roman" w:eastAsia="Calibri" w:hAnsi="Times New Roman" w:cs="Times New Roman"/>
          <w:sz w:val="24"/>
          <w:szCs w:val="24"/>
          <w:lang w:val="ro-MD"/>
        </w:rPr>
        <w:t>persoanelor cu calificare scăzută a fost de 2</w:t>
      </w:r>
      <w:r w:rsidR="007F32CA" w:rsidRPr="003836D9">
        <w:rPr>
          <w:rFonts w:ascii="Times New Roman" w:eastAsia="Calibri" w:hAnsi="Times New Roman" w:cs="Times New Roman"/>
          <w:sz w:val="24"/>
          <w:szCs w:val="24"/>
          <w:lang w:val="ro-MD"/>
        </w:rPr>
        <w:t>3</w:t>
      </w:r>
      <w:r w:rsidRPr="003836D9">
        <w:rPr>
          <w:rFonts w:ascii="Times New Roman" w:eastAsia="Calibri" w:hAnsi="Times New Roman" w:cs="Times New Roman"/>
          <w:sz w:val="24"/>
          <w:szCs w:val="24"/>
          <w:lang w:val="ro-MD"/>
        </w:rPr>
        <w:t>,</w:t>
      </w:r>
      <w:r w:rsidR="007F32CA" w:rsidRPr="003836D9">
        <w:rPr>
          <w:rFonts w:ascii="Times New Roman" w:eastAsia="Calibri" w:hAnsi="Times New Roman" w:cs="Times New Roman"/>
          <w:sz w:val="24"/>
          <w:szCs w:val="24"/>
          <w:lang w:val="ro-MD"/>
        </w:rPr>
        <w:t>2</w:t>
      </w:r>
      <w:r w:rsidRPr="003836D9">
        <w:rPr>
          <w:rFonts w:ascii="Times New Roman" w:eastAsia="Calibri" w:hAnsi="Times New Roman" w:cs="Times New Roman"/>
          <w:sz w:val="24"/>
          <w:szCs w:val="24"/>
          <w:lang w:val="ro-MD"/>
        </w:rPr>
        <w:t xml:space="preserve"> procente, comparativ cu 60,4 procente pentru persoanele cu studii </w:t>
      </w:r>
      <w:r w:rsidR="001A7699" w:rsidRPr="003836D9">
        <w:rPr>
          <w:rFonts w:ascii="Times New Roman" w:eastAsia="Calibri" w:hAnsi="Times New Roman" w:cs="Times New Roman"/>
          <w:sz w:val="24"/>
          <w:szCs w:val="24"/>
          <w:lang w:val="ro-MD"/>
        </w:rPr>
        <w:t>superioare</w:t>
      </w:r>
      <w:r w:rsidRPr="003836D9">
        <w:rPr>
          <w:rFonts w:ascii="Times New Roman" w:eastAsia="Calibri" w:hAnsi="Times New Roman" w:cs="Times New Roman"/>
          <w:sz w:val="24"/>
          <w:szCs w:val="24"/>
          <w:lang w:val="ro-MD"/>
        </w:rPr>
        <w:t xml:space="preserve">. </w:t>
      </w:r>
      <w:r w:rsidR="009F64A1" w:rsidRPr="003836D9">
        <w:rPr>
          <w:rFonts w:ascii="Times New Roman" w:eastAsia="Calibri" w:hAnsi="Times New Roman" w:cs="Times New Roman"/>
          <w:sz w:val="24"/>
          <w:szCs w:val="24"/>
          <w:lang w:val="ro-MD"/>
        </w:rPr>
        <w:t>Ca și</w:t>
      </w:r>
      <w:r w:rsidR="00882FE8" w:rsidRPr="003836D9">
        <w:rPr>
          <w:rFonts w:ascii="Times New Roman" w:eastAsia="Calibri" w:hAnsi="Times New Roman" w:cs="Times New Roman"/>
          <w:sz w:val="24"/>
          <w:szCs w:val="24"/>
          <w:lang w:val="ro-MD"/>
        </w:rPr>
        <w:t xml:space="preserve"> </w:t>
      </w:r>
      <w:r w:rsidRPr="003836D9">
        <w:rPr>
          <w:rFonts w:ascii="Times New Roman" w:eastAsia="Calibri" w:hAnsi="Times New Roman" w:cs="Times New Roman"/>
          <w:sz w:val="24"/>
          <w:szCs w:val="24"/>
          <w:lang w:val="ro-MD"/>
        </w:rPr>
        <w:t xml:space="preserve">în cazul participării la forța de muncă, diferența de gen în ocuparea forței de muncă se reduce la niveluri mai înalte de studii, dar </w:t>
      </w:r>
      <w:r w:rsidR="00B86036" w:rsidRPr="003836D9">
        <w:rPr>
          <w:rFonts w:ascii="Times New Roman" w:eastAsia="Calibri" w:hAnsi="Times New Roman" w:cs="Times New Roman"/>
          <w:sz w:val="24"/>
          <w:szCs w:val="24"/>
          <w:lang w:val="ro-MD"/>
        </w:rPr>
        <w:t>moderat</w:t>
      </w:r>
      <w:r w:rsidRPr="003836D9">
        <w:rPr>
          <w:rFonts w:ascii="Times New Roman" w:eastAsia="Calibri" w:hAnsi="Times New Roman" w:cs="Times New Roman"/>
          <w:sz w:val="24"/>
          <w:szCs w:val="24"/>
          <w:lang w:val="ro-MD"/>
        </w:rPr>
        <w:t>. În 2020, d</w:t>
      </w:r>
      <w:r w:rsidR="00882FE8" w:rsidRPr="003836D9">
        <w:rPr>
          <w:rFonts w:ascii="Times New Roman" w:eastAsia="Calibri" w:hAnsi="Times New Roman" w:cs="Times New Roman"/>
          <w:sz w:val="24"/>
          <w:szCs w:val="24"/>
          <w:lang w:val="ro-MD"/>
        </w:rPr>
        <w:t>ecalajul</w:t>
      </w:r>
      <w:r w:rsidRPr="003836D9">
        <w:rPr>
          <w:rFonts w:ascii="Times New Roman" w:eastAsia="Calibri" w:hAnsi="Times New Roman" w:cs="Times New Roman"/>
          <w:sz w:val="24"/>
          <w:szCs w:val="24"/>
          <w:lang w:val="ro-MD"/>
        </w:rPr>
        <w:t xml:space="preserve"> de ocupare a forței de muncă pentru femeile slab calificate (15+) în comparație cu bărbații a fost </w:t>
      </w:r>
      <w:r w:rsidR="001A7699" w:rsidRPr="003836D9">
        <w:rPr>
          <w:rFonts w:ascii="Times New Roman" w:eastAsia="Calibri" w:hAnsi="Times New Roman" w:cs="Times New Roman"/>
          <w:sz w:val="24"/>
          <w:szCs w:val="24"/>
          <w:lang w:val="ro-MD"/>
        </w:rPr>
        <w:t>circa</w:t>
      </w:r>
      <w:r w:rsidRPr="003836D9">
        <w:rPr>
          <w:rFonts w:ascii="Times New Roman" w:eastAsia="Calibri" w:hAnsi="Times New Roman" w:cs="Times New Roman"/>
          <w:sz w:val="24"/>
          <w:szCs w:val="24"/>
          <w:lang w:val="ro-MD"/>
        </w:rPr>
        <w:t xml:space="preserve"> 10 puncte procentuale (</w:t>
      </w:r>
      <w:r w:rsidR="001A7699" w:rsidRPr="003836D9">
        <w:rPr>
          <w:rFonts w:ascii="Times New Roman" w:eastAsia="Calibri" w:hAnsi="Times New Roman" w:cs="Times New Roman"/>
          <w:sz w:val="24"/>
          <w:szCs w:val="24"/>
          <w:lang w:val="ro-MD"/>
        </w:rPr>
        <w:t>28,6</w:t>
      </w:r>
      <w:r w:rsidRPr="003836D9">
        <w:rPr>
          <w:rFonts w:ascii="Times New Roman" w:eastAsia="Calibri" w:hAnsi="Times New Roman" w:cs="Times New Roman"/>
          <w:sz w:val="24"/>
          <w:szCs w:val="24"/>
          <w:lang w:val="ro-MD"/>
        </w:rPr>
        <w:t xml:space="preserve"> procente </w:t>
      </w:r>
      <w:r w:rsidR="001A7699" w:rsidRPr="003836D9">
        <w:rPr>
          <w:rFonts w:ascii="Times New Roman" w:eastAsia="Calibri" w:hAnsi="Times New Roman" w:cs="Times New Roman"/>
          <w:sz w:val="24"/>
          <w:szCs w:val="24"/>
          <w:lang w:val="ro-MD"/>
        </w:rPr>
        <w:t xml:space="preserve">la bărbați </w:t>
      </w:r>
      <w:r w:rsidRPr="003836D9">
        <w:rPr>
          <w:rFonts w:ascii="Times New Roman" w:eastAsia="Calibri" w:hAnsi="Times New Roman" w:cs="Times New Roman"/>
          <w:sz w:val="24"/>
          <w:szCs w:val="24"/>
          <w:lang w:val="ro-MD"/>
        </w:rPr>
        <w:t xml:space="preserve">și, respectiv, </w:t>
      </w:r>
      <w:r w:rsidR="001A7699" w:rsidRPr="003836D9">
        <w:rPr>
          <w:rFonts w:ascii="Times New Roman" w:eastAsia="Calibri" w:hAnsi="Times New Roman" w:cs="Times New Roman"/>
          <w:sz w:val="24"/>
          <w:szCs w:val="24"/>
          <w:lang w:val="ro-MD"/>
        </w:rPr>
        <w:t>18,6</w:t>
      </w:r>
      <w:r w:rsidRPr="003836D9">
        <w:rPr>
          <w:rFonts w:ascii="Times New Roman" w:eastAsia="Calibri" w:hAnsi="Times New Roman" w:cs="Times New Roman"/>
          <w:sz w:val="24"/>
          <w:szCs w:val="24"/>
          <w:lang w:val="ro-MD"/>
        </w:rPr>
        <w:t xml:space="preserve"> procente </w:t>
      </w:r>
      <w:r w:rsidR="006176A7" w:rsidRPr="003836D9">
        <w:rPr>
          <w:rFonts w:ascii="Times New Roman" w:eastAsia="Calibri" w:hAnsi="Times New Roman" w:cs="Times New Roman"/>
          <w:sz w:val="24"/>
          <w:szCs w:val="24"/>
          <w:lang w:val="ro-MD"/>
        </w:rPr>
        <w:t>rata de ocupare</w:t>
      </w:r>
      <w:r w:rsidR="001A7699" w:rsidRPr="003836D9">
        <w:rPr>
          <w:rFonts w:ascii="Times New Roman" w:eastAsia="Calibri" w:hAnsi="Times New Roman" w:cs="Times New Roman"/>
          <w:sz w:val="24"/>
          <w:szCs w:val="24"/>
          <w:lang w:val="ro-MD"/>
        </w:rPr>
        <w:t xml:space="preserve"> la femei</w:t>
      </w:r>
      <w:r w:rsidRPr="003836D9">
        <w:rPr>
          <w:rFonts w:ascii="Times New Roman" w:eastAsia="Calibri" w:hAnsi="Times New Roman" w:cs="Times New Roman"/>
          <w:sz w:val="24"/>
          <w:szCs w:val="24"/>
          <w:lang w:val="ro-MD"/>
        </w:rPr>
        <w:t xml:space="preserve">), în timp ce </w:t>
      </w:r>
      <w:r w:rsidR="006945B8" w:rsidRPr="003836D9">
        <w:rPr>
          <w:rFonts w:ascii="Times New Roman" w:eastAsia="Calibri" w:hAnsi="Times New Roman" w:cs="Times New Roman"/>
          <w:sz w:val="24"/>
          <w:szCs w:val="24"/>
          <w:lang w:val="ro-MD"/>
        </w:rPr>
        <w:t xml:space="preserve">pentru </w:t>
      </w:r>
      <w:r w:rsidR="00850AC4" w:rsidRPr="003836D9">
        <w:rPr>
          <w:rFonts w:ascii="Times New Roman" w:eastAsia="Calibri" w:hAnsi="Times New Roman" w:cs="Times New Roman"/>
          <w:sz w:val="24"/>
          <w:szCs w:val="24"/>
          <w:lang w:val="ro-MD"/>
        </w:rPr>
        <w:t>nivel</w:t>
      </w:r>
      <w:r w:rsidR="006945B8" w:rsidRPr="003836D9">
        <w:rPr>
          <w:rFonts w:ascii="Times New Roman" w:eastAsia="Calibri" w:hAnsi="Times New Roman" w:cs="Times New Roman"/>
          <w:sz w:val="24"/>
          <w:szCs w:val="24"/>
          <w:lang w:val="ro-MD"/>
        </w:rPr>
        <w:t>ul</w:t>
      </w:r>
      <w:r w:rsidR="00850AC4" w:rsidRPr="003836D9">
        <w:rPr>
          <w:rFonts w:ascii="Times New Roman" w:eastAsia="Calibri" w:hAnsi="Times New Roman" w:cs="Times New Roman"/>
          <w:sz w:val="24"/>
          <w:szCs w:val="24"/>
          <w:lang w:val="ro-MD"/>
        </w:rPr>
        <w:t xml:space="preserve"> </w:t>
      </w:r>
      <w:r w:rsidR="000D3468">
        <w:rPr>
          <w:rFonts w:ascii="Times New Roman" w:eastAsia="Calibri" w:hAnsi="Times New Roman" w:cs="Times New Roman"/>
          <w:sz w:val="24"/>
          <w:szCs w:val="24"/>
          <w:lang w:val="ro-MD"/>
        </w:rPr>
        <w:t>superior</w:t>
      </w:r>
      <w:r w:rsidR="00850AC4" w:rsidRPr="003836D9">
        <w:rPr>
          <w:rFonts w:ascii="Times New Roman" w:eastAsia="Calibri" w:hAnsi="Times New Roman" w:cs="Times New Roman"/>
          <w:sz w:val="24"/>
          <w:szCs w:val="24"/>
          <w:lang w:val="ro-MD"/>
        </w:rPr>
        <w:t xml:space="preserve"> </w:t>
      </w:r>
      <w:r w:rsidR="00882FE8" w:rsidRPr="003836D9">
        <w:rPr>
          <w:rFonts w:ascii="Times New Roman" w:eastAsia="Calibri" w:hAnsi="Times New Roman" w:cs="Times New Roman"/>
          <w:sz w:val="24"/>
          <w:szCs w:val="24"/>
          <w:lang w:val="ro-MD"/>
        </w:rPr>
        <w:t xml:space="preserve">acesta </w:t>
      </w:r>
      <w:r w:rsidRPr="003836D9">
        <w:rPr>
          <w:rFonts w:ascii="Times New Roman" w:eastAsia="Calibri" w:hAnsi="Times New Roman" w:cs="Times New Roman"/>
          <w:sz w:val="24"/>
          <w:szCs w:val="24"/>
          <w:lang w:val="ro-MD"/>
        </w:rPr>
        <w:t>s-a redus la 7,6 puncte procentuale (</w:t>
      </w:r>
      <w:r w:rsidR="006176A7" w:rsidRPr="003836D9">
        <w:rPr>
          <w:rFonts w:ascii="Times New Roman" w:eastAsia="Calibri" w:hAnsi="Times New Roman" w:cs="Times New Roman"/>
          <w:sz w:val="24"/>
          <w:szCs w:val="24"/>
          <w:lang w:val="ro-MD"/>
        </w:rPr>
        <w:t xml:space="preserve">rata de ocupare la </w:t>
      </w:r>
      <w:r w:rsidRPr="003836D9">
        <w:rPr>
          <w:rFonts w:ascii="Times New Roman" w:eastAsia="Calibri" w:hAnsi="Times New Roman" w:cs="Times New Roman"/>
          <w:sz w:val="24"/>
          <w:szCs w:val="24"/>
          <w:lang w:val="ro-MD"/>
        </w:rPr>
        <w:t>femei</w:t>
      </w:r>
      <w:r w:rsidR="006176A7" w:rsidRPr="003836D9">
        <w:rPr>
          <w:rFonts w:ascii="Times New Roman" w:eastAsia="Calibri" w:hAnsi="Times New Roman" w:cs="Times New Roman"/>
          <w:sz w:val="24"/>
          <w:szCs w:val="24"/>
          <w:lang w:val="ro-MD"/>
        </w:rPr>
        <w:t xml:space="preserve"> fiind</w:t>
      </w:r>
      <w:r w:rsidRPr="003836D9">
        <w:rPr>
          <w:rFonts w:ascii="Times New Roman" w:eastAsia="Calibri" w:hAnsi="Times New Roman" w:cs="Times New Roman"/>
          <w:sz w:val="24"/>
          <w:szCs w:val="24"/>
          <w:lang w:val="ro-MD"/>
        </w:rPr>
        <w:t xml:space="preserve"> de 57,3 procente</w:t>
      </w:r>
      <w:r w:rsidR="00882FE8" w:rsidRPr="003836D9">
        <w:rPr>
          <w:rFonts w:ascii="Times New Roman" w:eastAsia="Calibri" w:hAnsi="Times New Roman" w:cs="Times New Roman"/>
          <w:sz w:val="24"/>
          <w:szCs w:val="24"/>
          <w:lang w:val="ro-MD"/>
        </w:rPr>
        <w:t>, iar</w:t>
      </w:r>
      <w:r w:rsidRPr="003836D9">
        <w:rPr>
          <w:rFonts w:ascii="Times New Roman" w:eastAsia="Calibri" w:hAnsi="Times New Roman" w:cs="Times New Roman"/>
          <w:sz w:val="24"/>
          <w:szCs w:val="24"/>
          <w:lang w:val="ro-MD"/>
        </w:rPr>
        <w:t xml:space="preserve"> </w:t>
      </w:r>
      <w:r w:rsidR="006176A7" w:rsidRPr="003836D9">
        <w:rPr>
          <w:rFonts w:ascii="Times New Roman" w:eastAsia="Calibri" w:hAnsi="Times New Roman" w:cs="Times New Roman"/>
          <w:sz w:val="24"/>
          <w:szCs w:val="24"/>
          <w:lang w:val="ro-MD"/>
        </w:rPr>
        <w:t xml:space="preserve">la </w:t>
      </w:r>
      <w:r w:rsidRPr="003836D9">
        <w:rPr>
          <w:rFonts w:ascii="Times New Roman" w:eastAsia="Calibri" w:hAnsi="Times New Roman" w:cs="Times New Roman"/>
          <w:sz w:val="24"/>
          <w:szCs w:val="24"/>
          <w:lang w:val="ro-MD"/>
        </w:rPr>
        <w:t xml:space="preserve">bărbați 64,9 procente). Aceasta înseamnă că nivelul de studii superioare </w:t>
      </w:r>
      <w:r w:rsidR="00243614" w:rsidRPr="003836D9">
        <w:rPr>
          <w:rFonts w:ascii="Times New Roman" w:eastAsia="Calibri" w:hAnsi="Times New Roman" w:cs="Times New Roman"/>
          <w:sz w:val="24"/>
          <w:szCs w:val="24"/>
          <w:lang w:val="ro-MD"/>
        </w:rPr>
        <w:t>conferă femei</w:t>
      </w:r>
      <w:r w:rsidR="006176A7" w:rsidRPr="003836D9">
        <w:rPr>
          <w:rFonts w:ascii="Times New Roman" w:eastAsia="Calibri" w:hAnsi="Times New Roman" w:cs="Times New Roman"/>
          <w:sz w:val="24"/>
          <w:szCs w:val="24"/>
          <w:lang w:val="ro-MD"/>
        </w:rPr>
        <w:t>lor</w:t>
      </w:r>
      <w:r w:rsidR="00243614" w:rsidRPr="003836D9">
        <w:rPr>
          <w:rFonts w:ascii="Times New Roman" w:eastAsia="Calibri" w:hAnsi="Times New Roman" w:cs="Times New Roman"/>
          <w:sz w:val="24"/>
          <w:szCs w:val="24"/>
          <w:lang w:val="ro-MD"/>
        </w:rPr>
        <w:t xml:space="preserve"> un avantaj în</w:t>
      </w:r>
      <w:r w:rsidRPr="003836D9">
        <w:rPr>
          <w:rFonts w:ascii="Times New Roman" w:eastAsia="Calibri" w:hAnsi="Times New Roman" w:cs="Times New Roman"/>
          <w:sz w:val="24"/>
          <w:szCs w:val="24"/>
          <w:lang w:val="ro-MD"/>
        </w:rPr>
        <w:t xml:space="preserve"> angajare</w:t>
      </w:r>
      <w:r w:rsidR="00243614" w:rsidRPr="003836D9">
        <w:rPr>
          <w:rFonts w:ascii="Times New Roman" w:eastAsia="Calibri" w:hAnsi="Times New Roman" w:cs="Times New Roman"/>
          <w:sz w:val="24"/>
          <w:szCs w:val="24"/>
          <w:lang w:val="ro-MD"/>
        </w:rPr>
        <w:t>, acestea având o probabilitate de</w:t>
      </w:r>
      <w:r w:rsidRPr="003836D9">
        <w:rPr>
          <w:rFonts w:ascii="Times New Roman" w:eastAsia="Calibri" w:hAnsi="Times New Roman" w:cs="Times New Roman"/>
          <w:sz w:val="24"/>
          <w:szCs w:val="24"/>
          <w:lang w:val="ro-MD"/>
        </w:rPr>
        <w:t xml:space="preserve"> </w:t>
      </w:r>
      <w:r w:rsidR="00C6363B" w:rsidRPr="003836D9">
        <w:rPr>
          <w:rFonts w:ascii="Times New Roman" w:eastAsia="Calibri" w:hAnsi="Times New Roman" w:cs="Times New Roman"/>
          <w:sz w:val="24"/>
          <w:szCs w:val="24"/>
          <w:lang w:val="ro-MD"/>
        </w:rPr>
        <w:t>3,1</w:t>
      </w:r>
      <w:r w:rsidRPr="003836D9">
        <w:rPr>
          <w:rFonts w:ascii="Times New Roman" w:eastAsia="Calibri" w:hAnsi="Times New Roman" w:cs="Times New Roman"/>
          <w:sz w:val="24"/>
          <w:szCs w:val="24"/>
          <w:lang w:val="ro-MD"/>
        </w:rPr>
        <w:t xml:space="preserve"> ori mai mar</w:t>
      </w:r>
      <w:r w:rsidR="00243614" w:rsidRPr="003836D9">
        <w:rPr>
          <w:rFonts w:ascii="Times New Roman" w:eastAsia="Calibri" w:hAnsi="Times New Roman" w:cs="Times New Roman"/>
          <w:sz w:val="24"/>
          <w:szCs w:val="24"/>
          <w:lang w:val="ro-MD"/>
        </w:rPr>
        <w:t>e de a fi angajate dacă au</w:t>
      </w:r>
      <w:r w:rsidRPr="003836D9">
        <w:rPr>
          <w:rFonts w:ascii="Times New Roman" w:eastAsia="Calibri" w:hAnsi="Times New Roman" w:cs="Times New Roman"/>
          <w:sz w:val="24"/>
          <w:szCs w:val="24"/>
          <w:lang w:val="ro-MD"/>
        </w:rPr>
        <w:t xml:space="preserve"> studii </w:t>
      </w:r>
      <w:r w:rsidR="000D3468">
        <w:rPr>
          <w:rFonts w:ascii="Times New Roman" w:eastAsia="Calibri" w:hAnsi="Times New Roman" w:cs="Times New Roman"/>
          <w:sz w:val="24"/>
          <w:szCs w:val="24"/>
          <w:lang w:val="ro-MD"/>
        </w:rPr>
        <w:t>superioare</w:t>
      </w:r>
      <w:r w:rsidRPr="003836D9">
        <w:rPr>
          <w:rFonts w:ascii="Times New Roman" w:eastAsia="Calibri" w:hAnsi="Times New Roman" w:cs="Times New Roman"/>
          <w:sz w:val="24"/>
          <w:szCs w:val="24"/>
          <w:lang w:val="ro-MD"/>
        </w:rPr>
        <w:t xml:space="preserve"> </w:t>
      </w:r>
      <w:r w:rsidR="00243614" w:rsidRPr="003836D9">
        <w:rPr>
          <w:rFonts w:ascii="Times New Roman" w:eastAsia="Calibri" w:hAnsi="Times New Roman" w:cs="Times New Roman"/>
          <w:sz w:val="24"/>
          <w:szCs w:val="24"/>
          <w:lang w:val="ro-MD"/>
        </w:rPr>
        <w:t>comparativ cu</w:t>
      </w:r>
      <w:r w:rsidRPr="003836D9">
        <w:rPr>
          <w:rFonts w:ascii="Times New Roman" w:eastAsia="Calibri" w:hAnsi="Times New Roman" w:cs="Times New Roman"/>
          <w:sz w:val="24"/>
          <w:szCs w:val="24"/>
          <w:lang w:val="ro-MD"/>
        </w:rPr>
        <w:t xml:space="preserve"> cele </w:t>
      </w:r>
      <w:r w:rsidR="006176A7" w:rsidRPr="003836D9">
        <w:rPr>
          <w:rFonts w:ascii="Times New Roman" w:eastAsia="Calibri" w:hAnsi="Times New Roman" w:cs="Times New Roman"/>
          <w:sz w:val="24"/>
          <w:szCs w:val="24"/>
          <w:lang w:val="ro-MD"/>
        </w:rPr>
        <w:t>cu o calificare joasă</w:t>
      </w:r>
      <w:r w:rsidR="00243614" w:rsidRPr="003836D9">
        <w:rPr>
          <w:rFonts w:ascii="Times New Roman" w:eastAsia="Calibri" w:hAnsi="Times New Roman" w:cs="Times New Roman"/>
          <w:sz w:val="24"/>
          <w:szCs w:val="24"/>
          <w:lang w:val="ro-MD"/>
        </w:rPr>
        <w:t xml:space="preserve">, însă decalajul </w:t>
      </w:r>
      <w:r w:rsidRPr="003836D9">
        <w:rPr>
          <w:rFonts w:ascii="Times New Roman" w:eastAsia="Calibri" w:hAnsi="Times New Roman" w:cs="Times New Roman"/>
          <w:sz w:val="24"/>
          <w:szCs w:val="24"/>
          <w:lang w:val="ro-MD"/>
        </w:rPr>
        <w:t xml:space="preserve">nu </w:t>
      </w:r>
      <w:r w:rsidR="00243614" w:rsidRPr="003836D9">
        <w:rPr>
          <w:rFonts w:ascii="Times New Roman" w:eastAsia="Calibri" w:hAnsi="Times New Roman" w:cs="Times New Roman"/>
          <w:sz w:val="24"/>
          <w:szCs w:val="24"/>
          <w:lang w:val="ro-MD"/>
        </w:rPr>
        <w:t xml:space="preserve">este </w:t>
      </w:r>
      <w:r w:rsidRPr="003836D9">
        <w:rPr>
          <w:rFonts w:ascii="Times New Roman" w:eastAsia="Calibri" w:hAnsi="Times New Roman" w:cs="Times New Roman"/>
          <w:sz w:val="24"/>
          <w:szCs w:val="24"/>
          <w:lang w:val="ro-MD"/>
        </w:rPr>
        <w:t>atât de m</w:t>
      </w:r>
      <w:r w:rsidR="00243614" w:rsidRPr="003836D9">
        <w:rPr>
          <w:rFonts w:ascii="Times New Roman" w:eastAsia="Calibri" w:hAnsi="Times New Roman" w:cs="Times New Roman"/>
          <w:sz w:val="24"/>
          <w:szCs w:val="24"/>
          <w:lang w:val="ro-MD"/>
        </w:rPr>
        <w:t>are</w:t>
      </w:r>
      <w:r w:rsidRPr="003836D9">
        <w:rPr>
          <w:rFonts w:ascii="Times New Roman" w:eastAsia="Calibri" w:hAnsi="Times New Roman" w:cs="Times New Roman"/>
          <w:sz w:val="24"/>
          <w:szCs w:val="24"/>
          <w:lang w:val="ro-MD"/>
        </w:rPr>
        <w:t xml:space="preserve"> în comparație cu </w:t>
      </w:r>
      <w:r w:rsidR="006176A7" w:rsidRPr="003836D9">
        <w:rPr>
          <w:rFonts w:ascii="Times New Roman" w:eastAsia="Calibri" w:hAnsi="Times New Roman" w:cs="Times New Roman"/>
          <w:sz w:val="24"/>
          <w:szCs w:val="24"/>
          <w:lang w:val="ro-MD"/>
        </w:rPr>
        <w:t>bărbații</w:t>
      </w:r>
      <w:r w:rsidRPr="003836D9">
        <w:rPr>
          <w:rFonts w:ascii="Times New Roman" w:eastAsia="Calibri" w:hAnsi="Times New Roman" w:cs="Times New Roman"/>
          <w:sz w:val="24"/>
          <w:szCs w:val="24"/>
          <w:lang w:val="ro-MD"/>
        </w:rPr>
        <w:t xml:space="preserve">. Învățământul superior </w:t>
      </w:r>
      <w:r w:rsidR="00243614" w:rsidRPr="003836D9">
        <w:rPr>
          <w:rFonts w:ascii="Times New Roman" w:eastAsia="Calibri" w:hAnsi="Times New Roman" w:cs="Times New Roman"/>
          <w:sz w:val="24"/>
          <w:szCs w:val="24"/>
          <w:lang w:val="ro-MD"/>
        </w:rPr>
        <w:t xml:space="preserve">le </w:t>
      </w:r>
      <w:r w:rsidRPr="003836D9">
        <w:rPr>
          <w:rFonts w:ascii="Times New Roman" w:eastAsia="Calibri" w:hAnsi="Times New Roman" w:cs="Times New Roman"/>
          <w:sz w:val="24"/>
          <w:szCs w:val="24"/>
          <w:lang w:val="ro-MD"/>
        </w:rPr>
        <w:t xml:space="preserve">aduce </w:t>
      </w:r>
      <w:r w:rsidR="00243614" w:rsidRPr="003836D9">
        <w:rPr>
          <w:rFonts w:ascii="Times New Roman" w:eastAsia="Calibri" w:hAnsi="Times New Roman" w:cs="Times New Roman"/>
          <w:sz w:val="24"/>
          <w:szCs w:val="24"/>
          <w:lang w:val="ro-MD"/>
        </w:rPr>
        <w:t>femeilor un avantaj în angajare comparativ cu</w:t>
      </w:r>
      <w:r w:rsidRPr="003836D9">
        <w:rPr>
          <w:rFonts w:ascii="Times New Roman" w:eastAsia="Calibri" w:hAnsi="Times New Roman" w:cs="Times New Roman"/>
          <w:sz w:val="24"/>
          <w:szCs w:val="24"/>
          <w:lang w:val="ro-MD"/>
        </w:rPr>
        <w:t xml:space="preserve"> bărbați</w:t>
      </w:r>
      <w:r w:rsidR="00243614" w:rsidRPr="003836D9">
        <w:rPr>
          <w:rFonts w:ascii="Times New Roman" w:eastAsia="Calibri" w:hAnsi="Times New Roman" w:cs="Times New Roman"/>
          <w:sz w:val="24"/>
          <w:szCs w:val="24"/>
          <w:lang w:val="ro-MD"/>
        </w:rPr>
        <w:t>i</w:t>
      </w:r>
      <w:r w:rsidRPr="003836D9">
        <w:rPr>
          <w:rFonts w:ascii="Times New Roman" w:eastAsia="Calibri" w:hAnsi="Times New Roman" w:cs="Times New Roman"/>
          <w:sz w:val="24"/>
          <w:szCs w:val="24"/>
          <w:lang w:val="ro-MD"/>
        </w:rPr>
        <w:t xml:space="preserve"> doar </w:t>
      </w:r>
      <w:r w:rsidR="00243614" w:rsidRPr="003836D9">
        <w:rPr>
          <w:rFonts w:ascii="Times New Roman" w:eastAsia="Calibri" w:hAnsi="Times New Roman" w:cs="Times New Roman"/>
          <w:sz w:val="24"/>
          <w:szCs w:val="24"/>
          <w:lang w:val="ro-MD"/>
        </w:rPr>
        <w:t>în cazul femeilor</w:t>
      </w:r>
      <w:r w:rsidRPr="003836D9">
        <w:rPr>
          <w:rFonts w:ascii="Times New Roman" w:eastAsia="Calibri" w:hAnsi="Times New Roman" w:cs="Times New Roman"/>
          <w:sz w:val="24"/>
          <w:szCs w:val="24"/>
          <w:lang w:val="ro-MD"/>
        </w:rPr>
        <w:t xml:space="preserve"> din cohorta 45-54, a căror rată de ocupare în 2020 era de </w:t>
      </w:r>
      <w:r w:rsidR="00C6363B" w:rsidRPr="003836D9">
        <w:rPr>
          <w:rFonts w:ascii="Times New Roman" w:eastAsia="Calibri" w:hAnsi="Times New Roman" w:cs="Times New Roman"/>
          <w:sz w:val="24"/>
          <w:szCs w:val="24"/>
          <w:lang w:val="ro-MD"/>
        </w:rPr>
        <w:t>78,2</w:t>
      </w:r>
      <w:r w:rsidRPr="003836D9">
        <w:rPr>
          <w:rFonts w:ascii="Times New Roman" w:eastAsia="Calibri" w:hAnsi="Times New Roman" w:cs="Times New Roman"/>
          <w:sz w:val="24"/>
          <w:szCs w:val="24"/>
          <w:lang w:val="ro-MD"/>
        </w:rPr>
        <w:t xml:space="preserve"> procente, în timp ce pentru bărbați </w:t>
      </w:r>
      <w:r w:rsidR="00243614" w:rsidRPr="003836D9">
        <w:rPr>
          <w:rFonts w:ascii="Times New Roman" w:eastAsia="Calibri" w:hAnsi="Times New Roman" w:cs="Times New Roman"/>
          <w:sz w:val="24"/>
          <w:szCs w:val="24"/>
          <w:lang w:val="ro-MD"/>
        </w:rPr>
        <w:t xml:space="preserve">aceasta era </w:t>
      </w:r>
      <w:r w:rsidRPr="003836D9">
        <w:rPr>
          <w:rFonts w:ascii="Times New Roman" w:eastAsia="Calibri" w:hAnsi="Times New Roman" w:cs="Times New Roman"/>
          <w:sz w:val="24"/>
          <w:szCs w:val="24"/>
          <w:lang w:val="ro-MD"/>
        </w:rPr>
        <w:t xml:space="preserve">de 74,5 procente (o scădere de </w:t>
      </w:r>
      <w:r w:rsidR="00C6363B" w:rsidRPr="003836D9">
        <w:rPr>
          <w:rFonts w:ascii="Times New Roman" w:eastAsia="Calibri" w:hAnsi="Times New Roman" w:cs="Times New Roman"/>
          <w:sz w:val="24"/>
          <w:szCs w:val="24"/>
          <w:lang w:val="ro-MD"/>
        </w:rPr>
        <w:t>3,7</w:t>
      </w:r>
      <w:r w:rsidRPr="003836D9">
        <w:rPr>
          <w:rFonts w:ascii="Times New Roman" w:eastAsia="Calibri" w:hAnsi="Times New Roman" w:cs="Times New Roman"/>
          <w:sz w:val="24"/>
          <w:szCs w:val="24"/>
          <w:lang w:val="ro-MD"/>
        </w:rPr>
        <w:t xml:space="preserve"> puncte procentuale față de 2019).</w:t>
      </w:r>
    </w:p>
    <w:p w14:paraId="53C2264C" w14:textId="39EA6CD9" w:rsidR="003E38B7" w:rsidRPr="003836D9" w:rsidRDefault="00E7227C" w:rsidP="001F7944">
      <w:pPr>
        <w:jc w:val="both"/>
        <w:rPr>
          <w:rFonts w:ascii="Times New Roman" w:hAnsi="Times New Roman" w:cs="Times New Roman"/>
          <w:sz w:val="24"/>
          <w:szCs w:val="24"/>
          <w:lang w:val="ro-MD"/>
        </w:rPr>
      </w:pPr>
      <w:r w:rsidRPr="003836D9">
        <w:rPr>
          <w:rFonts w:ascii="Times New Roman" w:eastAsia="Calibri" w:hAnsi="Times New Roman" w:cs="Times New Roman"/>
          <w:sz w:val="24"/>
          <w:szCs w:val="24"/>
          <w:lang w:val="ro-MD"/>
        </w:rPr>
        <w:t xml:space="preserve">Structura ocupării forței de muncă arată că lucrătorii sunt concentrați în mare parte în </w:t>
      </w:r>
      <w:r w:rsidR="003C3DC8" w:rsidRPr="003836D9">
        <w:rPr>
          <w:rFonts w:ascii="Times New Roman" w:eastAsia="Calibri" w:hAnsi="Times New Roman" w:cs="Times New Roman"/>
          <w:sz w:val="24"/>
          <w:szCs w:val="24"/>
          <w:lang w:val="ro-MD"/>
        </w:rPr>
        <w:t>administrație publică, educație și asistență socială (22,9 procente</w:t>
      </w:r>
      <w:r w:rsidR="003C3DC8" w:rsidRPr="003836D9">
        <w:rPr>
          <w:rFonts w:ascii="Times New Roman" w:hAnsi="Times New Roman" w:cs="Times New Roman"/>
          <w:sz w:val="24"/>
          <w:szCs w:val="24"/>
          <w:lang w:val="ro-MD"/>
        </w:rPr>
        <w:t>)</w:t>
      </w:r>
      <w:r w:rsidR="003C3DC8">
        <w:rPr>
          <w:rFonts w:ascii="Times New Roman" w:hAnsi="Times New Roman" w:cs="Times New Roman"/>
          <w:sz w:val="24"/>
          <w:szCs w:val="24"/>
          <w:lang w:val="ro-MD"/>
        </w:rPr>
        <w:t xml:space="preserve"> și </w:t>
      </w:r>
      <w:r w:rsidRPr="003836D9">
        <w:rPr>
          <w:rFonts w:ascii="Times New Roman" w:eastAsia="Calibri" w:hAnsi="Times New Roman" w:cs="Times New Roman"/>
          <w:sz w:val="24"/>
          <w:szCs w:val="24"/>
          <w:lang w:val="ro-MD"/>
        </w:rPr>
        <w:t>agricultură (21,</w:t>
      </w:r>
      <w:r w:rsidR="0001149A" w:rsidRPr="003836D9">
        <w:rPr>
          <w:rFonts w:ascii="Times New Roman" w:eastAsia="Calibri" w:hAnsi="Times New Roman" w:cs="Times New Roman"/>
          <w:sz w:val="24"/>
          <w:szCs w:val="24"/>
          <w:lang w:val="ro-MD"/>
        </w:rPr>
        <w:t>5</w:t>
      </w:r>
      <w:r w:rsidRPr="003836D9">
        <w:rPr>
          <w:rFonts w:ascii="Times New Roman" w:eastAsia="Calibri" w:hAnsi="Times New Roman" w:cs="Times New Roman"/>
          <w:sz w:val="24"/>
          <w:szCs w:val="24"/>
          <w:lang w:val="ro-MD"/>
        </w:rPr>
        <w:t xml:space="preserve"> procente)</w:t>
      </w:r>
      <w:r w:rsidR="00EA01CF" w:rsidRPr="003836D9">
        <w:rPr>
          <w:rFonts w:ascii="Times New Roman" w:hAnsi="Times New Roman" w:cs="Times New Roman"/>
          <w:sz w:val="24"/>
          <w:szCs w:val="24"/>
          <w:lang w:val="ro-MD"/>
        </w:rPr>
        <w:t xml:space="preserve">. </w:t>
      </w:r>
      <w:r w:rsidR="00803A6E" w:rsidRPr="003836D9">
        <w:rPr>
          <w:rFonts w:ascii="Times New Roman" w:hAnsi="Times New Roman" w:cs="Times New Roman"/>
          <w:sz w:val="24"/>
          <w:szCs w:val="24"/>
          <w:lang w:val="ro-MD"/>
        </w:rPr>
        <w:t xml:space="preserve">Lucrătorii tineri (15-24 de ani) sunt angajați </w:t>
      </w:r>
      <w:r w:rsidR="00CD78C4">
        <w:rPr>
          <w:rFonts w:ascii="Times New Roman" w:hAnsi="Times New Roman" w:cs="Times New Roman"/>
          <w:sz w:val="24"/>
          <w:szCs w:val="24"/>
          <w:lang w:val="ro-MD"/>
        </w:rPr>
        <w:t>cel mai mult</w:t>
      </w:r>
      <w:r w:rsidR="00803A6E" w:rsidRPr="003836D9">
        <w:rPr>
          <w:rFonts w:ascii="Times New Roman" w:hAnsi="Times New Roman" w:cs="Times New Roman"/>
          <w:sz w:val="24"/>
          <w:szCs w:val="24"/>
          <w:lang w:val="ro-MD"/>
        </w:rPr>
        <w:t xml:space="preserve"> în sectorul comerțului, hotelurilor și restaurantelor (2</w:t>
      </w:r>
      <w:r w:rsidR="00C6363B" w:rsidRPr="003836D9">
        <w:rPr>
          <w:rFonts w:ascii="Times New Roman" w:hAnsi="Times New Roman" w:cs="Times New Roman"/>
          <w:sz w:val="24"/>
          <w:szCs w:val="24"/>
          <w:lang w:val="ro-MD"/>
        </w:rPr>
        <w:t>7</w:t>
      </w:r>
      <w:r w:rsidR="00803A6E" w:rsidRPr="003836D9">
        <w:rPr>
          <w:rFonts w:ascii="Times New Roman" w:hAnsi="Times New Roman" w:cs="Times New Roman"/>
          <w:sz w:val="24"/>
          <w:szCs w:val="24"/>
          <w:lang w:val="ro-MD"/>
        </w:rPr>
        <w:t>,</w:t>
      </w:r>
      <w:r w:rsidR="00C6363B" w:rsidRPr="003836D9">
        <w:rPr>
          <w:rFonts w:ascii="Times New Roman" w:hAnsi="Times New Roman" w:cs="Times New Roman"/>
          <w:sz w:val="24"/>
          <w:szCs w:val="24"/>
          <w:lang w:val="ro-MD"/>
        </w:rPr>
        <w:t>7</w:t>
      </w:r>
      <w:r w:rsidR="00803A6E" w:rsidRPr="003836D9">
        <w:rPr>
          <w:rFonts w:ascii="Times New Roman" w:hAnsi="Times New Roman" w:cs="Times New Roman"/>
          <w:sz w:val="24"/>
          <w:szCs w:val="24"/>
          <w:lang w:val="ro-MD"/>
        </w:rPr>
        <w:t xml:space="preserve"> procente), industrie (1</w:t>
      </w:r>
      <w:r w:rsidR="00C6363B" w:rsidRPr="003836D9">
        <w:rPr>
          <w:rFonts w:ascii="Times New Roman" w:hAnsi="Times New Roman" w:cs="Times New Roman"/>
          <w:sz w:val="24"/>
          <w:szCs w:val="24"/>
          <w:lang w:val="ro-MD"/>
        </w:rPr>
        <w:t>7</w:t>
      </w:r>
      <w:r w:rsidR="00803A6E" w:rsidRPr="003836D9">
        <w:rPr>
          <w:rFonts w:ascii="Times New Roman" w:hAnsi="Times New Roman" w:cs="Times New Roman"/>
          <w:sz w:val="24"/>
          <w:szCs w:val="24"/>
          <w:lang w:val="ro-MD"/>
        </w:rPr>
        <w:t>,</w:t>
      </w:r>
      <w:r w:rsidR="00C6363B" w:rsidRPr="003836D9">
        <w:rPr>
          <w:rFonts w:ascii="Times New Roman" w:hAnsi="Times New Roman" w:cs="Times New Roman"/>
          <w:sz w:val="24"/>
          <w:szCs w:val="24"/>
          <w:lang w:val="ro-MD"/>
        </w:rPr>
        <w:t>5</w:t>
      </w:r>
      <w:r w:rsidR="00803A6E" w:rsidRPr="003836D9">
        <w:rPr>
          <w:rFonts w:ascii="Times New Roman" w:hAnsi="Times New Roman" w:cs="Times New Roman"/>
          <w:sz w:val="24"/>
          <w:szCs w:val="24"/>
          <w:lang w:val="ro-MD"/>
        </w:rPr>
        <w:t xml:space="preserve"> procente) și agricultură (1</w:t>
      </w:r>
      <w:r w:rsidR="00C6363B" w:rsidRPr="003836D9">
        <w:rPr>
          <w:rFonts w:ascii="Times New Roman" w:hAnsi="Times New Roman" w:cs="Times New Roman"/>
          <w:sz w:val="24"/>
          <w:szCs w:val="24"/>
          <w:lang w:val="ro-MD"/>
        </w:rPr>
        <w:t>0</w:t>
      </w:r>
      <w:r w:rsidR="00803A6E" w:rsidRPr="003836D9">
        <w:rPr>
          <w:rFonts w:ascii="Times New Roman" w:hAnsi="Times New Roman" w:cs="Times New Roman"/>
          <w:sz w:val="24"/>
          <w:szCs w:val="24"/>
          <w:lang w:val="ro-MD"/>
        </w:rPr>
        <w:t>,</w:t>
      </w:r>
      <w:r w:rsidR="00C6363B" w:rsidRPr="003836D9">
        <w:rPr>
          <w:rFonts w:ascii="Times New Roman" w:hAnsi="Times New Roman" w:cs="Times New Roman"/>
          <w:sz w:val="24"/>
          <w:szCs w:val="24"/>
          <w:lang w:val="ro-MD"/>
        </w:rPr>
        <w:t>9</w:t>
      </w:r>
      <w:r w:rsidR="00803A6E" w:rsidRPr="003836D9">
        <w:rPr>
          <w:rFonts w:ascii="Times New Roman" w:hAnsi="Times New Roman" w:cs="Times New Roman"/>
          <w:sz w:val="24"/>
          <w:szCs w:val="24"/>
          <w:lang w:val="ro-MD"/>
        </w:rPr>
        <w:t xml:space="preserve"> procente). Femeile (15+) au șanse de două ori mai mari decât bărbații de a lucra în sectorul administrației publice, </w:t>
      </w:r>
      <w:r w:rsidR="007A6C0D">
        <w:rPr>
          <w:rFonts w:ascii="Times New Roman" w:hAnsi="Times New Roman" w:cs="Times New Roman"/>
          <w:sz w:val="24"/>
          <w:szCs w:val="24"/>
          <w:lang w:val="ro-RO"/>
        </w:rPr>
        <w:t xml:space="preserve">învățământului, sănătății </w:t>
      </w:r>
      <w:r w:rsidR="00803A6E" w:rsidRPr="003836D9">
        <w:rPr>
          <w:rFonts w:ascii="Times New Roman" w:hAnsi="Times New Roman" w:cs="Times New Roman"/>
          <w:sz w:val="24"/>
          <w:szCs w:val="24"/>
          <w:lang w:val="ro-MD"/>
        </w:rPr>
        <w:t>și as</w:t>
      </w:r>
      <w:r w:rsidR="001F7944" w:rsidRPr="003836D9">
        <w:rPr>
          <w:rFonts w:ascii="Times New Roman" w:hAnsi="Times New Roman" w:cs="Times New Roman"/>
          <w:sz w:val="24"/>
          <w:szCs w:val="24"/>
          <w:lang w:val="ro-MD"/>
        </w:rPr>
        <w:t>istenței sociale (34,2 procente</w:t>
      </w:r>
      <w:r w:rsidR="00803A6E" w:rsidRPr="003836D9">
        <w:rPr>
          <w:rFonts w:ascii="Times New Roman" w:hAnsi="Times New Roman" w:cs="Times New Roman"/>
          <w:sz w:val="24"/>
          <w:szCs w:val="24"/>
          <w:lang w:val="ro-MD"/>
        </w:rPr>
        <w:t xml:space="preserve">, comparativ cu 13 procente pentru bărbați), în timp ce bărbații </w:t>
      </w:r>
      <w:r w:rsidR="00850AC4" w:rsidRPr="003836D9">
        <w:rPr>
          <w:rFonts w:ascii="Times New Roman" w:hAnsi="Times New Roman" w:cs="Times New Roman"/>
          <w:sz w:val="24"/>
          <w:szCs w:val="24"/>
          <w:lang w:val="ro-MD"/>
        </w:rPr>
        <w:t>au o probabilitate mai înaltă</w:t>
      </w:r>
      <w:r w:rsidR="00803A6E" w:rsidRPr="003836D9">
        <w:rPr>
          <w:rFonts w:ascii="Times New Roman" w:hAnsi="Times New Roman" w:cs="Times New Roman"/>
          <w:sz w:val="24"/>
          <w:szCs w:val="24"/>
          <w:lang w:val="ro-MD"/>
        </w:rPr>
        <w:t xml:space="preserve"> decât femeile </w:t>
      </w:r>
      <w:r w:rsidR="00850AC4" w:rsidRPr="003836D9">
        <w:rPr>
          <w:rFonts w:ascii="Times New Roman" w:hAnsi="Times New Roman" w:cs="Times New Roman"/>
          <w:sz w:val="24"/>
          <w:szCs w:val="24"/>
          <w:lang w:val="ro-MD"/>
        </w:rPr>
        <w:t xml:space="preserve">de a se </w:t>
      </w:r>
      <w:r w:rsidR="00803A6E" w:rsidRPr="003836D9">
        <w:rPr>
          <w:rFonts w:ascii="Times New Roman" w:hAnsi="Times New Roman" w:cs="Times New Roman"/>
          <w:sz w:val="24"/>
          <w:szCs w:val="24"/>
          <w:lang w:val="ro-MD"/>
        </w:rPr>
        <w:t xml:space="preserve">angaja în agricultură (25,4 procente </w:t>
      </w:r>
      <w:r w:rsidR="00CD78C4" w:rsidRPr="003836D9">
        <w:rPr>
          <w:rFonts w:ascii="Times New Roman" w:hAnsi="Times New Roman" w:cs="Times New Roman"/>
          <w:sz w:val="24"/>
          <w:szCs w:val="24"/>
          <w:lang w:val="ro-MD"/>
        </w:rPr>
        <w:t xml:space="preserve">și, </w:t>
      </w:r>
      <w:r w:rsidR="00803A6E" w:rsidRPr="003836D9">
        <w:rPr>
          <w:rFonts w:ascii="Times New Roman" w:hAnsi="Times New Roman" w:cs="Times New Roman"/>
          <w:sz w:val="24"/>
          <w:szCs w:val="24"/>
          <w:lang w:val="ro-MD"/>
        </w:rPr>
        <w:t>respectiv 1</w:t>
      </w:r>
      <w:r w:rsidR="00C6363B" w:rsidRPr="003836D9">
        <w:rPr>
          <w:rFonts w:ascii="Times New Roman" w:hAnsi="Times New Roman" w:cs="Times New Roman"/>
          <w:sz w:val="24"/>
          <w:szCs w:val="24"/>
          <w:lang w:val="ro-MD"/>
        </w:rPr>
        <w:t>7</w:t>
      </w:r>
      <w:r w:rsidR="00803A6E" w:rsidRPr="003836D9">
        <w:rPr>
          <w:rFonts w:ascii="Times New Roman" w:hAnsi="Times New Roman" w:cs="Times New Roman"/>
          <w:sz w:val="24"/>
          <w:szCs w:val="24"/>
          <w:lang w:val="ro-MD"/>
        </w:rPr>
        <w:t>,</w:t>
      </w:r>
      <w:r w:rsidR="00C6363B" w:rsidRPr="003836D9">
        <w:rPr>
          <w:rFonts w:ascii="Times New Roman" w:hAnsi="Times New Roman" w:cs="Times New Roman"/>
          <w:sz w:val="24"/>
          <w:szCs w:val="24"/>
          <w:lang w:val="ro-MD"/>
        </w:rPr>
        <w:t>1</w:t>
      </w:r>
      <w:r w:rsidR="00803A6E" w:rsidRPr="003836D9">
        <w:rPr>
          <w:rFonts w:ascii="Times New Roman" w:hAnsi="Times New Roman" w:cs="Times New Roman"/>
          <w:sz w:val="24"/>
          <w:szCs w:val="24"/>
          <w:lang w:val="ro-MD"/>
        </w:rPr>
        <w:t xml:space="preserve"> procente). Ponderea bărbaților și femeilor angajați în industrie în 202</w:t>
      </w:r>
      <w:r w:rsidR="001D43DB" w:rsidRPr="003836D9">
        <w:rPr>
          <w:rFonts w:ascii="Times New Roman" w:hAnsi="Times New Roman" w:cs="Times New Roman"/>
          <w:sz w:val="24"/>
          <w:szCs w:val="24"/>
          <w:lang w:val="ro-MD"/>
        </w:rPr>
        <w:t>1</w:t>
      </w:r>
      <w:r w:rsidR="00803A6E" w:rsidRPr="003836D9">
        <w:rPr>
          <w:rFonts w:ascii="Times New Roman" w:hAnsi="Times New Roman" w:cs="Times New Roman"/>
          <w:sz w:val="24"/>
          <w:szCs w:val="24"/>
          <w:lang w:val="ro-MD"/>
        </w:rPr>
        <w:t xml:space="preserve"> a fost aproape egală (14,</w:t>
      </w:r>
      <w:r w:rsidR="001D43DB" w:rsidRPr="003836D9">
        <w:rPr>
          <w:rFonts w:ascii="Times New Roman" w:hAnsi="Times New Roman" w:cs="Times New Roman"/>
          <w:sz w:val="24"/>
          <w:szCs w:val="24"/>
          <w:lang w:val="ro-MD"/>
        </w:rPr>
        <w:t>3</w:t>
      </w:r>
      <w:r w:rsidR="00803A6E" w:rsidRPr="003836D9">
        <w:rPr>
          <w:rFonts w:ascii="Times New Roman" w:hAnsi="Times New Roman" w:cs="Times New Roman"/>
          <w:sz w:val="24"/>
          <w:szCs w:val="24"/>
          <w:lang w:val="ro-MD"/>
        </w:rPr>
        <w:t xml:space="preserve"> procente</w:t>
      </w:r>
      <w:r w:rsidR="00954FC2" w:rsidRPr="003836D9">
        <w:rPr>
          <w:rFonts w:ascii="Times New Roman" w:hAnsi="Times New Roman" w:cs="Times New Roman"/>
          <w:sz w:val="24"/>
          <w:szCs w:val="24"/>
          <w:lang w:val="ro-MD"/>
        </w:rPr>
        <w:t xml:space="preserve"> și</w:t>
      </w:r>
      <w:r w:rsidR="00803A6E" w:rsidRPr="003836D9">
        <w:rPr>
          <w:rFonts w:ascii="Times New Roman" w:hAnsi="Times New Roman" w:cs="Times New Roman"/>
          <w:sz w:val="24"/>
          <w:szCs w:val="24"/>
          <w:lang w:val="ro-MD"/>
        </w:rPr>
        <w:t>, respectiv</w:t>
      </w:r>
      <w:r w:rsidR="00954FC2" w:rsidRPr="003836D9">
        <w:rPr>
          <w:rFonts w:ascii="Times New Roman" w:hAnsi="Times New Roman" w:cs="Times New Roman"/>
          <w:sz w:val="24"/>
          <w:szCs w:val="24"/>
          <w:lang w:val="ro-MD"/>
        </w:rPr>
        <w:t>,</w:t>
      </w:r>
      <w:r w:rsidR="00803A6E" w:rsidRPr="003836D9">
        <w:rPr>
          <w:rFonts w:ascii="Times New Roman" w:hAnsi="Times New Roman" w:cs="Times New Roman"/>
          <w:sz w:val="24"/>
          <w:szCs w:val="24"/>
          <w:lang w:val="ro-MD"/>
        </w:rPr>
        <w:t xml:space="preserve"> 14,</w:t>
      </w:r>
      <w:r w:rsidR="001D43DB" w:rsidRPr="003836D9">
        <w:rPr>
          <w:rFonts w:ascii="Times New Roman" w:hAnsi="Times New Roman" w:cs="Times New Roman"/>
          <w:sz w:val="24"/>
          <w:szCs w:val="24"/>
          <w:lang w:val="ro-MD"/>
        </w:rPr>
        <w:t>5</w:t>
      </w:r>
      <w:r w:rsidR="00803A6E" w:rsidRPr="003836D9">
        <w:rPr>
          <w:rFonts w:ascii="Times New Roman" w:hAnsi="Times New Roman" w:cs="Times New Roman"/>
          <w:sz w:val="24"/>
          <w:szCs w:val="24"/>
          <w:lang w:val="ro-MD"/>
        </w:rPr>
        <w:t xml:space="preserve"> procente</w:t>
      </w:r>
      <w:r w:rsidR="00EA01CF" w:rsidRPr="003836D9">
        <w:rPr>
          <w:rFonts w:ascii="Times New Roman" w:hAnsi="Times New Roman" w:cs="Times New Roman"/>
          <w:sz w:val="24"/>
          <w:szCs w:val="24"/>
          <w:lang w:val="ro-MD"/>
        </w:rPr>
        <w:t>).</w:t>
      </w:r>
    </w:p>
    <w:p w14:paraId="4377B3CA" w14:textId="77777777" w:rsidR="005A0CB9" w:rsidRDefault="005A0CB9" w:rsidP="00262BB3">
      <w:pPr>
        <w:autoSpaceDE w:val="0"/>
        <w:autoSpaceDN w:val="0"/>
        <w:adjustRightInd w:val="0"/>
        <w:jc w:val="center"/>
        <w:rPr>
          <w:rFonts w:ascii="Times New Roman" w:hAnsi="Times New Roman" w:cs="Times New Roman"/>
          <w:b/>
          <w:sz w:val="20"/>
          <w:szCs w:val="20"/>
          <w:lang w:val="ro-MD"/>
        </w:rPr>
      </w:pPr>
      <w:bookmarkStart w:id="24" w:name="_Hlk93139496"/>
    </w:p>
    <w:p w14:paraId="10B19146" w14:textId="41F1A136" w:rsidR="00262BB3" w:rsidRPr="003836D9" w:rsidRDefault="00D94B6B" w:rsidP="00262BB3">
      <w:pPr>
        <w:autoSpaceDE w:val="0"/>
        <w:autoSpaceDN w:val="0"/>
        <w:adjustRightInd w:val="0"/>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262BB3" w:rsidRPr="003836D9">
        <w:rPr>
          <w:rFonts w:ascii="Times New Roman" w:hAnsi="Times New Roman" w:cs="Times New Roman"/>
          <w:b/>
          <w:sz w:val="20"/>
          <w:szCs w:val="20"/>
          <w:lang w:val="ro-MD"/>
        </w:rPr>
        <w:t xml:space="preserve"> 12</w:t>
      </w:r>
      <w:r w:rsidR="003C3DC8">
        <w:rPr>
          <w:rFonts w:ascii="Times New Roman" w:hAnsi="Times New Roman" w:cs="Times New Roman"/>
          <w:b/>
          <w:sz w:val="20"/>
          <w:szCs w:val="20"/>
          <w:lang w:val="ro-MD"/>
        </w:rPr>
        <w:t xml:space="preserve">. </w:t>
      </w:r>
      <w:r w:rsidR="00803A6E" w:rsidRPr="003836D9">
        <w:rPr>
          <w:rFonts w:ascii="Times New Roman" w:hAnsi="Times New Roman" w:cs="Times New Roman"/>
          <w:b/>
          <w:sz w:val="20"/>
          <w:szCs w:val="20"/>
          <w:lang w:val="ro-MD"/>
        </w:rPr>
        <w:t>Ocupare după activitate economică</w:t>
      </w:r>
      <w:r w:rsidR="00267375">
        <w:rPr>
          <w:rFonts w:ascii="Times New Roman" w:hAnsi="Times New Roman" w:cs="Times New Roman"/>
          <w:b/>
          <w:sz w:val="20"/>
          <w:szCs w:val="20"/>
          <w:lang w:val="ro-MD"/>
        </w:rPr>
        <w:t xml:space="preserve"> (%)</w:t>
      </w:r>
      <w:r w:rsidR="00262BB3" w:rsidRPr="003836D9">
        <w:rPr>
          <w:rFonts w:ascii="Times New Roman" w:hAnsi="Times New Roman" w:cs="Times New Roman"/>
          <w:b/>
          <w:sz w:val="20"/>
          <w:szCs w:val="20"/>
          <w:lang w:val="ro-MD"/>
        </w:rPr>
        <w:t xml:space="preserve">, </w:t>
      </w:r>
      <w:r w:rsidR="006D01B8" w:rsidRPr="003836D9">
        <w:rPr>
          <w:rFonts w:ascii="Times New Roman" w:hAnsi="Times New Roman" w:cs="Times New Roman"/>
          <w:b/>
          <w:sz w:val="20"/>
          <w:szCs w:val="20"/>
          <w:lang w:val="ro-MD"/>
        </w:rPr>
        <w:t>2021</w:t>
      </w:r>
    </w:p>
    <w:bookmarkEnd w:id="24"/>
    <w:p w14:paraId="61A67CC3" w14:textId="0238CEFA" w:rsidR="00262BB3" w:rsidRPr="003836D9" w:rsidRDefault="00267375" w:rsidP="004663AB">
      <w:pPr>
        <w:autoSpaceDE w:val="0"/>
        <w:autoSpaceDN w:val="0"/>
        <w:adjustRightInd w:val="0"/>
        <w:jc w:val="center"/>
        <w:rPr>
          <w:rFonts w:ascii="Times New Roman" w:hAnsi="Times New Roman" w:cs="Times New Roman"/>
          <w:sz w:val="24"/>
          <w:szCs w:val="24"/>
          <w:lang w:val="ro-MD"/>
        </w:rPr>
      </w:pPr>
      <w:r w:rsidRPr="00267375">
        <w:rPr>
          <w:rFonts w:ascii="Times New Roman" w:hAnsi="Times New Roman" w:cs="Times New Roman"/>
          <w:noProof/>
          <w:sz w:val="24"/>
          <w:szCs w:val="24"/>
          <w:lang w:val="ru-RU" w:eastAsia="ru-RU"/>
        </w:rPr>
        <w:lastRenderedPageBreak/>
        <w:drawing>
          <wp:inline distT="0" distB="0" distL="0" distR="0" wp14:anchorId="27B46AE8" wp14:editId="35B81B44">
            <wp:extent cx="5030052" cy="272796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54529" cy="2741235"/>
                    </a:xfrm>
                    <a:prstGeom prst="rect">
                      <a:avLst/>
                    </a:prstGeom>
                    <a:noFill/>
                    <a:ln>
                      <a:noFill/>
                    </a:ln>
                  </pic:spPr>
                </pic:pic>
              </a:graphicData>
            </a:graphic>
          </wp:inline>
        </w:drawing>
      </w:r>
    </w:p>
    <w:p w14:paraId="37A4E3FA" w14:textId="744E6BA8" w:rsidR="00262BB3" w:rsidRPr="003836D9" w:rsidRDefault="00267375" w:rsidP="00267375">
      <w:pPr>
        <w:spacing w:before="160"/>
        <w:ind w:firstLine="720"/>
        <w:rPr>
          <w:rFonts w:ascii="Times New Roman" w:eastAsia="Times New Roman" w:hAnsi="Times New Roman" w:cs="Times New Roman"/>
          <w:sz w:val="24"/>
          <w:szCs w:val="24"/>
          <w:lang w:val="ro-MD"/>
        </w:rPr>
      </w:pPr>
      <w:r>
        <w:rPr>
          <w:rFonts w:ascii="Times New Roman" w:eastAsia="Times New Roman" w:hAnsi="Times New Roman" w:cs="Times New Roman"/>
          <w:i/>
          <w:color w:val="000000"/>
          <w:sz w:val="18"/>
          <w:szCs w:val="18"/>
          <w:lang w:val="ro-MD"/>
        </w:rPr>
        <w:t xml:space="preserve">    </w:t>
      </w:r>
      <w:r w:rsidR="00803A6E" w:rsidRPr="003836D9">
        <w:rPr>
          <w:rFonts w:ascii="Times New Roman" w:eastAsia="Times New Roman" w:hAnsi="Times New Roman" w:cs="Times New Roman"/>
          <w:i/>
          <w:color w:val="000000"/>
          <w:sz w:val="18"/>
          <w:szCs w:val="18"/>
          <w:lang w:val="ro-MD"/>
        </w:rPr>
        <w:t xml:space="preserve">Sursa: </w:t>
      </w:r>
      <w:r w:rsidR="00803A6E" w:rsidRPr="003836D9">
        <w:rPr>
          <w:rFonts w:ascii="Times New Roman" w:eastAsia="Times New Roman" w:hAnsi="Times New Roman" w:cs="Times New Roman"/>
          <w:iCs/>
          <w:color w:val="000000"/>
          <w:sz w:val="18"/>
          <w:szCs w:val="18"/>
          <w:lang w:val="ro-MD"/>
        </w:rPr>
        <w:t>Elaborare în baza datelor B</w:t>
      </w:r>
      <w:r>
        <w:rPr>
          <w:rFonts w:ascii="Times New Roman" w:eastAsia="Times New Roman" w:hAnsi="Times New Roman" w:cs="Times New Roman"/>
          <w:iCs/>
          <w:color w:val="000000"/>
          <w:sz w:val="18"/>
          <w:szCs w:val="18"/>
          <w:lang w:val="ro-MD"/>
        </w:rPr>
        <w:t>iroului Național de Statistică</w:t>
      </w:r>
      <w:r w:rsidR="00803A6E" w:rsidRPr="003836D9">
        <w:rPr>
          <w:rFonts w:ascii="Times New Roman" w:eastAsia="Times New Roman" w:hAnsi="Times New Roman" w:cs="Times New Roman"/>
          <w:iCs/>
          <w:color w:val="000000"/>
          <w:sz w:val="18"/>
          <w:szCs w:val="18"/>
          <w:lang w:val="ro-MD"/>
        </w:rPr>
        <w:t xml:space="preserve"> ale Anchetei Forței de Muncă</w:t>
      </w:r>
    </w:p>
    <w:p w14:paraId="688044F6" w14:textId="7F33EDDF" w:rsidR="00605103" w:rsidRDefault="00803A6E" w:rsidP="00710D70">
      <w:pPr>
        <w:spacing w:before="160"/>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Distribuția ocupării forței de muncă pe categorii ocupaționale (</w:t>
      </w:r>
      <w:r w:rsidR="00D94B6B">
        <w:rPr>
          <w:rFonts w:ascii="Times New Roman" w:eastAsia="Times New Roman" w:hAnsi="Times New Roman" w:cs="Times New Roman"/>
          <w:sz w:val="24"/>
          <w:szCs w:val="24"/>
          <w:lang w:val="ro-MD"/>
        </w:rPr>
        <w:t>Fig.</w:t>
      </w:r>
      <w:r w:rsidRPr="003836D9">
        <w:rPr>
          <w:rFonts w:ascii="Times New Roman" w:eastAsia="Times New Roman" w:hAnsi="Times New Roman" w:cs="Times New Roman"/>
          <w:sz w:val="24"/>
          <w:szCs w:val="24"/>
          <w:lang w:val="ro-MD"/>
        </w:rPr>
        <w:t xml:space="preserve"> 13) arată că în ultimii ani s-a înregistrat o schimbare </w:t>
      </w:r>
      <w:r w:rsidR="00E4754D" w:rsidRPr="003836D9">
        <w:rPr>
          <w:rFonts w:ascii="Times New Roman" w:eastAsia="Times New Roman" w:hAnsi="Times New Roman" w:cs="Times New Roman"/>
          <w:sz w:val="24"/>
          <w:szCs w:val="24"/>
          <w:lang w:val="ro-MD"/>
        </w:rPr>
        <w:t>în populația ocupată, această crescând în</w:t>
      </w:r>
      <w:r w:rsidRPr="003836D9">
        <w:rPr>
          <w:rFonts w:ascii="Times New Roman" w:eastAsia="Times New Roman" w:hAnsi="Times New Roman" w:cs="Times New Roman"/>
          <w:sz w:val="24"/>
          <w:szCs w:val="24"/>
          <w:lang w:val="ro-MD"/>
        </w:rPr>
        <w:t xml:space="preserve"> ocupații</w:t>
      </w:r>
      <w:r w:rsidR="00E4754D" w:rsidRPr="003836D9">
        <w:rPr>
          <w:rFonts w:ascii="Times New Roman" w:eastAsia="Times New Roman" w:hAnsi="Times New Roman" w:cs="Times New Roman"/>
          <w:sz w:val="24"/>
          <w:szCs w:val="24"/>
          <w:lang w:val="ro-MD"/>
        </w:rPr>
        <w:t>le</w:t>
      </w:r>
      <w:r w:rsidRPr="003836D9">
        <w:rPr>
          <w:rFonts w:ascii="Times New Roman" w:eastAsia="Times New Roman" w:hAnsi="Times New Roman" w:cs="Times New Roman"/>
          <w:sz w:val="24"/>
          <w:szCs w:val="24"/>
          <w:lang w:val="ro-MD"/>
        </w:rPr>
        <w:t xml:space="preserve"> cu calificare medie și înaltă și </w:t>
      </w:r>
      <w:r w:rsidR="00E4754D" w:rsidRPr="003836D9">
        <w:rPr>
          <w:rFonts w:ascii="Times New Roman" w:eastAsia="Times New Roman" w:hAnsi="Times New Roman" w:cs="Times New Roman"/>
          <w:sz w:val="24"/>
          <w:szCs w:val="24"/>
          <w:lang w:val="ro-MD"/>
        </w:rPr>
        <w:t>scăzând în ocupațiile</w:t>
      </w:r>
      <w:r w:rsidRPr="003836D9">
        <w:rPr>
          <w:rFonts w:ascii="Times New Roman" w:eastAsia="Times New Roman" w:hAnsi="Times New Roman" w:cs="Times New Roman"/>
          <w:sz w:val="24"/>
          <w:szCs w:val="24"/>
          <w:lang w:val="ro-MD"/>
        </w:rPr>
        <w:t xml:space="preserve"> cu calificare scăzută. În 202</w:t>
      </w:r>
      <w:r w:rsidR="005D1D7F" w:rsidRPr="003836D9">
        <w:rPr>
          <w:rFonts w:ascii="Times New Roman" w:eastAsia="Times New Roman" w:hAnsi="Times New Roman" w:cs="Times New Roman"/>
          <w:sz w:val="24"/>
          <w:szCs w:val="24"/>
          <w:lang w:val="ro-MD"/>
        </w:rPr>
        <w:t>1</w:t>
      </w:r>
      <w:r w:rsidRPr="003836D9">
        <w:rPr>
          <w:rFonts w:ascii="Times New Roman" w:eastAsia="Times New Roman" w:hAnsi="Times New Roman" w:cs="Times New Roman"/>
          <w:sz w:val="24"/>
          <w:szCs w:val="24"/>
          <w:lang w:val="ro-MD"/>
        </w:rPr>
        <w:t>, ocupațiile cu calificare medie (categoria 4 până la 8 din Clasificarea Internațională Standard a Ocupațiilor, ISCO 2008) reprezentau puțin peste două treimi din totalul angajării (60,</w:t>
      </w:r>
      <w:r w:rsidR="005D1D7F" w:rsidRPr="003836D9">
        <w:rPr>
          <w:rFonts w:ascii="Times New Roman" w:eastAsia="Times New Roman" w:hAnsi="Times New Roman" w:cs="Times New Roman"/>
          <w:sz w:val="24"/>
          <w:szCs w:val="24"/>
          <w:lang w:val="ro-MD"/>
        </w:rPr>
        <w:t>5</w:t>
      </w:r>
      <w:r w:rsidRPr="003836D9">
        <w:rPr>
          <w:rFonts w:ascii="Times New Roman" w:eastAsia="Times New Roman" w:hAnsi="Times New Roman" w:cs="Times New Roman"/>
          <w:sz w:val="24"/>
          <w:szCs w:val="24"/>
          <w:lang w:val="ro-MD"/>
        </w:rPr>
        <w:t xml:space="preserve"> procente), în timp ce ocupațiile </w:t>
      </w:r>
      <w:r w:rsidR="00E4754D" w:rsidRPr="003836D9">
        <w:rPr>
          <w:rFonts w:ascii="Times New Roman" w:eastAsia="Times New Roman" w:hAnsi="Times New Roman" w:cs="Times New Roman"/>
          <w:sz w:val="24"/>
          <w:szCs w:val="24"/>
          <w:lang w:val="ro-MD"/>
        </w:rPr>
        <w:t xml:space="preserve">cu calificare joasă </w:t>
      </w:r>
      <w:r w:rsidRPr="003836D9">
        <w:rPr>
          <w:rFonts w:ascii="Times New Roman" w:eastAsia="Times New Roman" w:hAnsi="Times New Roman" w:cs="Times New Roman"/>
          <w:sz w:val="24"/>
          <w:szCs w:val="24"/>
          <w:lang w:val="ro-MD"/>
        </w:rPr>
        <w:t>reprezentau 1</w:t>
      </w:r>
      <w:r w:rsidR="005D1D7F" w:rsidRPr="003836D9">
        <w:rPr>
          <w:rFonts w:ascii="Times New Roman" w:eastAsia="Times New Roman" w:hAnsi="Times New Roman" w:cs="Times New Roman"/>
          <w:sz w:val="24"/>
          <w:szCs w:val="24"/>
          <w:lang w:val="ro-MD"/>
        </w:rPr>
        <w:t>1</w:t>
      </w:r>
      <w:r w:rsidRPr="003836D9">
        <w:rPr>
          <w:rFonts w:ascii="Times New Roman" w:eastAsia="Times New Roman" w:hAnsi="Times New Roman" w:cs="Times New Roman"/>
          <w:sz w:val="24"/>
          <w:szCs w:val="24"/>
          <w:lang w:val="ro-MD"/>
        </w:rPr>
        <w:t>,</w:t>
      </w:r>
      <w:r w:rsidR="005D1D7F" w:rsidRPr="003836D9">
        <w:rPr>
          <w:rFonts w:ascii="Times New Roman" w:eastAsia="Times New Roman" w:hAnsi="Times New Roman" w:cs="Times New Roman"/>
          <w:sz w:val="24"/>
          <w:szCs w:val="24"/>
          <w:lang w:val="ro-MD"/>
        </w:rPr>
        <w:t>9</w:t>
      </w:r>
      <w:r w:rsidRPr="003836D9">
        <w:rPr>
          <w:rFonts w:ascii="Times New Roman" w:eastAsia="Times New Roman" w:hAnsi="Times New Roman" w:cs="Times New Roman"/>
          <w:sz w:val="24"/>
          <w:szCs w:val="24"/>
          <w:lang w:val="ro-MD"/>
        </w:rPr>
        <w:t xml:space="preserve"> procente</w:t>
      </w:r>
      <w:r w:rsidR="009C0A19" w:rsidRPr="003836D9">
        <w:rPr>
          <w:rFonts w:ascii="Times New Roman" w:eastAsia="Times New Roman" w:hAnsi="Times New Roman" w:cs="Times New Roman"/>
          <w:sz w:val="24"/>
          <w:szCs w:val="24"/>
          <w:lang w:val="ro-MD"/>
        </w:rPr>
        <w:t xml:space="preserve">. </w:t>
      </w:r>
    </w:p>
    <w:p w14:paraId="06398D0F" w14:textId="77777777" w:rsidR="005870FD" w:rsidRPr="003836D9" w:rsidRDefault="005870FD" w:rsidP="00710D70">
      <w:pPr>
        <w:spacing w:before="160"/>
        <w:jc w:val="both"/>
        <w:rPr>
          <w:rFonts w:ascii="Times New Roman" w:eastAsia="Times New Roman" w:hAnsi="Times New Roman" w:cs="Times New Roman"/>
          <w:sz w:val="24"/>
          <w:szCs w:val="24"/>
          <w:lang w:val="ro-MD"/>
        </w:rPr>
      </w:pPr>
    </w:p>
    <w:p w14:paraId="03FCD99F" w14:textId="4ACB9585" w:rsidR="005D4D0C" w:rsidRPr="00A03DFE" w:rsidRDefault="00D94B6B" w:rsidP="002E7294">
      <w:pPr>
        <w:spacing w:after="120"/>
        <w:jc w:val="center"/>
        <w:rPr>
          <w:rFonts w:ascii="Times New Roman" w:hAnsi="Times New Roman" w:cs="Times New Roman"/>
          <w:b/>
          <w:sz w:val="20"/>
          <w:szCs w:val="20"/>
          <w:lang w:val="ro-RO"/>
        </w:rPr>
      </w:pPr>
      <w:bookmarkStart w:id="25" w:name="_Ref58339376"/>
      <w:bookmarkStart w:id="26" w:name="_Hlk515271359"/>
      <w:r>
        <w:rPr>
          <w:rFonts w:ascii="Times New Roman" w:hAnsi="Times New Roman" w:cs="Times New Roman"/>
          <w:b/>
          <w:sz w:val="20"/>
          <w:szCs w:val="20"/>
          <w:lang w:val="ro-MD"/>
        </w:rPr>
        <w:t>Fig.</w:t>
      </w:r>
      <w:r w:rsidR="00A023FD" w:rsidRPr="003836D9">
        <w:rPr>
          <w:rFonts w:ascii="Times New Roman" w:hAnsi="Times New Roman" w:cs="Times New Roman"/>
          <w:b/>
          <w:sz w:val="20"/>
          <w:szCs w:val="20"/>
          <w:lang w:val="ro-MD"/>
        </w:rPr>
        <w:t xml:space="preserve"> </w:t>
      </w:r>
      <w:bookmarkEnd w:id="25"/>
      <w:r w:rsidR="00A023FD" w:rsidRPr="003836D9">
        <w:rPr>
          <w:rFonts w:ascii="Times New Roman" w:hAnsi="Times New Roman" w:cs="Times New Roman"/>
          <w:b/>
          <w:sz w:val="20"/>
          <w:szCs w:val="20"/>
          <w:lang w:val="ro-MD"/>
        </w:rPr>
        <w:t>1</w:t>
      </w:r>
      <w:r w:rsidR="00645068" w:rsidRPr="003836D9">
        <w:rPr>
          <w:rFonts w:ascii="Times New Roman" w:hAnsi="Times New Roman" w:cs="Times New Roman"/>
          <w:b/>
          <w:sz w:val="20"/>
          <w:szCs w:val="20"/>
          <w:lang w:val="ro-MD"/>
        </w:rPr>
        <w:t>3</w:t>
      </w:r>
      <w:r w:rsidR="00267375">
        <w:rPr>
          <w:rFonts w:ascii="Times New Roman" w:hAnsi="Times New Roman" w:cs="Times New Roman"/>
          <w:b/>
          <w:sz w:val="20"/>
          <w:szCs w:val="20"/>
          <w:lang w:val="ro-MD"/>
        </w:rPr>
        <w:t xml:space="preserve">. </w:t>
      </w:r>
      <w:r w:rsidR="00803A6E" w:rsidRPr="003836D9">
        <w:rPr>
          <w:rFonts w:ascii="Times New Roman" w:hAnsi="Times New Roman" w:cs="Times New Roman"/>
          <w:b/>
          <w:sz w:val="20"/>
          <w:szCs w:val="20"/>
          <w:lang w:val="ro-MD"/>
        </w:rPr>
        <w:t xml:space="preserve">Ocuparea după ocupații, </w:t>
      </w:r>
      <w:r w:rsidR="006945B8" w:rsidRPr="003836D9">
        <w:rPr>
          <w:rFonts w:ascii="Times New Roman" w:hAnsi="Times New Roman" w:cs="Times New Roman"/>
          <w:b/>
          <w:sz w:val="20"/>
          <w:szCs w:val="20"/>
          <w:lang w:val="ro-MD"/>
        </w:rPr>
        <w:t>după</w:t>
      </w:r>
      <w:r w:rsidR="00803A6E" w:rsidRPr="003836D9">
        <w:rPr>
          <w:rFonts w:ascii="Times New Roman" w:hAnsi="Times New Roman" w:cs="Times New Roman"/>
          <w:b/>
          <w:sz w:val="20"/>
          <w:szCs w:val="20"/>
          <w:lang w:val="ro-MD"/>
        </w:rPr>
        <w:t xml:space="preserve"> grupe de vârstă și sex</w:t>
      </w:r>
      <w:r w:rsidR="00267375" w:rsidRPr="003836D9">
        <w:rPr>
          <w:rFonts w:ascii="Times New Roman" w:hAnsi="Times New Roman" w:cs="Times New Roman"/>
          <w:b/>
          <w:sz w:val="20"/>
          <w:szCs w:val="20"/>
          <w:lang w:val="ro-MD"/>
        </w:rPr>
        <w:t xml:space="preserve"> (%)</w:t>
      </w:r>
      <w:r w:rsidR="00267375">
        <w:rPr>
          <w:rFonts w:ascii="Times New Roman" w:hAnsi="Times New Roman" w:cs="Times New Roman"/>
          <w:b/>
          <w:sz w:val="20"/>
          <w:szCs w:val="20"/>
          <w:lang w:val="ro-MD"/>
        </w:rPr>
        <w:t xml:space="preserve">, </w:t>
      </w:r>
      <w:bookmarkEnd w:id="26"/>
      <w:r w:rsidR="00A03DFE">
        <w:rPr>
          <w:rFonts w:ascii="Times New Roman" w:hAnsi="Times New Roman" w:cs="Times New Roman"/>
          <w:b/>
          <w:sz w:val="20"/>
          <w:szCs w:val="20"/>
          <w:lang w:val="ro-MD"/>
        </w:rPr>
        <w:t>diver</w:t>
      </w:r>
      <w:r w:rsidR="005870FD">
        <w:rPr>
          <w:rFonts w:ascii="Times New Roman" w:hAnsi="Times New Roman" w:cs="Times New Roman"/>
          <w:b/>
          <w:sz w:val="20"/>
          <w:szCs w:val="20"/>
          <w:lang w:val="ro-MD"/>
        </w:rPr>
        <w:t>și ani</w:t>
      </w:r>
    </w:p>
    <w:p w14:paraId="4AB6C437" w14:textId="2ECF2D27" w:rsidR="003E38B7" w:rsidRPr="003836D9" w:rsidRDefault="005870FD" w:rsidP="003260F1">
      <w:pPr>
        <w:spacing w:after="120"/>
        <w:jc w:val="center"/>
        <w:rPr>
          <w:rFonts w:ascii="Times New Roman" w:hAnsi="Times New Roman" w:cs="Times New Roman"/>
          <w:b/>
          <w:sz w:val="20"/>
          <w:szCs w:val="20"/>
          <w:lang w:val="ro-MD"/>
        </w:rPr>
      </w:pPr>
      <w:r w:rsidRPr="005870FD">
        <w:rPr>
          <w:rFonts w:ascii="Times New Roman" w:hAnsi="Times New Roman" w:cs="Times New Roman"/>
          <w:b/>
          <w:noProof/>
          <w:sz w:val="20"/>
          <w:szCs w:val="20"/>
          <w:lang w:val="ru-RU" w:eastAsia="ru-RU"/>
        </w:rPr>
        <w:drawing>
          <wp:inline distT="0" distB="0" distL="0" distR="0" wp14:anchorId="78B9DA3B" wp14:editId="45E3DAA7">
            <wp:extent cx="5128260" cy="249176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5418" cy="2500103"/>
                    </a:xfrm>
                    <a:prstGeom prst="rect">
                      <a:avLst/>
                    </a:prstGeom>
                    <a:noFill/>
                    <a:ln>
                      <a:noFill/>
                    </a:ln>
                  </pic:spPr>
                </pic:pic>
              </a:graphicData>
            </a:graphic>
          </wp:inline>
        </w:drawing>
      </w:r>
    </w:p>
    <w:p w14:paraId="5160C433" w14:textId="17CF9DD2" w:rsidR="00023903" w:rsidRPr="003836D9" w:rsidRDefault="005870FD" w:rsidP="005870FD">
      <w:pPr>
        <w:ind w:firstLine="720"/>
        <w:rPr>
          <w:rFonts w:ascii="Times New Roman" w:eastAsia="Times New Roman" w:hAnsi="Times New Roman" w:cs="Times New Roman"/>
          <w:iCs/>
          <w:color w:val="000000"/>
          <w:sz w:val="18"/>
          <w:szCs w:val="18"/>
          <w:lang w:val="ro-MD"/>
        </w:rPr>
      </w:pPr>
      <w:r>
        <w:rPr>
          <w:rFonts w:ascii="Times New Roman" w:eastAsia="Times New Roman" w:hAnsi="Times New Roman" w:cs="Times New Roman"/>
          <w:i/>
          <w:color w:val="000000"/>
          <w:sz w:val="18"/>
          <w:szCs w:val="18"/>
          <w:lang w:val="ro-MD"/>
        </w:rPr>
        <w:t xml:space="preserve">  </w:t>
      </w:r>
      <w:r w:rsidR="00803A6E" w:rsidRPr="003836D9">
        <w:rPr>
          <w:rFonts w:ascii="Times New Roman" w:eastAsia="Times New Roman" w:hAnsi="Times New Roman" w:cs="Times New Roman"/>
          <w:i/>
          <w:color w:val="000000"/>
          <w:sz w:val="18"/>
          <w:szCs w:val="18"/>
          <w:lang w:val="ro-MD"/>
        </w:rPr>
        <w:t xml:space="preserve">Sursa: </w:t>
      </w:r>
      <w:r w:rsidR="00803A6E" w:rsidRPr="003836D9">
        <w:rPr>
          <w:rFonts w:ascii="Times New Roman" w:eastAsia="Times New Roman" w:hAnsi="Times New Roman" w:cs="Times New Roman"/>
          <w:iCs/>
          <w:color w:val="000000"/>
          <w:sz w:val="18"/>
          <w:szCs w:val="18"/>
          <w:lang w:val="ro-MD"/>
        </w:rPr>
        <w:t xml:space="preserve">Elaborare în baza datelor </w:t>
      </w:r>
      <w:r>
        <w:rPr>
          <w:rFonts w:ascii="Times New Roman" w:eastAsia="Times New Roman" w:hAnsi="Times New Roman" w:cs="Times New Roman"/>
          <w:iCs/>
          <w:color w:val="000000"/>
          <w:sz w:val="18"/>
          <w:szCs w:val="18"/>
          <w:lang w:val="ro-MD"/>
        </w:rPr>
        <w:t>Biroului Național de Statistică</w:t>
      </w:r>
      <w:r w:rsidR="00803A6E" w:rsidRPr="003836D9">
        <w:rPr>
          <w:rFonts w:ascii="Times New Roman" w:eastAsia="Times New Roman" w:hAnsi="Times New Roman" w:cs="Times New Roman"/>
          <w:iCs/>
          <w:color w:val="000000"/>
          <w:sz w:val="18"/>
          <w:szCs w:val="18"/>
          <w:lang w:val="ro-MD"/>
        </w:rPr>
        <w:t xml:space="preserve"> ale Anchetei Forței de Muncă</w:t>
      </w:r>
    </w:p>
    <w:p w14:paraId="7B678721" w14:textId="0CBA4C0D" w:rsidR="00803A6E" w:rsidRPr="003836D9" w:rsidRDefault="00803A6E" w:rsidP="009D38F5">
      <w:pPr>
        <w:autoSpaceDE w:val="0"/>
        <w:autoSpaceDN w:val="0"/>
        <w:adjustRightInd w:val="0"/>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 xml:space="preserve">Lucrătorii tineri (15-24 de ani) se regăsesc în principal în ocupații cu calificare medie (68,2 procente din totalul locurilor de muncă </w:t>
      </w:r>
      <w:r w:rsidR="009D38F5" w:rsidRPr="003836D9">
        <w:rPr>
          <w:rFonts w:ascii="Times New Roman" w:eastAsia="Times New Roman" w:hAnsi="Times New Roman" w:cs="Times New Roman"/>
          <w:sz w:val="24"/>
          <w:szCs w:val="24"/>
          <w:lang w:val="ro-MD"/>
        </w:rPr>
        <w:t>ocupate de tineri</w:t>
      </w:r>
      <w:r w:rsidRPr="003836D9">
        <w:rPr>
          <w:rFonts w:ascii="Times New Roman" w:eastAsia="Times New Roman" w:hAnsi="Times New Roman" w:cs="Times New Roman"/>
          <w:sz w:val="24"/>
          <w:szCs w:val="24"/>
          <w:lang w:val="ro-MD"/>
        </w:rPr>
        <w:t xml:space="preserve">) și ocupații cu calificare înaltă (15,6 procente), în mare parte în concordanță cu creșterea nivelului de studii pentru cohorta </w:t>
      </w:r>
      <w:r w:rsidR="009D38F5" w:rsidRPr="003836D9">
        <w:rPr>
          <w:rFonts w:ascii="Times New Roman" w:eastAsia="Times New Roman" w:hAnsi="Times New Roman" w:cs="Times New Roman"/>
          <w:sz w:val="24"/>
          <w:szCs w:val="24"/>
          <w:lang w:val="ro-MD"/>
        </w:rPr>
        <w:t>respectivă</w:t>
      </w:r>
      <w:r w:rsidRPr="003836D9">
        <w:rPr>
          <w:rFonts w:ascii="Times New Roman" w:eastAsia="Times New Roman" w:hAnsi="Times New Roman" w:cs="Times New Roman"/>
          <w:sz w:val="24"/>
          <w:szCs w:val="24"/>
          <w:lang w:val="ro-MD"/>
        </w:rPr>
        <w:t xml:space="preserve">. Polarizarea competențelor este mai pronunțată în rândul femeilor, deoarece ocuparea forței de muncă este concentrată în ocupații cu calificare înaltă (35,1 procente din totalul forței de muncă </w:t>
      </w:r>
      <w:r w:rsidR="009D38F5" w:rsidRPr="003836D9">
        <w:rPr>
          <w:rFonts w:ascii="Times New Roman" w:eastAsia="Times New Roman" w:hAnsi="Times New Roman" w:cs="Times New Roman"/>
          <w:sz w:val="24"/>
          <w:szCs w:val="24"/>
          <w:lang w:val="ro-MD"/>
        </w:rPr>
        <w:t xml:space="preserve">de gen </w:t>
      </w:r>
      <w:r w:rsidRPr="003836D9">
        <w:rPr>
          <w:rFonts w:ascii="Times New Roman" w:eastAsia="Times New Roman" w:hAnsi="Times New Roman" w:cs="Times New Roman"/>
          <w:sz w:val="24"/>
          <w:szCs w:val="24"/>
          <w:lang w:val="ro-MD"/>
        </w:rPr>
        <w:t xml:space="preserve">feminin) și ocupații slab calificate (11,4 procente), în timp ce peste 66 procente din </w:t>
      </w:r>
      <w:r w:rsidR="00711E08" w:rsidRPr="003836D9">
        <w:rPr>
          <w:rFonts w:ascii="Times New Roman" w:eastAsia="Times New Roman" w:hAnsi="Times New Roman" w:cs="Times New Roman"/>
          <w:sz w:val="24"/>
          <w:szCs w:val="24"/>
          <w:lang w:val="ro-MD"/>
        </w:rPr>
        <w:t>bărbați ocupă</w:t>
      </w:r>
      <w:r w:rsidRPr="003836D9">
        <w:rPr>
          <w:rFonts w:ascii="Times New Roman" w:eastAsia="Times New Roman" w:hAnsi="Times New Roman" w:cs="Times New Roman"/>
          <w:sz w:val="24"/>
          <w:szCs w:val="24"/>
          <w:lang w:val="ro-MD"/>
        </w:rPr>
        <w:t xml:space="preserve"> ocupații cu calificare medie.</w:t>
      </w:r>
    </w:p>
    <w:p w14:paraId="01F34196" w14:textId="50B72F09" w:rsidR="002F2A5A" w:rsidRPr="003836D9" w:rsidRDefault="00803A6E" w:rsidP="009D38F5">
      <w:pPr>
        <w:autoSpaceDE w:val="0"/>
        <w:autoSpaceDN w:val="0"/>
        <w:adjustRightInd w:val="0"/>
        <w:jc w:val="both"/>
        <w:rPr>
          <w:rFonts w:ascii="Times New Roman" w:hAnsi="Times New Roman" w:cs="Times New Roman"/>
          <w:sz w:val="24"/>
          <w:szCs w:val="24"/>
          <w:lang w:val="ro-MD"/>
        </w:rPr>
      </w:pPr>
      <w:r w:rsidRPr="003836D9">
        <w:rPr>
          <w:rFonts w:ascii="Times New Roman" w:eastAsia="Times New Roman" w:hAnsi="Times New Roman" w:cs="Times New Roman"/>
          <w:sz w:val="24"/>
          <w:szCs w:val="24"/>
          <w:lang w:val="ro-MD"/>
        </w:rPr>
        <w:lastRenderedPageBreak/>
        <w:t xml:space="preserve">În timp ce distribuția ocupațională este în general în concordanță cu nivelul de educație al populației ocupate (15+), </w:t>
      </w:r>
      <w:r w:rsidR="00850AC4" w:rsidRPr="003836D9">
        <w:rPr>
          <w:rFonts w:ascii="Times New Roman" w:eastAsia="Times New Roman" w:hAnsi="Times New Roman" w:cs="Times New Roman"/>
          <w:sz w:val="24"/>
          <w:szCs w:val="24"/>
          <w:lang w:val="ro-MD"/>
        </w:rPr>
        <w:t xml:space="preserve">în 2020 </w:t>
      </w:r>
      <w:r w:rsidRPr="003836D9">
        <w:rPr>
          <w:rFonts w:ascii="Times New Roman" w:eastAsia="Times New Roman" w:hAnsi="Times New Roman" w:cs="Times New Roman"/>
          <w:sz w:val="24"/>
          <w:szCs w:val="24"/>
          <w:lang w:val="ro-MD"/>
        </w:rPr>
        <w:t xml:space="preserve">nepotrivirile verticale </w:t>
      </w:r>
      <w:r w:rsidR="00B86036" w:rsidRPr="003836D9">
        <w:rPr>
          <w:rFonts w:ascii="Times New Roman" w:eastAsia="Times New Roman" w:hAnsi="Times New Roman" w:cs="Times New Roman"/>
          <w:sz w:val="24"/>
          <w:szCs w:val="24"/>
          <w:lang w:val="ro-MD"/>
        </w:rPr>
        <w:t>de</w:t>
      </w:r>
      <w:r w:rsidRPr="003836D9">
        <w:rPr>
          <w:rFonts w:ascii="Times New Roman" w:eastAsia="Times New Roman" w:hAnsi="Times New Roman" w:cs="Times New Roman"/>
          <w:sz w:val="24"/>
          <w:szCs w:val="24"/>
          <w:lang w:val="ro-MD"/>
        </w:rPr>
        <w:t xml:space="preserve"> competențe s-au ridicat la 34,6 procente. Supracalificarea (12,2 procente, celulele hașurate în gri în tabelul 3 </w:t>
      </w:r>
      <w:r w:rsidR="00B86036" w:rsidRPr="003836D9">
        <w:rPr>
          <w:rFonts w:ascii="Times New Roman" w:eastAsia="Times New Roman" w:hAnsi="Times New Roman" w:cs="Times New Roman"/>
          <w:sz w:val="24"/>
          <w:szCs w:val="24"/>
          <w:lang w:val="ro-MD"/>
        </w:rPr>
        <w:t xml:space="preserve">în mare parte </w:t>
      </w:r>
      <w:r w:rsidRPr="003836D9">
        <w:rPr>
          <w:rFonts w:ascii="Times New Roman" w:eastAsia="Times New Roman" w:hAnsi="Times New Roman" w:cs="Times New Roman"/>
          <w:sz w:val="24"/>
          <w:szCs w:val="24"/>
          <w:lang w:val="ro-MD"/>
        </w:rPr>
        <w:t xml:space="preserve">este </w:t>
      </w:r>
      <w:r w:rsidR="00B86036" w:rsidRPr="003836D9">
        <w:rPr>
          <w:rFonts w:ascii="Times New Roman" w:eastAsia="Times New Roman" w:hAnsi="Times New Roman" w:cs="Times New Roman"/>
          <w:sz w:val="24"/>
          <w:szCs w:val="24"/>
          <w:lang w:val="ro-MD"/>
        </w:rPr>
        <w:t>specifică</w:t>
      </w:r>
      <w:r w:rsidRPr="003836D9">
        <w:rPr>
          <w:rFonts w:ascii="Times New Roman" w:eastAsia="Times New Roman" w:hAnsi="Times New Roman" w:cs="Times New Roman"/>
          <w:sz w:val="24"/>
          <w:szCs w:val="24"/>
          <w:lang w:val="ro-MD"/>
        </w:rPr>
        <w:t xml:space="preserve"> absolvenți</w:t>
      </w:r>
      <w:r w:rsidR="00B86036" w:rsidRPr="003836D9">
        <w:rPr>
          <w:rFonts w:ascii="Times New Roman" w:eastAsia="Times New Roman" w:hAnsi="Times New Roman" w:cs="Times New Roman"/>
          <w:sz w:val="24"/>
          <w:szCs w:val="24"/>
          <w:lang w:val="ro-MD"/>
        </w:rPr>
        <w:t>lor</w:t>
      </w:r>
      <w:r w:rsidRPr="003836D9">
        <w:rPr>
          <w:rFonts w:ascii="Times New Roman" w:eastAsia="Times New Roman" w:hAnsi="Times New Roman" w:cs="Times New Roman"/>
          <w:sz w:val="24"/>
          <w:szCs w:val="24"/>
          <w:lang w:val="ro-MD"/>
        </w:rPr>
        <w:t xml:space="preserve"> de liceu care lucrează în ocupații </w:t>
      </w:r>
      <w:r w:rsidR="00850AC4" w:rsidRPr="003836D9">
        <w:rPr>
          <w:rFonts w:ascii="Times New Roman" w:eastAsia="Times New Roman" w:hAnsi="Times New Roman" w:cs="Times New Roman"/>
          <w:sz w:val="24"/>
          <w:szCs w:val="24"/>
          <w:lang w:val="ro-MD"/>
        </w:rPr>
        <w:t>primare</w:t>
      </w:r>
      <w:r w:rsidRPr="003836D9">
        <w:rPr>
          <w:rFonts w:ascii="Times New Roman" w:eastAsia="Times New Roman" w:hAnsi="Times New Roman" w:cs="Times New Roman"/>
          <w:sz w:val="24"/>
          <w:szCs w:val="24"/>
          <w:lang w:val="ro-MD"/>
        </w:rPr>
        <w:t xml:space="preserve"> și absolvenți</w:t>
      </w:r>
      <w:r w:rsidR="00B86036" w:rsidRPr="003836D9">
        <w:rPr>
          <w:rFonts w:ascii="Times New Roman" w:eastAsia="Times New Roman" w:hAnsi="Times New Roman" w:cs="Times New Roman"/>
          <w:sz w:val="24"/>
          <w:szCs w:val="24"/>
          <w:lang w:val="ro-MD"/>
        </w:rPr>
        <w:t>lor</w:t>
      </w:r>
      <w:r w:rsidRPr="003836D9">
        <w:rPr>
          <w:rFonts w:ascii="Times New Roman" w:eastAsia="Times New Roman" w:hAnsi="Times New Roman" w:cs="Times New Roman"/>
          <w:sz w:val="24"/>
          <w:szCs w:val="24"/>
          <w:lang w:val="ro-MD"/>
        </w:rPr>
        <w:t xml:space="preserve"> de studii terțiare care lucrează ca lucrători în servicii. În ambele categorii, femeile sunt mai reprezentate decât bărbații. Subcalificarea reprezintă 22,4 procente din totalul angajării (celulele hașurate în albastru) și cuprinde în cea mai mare parte persoane cu calificare scăzută care lucrează ca meseriași, tehnicieni și operatori de mașini. </w:t>
      </w:r>
      <w:r w:rsidR="00B110ED" w:rsidRPr="003836D9">
        <w:rPr>
          <w:rFonts w:ascii="Times New Roman" w:eastAsia="Times New Roman" w:hAnsi="Times New Roman" w:cs="Times New Roman"/>
          <w:sz w:val="24"/>
          <w:szCs w:val="24"/>
          <w:lang w:val="ro-MD"/>
        </w:rPr>
        <w:t xml:space="preserve">Suplimentar, </w:t>
      </w:r>
      <w:r w:rsidRPr="003836D9">
        <w:rPr>
          <w:rFonts w:ascii="Times New Roman" w:eastAsia="Times New Roman" w:hAnsi="Times New Roman" w:cs="Times New Roman"/>
          <w:sz w:val="24"/>
          <w:szCs w:val="24"/>
          <w:lang w:val="ro-MD"/>
        </w:rPr>
        <w:t>patru din zece angajatori raportează că deficitul de competențe este o provocare majoră pentru ext</w:t>
      </w:r>
      <w:r w:rsidR="00B110ED" w:rsidRPr="003836D9">
        <w:rPr>
          <w:rFonts w:ascii="Times New Roman" w:eastAsia="Times New Roman" w:hAnsi="Times New Roman" w:cs="Times New Roman"/>
          <w:sz w:val="24"/>
          <w:szCs w:val="24"/>
          <w:lang w:val="ro-MD"/>
        </w:rPr>
        <w:t>inderea și creșterea afacerilor, ceea ce constituie</w:t>
      </w:r>
      <w:r w:rsidRPr="003836D9">
        <w:rPr>
          <w:rFonts w:ascii="Times New Roman" w:eastAsia="Times New Roman" w:hAnsi="Times New Roman" w:cs="Times New Roman"/>
          <w:sz w:val="24"/>
          <w:szCs w:val="24"/>
          <w:lang w:val="ro-MD"/>
        </w:rPr>
        <w:t xml:space="preserve"> unul dintre cele mai mari procente din regiunea Europa și Asia Centrală</w:t>
      </w:r>
      <w:r w:rsidR="002F2A5A" w:rsidRPr="003836D9">
        <w:rPr>
          <w:rFonts w:ascii="Times New Roman" w:hAnsi="Times New Roman" w:cs="Times New Roman"/>
          <w:sz w:val="24"/>
          <w:szCs w:val="24"/>
          <w:lang w:val="ro-MD"/>
        </w:rPr>
        <w:t>.</w:t>
      </w:r>
      <w:r w:rsidR="002F2A5A" w:rsidRPr="003836D9">
        <w:rPr>
          <w:rStyle w:val="FootnoteReference"/>
          <w:rFonts w:ascii="Times New Roman" w:hAnsi="Times New Roman" w:cs="Times New Roman"/>
          <w:sz w:val="24"/>
          <w:szCs w:val="24"/>
          <w:lang w:val="ro-MD"/>
        </w:rPr>
        <w:footnoteReference w:id="22"/>
      </w:r>
    </w:p>
    <w:p w14:paraId="40A9C50D" w14:textId="77777777" w:rsidR="005A0CB9" w:rsidRDefault="005A0CB9" w:rsidP="002F2A5A">
      <w:pPr>
        <w:spacing w:after="120"/>
        <w:jc w:val="center"/>
        <w:rPr>
          <w:rFonts w:ascii="Times New Roman" w:hAnsi="Times New Roman" w:cs="Times New Roman"/>
          <w:b/>
          <w:sz w:val="20"/>
          <w:szCs w:val="20"/>
          <w:lang w:val="ro-MD"/>
        </w:rPr>
      </w:pPr>
      <w:bookmarkStart w:id="27" w:name="_Hlk93139519"/>
    </w:p>
    <w:p w14:paraId="66925E00" w14:textId="0D75AFE3" w:rsidR="00EF63A0" w:rsidRPr="003836D9" w:rsidRDefault="00803A6E" w:rsidP="002F2A5A">
      <w:pPr>
        <w:spacing w:after="120"/>
        <w:jc w:val="center"/>
        <w:rPr>
          <w:rFonts w:ascii="Times New Roman" w:hAnsi="Times New Roman" w:cs="Times New Roman"/>
          <w:b/>
          <w:sz w:val="20"/>
          <w:szCs w:val="20"/>
          <w:lang w:val="ro-MD"/>
        </w:rPr>
      </w:pPr>
      <w:r w:rsidRPr="003836D9">
        <w:rPr>
          <w:rFonts w:ascii="Times New Roman" w:hAnsi="Times New Roman" w:cs="Times New Roman"/>
          <w:b/>
          <w:sz w:val="20"/>
          <w:szCs w:val="20"/>
          <w:lang w:val="ro-MD"/>
        </w:rPr>
        <w:t>Tabel</w:t>
      </w:r>
      <w:r w:rsidR="00647201">
        <w:rPr>
          <w:rFonts w:ascii="Times New Roman" w:hAnsi="Times New Roman" w:cs="Times New Roman"/>
          <w:b/>
          <w:sz w:val="20"/>
          <w:szCs w:val="20"/>
          <w:lang w:val="ro-MD"/>
        </w:rPr>
        <w:t>ul</w:t>
      </w:r>
      <w:r w:rsidRPr="003836D9">
        <w:rPr>
          <w:rFonts w:ascii="Times New Roman" w:hAnsi="Times New Roman" w:cs="Times New Roman"/>
          <w:b/>
          <w:sz w:val="20"/>
          <w:szCs w:val="20"/>
          <w:lang w:val="ro-MD"/>
        </w:rPr>
        <w:t xml:space="preserve"> 3</w:t>
      </w:r>
      <w:r w:rsidR="005870FD">
        <w:rPr>
          <w:rFonts w:ascii="Times New Roman" w:hAnsi="Times New Roman" w:cs="Times New Roman"/>
          <w:b/>
          <w:sz w:val="20"/>
          <w:szCs w:val="20"/>
          <w:lang w:val="ro-MD"/>
        </w:rPr>
        <w:t>.</w:t>
      </w:r>
      <w:r w:rsidRPr="003836D9">
        <w:rPr>
          <w:rFonts w:ascii="Times New Roman" w:hAnsi="Times New Roman" w:cs="Times New Roman"/>
          <w:b/>
          <w:sz w:val="20"/>
          <w:szCs w:val="20"/>
          <w:lang w:val="ro-MD"/>
        </w:rPr>
        <w:t xml:space="preserve"> Nepotrivirea competențelor</w:t>
      </w:r>
      <w:r w:rsidR="00EF63A0" w:rsidRPr="003836D9">
        <w:rPr>
          <w:rFonts w:ascii="Times New Roman" w:hAnsi="Times New Roman" w:cs="Times New Roman"/>
          <w:b/>
          <w:sz w:val="20"/>
          <w:szCs w:val="20"/>
          <w:lang w:val="ro-MD"/>
        </w:rPr>
        <w:t>, 2020 (%)</w:t>
      </w:r>
    </w:p>
    <w:bookmarkEnd w:id="27"/>
    <w:tbl>
      <w:tblPr>
        <w:tblW w:w="7592" w:type="dxa"/>
        <w:jc w:val="center"/>
        <w:tblLayout w:type="fixed"/>
        <w:tblLook w:val="04A0" w:firstRow="1" w:lastRow="0" w:firstColumn="1" w:lastColumn="0" w:noHBand="0" w:noVBand="1"/>
      </w:tblPr>
      <w:tblGrid>
        <w:gridCol w:w="4119"/>
        <w:gridCol w:w="1160"/>
        <w:gridCol w:w="1062"/>
        <w:gridCol w:w="118"/>
        <w:gridCol w:w="944"/>
        <w:gridCol w:w="189"/>
      </w:tblGrid>
      <w:tr w:rsidR="008E0CFC" w:rsidRPr="003836D9" w14:paraId="001F2ED3" w14:textId="77777777" w:rsidTr="00647201">
        <w:trPr>
          <w:trHeight w:val="253"/>
          <w:jc w:val="center"/>
        </w:trPr>
        <w:tc>
          <w:tcPr>
            <w:tcW w:w="4119" w:type="dxa"/>
            <w:tcBorders>
              <w:top w:val="nil"/>
              <w:left w:val="nil"/>
              <w:bottom w:val="nil"/>
              <w:right w:val="nil"/>
            </w:tcBorders>
            <w:shd w:val="clear" w:color="auto" w:fill="auto"/>
            <w:noWrap/>
            <w:vAlign w:val="bottom"/>
            <w:hideMark/>
          </w:tcPr>
          <w:p w14:paraId="47528BAE" w14:textId="77777777" w:rsidR="008E0CFC" w:rsidRPr="003836D9" w:rsidRDefault="008E0CFC" w:rsidP="008E0CFC">
            <w:pPr>
              <w:spacing w:after="0" w:line="240" w:lineRule="auto"/>
              <w:rPr>
                <w:rFonts w:ascii="Times New Roman" w:eastAsia="Times New Roman" w:hAnsi="Times New Roman" w:cs="Times New Roman"/>
                <w:sz w:val="16"/>
                <w:szCs w:val="16"/>
                <w:lang w:val="ro-MD" w:eastAsia="en-GB"/>
              </w:rPr>
            </w:pPr>
          </w:p>
        </w:tc>
        <w:tc>
          <w:tcPr>
            <w:tcW w:w="1160" w:type="dxa"/>
            <w:tcBorders>
              <w:top w:val="nil"/>
              <w:left w:val="nil"/>
              <w:bottom w:val="single" w:sz="4" w:space="0" w:color="auto"/>
              <w:right w:val="nil"/>
            </w:tcBorders>
            <w:shd w:val="clear" w:color="auto" w:fill="auto"/>
            <w:noWrap/>
            <w:vAlign w:val="bottom"/>
            <w:hideMark/>
          </w:tcPr>
          <w:p w14:paraId="44C565C2" w14:textId="77777777" w:rsidR="008E0CFC" w:rsidRPr="00647201" w:rsidRDefault="008E0CFC" w:rsidP="00647201">
            <w:pPr>
              <w:spacing w:after="0" w:line="240" w:lineRule="auto"/>
              <w:jc w:val="right"/>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ISCED 0-2</w:t>
            </w:r>
          </w:p>
        </w:tc>
        <w:tc>
          <w:tcPr>
            <w:tcW w:w="1180" w:type="dxa"/>
            <w:gridSpan w:val="2"/>
            <w:tcBorders>
              <w:top w:val="nil"/>
              <w:left w:val="nil"/>
              <w:bottom w:val="single" w:sz="4" w:space="0" w:color="auto"/>
              <w:right w:val="nil"/>
            </w:tcBorders>
            <w:shd w:val="clear" w:color="auto" w:fill="auto"/>
            <w:noWrap/>
            <w:vAlign w:val="bottom"/>
            <w:hideMark/>
          </w:tcPr>
          <w:p w14:paraId="63DD8B42" w14:textId="77777777" w:rsidR="008E0CFC" w:rsidRPr="00647201" w:rsidRDefault="008E0CFC" w:rsidP="00647201">
            <w:pPr>
              <w:spacing w:after="0" w:line="240" w:lineRule="auto"/>
              <w:jc w:val="right"/>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ISCED 3-4</w:t>
            </w:r>
          </w:p>
        </w:tc>
        <w:tc>
          <w:tcPr>
            <w:tcW w:w="1133" w:type="dxa"/>
            <w:gridSpan w:val="2"/>
            <w:tcBorders>
              <w:top w:val="nil"/>
              <w:left w:val="nil"/>
              <w:bottom w:val="single" w:sz="4" w:space="0" w:color="auto"/>
              <w:right w:val="nil"/>
            </w:tcBorders>
            <w:shd w:val="clear" w:color="auto" w:fill="auto"/>
            <w:noWrap/>
            <w:vAlign w:val="bottom"/>
            <w:hideMark/>
          </w:tcPr>
          <w:p w14:paraId="45343D44" w14:textId="77777777" w:rsidR="008E0CFC" w:rsidRPr="00647201" w:rsidRDefault="008E0CFC" w:rsidP="00647201">
            <w:pPr>
              <w:spacing w:after="0" w:line="240" w:lineRule="auto"/>
              <w:jc w:val="right"/>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ISCED 5-8</w:t>
            </w:r>
          </w:p>
        </w:tc>
      </w:tr>
      <w:tr w:rsidR="00803A6E" w:rsidRPr="00647201" w14:paraId="1B3A9477"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47541551" w14:textId="1BA32801" w:rsidR="00803A6E" w:rsidRPr="00647201" w:rsidRDefault="00B014C8"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Legislatori, membri ai executivului și alți demnitari</w:t>
            </w:r>
          </w:p>
        </w:tc>
        <w:tc>
          <w:tcPr>
            <w:tcW w:w="1160" w:type="dxa"/>
            <w:tcBorders>
              <w:top w:val="nil"/>
              <w:left w:val="nil"/>
              <w:bottom w:val="nil"/>
              <w:right w:val="nil"/>
            </w:tcBorders>
            <w:shd w:val="clear" w:color="auto" w:fill="B4C6E7" w:themeFill="accent1" w:themeFillTint="66"/>
            <w:noWrap/>
            <w:vAlign w:val="bottom"/>
            <w:hideMark/>
          </w:tcPr>
          <w:p w14:paraId="7FC294E6"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0.4</w:t>
            </w:r>
          </w:p>
        </w:tc>
        <w:tc>
          <w:tcPr>
            <w:tcW w:w="1062" w:type="dxa"/>
            <w:tcBorders>
              <w:top w:val="nil"/>
              <w:left w:val="nil"/>
              <w:bottom w:val="nil"/>
              <w:right w:val="nil"/>
            </w:tcBorders>
            <w:shd w:val="clear" w:color="auto" w:fill="B4C6E7" w:themeFill="accent1" w:themeFillTint="66"/>
            <w:noWrap/>
            <w:vAlign w:val="bottom"/>
            <w:hideMark/>
          </w:tcPr>
          <w:p w14:paraId="66D726ED"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13.7</w:t>
            </w:r>
          </w:p>
        </w:tc>
        <w:tc>
          <w:tcPr>
            <w:tcW w:w="1062" w:type="dxa"/>
            <w:gridSpan w:val="2"/>
            <w:tcBorders>
              <w:top w:val="nil"/>
              <w:left w:val="nil"/>
              <w:bottom w:val="nil"/>
              <w:right w:val="nil"/>
            </w:tcBorders>
            <w:shd w:val="clear" w:color="auto" w:fill="auto"/>
            <w:noWrap/>
            <w:vAlign w:val="bottom"/>
            <w:hideMark/>
          </w:tcPr>
          <w:p w14:paraId="66FD372D"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45.9</w:t>
            </w:r>
          </w:p>
        </w:tc>
      </w:tr>
      <w:tr w:rsidR="00803A6E" w:rsidRPr="00647201" w14:paraId="2017E9DB"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315E47E9" w14:textId="5C48C2D8" w:rsidR="00803A6E" w:rsidRPr="00647201" w:rsidRDefault="00B014C8"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Specialiști în diverse domenii de activitate</w:t>
            </w:r>
          </w:p>
        </w:tc>
        <w:tc>
          <w:tcPr>
            <w:tcW w:w="1160" w:type="dxa"/>
            <w:tcBorders>
              <w:top w:val="nil"/>
              <w:left w:val="nil"/>
              <w:bottom w:val="nil"/>
              <w:right w:val="nil"/>
            </w:tcBorders>
            <w:shd w:val="clear" w:color="auto" w:fill="B4C6E7" w:themeFill="accent1" w:themeFillTint="66"/>
            <w:noWrap/>
            <w:vAlign w:val="bottom"/>
            <w:hideMark/>
          </w:tcPr>
          <w:p w14:paraId="08F995B5"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0.4</w:t>
            </w:r>
          </w:p>
        </w:tc>
        <w:tc>
          <w:tcPr>
            <w:tcW w:w="1062" w:type="dxa"/>
            <w:tcBorders>
              <w:top w:val="nil"/>
              <w:left w:val="nil"/>
              <w:bottom w:val="nil"/>
              <w:right w:val="nil"/>
            </w:tcBorders>
            <w:shd w:val="clear" w:color="auto" w:fill="B4C6E7" w:themeFill="accent1" w:themeFillTint="66"/>
            <w:noWrap/>
            <w:vAlign w:val="bottom"/>
            <w:hideMark/>
          </w:tcPr>
          <w:p w14:paraId="69F0EEFC"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17.7</w:t>
            </w:r>
          </w:p>
        </w:tc>
        <w:tc>
          <w:tcPr>
            <w:tcW w:w="1062" w:type="dxa"/>
            <w:gridSpan w:val="2"/>
            <w:tcBorders>
              <w:top w:val="nil"/>
              <w:left w:val="nil"/>
              <w:bottom w:val="nil"/>
              <w:right w:val="nil"/>
            </w:tcBorders>
            <w:shd w:val="clear" w:color="auto" w:fill="auto"/>
            <w:noWrap/>
            <w:vAlign w:val="bottom"/>
            <w:hideMark/>
          </w:tcPr>
          <w:p w14:paraId="5B0D1628"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127.6</w:t>
            </w:r>
          </w:p>
        </w:tc>
      </w:tr>
      <w:tr w:rsidR="00803A6E" w:rsidRPr="00647201" w14:paraId="704922A0"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50732A8F" w14:textId="40405D47" w:rsidR="00803A6E" w:rsidRPr="00647201" w:rsidRDefault="00B014C8"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Tehnicieni și alți specialiști cu nivel mediu de calificare</w:t>
            </w:r>
          </w:p>
        </w:tc>
        <w:tc>
          <w:tcPr>
            <w:tcW w:w="1160" w:type="dxa"/>
            <w:tcBorders>
              <w:top w:val="nil"/>
              <w:left w:val="nil"/>
              <w:bottom w:val="nil"/>
              <w:right w:val="nil"/>
            </w:tcBorders>
            <w:shd w:val="clear" w:color="auto" w:fill="B4C6E7" w:themeFill="accent1" w:themeFillTint="66"/>
            <w:noWrap/>
            <w:vAlign w:val="bottom"/>
            <w:hideMark/>
          </w:tcPr>
          <w:p w14:paraId="6D348C09"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0.4</w:t>
            </w:r>
          </w:p>
        </w:tc>
        <w:tc>
          <w:tcPr>
            <w:tcW w:w="1062" w:type="dxa"/>
            <w:tcBorders>
              <w:top w:val="nil"/>
              <w:left w:val="nil"/>
              <w:bottom w:val="nil"/>
              <w:right w:val="nil"/>
            </w:tcBorders>
            <w:shd w:val="clear" w:color="auto" w:fill="B4C6E7" w:themeFill="accent1" w:themeFillTint="66"/>
            <w:noWrap/>
            <w:vAlign w:val="bottom"/>
            <w:hideMark/>
          </w:tcPr>
          <w:p w14:paraId="13ED182E"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37.5</w:t>
            </w:r>
          </w:p>
        </w:tc>
        <w:tc>
          <w:tcPr>
            <w:tcW w:w="1062" w:type="dxa"/>
            <w:gridSpan w:val="2"/>
            <w:tcBorders>
              <w:top w:val="nil"/>
              <w:left w:val="nil"/>
              <w:bottom w:val="nil"/>
              <w:right w:val="nil"/>
            </w:tcBorders>
            <w:shd w:val="clear" w:color="auto" w:fill="auto"/>
            <w:noWrap/>
            <w:vAlign w:val="bottom"/>
            <w:hideMark/>
          </w:tcPr>
          <w:p w14:paraId="09C54733"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15.9</w:t>
            </w:r>
          </w:p>
        </w:tc>
      </w:tr>
      <w:tr w:rsidR="00803A6E" w:rsidRPr="00647201" w14:paraId="2BC11A9B"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40C24FAF" w14:textId="0F07203F" w:rsidR="00803A6E" w:rsidRPr="00647201" w:rsidRDefault="00803A6E"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Funcționari administrativi</w:t>
            </w:r>
          </w:p>
        </w:tc>
        <w:tc>
          <w:tcPr>
            <w:tcW w:w="1160" w:type="dxa"/>
            <w:tcBorders>
              <w:top w:val="nil"/>
              <w:left w:val="nil"/>
              <w:bottom w:val="nil"/>
              <w:right w:val="nil"/>
            </w:tcBorders>
            <w:shd w:val="clear" w:color="auto" w:fill="B4C6E7" w:themeFill="accent1" w:themeFillTint="66"/>
            <w:noWrap/>
            <w:vAlign w:val="bottom"/>
            <w:hideMark/>
          </w:tcPr>
          <w:p w14:paraId="7977B447"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2.2</w:t>
            </w:r>
          </w:p>
        </w:tc>
        <w:tc>
          <w:tcPr>
            <w:tcW w:w="1062" w:type="dxa"/>
            <w:tcBorders>
              <w:top w:val="nil"/>
              <w:left w:val="nil"/>
              <w:bottom w:val="nil"/>
              <w:right w:val="nil"/>
            </w:tcBorders>
            <w:shd w:val="clear" w:color="auto" w:fill="auto"/>
            <w:noWrap/>
            <w:vAlign w:val="bottom"/>
            <w:hideMark/>
          </w:tcPr>
          <w:p w14:paraId="004C017B" w14:textId="06598F99"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14.0</w:t>
            </w:r>
          </w:p>
        </w:tc>
        <w:tc>
          <w:tcPr>
            <w:tcW w:w="1062" w:type="dxa"/>
            <w:gridSpan w:val="2"/>
            <w:tcBorders>
              <w:top w:val="nil"/>
              <w:left w:val="nil"/>
              <w:bottom w:val="nil"/>
              <w:right w:val="nil"/>
            </w:tcBorders>
            <w:shd w:val="clear" w:color="000000" w:fill="E7E6E6"/>
            <w:noWrap/>
            <w:vAlign w:val="bottom"/>
            <w:hideMark/>
          </w:tcPr>
          <w:p w14:paraId="7EE17E8E"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9.4</w:t>
            </w:r>
          </w:p>
        </w:tc>
      </w:tr>
      <w:tr w:rsidR="00803A6E" w:rsidRPr="00647201" w14:paraId="237248DD"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2A266854" w14:textId="0E9E9F74" w:rsidR="00803A6E" w:rsidRPr="00647201" w:rsidRDefault="00B014C8"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Lucrători din domeniul serviciilor și comerț</w:t>
            </w:r>
            <w:r w:rsidR="00B86036" w:rsidRPr="00647201">
              <w:rPr>
                <w:rFonts w:ascii="Times New Roman" w:eastAsia="Times New Roman" w:hAnsi="Times New Roman" w:cs="Times New Roman"/>
                <w:bCs/>
                <w:color w:val="000000"/>
                <w:sz w:val="20"/>
                <w:szCs w:val="20"/>
                <w:lang w:val="ro-MD" w:eastAsia="en-GB"/>
              </w:rPr>
              <w:t>ului</w:t>
            </w:r>
          </w:p>
        </w:tc>
        <w:tc>
          <w:tcPr>
            <w:tcW w:w="1160" w:type="dxa"/>
            <w:tcBorders>
              <w:top w:val="nil"/>
              <w:left w:val="nil"/>
              <w:bottom w:val="nil"/>
              <w:right w:val="nil"/>
            </w:tcBorders>
            <w:shd w:val="clear" w:color="auto" w:fill="B4C6E7" w:themeFill="accent1" w:themeFillTint="66"/>
            <w:noWrap/>
            <w:vAlign w:val="bottom"/>
            <w:hideMark/>
          </w:tcPr>
          <w:p w14:paraId="1E7D24F3"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15.5</w:t>
            </w:r>
          </w:p>
        </w:tc>
        <w:tc>
          <w:tcPr>
            <w:tcW w:w="1062" w:type="dxa"/>
            <w:tcBorders>
              <w:top w:val="nil"/>
              <w:left w:val="nil"/>
              <w:bottom w:val="nil"/>
              <w:right w:val="nil"/>
            </w:tcBorders>
            <w:shd w:val="clear" w:color="auto" w:fill="auto"/>
            <w:noWrap/>
            <w:vAlign w:val="bottom"/>
            <w:hideMark/>
          </w:tcPr>
          <w:p w14:paraId="41FF4E3A"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83.3</w:t>
            </w:r>
          </w:p>
        </w:tc>
        <w:tc>
          <w:tcPr>
            <w:tcW w:w="1062" w:type="dxa"/>
            <w:gridSpan w:val="2"/>
            <w:tcBorders>
              <w:top w:val="nil"/>
              <w:left w:val="nil"/>
              <w:bottom w:val="nil"/>
              <w:right w:val="nil"/>
            </w:tcBorders>
            <w:shd w:val="clear" w:color="000000" w:fill="E7E6E6"/>
            <w:noWrap/>
            <w:vAlign w:val="bottom"/>
            <w:hideMark/>
          </w:tcPr>
          <w:p w14:paraId="7A68D9A3"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16.7</w:t>
            </w:r>
          </w:p>
        </w:tc>
      </w:tr>
      <w:tr w:rsidR="00803A6E" w:rsidRPr="00647201" w14:paraId="3F9F5763"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7262097E" w14:textId="264D25EC" w:rsidR="00803A6E" w:rsidRPr="00647201" w:rsidRDefault="00B014C8"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Lucrători calificați în agricultură, silvicultură și pescuit</w:t>
            </w:r>
          </w:p>
        </w:tc>
        <w:tc>
          <w:tcPr>
            <w:tcW w:w="1160" w:type="dxa"/>
            <w:tcBorders>
              <w:top w:val="nil"/>
              <w:left w:val="nil"/>
              <w:bottom w:val="nil"/>
              <w:right w:val="nil"/>
            </w:tcBorders>
            <w:shd w:val="clear" w:color="auto" w:fill="B4C6E7" w:themeFill="accent1" w:themeFillTint="66"/>
            <w:noWrap/>
            <w:vAlign w:val="bottom"/>
            <w:hideMark/>
          </w:tcPr>
          <w:p w14:paraId="3613245B" w14:textId="0F51980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40.0</w:t>
            </w:r>
          </w:p>
        </w:tc>
        <w:tc>
          <w:tcPr>
            <w:tcW w:w="1062" w:type="dxa"/>
            <w:tcBorders>
              <w:top w:val="nil"/>
              <w:left w:val="nil"/>
              <w:bottom w:val="nil"/>
              <w:right w:val="nil"/>
            </w:tcBorders>
            <w:shd w:val="clear" w:color="auto" w:fill="auto"/>
            <w:noWrap/>
            <w:vAlign w:val="bottom"/>
            <w:hideMark/>
          </w:tcPr>
          <w:p w14:paraId="17667B05"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69.9</w:t>
            </w:r>
          </w:p>
        </w:tc>
        <w:tc>
          <w:tcPr>
            <w:tcW w:w="1062" w:type="dxa"/>
            <w:gridSpan w:val="2"/>
            <w:tcBorders>
              <w:top w:val="nil"/>
              <w:left w:val="nil"/>
              <w:bottom w:val="nil"/>
              <w:right w:val="nil"/>
            </w:tcBorders>
            <w:shd w:val="clear" w:color="000000" w:fill="E7E6E6"/>
            <w:noWrap/>
            <w:vAlign w:val="bottom"/>
            <w:hideMark/>
          </w:tcPr>
          <w:p w14:paraId="518A3EFD"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4.8</w:t>
            </w:r>
          </w:p>
        </w:tc>
      </w:tr>
      <w:tr w:rsidR="00803A6E" w:rsidRPr="00647201" w14:paraId="172FCCBB"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5EE844E2" w14:textId="28D7785B" w:rsidR="00803A6E" w:rsidRPr="00647201" w:rsidRDefault="00B014C8"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Muncitori calificați și asimilați</w:t>
            </w:r>
          </w:p>
        </w:tc>
        <w:tc>
          <w:tcPr>
            <w:tcW w:w="1160" w:type="dxa"/>
            <w:tcBorders>
              <w:top w:val="nil"/>
              <w:left w:val="nil"/>
              <w:bottom w:val="nil"/>
              <w:right w:val="nil"/>
            </w:tcBorders>
            <w:shd w:val="clear" w:color="auto" w:fill="B4C6E7" w:themeFill="accent1" w:themeFillTint="66"/>
            <w:noWrap/>
            <w:vAlign w:val="bottom"/>
            <w:hideMark/>
          </w:tcPr>
          <w:p w14:paraId="0FA77CBA"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26.3</w:t>
            </w:r>
          </w:p>
        </w:tc>
        <w:tc>
          <w:tcPr>
            <w:tcW w:w="1062" w:type="dxa"/>
            <w:tcBorders>
              <w:top w:val="nil"/>
              <w:left w:val="nil"/>
              <w:bottom w:val="nil"/>
              <w:right w:val="nil"/>
            </w:tcBorders>
            <w:shd w:val="clear" w:color="auto" w:fill="auto"/>
            <w:noWrap/>
            <w:vAlign w:val="bottom"/>
            <w:hideMark/>
          </w:tcPr>
          <w:p w14:paraId="2768B141"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92.6</w:t>
            </w:r>
          </w:p>
        </w:tc>
        <w:tc>
          <w:tcPr>
            <w:tcW w:w="1062" w:type="dxa"/>
            <w:gridSpan w:val="2"/>
            <w:tcBorders>
              <w:top w:val="nil"/>
              <w:left w:val="nil"/>
              <w:bottom w:val="nil"/>
              <w:right w:val="nil"/>
            </w:tcBorders>
            <w:shd w:val="clear" w:color="000000" w:fill="E7E6E6"/>
            <w:noWrap/>
            <w:vAlign w:val="bottom"/>
            <w:hideMark/>
          </w:tcPr>
          <w:p w14:paraId="7664E19A"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6.8</w:t>
            </w:r>
          </w:p>
        </w:tc>
      </w:tr>
      <w:tr w:rsidR="00803A6E" w:rsidRPr="00647201" w14:paraId="107B11B5"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1FCDD81C" w14:textId="32D7F4B2" w:rsidR="00803A6E" w:rsidRPr="00647201" w:rsidRDefault="00803A6E"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Alte ocupații</w:t>
            </w:r>
          </w:p>
        </w:tc>
        <w:tc>
          <w:tcPr>
            <w:tcW w:w="1160" w:type="dxa"/>
            <w:tcBorders>
              <w:top w:val="nil"/>
              <w:left w:val="nil"/>
              <w:bottom w:val="nil"/>
              <w:right w:val="nil"/>
            </w:tcBorders>
            <w:shd w:val="clear" w:color="auto" w:fill="B4C6E7" w:themeFill="accent1" w:themeFillTint="66"/>
            <w:noWrap/>
            <w:vAlign w:val="bottom"/>
            <w:hideMark/>
          </w:tcPr>
          <w:p w14:paraId="36E86A29"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58.9</w:t>
            </w:r>
          </w:p>
        </w:tc>
        <w:tc>
          <w:tcPr>
            <w:tcW w:w="1062" w:type="dxa"/>
            <w:tcBorders>
              <w:top w:val="nil"/>
              <w:left w:val="nil"/>
              <w:bottom w:val="nil"/>
              <w:right w:val="nil"/>
            </w:tcBorders>
            <w:shd w:val="clear" w:color="auto" w:fill="auto"/>
            <w:noWrap/>
            <w:vAlign w:val="bottom"/>
            <w:hideMark/>
          </w:tcPr>
          <w:p w14:paraId="0D3D8562"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125.3</w:t>
            </w:r>
          </w:p>
        </w:tc>
        <w:tc>
          <w:tcPr>
            <w:tcW w:w="1062" w:type="dxa"/>
            <w:gridSpan w:val="2"/>
            <w:tcBorders>
              <w:top w:val="nil"/>
              <w:left w:val="nil"/>
              <w:bottom w:val="nil"/>
              <w:right w:val="nil"/>
            </w:tcBorders>
            <w:shd w:val="clear" w:color="000000" w:fill="E7E6E6"/>
            <w:noWrap/>
            <w:vAlign w:val="bottom"/>
            <w:hideMark/>
          </w:tcPr>
          <w:p w14:paraId="0C32B5F4" w14:textId="7ADE97E9"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9.0</w:t>
            </w:r>
          </w:p>
        </w:tc>
      </w:tr>
      <w:tr w:rsidR="00803A6E" w:rsidRPr="00647201" w14:paraId="1281A210" w14:textId="77777777" w:rsidTr="00647201">
        <w:trPr>
          <w:gridAfter w:val="1"/>
          <w:wAfter w:w="189" w:type="dxa"/>
          <w:trHeight w:val="253"/>
          <w:jc w:val="center"/>
        </w:trPr>
        <w:tc>
          <w:tcPr>
            <w:tcW w:w="4119" w:type="dxa"/>
            <w:tcBorders>
              <w:top w:val="nil"/>
              <w:left w:val="nil"/>
              <w:bottom w:val="nil"/>
              <w:right w:val="nil"/>
            </w:tcBorders>
            <w:shd w:val="clear" w:color="auto" w:fill="auto"/>
            <w:noWrap/>
            <w:vAlign w:val="bottom"/>
            <w:hideMark/>
          </w:tcPr>
          <w:p w14:paraId="5C630BD8" w14:textId="21CD8867" w:rsidR="00803A6E" w:rsidRPr="00647201" w:rsidRDefault="00B014C8" w:rsidP="00803A6E">
            <w:pPr>
              <w:spacing w:after="0" w:line="240" w:lineRule="auto"/>
              <w:rPr>
                <w:rFonts w:ascii="Times New Roman" w:eastAsia="Times New Roman" w:hAnsi="Times New Roman" w:cs="Times New Roman"/>
                <w:bCs/>
                <w:color w:val="000000"/>
                <w:sz w:val="20"/>
                <w:szCs w:val="20"/>
                <w:lang w:val="ro-MD" w:eastAsia="en-GB"/>
              </w:rPr>
            </w:pPr>
            <w:r w:rsidRPr="00647201">
              <w:rPr>
                <w:rFonts w:ascii="Times New Roman" w:eastAsia="Times New Roman" w:hAnsi="Times New Roman" w:cs="Times New Roman"/>
                <w:bCs/>
                <w:color w:val="000000"/>
                <w:sz w:val="20"/>
                <w:szCs w:val="20"/>
                <w:lang w:val="ro-MD" w:eastAsia="en-GB"/>
              </w:rPr>
              <w:t>Muncitori necalificați</w:t>
            </w:r>
          </w:p>
        </w:tc>
        <w:tc>
          <w:tcPr>
            <w:tcW w:w="1160" w:type="dxa"/>
            <w:tcBorders>
              <w:top w:val="nil"/>
              <w:left w:val="nil"/>
              <w:bottom w:val="nil"/>
              <w:right w:val="nil"/>
            </w:tcBorders>
            <w:shd w:val="clear" w:color="000000" w:fill="FFFFFF"/>
            <w:noWrap/>
            <w:vAlign w:val="bottom"/>
            <w:hideMark/>
          </w:tcPr>
          <w:p w14:paraId="5ECA350F"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48.3</w:t>
            </w:r>
          </w:p>
        </w:tc>
        <w:tc>
          <w:tcPr>
            <w:tcW w:w="1062" w:type="dxa"/>
            <w:tcBorders>
              <w:top w:val="nil"/>
              <w:left w:val="nil"/>
              <w:bottom w:val="nil"/>
              <w:right w:val="nil"/>
            </w:tcBorders>
            <w:shd w:val="clear" w:color="000000" w:fill="E7E6E6"/>
            <w:noWrap/>
            <w:vAlign w:val="bottom"/>
            <w:hideMark/>
          </w:tcPr>
          <w:p w14:paraId="0E626741" w14:textId="77777777"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66.5</w:t>
            </w:r>
          </w:p>
        </w:tc>
        <w:tc>
          <w:tcPr>
            <w:tcW w:w="1062" w:type="dxa"/>
            <w:gridSpan w:val="2"/>
            <w:tcBorders>
              <w:top w:val="nil"/>
              <w:left w:val="nil"/>
              <w:bottom w:val="nil"/>
              <w:right w:val="nil"/>
            </w:tcBorders>
            <w:shd w:val="clear" w:color="000000" w:fill="E7E6E6"/>
            <w:noWrap/>
            <w:vAlign w:val="bottom"/>
            <w:hideMark/>
          </w:tcPr>
          <w:p w14:paraId="701FE42E" w14:textId="0FD5E47A" w:rsidR="00803A6E" w:rsidRPr="00647201" w:rsidRDefault="00803A6E" w:rsidP="00647201">
            <w:pPr>
              <w:spacing w:after="0" w:line="240" w:lineRule="auto"/>
              <w:jc w:val="right"/>
              <w:rPr>
                <w:rFonts w:ascii="Times New Roman" w:eastAsia="Times New Roman" w:hAnsi="Times New Roman" w:cs="Times New Roman"/>
                <w:color w:val="000000"/>
                <w:sz w:val="20"/>
                <w:szCs w:val="20"/>
                <w:lang w:val="ro-MD" w:eastAsia="en-GB"/>
              </w:rPr>
            </w:pPr>
            <w:r w:rsidRPr="00647201">
              <w:rPr>
                <w:rFonts w:ascii="Times New Roman" w:eastAsia="Times New Roman" w:hAnsi="Times New Roman" w:cs="Times New Roman"/>
                <w:color w:val="000000"/>
                <w:sz w:val="20"/>
                <w:szCs w:val="20"/>
                <w:lang w:val="ro-MD" w:eastAsia="en-GB"/>
              </w:rPr>
              <w:t>3.0</w:t>
            </w:r>
          </w:p>
        </w:tc>
      </w:tr>
    </w:tbl>
    <w:p w14:paraId="140140FD" w14:textId="0D331B09" w:rsidR="008E0CFC" w:rsidRPr="00110E2F" w:rsidRDefault="00647201" w:rsidP="00647201">
      <w:pPr>
        <w:ind w:left="720"/>
        <w:rPr>
          <w:rFonts w:ascii="Times New Roman" w:hAnsi="Times New Roman" w:cs="Times New Roman"/>
          <w:iCs/>
          <w:sz w:val="24"/>
          <w:szCs w:val="24"/>
          <w:lang w:val="ro-MD"/>
        </w:rPr>
      </w:pPr>
      <w:r>
        <w:rPr>
          <w:rFonts w:ascii="Times New Roman" w:eastAsia="Times New Roman" w:hAnsi="Times New Roman" w:cs="Times New Roman"/>
          <w:i/>
          <w:color w:val="000000"/>
          <w:sz w:val="18"/>
          <w:szCs w:val="18"/>
          <w:lang w:val="ro-MD"/>
        </w:rPr>
        <w:t xml:space="preserve"> </w:t>
      </w:r>
      <w:r w:rsidR="00803A6E" w:rsidRPr="003836D9">
        <w:rPr>
          <w:rFonts w:ascii="Times New Roman" w:eastAsia="Times New Roman" w:hAnsi="Times New Roman" w:cs="Times New Roman"/>
          <w:i/>
          <w:color w:val="000000"/>
          <w:sz w:val="18"/>
          <w:szCs w:val="18"/>
          <w:lang w:val="ro-MD"/>
        </w:rPr>
        <w:t xml:space="preserve">Sursa: </w:t>
      </w:r>
      <w:r w:rsidR="00803A6E" w:rsidRPr="003836D9">
        <w:rPr>
          <w:rFonts w:ascii="Times New Roman" w:eastAsia="Times New Roman" w:hAnsi="Times New Roman" w:cs="Times New Roman"/>
          <w:iCs/>
          <w:color w:val="000000"/>
          <w:sz w:val="18"/>
          <w:szCs w:val="18"/>
          <w:lang w:val="ro-MD"/>
        </w:rPr>
        <w:t>Elaborare în baza datelor B</w:t>
      </w:r>
      <w:r w:rsidR="00436687">
        <w:rPr>
          <w:rFonts w:ascii="Times New Roman" w:eastAsia="Times New Roman" w:hAnsi="Times New Roman" w:cs="Times New Roman"/>
          <w:iCs/>
          <w:color w:val="000000"/>
          <w:sz w:val="18"/>
          <w:szCs w:val="18"/>
          <w:lang w:val="ro-MD"/>
        </w:rPr>
        <w:t>iroului Național de Statistică</w:t>
      </w:r>
      <w:r w:rsidR="00803A6E" w:rsidRPr="003836D9">
        <w:rPr>
          <w:rFonts w:ascii="Times New Roman" w:eastAsia="Times New Roman" w:hAnsi="Times New Roman" w:cs="Times New Roman"/>
          <w:iCs/>
          <w:color w:val="000000"/>
          <w:sz w:val="18"/>
          <w:szCs w:val="18"/>
          <w:lang w:val="ro-MD"/>
        </w:rPr>
        <w:t xml:space="preserve"> ale Anchetei Forței de Muncă</w:t>
      </w:r>
      <w:r w:rsidR="00110E2F">
        <w:rPr>
          <w:rFonts w:ascii="Times New Roman" w:eastAsia="Times New Roman" w:hAnsi="Times New Roman" w:cs="Times New Roman"/>
          <w:iCs/>
          <w:color w:val="000000"/>
          <w:sz w:val="18"/>
          <w:szCs w:val="18"/>
          <w:lang w:val="ro-MD"/>
        </w:rPr>
        <w:t>, pe niveluri ale   Clasificării Internaționale Standard a Educației (ISCED)</w:t>
      </w:r>
    </w:p>
    <w:p w14:paraId="65EC1056" w14:textId="24820D65" w:rsidR="00803A6E" w:rsidRPr="003836D9" w:rsidRDefault="00803A6E" w:rsidP="00792B87">
      <w:pPr>
        <w:spacing w:before="120" w:after="120"/>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Structura ocupării forței de muncă în Moldova s-a schimbat de-a lungul timpului. Ponderea salariaților în totalul angajării a scăzut în perioada 2014-2018, de la 6</w:t>
      </w:r>
      <w:r w:rsidR="004360FA" w:rsidRPr="003836D9">
        <w:rPr>
          <w:rFonts w:ascii="Times New Roman" w:eastAsia="Times New Roman" w:hAnsi="Times New Roman" w:cs="Times New Roman"/>
          <w:sz w:val="24"/>
          <w:szCs w:val="24"/>
          <w:lang w:val="ro-MD"/>
        </w:rPr>
        <w:t>6</w:t>
      </w:r>
      <w:r w:rsidRPr="003836D9">
        <w:rPr>
          <w:rFonts w:ascii="Times New Roman" w:eastAsia="Times New Roman" w:hAnsi="Times New Roman" w:cs="Times New Roman"/>
          <w:sz w:val="24"/>
          <w:szCs w:val="24"/>
          <w:lang w:val="ro-MD"/>
        </w:rPr>
        <w:t>,</w:t>
      </w:r>
      <w:r w:rsidR="004360FA" w:rsidRPr="003836D9">
        <w:rPr>
          <w:rFonts w:ascii="Times New Roman" w:eastAsia="Times New Roman" w:hAnsi="Times New Roman" w:cs="Times New Roman"/>
          <w:sz w:val="24"/>
          <w:szCs w:val="24"/>
          <w:lang w:val="ro-MD"/>
        </w:rPr>
        <w:t>3</w:t>
      </w:r>
      <w:r w:rsidRPr="003836D9">
        <w:rPr>
          <w:rFonts w:ascii="Times New Roman" w:eastAsia="Times New Roman" w:hAnsi="Times New Roman" w:cs="Times New Roman"/>
          <w:sz w:val="24"/>
          <w:szCs w:val="24"/>
          <w:lang w:val="ro-MD"/>
        </w:rPr>
        <w:t xml:space="preserve"> procente la 59,6 procente, în timp ce ponderea lucrătorilor pe cont propriu a crescut progresiv (la peste 35 </w:t>
      </w:r>
      <w:r w:rsidR="00A87096" w:rsidRPr="003836D9">
        <w:rPr>
          <w:rFonts w:ascii="Times New Roman" w:eastAsia="Times New Roman" w:hAnsi="Times New Roman" w:cs="Times New Roman"/>
          <w:sz w:val="24"/>
          <w:szCs w:val="24"/>
          <w:lang w:val="ro-MD"/>
        </w:rPr>
        <w:t>procente</w:t>
      </w:r>
      <w:r w:rsidRPr="003836D9">
        <w:rPr>
          <w:rFonts w:ascii="Times New Roman" w:eastAsia="Times New Roman" w:hAnsi="Times New Roman" w:cs="Times New Roman"/>
          <w:sz w:val="24"/>
          <w:szCs w:val="24"/>
          <w:lang w:val="ro-MD"/>
        </w:rPr>
        <w:t xml:space="preserve"> în 2018). Cifrele anului 2020 arată că angajații salariați au reprezentat 78,1 procente, în timp ce ponderea lucrătorilor pe cont propriu a fost de 17,2 procente, fără modificări majore față de 2019 (Tabelul 4). Ponderea locurilor de muncă vulnerabile în 2020 (suma lucrătorilor </w:t>
      </w:r>
      <w:r w:rsidR="00364D77" w:rsidRPr="003836D9">
        <w:rPr>
          <w:rFonts w:ascii="Times New Roman" w:eastAsia="Times New Roman" w:hAnsi="Times New Roman" w:cs="Times New Roman"/>
          <w:sz w:val="24"/>
          <w:szCs w:val="24"/>
          <w:lang w:val="ro-MD"/>
        </w:rPr>
        <w:t>di</w:t>
      </w:r>
      <w:r w:rsidRPr="003836D9">
        <w:rPr>
          <w:rFonts w:ascii="Times New Roman" w:eastAsia="Times New Roman" w:hAnsi="Times New Roman" w:cs="Times New Roman"/>
          <w:sz w:val="24"/>
          <w:szCs w:val="24"/>
          <w:lang w:val="ro-MD"/>
        </w:rPr>
        <w:t xml:space="preserve">n cont propriu și a </w:t>
      </w:r>
      <w:r w:rsidR="00A87096" w:rsidRPr="003836D9">
        <w:rPr>
          <w:rFonts w:ascii="Times New Roman" w:eastAsia="Times New Roman" w:hAnsi="Times New Roman" w:cs="Times New Roman"/>
          <w:sz w:val="24"/>
          <w:szCs w:val="24"/>
          <w:lang w:val="ro-MD"/>
        </w:rPr>
        <w:t xml:space="preserve">lucrătorilor </w:t>
      </w:r>
      <w:r w:rsidRPr="003836D9">
        <w:rPr>
          <w:rFonts w:ascii="Times New Roman" w:eastAsia="Times New Roman" w:hAnsi="Times New Roman" w:cs="Times New Roman"/>
          <w:sz w:val="24"/>
          <w:szCs w:val="24"/>
          <w:lang w:val="ro-MD"/>
        </w:rPr>
        <w:t>famili</w:t>
      </w:r>
      <w:r w:rsidR="00A87096" w:rsidRPr="003836D9">
        <w:rPr>
          <w:rFonts w:ascii="Times New Roman" w:eastAsia="Times New Roman" w:hAnsi="Times New Roman" w:cs="Times New Roman"/>
          <w:sz w:val="24"/>
          <w:szCs w:val="24"/>
          <w:lang w:val="ro-MD"/>
        </w:rPr>
        <w:t>ali</w:t>
      </w:r>
      <w:r w:rsidRPr="003836D9">
        <w:rPr>
          <w:rFonts w:ascii="Times New Roman" w:eastAsia="Times New Roman" w:hAnsi="Times New Roman" w:cs="Times New Roman"/>
          <w:sz w:val="24"/>
          <w:szCs w:val="24"/>
          <w:lang w:val="ro-MD"/>
        </w:rPr>
        <w:t xml:space="preserve"> </w:t>
      </w:r>
      <w:r w:rsidR="00F21E86" w:rsidRPr="003836D9">
        <w:rPr>
          <w:rFonts w:ascii="Times New Roman" w:eastAsia="Times New Roman" w:hAnsi="Times New Roman" w:cs="Times New Roman"/>
          <w:sz w:val="24"/>
          <w:szCs w:val="24"/>
          <w:lang w:val="ro-MD"/>
        </w:rPr>
        <w:t xml:space="preserve">neremunerați </w:t>
      </w:r>
      <w:r w:rsidRPr="003836D9">
        <w:rPr>
          <w:rFonts w:ascii="Times New Roman" w:eastAsia="Times New Roman" w:hAnsi="Times New Roman" w:cs="Times New Roman"/>
          <w:sz w:val="24"/>
          <w:szCs w:val="24"/>
          <w:lang w:val="ro-MD"/>
        </w:rPr>
        <w:t xml:space="preserve">raportat la </w:t>
      </w:r>
      <w:r w:rsidR="00A87096" w:rsidRPr="003836D9">
        <w:rPr>
          <w:rFonts w:ascii="Times New Roman" w:eastAsia="Times New Roman" w:hAnsi="Times New Roman" w:cs="Times New Roman"/>
          <w:sz w:val="24"/>
          <w:szCs w:val="24"/>
          <w:lang w:val="ro-MD"/>
        </w:rPr>
        <w:t xml:space="preserve">numărul </w:t>
      </w:r>
      <w:r w:rsidRPr="003836D9">
        <w:rPr>
          <w:rFonts w:ascii="Times New Roman" w:eastAsia="Times New Roman" w:hAnsi="Times New Roman" w:cs="Times New Roman"/>
          <w:sz w:val="24"/>
          <w:szCs w:val="24"/>
          <w:lang w:val="ro-MD"/>
        </w:rPr>
        <w:t>to</w:t>
      </w:r>
      <w:r w:rsidR="00A87096" w:rsidRPr="003836D9">
        <w:rPr>
          <w:rFonts w:ascii="Times New Roman" w:eastAsia="Times New Roman" w:hAnsi="Times New Roman" w:cs="Times New Roman"/>
          <w:sz w:val="24"/>
          <w:szCs w:val="24"/>
          <w:lang w:val="ro-MD"/>
        </w:rPr>
        <w:t>tal de</w:t>
      </w:r>
      <w:r w:rsidRPr="003836D9">
        <w:rPr>
          <w:rFonts w:ascii="Times New Roman" w:eastAsia="Times New Roman" w:hAnsi="Times New Roman" w:cs="Times New Roman"/>
          <w:sz w:val="24"/>
          <w:szCs w:val="24"/>
          <w:lang w:val="ro-MD"/>
        </w:rPr>
        <w:t xml:space="preserve"> lucrători) a fost de 21,</w:t>
      </w:r>
      <w:r w:rsidR="004360FA" w:rsidRPr="003836D9">
        <w:rPr>
          <w:rFonts w:ascii="Times New Roman" w:eastAsia="Times New Roman" w:hAnsi="Times New Roman" w:cs="Times New Roman"/>
          <w:sz w:val="24"/>
          <w:szCs w:val="24"/>
          <w:lang w:val="ro-MD"/>
        </w:rPr>
        <w:t>5</w:t>
      </w:r>
      <w:r w:rsidRPr="003836D9">
        <w:rPr>
          <w:rFonts w:ascii="Times New Roman" w:eastAsia="Times New Roman" w:hAnsi="Times New Roman" w:cs="Times New Roman"/>
          <w:sz w:val="24"/>
          <w:szCs w:val="24"/>
          <w:lang w:val="ro-MD"/>
        </w:rPr>
        <w:t xml:space="preserve"> procente. Femeile sunt mai predispuse decât bărbații să </w:t>
      </w:r>
      <w:r w:rsidR="00495342" w:rsidRPr="003836D9">
        <w:rPr>
          <w:rFonts w:ascii="Times New Roman" w:eastAsia="Times New Roman" w:hAnsi="Times New Roman" w:cs="Times New Roman"/>
          <w:sz w:val="24"/>
          <w:szCs w:val="24"/>
          <w:lang w:val="ro-MD"/>
        </w:rPr>
        <w:t xml:space="preserve">aibă statut de salariat </w:t>
      </w:r>
      <w:r w:rsidRPr="003836D9">
        <w:rPr>
          <w:rFonts w:ascii="Times New Roman" w:eastAsia="Times New Roman" w:hAnsi="Times New Roman" w:cs="Times New Roman"/>
          <w:sz w:val="24"/>
          <w:szCs w:val="24"/>
          <w:lang w:val="ro-MD"/>
        </w:rPr>
        <w:t xml:space="preserve">(84,2 procente și, respectiv, 72,5 procente), în timp ce bărbații au șanse de trei ori mai mari decât femeile de a fi lucrători pe cont propriu. Tinerii (15-24 de ani) și femeile </w:t>
      </w:r>
      <w:r w:rsidR="00495342" w:rsidRPr="003836D9">
        <w:rPr>
          <w:rFonts w:ascii="Times New Roman" w:eastAsia="Times New Roman" w:hAnsi="Times New Roman" w:cs="Times New Roman"/>
          <w:sz w:val="24"/>
          <w:szCs w:val="24"/>
          <w:lang w:val="ro-MD"/>
        </w:rPr>
        <w:t xml:space="preserve">lucrători familiali </w:t>
      </w:r>
      <w:r w:rsidR="00F21E86" w:rsidRPr="003836D9">
        <w:rPr>
          <w:rFonts w:ascii="Times New Roman" w:eastAsia="Times New Roman" w:hAnsi="Times New Roman" w:cs="Times New Roman"/>
          <w:sz w:val="24"/>
          <w:szCs w:val="24"/>
          <w:lang w:val="ro-MD"/>
        </w:rPr>
        <w:t xml:space="preserve">neremunerați </w:t>
      </w:r>
      <w:r w:rsidRPr="003836D9">
        <w:rPr>
          <w:rFonts w:ascii="Times New Roman" w:eastAsia="Times New Roman" w:hAnsi="Times New Roman" w:cs="Times New Roman"/>
          <w:sz w:val="24"/>
          <w:szCs w:val="24"/>
          <w:lang w:val="ro-MD"/>
        </w:rPr>
        <w:t xml:space="preserve">reprezintă o pondere </w:t>
      </w:r>
      <w:r w:rsidR="00495342" w:rsidRPr="003836D9">
        <w:rPr>
          <w:rFonts w:ascii="Times New Roman" w:eastAsia="Times New Roman" w:hAnsi="Times New Roman" w:cs="Times New Roman"/>
          <w:sz w:val="24"/>
          <w:szCs w:val="24"/>
          <w:lang w:val="ro-MD"/>
        </w:rPr>
        <w:t xml:space="preserve">semnificativă </w:t>
      </w:r>
      <w:r w:rsidRPr="003836D9">
        <w:rPr>
          <w:rFonts w:ascii="Times New Roman" w:eastAsia="Times New Roman" w:hAnsi="Times New Roman" w:cs="Times New Roman"/>
          <w:sz w:val="24"/>
          <w:szCs w:val="24"/>
          <w:lang w:val="ro-MD"/>
        </w:rPr>
        <w:t>(</w:t>
      </w:r>
      <w:r w:rsidR="004360FA" w:rsidRPr="003836D9">
        <w:rPr>
          <w:rFonts w:ascii="Times New Roman" w:eastAsia="Times New Roman" w:hAnsi="Times New Roman" w:cs="Times New Roman"/>
          <w:sz w:val="24"/>
          <w:szCs w:val="24"/>
          <w:lang w:val="ro-MD"/>
        </w:rPr>
        <w:t>9</w:t>
      </w:r>
      <w:r w:rsidRPr="003836D9">
        <w:rPr>
          <w:rFonts w:ascii="Times New Roman" w:eastAsia="Times New Roman" w:hAnsi="Times New Roman" w:cs="Times New Roman"/>
          <w:sz w:val="24"/>
          <w:szCs w:val="24"/>
          <w:lang w:val="ro-MD"/>
        </w:rPr>
        <w:t xml:space="preserve">,6 procente și </w:t>
      </w:r>
      <w:r w:rsidR="004360FA" w:rsidRPr="003836D9">
        <w:rPr>
          <w:rFonts w:ascii="Times New Roman" w:eastAsia="Times New Roman" w:hAnsi="Times New Roman" w:cs="Times New Roman"/>
          <w:sz w:val="24"/>
          <w:szCs w:val="24"/>
          <w:lang w:val="ro-MD"/>
        </w:rPr>
        <w:t>8,9</w:t>
      </w:r>
      <w:r w:rsidRPr="003836D9">
        <w:rPr>
          <w:rFonts w:ascii="Times New Roman" w:eastAsia="Times New Roman" w:hAnsi="Times New Roman" w:cs="Times New Roman"/>
          <w:sz w:val="24"/>
          <w:szCs w:val="24"/>
          <w:lang w:val="ro-MD"/>
        </w:rPr>
        <w:t xml:space="preserve"> procente</w:t>
      </w:r>
      <w:r w:rsidR="002D6867" w:rsidRPr="003836D9">
        <w:rPr>
          <w:rFonts w:ascii="Times New Roman" w:eastAsia="Times New Roman" w:hAnsi="Times New Roman" w:cs="Times New Roman"/>
          <w:sz w:val="24"/>
          <w:szCs w:val="24"/>
          <w:lang w:val="ro-MD"/>
        </w:rPr>
        <w:t>,</w:t>
      </w:r>
      <w:r w:rsidRPr="003836D9">
        <w:rPr>
          <w:rFonts w:ascii="Times New Roman" w:eastAsia="Times New Roman" w:hAnsi="Times New Roman" w:cs="Times New Roman"/>
          <w:sz w:val="24"/>
          <w:szCs w:val="24"/>
          <w:lang w:val="ro-MD"/>
        </w:rPr>
        <w:t xml:space="preserve"> respectiv).</w:t>
      </w:r>
    </w:p>
    <w:p w14:paraId="2C3BA56F" w14:textId="39F183A7" w:rsidR="00803A6E" w:rsidRPr="003836D9" w:rsidRDefault="00803A6E" w:rsidP="00F21E86">
      <w:pPr>
        <w:spacing w:before="120" w:after="120"/>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 xml:space="preserve">În 2020, incidența muncii </w:t>
      </w:r>
      <w:r w:rsidR="005A0CB9">
        <w:rPr>
          <w:rFonts w:ascii="Times New Roman" w:eastAsia="Times New Roman" w:hAnsi="Times New Roman" w:cs="Times New Roman"/>
          <w:sz w:val="24"/>
          <w:szCs w:val="24"/>
          <w:lang w:val="ro-MD"/>
        </w:rPr>
        <w:t xml:space="preserve">cu program parțial </w:t>
      </w:r>
      <w:r w:rsidRPr="003836D9">
        <w:rPr>
          <w:rFonts w:ascii="Times New Roman" w:eastAsia="Times New Roman" w:hAnsi="Times New Roman" w:cs="Times New Roman"/>
          <w:sz w:val="24"/>
          <w:szCs w:val="24"/>
          <w:lang w:val="ro-MD"/>
        </w:rPr>
        <w:t xml:space="preserve">în rândul lucrătorilor cu vârsta de 15 ani și peste a fost de 5,5 procente. Tinerii lucrători și femeile au mai multe șanse de a </w:t>
      </w:r>
      <w:r w:rsidR="00190CFC" w:rsidRPr="003836D9">
        <w:rPr>
          <w:rFonts w:ascii="Times New Roman" w:eastAsia="Times New Roman" w:hAnsi="Times New Roman" w:cs="Times New Roman"/>
          <w:sz w:val="24"/>
          <w:szCs w:val="24"/>
          <w:lang w:val="ro-MD"/>
        </w:rPr>
        <w:t>munci</w:t>
      </w:r>
      <w:r w:rsidRPr="003836D9">
        <w:rPr>
          <w:rFonts w:ascii="Times New Roman" w:eastAsia="Times New Roman" w:hAnsi="Times New Roman" w:cs="Times New Roman"/>
          <w:sz w:val="24"/>
          <w:szCs w:val="24"/>
          <w:lang w:val="ro-MD"/>
        </w:rPr>
        <w:t xml:space="preserve"> </w:t>
      </w:r>
      <w:r w:rsidR="00FF11C6" w:rsidRPr="003836D9">
        <w:rPr>
          <w:rFonts w:ascii="Times New Roman" w:eastAsia="Times New Roman" w:hAnsi="Times New Roman" w:cs="Times New Roman"/>
          <w:sz w:val="24"/>
          <w:szCs w:val="24"/>
          <w:lang w:val="ro-MD"/>
        </w:rPr>
        <w:t>p</w:t>
      </w:r>
      <w:r w:rsidR="005A0CB9">
        <w:rPr>
          <w:rFonts w:ascii="Times New Roman" w:eastAsia="Times New Roman" w:hAnsi="Times New Roman" w:cs="Times New Roman"/>
          <w:sz w:val="24"/>
          <w:szCs w:val="24"/>
          <w:lang w:val="ro-MD"/>
        </w:rPr>
        <w:t>arțial</w:t>
      </w:r>
      <w:r w:rsidR="00FF11C6" w:rsidRPr="003836D9">
        <w:rPr>
          <w:rFonts w:ascii="Times New Roman" w:eastAsia="Times New Roman" w:hAnsi="Times New Roman" w:cs="Times New Roman"/>
          <w:sz w:val="24"/>
          <w:szCs w:val="24"/>
          <w:lang w:val="ro-MD"/>
        </w:rPr>
        <w:t xml:space="preserve"> </w:t>
      </w:r>
      <w:r w:rsidRPr="003836D9">
        <w:rPr>
          <w:rFonts w:ascii="Times New Roman" w:eastAsia="Times New Roman" w:hAnsi="Times New Roman" w:cs="Times New Roman"/>
          <w:sz w:val="24"/>
          <w:szCs w:val="24"/>
          <w:lang w:val="ro-MD"/>
        </w:rPr>
        <w:t xml:space="preserve">(8,1 procente și respectiv 6,5 procente în 2020). </w:t>
      </w:r>
      <w:r w:rsidR="00190CFC" w:rsidRPr="003836D9">
        <w:rPr>
          <w:rFonts w:ascii="Times New Roman" w:eastAsia="Times New Roman" w:hAnsi="Times New Roman" w:cs="Times New Roman"/>
          <w:sz w:val="24"/>
          <w:szCs w:val="24"/>
          <w:lang w:val="ro-MD"/>
        </w:rPr>
        <w:t>Munca</w:t>
      </w:r>
      <w:r w:rsidR="00FF11C6" w:rsidRPr="003836D9">
        <w:rPr>
          <w:rFonts w:ascii="Times New Roman" w:eastAsia="Times New Roman" w:hAnsi="Times New Roman" w:cs="Times New Roman"/>
          <w:sz w:val="24"/>
          <w:szCs w:val="24"/>
          <w:lang w:val="ro-MD"/>
        </w:rPr>
        <w:t xml:space="preserve"> </w:t>
      </w:r>
      <w:r w:rsidR="005A0CB9">
        <w:rPr>
          <w:rFonts w:ascii="Times New Roman" w:eastAsia="Times New Roman" w:hAnsi="Times New Roman" w:cs="Times New Roman"/>
          <w:sz w:val="24"/>
          <w:szCs w:val="24"/>
          <w:lang w:val="ro-MD"/>
        </w:rPr>
        <w:t xml:space="preserve">cu program parțial </w:t>
      </w:r>
      <w:r w:rsidRPr="003836D9">
        <w:rPr>
          <w:rFonts w:ascii="Times New Roman" w:eastAsia="Times New Roman" w:hAnsi="Times New Roman" w:cs="Times New Roman"/>
          <w:sz w:val="24"/>
          <w:szCs w:val="24"/>
          <w:lang w:val="ro-MD"/>
        </w:rPr>
        <w:t>involuntară (ad</w:t>
      </w:r>
      <w:r w:rsidR="00FF11C6" w:rsidRPr="003836D9">
        <w:rPr>
          <w:rFonts w:ascii="Times New Roman" w:eastAsia="Times New Roman" w:hAnsi="Times New Roman" w:cs="Times New Roman"/>
          <w:sz w:val="24"/>
          <w:szCs w:val="24"/>
          <w:lang w:val="ro-MD"/>
        </w:rPr>
        <w:t>ică persoanele care lucrează p</w:t>
      </w:r>
      <w:r w:rsidR="005A0CB9">
        <w:rPr>
          <w:rFonts w:ascii="Times New Roman" w:eastAsia="Times New Roman" w:hAnsi="Times New Roman" w:cs="Times New Roman"/>
          <w:sz w:val="24"/>
          <w:szCs w:val="24"/>
          <w:lang w:val="ro-MD"/>
        </w:rPr>
        <w:t>arțial</w:t>
      </w:r>
      <w:r w:rsidR="00FF11C6" w:rsidRPr="003836D9">
        <w:rPr>
          <w:rFonts w:ascii="Times New Roman" w:eastAsia="Times New Roman" w:hAnsi="Times New Roman" w:cs="Times New Roman"/>
          <w:sz w:val="24"/>
          <w:szCs w:val="24"/>
          <w:lang w:val="ro-MD"/>
        </w:rPr>
        <w:t xml:space="preserve"> </w:t>
      </w:r>
      <w:r w:rsidRPr="003836D9">
        <w:rPr>
          <w:rFonts w:ascii="Times New Roman" w:eastAsia="Times New Roman" w:hAnsi="Times New Roman" w:cs="Times New Roman"/>
          <w:sz w:val="24"/>
          <w:szCs w:val="24"/>
          <w:lang w:val="ro-MD"/>
        </w:rPr>
        <w:t>pentru că nu a</w:t>
      </w:r>
      <w:r w:rsidR="005F1432" w:rsidRPr="003836D9">
        <w:rPr>
          <w:rFonts w:ascii="Times New Roman" w:eastAsia="Times New Roman" w:hAnsi="Times New Roman" w:cs="Times New Roman"/>
          <w:sz w:val="24"/>
          <w:szCs w:val="24"/>
          <w:lang w:val="ro-MD"/>
        </w:rPr>
        <w:t>u</w:t>
      </w:r>
      <w:r w:rsidRPr="003836D9">
        <w:rPr>
          <w:rFonts w:ascii="Times New Roman" w:eastAsia="Times New Roman" w:hAnsi="Times New Roman" w:cs="Times New Roman"/>
          <w:sz w:val="24"/>
          <w:szCs w:val="24"/>
          <w:lang w:val="ro-MD"/>
        </w:rPr>
        <w:t xml:space="preserve"> putut găsi un loc de muncă </w:t>
      </w:r>
      <w:r w:rsidR="00FF11C6" w:rsidRPr="003836D9">
        <w:rPr>
          <w:rFonts w:ascii="Times New Roman" w:eastAsia="Times New Roman" w:hAnsi="Times New Roman" w:cs="Times New Roman"/>
          <w:sz w:val="24"/>
          <w:szCs w:val="24"/>
          <w:lang w:val="ro-MD"/>
        </w:rPr>
        <w:t>timp deplin</w:t>
      </w:r>
      <w:r w:rsidRPr="003836D9">
        <w:rPr>
          <w:rFonts w:ascii="Times New Roman" w:eastAsia="Times New Roman" w:hAnsi="Times New Roman" w:cs="Times New Roman"/>
          <w:sz w:val="24"/>
          <w:szCs w:val="24"/>
          <w:lang w:val="ro-MD"/>
        </w:rPr>
        <w:t xml:space="preserve">) afectează 23 procente dintre toți lucrătorii </w:t>
      </w:r>
      <w:r w:rsidR="00190CFC" w:rsidRPr="003836D9">
        <w:rPr>
          <w:rFonts w:ascii="Times New Roman" w:eastAsia="Times New Roman" w:hAnsi="Times New Roman" w:cs="Times New Roman"/>
          <w:sz w:val="24"/>
          <w:szCs w:val="24"/>
          <w:lang w:val="ro-MD"/>
        </w:rPr>
        <w:t>care muncesc pe</w:t>
      </w:r>
      <w:r w:rsidRPr="003836D9">
        <w:rPr>
          <w:rFonts w:ascii="Times New Roman" w:eastAsia="Times New Roman" w:hAnsi="Times New Roman" w:cs="Times New Roman"/>
          <w:sz w:val="24"/>
          <w:szCs w:val="24"/>
          <w:lang w:val="ro-MD"/>
        </w:rPr>
        <w:t xml:space="preserve"> </w:t>
      </w:r>
      <w:r w:rsidR="005A0CB9">
        <w:rPr>
          <w:rFonts w:ascii="Times New Roman" w:eastAsia="Times New Roman" w:hAnsi="Times New Roman" w:cs="Times New Roman"/>
          <w:sz w:val="24"/>
          <w:szCs w:val="24"/>
          <w:lang w:val="ro-MD"/>
        </w:rPr>
        <w:t>program parțial</w:t>
      </w:r>
      <w:r w:rsidRPr="003836D9">
        <w:rPr>
          <w:rFonts w:ascii="Times New Roman" w:eastAsia="Times New Roman" w:hAnsi="Times New Roman" w:cs="Times New Roman"/>
          <w:sz w:val="24"/>
          <w:szCs w:val="24"/>
          <w:lang w:val="ro-MD"/>
        </w:rPr>
        <w:t xml:space="preserve">, </w:t>
      </w:r>
      <w:r w:rsidR="00190CFC" w:rsidRPr="003836D9">
        <w:rPr>
          <w:rFonts w:ascii="Times New Roman" w:eastAsia="Times New Roman" w:hAnsi="Times New Roman" w:cs="Times New Roman"/>
          <w:sz w:val="24"/>
          <w:szCs w:val="24"/>
          <w:lang w:val="ro-MD"/>
        </w:rPr>
        <w:t xml:space="preserve">fiind </w:t>
      </w:r>
      <w:r w:rsidRPr="003836D9">
        <w:rPr>
          <w:rFonts w:ascii="Times New Roman" w:eastAsia="Times New Roman" w:hAnsi="Times New Roman" w:cs="Times New Roman"/>
          <w:sz w:val="24"/>
          <w:szCs w:val="24"/>
          <w:lang w:val="ro-MD"/>
        </w:rPr>
        <w:t xml:space="preserve">într-o tendință de scădere față de 2014, când aproximativ 43 procente dintre lucrătorii </w:t>
      </w:r>
      <w:r w:rsidR="00190CFC" w:rsidRPr="003836D9">
        <w:rPr>
          <w:rFonts w:ascii="Times New Roman" w:eastAsia="Times New Roman" w:hAnsi="Times New Roman" w:cs="Times New Roman"/>
          <w:sz w:val="24"/>
          <w:szCs w:val="24"/>
          <w:lang w:val="ro-MD"/>
        </w:rPr>
        <w:t xml:space="preserve">care munceau </w:t>
      </w:r>
      <w:r w:rsidRPr="003836D9">
        <w:rPr>
          <w:rFonts w:ascii="Times New Roman" w:eastAsia="Times New Roman" w:hAnsi="Times New Roman" w:cs="Times New Roman"/>
          <w:sz w:val="24"/>
          <w:szCs w:val="24"/>
          <w:lang w:val="ro-MD"/>
        </w:rPr>
        <w:t xml:space="preserve">cu </w:t>
      </w:r>
      <w:r w:rsidR="005A0CB9">
        <w:rPr>
          <w:rFonts w:ascii="Times New Roman" w:eastAsia="Times New Roman" w:hAnsi="Times New Roman" w:cs="Times New Roman"/>
          <w:sz w:val="24"/>
          <w:szCs w:val="24"/>
          <w:lang w:val="ro-MD"/>
        </w:rPr>
        <w:t>program parțial</w:t>
      </w:r>
      <w:r w:rsidR="00190CFC" w:rsidRPr="003836D9">
        <w:rPr>
          <w:rFonts w:ascii="Times New Roman" w:eastAsia="Times New Roman" w:hAnsi="Times New Roman" w:cs="Times New Roman"/>
          <w:sz w:val="24"/>
          <w:szCs w:val="24"/>
          <w:lang w:val="ro-MD"/>
        </w:rPr>
        <w:t xml:space="preserve"> </w:t>
      </w:r>
      <w:r w:rsidRPr="003836D9">
        <w:rPr>
          <w:rFonts w:ascii="Times New Roman" w:eastAsia="Times New Roman" w:hAnsi="Times New Roman" w:cs="Times New Roman"/>
          <w:sz w:val="24"/>
          <w:szCs w:val="24"/>
          <w:lang w:val="ro-MD"/>
        </w:rPr>
        <w:t xml:space="preserve">au fost </w:t>
      </w:r>
      <w:r w:rsidR="00190CFC" w:rsidRPr="003836D9">
        <w:rPr>
          <w:rFonts w:ascii="Times New Roman" w:eastAsia="Times New Roman" w:hAnsi="Times New Roman" w:cs="Times New Roman"/>
          <w:sz w:val="24"/>
          <w:szCs w:val="24"/>
          <w:lang w:val="ro-MD"/>
        </w:rPr>
        <w:t xml:space="preserve">lucrători care munceau </w:t>
      </w:r>
      <w:r w:rsidRPr="003836D9">
        <w:rPr>
          <w:rFonts w:ascii="Times New Roman" w:eastAsia="Times New Roman" w:hAnsi="Times New Roman" w:cs="Times New Roman"/>
          <w:sz w:val="24"/>
          <w:szCs w:val="24"/>
          <w:lang w:val="ro-MD"/>
        </w:rPr>
        <w:t>involuntar</w:t>
      </w:r>
      <w:r w:rsidR="00190CFC" w:rsidRPr="003836D9">
        <w:rPr>
          <w:rFonts w:ascii="Times New Roman" w:eastAsia="Times New Roman" w:hAnsi="Times New Roman" w:cs="Times New Roman"/>
          <w:sz w:val="24"/>
          <w:szCs w:val="24"/>
          <w:lang w:val="ro-MD"/>
        </w:rPr>
        <w:t xml:space="preserve"> </w:t>
      </w:r>
      <w:r w:rsidR="005A0CB9">
        <w:rPr>
          <w:rFonts w:ascii="Times New Roman" w:eastAsia="Times New Roman" w:hAnsi="Times New Roman" w:cs="Times New Roman"/>
          <w:sz w:val="24"/>
          <w:szCs w:val="24"/>
          <w:lang w:val="ro-MD"/>
        </w:rPr>
        <w:t>cu program parțial</w:t>
      </w:r>
      <w:r w:rsidRPr="003836D9">
        <w:rPr>
          <w:rFonts w:ascii="Times New Roman" w:eastAsia="Times New Roman" w:hAnsi="Times New Roman" w:cs="Times New Roman"/>
          <w:sz w:val="24"/>
          <w:szCs w:val="24"/>
          <w:lang w:val="ro-MD"/>
        </w:rPr>
        <w:t>.</w:t>
      </w:r>
    </w:p>
    <w:p w14:paraId="7F971B10" w14:textId="3C7A6350" w:rsidR="00D10EDB" w:rsidRDefault="00803A6E" w:rsidP="00AC6C10">
      <w:pPr>
        <w:spacing w:before="120" w:after="120"/>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 xml:space="preserve">Angajarea </w:t>
      </w:r>
      <w:r w:rsidR="004360FA" w:rsidRPr="003836D9">
        <w:rPr>
          <w:rFonts w:ascii="Times New Roman" w:eastAsia="Times New Roman" w:hAnsi="Times New Roman" w:cs="Times New Roman"/>
          <w:sz w:val="24"/>
          <w:szCs w:val="24"/>
          <w:lang w:val="ro-MD"/>
        </w:rPr>
        <w:t xml:space="preserve">pe o durată determinată </w:t>
      </w:r>
      <w:r w:rsidRPr="003836D9">
        <w:rPr>
          <w:rFonts w:ascii="Times New Roman" w:eastAsia="Times New Roman" w:hAnsi="Times New Roman" w:cs="Times New Roman"/>
          <w:sz w:val="24"/>
          <w:szCs w:val="24"/>
          <w:lang w:val="ro-MD"/>
        </w:rPr>
        <w:t xml:space="preserve">afectează mai puțin de 11 procente din toți </w:t>
      </w:r>
      <w:r w:rsidR="004360FA" w:rsidRPr="003836D9">
        <w:rPr>
          <w:rFonts w:ascii="Times New Roman" w:eastAsia="Times New Roman" w:hAnsi="Times New Roman" w:cs="Times New Roman"/>
          <w:sz w:val="24"/>
          <w:szCs w:val="24"/>
          <w:lang w:val="ro-MD"/>
        </w:rPr>
        <w:t>salariații</w:t>
      </w:r>
      <w:r w:rsidRPr="003836D9">
        <w:rPr>
          <w:rFonts w:ascii="Times New Roman" w:eastAsia="Times New Roman" w:hAnsi="Times New Roman" w:cs="Times New Roman"/>
          <w:sz w:val="24"/>
          <w:szCs w:val="24"/>
          <w:lang w:val="ro-MD"/>
        </w:rPr>
        <w:t xml:space="preserve">, cu diferențe mici între bărbați și femei. Ponderea tinerilor lucrători (15-24 de ani) angajați temporar (7,4 procente) este, de asemenea, cu mult sub media din țările UE (46,3 procente în același an). </w:t>
      </w:r>
      <w:r w:rsidR="00364D77" w:rsidRPr="003836D9">
        <w:rPr>
          <w:rFonts w:ascii="Times New Roman" w:eastAsia="Times New Roman" w:hAnsi="Times New Roman" w:cs="Times New Roman"/>
          <w:sz w:val="24"/>
          <w:szCs w:val="24"/>
          <w:lang w:val="ro-MD"/>
        </w:rPr>
        <w:t xml:space="preserve">Însă </w:t>
      </w:r>
      <w:r w:rsidR="00364D77" w:rsidRPr="003836D9">
        <w:rPr>
          <w:rFonts w:ascii="Times New Roman" w:eastAsia="Times New Roman" w:hAnsi="Times New Roman" w:cs="Times New Roman"/>
          <w:sz w:val="24"/>
          <w:szCs w:val="24"/>
          <w:lang w:val="ro-MD"/>
        </w:rPr>
        <w:lastRenderedPageBreak/>
        <w:t>p</w:t>
      </w:r>
      <w:r w:rsidRPr="003836D9">
        <w:rPr>
          <w:rFonts w:ascii="Times New Roman" w:eastAsia="Times New Roman" w:hAnsi="Times New Roman" w:cs="Times New Roman"/>
          <w:sz w:val="24"/>
          <w:szCs w:val="24"/>
          <w:lang w:val="ro-MD"/>
        </w:rPr>
        <w:t xml:space="preserve">entru </w:t>
      </w:r>
      <w:r w:rsidR="00364D77" w:rsidRPr="003836D9">
        <w:rPr>
          <w:rFonts w:ascii="Times New Roman" w:eastAsia="Times New Roman" w:hAnsi="Times New Roman" w:cs="Times New Roman"/>
          <w:sz w:val="24"/>
          <w:szCs w:val="24"/>
          <w:lang w:val="ro-MD"/>
        </w:rPr>
        <w:t>mai mult de</w:t>
      </w:r>
      <w:r w:rsidRPr="003836D9">
        <w:rPr>
          <w:rFonts w:ascii="Times New Roman" w:eastAsia="Times New Roman" w:hAnsi="Times New Roman" w:cs="Times New Roman"/>
          <w:sz w:val="24"/>
          <w:szCs w:val="24"/>
          <w:lang w:val="ro-MD"/>
        </w:rPr>
        <w:t xml:space="preserve"> patru din zece lucrători temporari (41,4 procente), durata contractului</w:t>
      </w:r>
      <w:r w:rsidR="00364D77" w:rsidRPr="003836D9">
        <w:rPr>
          <w:rFonts w:ascii="Times New Roman" w:eastAsia="Times New Roman" w:hAnsi="Times New Roman" w:cs="Times New Roman"/>
          <w:sz w:val="24"/>
          <w:szCs w:val="24"/>
          <w:lang w:val="ro-MD"/>
        </w:rPr>
        <w:t xml:space="preserve"> </w:t>
      </w:r>
      <w:r w:rsidRPr="003836D9">
        <w:rPr>
          <w:rFonts w:ascii="Times New Roman" w:eastAsia="Times New Roman" w:hAnsi="Times New Roman" w:cs="Times New Roman"/>
          <w:sz w:val="24"/>
          <w:szCs w:val="24"/>
          <w:lang w:val="ro-MD"/>
        </w:rPr>
        <w:t xml:space="preserve">este mai mică de șase luni. Cea mai mare parte a forței de muncă este </w:t>
      </w:r>
      <w:r w:rsidR="00364D77" w:rsidRPr="003836D9">
        <w:rPr>
          <w:rFonts w:ascii="Times New Roman" w:eastAsia="Times New Roman" w:hAnsi="Times New Roman" w:cs="Times New Roman"/>
          <w:sz w:val="24"/>
          <w:szCs w:val="24"/>
          <w:lang w:val="ro-MD"/>
        </w:rPr>
        <w:t>la</w:t>
      </w:r>
      <w:r w:rsidRPr="003836D9">
        <w:rPr>
          <w:rFonts w:ascii="Times New Roman" w:eastAsia="Times New Roman" w:hAnsi="Times New Roman" w:cs="Times New Roman"/>
          <w:sz w:val="24"/>
          <w:szCs w:val="24"/>
          <w:lang w:val="ro-MD"/>
        </w:rPr>
        <w:t xml:space="preserve"> întreprinderi private (59,6 procente), deși munca în întreprinderile publice este cea mai frecventă în rândul femeilor, cu aproape 49 procente dintre ele angajate într-o </w:t>
      </w:r>
      <w:r w:rsidR="00364D77" w:rsidRPr="003836D9">
        <w:rPr>
          <w:rFonts w:ascii="Times New Roman" w:eastAsia="Times New Roman" w:hAnsi="Times New Roman" w:cs="Times New Roman"/>
          <w:sz w:val="24"/>
          <w:szCs w:val="24"/>
          <w:lang w:val="ro-MD"/>
        </w:rPr>
        <w:t>întreprindere cu proprietate publică</w:t>
      </w:r>
      <w:r w:rsidRPr="003836D9">
        <w:rPr>
          <w:rFonts w:ascii="Times New Roman" w:eastAsia="Times New Roman" w:hAnsi="Times New Roman" w:cs="Times New Roman"/>
          <w:sz w:val="24"/>
          <w:szCs w:val="24"/>
          <w:lang w:val="ro-MD"/>
        </w:rPr>
        <w:t xml:space="preserve"> (Tabelul </w:t>
      </w:r>
      <w:r w:rsidR="009B58C7" w:rsidRPr="003836D9">
        <w:rPr>
          <w:rFonts w:ascii="Times New Roman" w:eastAsia="Times New Roman" w:hAnsi="Times New Roman" w:cs="Times New Roman"/>
          <w:sz w:val="24"/>
          <w:szCs w:val="24"/>
          <w:lang w:val="ro-MD"/>
        </w:rPr>
        <w:t xml:space="preserve">4). </w:t>
      </w:r>
    </w:p>
    <w:p w14:paraId="3E40CEF4" w14:textId="77777777" w:rsidR="00702487" w:rsidRPr="003836D9" w:rsidRDefault="00702487" w:rsidP="00AC6C10">
      <w:pPr>
        <w:spacing w:before="120" w:after="120"/>
        <w:jc w:val="both"/>
        <w:rPr>
          <w:rFonts w:ascii="Times New Roman" w:eastAsia="Times New Roman" w:hAnsi="Times New Roman" w:cs="Times New Roman"/>
          <w:sz w:val="24"/>
          <w:szCs w:val="24"/>
          <w:lang w:val="ro-MD"/>
        </w:rPr>
      </w:pPr>
    </w:p>
    <w:p w14:paraId="387D62DD" w14:textId="6006CE29" w:rsidR="0040584F" w:rsidRPr="005A0CB9" w:rsidRDefault="00803A6E" w:rsidP="0040584F">
      <w:pPr>
        <w:jc w:val="center"/>
        <w:rPr>
          <w:rFonts w:ascii="Times New Roman" w:hAnsi="Times New Roman" w:cs="Times New Roman"/>
          <w:b/>
          <w:sz w:val="20"/>
          <w:szCs w:val="20"/>
          <w:lang w:val="ro-MD"/>
        </w:rPr>
      </w:pPr>
      <w:bookmarkStart w:id="28" w:name="_Ref58409981"/>
      <w:bookmarkStart w:id="29" w:name="_Hlk72743653"/>
      <w:r w:rsidRPr="005A0CB9">
        <w:rPr>
          <w:rFonts w:ascii="Times New Roman" w:hAnsi="Times New Roman" w:cs="Times New Roman"/>
          <w:b/>
          <w:sz w:val="20"/>
          <w:szCs w:val="20"/>
          <w:lang w:val="ro-MD"/>
        </w:rPr>
        <w:t>Tabelul</w:t>
      </w:r>
      <w:r w:rsidR="0040584F" w:rsidRPr="005A0CB9">
        <w:rPr>
          <w:rFonts w:ascii="Times New Roman" w:hAnsi="Times New Roman" w:cs="Times New Roman"/>
          <w:b/>
          <w:sz w:val="20"/>
          <w:szCs w:val="20"/>
          <w:lang w:val="ro-MD"/>
        </w:rPr>
        <w:t xml:space="preserve"> </w:t>
      </w:r>
      <w:bookmarkEnd w:id="28"/>
      <w:r w:rsidR="0040584F" w:rsidRPr="005A0CB9">
        <w:rPr>
          <w:rFonts w:ascii="Times New Roman" w:hAnsi="Times New Roman" w:cs="Times New Roman"/>
          <w:b/>
          <w:sz w:val="20"/>
          <w:szCs w:val="20"/>
          <w:lang w:val="ro-MD"/>
        </w:rPr>
        <w:t>4</w:t>
      </w:r>
      <w:r w:rsidR="00647201">
        <w:rPr>
          <w:rFonts w:ascii="Times New Roman" w:hAnsi="Times New Roman" w:cs="Times New Roman"/>
          <w:b/>
          <w:sz w:val="20"/>
          <w:szCs w:val="20"/>
          <w:lang w:val="ro-MD"/>
        </w:rPr>
        <w:t>.</w:t>
      </w:r>
      <w:r w:rsidR="0040584F" w:rsidRPr="005A0CB9">
        <w:rPr>
          <w:rFonts w:ascii="Times New Roman" w:hAnsi="Times New Roman" w:cs="Times New Roman"/>
          <w:b/>
          <w:sz w:val="20"/>
          <w:szCs w:val="20"/>
          <w:lang w:val="ro-MD"/>
        </w:rPr>
        <w:t xml:space="preserve"> </w:t>
      </w:r>
      <w:r w:rsidRPr="005A0CB9">
        <w:rPr>
          <w:rFonts w:ascii="Times New Roman" w:hAnsi="Times New Roman" w:cs="Times New Roman"/>
          <w:b/>
          <w:sz w:val="20"/>
          <w:szCs w:val="20"/>
          <w:lang w:val="ro-MD"/>
        </w:rPr>
        <w:t xml:space="preserve">Structura ocupării </w:t>
      </w:r>
      <w:r w:rsidR="0040584F" w:rsidRPr="005A0CB9">
        <w:rPr>
          <w:rFonts w:ascii="Times New Roman" w:hAnsi="Times New Roman" w:cs="Times New Roman"/>
          <w:b/>
          <w:sz w:val="20"/>
          <w:szCs w:val="20"/>
          <w:lang w:val="ro-MD"/>
        </w:rPr>
        <w:t>(</w:t>
      </w:r>
      <w:r w:rsidR="00436687">
        <w:rPr>
          <w:rFonts w:ascii="Times New Roman" w:hAnsi="Times New Roman" w:cs="Times New Roman"/>
          <w:b/>
          <w:sz w:val="20"/>
          <w:szCs w:val="20"/>
          <w:lang w:val="ro-MD"/>
        </w:rPr>
        <w:t xml:space="preserve">vârsta </w:t>
      </w:r>
      <w:r w:rsidR="0040584F" w:rsidRPr="005A0CB9">
        <w:rPr>
          <w:rFonts w:ascii="Times New Roman" w:hAnsi="Times New Roman" w:cs="Times New Roman"/>
          <w:b/>
          <w:sz w:val="20"/>
          <w:szCs w:val="20"/>
          <w:lang w:val="ro-MD"/>
        </w:rPr>
        <w:t>15+), 2020</w:t>
      </w:r>
    </w:p>
    <w:bookmarkEnd w:id="29"/>
    <w:tbl>
      <w:tblPr>
        <w:tblStyle w:val="GridTable1Light-Accent11"/>
        <w:tblW w:w="6783" w:type="dxa"/>
        <w:jc w:val="center"/>
        <w:tblLook w:val="00A0" w:firstRow="1" w:lastRow="0" w:firstColumn="1" w:lastColumn="0" w:noHBand="0" w:noVBand="0"/>
      </w:tblPr>
      <w:tblGrid>
        <w:gridCol w:w="2999"/>
        <w:gridCol w:w="733"/>
        <w:gridCol w:w="872"/>
        <w:gridCol w:w="2179"/>
      </w:tblGrid>
      <w:tr w:rsidR="0040584F" w:rsidRPr="003836D9" w14:paraId="101AD92D" w14:textId="77777777" w:rsidTr="00BC2CE6">
        <w:trPr>
          <w:cnfStyle w:val="100000000000" w:firstRow="1" w:lastRow="0" w:firstColumn="0" w:lastColumn="0" w:oddVBand="0" w:evenVBand="0" w:oddHBand="0" w:evenHBand="0" w:firstRowFirstColumn="0" w:firstRowLastColumn="0" w:lastRowFirstColumn="0" w:lastRowLastColumn="0"/>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shd w:val="clear" w:color="auto" w:fill="B4C6E7" w:themeFill="accent1" w:themeFillTint="66"/>
            <w:noWrap/>
            <w:vAlign w:val="center"/>
          </w:tcPr>
          <w:p w14:paraId="6E9FDC37" w14:textId="77777777" w:rsidR="0040584F" w:rsidRPr="003836D9" w:rsidRDefault="0040584F" w:rsidP="00BC075B">
            <w:pPr>
              <w:rPr>
                <w:rFonts w:ascii="Times New Roman" w:eastAsia="Times New Roman" w:hAnsi="Times New Roman" w:cs="Times New Roman"/>
                <w:b w:val="0"/>
                <w:bCs w:val="0"/>
                <w:i/>
                <w:iCs/>
                <w:sz w:val="20"/>
                <w:szCs w:val="20"/>
                <w:lang w:val="ro-MD"/>
              </w:rPr>
            </w:pPr>
          </w:p>
        </w:tc>
        <w:tc>
          <w:tcPr>
            <w:tcW w:w="733" w:type="dxa"/>
            <w:shd w:val="clear" w:color="auto" w:fill="B4C6E7" w:themeFill="accent1" w:themeFillTint="66"/>
            <w:noWrap/>
            <w:vAlign w:val="center"/>
          </w:tcPr>
          <w:p w14:paraId="05D02A09" w14:textId="6B723DD2" w:rsidR="0040584F" w:rsidRPr="003836D9" w:rsidRDefault="00803A6E" w:rsidP="00BC07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MD"/>
              </w:rPr>
            </w:pPr>
            <w:r w:rsidRPr="003836D9">
              <w:rPr>
                <w:rFonts w:ascii="Times New Roman" w:eastAsia="Times New Roman" w:hAnsi="Times New Roman" w:cs="Times New Roman"/>
                <w:sz w:val="20"/>
                <w:szCs w:val="20"/>
                <w:lang w:val="ro-MD"/>
              </w:rPr>
              <w:t>Toți</w:t>
            </w:r>
            <w:r w:rsidR="0040584F" w:rsidRPr="003836D9">
              <w:rPr>
                <w:rFonts w:ascii="Times New Roman" w:eastAsia="Times New Roman" w:hAnsi="Times New Roman" w:cs="Times New Roman"/>
                <w:sz w:val="20"/>
                <w:szCs w:val="20"/>
                <w:lang w:val="ro-MD"/>
              </w:rPr>
              <w:t xml:space="preserve"> </w:t>
            </w:r>
          </w:p>
        </w:tc>
        <w:tc>
          <w:tcPr>
            <w:tcW w:w="872" w:type="dxa"/>
            <w:shd w:val="clear" w:color="auto" w:fill="B4C6E7" w:themeFill="accent1" w:themeFillTint="66"/>
            <w:noWrap/>
            <w:vAlign w:val="center"/>
          </w:tcPr>
          <w:p w14:paraId="1DE95F15" w14:textId="1E376F3B" w:rsidR="0040584F" w:rsidRPr="003836D9" w:rsidRDefault="00803A6E" w:rsidP="00BC07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MD"/>
              </w:rPr>
            </w:pPr>
            <w:r w:rsidRPr="003836D9">
              <w:rPr>
                <w:rFonts w:ascii="Times New Roman" w:eastAsia="Times New Roman" w:hAnsi="Times New Roman" w:cs="Times New Roman"/>
                <w:sz w:val="20"/>
                <w:szCs w:val="20"/>
                <w:lang w:val="ro-MD"/>
              </w:rPr>
              <w:t>Bărbați</w:t>
            </w:r>
            <w:r w:rsidR="0040584F" w:rsidRPr="003836D9">
              <w:rPr>
                <w:rFonts w:ascii="Times New Roman" w:eastAsia="Times New Roman" w:hAnsi="Times New Roman" w:cs="Times New Roman"/>
                <w:sz w:val="20"/>
                <w:szCs w:val="20"/>
                <w:lang w:val="ro-MD"/>
              </w:rPr>
              <w:t xml:space="preserve"> </w:t>
            </w:r>
          </w:p>
        </w:tc>
        <w:tc>
          <w:tcPr>
            <w:tcW w:w="2179" w:type="dxa"/>
            <w:shd w:val="clear" w:color="auto" w:fill="B4C6E7" w:themeFill="accent1" w:themeFillTint="66"/>
            <w:vAlign w:val="center"/>
          </w:tcPr>
          <w:p w14:paraId="1CF16ADE" w14:textId="1FE18D58" w:rsidR="0040584F" w:rsidRPr="003836D9" w:rsidRDefault="00803A6E" w:rsidP="00BC07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MD"/>
              </w:rPr>
            </w:pPr>
            <w:r w:rsidRPr="003836D9">
              <w:rPr>
                <w:rFonts w:ascii="Times New Roman" w:eastAsia="Times New Roman" w:hAnsi="Times New Roman" w:cs="Times New Roman"/>
                <w:sz w:val="20"/>
                <w:szCs w:val="20"/>
                <w:lang w:val="ro-MD"/>
              </w:rPr>
              <w:t>Femei</w:t>
            </w:r>
            <w:r w:rsidR="0040584F" w:rsidRPr="003836D9">
              <w:rPr>
                <w:rFonts w:ascii="Times New Roman" w:eastAsia="Times New Roman" w:hAnsi="Times New Roman" w:cs="Times New Roman"/>
                <w:sz w:val="20"/>
                <w:szCs w:val="20"/>
                <w:lang w:val="ro-MD"/>
              </w:rPr>
              <w:t xml:space="preserve"> </w:t>
            </w:r>
          </w:p>
        </w:tc>
      </w:tr>
      <w:tr w:rsidR="0040584F" w:rsidRPr="003836D9" w14:paraId="071808C9"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6783" w:type="dxa"/>
            <w:gridSpan w:val="4"/>
            <w:noWrap/>
            <w:vAlign w:val="center"/>
          </w:tcPr>
          <w:p w14:paraId="026E823F" w14:textId="3E3A6486" w:rsidR="0040584F" w:rsidRPr="003836D9" w:rsidRDefault="00787BAF" w:rsidP="0040584F">
            <w:pPr>
              <w:jc w:val="center"/>
              <w:rPr>
                <w:rFonts w:ascii="Times New Roman" w:hAnsi="Times New Roman" w:cs="Times New Roman"/>
                <w:sz w:val="20"/>
                <w:szCs w:val="20"/>
                <w:lang w:val="ro-MD"/>
              </w:rPr>
            </w:pPr>
            <w:r w:rsidRPr="003836D9">
              <w:rPr>
                <w:rFonts w:ascii="Times New Roman" w:eastAsia="Times New Roman" w:hAnsi="Times New Roman" w:cs="Times New Roman"/>
                <w:b w:val="0"/>
                <w:bCs w:val="0"/>
                <w:i/>
                <w:color w:val="000000"/>
                <w:sz w:val="20"/>
                <w:szCs w:val="20"/>
                <w:lang w:val="ro-MD"/>
              </w:rPr>
              <w:t>Statut profesional</w:t>
            </w:r>
          </w:p>
        </w:tc>
      </w:tr>
      <w:tr w:rsidR="00803A6E" w:rsidRPr="003836D9" w14:paraId="624D91CD"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6C9F45F2" w14:textId="02857AAE" w:rsidR="00803A6E" w:rsidRPr="003836D9" w:rsidRDefault="00787BAF" w:rsidP="00803A6E">
            <w:pPr>
              <w:spacing w:line="259" w:lineRule="auto"/>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Salariați</w:t>
            </w:r>
          </w:p>
        </w:tc>
        <w:tc>
          <w:tcPr>
            <w:tcW w:w="733" w:type="dxa"/>
            <w:noWrap/>
            <w:vAlign w:val="bottom"/>
          </w:tcPr>
          <w:p w14:paraId="354B5664" w14:textId="6F0A6DDF"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78.1%</w:t>
            </w:r>
          </w:p>
        </w:tc>
        <w:tc>
          <w:tcPr>
            <w:tcW w:w="872" w:type="dxa"/>
            <w:noWrap/>
            <w:vAlign w:val="bottom"/>
          </w:tcPr>
          <w:p w14:paraId="263E0F60" w14:textId="2D73E2CA"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72.5%</w:t>
            </w:r>
          </w:p>
        </w:tc>
        <w:tc>
          <w:tcPr>
            <w:tcW w:w="2179" w:type="dxa"/>
            <w:vAlign w:val="bottom"/>
          </w:tcPr>
          <w:p w14:paraId="35E08F92" w14:textId="51D0219E"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84.2%</w:t>
            </w:r>
          </w:p>
        </w:tc>
      </w:tr>
      <w:tr w:rsidR="00803A6E" w:rsidRPr="003836D9" w14:paraId="20DDBFCD"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54DF5EDB" w14:textId="0D2C6D89" w:rsidR="00803A6E" w:rsidRPr="003836D9" w:rsidRDefault="00803A6E" w:rsidP="00803A6E">
            <w:pPr>
              <w:spacing w:line="259" w:lineRule="auto"/>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Lucrători pe cont propriu</w:t>
            </w:r>
          </w:p>
        </w:tc>
        <w:tc>
          <w:tcPr>
            <w:tcW w:w="733" w:type="dxa"/>
            <w:noWrap/>
            <w:vAlign w:val="bottom"/>
          </w:tcPr>
          <w:p w14:paraId="1846DB4A" w14:textId="38A69A1E"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17.2%</w:t>
            </w:r>
          </w:p>
        </w:tc>
        <w:tc>
          <w:tcPr>
            <w:tcW w:w="872" w:type="dxa"/>
            <w:noWrap/>
            <w:vAlign w:val="bottom"/>
          </w:tcPr>
          <w:p w14:paraId="715776A7" w14:textId="260FF400"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24.8%</w:t>
            </w:r>
          </w:p>
        </w:tc>
        <w:tc>
          <w:tcPr>
            <w:tcW w:w="2179" w:type="dxa"/>
            <w:vAlign w:val="bottom"/>
          </w:tcPr>
          <w:p w14:paraId="436FDD87" w14:textId="0BBB7E29"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8.9%</w:t>
            </w:r>
          </w:p>
        </w:tc>
      </w:tr>
      <w:tr w:rsidR="00803A6E" w:rsidRPr="003836D9" w14:paraId="214F7A7B"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7613D5FD" w14:textId="12B28941" w:rsidR="00803A6E" w:rsidRPr="003836D9" w:rsidRDefault="00621D11" w:rsidP="00803A6E">
            <w:pPr>
              <w:spacing w:line="259" w:lineRule="auto"/>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Lucrători familiali</w:t>
            </w:r>
            <w:r w:rsidR="00566A6B" w:rsidRPr="003836D9">
              <w:rPr>
                <w:rFonts w:ascii="Times New Roman" w:eastAsia="Times New Roman" w:hAnsi="Times New Roman" w:cs="Times New Roman"/>
                <w:b w:val="0"/>
                <w:bCs w:val="0"/>
                <w:sz w:val="20"/>
                <w:szCs w:val="20"/>
                <w:lang w:val="ro-MD"/>
              </w:rPr>
              <w:t xml:space="preserve"> neremune</w:t>
            </w:r>
            <w:r w:rsidR="00BC2CE6" w:rsidRPr="003836D9">
              <w:rPr>
                <w:rFonts w:ascii="Times New Roman" w:eastAsia="Times New Roman" w:hAnsi="Times New Roman" w:cs="Times New Roman"/>
                <w:b w:val="0"/>
                <w:bCs w:val="0"/>
                <w:sz w:val="20"/>
                <w:szCs w:val="20"/>
                <w:lang w:val="ro-MD"/>
              </w:rPr>
              <w:t>rați</w:t>
            </w:r>
            <w:r w:rsidRPr="003836D9">
              <w:rPr>
                <w:rFonts w:ascii="Times New Roman" w:eastAsia="Times New Roman" w:hAnsi="Times New Roman" w:cs="Times New Roman"/>
                <w:b w:val="0"/>
                <w:bCs w:val="0"/>
                <w:sz w:val="20"/>
                <w:szCs w:val="20"/>
                <w:lang w:val="ro-MD"/>
              </w:rPr>
              <w:t xml:space="preserve"> </w:t>
            </w:r>
            <w:r w:rsidR="00566A6B" w:rsidRPr="003836D9">
              <w:rPr>
                <w:rFonts w:ascii="Times New Roman" w:eastAsia="Times New Roman" w:hAnsi="Times New Roman" w:cs="Times New Roman"/>
                <w:b w:val="0"/>
                <w:bCs w:val="0"/>
                <w:sz w:val="20"/>
                <w:szCs w:val="20"/>
                <w:lang w:val="ro-MD"/>
              </w:rPr>
              <w:t>neremunerați</w:t>
            </w:r>
            <w:r w:rsidR="00787BAF" w:rsidRPr="003836D9">
              <w:rPr>
                <w:rFonts w:ascii="Times New Roman" w:eastAsia="Times New Roman" w:hAnsi="Times New Roman" w:cs="Times New Roman"/>
                <w:b w:val="0"/>
                <w:bCs w:val="0"/>
                <w:sz w:val="20"/>
                <w:szCs w:val="20"/>
                <w:lang w:val="ro-MD"/>
              </w:rPr>
              <w:t>neremunerați</w:t>
            </w:r>
          </w:p>
        </w:tc>
        <w:tc>
          <w:tcPr>
            <w:tcW w:w="733" w:type="dxa"/>
            <w:noWrap/>
            <w:vAlign w:val="bottom"/>
          </w:tcPr>
          <w:p w14:paraId="720545CA" w14:textId="6A734411"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4.3%</w:t>
            </w:r>
          </w:p>
        </w:tc>
        <w:tc>
          <w:tcPr>
            <w:tcW w:w="872" w:type="dxa"/>
            <w:noWrap/>
            <w:vAlign w:val="bottom"/>
          </w:tcPr>
          <w:p w14:paraId="4F535263" w14:textId="4D10773F"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2.2%</w:t>
            </w:r>
          </w:p>
        </w:tc>
        <w:tc>
          <w:tcPr>
            <w:tcW w:w="2179" w:type="dxa"/>
            <w:vAlign w:val="bottom"/>
          </w:tcPr>
          <w:p w14:paraId="4A8C917B" w14:textId="32E3AF4E"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6.6%</w:t>
            </w:r>
          </w:p>
        </w:tc>
      </w:tr>
      <w:tr w:rsidR="00803A6E" w:rsidRPr="003836D9" w14:paraId="2ACE5DAF"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011A9728" w14:textId="1C1A0872" w:rsidR="00803A6E" w:rsidRPr="003836D9" w:rsidRDefault="00787BAF" w:rsidP="00803A6E">
            <w:pPr>
              <w:spacing w:line="259" w:lineRule="auto"/>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Patroni, membri ai cooperativei</w:t>
            </w:r>
          </w:p>
        </w:tc>
        <w:tc>
          <w:tcPr>
            <w:tcW w:w="733" w:type="dxa"/>
            <w:noWrap/>
            <w:vAlign w:val="bottom"/>
          </w:tcPr>
          <w:p w14:paraId="74257E2B" w14:textId="630731D7"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0.4%</w:t>
            </w:r>
          </w:p>
        </w:tc>
        <w:tc>
          <w:tcPr>
            <w:tcW w:w="872" w:type="dxa"/>
            <w:noWrap/>
            <w:vAlign w:val="bottom"/>
          </w:tcPr>
          <w:p w14:paraId="5D663101" w14:textId="63C916F4"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0.4%</w:t>
            </w:r>
          </w:p>
        </w:tc>
        <w:tc>
          <w:tcPr>
            <w:tcW w:w="2179" w:type="dxa"/>
            <w:vAlign w:val="bottom"/>
          </w:tcPr>
          <w:p w14:paraId="3472E2A2" w14:textId="348283C1"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0.3%</w:t>
            </w:r>
          </w:p>
        </w:tc>
      </w:tr>
      <w:tr w:rsidR="00B93999" w:rsidRPr="003836D9" w14:paraId="5F0CB1F3"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6783" w:type="dxa"/>
            <w:gridSpan w:val="4"/>
            <w:noWrap/>
            <w:vAlign w:val="center"/>
          </w:tcPr>
          <w:p w14:paraId="18E9DE95" w14:textId="5E5324DD" w:rsidR="00B93999" w:rsidRPr="003836D9" w:rsidRDefault="00803A6E" w:rsidP="00B93999">
            <w:pPr>
              <w:jc w:val="center"/>
              <w:rPr>
                <w:rFonts w:ascii="Times New Roman" w:hAnsi="Times New Roman" w:cs="Times New Roman"/>
                <w:sz w:val="20"/>
                <w:szCs w:val="20"/>
                <w:lang w:val="ro-MD"/>
              </w:rPr>
            </w:pPr>
            <w:r w:rsidRPr="003836D9">
              <w:rPr>
                <w:rFonts w:ascii="Times New Roman" w:eastAsia="Times New Roman" w:hAnsi="Times New Roman" w:cs="Times New Roman"/>
                <w:b w:val="0"/>
                <w:bCs w:val="0"/>
                <w:i/>
                <w:color w:val="000000"/>
                <w:sz w:val="20"/>
                <w:szCs w:val="20"/>
                <w:lang w:val="ro-MD"/>
              </w:rPr>
              <w:t>Tip de contract</w:t>
            </w:r>
          </w:p>
        </w:tc>
      </w:tr>
      <w:tr w:rsidR="00803A6E" w:rsidRPr="003836D9" w14:paraId="1DDC469E"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5E313EAD" w14:textId="6A66838C" w:rsidR="00803A6E" w:rsidRPr="003836D9" w:rsidRDefault="00BC2CE6" w:rsidP="00BC2CE6">
            <w:pPr>
              <w:spacing w:line="259" w:lineRule="auto"/>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Normă întreagă</w:t>
            </w:r>
          </w:p>
        </w:tc>
        <w:tc>
          <w:tcPr>
            <w:tcW w:w="733" w:type="dxa"/>
            <w:noWrap/>
            <w:vAlign w:val="bottom"/>
          </w:tcPr>
          <w:p w14:paraId="223E6C4F" w14:textId="4352BAA1"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94.5%</w:t>
            </w:r>
          </w:p>
        </w:tc>
        <w:tc>
          <w:tcPr>
            <w:tcW w:w="872" w:type="dxa"/>
            <w:noWrap/>
            <w:vAlign w:val="bottom"/>
          </w:tcPr>
          <w:p w14:paraId="4FCDD708" w14:textId="57CE97DD"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95.4%</w:t>
            </w:r>
          </w:p>
        </w:tc>
        <w:tc>
          <w:tcPr>
            <w:tcW w:w="2179" w:type="dxa"/>
            <w:vAlign w:val="bottom"/>
          </w:tcPr>
          <w:p w14:paraId="26BF40EC" w14:textId="7FFBD877"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93.5%</w:t>
            </w:r>
          </w:p>
        </w:tc>
      </w:tr>
      <w:tr w:rsidR="00803A6E" w:rsidRPr="003836D9" w14:paraId="0CF28963"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268DE102" w14:textId="380AA2D6" w:rsidR="00803A6E" w:rsidRPr="003836D9" w:rsidRDefault="00BC2CE6" w:rsidP="00803A6E">
            <w:pPr>
              <w:spacing w:line="259" w:lineRule="auto"/>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Program parțial</w:t>
            </w:r>
          </w:p>
        </w:tc>
        <w:tc>
          <w:tcPr>
            <w:tcW w:w="733" w:type="dxa"/>
            <w:noWrap/>
            <w:vAlign w:val="bottom"/>
          </w:tcPr>
          <w:p w14:paraId="2BFDD9C0" w14:textId="4FB247F6"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5.5%</w:t>
            </w:r>
          </w:p>
        </w:tc>
        <w:tc>
          <w:tcPr>
            <w:tcW w:w="872" w:type="dxa"/>
            <w:noWrap/>
            <w:vAlign w:val="bottom"/>
          </w:tcPr>
          <w:p w14:paraId="4497744A" w14:textId="057F8CA0"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4.6%</w:t>
            </w:r>
          </w:p>
        </w:tc>
        <w:tc>
          <w:tcPr>
            <w:tcW w:w="2179" w:type="dxa"/>
            <w:vAlign w:val="bottom"/>
          </w:tcPr>
          <w:p w14:paraId="0155170C" w14:textId="2782BAD2"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6.5%</w:t>
            </w:r>
          </w:p>
        </w:tc>
      </w:tr>
      <w:tr w:rsidR="00803A6E" w:rsidRPr="003836D9" w14:paraId="2EB632AE"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6472DCDD" w14:textId="43DF84FD" w:rsidR="00803A6E" w:rsidRPr="003836D9" w:rsidRDefault="00803A6E" w:rsidP="002B165B">
            <w:pPr>
              <w:ind w:left="32"/>
              <w:rPr>
                <w:rFonts w:ascii="Times New Roman" w:eastAsia="Times New Roman" w:hAnsi="Times New Roman" w:cs="Times New Roman"/>
                <w:b w:val="0"/>
                <w:bCs w:val="0"/>
                <w:i/>
                <w:iCs/>
                <w:sz w:val="20"/>
                <w:szCs w:val="20"/>
                <w:lang w:val="ro-MD"/>
              </w:rPr>
            </w:pPr>
            <w:r w:rsidRPr="003836D9">
              <w:rPr>
                <w:rFonts w:ascii="Times New Roman" w:eastAsia="Times New Roman" w:hAnsi="Times New Roman" w:cs="Times New Roman"/>
                <w:b w:val="0"/>
                <w:bCs w:val="0"/>
                <w:i/>
                <w:iCs/>
                <w:sz w:val="20"/>
                <w:szCs w:val="20"/>
                <w:lang w:val="ro-MD"/>
              </w:rPr>
              <w:t>Fracți</w:t>
            </w:r>
            <w:r w:rsidR="002B165B" w:rsidRPr="003836D9">
              <w:rPr>
                <w:rFonts w:ascii="Times New Roman" w:eastAsia="Times New Roman" w:hAnsi="Times New Roman" w:cs="Times New Roman"/>
                <w:b w:val="0"/>
                <w:bCs w:val="0"/>
                <w:i/>
                <w:iCs/>
                <w:sz w:val="20"/>
                <w:szCs w:val="20"/>
                <w:lang w:val="ro-MD"/>
              </w:rPr>
              <w:t>u</w:t>
            </w:r>
            <w:r w:rsidRPr="003836D9">
              <w:rPr>
                <w:rFonts w:ascii="Times New Roman" w:eastAsia="Times New Roman" w:hAnsi="Times New Roman" w:cs="Times New Roman"/>
                <w:b w:val="0"/>
                <w:bCs w:val="0"/>
                <w:i/>
                <w:iCs/>
                <w:sz w:val="20"/>
                <w:szCs w:val="20"/>
                <w:lang w:val="ro-MD"/>
              </w:rPr>
              <w:t>ne de normă involuntară</w:t>
            </w:r>
          </w:p>
        </w:tc>
        <w:tc>
          <w:tcPr>
            <w:tcW w:w="733" w:type="dxa"/>
            <w:noWrap/>
            <w:vAlign w:val="bottom"/>
          </w:tcPr>
          <w:p w14:paraId="258FEAF2" w14:textId="328208F6"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23%</w:t>
            </w:r>
          </w:p>
        </w:tc>
        <w:tc>
          <w:tcPr>
            <w:tcW w:w="872" w:type="dxa"/>
            <w:noWrap/>
            <w:vAlign w:val="bottom"/>
          </w:tcPr>
          <w:p w14:paraId="1D350588" w14:textId="05143EBE"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w:t>
            </w:r>
          </w:p>
        </w:tc>
        <w:tc>
          <w:tcPr>
            <w:tcW w:w="2179" w:type="dxa"/>
            <w:vAlign w:val="bottom"/>
          </w:tcPr>
          <w:p w14:paraId="1621EE0D" w14:textId="76E95B0C"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w:t>
            </w:r>
          </w:p>
        </w:tc>
      </w:tr>
      <w:tr w:rsidR="00803A6E" w:rsidRPr="003836D9" w14:paraId="16B3F8D4"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577CBC86" w14:textId="29103C56" w:rsidR="00803A6E" w:rsidRPr="003836D9" w:rsidRDefault="00803A6E" w:rsidP="00803A6E">
            <w:pPr>
              <w:ind w:left="31"/>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Contract permanent</w:t>
            </w:r>
          </w:p>
        </w:tc>
        <w:tc>
          <w:tcPr>
            <w:tcW w:w="733" w:type="dxa"/>
            <w:noWrap/>
            <w:vAlign w:val="bottom"/>
          </w:tcPr>
          <w:p w14:paraId="675940A9" w14:textId="13D9F787"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98.3%</w:t>
            </w:r>
          </w:p>
        </w:tc>
        <w:tc>
          <w:tcPr>
            <w:tcW w:w="872" w:type="dxa"/>
            <w:noWrap/>
            <w:vAlign w:val="bottom"/>
          </w:tcPr>
          <w:p w14:paraId="66128762" w14:textId="41D11E7A"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88.2%</w:t>
            </w:r>
          </w:p>
        </w:tc>
        <w:tc>
          <w:tcPr>
            <w:tcW w:w="2179" w:type="dxa"/>
            <w:vAlign w:val="bottom"/>
          </w:tcPr>
          <w:p w14:paraId="6FE09B55" w14:textId="0A5D0B8A"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89.2%</w:t>
            </w:r>
          </w:p>
        </w:tc>
      </w:tr>
      <w:tr w:rsidR="00803A6E" w:rsidRPr="003836D9" w14:paraId="2139888D"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04C9143C" w14:textId="3F8C09F4" w:rsidR="00803A6E" w:rsidRPr="003836D9" w:rsidRDefault="00803A6E" w:rsidP="00803A6E">
            <w:pPr>
              <w:ind w:left="31"/>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 xml:space="preserve">Contract temporar </w:t>
            </w:r>
          </w:p>
        </w:tc>
        <w:tc>
          <w:tcPr>
            <w:tcW w:w="733" w:type="dxa"/>
            <w:noWrap/>
            <w:vAlign w:val="bottom"/>
          </w:tcPr>
          <w:p w14:paraId="3119E47D" w14:textId="7972BB78"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10.7%</w:t>
            </w:r>
          </w:p>
        </w:tc>
        <w:tc>
          <w:tcPr>
            <w:tcW w:w="872" w:type="dxa"/>
            <w:noWrap/>
            <w:vAlign w:val="bottom"/>
          </w:tcPr>
          <w:p w14:paraId="495F6D12" w14:textId="35E341EB"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11.8%</w:t>
            </w:r>
          </w:p>
        </w:tc>
        <w:tc>
          <w:tcPr>
            <w:tcW w:w="2179" w:type="dxa"/>
            <w:vAlign w:val="bottom"/>
          </w:tcPr>
          <w:p w14:paraId="6CE82753" w14:textId="76910BEC" w:rsidR="00803A6E" w:rsidRPr="003836D9" w:rsidRDefault="00803A6E" w:rsidP="00803A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10.8%</w:t>
            </w:r>
          </w:p>
        </w:tc>
      </w:tr>
      <w:tr w:rsidR="00803A6E" w:rsidRPr="003836D9" w14:paraId="608F6D33"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6783" w:type="dxa"/>
            <w:gridSpan w:val="4"/>
            <w:noWrap/>
            <w:vAlign w:val="center"/>
          </w:tcPr>
          <w:p w14:paraId="48C6EA9C" w14:textId="125FACE8" w:rsidR="00803A6E" w:rsidRPr="003836D9" w:rsidRDefault="00803A6E" w:rsidP="00803A6E">
            <w:pPr>
              <w:spacing w:line="259" w:lineRule="auto"/>
              <w:jc w:val="center"/>
              <w:rPr>
                <w:rFonts w:ascii="Times New Roman" w:hAnsi="Times New Roman" w:cs="Times New Roman"/>
                <w:b w:val="0"/>
                <w:bCs w:val="0"/>
                <w:i/>
                <w:iCs/>
                <w:sz w:val="20"/>
                <w:szCs w:val="20"/>
                <w:lang w:val="ro-MD"/>
              </w:rPr>
            </w:pPr>
            <w:r w:rsidRPr="003836D9">
              <w:rPr>
                <w:rFonts w:ascii="Times New Roman" w:hAnsi="Times New Roman" w:cs="Times New Roman"/>
                <w:b w:val="0"/>
                <w:bCs w:val="0"/>
                <w:i/>
                <w:iCs/>
                <w:sz w:val="20"/>
                <w:szCs w:val="20"/>
                <w:lang w:val="ro-MD"/>
              </w:rPr>
              <w:t>Forma de proprietate</w:t>
            </w:r>
          </w:p>
        </w:tc>
      </w:tr>
      <w:tr w:rsidR="00803A6E" w:rsidRPr="003836D9" w14:paraId="77914404"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7B790DE7" w14:textId="77777777" w:rsidR="00803A6E" w:rsidRPr="003836D9" w:rsidRDefault="00803A6E" w:rsidP="00803A6E">
            <w:pPr>
              <w:spacing w:line="259" w:lineRule="auto"/>
              <w:rPr>
                <w:rFonts w:ascii="Times New Roman" w:eastAsia="Times New Roman" w:hAnsi="Times New Roman" w:cs="Times New Roman"/>
                <w:sz w:val="20"/>
                <w:szCs w:val="20"/>
                <w:lang w:val="ro-MD"/>
              </w:rPr>
            </w:pPr>
            <w:r w:rsidRPr="003836D9">
              <w:rPr>
                <w:rFonts w:ascii="Times New Roman" w:eastAsia="Times New Roman" w:hAnsi="Times New Roman" w:cs="Times New Roman"/>
                <w:b w:val="0"/>
                <w:bCs w:val="0"/>
                <w:sz w:val="20"/>
                <w:szCs w:val="20"/>
                <w:lang w:val="ro-MD"/>
              </w:rPr>
              <w:t>Public</w:t>
            </w:r>
          </w:p>
          <w:p w14:paraId="795D35EF" w14:textId="22398592" w:rsidR="00803A6E" w:rsidRPr="003836D9" w:rsidRDefault="00803A6E" w:rsidP="00803A6E">
            <w:pPr>
              <w:spacing w:line="259" w:lineRule="auto"/>
              <w:rPr>
                <w:rFonts w:ascii="Times New Roman" w:eastAsia="Times New Roman" w:hAnsi="Times New Roman" w:cs="Times New Roman"/>
                <w:b w:val="0"/>
                <w:bCs w:val="0"/>
                <w:sz w:val="20"/>
                <w:szCs w:val="20"/>
                <w:lang w:val="ro-MD"/>
              </w:rPr>
            </w:pPr>
          </w:p>
        </w:tc>
        <w:tc>
          <w:tcPr>
            <w:tcW w:w="733" w:type="dxa"/>
            <w:noWrap/>
            <w:vAlign w:val="bottom"/>
          </w:tcPr>
          <w:p w14:paraId="07EB0E0F" w14:textId="136C4A4F" w:rsidR="00803A6E" w:rsidRPr="003836D9" w:rsidRDefault="00803A6E" w:rsidP="00BC2CE6">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29.</w:t>
            </w:r>
            <w:r w:rsidR="00BC2CE6" w:rsidRPr="003836D9">
              <w:rPr>
                <w:rFonts w:ascii="Times New Roman" w:hAnsi="Times New Roman" w:cs="Times New Roman"/>
                <w:color w:val="000000"/>
                <w:sz w:val="20"/>
                <w:szCs w:val="20"/>
                <w:lang w:val="ro-MD"/>
              </w:rPr>
              <w:t>8</w:t>
            </w:r>
            <w:r w:rsidRPr="003836D9">
              <w:rPr>
                <w:rFonts w:ascii="Times New Roman" w:hAnsi="Times New Roman" w:cs="Times New Roman"/>
                <w:color w:val="000000"/>
                <w:sz w:val="20"/>
                <w:szCs w:val="20"/>
                <w:lang w:val="ro-MD"/>
              </w:rPr>
              <w:t>%</w:t>
            </w:r>
          </w:p>
        </w:tc>
        <w:tc>
          <w:tcPr>
            <w:tcW w:w="872" w:type="dxa"/>
            <w:noWrap/>
            <w:vAlign w:val="bottom"/>
          </w:tcPr>
          <w:p w14:paraId="5F870F38" w14:textId="48B3B876" w:rsidR="00803A6E" w:rsidRPr="003836D9" w:rsidRDefault="00803A6E" w:rsidP="00BC2CE6">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2</w:t>
            </w:r>
            <w:r w:rsidR="00BC2CE6" w:rsidRPr="003836D9">
              <w:rPr>
                <w:rFonts w:ascii="Times New Roman" w:hAnsi="Times New Roman" w:cs="Times New Roman"/>
                <w:color w:val="000000"/>
                <w:sz w:val="20"/>
                <w:szCs w:val="20"/>
                <w:lang w:val="ro-MD"/>
              </w:rPr>
              <w:t>1,0</w:t>
            </w:r>
            <w:r w:rsidRPr="003836D9">
              <w:rPr>
                <w:rFonts w:ascii="Times New Roman" w:hAnsi="Times New Roman" w:cs="Times New Roman"/>
                <w:color w:val="000000"/>
                <w:sz w:val="20"/>
                <w:szCs w:val="20"/>
                <w:lang w:val="ro-MD"/>
              </w:rPr>
              <w:t>%</w:t>
            </w:r>
          </w:p>
        </w:tc>
        <w:tc>
          <w:tcPr>
            <w:tcW w:w="2179" w:type="dxa"/>
            <w:vAlign w:val="bottom"/>
          </w:tcPr>
          <w:p w14:paraId="5B5FB2E8" w14:textId="652B4601" w:rsidR="00803A6E" w:rsidRPr="003836D9" w:rsidRDefault="00803A6E" w:rsidP="00803A6E">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39.3%</w:t>
            </w:r>
          </w:p>
        </w:tc>
      </w:tr>
      <w:tr w:rsidR="00803A6E" w:rsidRPr="003836D9" w14:paraId="1DBC2945" w14:textId="77777777" w:rsidTr="00BC2CE6">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2999" w:type="dxa"/>
            <w:noWrap/>
            <w:vAlign w:val="center"/>
          </w:tcPr>
          <w:p w14:paraId="1AEB50A8" w14:textId="31B8626E" w:rsidR="00803A6E" w:rsidRPr="003836D9" w:rsidRDefault="00803A6E" w:rsidP="00803A6E">
            <w:pPr>
              <w:spacing w:line="259" w:lineRule="auto"/>
              <w:ind w:left="31"/>
              <w:rPr>
                <w:rFonts w:ascii="Times New Roman" w:eastAsia="Times New Roman" w:hAnsi="Times New Roman" w:cs="Times New Roman"/>
                <w:b w:val="0"/>
                <w:bCs w:val="0"/>
                <w:sz w:val="20"/>
                <w:szCs w:val="20"/>
                <w:lang w:val="ro-MD"/>
              </w:rPr>
            </w:pPr>
            <w:r w:rsidRPr="003836D9">
              <w:rPr>
                <w:rFonts w:ascii="Times New Roman" w:eastAsia="Times New Roman" w:hAnsi="Times New Roman" w:cs="Times New Roman"/>
                <w:b w:val="0"/>
                <w:bCs w:val="0"/>
                <w:sz w:val="20"/>
                <w:szCs w:val="20"/>
                <w:lang w:val="ro-MD"/>
              </w:rPr>
              <w:t xml:space="preserve">Privat </w:t>
            </w:r>
            <w:r w:rsidR="00BC2CE6" w:rsidRPr="003836D9">
              <w:rPr>
                <w:rFonts w:ascii="Times New Roman" w:eastAsia="Times New Roman" w:hAnsi="Times New Roman" w:cs="Times New Roman"/>
                <w:b w:val="0"/>
                <w:bCs w:val="0"/>
                <w:sz w:val="20"/>
                <w:szCs w:val="20"/>
                <w:lang w:val="ro-MD"/>
              </w:rPr>
              <w:t>și alte forme</w:t>
            </w:r>
          </w:p>
        </w:tc>
        <w:tc>
          <w:tcPr>
            <w:tcW w:w="733" w:type="dxa"/>
            <w:noWrap/>
            <w:vAlign w:val="bottom"/>
          </w:tcPr>
          <w:p w14:paraId="5081F29B" w14:textId="4C9EA417" w:rsidR="00803A6E" w:rsidRPr="003836D9" w:rsidRDefault="00BC2CE6" w:rsidP="00BC2CE6">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70,2</w:t>
            </w:r>
            <w:r w:rsidR="00803A6E" w:rsidRPr="003836D9">
              <w:rPr>
                <w:rFonts w:ascii="Times New Roman" w:hAnsi="Times New Roman" w:cs="Times New Roman"/>
                <w:color w:val="000000"/>
                <w:sz w:val="20"/>
                <w:szCs w:val="20"/>
                <w:lang w:val="ro-MD"/>
              </w:rPr>
              <w:t>%</w:t>
            </w:r>
          </w:p>
        </w:tc>
        <w:tc>
          <w:tcPr>
            <w:tcW w:w="872" w:type="dxa"/>
            <w:noWrap/>
            <w:vAlign w:val="bottom"/>
          </w:tcPr>
          <w:p w14:paraId="2444F947" w14:textId="35DED1B7" w:rsidR="00803A6E" w:rsidRPr="003836D9" w:rsidRDefault="00BC2CE6" w:rsidP="00BC2CE6">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79,0</w:t>
            </w:r>
            <w:r w:rsidR="00803A6E" w:rsidRPr="003836D9">
              <w:rPr>
                <w:rFonts w:ascii="Times New Roman" w:hAnsi="Times New Roman" w:cs="Times New Roman"/>
                <w:color w:val="000000"/>
                <w:sz w:val="20"/>
                <w:szCs w:val="20"/>
                <w:lang w:val="ro-MD"/>
              </w:rPr>
              <w:t>%</w:t>
            </w:r>
          </w:p>
        </w:tc>
        <w:tc>
          <w:tcPr>
            <w:tcW w:w="2179" w:type="dxa"/>
            <w:vAlign w:val="bottom"/>
          </w:tcPr>
          <w:p w14:paraId="051BF1E3" w14:textId="541932F7" w:rsidR="00803A6E" w:rsidRPr="003836D9" w:rsidRDefault="00BC2CE6" w:rsidP="00BC2CE6">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60,7</w:t>
            </w:r>
            <w:r w:rsidR="00803A6E" w:rsidRPr="003836D9">
              <w:rPr>
                <w:rFonts w:ascii="Times New Roman" w:hAnsi="Times New Roman" w:cs="Times New Roman"/>
                <w:color w:val="000000"/>
                <w:sz w:val="20"/>
                <w:szCs w:val="20"/>
                <w:lang w:val="ro-MD"/>
              </w:rPr>
              <w:t>%</w:t>
            </w:r>
          </w:p>
        </w:tc>
      </w:tr>
    </w:tbl>
    <w:p w14:paraId="5032B141" w14:textId="09AB6262" w:rsidR="00EE5AE0" w:rsidRPr="00647201" w:rsidRDefault="005A0CB9" w:rsidP="005A0CB9">
      <w:pPr>
        <w:spacing w:before="120" w:after="120"/>
        <w:rPr>
          <w:rFonts w:ascii="Times New Roman" w:eastAsia="Times New Roman" w:hAnsi="Times New Roman" w:cs="Times New Roman"/>
          <w:sz w:val="20"/>
          <w:szCs w:val="20"/>
          <w:lang w:val="ro-MD"/>
        </w:rPr>
      </w:pPr>
      <w:r w:rsidRPr="00647201">
        <w:rPr>
          <w:rFonts w:ascii="Times New Roman" w:eastAsia="Times New Roman" w:hAnsi="Times New Roman" w:cs="Times New Roman"/>
          <w:i/>
          <w:color w:val="000000"/>
          <w:sz w:val="20"/>
          <w:szCs w:val="20"/>
          <w:lang w:val="ro-MD"/>
        </w:rPr>
        <w:t xml:space="preserve">                             </w:t>
      </w:r>
      <w:r w:rsidR="00803A6E" w:rsidRPr="00647201">
        <w:rPr>
          <w:rFonts w:ascii="Times New Roman" w:eastAsia="Times New Roman" w:hAnsi="Times New Roman" w:cs="Times New Roman"/>
          <w:i/>
          <w:color w:val="000000"/>
          <w:sz w:val="20"/>
          <w:szCs w:val="20"/>
          <w:lang w:val="ro-MD"/>
        </w:rPr>
        <w:t>Sursa: Elaborare în baza datelor B</w:t>
      </w:r>
      <w:r w:rsidR="00647201">
        <w:rPr>
          <w:rFonts w:ascii="Times New Roman" w:eastAsia="Times New Roman" w:hAnsi="Times New Roman" w:cs="Times New Roman"/>
          <w:i/>
          <w:color w:val="000000"/>
          <w:sz w:val="20"/>
          <w:szCs w:val="20"/>
          <w:lang w:val="ro-MD"/>
        </w:rPr>
        <w:t>iroului Național de Statistică</w:t>
      </w:r>
      <w:r w:rsidR="00803A6E" w:rsidRPr="00647201">
        <w:rPr>
          <w:rFonts w:ascii="Times New Roman" w:eastAsia="Times New Roman" w:hAnsi="Times New Roman" w:cs="Times New Roman"/>
          <w:i/>
          <w:color w:val="000000"/>
          <w:sz w:val="20"/>
          <w:szCs w:val="20"/>
          <w:lang w:val="ro-MD"/>
        </w:rPr>
        <w:t xml:space="preserve"> ale Anchetei Forței de Muncă</w:t>
      </w:r>
    </w:p>
    <w:p w14:paraId="785596BF" w14:textId="238D1099" w:rsidR="003559FF" w:rsidRPr="003836D9" w:rsidRDefault="003559FF" w:rsidP="00787810">
      <w:pPr>
        <w:pStyle w:val="Heading3"/>
        <w:ind w:left="4320"/>
        <w:rPr>
          <w:rFonts w:ascii="Times New Roman" w:hAnsi="Times New Roman" w:cs="Times New Roman"/>
          <w:b/>
          <w:bCs/>
          <w:i/>
          <w:iCs/>
          <w:color w:val="auto"/>
          <w:lang w:val="ro-MD"/>
        </w:rPr>
      </w:pPr>
      <w:bookmarkStart w:id="30" w:name="_Toc97315962"/>
      <w:bookmarkStart w:id="31" w:name="_Toc97709285"/>
      <w:r w:rsidRPr="003836D9">
        <w:rPr>
          <w:rFonts w:ascii="Times New Roman" w:hAnsi="Times New Roman" w:cs="Times New Roman"/>
          <w:b/>
          <w:i/>
          <w:iCs/>
          <w:color w:val="auto"/>
          <w:lang w:val="ro-MD"/>
        </w:rPr>
        <w:t>Ocupare</w:t>
      </w:r>
      <w:r w:rsidR="00770B49" w:rsidRPr="003836D9">
        <w:rPr>
          <w:rFonts w:ascii="Times New Roman" w:hAnsi="Times New Roman" w:cs="Times New Roman"/>
          <w:b/>
          <w:i/>
          <w:iCs/>
          <w:color w:val="auto"/>
          <w:lang w:val="ro-MD"/>
        </w:rPr>
        <w:t>a</w:t>
      </w:r>
      <w:r w:rsidRPr="003836D9">
        <w:rPr>
          <w:rFonts w:ascii="Times New Roman" w:hAnsi="Times New Roman" w:cs="Times New Roman"/>
          <w:b/>
          <w:i/>
          <w:iCs/>
          <w:color w:val="auto"/>
          <w:lang w:val="ro-MD"/>
        </w:rPr>
        <w:t xml:space="preserve"> informală</w:t>
      </w:r>
      <w:bookmarkEnd w:id="30"/>
      <w:bookmarkEnd w:id="31"/>
    </w:p>
    <w:p w14:paraId="06850CA9" w14:textId="65C506E5" w:rsidR="003559FF" w:rsidRPr="003836D9" w:rsidRDefault="00364D77" w:rsidP="0058195C">
      <w:pPr>
        <w:autoSpaceDE w:val="0"/>
        <w:autoSpaceDN w:val="0"/>
        <w:adjustRightInd w:val="0"/>
        <w:spacing w:before="120" w:after="120"/>
        <w:jc w:val="both"/>
        <w:rPr>
          <w:rFonts w:ascii="Times New Roman" w:eastAsia="Calibri" w:hAnsi="Times New Roman" w:cs="Times New Roman"/>
          <w:iCs/>
          <w:sz w:val="24"/>
          <w:szCs w:val="24"/>
          <w:lang w:val="ro-MD"/>
        </w:rPr>
      </w:pPr>
      <w:r w:rsidRPr="003836D9">
        <w:rPr>
          <w:rFonts w:ascii="Times New Roman" w:eastAsia="Calibri" w:hAnsi="Times New Roman" w:cs="Times New Roman"/>
          <w:iCs/>
          <w:sz w:val="24"/>
          <w:szCs w:val="24"/>
          <w:lang w:val="ro-MD"/>
        </w:rPr>
        <w:t>În perioada 2014-2018 o</w:t>
      </w:r>
      <w:r w:rsidR="003559FF" w:rsidRPr="003836D9">
        <w:rPr>
          <w:rFonts w:ascii="Times New Roman" w:eastAsia="Calibri" w:hAnsi="Times New Roman" w:cs="Times New Roman"/>
          <w:iCs/>
          <w:sz w:val="24"/>
          <w:szCs w:val="24"/>
          <w:lang w:val="ro-MD"/>
        </w:rPr>
        <w:t>cuparea informală în Moldova a fost în medie de 37 procente. În 202</w:t>
      </w:r>
      <w:r w:rsidR="00C37909" w:rsidRPr="003836D9">
        <w:rPr>
          <w:rFonts w:ascii="Times New Roman" w:eastAsia="Calibri" w:hAnsi="Times New Roman" w:cs="Times New Roman"/>
          <w:iCs/>
          <w:sz w:val="24"/>
          <w:szCs w:val="24"/>
          <w:lang w:val="ro-MD"/>
        </w:rPr>
        <w:t>1</w:t>
      </w:r>
      <w:r w:rsidR="003559FF" w:rsidRPr="003836D9">
        <w:rPr>
          <w:rFonts w:ascii="Times New Roman" w:eastAsia="Calibri" w:hAnsi="Times New Roman" w:cs="Times New Roman"/>
          <w:iCs/>
          <w:sz w:val="24"/>
          <w:szCs w:val="24"/>
          <w:lang w:val="ro-MD"/>
        </w:rPr>
        <w:t xml:space="preserve">, </w:t>
      </w:r>
      <w:r w:rsidR="00BC2CE6" w:rsidRPr="003836D9">
        <w:rPr>
          <w:rFonts w:ascii="Times New Roman" w:eastAsia="Calibri" w:hAnsi="Times New Roman" w:cs="Times New Roman"/>
          <w:iCs/>
          <w:sz w:val="24"/>
          <w:szCs w:val="24"/>
          <w:lang w:val="ro-MD"/>
        </w:rPr>
        <w:t xml:space="preserve">datorită modificării definiției ocupării, </w:t>
      </w:r>
      <w:r w:rsidR="003559FF" w:rsidRPr="003836D9">
        <w:rPr>
          <w:rFonts w:ascii="Times New Roman" w:eastAsia="Calibri" w:hAnsi="Times New Roman" w:cs="Times New Roman"/>
          <w:iCs/>
          <w:sz w:val="24"/>
          <w:szCs w:val="24"/>
          <w:lang w:val="ro-MD"/>
        </w:rPr>
        <w:t>ponderea angajării informale a scăzut la 22,</w:t>
      </w:r>
      <w:r w:rsidR="00C37909" w:rsidRPr="003836D9">
        <w:rPr>
          <w:rFonts w:ascii="Times New Roman" w:eastAsia="Calibri" w:hAnsi="Times New Roman" w:cs="Times New Roman"/>
          <w:iCs/>
          <w:sz w:val="24"/>
          <w:szCs w:val="24"/>
          <w:lang w:val="ro-MD"/>
        </w:rPr>
        <w:t>8</w:t>
      </w:r>
      <w:r w:rsidR="003559FF" w:rsidRPr="003836D9">
        <w:rPr>
          <w:rFonts w:ascii="Times New Roman" w:eastAsia="Calibri" w:hAnsi="Times New Roman" w:cs="Times New Roman"/>
          <w:iCs/>
          <w:sz w:val="24"/>
          <w:szCs w:val="24"/>
          <w:lang w:val="ro-MD"/>
        </w:rPr>
        <w:t xml:space="preserve"> procente. Ocuparea informală este mai răspândită în rândul bărbaților (27,9 procente din totalul bărbaților </w:t>
      </w:r>
      <w:r w:rsidR="0058195C" w:rsidRPr="003836D9">
        <w:rPr>
          <w:rFonts w:ascii="Times New Roman" w:eastAsia="Calibri" w:hAnsi="Times New Roman" w:cs="Times New Roman"/>
          <w:iCs/>
          <w:sz w:val="24"/>
          <w:szCs w:val="24"/>
          <w:lang w:val="ro-MD"/>
        </w:rPr>
        <w:t xml:space="preserve">angajați </w:t>
      </w:r>
      <w:r w:rsidR="003559FF" w:rsidRPr="003836D9">
        <w:rPr>
          <w:rFonts w:ascii="Times New Roman" w:eastAsia="Calibri" w:hAnsi="Times New Roman" w:cs="Times New Roman"/>
          <w:iCs/>
          <w:sz w:val="24"/>
          <w:szCs w:val="24"/>
          <w:lang w:val="ro-MD"/>
        </w:rPr>
        <w:t>față de 1</w:t>
      </w:r>
      <w:r w:rsidR="00C37909" w:rsidRPr="003836D9">
        <w:rPr>
          <w:rFonts w:ascii="Times New Roman" w:eastAsia="Calibri" w:hAnsi="Times New Roman" w:cs="Times New Roman"/>
          <w:iCs/>
          <w:sz w:val="24"/>
          <w:szCs w:val="24"/>
          <w:lang w:val="ro-MD"/>
        </w:rPr>
        <w:t>7</w:t>
      </w:r>
      <w:r w:rsidR="003559FF" w:rsidRPr="003836D9">
        <w:rPr>
          <w:rFonts w:ascii="Times New Roman" w:eastAsia="Calibri" w:hAnsi="Times New Roman" w:cs="Times New Roman"/>
          <w:iCs/>
          <w:sz w:val="24"/>
          <w:szCs w:val="24"/>
          <w:lang w:val="ro-MD"/>
        </w:rPr>
        <w:t>,1 procente pentru femei), tinerilor (</w:t>
      </w:r>
      <w:r w:rsidR="00C37909" w:rsidRPr="003836D9">
        <w:rPr>
          <w:rFonts w:ascii="Times New Roman" w:eastAsia="Calibri" w:hAnsi="Times New Roman" w:cs="Times New Roman"/>
          <w:iCs/>
          <w:sz w:val="24"/>
          <w:szCs w:val="24"/>
          <w:lang w:val="ro-MD"/>
        </w:rPr>
        <w:t>32</w:t>
      </w:r>
      <w:r w:rsidR="003559FF" w:rsidRPr="003836D9">
        <w:rPr>
          <w:rFonts w:ascii="Times New Roman" w:eastAsia="Calibri" w:hAnsi="Times New Roman" w:cs="Times New Roman"/>
          <w:iCs/>
          <w:sz w:val="24"/>
          <w:szCs w:val="24"/>
          <w:lang w:val="ro-MD"/>
        </w:rPr>
        <w:t>,</w:t>
      </w:r>
      <w:r w:rsidR="00C37909" w:rsidRPr="003836D9">
        <w:rPr>
          <w:rFonts w:ascii="Times New Roman" w:eastAsia="Calibri" w:hAnsi="Times New Roman" w:cs="Times New Roman"/>
          <w:iCs/>
          <w:sz w:val="24"/>
          <w:szCs w:val="24"/>
          <w:lang w:val="ro-MD"/>
        </w:rPr>
        <w:t>2</w:t>
      </w:r>
      <w:r w:rsidR="003559FF" w:rsidRPr="003836D9">
        <w:rPr>
          <w:rFonts w:ascii="Times New Roman" w:eastAsia="Calibri" w:hAnsi="Times New Roman" w:cs="Times New Roman"/>
          <w:iCs/>
          <w:sz w:val="24"/>
          <w:szCs w:val="24"/>
          <w:lang w:val="ro-MD"/>
        </w:rPr>
        <w:t xml:space="preserve"> procente), lucrătorilor în vârstă de 65 de ani și peste (26 procente)</w:t>
      </w:r>
      <w:r w:rsidR="0058195C" w:rsidRPr="003836D9">
        <w:rPr>
          <w:rFonts w:ascii="Times New Roman" w:eastAsia="Calibri" w:hAnsi="Times New Roman" w:cs="Times New Roman"/>
          <w:iCs/>
          <w:sz w:val="24"/>
          <w:szCs w:val="24"/>
          <w:lang w:val="ro-MD"/>
        </w:rPr>
        <w:t>,</w:t>
      </w:r>
      <w:r w:rsidR="003559FF" w:rsidRPr="003836D9">
        <w:rPr>
          <w:rFonts w:ascii="Times New Roman" w:eastAsia="Calibri" w:hAnsi="Times New Roman" w:cs="Times New Roman"/>
          <w:iCs/>
          <w:sz w:val="24"/>
          <w:szCs w:val="24"/>
          <w:lang w:val="ro-MD"/>
        </w:rPr>
        <w:t xml:space="preserve"> posibil din cauza necesității de a suplimenta veniturile </w:t>
      </w:r>
      <w:r w:rsidR="0058195C" w:rsidRPr="003836D9">
        <w:rPr>
          <w:rFonts w:ascii="Times New Roman" w:eastAsia="Calibri" w:hAnsi="Times New Roman" w:cs="Times New Roman"/>
          <w:iCs/>
          <w:sz w:val="24"/>
          <w:szCs w:val="24"/>
          <w:lang w:val="ro-MD"/>
        </w:rPr>
        <w:t xml:space="preserve">joase provenite din </w:t>
      </w:r>
      <w:r w:rsidR="003559FF" w:rsidRPr="003836D9">
        <w:rPr>
          <w:rFonts w:ascii="Times New Roman" w:eastAsia="Calibri" w:hAnsi="Times New Roman" w:cs="Times New Roman"/>
          <w:iCs/>
          <w:sz w:val="24"/>
          <w:szCs w:val="24"/>
          <w:lang w:val="ro-MD"/>
        </w:rPr>
        <w:t>pensii și pentru lucrătorii angajați în sectoarele agriculturii și construcțiilor (65,6 procente, 64,9 procente respectiv).</w:t>
      </w:r>
      <w:r w:rsidR="00C37909" w:rsidRPr="003836D9">
        <w:rPr>
          <w:rFonts w:ascii="Times New Roman" w:eastAsia="Calibri" w:hAnsi="Times New Roman" w:cs="Times New Roman"/>
          <w:iCs/>
          <w:sz w:val="24"/>
          <w:szCs w:val="24"/>
          <w:lang w:val="ro-MD"/>
        </w:rPr>
        <w:t xml:space="preserve"> Ocuparea informală a fost mult mai răspândită în mediul rural (33,8 procente), comparativ cu mediul urban (9,2 procente).</w:t>
      </w:r>
    </w:p>
    <w:p w14:paraId="1FCD9F47" w14:textId="13D5D792" w:rsidR="002B165B" w:rsidRDefault="003559FF" w:rsidP="0058195C">
      <w:pPr>
        <w:autoSpaceDE w:val="0"/>
        <w:autoSpaceDN w:val="0"/>
        <w:adjustRightInd w:val="0"/>
        <w:spacing w:before="120" w:after="120"/>
        <w:jc w:val="both"/>
        <w:rPr>
          <w:rFonts w:ascii="Times New Roman" w:hAnsi="Times New Roman" w:cs="Times New Roman"/>
          <w:sz w:val="24"/>
          <w:szCs w:val="24"/>
          <w:lang w:val="ro-MD"/>
        </w:rPr>
      </w:pPr>
      <w:r w:rsidRPr="003836D9">
        <w:rPr>
          <w:rFonts w:ascii="Times New Roman" w:eastAsia="Calibri" w:hAnsi="Times New Roman" w:cs="Times New Roman"/>
          <w:iCs/>
          <w:sz w:val="24"/>
          <w:szCs w:val="24"/>
          <w:lang w:val="ro-MD"/>
        </w:rPr>
        <w:t xml:space="preserve">Scăderea ocupării informale înregistrată între 2019 și 2020 se </w:t>
      </w:r>
      <w:r w:rsidR="00BC2CE6" w:rsidRPr="003836D9">
        <w:rPr>
          <w:rFonts w:ascii="Times New Roman" w:hAnsi="Times New Roman" w:cs="Times New Roman"/>
          <w:lang w:val="ro-MD"/>
        </w:rPr>
        <w:t xml:space="preserve">datorează modificării definiției ocupării (din ocupare nu mai fac parte persoanele care „produc produse agricole pentru consum propriu), precum și </w:t>
      </w:r>
      <w:r w:rsidRPr="003836D9">
        <w:rPr>
          <w:rFonts w:ascii="Times New Roman" w:eastAsia="Calibri" w:hAnsi="Times New Roman" w:cs="Times New Roman"/>
          <w:iCs/>
          <w:sz w:val="24"/>
          <w:szCs w:val="24"/>
          <w:lang w:val="ro-MD"/>
        </w:rPr>
        <w:t xml:space="preserve">pierderilor mai mari de locuri de muncă resimțite de lucrătorii </w:t>
      </w:r>
      <w:r w:rsidR="00990AD6" w:rsidRPr="003836D9">
        <w:rPr>
          <w:rFonts w:ascii="Times New Roman" w:eastAsia="Calibri" w:hAnsi="Times New Roman" w:cs="Times New Roman"/>
          <w:iCs/>
          <w:sz w:val="24"/>
          <w:szCs w:val="24"/>
          <w:lang w:val="ro-MD"/>
        </w:rPr>
        <w:t xml:space="preserve">din sectorul </w:t>
      </w:r>
      <w:r w:rsidRPr="003836D9">
        <w:rPr>
          <w:rFonts w:ascii="Times New Roman" w:eastAsia="Calibri" w:hAnsi="Times New Roman" w:cs="Times New Roman"/>
          <w:iCs/>
          <w:sz w:val="24"/>
          <w:szCs w:val="24"/>
          <w:lang w:val="ro-MD"/>
        </w:rPr>
        <w:t xml:space="preserve">informal în comparație cu cei </w:t>
      </w:r>
      <w:r w:rsidR="00990AD6" w:rsidRPr="003836D9">
        <w:rPr>
          <w:rFonts w:ascii="Times New Roman" w:eastAsia="Calibri" w:hAnsi="Times New Roman" w:cs="Times New Roman"/>
          <w:iCs/>
          <w:sz w:val="24"/>
          <w:szCs w:val="24"/>
          <w:lang w:val="ro-MD"/>
        </w:rPr>
        <w:t xml:space="preserve">din sectorul formal </w:t>
      </w:r>
      <w:r w:rsidRPr="003836D9">
        <w:rPr>
          <w:rFonts w:ascii="Times New Roman" w:eastAsia="Calibri" w:hAnsi="Times New Roman" w:cs="Times New Roman"/>
          <w:iCs/>
          <w:sz w:val="24"/>
          <w:szCs w:val="24"/>
          <w:lang w:val="ro-MD"/>
        </w:rPr>
        <w:t xml:space="preserve">în timpul crizei </w:t>
      </w:r>
      <w:r w:rsidR="00DF67F3">
        <w:rPr>
          <w:rFonts w:ascii="Times New Roman" w:eastAsia="Calibri" w:hAnsi="Times New Roman" w:cs="Times New Roman"/>
          <w:iCs/>
          <w:sz w:val="24"/>
          <w:szCs w:val="24"/>
          <w:lang w:val="ro-MD"/>
        </w:rPr>
        <w:t>COVID</w:t>
      </w:r>
      <w:r w:rsidRPr="003836D9">
        <w:rPr>
          <w:rFonts w:ascii="Times New Roman" w:eastAsia="Calibri" w:hAnsi="Times New Roman" w:cs="Times New Roman"/>
          <w:iCs/>
          <w:sz w:val="24"/>
          <w:szCs w:val="24"/>
          <w:lang w:val="ro-MD"/>
        </w:rPr>
        <w:t>-19 și</w:t>
      </w:r>
      <w:r w:rsidR="004307AF" w:rsidRPr="003836D9">
        <w:rPr>
          <w:rFonts w:ascii="Times New Roman" w:eastAsia="Calibri" w:hAnsi="Times New Roman" w:cs="Times New Roman"/>
          <w:iCs/>
          <w:sz w:val="24"/>
          <w:szCs w:val="24"/>
          <w:lang w:val="ro-MD"/>
        </w:rPr>
        <w:t>,</w:t>
      </w:r>
      <w:r w:rsidRPr="003836D9">
        <w:rPr>
          <w:rFonts w:ascii="Times New Roman" w:eastAsia="Calibri" w:hAnsi="Times New Roman" w:cs="Times New Roman"/>
          <w:iCs/>
          <w:sz w:val="24"/>
          <w:szCs w:val="24"/>
          <w:lang w:val="ro-MD"/>
        </w:rPr>
        <w:t xml:space="preserve"> în special</w:t>
      </w:r>
      <w:r w:rsidR="004307AF" w:rsidRPr="003836D9">
        <w:rPr>
          <w:rFonts w:ascii="Times New Roman" w:eastAsia="Calibri" w:hAnsi="Times New Roman" w:cs="Times New Roman"/>
          <w:iCs/>
          <w:sz w:val="24"/>
          <w:szCs w:val="24"/>
          <w:lang w:val="ro-MD"/>
        </w:rPr>
        <w:t>,</w:t>
      </w:r>
      <w:r w:rsidRPr="003836D9">
        <w:rPr>
          <w:rFonts w:ascii="Times New Roman" w:eastAsia="Calibri" w:hAnsi="Times New Roman" w:cs="Times New Roman"/>
          <w:iCs/>
          <w:sz w:val="24"/>
          <w:szCs w:val="24"/>
          <w:lang w:val="ro-MD"/>
        </w:rPr>
        <w:t xml:space="preserve"> în rândul tinerilor. Pierderile de locuri de muncă în rândul lucrătorilor formali s-au ridicat la 3,4 procente, comparativ cu o scădere de 7,5 procente în rândul celor informali</w:t>
      </w:r>
      <w:r w:rsidR="00EE5AE0" w:rsidRPr="003836D9">
        <w:rPr>
          <w:rFonts w:ascii="Times New Roman" w:hAnsi="Times New Roman" w:cs="Times New Roman"/>
          <w:sz w:val="24"/>
          <w:szCs w:val="24"/>
          <w:lang w:val="ro-MD"/>
        </w:rPr>
        <w:t>.</w:t>
      </w:r>
      <w:bookmarkStart w:id="32" w:name="_Hlk93139546"/>
    </w:p>
    <w:p w14:paraId="7E521FC6" w14:textId="77777777" w:rsidR="00D72E67" w:rsidRPr="003836D9" w:rsidRDefault="00D72E67" w:rsidP="0058195C">
      <w:pPr>
        <w:autoSpaceDE w:val="0"/>
        <w:autoSpaceDN w:val="0"/>
        <w:adjustRightInd w:val="0"/>
        <w:spacing w:before="120" w:after="120"/>
        <w:jc w:val="both"/>
        <w:rPr>
          <w:rFonts w:ascii="Times New Roman" w:hAnsi="Times New Roman" w:cs="Times New Roman"/>
          <w:sz w:val="24"/>
          <w:szCs w:val="24"/>
          <w:lang w:val="ro-MD"/>
        </w:rPr>
      </w:pPr>
    </w:p>
    <w:p w14:paraId="6BAA8AA5" w14:textId="604C86BB" w:rsidR="00271B50" w:rsidRPr="005A0CB9" w:rsidRDefault="00D94B6B" w:rsidP="00271B50">
      <w:pPr>
        <w:autoSpaceDE w:val="0"/>
        <w:autoSpaceDN w:val="0"/>
        <w:adjustRightInd w:val="0"/>
        <w:spacing w:before="120" w:after="120"/>
        <w:ind w:firstLine="709"/>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FD6CB3" w:rsidRPr="005A0CB9">
        <w:rPr>
          <w:rFonts w:ascii="Times New Roman" w:hAnsi="Times New Roman" w:cs="Times New Roman"/>
          <w:b/>
          <w:sz w:val="20"/>
          <w:szCs w:val="20"/>
          <w:lang w:val="ro-MD"/>
        </w:rPr>
        <w:t xml:space="preserve"> 14</w:t>
      </w:r>
      <w:r w:rsidR="00647201">
        <w:rPr>
          <w:rFonts w:ascii="Times New Roman" w:hAnsi="Times New Roman" w:cs="Times New Roman"/>
          <w:b/>
          <w:sz w:val="20"/>
          <w:szCs w:val="20"/>
          <w:lang w:val="ro-MD"/>
        </w:rPr>
        <w:t xml:space="preserve">. </w:t>
      </w:r>
      <w:r w:rsidR="00D57DEE" w:rsidRPr="005A0CB9">
        <w:rPr>
          <w:rFonts w:ascii="Times New Roman" w:hAnsi="Times New Roman" w:cs="Times New Roman"/>
          <w:b/>
          <w:sz w:val="20"/>
          <w:szCs w:val="20"/>
          <w:lang w:val="ro-MD"/>
        </w:rPr>
        <w:t>Ocuparea informală (</w:t>
      </w:r>
      <w:r w:rsidR="00647201">
        <w:rPr>
          <w:rFonts w:ascii="Times New Roman" w:hAnsi="Times New Roman" w:cs="Times New Roman"/>
          <w:b/>
          <w:sz w:val="20"/>
          <w:szCs w:val="20"/>
          <w:lang w:val="ro-MD"/>
        </w:rPr>
        <w:t xml:space="preserve">populația, </w:t>
      </w:r>
      <w:r w:rsidR="00D57DEE" w:rsidRPr="005A0CB9">
        <w:rPr>
          <w:rFonts w:ascii="Times New Roman" w:hAnsi="Times New Roman" w:cs="Times New Roman"/>
          <w:b/>
          <w:sz w:val="20"/>
          <w:szCs w:val="20"/>
          <w:lang w:val="ro-MD"/>
        </w:rPr>
        <w:t>15+ și tineri) după sex și zona de reședință</w:t>
      </w:r>
      <w:r w:rsidR="00A37AC5" w:rsidRPr="005A0CB9">
        <w:rPr>
          <w:rFonts w:ascii="Times New Roman" w:hAnsi="Times New Roman" w:cs="Times New Roman"/>
          <w:b/>
          <w:sz w:val="20"/>
          <w:szCs w:val="20"/>
          <w:lang w:val="ro-MD"/>
        </w:rPr>
        <w:t>, 2019-2021</w:t>
      </w:r>
      <w:r w:rsidR="00FD6CB3" w:rsidRPr="005A0CB9">
        <w:rPr>
          <w:rFonts w:ascii="Times New Roman" w:hAnsi="Times New Roman" w:cs="Times New Roman"/>
          <w:b/>
          <w:sz w:val="20"/>
          <w:szCs w:val="20"/>
          <w:lang w:val="ro-MD"/>
        </w:rPr>
        <w:t xml:space="preserve"> (%)</w:t>
      </w:r>
    </w:p>
    <w:bookmarkEnd w:id="32"/>
    <w:p w14:paraId="4E738ACA" w14:textId="1D0905D5" w:rsidR="00640D66" w:rsidRPr="003836D9" w:rsidRDefault="00685057" w:rsidP="00685057">
      <w:pPr>
        <w:autoSpaceDE w:val="0"/>
        <w:autoSpaceDN w:val="0"/>
        <w:adjustRightInd w:val="0"/>
        <w:spacing w:before="120" w:after="120"/>
        <w:jc w:val="center"/>
        <w:rPr>
          <w:rFonts w:ascii="Times New Roman" w:hAnsi="Times New Roman" w:cs="Times New Roman"/>
          <w:b/>
          <w:noProof/>
          <w:sz w:val="16"/>
          <w:szCs w:val="16"/>
          <w:lang w:val="ro-MD"/>
        </w:rPr>
      </w:pPr>
      <w:r w:rsidRPr="00685057">
        <w:rPr>
          <w:rFonts w:ascii="Times New Roman" w:hAnsi="Times New Roman" w:cs="Times New Roman"/>
          <w:b/>
          <w:noProof/>
          <w:sz w:val="16"/>
          <w:szCs w:val="16"/>
          <w:lang w:val="ru-RU" w:eastAsia="ru-RU"/>
        </w:rPr>
        <w:lastRenderedPageBreak/>
        <w:drawing>
          <wp:inline distT="0" distB="0" distL="0" distR="0" wp14:anchorId="112910BE" wp14:editId="4A04D03A">
            <wp:extent cx="4289816" cy="26483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30638" cy="2673511"/>
                    </a:xfrm>
                    <a:prstGeom prst="rect">
                      <a:avLst/>
                    </a:prstGeom>
                    <a:noFill/>
                    <a:ln>
                      <a:noFill/>
                    </a:ln>
                  </pic:spPr>
                </pic:pic>
              </a:graphicData>
            </a:graphic>
          </wp:inline>
        </w:drawing>
      </w:r>
    </w:p>
    <w:p w14:paraId="272B5D1B" w14:textId="3C663010" w:rsidR="00D57DEE" w:rsidRPr="003836D9" w:rsidRDefault="00D57DEE" w:rsidP="00D72E67">
      <w:pPr>
        <w:spacing w:before="120" w:after="120"/>
        <w:ind w:left="720" w:firstLine="720"/>
        <w:rPr>
          <w:rFonts w:ascii="Times New Roman" w:eastAsia="Times New Roman" w:hAnsi="Times New Roman" w:cs="Times New Roman"/>
          <w:iCs/>
          <w:color w:val="000000"/>
          <w:sz w:val="18"/>
          <w:szCs w:val="18"/>
          <w:lang w:val="ro-MD"/>
        </w:rPr>
      </w:pPr>
      <w:r w:rsidRPr="003836D9">
        <w:rPr>
          <w:rFonts w:ascii="Times New Roman" w:eastAsia="Times New Roman" w:hAnsi="Times New Roman" w:cs="Times New Roman"/>
          <w:i/>
          <w:color w:val="000000"/>
          <w:sz w:val="18"/>
          <w:szCs w:val="18"/>
          <w:lang w:val="ro-MD"/>
        </w:rPr>
        <w:t xml:space="preserve">Sursa: </w:t>
      </w:r>
      <w:r w:rsidRPr="003836D9">
        <w:rPr>
          <w:rFonts w:ascii="Times New Roman" w:eastAsia="Times New Roman" w:hAnsi="Times New Roman" w:cs="Times New Roman"/>
          <w:iCs/>
          <w:color w:val="000000"/>
          <w:sz w:val="18"/>
          <w:szCs w:val="18"/>
          <w:lang w:val="ro-MD"/>
        </w:rPr>
        <w:t>Elaborare în baza datelor B</w:t>
      </w:r>
      <w:r w:rsidR="00436687">
        <w:rPr>
          <w:rFonts w:ascii="Times New Roman" w:eastAsia="Times New Roman" w:hAnsi="Times New Roman" w:cs="Times New Roman"/>
          <w:iCs/>
          <w:color w:val="000000"/>
          <w:sz w:val="18"/>
          <w:szCs w:val="18"/>
          <w:lang w:val="ro-MD"/>
        </w:rPr>
        <w:t>iroului Național de Statistică</w:t>
      </w:r>
      <w:r w:rsidRPr="003836D9">
        <w:rPr>
          <w:rFonts w:ascii="Times New Roman" w:eastAsia="Times New Roman" w:hAnsi="Times New Roman" w:cs="Times New Roman"/>
          <w:iCs/>
          <w:color w:val="000000"/>
          <w:sz w:val="18"/>
          <w:szCs w:val="18"/>
          <w:lang w:val="ro-MD"/>
        </w:rPr>
        <w:t xml:space="preserve"> ale Anchetei Forței de Muncă</w:t>
      </w:r>
    </w:p>
    <w:p w14:paraId="0F3552E4" w14:textId="680F85E8" w:rsidR="00AB2AD9" w:rsidRPr="003836D9" w:rsidRDefault="00D57DEE" w:rsidP="003F084F">
      <w:pPr>
        <w:spacing w:before="120" w:after="12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Dintre tinerii lucrători </w:t>
      </w:r>
      <w:r w:rsidR="00800554" w:rsidRPr="003836D9">
        <w:rPr>
          <w:rFonts w:ascii="Times New Roman" w:hAnsi="Times New Roman" w:cs="Times New Roman"/>
          <w:sz w:val="24"/>
          <w:szCs w:val="24"/>
          <w:lang w:val="ro-MD"/>
        </w:rPr>
        <w:t xml:space="preserve">din sectorul </w:t>
      </w:r>
      <w:r w:rsidRPr="003836D9">
        <w:rPr>
          <w:rFonts w:ascii="Times New Roman" w:hAnsi="Times New Roman" w:cs="Times New Roman"/>
          <w:sz w:val="24"/>
          <w:szCs w:val="24"/>
          <w:lang w:val="ro-MD"/>
        </w:rPr>
        <w:t xml:space="preserve">informal, peste 24 procente și-au pierdut locul de muncă în perioada 2019-2020, comparativ cu o pierdere de 16,8 procente în rândul tinerilor lucrători </w:t>
      </w:r>
      <w:r w:rsidR="00800554" w:rsidRPr="003836D9">
        <w:rPr>
          <w:rFonts w:ascii="Times New Roman" w:hAnsi="Times New Roman" w:cs="Times New Roman"/>
          <w:sz w:val="24"/>
          <w:szCs w:val="24"/>
          <w:lang w:val="ro-MD"/>
        </w:rPr>
        <w:t xml:space="preserve">din sectorul </w:t>
      </w:r>
      <w:r w:rsidRPr="003836D9">
        <w:rPr>
          <w:rFonts w:ascii="Times New Roman" w:hAnsi="Times New Roman" w:cs="Times New Roman"/>
          <w:sz w:val="24"/>
          <w:szCs w:val="24"/>
          <w:lang w:val="ro-MD"/>
        </w:rPr>
        <w:t xml:space="preserve">formal. În mod similar, femeile angajate informal au </w:t>
      </w:r>
      <w:r w:rsidR="00D71094" w:rsidRPr="003836D9">
        <w:rPr>
          <w:rFonts w:ascii="Times New Roman" w:hAnsi="Times New Roman" w:cs="Times New Roman"/>
          <w:sz w:val="24"/>
          <w:szCs w:val="24"/>
          <w:lang w:val="ro-MD"/>
        </w:rPr>
        <w:t xml:space="preserve">pierdut mai multe locuri de muncă </w:t>
      </w:r>
      <w:r w:rsidR="00AD1B7C">
        <w:rPr>
          <w:rFonts w:ascii="Times New Roman" w:hAnsi="Times New Roman" w:cs="Times New Roman"/>
          <w:sz w:val="24"/>
          <w:szCs w:val="24"/>
          <w:lang w:val="ro-MD"/>
        </w:rPr>
        <w:t xml:space="preserve">ca </w:t>
      </w:r>
      <w:r w:rsidR="00800554" w:rsidRPr="003836D9">
        <w:rPr>
          <w:rFonts w:ascii="Times New Roman" w:hAnsi="Times New Roman" w:cs="Times New Roman"/>
          <w:sz w:val="24"/>
          <w:szCs w:val="24"/>
          <w:lang w:val="ro-MD"/>
        </w:rPr>
        <w:t>urmare a</w:t>
      </w:r>
      <w:r w:rsidRPr="003836D9">
        <w:rPr>
          <w:rFonts w:ascii="Times New Roman" w:hAnsi="Times New Roman" w:cs="Times New Roman"/>
          <w:sz w:val="24"/>
          <w:szCs w:val="24"/>
          <w:lang w:val="ro-MD"/>
        </w:rPr>
        <w:t xml:space="preserve"> crizei, cu o pierdere egală cu 7,5 procente, în timp ce bărbați</w:t>
      </w:r>
      <w:r w:rsidR="00D71094" w:rsidRPr="003836D9">
        <w:rPr>
          <w:rFonts w:ascii="Times New Roman" w:hAnsi="Times New Roman" w:cs="Times New Roman"/>
          <w:sz w:val="24"/>
          <w:szCs w:val="24"/>
          <w:lang w:val="ro-MD"/>
        </w:rPr>
        <w:t>i au</w:t>
      </w:r>
      <w:r w:rsidRPr="003836D9">
        <w:rPr>
          <w:rFonts w:ascii="Times New Roman" w:hAnsi="Times New Roman" w:cs="Times New Roman"/>
          <w:sz w:val="24"/>
          <w:szCs w:val="24"/>
          <w:lang w:val="ro-MD"/>
        </w:rPr>
        <w:t xml:space="preserve"> pierd</w:t>
      </w:r>
      <w:r w:rsidR="00D71094" w:rsidRPr="003836D9">
        <w:rPr>
          <w:rFonts w:ascii="Times New Roman" w:hAnsi="Times New Roman" w:cs="Times New Roman"/>
          <w:sz w:val="24"/>
          <w:szCs w:val="24"/>
          <w:lang w:val="ro-MD"/>
        </w:rPr>
        <w:t>ut</w:t>
      </w:r>
      <w:r w:rsidRPr="003836D9">
        <w:rPr>
          <w:rFonts w:ascii="Times New Roman" w:hAnsi="Times New Roman" w:cs="Times New Roman"/>
          <w:sz w:val="24"/>
          <w:szCs w:val="24"/>
          <w:lang w:val="ro-MD"/>
        </w:rPr>
        <w:t xml:space="preserve"> de două ori mai </w:t>
      </w:r>
      <w:r w:rsidR="00D71094" w:rsidRPr="003836D9">
        <w:rPr>
          <w:rFonts w:ascii="Times New Roman" w:hAnsi="Times New Roman" w:cs="Times New Roman"/>
          <w:sz w:val="24"/>
          <w:szCs w:val="24"/>
          <w:lang w:val="ro-MD"/>
        </w:rPr>
        <w:t>puține locuri de muncă</w:t>
      </w:r>
      <w:r w:rsidRPr="003836D9">
        <w:rPr>
          <w:rFonts w:ascii="Times New Roman" w:hAnsi="Times New Roman" w:cs="Times New Roman"/>
          <w:sz w:val="24"/>
          <w:szCs w:val="24"/>
          <w:lang w:val="ro-MD"/>
        </w:rPr>
        <w:t xml:space="preserve"> (-3,4 procente</w:t>
      </w:r>
      <w:r w:rsidR="00950CEC" w:rsidRPr="003836D9">
        <w:rPr>
          <w:rFonts w:ascii="Times New Roman" w:hAnsi="Times New Roman" w:cs="Times New Roman"/>
          <w:sz w:val="24"/>
          <w:szCs w:val="24"/>
          <w:lang w:val="ro-MD"/>
        </w:rPr>
        <w:t xml:space="preserve">). </w:t>
      </w:r>
    </w:p>
    <w:p w14:paraId="44B9CBD3" w14:textId="77777777" w:rsidR="00D57DEE" w:rsidRPr="003836D9" w:rsidRDefault="00D57DEE" w:rsidP="00816682">
      <w:pPr>
        <w:pStyle w:val="Heading3"/>
        <w:ind w:left="2880"/>
        <w:rPr>
          <w:rFonts w:ascii="Times New Roman" w:hAnsi="Times New Roman" w:cs="Times New Roman"/>
          <w:b/>
          <w:bCs/>
          <w:i/>
          <w:iCs/>
          <w:color w:val="auto"/>
          <w:lang w:val="ro-MD"/>
        </w:rPr>
      </w:pPr>
      <w:bookmarkStart w:id="33" w:name="_Toc97315963"/>
      <w:bookmarkStart w:id="34" w:name="_Toc97709286"/>
      <w:r w:rsidRPr="003836D9">
        <w:rPr>
          <w:rFonts w:ascii="Times New Roman" w:hAnsi="Times New Roman" w:cs="Times New Roman"/>
          <w:b/>
          <w:i/>
          <w:iCs/>
          <w:color w:val="auto"/>
          <w:lang w:val="ro-MD"/>
        </w:rPr>
        <w:t>Salarii și alte condiții de muncă</w:t>
      </w:r>
      <w:bookmarkEnd w:id="33"/>
      <w:bookmarkEnd w:id="34"/>
      <w:r w:rsidRPr="003836D9">
        <w:rPr>
          <w:rFonts w:ascii="Times New Roman" w:hAnsi="Times New Roman" w:cs="Times New Roman"/>
          <w:b/>
          <w:i/>
          <w:iCs/>
          <w:color w:val="auto"/>
          <w:lang w:val="ro-MD"/>
        </w:rPr>
        <w:t xml:space="preserve"> </w:t>
      </w:r>
    </w:p>
    <w:p w14:paraId="26CD4535" w14:textId="507C597D" w:rsidR="00D57DEE" w:rsidRPr="003836D9" w:rsidRDefault="00D57DEE" w:rsidP="003F084F">
      <w:pPr>
        <w:spacing w:before="120" w:after="120"/>
        <w:jc w:val="both"/>
        <w:rPr>
          <w:rFonts w:ascii="Times New Roman" w:eastAsia="Calibri" w:hAnsi="Times New Roman" w:cs="Times New Roman"/>
          <w:iCs/>
          <w:sz w:val="24"/>
          <w:szCs w:val="24"/>
          <w:lang w:val="ro-MD"/>
        </w:rPr>
      </w:pPr>
      <w:r w:rsidRPr="003836D9">
        <w:rPr>
          <w:rFonts w:ascii="Times New Roman" w:eastAsia="Calibri" w:hAnsi="Times New Roman" w:cs="Times New Roman"/>
          <w:iCs/>
          <w:sz w:val="24"/>
          <w:szCs w:val="24"/>
          <w:lang w:val="ro-MD"/>
        </w:rPr>
        <w:t xml:space="preserve">Salariul mediu brut s-a dublat în perioada 2013-2020. Diferența de remunerare între femei și bărbați a fost de aproximativ 13,7 procente. Diferențele de salariu între cele două sexe sunt inexistente în unele sectoare și puternice în altele. În special, femeile câștigă mult mai puțin decât bărbații în TIC și finanțe (cu 38, respectiv 44 procente), dar și în comerț (diferență de 17 procente) și în sectoarele sănătății și asistenței sociale (diferență de 23 procente), sectoare care angajează </w:t>
      </w:r>
      <w:r w:rsidR="00CA4A4B" w:rsidRPr="003836D9">
        <w:rPr>
          <w:rFonts w:ascii="Times New Roman" w:eastAsia="Calibri" w:hAnsi="Times New Roman" w:cs="Times New Roman"/>
          <w:iCs/>
          <w:sz w:val="24"/>
          <w:szCs w:val="24"/>
          <w:lang w:val="ro-MD"/>
        </w:rPr>
        <w:t>cote</w:t>
      </w:r>
      <w:r w:rsidRPr="003836D9">
        <w:rPr>
          <w:rFonts w:ascii="Times New Roman" w:eastAsia="Calibri" w:hAnsi="Times New Roman" w:cs="Times New Roman"/>
          <w:iCs/>
          <w:sz w:val="24"/>
          <w:szCs w:val="24"/>
          <w:lang w:val="ro-MD"/>
        </w:rPr>
        <w:t xml:space="preserve"> mai mari de femei.</w:t>
      </w:r>
    </w:p>
    <w:p w14:paraId="2BE4B6C8" w14:textId="37199C9D" w:rsidR="00D57DEE" w:rsidRPr="003836D9" w:rsidRDefault="00D57DEE" w:rsidP="003F084F">
      <w:pPr>
        <w:spacing w:before="120" w:after="120"/>
        <w:jc w:val="both"/>
        <w:rPr>
          <w:rFonts w:ascii="Times New Roman" w:eastAsia="Calibri" w:hAnsi="Times New Roman" w:cs="Times New Roman"/>
          <w:iCs/>
          <w:sz w:val="24"/>
          <w:szCs w:val="24"/>
          <w:lang w:val="ro-MD"/>
        </w:rPr>
      </w:pPr>
      <w:r w:rsidRPr="003836D9">
        <w:rPr>
          <w:rFonts w:ascii="Times New Roman" w:eastAsia="Calibri" w:hAnsi="Times New Roman" w:cs="Times New Roman"/>
          <w:iCs/>
          <w:sz w:val="24"/>
          <w:szCs w:val="24"/>
          <w:lang w:val="ro-MD"/>
        </w:rPr>
        <w:t>Cel mai mare salariu mediu este plătit în sectorul informați</w:t>
      </w:r>
      <w:r w:rsidR="00CA4A4B" w:rsidRPr="003836D9">
        <w:rPr>
          <w:rFonts w:ascii="Times New Roman" w:eastAsia="Calibri" w:hAnsi="Times New Roman" w:cs="Times New Roman"/>
          <w:iCs/>
          <w:sz w:val="24"/>
          <w:szCs w:val="24"/>
          <w:lang w:val="ro-MD"/>
        </w:rPr>
        <w:t xml:space="preserve">ilor </w:t>
      </w:r>
      <w:r w:rsidRPr="003836D9">
        <w:rPr>
          <w:rFonts w:ascii="Times New Roman" w:eastAsia="Calibri" w:hAnsi="Times New Roman" w:cs="Times New Roman"/>
          <w:iCs/>
          <w:sz w:val="24"/>
          <w:szCs w:val="24"/>
          <w:lang w:val="ro-MD"/>
        </w:rPr>
        <w:t>și comunicațiilor și în sectorul financiar, în timp ce cel mai scăzut este în sectorul HORECA (</w:t>
      </w:r>
      <w:r w:rsidR="00D94B6B">
        <w:rPr>
          <w:rFonts w:ascii="Times New Roman" w:eastAsia="Calibri" w:hAnsi="Times New Roman" w:cs="Times New Roman"/>
          <w:iCs/>
          <w:sz w:val="24"/>
          <w:szCs w:val="24"/>
          <w:lang w:val="ro-MD"/>
        </w:rPr>
        <w:t>Fig.</w:t>
      </w:r>
      <w:r w:rsidRPr="003836D9">
        <w:rPr>
          <w:rFonts w:ascii="Times New Roman" w:eastAsia="Calibri" w:hAnsi="Times New Roman" w:cs="Times New Roman"/>
          <w:iCs/>
          <w:sz w:val="24"/>
          <w:szCs w:val="24"/>
          <w:lang w:val="ro-MD"/>
        </w:rPr>
        <w:t xml:space="preserve"> 15). Alte sectoare care plătesc peste salariul mediu național sunt</w:t>
      </w:r>
      <w:r w:rsidR="00CA4A4B" w:rsidRPr="003836D9">
        <w:rPr>
          <w:rFonts w:ascii="Times New Roman" w:eastAsia="Calibri" w:hAnsi="Times New Roman" w:cs="Times New Roman"/>
          <w:iCs/>
          <w:sz w:val="24"/>
          <w:szCs w:val="24"/>
          <w:lang w:val="ro-MD"/>
        </w:rPr>
        <w:t>:</w:t>
      </w:r>
      <w:r w:rsidRPr="003836D9">
        <w:rPr>
          <w:rFonts w:ascii="Times New Roman" w:eastAsia="Calibri" w:hAnsi="Times New Roman" w:cs="Times New Roman"/>
          <w:iCs/>
          <w:sz w:val="24"/>
          <w:szCs w:val="24"/>
          <w:lang w:val="ro-MD"/>
        </w:rPr>
        <w:t xml:space="preserve"> administrația publică, electricitate și gaze, precum și activități profesionale.</w:t>
      </w:r>
      <w:r w:rsidRPr="003836D9">
        <w:rPr>
          <w:rFonts w:ascii="Times New Roman" w:eastAsia="Calibri" w:hAnsi="Times New Roman" w:cs="Times New Roman"/>
          <w:iCs/>
          <w:lang w:val="ro-MD"/>
        </w:rPr>
        <w:t xml:space="preserve"> </w:t>
      </w:r>
      <w:r w:rsidRPr="003836D9">
        <w:rPr>
          <w:rFonts w:ascii="Times New Roman" w:eastAsia="Calibri" w:hAnsi="Times New Roman" w:cs="Times New Roman"/>
          <w:iCs/>
          <w:sz w:val="24"/>
          <w:szCs w:val="24"/>
          <w:lang w:val="ro-MD"/>
        </w:rPr>
        <w:t>Sectoarele economice care în 2020 reprezentau aproape 70 procente din totalul angajării (agricultură, industrie, comerț, transport și HORECA) au plătit mai puțin decât salariul mediu.</w:t>
      </w:r>
    </w:p>
    <w:p w14:paraId="6832F27F" w14:textId="28197DB5" w:rsidR="002B165B" w:rsidRDefault="00D57DEE" w:rsidP="003F084F">
      <w:pPr>
        <w:autoSpaceDE w:val="0"/>
        <w:autoSpaceDN w:val="0"/>
        <w:adjustRightInd w:val="0"/>
        <w:spacing w:before="120" w:after="120"/>
        <w:jc w:val="both"/>
        <w:rPr>
          <w:rFonts w:ascii="Times New Roman" w:eastAsia="Calibri" w:hAnsi="Times New Roman" w:cs="Times New Roman"/>
          <w:iCs/>
          <w:sz w:val="24"/>
          <w:szCs w:val="24"/>
          <w:lang w:val="ro-MD"/>
        </w:rPr>
      </w:pPr>
      <w:r w:rsidRPr="003836D9">
        <w:rPr>
          <w:rFonts w:ascii="Times New Roman" w:eastAsia="Calibri" w:hAnsi="Times New Roman" w:cs="Times New Roman"/>
          <w:iCs/>
          <w:sz w:val="24"/>
          <w:szCs w:val="24"/>
          <w:lang w:val="ro-MD"/>
        </w:rPr>
        <w:t>În 2020, aproximativ 2</w:t>
      </w:r>
      <w:r w:rsidR="001E4AB6" w:rsidRPr="003836D9">
        <w:rPr>
          <w:rFonts w:ascii="Times New Roman" w:eastAsia="Calibri" w:hAnsi="Times New Roman" w:cs="Times New Roman"/>
          <w:iCs/>
          <w:sz w:val="24"/>
          <w:szCs w:val="24"/>
          <w:lang w:val="ro-MD"/>
        </w:rPr>
        <w:t>5,0</w:t>
      </w:r>
      <w:r w:rsidRPr="003836D9">
        <w:rPr>
          <w:rFonts w:ascii="Times New Roman" w:eastAsia="Calibri" w:hAnsi="Times New Roman" w:cs="Times New Roman"/>
          <w:iCs/>
          <w:sz w:val="24"/>
          <w:szCs w:val="24"/>
          <w:lang w:val="ro-MD"/>
        </w:rPr>
        <w:t xml:space="preserve"> procente din</w:t>
      </w:r>
      <w:r w:rsidR="001E4AB6" w:rsidRPr="003836D9">
        <w:rPr>
          <w:rFonts w:ascii="Times New Roman" w:eastAsia="Calibri" w:hAnsi="Times New Roman" w:cs="Times New Roman"/>
          <w:iCs/>
          <w:sz w:val="24"/>
          <w:szCs w:val="24"/>
          <w:lang w:val="ro-MD"/>
        </w:rPr>
        <w:t xml:space="preserve"> salariați </w:t>
      </w:r>
      <w:r w:rsidRPr="003836D9">
        <w:rPr>
          <w:rFonts w:ascii="Times New Roman" w:eastAsia="Calibri" w:hAnsi="Times New Roman" w:cs="Times New Roman"/>
          <w:iCs/>
          <w:sz w:val="24"/>
          <w:szCs w:val="24"/>
          <w:lang w:val="ro-MD"/>
        </w:rPr>
        <w:t xml:space="preserve">au câștigat salarii </w:t>
      </w:r>
      <w:r w:rsidR="001E4AB6" w:rsidRPr="003836D9">
        <w:rPr>
          <w:rFonts w:ascii="Times New Roman" w:eastAsia="Calibri" w:hAnsi="Times New Roman" w:cs="Times New Roman"/>
          <w:iCs/>
          <w:sz w:val="24"/>
          <w:szCs w:val="24"/>
          <w:lang w:val="ro-MD"/>
        </w:rPr>
        <w:t xml:space="preserve">de </w:t>
      </w:r>
      <w:r w:rsidR="00B42B3B" w:rsidRPr="003836D9">
        <w:rPr>
          <w:rFonts w:ascii="Times New Roman" w:eastAsia="Calibri" w:hAnsi="Times New Roman" w:cs="Times New Roman"/>
          <w:iCs/>
          <w:sz w:val="24"/>
          <w:szCs w:val="24"/>
          <w:lang w:val="ro-MD"/>
        </w:rPr>
        <w:t>până</w:t>
      </w:r>
      <w:r w:rsidR="001E4AB6" w:rsidRPr="003836D9">
        <w:rPr>
          <w:rFonts w:ascii="Times New Roman" w:eastAsia="Calibri" w:hAnsi="Times New Roman" w:cs="Times New Roman"/>
          <w:iCs/>
          <w:sz w:val="24"/>
          <w:szCs w:val="24"/>
          <w:lang w:val="ro-MD"/>
        </w:rPr>
        <w:t xml:space="preserve"> la 4 mii lei</w:t>
      </w:r>
      <w:r w:rsidRPr="003836D9">
        <w:rPr>
          <w:rFonts w:ascii="Times New Roman" w:eastAsia="Calibri" w:hAnsi="Times New Roman" w:cs="Times New Roman"/>
          <w:iCs/>
          <w:sz w:val="24"/>
          <w:szCs w:val="24"/>
          <w:lang w:val="ro-MD"/>
        </w:rPr>
        <w:t xml:space="preserve">, în timp ce 9,5 procente au primit salarii </w:t>
      </w:r>
      <w:r w:rsidR="00B42B3B" w:rsidRPr="003836D9">
        <w:rPr>
          <w:rFonts w:ascii="Times New Roman" w:eastAsia="Calibri" w:hAnsi="Times New Roman" w:cs="Times New Roman"/>
          <w:iCs/>
          <w:sz w:val="24"/>
          <w:szCs w:val="24"/>
          <w:lang w:val="ro-MD"/>
        </w:rPr>
        <w:t>sub 3</w:t>
      </w:r>
      <w:r w:rsidR="001A6303">
        <w:rPr>
          <w:rFonts w:ascii="Times New Roman" w:eastAsia="Calibri" w:hAnsi="Times New Roman" w:cs="Times New Roman"/>
          <w:iCs/>
          <w:sz w:val="24"/>
          <w:szCs w:val="24"/>
          <w:lang w:val="ro-MD"/>
        </w:rPr>
        <w:t xml:space="preserve"> mii</w:t>
      </w:r>
      <w:r w:rsidR="00B42B3B" w:rsidRPr="003836D9">
        <w:rPr>
          <w:rFonts w:ascii="Times New Roman" w:eastAsia="Calibri" w:hAnsi="Times New Roman" w:cs="Times New Roman"/>
          <w:iCs/>
          <w:sz w:val="24"/>
          <w:szCs w:val="24"/>
          <w:lang w:val="ro-MD"/>
        </w:rPr>
        <w:t xml:space="preserve"> lei</w:t>
      </w:r>
      <w:r w:rsidR="00630E5B" w:rsidRPr="003836D9">
        <w:rPr>
          <w:rFonts w:ascii="Times New Roman" w:eastAsia="Calibri" w:hAnsi="Times New Roman" w:cs="Times New Roman"/>
          <w:iCs/>
          <w:sz w:val="24"/>
          <w:szCs w:val="24"/>
          <w:lang w:val="ro-MD"/>
        </w:rPr>
        <w:t>.</w:t>
      </w:r>
      <w:bookmarkStart w:id="35" w:name="_Hlk72743685"/>
    </w:p>
    <w:p w14:paraId="74F8557A" w14:textId="77777777" w:rsidR="001A6303" w:rsidRPr="003836D9" w:rsidRDefault="001A6303" w:rsidP="003F084F">
      <w:pPr>
        <w:autoSpaceDE w:val="0"/>
        <w:autoSpaceDN w:val="0"/>
        <w:adjustRightInd w:val="0"/>
        <w:spacing w:before="120" w:after="120"/>
        <w:jc w:val="both"/>
        <w:rPr>
          <w:rFonts w:ascii="Times New Roman" w:eastAsia="Calibri" w:hAnsi="Times New Roman" w:cs="Times New Roman"/>
          <w:iCs/>
          <w:sz w:val="24"/>
          <w:szCs w:val="24"/>
          <w:lang w:val="ro-MD"/>
        </w:rPr>
      </w:pPr>
    </w:p>
    <w:p w14:paraId="4425A8C8" w14:textId="2D3CFDD1" w:rsidR="002B4CB4" w:rsidRDefault="00D94B6B" w:rsidP="002B4CB4">
      <w:pPr>
        <w:autoSpaceDE w:val="0"/>
        <w:autoSpaceDN w:val="0"/>
        <w:adjustRightInd w:val="0"/>
        <w:spacing w:before="120" w:after="120"/>
        <w:ind w:firstLine="709"/>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317563" w:rsidRPr="005A0CB9">
        <w:rPr>
          <w:rFonts w:ascii="Times New Roman" w:hAnsi="Times New Roman" w:cs="Times New Roman"/>
          <w:b/>
          <w:sz w:val="20"/>
          <w:szCs w:val="20"/>
          <w:lang w:val="ro-MD"/>
        </w:rPr>
        <w:t xml:space="preserve"> 1</w:t>
      </w:r>
      <w:r w:rsidR="00EF7D03" w:rsidRPr="005A0CB9">
        <w:rPr>
          <w:rFonts w:ascii="Times New Roman" w:hAnsi="Times New Roman" w:cs="Times New Roman"/>
          <w:b/>
          <w:sz w:val="20"/>
          <w:szCs w:val="20"/>
          <w:lang w:val="ro-MD"/>
        </w:rPr>
        <w:t>5</w:t>
      </w:r>
      <w:r w:rsidR="00685057">
        <w:rPr>
          <w:rFonts w:ascii="Times New Roman" w:hAnsi="Times New Roman" w:cs="Times New Roman"/>
          <w:b/>
          <w:sz w:val="20"/>
          <w:szCs w:val="20"/>
          <w:lang w:val="ro-MD"/>
        </w:rPr>
        <w:t xml:space="preserve">. </w:t>
      </w:r>
      <w:r w:rsidR="00467691" w:rsidRPr="005A0CB9">
        <w:rPr>
          <w:rFonts w:ascii="Times New Roman" w:hAnsi="Times New Roman" w:cs="Times New Roman"/>
          <w:b/>
          <w:sz w:val="20"/>
          <w:szCs w:val="20"/>
          <w:lang w:val="ro-MD"/>
        </w:rPr>
        <w:t>Câștigul salarial mediu brut lunar pe sectoare economice și sex</w:t>
      </w:r>
      <w:r w:rsidR="00317563" w:rsidRPr="005A0CB9">
        <w:rPr>
          <w:rFonts w:ascii="Times New Roman" w:hAnsi="Times New Roman" w:cs="Times New Roman"/>
          <w:b/>
          <w:sz w:val="20"/>
          <w:szCs w:val="20"/>
          <w:lang w:val="ro-MD"/>
        </w:rPr>
        <w:t>, 2020 (M</w:t>
      </w:r>
      <w:r w:rsidR="00467691" w:rsidRPr="005A0CB9">
        <w:rPr>
          <w:rFonts w:ascii="Times New Roman" w:hAnsi="Times New Roman" w:cs="Times New Roman"/>
          <w:b/>
          <w:sz w:val="20"/>
          <w:szCs w:val="20"/>
          <w:lang w:val="ro-MD"/>
        </w:rPr>
        <w:t>D</w:t>
      </w:r>
      <w:r w:rsidR="00317563" w:rsidRPr="005A0CB9">
        <w:rPr>
          <w:rFonts w:ascii="Times New Roman" w:hAnsi="Times New Roman" w:cs="Times New Roman"/>
          <w:b/>
          <w:sz w:val="20"/>
          <w:szCs w:val="20"/>
          <w:lang w:val="ro-MD"/>
        </w:rPr>
        <w:t>L)</w:t>
      </w:r>
      <w:bookmarkEnd w:id="35"/>
    </w:p>
    <w:p w14:paraId="72CC62C4" w14:textId="55DD5BD9" w:rsidR="00CA5910" w:rsidRPr="001A6303" w:rsidRDefault="001A6303" w:rsidP="001A6303">
      <w:pPr>
        <w:autoSpaceDE w:val="0"/>
        <w:autoSpaceDN w:val="0"/>
        <w:adjustRightInd w:val="0"/>
        <w:spacing w:before="120" w:after="120"/>
        <w:jc w:val="center"/>
        <w:rPr>
          <w:rFonts w:ascii="Times New Roman" w:hAnsi="Times New Roman" w:cs="Times New Roman"/>
          <w:b/>
          <w:sz w:val="20"/>
          <w:szCs w:val="20"/>
          <w:lang w:val="ro-MD"/>
        </w:rPr>
      </w:pPr>
      <w:r w:rsidRPr="001A6303">
        <w:rPr>
          <w:rFonts w:ascii="Times New Roman" w:hAnsi="Times New Roman" w:cs="Times New Roman"/>
          <w:b/>
          <w:noProof/>
          <w:sz w:val="20"/>
          <w:szCs w:val="20"/>
          <w:lang w:val="ru-RU" w:eastAsia="ru-RU"/>
        </w:rPr>
        <w:lastRenderedPageBreak/>
        <w:drawing>
          <wp:inline distT="0" distB="0" distL="0" distR="0" wp14:anchorId="6E4774D0" wp14:editId="32A946A8">
            <wp:extent cx="6393180" cy="4167706"/>
            <wp:effectExtent l="0" t="0" r="762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21341" cy="4186064"/>
                    </a:xfrm>
                    <a:prstGeom prst="rect">
                      <a:avLst/>
                    </a:prstGeom>
                    <a:noFill/>
                    <a:ln>
                      <a:noFill/>
                    </a:ln>
                  </pic:spPr>
                </pic:pic>
              </a:graphicData>
            </a:graphic>
          </wp:inline>
        </w:drawing>
      </w:r>
    </w:p>
    <w:p w14:paraId="3F0F1EC6" w14:textId="7BAEA4E0" w:rsidR="00467691" w:rsidRPr="003836D9" w:rsidRDefault="00467691" w:rsidP="001A6303">
      <w:pPr>
        <w:rPr>
          <w:rFonts w:ascii="Times New Roman" w:eastAsia="Times New Roman" w:hAnsi="Times New Roman" w:cs="Times New Roman"/>
          <w:iCs/>
          <w:color w:val="000000"/>
          <w:sz w:val="18"/>
          <w:szCs w:val="18"/>
          <w:lang w:val="ro-MD"/>
        </w:rPr>
      </w:pPr>
      <w:r w:rsidRPr="003836D9">
        <w:rPr>
          <w:rFonts w:ascii="Times New Roman" w:eastAsia="Times New Roman" w:hAnsi="Times New Roman" w:cs="Times New Roman"/>
          <w:i/>
          <w:color w:val="000000"/>
          <w:sz w:val="18"/>
          <w:szCs w:val="18"/>
          <w:lang w:val="ro-MD"/>
        </w:rPr>
        <w:t xml:space="preserve">Sursa: </w:t>
      </w:r>
      <w:r w:rsidRPr="003836D9">
        <w:rPr>
          <w:rFonts w:ascii="Times New Roman" w:eastAsia="Times New Roman" w:hAnsi="Times New Roman" w:cs="Times New Roman"/>
          <w:iCs/>
          <w:color w:val="000000"/>
          <w:sz w:val="18"/>
          <w:szCs w:val="18"/>
          <w:lang w:val="ro-MD"/>
        </w:rPr>
        <w:t xml:space="preserve">Elaborare în baza datelor </w:t>
      </w:r>
      <w:r w:rsidR="00436687">
        <w:rPr>
          <w:rFonts w:ascii="Times New Roman" w:eastAsia="Times New Roman" w:hAnsi="Times New Roman" w:cs="Times New Roman"/>
          <w:iCs/>
          <w:color w:val="000000"/>
          <w:sz w:val="18"/>
          <w:szCs w:val="18"/>
          <w:lang w:val="ro-MD"/>
        </w:rPr>
        <w:t>Biroului Național de Statistică</w:t>
      </w:r>
    </w:p>
    <w:p w14:paraId="56DAFC30" w14:textId="2FEC1D29" w:rsidR="00467691" w:rsidRPr="003836D9" w:rsidRDefault="00467691" w:rsidP="003F084F">
      <w:pPr>
        <w:spacing w:before="120" w:after="12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Productivitatea muncii – exprimată ca PIB pe persoană angajată la prețuri </w:t>
      </w:r>
      <w:r w:rsidR="00CA4A4B" w:rsidRPr="003836D9">
        <w:rPr>
          <w:rFonts w:ascii="Times New Roman" w:hAnsi="Times New Roman" w:cs="Times New Roman"/>
          <w:sz w:val="24"/>
          <w:szCs w:val="24"/>
          <w:lang w:val="ro-MD"/>
        </w:rPr>
        <w:t xml:space="preserve">constante </w:t>
      </w:r>
      <w:r w:rsidR="005A0CB9">
        <w:rPr>
          <w:rFonts w:ascii="Times New Roman" w:hAnsi="Times New Roman" w:cs="Times New Roman"/>
          <w:sz w:val="24"/>
          <w:szCs w:val="24"/>
          <w:lang w:val="ro-MD"/>
        </w:rPr>
        <w:t>paritatea puterii de cumpărare (</w:t>
      </w:r>
      <w:r w:rsidR="00CA4A4B" w:rsidRPr="003836D9">
        <w:rPr>
          <w:rFonts w:ascii="Times New Roman" w:hAnsi="Times New Roman" w:cs="Times New Roman"/>
          <w:sz w:val="24"/>
          <w:szCs w:val="24"/>
          <w:lang w:val="ro-MD"/>
        </w:rPr>
        <w:t>PPC</w:t>
      </w:r>
      <w:r w:rsidR="005A0CB9">
        <w:rPr>
          <w:rFonts w:ascii="Times New Roman" w:hAnsi="Times New Roman" w:cs="Times New Roman"/>
          <w:sz w:val="24"/>
          <w:szCs w:val="24"/>
          <w:lang w:val="ro-MD"/>
        </w:rPr>
        <w:t>)</w:t>
      </w:r>
      <w:r w:rsidR="00CA4A4B" w:rsidRPr="003836D9">
        <w:rPr>
          <w:rFonts w:ascii="Times New Roman" w:hAnsi="Times New Roman" w:cs="Times New Roman"/>
          <w:sz w:val="24"/>
          <w:szCs w:val="24"/>
          <w:lang w:val="ro-MD"/>
        </w:rPr>
        <w:t xml:space="preserve"> în USD</w:t>
      </w:r>
      <w:r w:rsidR="00AD1B7C">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 xml:space="preserve">– a crescut cu peste 65 procente în perioada 2009-2018 (de la 23.992 la 39.658 USD), dar nivelul său a rămas mult sub media regională a </w:t>
      </w:r>
      <w:r w:rsidR="002D6FD2">
        <w:rPr>
          <w:rFonts w:ascii="Times New Roman" w:hAnsi="Times New Roman" w:cs="Times New Roman"/>
          <w:sz w:val="24"/>
          <w:szCs w:val="24"/>
          <w:lang w:val="ro-MD"/>
        </w:rPr>
        <w:t>Europei și Asiei Centrale (</w:t>
      </w:r>
      <w:r w:rsidR="00403BFE" w:rsidRPr="003836D9">
        <w:rPr>
          <w:rFonts w:ascii="Times New Roman" w:hAnsi="Times New Roman" w:cs="Times New Roman"/>
          <w:sz w:val="24"/>
          <w:szCs w:val="24"/>
          <w:lang w:val="ro-MD"/>
        </w:rPr>
        <w:t>EAC</w:t>
      </w:r>
      <w:r w:rsidR="002D6FD2">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de 50.719,5 USD (</w:t>
      </w:r>
      <w:r w:rsidR="00AD1B7C">
        <w:rPr>
          <w:rFonts w:ascii="Times New Roman" w:hAnsi="Times New Roman" w:cs="Times New Roman"/>
          <w:sz w:val="24"/>
          <w:szCs w:val="24"/>
          <w:lang w:val="ro-MD"/>
        </w:rPr>
        <w:t xml:space="preserve">cu </w:t>
      </w:r>
      <w:r w:rsidRPr="003836D9">
        <w:rPr>
          <w:rFonts w:ascii="Times New Roman" w:hAnsi="Times New Roman" w:cs="Times New Roman"/>
          <w:sz w:val="24"/>
          <w:szCs w:val="24"/>
          <w:lang w:val="ro-MD"/>
        </w:rPr>
        <w:t>20 procente mai mic).</w:t>
      </w:r>
      <w:r w:rsidRPr="003836D9">
        <w:rPr>
          <w:rStyle w:val="FootnoteReference"/>
          <w:rFonts w:ascii="Times New Roman" w:hAnsi="Times New Roman" w:cs="Times New Roman"/>
          <w:sz w:val="24"/>
          <w:szCs w:val="24"/>
          <w:lang w:val="ro-MD"/>
        </w:rPr>
        <w:footnoteReference w:id="23"/>
      </w:r>
    </w:p>
    <w:p w14:paraId="2A099495" w14:textId="61B92672" w:rsidR="00467691" w:rsidRPr="003836D9" w:rsidRDefault="00467691" w:rsidP="003F084F">
      <w:pPr>
        <w:spacing w:before="120" w:after="12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Orele </w:t>
      </w:r>
      <w:r w:rsidR="00DA6933" w:rsidRPr="003836D9">
        <w:rPr>
          <w:rFonts w:ascii="Times New Roman" w:hAnsi="Times New Roman" w:cs="Times New Roman"/>
          <w:sz w:val="24"/>
          <w:szCs w:val="24"/>
          <w:lang w:val="ro-MD"/>
        </w:rPr>
        <w:t xml:space="preserve">efectiv lucrate </w:t>
      </w:r>
      <w:r w:rsidRPr="003836D9">
        <w:rPr>
          <w:rFonts w:ascii="Times New Roman" w:hAnsi="Times New Roman" w:cs="Times New Roman"/>
          <w:sz w:val="24"/>
          <w:szCs w:val="24"/>
          <w:lang w:val="ro-MD"/>
        </w:rPr>
        <w:t>pentru populația de 15 ani și peste au fost în medie de 3</w:t>
      </w:r>
      <w:r w:rsidR="00DA6933" w:rsidRPr="003836D9">
        <w:rPr>
          <w:rFonts w:ascii="Times New Roman" w:hAnsi="Times New Roman" w:cs="Times New Roman"/>
          <w:sz w:val="24"/>
          <w:szCs w:val="24"/>
          <w:lang w:val="ro-MD"/>
        </w:rPr>
        <w:t>8,8</w:t>
      </w:r>
      <w:r w:rsidRPr="003836D9">
        <w:rPr>
          <w:rFonts w:ascii="Times New Roman" w:hAnsi="Times New Roman" w:cs="Times New Roman"/>
          <w:sz w:val="24"/>
          <w:szCs w:val="24"/>
          <w:lang w:val="ro-MD"/>
        </w:rPr>
        <w:t>, cu bărbații mai probabil decât femeile să lucreze mai multe ore (</w:t>
      </w:r>
      <w:r w:rsidR="00DA6933" w:rsidRPr="003836D9">
        <w:rPr>
          <w:rFonts w:ascii="Times New Roman" w:hAnsi="Times New Roman" w:cs="Times New Roman"/>
          <w:sz w:val="24"/>
          <w:szCs w:val="24"/>
          <w:lang w:val="ro-MD"/>
        </w:rPr>
        <w:t>40,1</w:t>
      </w:r>
      <w:r w:rsidRPr="003836D9">
        <w:rPr>
          <w:rFonts w:ascii="Times New Roman" w:hAnsi="Times New Roman" w:cs="Times New Roman"/>
          <w:sz w:val="24"/>
          <w:szCs w:val="24"/>
          <w:lang w:val="ro-MD"/>
        </w:rPr>
        <w:t xml:space="preserve"> și, respectiv, 3</w:t>
      </w:r>
      <w:r w:rsidR="00DA6933" w:rsidRPr="003836D9">
        <w:rPr>
          <w:rFonts w:ascii="Times New Roman" w:hAnsi="Times New Roman" w:cs="Times New Roman"/>
          <w:sz w:val="24"/>
          <w:szCs w:val="24"/>
          <w:lang w:val="ro-MD"/>
        </w:rPr>
        <w:t>7,3</w:t>
      </w:r>
      <w:r w:rsidRPr="003836D9">
        <w:rPr>
          <w:rFonts w:ascii="Times New Roman" w:hAnsi="Times New Roman" w:cs="Times New Roman"/>
          <w:sz w:val="24"/>
          <w:szCs w:val="24"/>
          <w:lang w:val="ro-MD"/>
        </w:rPr>
        <w:t xml:space="preserve"> procente). Ponderea persoanelor care lucrează un număr excesiv de ore (48+) a fost egală cu 4 procente din populația ocupată 15+, cu șansele bărbaților de două ori mai mari decât </w:t>
      </w:r>
      <w:r w:rsidR="00770B49" w:rsidRPr="003836D9">
        <w:rPr>
          <w:rFonts w:ascii="Times New Roman" w:hAnsi="Times New Roman" w:cs="Times New Roman"/>
          <w:sz w:val="24"/>
          <w:szCs w:val="24"/>
          <w:lang w:val="ro-MD"/>
        </w:rPr>
        <w:t xml:space="preserve">al </w:t>
      </w:r>
      <w:r w:rsidRPr="003836D9">
        <w:rPr>
          <w:rFonts w:ascii="Times New Roman" w:hAnsi="Times New Roman" w:cs="Times New Roman"/>
          <w:sz w:val="24"/>
          <w:szCs w:val="24"/>
          <w:lang w:val="ro-MD"/>
        </w:rPr>
        <w:t>femeil</w:t>
      </w:r>
      <w:r w:rsidR="00770B49" w:rsidRPr="003836D9">
        <w:rPr>
          <w:rFonts w:ascii="Times New Roman" w:hAnsi="Times New Roman" w:cs="Times New Roman"/>
          <w:sz w:val="24"/>
          <w:szCs w:val="24"/>
          <w:lang w:val="ro-MD"/>
        </w:rPr>
        <w:t>or</w:t>
      </w:r>
      <w:r w:rsidRPr="003836D9">
        <w:rPr>
          <w:rFonts w:ascii="Times New Roman" w:hAnsi="Times New Roman" w:cs="Times New Roman"/>
          <w:sz w:val="24"/>
          <w:szCs w:val="24"/>
          <w:lang w:val="ro-MD"/>
        </w:rPr>
        <w:t xml:space="preserve"> de a fi expuși la ore excesive de muncă (5,6 procente și, respectiv, 2,6 procente).</w:t>
      </w:r>
    </w:p>
    <w:p w14:paraId="0DDC5100" w14:textId="735E898A" w:rsidR="00E06E9D" w:rsidRPr="003836D9" w:rsidRDefault="008548FE" w:rsidP="001F4F08">
      <w:pPr>
        <w:spacing w:before="120" w:after="120"/>
        <w:jc w:val="both"/>
        <w:rPr>
          <w:rFonts w:ascii="Times New Roman" w:eastAsia="Times New Roman" w:hAnsi="Times New Roman" w:cs="Times New Roman"/>
          <w:sz w:val="24"/>
          <w:szCs w:val="24"/>
          <w:lang w:val="ro-MD"/>
        </w:rPr>
      </w:pPr>
      <w:r>
        <w:rPr>
          <w:rFonts w:ascii="Times New Roman" w:eastAsia="Calibri" w:hAnsi="Times New Roman" w:cs="Times New Roman"/>
          <w:bCs/>
          <w:sz w:val="24"/>
          <w:szCs w:val="24"/>
          <w:lang w:val="ro-MD" w:eastAsia="en-GB"/>
        </w:rPr>
        <w:t>Organizația</w:t>
      </w:r>
      <w:r w:rsidR="00467691" w:rsidRPr="003836D9">
        <w:rPr>
          <w:rFonts w:ascii="Times New Roman" w:eastAsia="Calibri" w:hAnsi="Times New Roman" w:cs="Times New Roman"/>
          <w:bCs/>
          <w:sz w:val="24"/>
          <w:szCs w:val="24"/>
          <w:lang w:val="ro-MD" w:eastAsia="en-GB"/>
        </w:rPr>
        <w:t xml:space="preserve"> Internațional</w:t>
      </w:r>
      <w:r>
        <w:rPr>
          <w:rFonts w:ascii="Times New Roman" w:eastAsia="Calibri" w:hAnsi="Times New Roman" w:cs="Times New Roman"/>
          <w:bCs/>
          <w:sz w:val="24"/>
          <w:szCs w:val="24"/>
          <w:lang w:val="ro-MD" w:eastAsia="en-GB"/>
        </w:rPr>
        <w:t>ă</w:t>
      </w:r>
      <w:r w:rsidR="00467691" w:rsidRPr="003836D9">
        <w:rPr>
          <w:rFonts w:ascii="Times New Roman" w:eastAsia="Calibri" w:hAnsi="Times New Roman" w:cs="Times New Roman"/>
          <w:bCs/>
          <w:sz w:val="24"/>
          <w:szCs w:val="24"/>
          <w:lang w:val="ro-MD" w:eastAsia="en-GB"/>
        </w:rPr>
        <w:t xml:space="preserve"> al Muncii (OIM) estimează că</w:t>
      </w:r>
      <w:r w:rsidR="001B0BA3" w:rsidRPr="003836D9">
        <w:rPr>
          <w:rFonts w:ascii="Times New Roman" w:eastAsia="Calibri" w:hAnsi="Times New Roman" w:cs="Times New Roman"/>
          <w:bCs/>
          <w:sz w:val="24"/>
          <w:szCs w:val="24"/>
          <w:lang w:val="ro-MD" w:eastAsia="en-GB"/>
        </w:rPr>
        <w:t xml:space="preserve"> în 2020,</w:t>
      </w:r>
      <w:r w:rsidR="00467691" w:rsidRPr="003836D9">
        <w:rPr>
          <w:rFonts w:ascii="Times New Roman" w:eastAsia="Calibri" w:hAnsi="Times New Roman" w:cs="Times New Roman"/>
          <w:bCs/>
          <w:sz w:val="24"/>
          <w:szCs w:val="24"/>
          <w:lang w:val="ro-MD" w:eastAsia="en-GB"/>
        </w:rPr>
        <w:t xml:space="preserve"> 13 procente din toate orele de lucru au fost pierdute, comparativ cu ultimul trimestru din 2019. Această scădere este mai mare decât cantitatea medie de ore de muncă pierdute în Uniunea Europeană (8 procente). Numărul de ore de muncă pierdute în Moldova corespunde unui echivalent a 130.000 de locuri de muncă cu normă întreagă. Cele mai recente date din </w:t>
      </w:r>
      <w:r w:rsidR="00770B49" w:rsidRPr="003836D9">
        <w:rPr>
          <w:rFonts w:ascii="Times New Roman" w:eastAsia="Calibri" w:hAnsi="Times New Roman" w:cs="Times New Roman"/>
          <w:bCs/>
          <w:sz w:val="24"/>
          <w:szCs w:val="24"/>
          <w:lang w:val="ro-MD" w:eastAsia="en-GB"/>
        </w:rPr>
        <w:t>ancheta</w:t>
      </w:r>
      <w:r w:rsidR="00467691" w:rsidRPr="003836D9">
        <w:rPr>
          <w:rFonts w:ascii="Times New Roman" w:eastAsia="Calibri" w:hAnsi="Times New Roman" w:cs="Times New Roman"/>
          <w:bCs/>
          <w:sz w:val="24"/>
          <w:szCs w:val="24"/>
          <w:lang w:val="ro-MD" w:eastAsia="en-GB"/>
        </w:rPr>
        <w:t xml:space="preserve"> forței de muncă din Republica Moldova indică faptul că pierderea orelor de muncă s-a tra</w:t>
      </w:r>
      <w:r w:rsidR="002D6FD2">
        <w:rPr>
          <w:rFonts w:ascii="Times New Roman" w:eastAsia="Calibri" w:hAnsi="Times New Roman" w:cs="Times New Roman"/>
          <w:bCs/>
          <w:sz w:val="24"/>
          <w:szCs w:val="24"/>
          <w:lang w:val="ro-MD" w:eastAsia="en-GB"/>
        </w:rPr>
        <w:t>nsferat</w:t>
      </w:r>
      <w:r w:rsidR="00770B49" w:rsidRPr="003836D9">
        <w:rPr>
          <w:rFonts w:ascii="Times New Roman" w:eastAsia="Calibri" w:hAnsi="Times New Roman" w:cs="Times New Roman"/>
          <w:bCs/>
          <w:sz w:val="24"/>
          <w:szCs w:val="24"/>
          <w:lang w:val="ro-MD" w:eastAsia="en-GB"/>
        </w:rPr>
        <w:t>,</w:t>
      </w:r>
      <w:r w:rsidR="00467691" w:rsidRPr="003836D9">
        <w:rPr>
          <w:rFonts w:ascii="Times New Roman" w:eastAsia="Calibri" w:hAnsi="Times New Roman" w:cs="Times New Roman"/>
          <w:bCs/>
          <w:sz w:val="24"/>
          <w:szCs w:val="24"/>
          <w:lang w:val="ro-MD" w:eastAsia="en-GB"/>
        </w:rPr>
        <w:t xml:space="preserve"> în cea mai mare parte</w:t>
      </w:r>
      <w:r w:rsidR="00770B49" w:rsidRPr="003836D9">
        <w:rPr>
          <w:rFonts w:ascii="Times New Roman" w:eastAsia="Calibri" w:hAnsi="Times New Roman" w:cs="Times New Roman"/>
          <w:bCs/>
          <w:sz w:val="24"/>
          <w:szCs w:val="24"/>
          <w:lang w:val="ro-MD" w:eastAsia="en-GB"/>
        </w:rPr>
        <w:t>,</w:t>
      </w:r>
      <w:r w:rsidR="00467691" w:rsidRPr="003836D9">
        <w:rPr>
          <w:rFonts w:ascii="Times New Roman" w:eastAsia="Calibri" w:hAnsi="Times New Roman" w:cs="Times New Roman"/>
          <w:bCs/>
          <w:sz w:val="24"/>
          <w:szCs w:val="24"/>
          <w:lang w:val="ro-MD" w:eastAsia="en-GB"/>
        </w:rPr>
        <w:t xml:space="preserve"> </w:t>
      </w:r>
      <w:r w:rsidR="001B0BA3" w:rsidRPr="003836D9">
        <w:rPr>
          <w:rFonts w:ascii="Times New Roman" w:eastAsia="Calibri" w:hAnsi="Times New Roman" w:cs="Times New Roman"/>
          <w:bCs/>
          <w:sz w:val="24"/>
          <w:szCs w:val="24"/>
          <w:lang w:val="ro-MD" w:eastAsia="en-GB"/>
        </w:rPr>
        <w:t>în re</w:t>
      </w:r>
      <w:r w:rsidR="00467691" w:rsidRPr="003836D9">
        <w:rPr>
          <w:rFonts w:ascii="Times New Roman" w:eastAsia="Calibri" w:hAnsi="Times New Roman" w:cs="Times New Roman"/>
          <w:bCs/>
          <w:sz w:val="24"/>
          <w:szCs w:val="24"/>
          <w:lang w:val="ro-MD" w:eastAsia="en-GB"/>
        </w:rPr>
        <w:t>ducerea numărului de locuri de muncă și nu</w:t>
      </w:r>
      <w:r w:rsidR="00770B49" w:rsidRPr="003836D9">
        <w:rPr>
          <w:rFonts w:ascii="Times New Roman" w:eastAsia="Calibri" w:hAnsi="Times New Roman" w:cs="Times New Roman"/>
          <w:bCs/>
          <w:sz w:val="24"/>
          <w:szCs w:val="24"/>
          <w:lang w:val="ro-MD" w:eastAsia="en-GB"/>
        </w:rPr>
        <w:t xml:space="preserve"> în</w:t>
      </w:r>
      <w:r w:rsidR="00467691" w:rsidRPr="003836D9">
        <w:rPr>
          <w:rFonts w:ascii="Times New Roman" w:eastAsia="Calibri" w:hAnsi="Times New Roman" w:cs="Times New Roman"/>
          <w:bCs/>
          <w:sz w:val="24"/>
          <w:szCs w:val="24"/>
          <w:lang w:val="ro-MD" w:eastAsia="en-GB"/>
        </w:rPr>
        <w:t xml:space="preserve"> reducerea orelor lucrate</w:t>
      </w:r>
      <w:r w:rsidR="0044413E" w:rsidRPr="003836D9">
        <w:rPr>
          <w:rFonts w:ascii="Times New Roman" w:eastAsia="Calibri" w:hAnsi="Times New Roman" w:cs="Times New Roman"/>
          <w:bCs/>
          <w:sz w:val="24"/>
          <w:szCs w:val="24"/>
          <w:lang w:val="ro-MD" w:eastAsia="en-GB"/>
        </w:rPr>
        <w:t>.</w:t>
      </w:r>
    </w:p>
    <w:p w14:paraId="23C63DC4" w14:textId="77777777" w:rsidR="00467691" w:rsidRPr="003836D9" w:rsidRDefault="00467691" w:rsidP="002B4CB4">
      <w:pPr>
        <w:pStyle w:val="Heading3"/>
        <w:ind w:left="4320"/>
        <w:rPr>
          <w:rFonts w:ascii="Times New Roman" w:hAnsi="Times New Roman" w:cs="Times New Roman"/>
          <w:b/>
          <w:bCs/>
          <w:i/>
          <w:iCs/>
          <w:color w:val="auto"/>
          <w:lang w:val="ro-MD"/>
        </w:rPr>
      </w:pPr>
      <w:bookmarkStart w:id="36" w:name="_Toc97315964"/>
      <w:bookmarkStart w:id="37" w:name="_Toc97709287"/>
      <w:r w:rsidRPr="003836D9">
        <w:rPr>
          <w:rFonts w:ascii="Times New Roman" w:hAnsi="Times New Roman" w:cs="Times New Roman"/>
          <w:b/>
          <w:i/>
          <w:iCs/>
          <w:color w:val="auto"/>
          <w:lang w:val="ro-MD"/>
        </w:rPr>
        <w:t>Șomajul</w:t>
      </w:r>
      <w:bookmarkEnd w:id="36"/>
      <w:bookmarkEnd w:id="37"/>
    </w:p>
    <w:p w14:paraId="73320EC4" w14:textId="0113B05D" w:rsidR="00775F59" w:rsidRDefault="00467691" w:rsidP="001A6303">
      <w:pPr>
        <w:spacing w:before="120" w:after="120"/>
        <w:jc w:val="both"/>
        <w:rPr>
          <w:rFonts w:ascii="Times New Roman" w:eastAsia="Calibri" w:hAnsi="Times New Roman" w:cs="Times New Roman"/>
          <w:iCs/>
          <w:sz w:val="24"/>
          <w:szCs w:val="24"/>
          <w:lang w:val="ro-MD"/>
        </w:rPr>
      </w:pPr>
      <w:r w:rsidRPr="003836D9">
        <w:rPr>
          <w:rFonts w:ascii="Times New Roman" w:eastAsia="Calibri" w:hAnsi="Times New Roman" w:cs="Times New Roman"/>
          <w:iCs/>
          <w:sz w:val="24"/>
          <w:szCs w:val="24"/>
          <w:lang w:val="ro-MD"/>
        </w:rPr>
        <w:t>Rata șomajului în Moldova a fost într-o scădere constantă în perioada 2014-2018 (</w:t>
      </w:r>
      <w:r w:rsidR="00D94B6B">
        <w:rPr>
          <w:rFonts w:ascii="Times New Roman" w:eastAsia="Calibri" w:hAnsi="Times New Roman" w:cs="Times New Roman"/>
          <w:iCs/>
          <w:sz w:val="24"/>
          <w:szCs w:val="24"/>
          <w:lang w:val="ro-MD"/>
        </w:rPr>
        <w:t>Fig.</w:t>
      </w:r>
      <w:r w:rsidRPr="003836D9">
        <w:rPr>
          <w:rFonts w:ascii="Times New Roman" w:eastAsia="Calibri" w:hAnsi="Times New Roman" w:cs="Times New Roman"/>
          <w:iCs/>
          <w:sz w:val="24"/>
          <w:szCs w:val="24"/>
          <w:lang w:val="ro-MD"/>
        </w:rPr>
        <w:t xml:space="preserve"> 1</w:t>
      </w:r>
      <w:r w:rsidR="00927B9D" w:rsidRPr="003836D9">
        <w:rPr>
          <w:rFonts w:ascii="Times New Roman" w:eastAsia="Calibri" w:hAnsi="Times New Roman" w:cs="Times New Roman"/>
          <w:iCs/>
          <w:sz w:val="24"/>
          <w:szCs w:val="24"/>
          <w:lang w:val="ro-MD"/>
        </w:rPr>
        <w:t>6</w:t>
      </w:r>
      <w:r w:rsidRPr="003836D9">
        <w:rPr>
          <w:rFonts w:ascii="Times New Roman" w:eastAsia="Calibri" w:hAnsi="Times New Roman" w:cs="Times New Roman"/>
          <w:iCs/>
          <w:sz w:val="24"/>
          <w:szCs w:val="24"/>
          <w:lang w:val="ro-MD"/>
        </w:rPr>
        <w:t>). Până în 2018, rata șomajului a ajuns la 2,9 procente (3,4 procente pentru bărbați și 2,4 procente pentru femei). Cifrele pentru 2019 și 202</w:t>
      </w:r>
      <w:r w:rsidR="00B729DA" w:rsidRPr="003836D9">
        <w:rPr>
          <w:rFonts w:ascii="Times New Roman" w:eastAsia="Calibri" w:hAnsi="Times New Roman" w:cs="Times New Roman"/>
          <w:iCs/>
          <w:sz w:val="24"/>
          <w:szCs w:val="24"/>
          <w:lang w:val="ro-MD"/>
        </w:rPr>
        <w:t>1</w:t>
      </w:r>
      <w:r w:rsidRPr="003836D9">
        <w:rPr>
          <w:rFonts w:ascii="Times New Roman" w:eastAsia="Calibri" w:hAnsi="Times New Roman" w:cs="Times New Roman"/>
          <w:iCs/>
          <w:sz w:val="24"/>
          <w:szCs w:val="24"/>
          <w:lang w:val="ro-MD"/>
        </w:rPr>
        <w:t xml:space="preserve"> (estimate </w:t>
      </w:r>
      <w:r w:rsidR="0083278B" w:rsidRPr="003836D9">
        <w:rPr>
          <w:rFonts w:ascii="Times New Roman" w:eastAsia="Calibri" w:hAnsi="Times New Roman" w:cs="Times New Roman"/>
          <w:iCs/>
          <w:sz w:val="24"/>
          <w:szCs w:val="24"/>
          <w:lang w:val="ro-MD"/>
        </w:rPr>
        <w:t>la</w:t>
      </w:r>
      <w:r w:rsidRPr="003836D9">
        <w:rPr>
          <w:rFonts w:ascii="Times New Roman" w:eastAsia="Calibri" w:hAnsi="Times New Roman" w:cs="Times New Roman"/>
          <w:iCs/>
          <w:sz w:val="24"/>
          <w:szCs w:val="24"/>
          <w:lang w:val="ro-MD"/>
        </w:rPr>
        <w:t xml:space="preserve"> populația cu reședință obișnuită), arată o scădere a </w:t>
      </w:r>
      <w:r w:rsidRPr="003836D9">
        <w:rPr>
          <w:rFonts w:ascii="Times New Roman" w:eastAsia="Calibri" w:hAnsi="Times New Roman" w:cs="Times New Roman"/>
          <w:iCs/>
          <w:sz w:val="24"/>
          <w:szCs w:val="24"/>
          <w:lang w:val="ro-MD"/>
        </w:rPr>
        <w:lastRenderedPageBreak/>
        <w:t>ratei șomajului pentru populația de 15 ani și peste (de la 5,1 procente la 3,</w:t>
      </w:r>
      <w:r w:rsidR="00B729DA" w:rsidRPr="003836D9">
        <w:rPr>
          <w:rFonts w:ascii="Times New Roman" w:eastAsia="Calibri" w:hAnsi="Times New Roman" w:cs="Times New Roman"/>
          <w:iCs/>
          <w:sz w:val="24"/>
          <w:szCs w:val="24"/>
          <w:lang w:val="ro-MD"/>
        </w:rPr>
        <w:t>2</w:t>
      </w:r>
      <w:r w:rsidRPr="003836D9">
        <w:rPr>
          <w:rFonts w:ascii="Times New Roman" w:eastAsia="Calibri" w:hAnsi="Times New Roman" w:cs="Times New Roman"/>
          <w:iCs/>
          <w:sz w:val="24"/>
          <w:szCs w:val="24"/>
          <w:lang w:val="ro-MD"/>
        </w:rPr>
        <w:t xml:space="preserve"> procente), </w:t>
      </w:r>
      <w:r w:rsidR="00910597" w:rsidRPr="003836D9">
        <w:rPr>
          <w:rFonts w:ascii="Times New Roman" w:eastAsia="Calibri" w:hAnsi="Times New Roman" w:cs="Times New Roman"/>
          <w:iCs/>
          <w:sz w:val="24"/>
          <w:szCs w:val="24"/>
          <w:lang w:val="ro-MD"/>
        </w:rPr>
        <w:t xml:space="preserve">în </w:t>
      </w:r>
      <w:r w:rsidR="001A6303" w:rsidRPr="003836D9">
        <w:rPr>
          <w:rFonts w:ascii="Times New Roman" w:eastAsia="Calibri" w:hAnsi="Times New Roman" w:cs="Times New Roman"/>
          <w:iCs/>
          <w:sz w:val="24"/>
          <w:szCs w:val="24"/>
          <w:lang w:val="ro-MD"/>
        </w:rPr>
        <w:t>rândul</w:t>
      </w:r>
      <w:r w:rsidR="00910597" w:rsidRPr="003836D9">
        <w:rPr>
          <w:rFonts w:ascii="Times New Roman" w:eastAsia="Calibri" w:hAnsi="Times New Roman" w:cs="Times New Roman"/>
          <w:iCs/>
          <w:sz w:val="24"/>
          <w:szCs w:val="24"/>
          <w:lang w:val="ro-MD"/>
        </w:rPr>
        <w:t xml:space="preserve"> </w:t>
      </w:r>
      <w:r w:rsidRPr="003836D9">
        <w:rPr>
          <w:rFonts w:ascii="Times New Roman" w:eastAsia="Calibri" w:hAnsi="Times New Roman" w:cs="Times New Roman"/>
          <w:iCs/>
          <w:sz w:val="24"/>
          <w:szCs w:val="24"/>
          <w:lang w:val="ro-MD"/>
        </w:rPr>
        <w:t>bărbați</w:t>
      </w:r>
      <w:r w:rsidR="00910597" w:rsidRPr="003836D9">
        <w:rPr>
          <w:rFonts w:ascii="Times New Roman" w:eastAsia="Calibri" w:hAnsi="Times New Roman" w:cs="Times New Roman"/>
          <w:iCs/>
          <w:sz w:val="24"/>
          <w:szCs w:val="24"/>
          <w:lang w:val="ro-MD"/>
        </w:rPr>
        <w:t xml:space="preserve">lor șomajul a scăzut </w:t>
      </w:r>
      <w:r w:rsidRPr="003836D9">
        <w:rPr>
          <w:rFonts w:ascii="Times New Roman" w:eastAsia="Calibri" w:hAnsi="Times New Roman" w:cs="Times New Roman"/>
          <w:iCs/>
          <w:sz w:val="24"/>
          <w:szCs w:val="24"/>
          <w:lang w:val="ro-MD"/>
        </w:rPr>
        <w:t xml:space="preserve">mai mult decât </w:t>
      </w:r>
      <w:r w:rsidR="00910597" w:rsidRPr="003836D9">
        <w:rPr>
          <w:rFonts w:ascii="Times New Roman" w:eastAsia="Calibri" w:hAnsi="Times New Roman" w:cs="Times New Roman"/>
          <w:iCs/>
          <w:sz w:val="24"/>
          <w:szCs w:val="24"/>
          <w:lang w:val="ro-MD"/>
        </w:rPr>
        <w:t xml:space="preserve">în </w:t>
      </w:r>
      <w:r w:rsidR="001A6303" w:rsidRPr="003836D9">
        <w:rPr>
          <w:rFonts w:ascii="Times New Roman" w:eastAsia="Calibri" w:hAnsi="Times New Roman" w:cs="Times New Roman"/>
          <w:iCs/>
          <w:sz w:val="24"/>
          <w:szCs w:val="24"/>
          <w:lang w:val="ro-MD"/>
        </w:rPr>
        <w:t>rândul</w:t>
      </w:r>
      <w:r w:rsidR="00910597" w:rsidRPr="003836D9">
        <w:rPr>
          <w:rFonts w:ascii="Times New Roman" w:eastAsia="Calibri" w:hAnsi="Times New Roman" w:cs="Times New Roman"/>
          <w:iCs/>
          <w:sz w:val="24"/>
          <w:szCs w:val="24"/>
          <w:lang w:val="ro-MD"/>
        </w:rPr>
        <w:t xml:space="preserve"> </w:t>
      </w:r>
      <w:r w:rsidRPr="003836D9">
        <w:rPr>
          <w:rFonts w:ascii="Times New Roman" w:eastAsia="Calibri" w:hAnsi="Times New Roman" w:cs="Times New Roman"/>
          <w:iCs/>
          <w:sz w:val="24"/>
          <w:szCs w:val="24"/>
          <w:lang w:val="ro-MD"/>
        </w:rPr>
        <w:t>femeil</w:t>
      </w:r>
      <w:r w:rsidR="00910597" w:rsidRPr="003836D9">
        <w:rPr>
          <w:rFonts w:ascii="Times New Roman" w:eastAsia="Calibri" w:hAnsi="Times New Roman" w:cs="Times New Roman"/>
          <w:iCs/>
          <w:sz w:val="24"/>
          <w:szCs w:val="24"/>
          <w:lang w:val="ro-MD"/>
        </w:rPr>
        <w:t>or</w:t>
      </w:r>
      <w:r w:rsidR="008265F2" w:rsidRPr="003836D9">
        <w:rPr>
          <w:rFonts w:ascii="Times New Roman" w:eastAsia="Calibri" w:hAnsi="Times New Roman" w:cs="Times New Roman"/>
          <w:iCs/>
          <w:sz w:val="24"/>
          <w:szCs w:val="24"/>
          <w:lang w:val="ro-MD"/>
        </w:rPr>
        <w:t xml:space="preserve">. </w:t>
      </w:r>
      <w:bookmarkStart w:id="38" w:name="_Ref58759101"/>
      <w:bookmarkStart w:id="39" w:name="_Toc69058475"/>
      <w:bookmarkStart w:id="40" w:name="_Hlk515271593"/>
    </w:p>
    <w:p w14:paraId="6B6196EE" w14:textId="77777777" w:rsidR="00693E07" w:rsidRPr="001A6303" w:rsidRDefault="00693E07" w:rsidP="001A6303">
      <w:pPr>
        <w:spacing w:before="120" w:after="120"/>
        <w:jc w:val="both"/>
        <w:rPr>
          <w:rFonts w:ascii="Times New Roman" w:eastAsia="Calibri" w:hAnsi="Times New Roman" w:cs="Times New Roman"/>
          <w:iCs/>
          <w:sz w:val="24"/>
          <w:szCs w:val="24"/>
          <w:lang w:val="ro-MD"/>
        </w:rPr>
      </w:pPr>
    </w:p>
    <w:p w14:paraId="26425472" w14:textId="6983D1C7" w:rsidR="00083553" w:rsidRPr="00775F59" w:rsidRDefault="00D94B6B" w:rsidP="00083553">
      <w:pPr>
        <w:spacing w:after="120"/>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D26A62" w:rsidRPr="00775F59">
        <w:rPr>
          <w:rFonts w:ascii="Times New Roman" w:hAnsi="Times New Roman" w:cs="Times New Roman"/>
          <w:b/>
          <w:sz w:val="20"/>
          <w:szCs w:val="20"/>
          <w:lang w:val="ro-MD"/>
        </w:rPr>
        <w:t xml:space="preserve"> </w:t>
      </w:r>
      <w:bookmarkEnd w:id="38"/>
      <w:r w:rsidR="00D26A62" w:rsidRPr="00775F59">
        <w:rPr>
          <w:rFonts w:ascii="Times New Roman" w:hAnsi="Times New Roman" w:cs="Times New Roman"/>
          <w:b/>
          <w:sz w:val="20"/>
          <w:szCs w:val="20"/>
          <w:lang w:val="ro-MD"/>
        </w:rPr>
        <w:t>1</w:t>
      </w:r>
      <w:r w:rsidR="00757771" w:rsidRPr="00775F59">
        <w:rPr>
          <w:rFonts w:ascii="Times New Roman" w:hAnsi="Times New Roman" w:cs="Times New Roman"/>
          <w:b/>
          <w:sz w:val="20"/>
          <w:szCs w:val="20"/>
          <w:lang w:val="ro-MD"/>
        </w:rPr>
        <w:t>6</w:t>
      </w:r>
      <w:bookmarkEnd w:id="39"/>
      <w:r w:rsidR="00693E07">
        <w:rPr>
          <w:rFonts w:ascii="Times New Roman" w:hAnsi="Times New Roman" w:cs="Times New Roman"/>
          <w:b/>
          <w:sz w:val="20"/>
          <w:szCs w:val="20"/>
          <w:lang w:val="ro-MD"/>
        </w:rPr>
        <w:t>.</w:t>
      </w:r>
      <w:r w:rsidR="001A6303">
        <w:rPr>
          <w:rFonts w:ascii="Times New Roman" w:hAnsi="Times New Roman" w:cs="Times New Roman"/>
          <w:b/>
          <w:sz w:val="20"/>
          <w:szCs w:val="20"/>
          <w:lang w:val="ro-MD"/>
        </w:rPr>
        <w:t xml:space="preserve"> </w:t>
      </w:r>
      <w:r w:rsidR="00041FE0" w:rsidRPr="00775F59">
        <w:rPr>
          <w:rFonts w:ascii="Times New Roman" w:hAnsi="Times New Roman" w:cs="Times New Roman"/>
          <w:b/>
          <w:sz w:val="20"/>
          <w:szCs w:val="20"/>
          <w:lang w:val="ro-MD"/>
        </w:rPr>
        <w:t>Rata șomajului</w:t>
      </w:r>
      <w:r w:rsidR="00693E07">
        <w:rPr>
          <w:rFonts w:ascii="Times New Roman" w:hAnsi="Times New Roman" w:cs="Times New Roman"/>
          <w:b/>
          <w:sz w:val="20"/>
          <w:szCs w:val="20"/>
          <w:lang w:val="ro-MD"/>
        </w:rPr>
        <w:t xml:space="preserve"> (%)</w:t>
      </w:r>
      <w:r w:rsidR="00041FE0" w:rsidRPr="00775F59">
        <w:rPr>
          <w:rFonts w:ascii="Times New Roman" w:hAnsi="Times New Roman" w:cs="Times New Roman"/>
          <w:b/>
          <w:sz w:val="20"/>
          <w:szCs w:val="20"/>
          <w:lang w:val="ro-MD"/>
        </w:rPr>
        <w:t>, tiner</w:t>
      </w:r>
      <w:r w:rsidR="00693E07">
        <w:rPr>
          <w:rFonts w:ascii="Times New Roman" w:hAnsi="Times New Roman" w:cs="Times New Roman"/>
          <w:b/>
          <w:sz w:val="20"/>
          <w:szCs w:val="20"/>
          <w:lang w:val="ro-MD"/>
        </w:rPr>
        <w:t>i</w:t>
      </w:r>
      <w:r w:rsidR="00041FE0" w:rsidRPr="00775F59">
        <w:rPr>
          <w:rFonts w:ascii="Times New Roman" w:hAnsi="Times New Roman" w:cs="Times New Roman"/>
          <w:b/>
          <w:sz w:val="20"/>
          <w:szCs w:val="20"/>
          <w:lang w:val="ro-MD"/>
        </w:rPr>
        <w:t>i și populația 15+, după sex</w:t>
      </w:r>
      <w:r w:rsidR="001A6303">
        <w:rPr>
          <w:rFonts w:ascii="Times New Roman" w:hAnsi="Times New Roman" w:cs="Times New Roman"/>
          <w:b/>
          <w:sz w:val="20"/>
          <w:szCs w:val="20"/>
          <w:lang w:val="ro-MD"/>
        </w:rPr>
        <w:t xml:space="preserve"> (</w:t>
      </w:r>
      <w:r w:rsidR="00D26A62" w:rsidRPr="00775F59">
        <w:rPr>
          <w:rFonts w:ascii="Times New Roman" w:hAnsi="Times New Roman" w:cs="Times New Roman"/>
          <w:b/>
          <w:sz w:val="20"/>
          <w:szCs w:val="20"/>
          <w:lang w:val="ro-MD"/>
        </w:rPr>
        <w:t>20</w:t>
      </w:r>
      <w:r w:rsidR="00757771" w:rsidRPr="00775F59">
        <w:rPr>
          <w:rFonts w:ascii="Times New Roman" w:hAnsi="Times New Roman" w:cs="Times New Roman"/>
          <w:b/>
          <w:sz w:val="20"/>
          <w:szCs w:val="20"/>
          <w:lang w:val="ro-MD"/>
        </w:rPr>
        <w:t>14</w:t>
      </w:r>
      <w:r w:rsidR="00D26A62" w:rsidRPr="00775F59">
        <w:rPr>
          <w:rFonts w:ascii="Times New Roman" w:hAnsi="Times New Roman" w:cs="Times New Roman"/>
          <w:b/>
          <w:sz w:val="20"/>
          <w:szCs w:val="20"/>
          <w:lang w:val="ro-MD"/>
        </w:rPr>
        <w:t>-20</w:t>
      </w:r>
      <w:r w:rsidR="00083553" w:rsidRPr="00775F59">
        <w:rPr>
          <w:rFonts w:ascii="Times New Roman" w:hAnsi="Times New Roman" w:cs="Times New Roman"/>
          <w:b/>
          <w:sz w:val="20"/>
          <w:szCs w:val="20"/>
          <w:lang w:val="ro-MD"/>
        </w:rPr>
        <w:t>21</w:t>
      </w:r>
      <w:r w:rsidR="00D26A62" w:rsidRPr="00775F59">
        <w:rPr>
          <w:rFonts w:ascii="Times New Roman" w:hAnsi="Times New Roman" w:cs="Times New Roman"/>
          <w:b/>
          <w:sz w:val="20"/>
          <w:szCs w:val="20"/>
          <w:lang w:val="ro-MD"/>
        </w:rPr>
        <w:t>)</w:t>
      </w:r>
    </w:p>
    <w:bookmarkEnd w:id="40"/>
    <w:p w14:paraId="2B5B6659" w14:textId="52ADF449" w:rsidR="001F1F3C" w:rsidRPr="003836D9" w:rsidRDefault="00693E07" w:rsidP="001F1F3C">
      <w:pPr>
        <w:spacing w:after="120"/>
        <w:jc w:val="center"/>
        <w:rPr>
          <w:rFonts w:ascii="Times New Roman" w:hAnsi="Times New Roman" w:cs="Times New Roman"/>
          <w:b/>
          <w:sz w:val="16"/>
          <w:szCs w:val="16"/>
          <w:lang w:val="ro-MD"/>
        </w:rPr>
      </w:pPr>
      <w:r w:rsidRPr="00693E07">
        <w:rPr>
          <w:rFonts w:ascii="Times New Roman" w:hAnsi="Times New Roman" w:cs="Times New Roman"/>
          <w:b/>
          <w:noProof/>
          <w:sz w:val="16"/>
          <w:szCs w:val="16"/>
          <w:lang w:val="ru-RU" w:eastAsia="ru-RU"/>
        </w:rPr>
        <w:drawing>
          <wp:inline distT="0" distB="0" distL="0" distR="0" wp14:anchorId="66A74194" wp14:editId="2642EB7D">
            <wp:extent cx="5271654" cy="2525887"/>
            <wp:effectExtent l="0" t="0" r="571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23108" cy="2550541"/>
                    </a:xfrm>
                    <a:prstGeom prst="rect">
                      <a:avLst/>
                    </a:prstGeom>
                    <a:noFill/>
                    <a:ln>
                      <a:noFill/>
                    </a:ln>
                  </pic:spPr>
                </pic:pic>
              </a:graphicData>
            </a:graphic>
          </wp:inline>
        </w:drawing>
      </w:r>
    </w:p>
    <w:p w14:paraId="4E85D60E" w14:textId="4413E93B" w:rsidR="00041FE0" w:rsidRPr="003836D9" w:rsidRDefault="00041FE0" w:rsidP="00693E07">
      <w:pPr>
        <w:spacing w:before="120" w:after="120"/>
        <w:ind w:firstLine="720"/>
        <w:rPr>
          <w:rFonts w:ascii="Times New Roman" w:eastAsia="Times New Roman" w:hAnsi="Times New Roman" w:cs="Times New Roman"/>
          <w:i/>
          <w:color w:val="000000"/>
          <w:sz w:val="16"/>
          <w:szCs w:val="16"/>
          <w:lang w:val="ro-MD"/>
        </w:rPr>
      </w:pPr>
      <w:r w:rsidRPr="003836D9">
        <w:rPr>
          <w:rFonts w:ascii="Times New Roman" w:eastAsia="Times New Roman" w:hAnsi="Times New Roman" w:cs="Times New Roman"/>
          <w:i/>
          <w:color w:val="000000"/>
          <w:sz w:val="16"/>
          <w:szCs w:val="16"/>
          <w:lang w:val="ro-MD"/>
        </w:rPr>
        <w:t xml:space="preserve">Sursa: </w:t>
      </w:r>
      <w:r w:rsidRPr="003836D9">
        <w:rPr>
          <w:rFonts w:ascii="Times New Roman" w:eastAsia="Times New Roman" w:hAnsi="Times New Roman" w:cs="Times New Roman"/>
          <w:iCs/>
          <w:color w:val="000000"/>
          <w:sz w:val="16"/>
          <w:szCs w:val="16"/>
          <w:lang w:val="ro-MD"/>
        </w:rPr>
        <w:t>Elaborare în baza datelor B</w:t>
      </w:r>
      <w:r w:rsidR="00693E07">
        <w:rPr>
          <w:rFonts w:ascii="Times New Roman" w:eastAsia="Times New Roman" w:hAnsi="Times New Roman" w:cs="Times New Roman"/>
          <w:iCs/>
          <w:color w:val="000000"/>
          <w:sz w:val="16"/>
          <w:szCs w:val="16"/>
          <w:lang w:val="ro-MD"/>
        </w:rPr>
        <w:t>iroului Național de Statistică</w:t>
      </w:r>
      <w:r w:rsidRPr="003836D9">
        <w:rPr>
          <w:rFonts w:ascii="Times New Roman" w:eastAsia="Times New Roman" w:hAnsi="Times New Roman" w:cs="Times New Roman"/>
          <w:iCs/>
          <w:color w:val="000000"/>
          <w:sz w:val="16"/>
          <w:szCs w:val="16"/>
          <w:lang w:val="ro-MD"/>
        </w:rPr>
        <w:t xml:space="preserve"> ale Anchetei Forței de Muncă</w:t>
      </w:r>
    </w:p>
    <w:p w14:paraId="4918B4B3" w14:textId="59587DC1" w:rsidR="00041FE0" w:rsidRDefault="00041FE0" w:rsidP="00B73B21">
      <w:pPr>
        <w:spacing w:before="120" w:after="120"/>
        <w:jc w:val="both"/>
        <w:rPr>
          <w:rFonts w:ascii="Times New Roman" w:eastAsia="Calibri" w:hAnsi="Times New Roman" w:cs="Times New Roman"/>
          <w:iCs/>
          <w:sz w:val="24"/>
          <w:szCs w:val="24"/>
          <w:lang w:val="ro-MO"/>
        </w:rPr>
      </w:pPr>
      <w:r w:rsidRPr="003836D9">
        <w:rPr>
          <w:rFonts w:ascii="Times New Roman" w:eastAsia="Calibri" w:hAnsi="Times New Roman" w:cs="Times New Roman"/>
          <w:iCs/>
          <w:sz w:val="24"/>
          <w:szCs w:val="24"/>
          <w:lang w:val="ro-MD"/>
        </w:rPr>
        <w:t xml:space="preserve">Tinerii (15-24 de ani) au șanse de aproape trei ori mai mari de a fi șomeri în comparație cu populația totală, rata șomajului în rândul tinerilor fiind de </w:t>
      </w:r>
      <w:r w:rsidR="005342EE" w:rsidRPr="003836D9">
        <w:rPr>
          <w:rFonts w:ascii="Times New Roman" w:eastAsia="Calibri" w:hAnsi="Times New Roman" w:cs="Times New Roman"/>
          <w:iCs/>
          <w:sz w:val="24"/>
          <w:szCs w:val="24"/>
          <w:lang w:val="ro-MD"/>
        </w:rPr>
        <w:t>9</w:t>
      </w:r>
      <w:r w:rsidRPr="003836D9">
        <w:rPr>
          <w:rFonts w:ascii="Times New Roman" w:eastAsia="Calibri" w:hAnsi="Times New Roman" w:cs="Times New Roman"/>
          <w:iCs/>
          <w:sz w:val="24"/>
          <w:szCs w:val="24"/>
          <w:lang w:val="ro-MD"/>
        </w:rPr>
        <w:t>,</w:t>
      </w:r>
      <w:r w:rsidR="005342EE" w:rsidRPr="003836D9">
        <w:rPr>
          <w:rFonts w:ascii="Times New Roman" w:eastAsia="Calibri" w:hAnsi="Times New Roman" w:cs="Times New Roman"/>
          <w:iCs/>
          <w:sz w:val="24"/>
          <w:szCs w:val="24"/>
          <w:lang w:val="ro-MD"/>
        </w:rPr>
        <w:t>2</w:t>
      </w:r>
      <w:r w:rsidRPr="003836D9">
        <w:rPr>
          <w:rFonts w:ascii="Times New Roman" w:eastAsia="Calibri" w:hAnsi="Times New Roman" w:cs="Times New Roman"/>
          <w:iCs/>
          <w:sz w:val="24"/>
          <w:szCs w:val="24"/>
          <w:lang w:val="ro-MD"/>
        </w:rPr>
        <w:t xml:space="preserve"> procente în 202</w:t>
      </w:r>
      <w:r w:rsidR="005342EE" w:rsidRPr="003836D9">
        <w:rPr>
          <w:rFonts w:ascii="Times New Roman" w:eastAsia="Calibri" w:hAnsi="Times New Roman" w:cs="Times New Roman"/>
          <w:iCs/>
          <w:sz w:val="24"/>
          <w:szCs w:val="24"/>
          <w:lang w:val="ro-MD"/>
        </w:rPr>
        <w:t>1</w:t>
      </w:r>
      <w:r w:rsidRPr="003836D9">
        <w:rPr>
          <w:rFonts w:ascii="Times New Roman" w:eastAsia="Calibri" w:hAnsi="Times New Roman" w:cs="Times New Roman"/>
          <w:iCs/>
          <w:sz w:val="24"/>
          <w:szCs w:val="24"/>
          <w:lang w:val="ro-MD"/>
        </w:rPr>
        <w:t>. Femeile tinere au mai multe șanse de a fi șomere în comparație cu bărbații tineri (12,3 procente și, respectiv, 9,9 procente). Rata șomajului, însă, nu este un bun indicator al situației pieței muncii din Moldova, întrucât acest indicator este afectat de rata de participare extrem de scăzută a populației.</w:t>
      </w:r>
    </w:p>
    <w:p w14:paraId="0F34B896" w14:textId="577106F2" w:rsidR="004A37C7" w:rsidRPr="004A37C7" w:rsidRDefault="004A37C7" w:rsidP="00B73B21">
      <w:pPr>
        <w:spacing w:before="120" w:after="120"/>
        <w:jc w:val="both"/>
        <w:rPr>
          <w:rFonts w:ascii="Times New Roman" w:eastAsia="Calibri" w:hAnsi="Times New Roman" w:cs="Times New Roman"/>
          <w:iCs/>
          <w:color w:val="000000" w:themeColor="text1"/>
          <w:sz w:val="24"/>
          <w:szCs w:val="24"/>
          <w:lang w:val="ro-MO"/>
        </w:rPr>
      </w:pPr>
      <w:proofErr w:type="spellStart"/>
      <w:r w:rsidRPr="004A37C7">
        <w:rPr>
          <w:rFonts w:ascii="Times New Roman" w:hAnsi="Times New Roman" w:cs="Times New Roman"/>
          <w:color w:val="000000" w:themeColor="text1"/>
          <w:sz w:val="24"/>
          <w:szCs w:val="24"/>
          <w:shd w:val="clear" w:color="auto" w:fill="FFFFFF"/>
        </w:rPr>
        <w:t>Printre</w:t>
      </w:r>
      <w:proofErr w:type="spellEnd"/>
      <w:r w:rsidRPr="004A37C7">
        <w:rPr>
          <w:rFonts w:ascii="Times New Roman" w:hAnsi="Times New Roman" w:cs="Times New Roman"/>
          <w:color w:val="000000" w:themeColor="text1"/>
          <w:sz w:val="24"/>
          <w:szCs w:val="24"/>
          <w:shd w:val="clear" w:color="auto" w:fill="FFFFFF"/>
        </w:rPr>
        <w:t xml:space="preserve"> </w:t>
      </w:r>
      <w:proofErr w:type="spellStart"/>
      <w:r w:rsidRPr="004A37C7">
        <w:rPr>
          <w:rFonts w:ascii="Times New Roman" w:hAnsi="Times New Roman" w:cs="Times New Roman"/>
          <w:color w:val="000000" w:themeColor="text1"/>
          <w:sz w:val="24"/>
          <w:szCs w:val="24"/>
          <w:shd w:val="clear" w:color="auto" w:fill="FFFFFF"/>
        </w:rPr>
        <w:t>persoanele</w:t>
      </w:r>
      <w:proofErr w:type="spellEnd"/>
      <w:r w:rsidRPr="004A37C7">
        <w:rPr>
          <w:rFonts w:ascii="Times New Roman" w:hAnsi="Times New Roman" w:cs="Times New Roman"/>
          <w:color w:val="000000" w:themeColor="text1"/>
          <w:sz w:val="24"/>
          <w:szCs w:val="24"/>
          <w:shd w:val="clear" w:color="auto" w:fill="FFFFFF"/>
        </w:rPr>
        <w:t xml:space="preserve"> cu</w:t>
      </w:r>
      <w:r>
        <w:rPr>
          <w:rFonts w:ascii="Times New Roman" w:hAnsi="Times New Roman" w:cs="Times New Roman"/>
          <w:color w:val="000000" w:themeColor="text1"/>
          <w:sz w:val="24"/>
          <w:szCs w:val="24"/>
          <w:shd w:val="clear" w:color="auto" w:fill="FFFFFF"/>
        </w:rPr>
        <w:t xml:space="preserve"> </w:t>
      </w:r>
      <w:proofErr w:type="spellStart"/>
      <w:r w:rsidRPr="004A37C7">
        <w:rPr>
          <w:rFonts w:ascii="Times New Roman" w:hAnsi="Times New Roman" w:cs="Times New Roman"/>
          <w:b/>
          <w:bCs/>
          <w:color w:val="000000" w:themeColor="text1"/>
          <w:sz w:val="24"/>
          <w:szCs w:val="24"/>
          <w:shd w:val="clear" w:color="auto" w:fill="FFFFFF"/>
        </w:rPr>
        <w:t>dizabilități</w:t>
      </w:r>
      <w:proofErr w:type="spellEnd"/>
      <w:r>
        <w:rPr>
          <w:rFonts w:ascii="Times New Roman" w:hAnsi="Times New Roman" w:cs="Times New Roman"/>
          <w:b/>
          <w:bCs/>
          <w:color w:val="000000" w:themeColor="text1"/>
          <w:sz w:val="24"/>
          <w:szCs w:val="24"/>
          <w:shd w:val="clear" w:color="auto" w:fill="FFFFFF"/>
        </w:rPr>
        <w:t xml:space="preserve"> </w:t>
      </w:r>
      <w:bookmarkStart w:id="41" w:name="_GoBack"/>
      <w:bookmarkEnd w:id="41"/>
      <w:r w:rsidRPr="004A37C7">
        <w:rPr>
          <w:rFonts w:ascii="Times New Roman" w:hAnsi="Times New Roman" w:cs="Times New Roman"/>
          <w:color w:val="000000" w:themeColor="text1"/>
          <w:sz w:val="24"/>
          <w:szCs w:val="24"/>
          <w:shd w:val="clear" w:color="auto" w:fill="FFFFFF"/>
        </w:rPr>
        <w:t xml:space="preserve">rata </w:t>
      </w:r>
      <w:proofErr w:type="spellStart"/>
      <w:r w:rsidRPr="004A37C7">
        <w:rPr>
          <w:rFonts w:ascii="Times New Roman" w:hAnsi="Times New Roman" w:cs="Times New Roman"/>
          <w:color w:val="000000" w:themeColor="text1"/>
          <w:sz w:val="24"/>
          <w:szCs w:val="24"/>
          <w:shd w:val="clear" w:color="auto" w:fill="FFFFFF"/>
        </w:rPr>
        <w:t>șomajului</w:t>
      </w:r>
      <w:proofErr w:type="spellEnd"/>
      <w:r w:rsidRPr="004A37C7">
        <w:rPr>
          <w:rFonts w:ascii="Times New Roman" w:hAnsi="Times New Roman" w:cs="Times New Roman"/>
          <w:color w:val="000000" w:themeColor="text1"/>
          <w:sz w:val="24"/>
          <w:szCs w:val="24"/>
          <w:shd w:val="clear" w:color="auto" w:fill="FFFFFF"/>
        </w:rPr>
        <w:t xml:space="preserve"> a </w:t>
      </w:r>
      <w:proofErr w:type="spellStart"/>
      <w:r w:rsidRPr="004A37C7">
        <w:rPr>
          <w:rFonts w:ascii="Times New Roman" w:hAnsi="Times New Roman" w:cs="Times New Roman"/>
          <w:color w:val="000000" w:themeColor="text1"/>
          <w:sz w:val="24"/>
          <w:szCs w:val="24"/>
          <w:shd w:val="clear" w:color="auto" w:fill="FFFFFF"/>
        </w:rPr>
        <w:t>fost</w:t>
      </w:r>
      <w:proofErr w:type="spellEnd"/>
      <w:r w:rsidRPr="004A37C7">
        <w:rPr>
          <w:rFonts w:ascii="Times New Roman" w:hAnsi="Times New Roman" w:cs="Times New Roman"/>
          <w:color w:val="000000" w:themeColor="text1"/>
          <w:sz w:val="24"/>
          <w:szCs w:val="24"/>
          <w:shd w:val="clear" w:color="auto" w:fill="FFFFFF"/>
        </w:rPr>
        <w:t xml:space="preserve"> de 4,2%, </w:t>
      </w:r>
      <w:proofErr w:type="spellStart"/>
      <w:r w:rsidRPr="004A37C7">
        <w:rPr>
          <w:rFonts w:ascii="Times New Roman" w:hAnsi="Times New Roman" w:cs="Times New Roman"/>
          <w:color w:val="000000" w:themeColor="text1"/>
          <w:sz w:val="24"/>
          <w:szCs w:val="24"/>
          <w:shd w:val="clear" w:color="auto" w:fill="FFFFFF"/>
        </w:rPr>
        <w:t>inclusiv</w:t>
      </w:r>
      <w:proofErr w:type="spellEnd"/>
      <w:r w:rsidRPr="004A37C7">
        <w:rPr>
          <w:rFonts w:ascii="Times New Roman" w:hAnsi="Times New Roman" w:cs="Times New Roman"/>
          <w:color w:val="000000" w:themeColor="text1"/>
          <w:sz w:val="24"/>
          <w:szCs w:val="24"/>
          <w:shd w:val="clear" w:color="auto" w:fill="FFFFFF"/>
        </w:rPr>
        <w:t xml:space="preserve"> 3,2% la </w:t>
      </w:r>
      <w:proofErr w:type="spellStart"/>
      <w:r w:rsidRPr="004A37C7">
        <w:rPr>
          <w:rFonts w:ascii="Times New Roman" w:hAnsi="Times New Roman" w:cs="Times New Roman"/>
          <w:color w:val="000000" w:themeColor="text1"/>
          <w:sz w:val="24"/>
          <w:szCs w:val="24"/>
          <w:shd w:val="clear" w:color="auto" w:fill="FFFFFF"/>
        </w:rPr>
        <w:t>bărbați</w:t>
      </w:r>
      <w:proofErr w:type="spellEnd"/>
      <w:r w:rsidRPr="004A37C7">
        <w:rPr>
          <w:rFonts w:ascii="Times New Roman" w:hAnsi="Times New Roman" w:cs="Times New Roman"/>
          <w:color w:val="000000" w:themeColor="text1"/>
          <w:sz w:val="24"/>
          <w:szCs w:val="24"/>
          <w:shd w:val="clear" w:color="auto" w:fill="FFFFFF"/>
        </w:rPr>
        <w:t xml:space="preserve"> </w:t>
      </w:r>
      <w:proofErr w:type="spellStart"/>
      <w:r w:rsidRPr="004A37C7">
        <w:rPr>
          <w:rFonts w:ascii="Times New Roman" w:hAnsi="Times New Roman" w:cs="Times New Roman"/>
          <w:color w:val="000000" w:themeColor="text1"/>
          <w:sz w:val="24"/>
          <w:szCs w:val="24"/>
          <w:shd w:val="clear" w:color="auto" w:fill="FFFFFF"/>
        </w:rPr>
        <w:t>și</w:t>
      </w:r>
      <w:proofErr w:type="spellEnd"/>
      <w:r w:rsidRPr="004A37C7">
        <w:rPr>
          <w:rFonts w:ascii="Times New Roman" w:hAnsi="Times New Roman" w:cs="Times New Roman"/>
          <w:color w:val="000000" w:themeColor="text1"/>
          <w:sz w:val="24"/>
          <w:szCs w:val="24"/>
          <w:shd w:val="clear" w:color="auto" w:fill="FFFFFF"/>
        </w:rPr>
        <w:t xml:space="preserve"> 5,4% la </w:t>
      </w:r>
      <w:proofErr w:type="spellStart"/>
      <w:r w:rsidRPr="004A37C7">
        <w:rPr>
          <w:rFonts w:ascii="Times New Roman" w:hAnsi="Times New Roman" w:cs="Times New Roman"/>
          <w:color w:val="000000" w:themeColor="text1"/>
          <w:sz w:val="24"/>
          <w:szCs w:val="24"/>
          <w:shd w:val="clear" w:color="auto" w:fill="FFFFFF"/>
        </w:rPr>
        <w:t>femei</w:t>
      </w:r>
      <w:proofErr w:type="spellEnd"/>
      <w:r w:rsidRPr="004A37C7">
        <w:rPr>
          <w:rFonts w:ascii="Times New Roman" w:hAnsi="Times New Roman" w:cs="Times New Roman"/>
          <w:color w:val="000000" w:themeColor="text1"/>
          <w:sz w:val="24"/>
          <w:szCs w:val="24"/>
          <w:shd w:val="clear" w:color="auto" w:fill="FFFFFF"/>
        </w:rPr>
        <w:t xml:space="preserve">, 10,5% </w:t>
      </w:r>
      <w:proofErr w:type="spellStart"/>
      <w:r w:rsidRPr="004A37C7">
        <w:rPr>
          <w:rFonts w:ascii="Times New Roman" w:hAnsi="Times New Roman" w:cs="Times New Roman"/>
          <w:color w:val="000000" w:themeColor="text1"/>
          <w:sz w:val="24"/>
          <w:szCs w:val="24"/>
          <w:shd w:val="clear" w:color="auto" w:fill="FFFFFF"/>
        </w:rPr>
        <w:t>în</w:t>
      </w:r>
      <w:proofErr w:type="spellEnd"/>
      <w:r w:rsidRPr="004A37C7">
        <w:rPr>
          <w:rFonts w:ascii="Times New Roman" w:hAnsi="Times New Roman" w:cs="Times New Roman"/>
          <w:color w:val="000000" w:themeColor="text1"/>
          <w:sz w:val="24"/>
          <w:szCs w:val="24"/>
          <w:shd w:val="clear" w:color="auto" w:fill="FFFFFF"/>
        </w:rPr>
        <w:t xml:space="preserve"> </w:t>
      </w:r>
      <w:proofErr w:type="spellStart"/>
      <w:r w:rsidRPr="004A37C7">
        <w:rPr>
          <w:rFonts w:ascii="Times New Roman" w:hAnsi="Times New Roman" w:cs="Times New Roman"/>
          <w:color w:val="000000" w:themeColor="text1"/>
          <w:sz w:val="24"/>
          <w:szCs w:val="24"/>
          <w:shd w:val="clear" w:color="auto" w:fill="FFFFFF"/>
        </w:rPr>
        <w:t>mediul</w:t>
      </w:r>
      <w:proofErr w:type="spellEnd"/>
      <w:r w:rsidRPr="004A37C7">
        <w:rPr>
          <w:rFonts w:ascii="Times New Roman" w:hAnsi="Times New Roman" w:cs="Times New Roman"/>
          <w:color w:val="000000" w:themeColor="text1"/>
          <w:sz w:val="24"/>
          <w:szCs w:val="24"/>
          <w:shd w:val="clear" w:color="auto" w:fill="FFFFFF"/>
        </w:rPr>
        <w:t xml:space="preserve"> urban </w:t>
      </w:r>
      <w:proofErr w:type="spellStart"/>
      <w:r w:rsidRPr="004A37C7">
        <w:rPr>
          <w:rFonts w:ascii="Times New Roman" w:hAnsi="Times New Roman" w:cs="Times New Roman"/>
          <w:color w:val="000000" w:themeColor="text1"/>
          <w:sz w:val="24"/>
          <w:szCs w:val="24"/>
          <w:shd w:val="clear" w:color="auto" w:fill="FFFFFF"/>
        </w:rPr>
        <w:t>și</w:t>
      </w:r>
      <w:proofErr w:type="spellEnd"/>
      <w:r w:rsidRPr="004A37C7">
        <w:rPr>
          <w:rFonts w:ascii="Times New Roman" w:hAnsi="Times New Roman" w:cs="Times New Roman"/>
          <w:color w:val="000000" w:themeColor="text1"/>
          <w:sz w:val="24"/>
          <w:szCs w:val="24"/>
          <w:shd w:val="clear" w:color="auto" w:fill="FFFFFF"/>
        </w:rPr>
        <w:t xml:space="preserve"> 1,3% </w:t>
      </w:r>
      <w:proofErr w:type="spellStart"/>
      <w:r w:rsidRPr="004A37C7">
        <w:rPr>
          <w:rFonts w:ascii="Times New Roman" w:hAnsi="Times New Roman" w:cs="Times New Roman"/>
          <w:color w:val="000000" w:themeColor="text1"/>
          <w:sz w:val="24"/>
          <w:szCs w:val="24"/>
          <w:shd w:val="clear" w:color="auto" w:fill="FFFFFF"/>
        </w:rPr>
        <w:t>în</w:t>
      </w:r>
      <w:proofErr w:type="spellEnd"/>
      <w:r w:rsidRPr="004A37C7">
        <w:rPr>
          <w:rFonts w:ascii="Times New Roman" w:hAnsi="Times New Roman" w:cs="Times New Roman"/>
          <w:color w:val="000000" w:themeColor="text1"/>
          <w:sz w:val="24"/>
          <w:szCs w:val="24"/>
          <w:shd w:val="clear" w:color="auto" w:fill="FFFFFF"/>
        </w:rPr>
        <w:t xml:space="preserve"> </w:t>
      </w:r>
      <w:proofErr w:type="spellStart"/>
      <w:r w:rsidRPr="004A37C7">
        <w:rPr>
          <w:rFonts w:ascii="Times New Roman" w:hAnsi="Times New Roman" w:cs="Times New Roman"/>
          <w:color w:val="000000" w:themeColor="text1"/>
          <w:sz w:val="24"/>
          <w:szCs w:val="24"/>
          <w:shd w:val="clear" w:color="auto" w:fill="FFFFFF"/>
        </w:rPr>
        <w:t>mediul</w:t>
      </w:r>
      <w:proofErr w:type="spellEnd"/>
      <w:r w:rsidRPr="004A37C7">
        <w:rPr>
          <w:rFonts w:ascii="Times New Roman" w:hAnsi="Times New Roman" w:cs="Times New Roman"/>
          <w:color w:val="000000" w:themeColor="text1"/>
          <w:sz w:val="24"/>
          <w:szCs w:val="24"/>
          <w:shd w:val="clear" w:color="auto" w:fill="FFFFFF"/>
        </w:rPr>
        <w:t xml:space="preserve"> rural.</w:t>
      </w:r>
    </w:p>
    <w:p w14:paraId="2D891C96" w14:textId="21FE4281" w:rsidR="00C61FC7" w:rsidRPr="003836D9" w:rsidRDefault="00041FE0" w:rsidP="00B73B21">
      <w:pPr>
        <w:tabs>
          <w:tab w:val="left" w:pos="709"/>
        </w:tabs>
        <w:autoSpaceDE w:val="0"/>
        <w:autoSpaceDN w:val="0"/>
        <w:adjustRightInd w:val="0"/>
        <w:spacing w:before="120" w:after="120"/>
        <w:jc w:val="both"/>
        <w:rPr>
          <w:rFonts w:ascii="Times New Roman" w:hAnsi="Times New Roman" w:cs="Times New Roman"/>
          <w:iCs/>
          <w:sz w:val="24"/>
          <w:szCs w:val="24"/>
          <w:lang w:val="ro-MD"/>
        </w:rPr>
      </w:pPr>
      <w:r w:rsidRPr="003836D9">
        <w:rPr>
          <w:rFonts w:ascii="Times New Roman" w:hAnsi="Times New Roman" w:cs="Times New Roman"/>
          <w:iCs/>
          <w:sz w:val="24"/>
          <w:szCs w:val="24"/>
          <w:lang w:val="ro-MD"/>
        </w:rPr>
        <w:t>Rata mai scăzută a șomajului înregistrată în 202</w:t>
      </w:r>
      <w:r w:rsidR="005342EE" w:rsidRPr="003836D9">
        <w:rPr>
          <w:rFonts w:ascii="Times New Roman" w:hAnsi="Times New Roman" w:cs="Times New Roman"/>
          <w:iCs/>
          <w:sz w:val="24"/>
          <w:szCs w:val="24"/>
          <w:lang w:val="ro-MD"/>
        </w:rPr>
        <w:t>1</w:t>
      </w:r>
      <w:r w:rsidRPr="003836D9">
        <w:rPr>
          <w:rFonts w:ascii="Times New Roman" w:hAnsi="Times New Roman" w:cs="Times New Roman"/>
          <w:iCs/>
          <w:sz w:val="24"/>
          <w:szCs w:val="24"/>
          <w:lang w:val="ro-MD"/>
        </w:rPr>
        <w:t xml:space="preserve"> în co</w:t>
      </w:r>
      <w:r w:rsidR="00AD1B7C">
        <w:rPr>
          <w:rFonts w:ascii="Times New Roman" w:hAnsi="Times New Roman" w:cs="Times New Roman"/>
          <w:iCs/>
          <w:sz w:val="24"/>
          <w:szCs w:val="24"/>
          <w:lang w:val="ro-MD"/>
        </w:rPr>
        <w:t>mparație cu 2019 nu este cauzată de crearea</w:t>
      </w:r>
      <w:r w:rsidRPr="003836D9">
        <w:rPr>
          <w:rFonts w:ascii="Times New Roman" w:hAnsi="Times New Roman" w:cs="Times New Roman"/>
          <w:iCs/>
          <w:sz w:val="24"/>
          <w:szCs w:val="24"/>
          <w:lang w:val="ro-MD"/>
        </w:rPr>
        <w:t xml:space="preserve"> </w:t>
      </w:r>
      <w:r w:rsidR="00AD1B7C">
        <w:rPr>
          <w:rFonts w:ascii="Times New Roman" w:hAnsi="Times New Roman" w:cs="Times New Roman"/>
          <w:iCs/>
          <w:sz w:val="24"/>
          <w:szCs w:val="24"/>
          <w:lang w:val="ro-MD"/>
        </w:rPr>
        <w:t xml:space="preserve">locurilor de </w:t>
      </w:r>
      <w:r w:rsidRPr="003836D9">
        <w:rPr>
          <w:rFonts w:ascii="Times New Roman" w:hAnsi="Times New Roman" w:cs="Times New Roman"/>
          <w:iCs/>
          <w:sz w:val="24"/>
          <w:szCs w:val="24"/>
          <w:lang w:val="ro-MD"/>
        </w:rPr>
        <w:t xml:space="preserve">muncă, întrucât numărul locurilor de muncă vacante a scăzut cu peste 10 procente </w:t>
      </w:r>
      <w:r w:rsidR="006409B7" w:rsidRPr="003836D9">
        <w:rPr>
          <w:rFonts w:ascii="Times New Roman" w:hAnsi="Times New Roman" w:cs="Times New Roman"/>
          <w:iCs/>
          <w:sz w:val="24"/>
          <w:szCs w:val="24"/>
          <w:lang w:val="ro-MD"/>
        </w:rPr>
        <w:t>din acel an</w:t>
      </w:r>
      <w:r w:rsidRPr="003836D9">
        <w:rPr>
          <w:rFonts w:ascii="Times New Roman" w:hAnsi="Times New Roman" w:cs="Times New Roman"/>
          <w:iCs/>
          <w:sz w:val="24"/>
          <w:szCs w:val="24"/>
          <w:lang w:val="ro-MD"/>
        </w:rPr>
        <w:t>, din cauza scăderii accentuate înregistrate în sectoarele energiei electrice, comerțului, transportului, finanțelor și imobiliarelor (</w:t>
      </w:r>
      <w:r w:rsidR="00D94B6B">
        <w:rPr>
          <w:rFonts w:ascii="Times New Roman" w:hAnsi="Times New Roman" w:cs="Times New Roman"/>
          <w:iCs/>
          <w:sz w:val="24"/>
          <w:szCs w:val="24"/>
          <w:lang w:val="ro-MD"/>
        </w:rPr>
        <w:t>Fig.</w:t>
      </w:r>
      <w:r w:rsidRPr="003836D9">
        <w:rPr>
          <w:rFonts w:ascii="Times New Roman" w:hAnsi="Times New Roman" w:cs="Times New Roman"/>
          <w:iCs/>
          <w:sz w:val="24"/>
          <w:szCs w:val="24"/>
          <w:lang w:val="ro-MD"/>
        </w:rPr>
        <w:t xml:space="preserve"> 17). Mai degrabă, scăderea cu 29,4 procente a nivelului șomajului se explică prin numărul persoanelor care trec de la șomaj la inactivitate, în special bărbații din grup</w:t>
      </w:r>
      <w:r w:rsidR="0083278B" w:rsidRPr="003836D9">
        <w:rPr>
          <w:rFonts w:ascii="Times New Roman" w:hAnsi="Times New Roman" w:cs="Times New Roman"/>
          <w:iCs/>
          <w:sz w:val="24"/>
          <w:szCs w:val="24"/>
          <w:lang w:val="ro-MD"/>
        </w:rPr>
        <w:t>ul</w:t>
      </w:r>
      <w:r w:rsidRPr="003836D9">
        <w:rPr>
          <w:rFonts w:ascii="Times New Roman" w:hAnsi="Times New Roman" w:cs="Times New Roman"/>
          <w:iCs/>
          <w:sz w:val="24"/>
          <w:szCs w:val="24"/>
          <w:lang w:val="ro-MD"/>
        </w:rPr>
        <w:t xml:space="preserve"> de vârstă 35-44 de ani</w:t>
      </w:r>
      <w:r w:rsidR="00205BC3" w:rsidRPr="003836D9">
        <w:rPr>
          <w:rFonts w:ascii="Times New Roman" w:hAnsi="Times New Roman" w:cs="Times New Roman"/>
          <w:iCs/>
          <w:sz w:val="24"/>
          <w:szCs w:val="24"/>
          <w:lang w:val="ro-MD"/>
        </w:rPr>
        <w:t xml:space="preserve">. </w:t>
      </w:r>
      <w:r w:rsidR="00495F7E" w:rsidRPr="003836D9">
        <w:rPr>
          <w:rFonts w:ascii="Times New Roman" w:hAnsi="Times New Roman" w:cs="Times New Roman"/>
          <w:iCs/>
          <w:sz w:val="24"/>
          <w:szCs w:val="24"/>
          <w:lang w:val="ro-MD"/>
        </w:rPr>
        <w:t xml:space="preserve"> </w:t>
      </w:r>
    </w:p>
    <w:p w14:paraId="4C7CBB64" w14:textId="77777777" w:rsidR="00775F59" w:rsidRDefault="00775F59" w:rsidP="00DC2257">
      <w:pPr>
        <w:ind w:left="992"/>
        <w:jc w:val="center"/>
        <w:rPr>
          <w:rFonts w:ascii="Times New Roman" w:hAnsi="Times New Roman" w:cs="Times New Roman"/>
          <w:b/>
          <w:sz w:val="20"/>
          <w:szCs w:val="20"/>
          <w:lang w:val="ro-MD"/>
        </w:rPr>
      </w:pPr>
      <w:bookmarkStart w:id="42" w:name="_Hlk93139580"/>
    </w:p>
    <w:p w14:paraId="64DB0EB3" w14:textId="4FD47F89" w:rsidR="00DC2257" w:rsidRPr="00775F59" w:rsidRDefault="00D94B6B" w:rsidP="00DC2257">
      <w:pPr>
        <w:ind w:left="992"/>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DC2257" w:rsidRPr="00775F59">
        <w:rPr>
          <w:rFonts w:ascii="Times New Roman" w:hAnsi="Times New Roman" w:cs="Times New Roman"/>
          <w:b/>
          <w:sz w:val="20"/>
          <w:szCs w:val="20"/>
          <w:lang w:val="ro-MD"/>
        </w:rPr>
        <w:t xml:space="preserve"> 17</w:t>
      </w:r>
      <w:r w:rsidR="00693E07">
        <w:rPr>
          <w:rFonts w:ascii="Times New Roman" w:hAnsi="Times New Roman" w:cs="Times New Roman"/>
          <w:b/>
          <w:sz w:val="20"/>
          <w:szCs w:val="20"/>
          <w:lang w:val="ro-MD"/>
        </w:rPr>
        <w:t xml:space="preserve">. </w:t>
      </w:r>
      <w:r w:rsidR="00041FE0" w:rsidRPr="00775F59">
        <w:rPr>
          <w:rFonts w:ascii="Times New Roman" w:hAnsi="Times New Roman" w:cs="Times New Roman"/>
          <w:b/>
          <w:sz w:val="20"/>
          <w:szCs w:val="20"/>
          <w:lang w:val="ro-MD"/>
        </w:rPr>
        <w:t>Locuri de muncă vacante pe sectoare economice, modificare procentuală</w:t>
      </w:r>
      <w:r w:rsidR="00540E77">
        <w:rPr>
          <w:rFonts w:ascii="Times New Roman" w:hAnsi="Times New Roman" w:cs="Times New Roman"/>
          <w:b/>
          <w:sz w:val="20"/>
          <w:szCs w:val="20"/>
          <w:lang w:val="ro-MD"/>
        </w:rPr>
        <w:t xml:space="preserve"> (%)</w:t>
      </w:r>
      <w:r w:rsidR="00693E07">
        <w:rPr>
          <w:rFonts w:ascii="Times New Roman" w:hAnsi="Times New Roman" w:cs="Times New Roman"/>
          <w:b/>
          <w:sz w:val="20"/>
          <w:szCs w:val="20"/>
          <w:lang w:val="ro-MD"/>
        </w:rPr>
        <w:t>,</w:t>
      </w:r>
      <w:r w:rsidR="00041FE0" w:rsidRPr="00775F59">
        <w:rPr>
          <w:rFonts w:ascii="Times New Roman" w:hAnsi="Times New Roman" w:cs="Times New Roman"/>
          <w:b/>
          <w:sz w:val="20"/>
          <w:szCs w:val="20"/>
          <w:lang w:val="ro-MD"/>
        </w:rPr>
        <w:t xml:space="preserve"> </w:t>
      </w:r>
      <w:r w:rsidR="00DC2257" w:rsidRPr="00775F59">
        <w:rPr>
          <w:rFonts w:ascii="Times New Roman" w:hAnsi="Times New Roman" w:cs="Times New Roman"/>
          <w:b/>
          <w:sz w:val="20"/>
          <w:szCs w:val="20"/>
          <w:lang w:val="ro-MD"/>
        </w:rPr>
        <w:t>2019-2020</w:t>
      </w:r>
    </w:p>
    <w:bookmarkEnd w:id="42"/>
    <w:p w14:paraId="6B5D0E1B" w14:textId="311A5BF9" w:rsidR="00DC2257" w:rsidRPr="00540E77" w:rsidRDefault="00540E77" w:rsidP="00540E77">
      <w:pPr>
        <w:tabs>
          <w:tab w:val="left" w:pos="709"/>
        </w:tabs>
        <w:autoSpaceDE w:val="0"/>
        <w:autoSpaceDN w:val="0"/>
        <w:adjustRightInd w:val="0"/>
        <w:spacing w:before="120" w:after="120"/>
        <w:rPr>
          <w:rFonts w:ascii="Times New Roman" w:hAnsi="Times New Roman" w:cs="Times New Roman"/>
          <w:iCs/>
          <w:sz w:val="24"/>
          <w:szCs w:val="24"/>
          <w:lang w:val="ro-MD"/>
        </w:rPr>
      </w:pPr>
      <w:r w:rsidRPr="00540E77">
        <w:rPr>
          <w:rFonts w:ascii="Times New Roman" w:hAnsi="Times New Roman" w:cs="Times New Roman"/>
          <w:iCs/>
          <w:noProof/>
          <w:sz w:val="24"/>
          <w:szCs w:val="24"/>
          <w:lang w:val="ru-RU" w:eastAsia="ru-RU"/>
        </w:rPr>
        <w:lastRenderedPageBreak/>
        <w:drawing>
          <wp:inline distT="0" distB="0" distL="0" distR="0" wp14:anchorId="14DDCBD0" wp14:editId="48E150B9">
            <wp:extent cx="6323163" cy="2512732"/>
            <wp:effectExtent l="0" t="0" r="190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32151" cy="2516304"/>
                    </a:xfrm>
                    <a:prstGeom prst="rect">
                      <a:avLst/>
                    </a:prstGeom>
                    <a:noFill/>
                    <a:ln>
                      <a:noFill/>
                    </a:ln>
                  </pic:spPr>
                </pic:pic>
              </a:graphicData>
            </a:graphic>
          </wp:inline>
        </w:drawing>
      </w:r>
    </w:p>
    <w:p w14:paraId="37FE570B" w14:textId="7D3F2F10" w:rsidR="00041FE0" w:rsidRPr="003836D9" w:rsidRDefault="00041FE0" w:rsidP="00540E77">
      <w:pPr>
        <w:spacing w:before="120" w:after="120"/>
        <w:rPr>
          <w:rFonts w:ascii="Times New Roman" w:eastAsia="Times New Roman" w:hAnsi="Times New Roman" w:cs="Times New Roman"/>
          <w:iCs/>
          <w:color w:val="000000"/>
          <w:sz w:val="16"/>
          <w:szCs w:val="16"/>
          <w:lang w:val="ro-MD"/>
        </w:rPr>
      </w:pPr>
      <w:r w:rsidRPr="003836D9">
        <w:rPr>
          <w:rFonts w:ascii="Times New Roman" w:eastAsia="Times New Roman" w:hAnsi="Times New Roman" w:cs="Times New Roman"/>
          <w:i/>
          <w:color w:val="000000"/>
          <w:sz w:val="16"/>
          <w:szCs w:val="16"/>
          <w:lang w:val="ro-MD"/>
        </w:rPr>
        <w:t xml:space="preserve">Sursa: </w:t>
      </w:r>
      <w:r w:rsidRPr="003836D9">
        <w:rPr>
          <w:rFonts w:ascii="Times New Roman" w:eastAsia="Times New Roman" w:hAnsi="Times New Roman" w:cs="Times New Roman"/>
          <w:iCs/>
          <w:color w:val="000000"/>
          <w:sz w:val="16"/>
          <w:szCs w:val="16"/>
          <w:lang w:val="ro-MD"/>
        </w:rPr>
        <w:t>Elaborare în baza datelor privind locurile vacante, B</w:t>
      </w:r>
      <w:r w:rsidR="00540E77">
        <w:rPr>
          <w:rFonts w:ascii="Times New Roman" w:eastAsia="Times New Roman" w:hAnsi="Times New Roman" w:cs="Times New Roman"/>
          <w:iCs/>
          <w:color w:val="000000"/>
          <w:sz w:val="16"/>
          <w:szCs w:val="16"/>
          <w:lang w:val="ro-MD"/>
        </w:rPr>
        <w:t>iroul Național de Statistică,</w:t>
      </w:r>
      <w:r w:rsidRPr="003836D9">
        <w:rPr>
          <w:rFonts w:ascii="Times New Roman" w:eastAsia="Times New Roman" w:hAnsi="Times New Roman" w:cs="Times New Roman"/>
          <w:iCs/>
          <w:color w:val="000000"/>
          <w:sz w:val="16"/>
          <w:szCs w:val="16"/>
          <w:lang w:val="ro-MD"/>
        </w:rPr>
        <w:t xml:space="preserve"> 2019-2020</w:t>
      </w:r>
    </w:p>
    <w:p w14:paraId="2E983EE9" w14:textId="63E96115" w:rsidR="00C61FC7" w:rsidRPr="003836D9" w:rsidRDefault="00FB2C70" w:rsidP="00360C56">
      <w:pPr>
        <w:tabs>
          <w:tab w:val="left" w:pos="709"/>
        </w:tabs>
        <w:autoSpaceDE w:val="0"/>
        <w:autoSpaceDN w:val="0"/>
        <w:adjustRightInd w:val="0"/>
        <w:jc w:val="both"/>
        <w:rPr>
          <w:rFonts w:ascii="Times New Roman" w:eastAsia="Times New Roman" w:hAnsi="Times New Roman" w:cs="Times New Roman"/>
          <w:sz w:val="24"/>
          <w:szCs w:val="24"/>
          <w:lang w:val="ro-MD"/>
        </w:rPr>
      </w:pPr>
      <w:r>
        <w:rPr>
          <w:rFonts w:ascii="Times New Roman" w:hAnsi="Times New Roman" w:cs="Times New Roman"/>
          <w:iCs/>
          <w:sz w:val="24"/>
          <w:szCs w:val="24"/>
          <w:lang w:val="ro-MD"/>
        </w:rPr>
        <w:t>Un nivel mai înalt de studii protejează</w:t>
      </w:r>
      <w:r w:rsidR="00041FE0" w:rsidRPr="003836D9">
        <w:rPr>
          <w:rFonts w:ascii="Times New Roman" w:hAnsi="Times New Roman" w:cs="Times New Roman"/>
          <w:iCs/>
          <w:sz w:val="24"/>
          <w:szCs w:val="24"/>
          <w:lang w:val="ro-MD"/>
        </w:rPr>
        <w:t xml:space="preserve"> </w:t>
      </w:r>
      <w:r w:rsidR="00360C56" w:rsidRPr="003836D9">
        <w:rPr>
          <w:rFonts w:ascii="Times New Roman" w:hAnsi="Times New Roman" w:cs="Times New Roman"/>
          <w:iCs/>
          <w:sz w:val="24"/>
          <w:szCs w:val="24"/>
          <w:lang w:val="ro-MD"/>
        </w:rPr>
        <w:t xml:space="preserve">persoanele </w:t>
      </w:r>
      <w:r w:rsidR="00041FE0" w:rsidRPr="003836D9">
        <w:rPr>
          <w:rFonts w:ascii="Times New Roman" w:hAnsi="Times New Roman" w:cs="Times New Roman"/>
          <w:iCs/>
          <w:sz w:val="24"/>
          <w:szCs w:val="24"/>
          <w:lang w:val="ro-MD"/>
        </w:rPr>
        <w:t>de șomaj</w:t>
      </w:r>
      <w:r w:rsidR="00360C56" w:rsidRPr="003836D9">
        <w:rPr>
          <w:rFonts w:ascii="Times New Roman" w:hAnsi="Times New Roman" w:cs="Times New Roman"/>
          <w:iCs/>
          <w:sz w:val="24"/>
          <w:szCs w:val="24"/>
          <w:lang w:val="ro-MD"/>
        </w:rPr>
        <w:t xml:space="preserve">. Astfel, </w:t>
      </w:r>
      <w:r w:rsidR="00041FE0" w:rsidRPr="003836D9">
        <w:rPr>
          <w:rFonts w:ascii="Times New Roman" w:hAnsi="Times New Roman" w:cs="Times New Roman"/>
          <w:iCs/>
          <w:sz w:val="24"/>
          <w:szCs w:val="24"/>
          <w:lang w:val="ro-MD"/>
        </w:rPr>
        <w:t xml:space="preserve">rata șomajului scade de la </w:t>
      </w:r>
      <w:r w:rsidR="00DA6933" w:rsidRPr="003836D9">
        <w:rPr>
          <w:rFonts w:ascii="Times New Roman" w:hAnsi="Times New Roman" w:cs="Times New Roman"/>
          <w:iCs/>
          <w:sz w:val="24"/>
          <w:szCs w:val="24"/>
          <w:lang w:val="ro-MD"/>
        </w:rPr>
        <w:t>4</w:t>
      </w:r>
      <w:r w:rsidR="00041FE0" w:rsidRPr="003836D9">
        <w:rPr>
          <w:rFonts w:ascii="Times New Roman" w:hAnsi="Times New Roman" w:cs="Times New Roman"/>
          <w:iCs/>
          <w:sz w:val="24"/>
          <w:szCs w:val="24"/>
          <w:lang w:val="ro-MD"/>
        </w:rPr>
        <w:t>,</w:t>
      </w:r>
      <w:r w:rsidR="001C63B8" w:rsidRPr="003836D9">
        <w:rPr>
          <w:rFonts w:ascii="Times New Roman" w:hAnsi="Times New Roman" w:cs="Times New Roman"/>
          <w:iCs/>
          <w:sz w:val="24"/>
          <w:szCs w:val="24"/>
          <w:lang w:val="ro-MD"/>
        </w:rPr>
        <w:t>1</w:t>
      </w:r>
      <w:r w:rsidR="00041FE0" w:rsidRPr="003836D9">
        <w:rPr>
          <w:rFonts w:ascii="Times New Roman" w:hAnsi="Times New Roman" w:cs="Times New Roman"/>
          <w:iCs/>
          <w:sz w:val="24"/>
          <w:szCs w:val="24"/>
          <w:lang w:val="ro-MD"/>
        </w:rPr>
        <w:t xml:space="preserve"> procente pentru cei cu </w:t>
      </w:r>
      <w:r w:rsidR="0083278B" w:rsidRPr="003836D9">
        <w:rPr>
          <w:rFonts w:ascii="Times New Roman" w:hAnsi="Times New Roman" w:cs="Times New Roman"/>
          <w:iCs/>
          <w:sz w:val="24"/>
          <w:szCs w:val="24"/>
          <w:lang w:val="ro-MD"/>
        </w:rPr>
        <w:t xml:space="preserve">studii gimnaziale, </w:t>
      </w:r>
      <w:r w:rsidR="00041FE0" w:rsidRPr="003836D9">
        <w:rPr>
          <w:rFonts w:ascii="Times New Roman" w:hAnsi="Times New Roman" w:cs="Times New Roman"/>
          <w:iCs/>
          <w:sz w:val="24"/>
          <w:szCs w:val="24"/>
          <w:lang w:val="ro-MD"/>
        </w:rPr>
        <w:t>cel mult</w:t>
      </w:r>
      <w:r w:rsidR="0083278B" w:rsidRPr="003836D9">
        <w:rPr>
          <w:rFonts w:ascii="Times New Roman" w:hAnsi="Times New Roman" w:cs="Times New Roman"/>
          <w:iCs/>
          <w:sz w:val="24"/>
          <w:szCs w:val="24"/>
          <w:lang w:val="ro-MD"/>
        </w:rPr>
        <w:t xml:space="preserve">, </w:t>
      </w:r>
      <w:r w:rsidR="00041FE0" w:rsidRPr="003836D9">
        <w:rPr>
          <w:rFonts w:ascii="Times New Roman" w:hAnsi="Times New Roman" w:cs="Times New Roman"/>
          <w:iCs/>
          <w:sz w:val="24"/>
          <w:szCs w:val="24"/>
          <w:lang w:val="ro-MD"/>
        </w:rPr>
        <w:t xml:space="preserve">la </w:t>
      </w:r>
      <w:r w:rsidR="001C63B8" w:rsidRPr="003836D9">
        <w:rPr>
          <w:rFonts w:ascii="Times New Roman" w:hAnsi="Times New Roman" w:cs="Times New Roman"/>
          <w:iCs/>
          <w:sz w:val="24"/>
          <w:szCs w:val="24"/>
          <w:lang w:val="ro-MD"/>
        </w:rPr>
        <w:t>1,8</w:t>
      </w:r>
      <w:r w:rsidR="00041FE0" w:rsidRPr="003836D9">
        <w:rPr>
          <w:rFonts w:ascii="Times New Roman" w:hAnsi="Times New Roman" w:cs="Times New Roman"/>
          <w:iCs/>
          <w:sz w:val="24"/>
          <w:szCs w:val="24"/>
          <w:lang w:val="ro-MD"/>
        </w:rPr>
        <w:t xml:space="preserve"> procente pentru cei cu studii </w:t>
      </w:r>
      <w:r w:rsidR="001C63B8" w:rsidRPr="003836D9">
        <w:rPr>
          <w:rFonts w:ascii="Times New Roman" w:hAnsi="Times New Roman" w:cs="Times New Roman"/>
          <w:iCs/>
          <w:sz w:val="24"/>
          <w:szCs w:val="24"/>
          <w:lang w:val="ro-MD"/>
        </w:rPr>
        <w:t>superioare</w:t>
      </w:r>
      <w:r w:rsidR="00360C56" w:rsidRPr="003836D9">
        <w:rPr>
          <w:rFonts w:ascii="Times New Roman" w:hAnsi="Times New Roman" w:cs="Times New Roman"/>
          <w:iCs/>
          <w:sz w:val="24"/>
          <w:szCs w:val="24"/>
          <w:lang w:val="ro-MD"/>
        </w:rPr>
        <w:t>,</w:t>
      </w:r>
      <w:r w:rsidR="00041FE0" w:rsidRPr="003836D9">
        <w:rPr>
          <w:rFonts w:ascii="Times New Roman" w:hAnsi="Times New Roman" w:cs="Times New Roman"/>
          <w:iCs/>
          <w:sz w:val="24"/>
          <w:szCs w:val="24"/>
          <w:lang w:val="ro-MD"/>
        </w:rPr>
        <w:t xml:space="preserve"> dar nu este la fel și pentru tineri (</w:t>
      </w:r>
      <w:r w:rsidR="00D94B6B">
        <w:rPr>
          <w:rFonts w:ascii="Times New Roman" w:hAnsi="Times New Roman" w:cs="Times New Roman"/>
          <w:iCs/>
          <w:sz w:val="24"/>
          <w:szCs w:val="24"/>
          <w:lang w:val="ro-MD"/>
        </w:rPr>
        <w:t>Fig.</w:t>
      </w:r>
      <w:r w:rsidR="00041FE0" w:rsidRPr="003836D9">
        <w:rPr>
          <w:rFonts w:ascii="Times New Roman" w:hAnsi="Times New Roman" w:cs="Times New Roman"/>
          <w:iCs/>
          <w:sz w:val="24"/>
          <w:szCs w:val="24"/>
          <w:lang w:val="ro-MD"/>
        </w:rPr>
        <w:t xml:space="preserve"> 18). Cea mai scăzută rată a șomajului în rândul tinerilor se întâlnește la cei cu studii </w:t>
      </w:r>
      <w:r w:rsidR="001C63B8" w:rsidRPr="003836D9">
        <w:rPr>
          <w:rFonts w:ascii="Times New Roman" w:hAnsi="Times New Roman" w:cs="Times New Roman"/>
          <w:iCs/>
          <w:sz w:val="24"/>
          <w:szCs w:val="24"/>
          <w:lang w:val="ro-MD"/>
        </w:rPr>
        <w:t>gimnaziale</w:t>
      </w:r>
      <w:r w:rsidR="00041FE0" w:rsidRPr="003836D9">
        <w:rPr>
          <w:rFonts w:ascii="Times New Roman" w:hAnsi="Times New Roman" w:cs="Times New Roman"/>
          <w:iCs/>
          <w:sz w:val="24"/>
          <w:szCs w:val="24"/>
          <w:lang w:val="ro-MD"/>
        </w:rPr>
        <w:t xml:space="preserve"> (</w:t>
      </w:r>
      <w:r w:rsidR="001C63B8" w:rsidRPr="003836D9">
        <w:rPr>
          <w:rFonts w:ascii="Times New Roman" w:hAnsi="Times New Roman" w:cs="Times New Roman"/>
          <w:iCs/>
          <w:sz w:val="24"/>
          <w:szCs w:val="24"/>
          <w:lang w:val="ro-MD"/>
        </w:rPr>
        <w:t>5,0</w:t>
      </w:r>
      <w:r w:rsidR="00041FE0" w:rsidRPr="003836D9">
        <w:rPr>
          <w:rFonts w:ascii="Times New Roman" w:hAnsi="Times New Roman" w:cs="Times New Roman"/>
          <w:iCs/>
          <w:sz w:val="24"/>
          <w:szCs w:val="24"/>
          <w:lang w:val="ro-MD"/>
        </w:rPr>
        <w:t xml:space="preserve"> procente), în special în rândul bărbaților tineri (</w:t>
      </w:r>
      <w:r w:rsidR="001C63B8" w:rsidRPr="003836D9">
        <w:rPr>
          <w:rFonts w:ascii="Times New Roman" w:hAnsi="Times New Roman" w:cs="Times New Roman"/>
          <w:iCs/>
          <w:sz w:val="24"/>
          <w:szCs w:val="24"/>
          <w:lang w:val="ro-MD"/>
        </w:rPr>
        <w:t>5,3</w:t>
      </w:r>
      <w:r w:rsidR="00041FE0" w:rsidRPr="003836D9">
        <w:rPr>
          <w:rFonts w:ascii="Times New Roman" w:hAnsi="Times New Roman" w:cs="Times New Roman"/>
          <w:iCs/>
          <w:sz w:val="24"/>
          <w:szCs w:val="24"/>
          <w:lang w:val="ro-MD"/>
        </w:rPr>
        <w:t xml:space="preserve"> procente) și cea mai mare în rândul absolvenților de universitate (</w:t>
      </w:r>
      <w:r w:rsidR="001C63B8" w:rsidRPr="003836D9">
        <w:rPr>
          <w:rFonts w:ascii="Times New Roman" w:hAnsi="Times New Roman" w:cs="Times New Roman"/>
          <w:iCs/>
          <w:sz w:val="24"/>
          <w:szCs w:val="24"/>
          <w:lang w:val="ro-MD"/>
        </w:rPr>
        <w:t xml:space="preserve">8,9 </w:t>
      </w:r>
      <w:r w:rsidR="00041FE0" w:rsidRPr="003836D9">
        <w:rPr>
          <w:rFonts w:ascii="Times New Roman" w:hAnsi="Times New Roman" w:cs="Times New Roman"/>
          <w:iCs/>
          <w:sz w:val="24"/>
          <w:szCs w:val="24"/>
          <w:lang w:val="ro-MD"/>
        </w:rPr>
        <w:t>pro</w:t>
      </w:r>
      <w:r w:rsidR="0053094E" w:rsidRPr="003836D9">
        <w:rPr>
          <w:rFonts w:ascii="Times New Roman" w:hAnsi="Times New Roman" w:cs="Times New Roman"/>
          <w:iCs/>
          <w:sz w:val="24"/>
          <w:szCs w:val="24"/>
          <w:lang w:val="ro-MD"/>
        </w:rPr>
        <w:t>cente). Bărbații tineri educați</w:t>
      </w:r>
      <w:r w:rsidR="00041FE0" w:rsidRPr="003836D9">
        <w:rPr>
          <w:rFonts w:ascii="Times New Roman" w:hAnsi="Times New Roman" w:cs="Times New Roman"/>
          <w:iCs/>
          <w:sz w:val="24"/>
          <w:szCs w:val="24"/>
          <w:lang w:val="ro-MD"/>
        </w:rPr>
        <w:t xml:space="preserve"> au rate ale șomajului mult mai mari în comparație cu femeile tinere (</w:t>
      </w:r>
      <w:r w:rsidR="001C63B8" w:rsidRPr="003836D9">
        <w:rPr>
          <w:rFonts w:ascii="Times New Roman" w:hAnsi="Times New Roman" w:cs="Times New Roman"/>
          <w:iCs/>
          <w:sz w:val="24"/>
          <w:szCs w:val="24"/>
          <w:lang w:val="ro-MD"/>
        </w:rPr>
        <w:t>13,4</w:t>
      </w:r>
      <w:r w:rsidR="00041FE0" w:rsidRPr="003836D9">
        <w:rPr>
          <w:rFonts w:ascii="Times New Roman" w:hAnsi="Times New Roman" w:cs="Times New Roman"/>
          <w:iCs/>
          <w:sz w:val="24"/>
          <w:szCs w:val="24"/>
          <w:lang w:val="ro-MD"/>
        </w:rPr>
        <w:t xml:space="preserve"> procente și, respectiv, </w:t>
      </w:r>
      <w:r w:rsidR="001C63B8" w:rsidRPr="003836D9">
        <w:rPr>
          <w:rFonts w:ascii="Times New Roman" w:hAnsi="Times New Roman" w:cs="Times New Roman"/>
          <w:iCs/>
          <w:sz w:val="24"/>
          <w:szCs w:val="24"/>
          <w:lang w:val="ro-MD"/>
        </w:rPr>
        <w:t>4,5</w:t>
      </w:r>
      <w:r w:rsidR="00041FE0" w:rsidRPr="003836D9">
        <w:rPr>
          <w:rFonts w:ascii="Times New Roman" w:hAnsi="Times New Roman" w:cs="Times New Roman"/>
          <w:iCs/>
          <w:sz w:val="24"/>
          <w:szCs w:val="24"/>
          <w:lang w:val="ro-MD"/>
        </w:rPr>
        <w:t xml:space="preserve"> procente</w:t>
      </w:r>
      <w:r w:rsidR="00C61FC7" w:rsidRPr="003836D9">
        <w:rPr>
          <w:rFonts w:ascii="Times New Roman" w:eastAsia="Times New Roman" w:hAnsi="Times New Roman" w:cs="Times New Roman"/>
          <w:sz w:val="24"/>
          <w:szCs w:val="24"/>
          <w:lang w:val="ro-MD"/>
        </w:rPr>
        <w:t xml:space="preserve">). </w:t>
      </w:r>
    </w:p>
    <w:p w14:paraId="055512CA" w14:textId="1AEECE31" w:rsidR="00876E7A" w:rsidRPr="00775F59" w:rsidRDefault="00D94B6B" w:rsidP="00876E7A">
      <w:pPr>
        <w:ind w:left="992"/>
        <w:jc w:val="center"/>
        <w:rPr>
          <w:rFonts w:ascii="Times New Roman" w:hAnsi="Times New Roman" w:cs="Times New Roman"/>
          <w:b/>
          <w:sz w:val="20"/>
          <w:szCs w:val="20"/>
          <w:lang w:val="ro-MD"/>
        </w:rPr>
      </w:pPr>
      <w:bookmarkStart w:id="43" w:name="_Ref58759706"/>
      <w:bookmarkStart w:id="44" w:name="_Toc69058476"/>
      <w:bookmarkStart w:id="45" w:name="_Hlk515271611"/>
      <w:bookmarkStart w:id="46" w:name="_Hlk93139590"/>
      <w:r>
        <w:rPr>
          <w:rFonts w:ascii="Times New Roman" w:hAnsi="Times New Roman" w:cs="Times New Roman"/>
          <w:b/>
          <w:sz w:val="20"/>
          <w:szCs w:val="20"/>
          <w:lang w:val="ro-MD"/>
        </w:rPr>
        <w:t>Fig.</w:t>
      </w:r>
      <w:r w:rsidR="00876E7A" w:rsidRPr="00775F59">
        <w:rPr>
          <w:rFonts w:ascii="Times New Roman" w:hAnsi="Times New Roman" w:cs="Times New Roman"/>
          <w:b/>
          <w:sz w:val="20"/>
          <w:szCs w:val="20"/>
          <w:lang w:val="ro-MD"/>
        </w:rPr>
        <w:t xml:space="preserve"> </w:t>
      </w:r>
      <w:bookmarkEnd w:id="43"/>
      <w:r w:rsidR="00876E7A" w:rsidRPr="00775F59">
        <w:rPr>
          <w:rFonts w:ascii="Times New Roman" w:hAnsi="Times New Roman" w:cs="Times New Roman"/>
          <w:b/>
          <w:sz w:val="20"/>
          <w:szCs w:val="20"/>
          <w:lang w:val="ro-MD"/>
        </w:rPr>
        <w:t>1</w:t>
      </w:r>
      <w:r w:rsidR="00205BC3" w:rsidRPr="00775F59">
        <w:rPr>
          <w:rFonts w:ascii="Times New Roman" w:hAnsi="Times New Roman" w:cs="Times New Roman"/>
          <w:b/>
          <w:sz w:val="20"/>
          <w:szCs w:val="20"/>
          <w:lang w:val="ro-MD"/>
        </w:rPr>
        <w:t>8</w:t>
      </w:r>
      <w:r w:rsidR="00540E77">
        <w:rPr>
          <w:rFonts w:ascii="Times New Roman" w:hAnsi="Times New Roman" w:cs="Times New Roman"/>
          <w:b/>
          <w:sz w:val="20"/>
          <w:szCs w:val="20"/>
          <w:lang w:val="ro-MD"/>
        </w:rPr>
        <w:t xml:space="preserve">. </w:t>
      </w:r>
      <w:r w:rsidR="00041FE0" w:rsidRPr="00775F59">
        <w:rPr>
          <w:rFonts w:ascii="Times New Roman" w:hAnsi="Times New Roman" w:cs="Times New Roman"/>
          <w:b/>
          <w:sz w:val="20"/>
          <w:szCs w:val="20"/>
          <w:lang w:val="ro-MD"/>
        </w:rPr>
        <w:t>Ratele de șomaj</w:t>
      </w:r>
      <w:r w:rsidR="0011507E">
        <w:rPr>
          <w:rFonts w:ascii="Times New Roman" w:hAnsi="Times New Roman" w:cs="Times New Roman"/>
          <w:b/>
          <w:sz w:val="20"/>
          <w:szCs w:val="20"/>
          <w:lang w:val="ro-MD"/>
        </w:rPr>
        <w:t xml:space="preserve"> (%)</w:t>
      </w:r>
      <w:r w:rsidR="00041FE0" w:rsidRPr="00775F59">
        <w:rPr>
          <w:rFonts w:ascii="Times New Roman" w:hAnsi="Times New Roman" w:cs="Times New Roman"/>
          <w:b/>
          <w:sz w:val="20"/>
          <w:szCs w:val="20"/>
          <w:lang w:val="ro-MD"/>
        </w:rPr>
        <w:t>, după vârstă, sex și nivel de educație</w:t>
      </w:r>
      <w:r w:rsidR="00876E7A" w:rsidRPr="00775F59">
        <w:rPr>
          <w:rFonts w:ascii="Times New Roman" w:hAnsi="Times New Roman" w:cs="Times New Roman"/>
          <w:b/>
          <w:sz w:val="20"/>
          <w:szCs w:val="20"/>
          <w:lang w:val="ro-MD"/>
        </w:rPr>
        <w:t xml:space="preserve">, </w:t>
      </w:r>
      <w:bookmarkEnd w:id="44"/>
      <w:r w:rsidR="004C7476" w:rsidRPr="00775F59">
        <w:rPr>
          <w:rFonts w:ascii="Times New Roman" w:hAnsi="Times New Roman" w:cs="Times New Roman"/>
          <w:b/>
          <w:sz w:val="20"/>
          <w:szCs w:val="20"/>
          <w:lang w:val="ro-MD"/>
        </w:rPr>
        <w:t>2021</w:t>
      </w:r>
    </w:p>
    <w:bookmarkEnd w:id="45"/>
    <w:bookmarkEnd w:id="46"/>
    <w:p w14:paraId="29CC52B1" w14:textId="6D23A5ED" w:rsidR="00876E7A" w:rsidRPr="0011507E" w:rsidRDefault="0011507E" w:rsidP="0011507E">
      <w:pPr>
        <w:jc w:val="center"/>
        <w:rPr>
          <w:rFonts w:ascii="Times New Roman" w:hAnsi="Times New Roman" w:cs="Times New Roman"/>
          <w:b/>
          <w:sz w:val="16"/>
          <w:szCs w:val="16"/>
          <w:lang w:val="ro-MD"/>
        </w:rPr>
      </w:pPr>
      <w:r w:rsidRPr="0011507E">
        <w:rPr>
          <w:rFonts w:ascii="Times New Roman" w:hAnsi="Times New Roman" w:cs="Times New Roman"/>
          <w:b/>
          <w:noProof/>
          <w:sz w:val="16"/>
          <w:szCs w:val="16"/>
          <w:lang w:val="ru-RU" w:eastAsia="ru-RU"/>
        </w:rPr>
        <w:drawing>
          <wp:inline distT="0" distB="0" distL="0" distR="0" wp14:anchorId="27CB6CE4" wp14:editId="004F7CAB">
            <wp:extent cx="5512279" cy="2739553"/>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35455" cy="2751071"/>
                    </a:xfrm>
                    <a:prstGeom prst="rect">
                      <a:avLst/>
                    </a:prstGeom>
                    <a:noFill/>
                    <a:ln>
                      <a:noFill/>
                    </a:ln>
                  </pic:spPr>
                </pic:pic>
              </a:graphicData>
            </a:graphic>
          </wp:inline>
        </w:drawing>
      </w:r>
    </w:p>
    <w:p w14:paraId="19B14FD6" w14:textId="227CC38D" w:rsidR="00041FE0" w:rsidRPr="003836D9" w:rsidRDefault="0011507E" w:rsidP="0011507E">
      <w:pPr>
        <w:spacing w:before="120" w:after="120"/>
        <w:rPr>
          <w:rFonts w:ascii="Times New Roman" w:eastAsia="Times New Roman" w:hAnsi="Times New Roman" w:cs="Times New Roman"/>
          <w:i/>
          <w:color w:val="000000"/>
          <w:sz w:val="16"/>
          <w:szCs w:val="16"/>
          <w:lang w:val="ro-MD"/>
        </w:rPr>
      </w:pPr>
      <w:r>
        <w:rPr>
          <w:rFonts w:ascii="Times New Roman" w:eastAsia="Times New Roman" w:hAnsi="Times New Roman" w:cs="Times New Roman"/>
          <w:i/>
          <w:color w:val="000000"/>
          <w:sz w:val="16"/>
          <w:szCs w:val="16"/>
          <w:lang w:val="ro-MD"/>
        </w:rPr>
        <w:t xml:space="preserve">             </w:t>
      </w:r>
      <w:r w:rsidR="00041FE0" w:rsidRPr="003836D9">
        <w:rPr>
          <w:rFonts w:ascii="Times New Roman" w:eastAsia="Times New Roman" w:hAnsi="Times New Roman" w:cs="Times New Roman"/>
          <w:i/>
          <w:color w:val="000000"/>
          <w:sz w:val="16"/>
          <w:szCs w:val="16"/>
          <w:lang w:val="ro-MD"/>
        </w:rPr>
        <w:t xml:space="preserve">Sursa: </w:t>
      </w:r>
      <w:r w:rsidR="00041FE0" w:rsidRPr="003836D9">
        <w:rPr>
          <w:rFonts w:ascii="Times New Roman" w:eastAsia="Times New Roman" w:hAnsi="Times New Roman" w:cs="Times New Roman"/>
          <w:iCs/>
          <w:color w:val="000000"/>
          <w:sz w:val="16"/>
          <w:szCs w:val="16"/>
          <w:lang w:val="ro-MD"/>
        </w:rPr>
        <w:t>Elaborare în baza datelor B</w:t>
      </w:r>
      <w:r>
        <w:rPr>
          <w:rFonts w:ascii="Times New Roman" w:eastAsia="Times New Roman" w:hAnsi="Times New Roman" w:cs="Times New Roman"/>
          <w:iCs/>
          <w:color w:val="000000"/>
          <w:sz w:val="16"/>
          <w:szCs w:val="16"/>
          <w:lang w:val="ro-MD"/>
        </w:rPr>
        <w:t>iroului Național de Statistică</w:t>
      </w:r>
      <w:r w:rsidR="00041FE0" w:rsidRPr="003836D9">
        <w:rPr>
          <w:rFonts w:ascii="Times New Roman" w:eastAsia="Times New Roman" w:hAnsi="Times New Roman" w:cs="Times New Roman"/>
          <w:iCs/>
          <w:color w:val="000000"/>
          <w:sz w:val="16"/>
          <w:szCs w:val="16"/>
          <w:lang w:val="ro-MD"/>
        </w:rPr>
        <w:t xml:space="preserve"> ale Anchetei Forței de Muncă</w:t>
      </w:r>
    </w:p>
    <w:p w14:paraId="30ACDA5C" w14:textId="77777777" w:rsidR="00705142" w:rsidRPr="003836D9" w:rsidRDefault="00705142" w:rsidP="0053094E">
      <w:pPr>
        <w:jc w:val="both"/>
        <w:rPr>
          <w:rFonts w:ascii="Times New Roman" w:eastAsia="Times New Roman" w:hAnsi="Times New Roman" w:cs="Times New Roman"/>
          <w:sz w:val="16"/>
          <w:szCs w:val="16"/>
          <w:lang w:val="ro-MD"/>
        </w:rPr>
      </w:pPr>
    </w:p>
    <w:p w14:paraId="27C1443F" w14:textId="278B2E03" w:rsidR="00041FE0" w:rsidRPr="003836D9" w:rsidRDefault="00041FE0" w:rsidP="0053094E">
      <w:pPr>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Cea mai mare rată a șomajului se regăsește în mediul urban (4,5 procente) și în special în Chișinău (4,6 procente) și cea mai scăzută în mediul rural (3,3 procente) și în</w:t>
      </w:r>
      <w:r w:rsidR="0053094E" w:rsidRPr="003836D9">
        <w:rPr>
          <w:rFonts w:ascii="Times New Roman" w:eastAsia="Times New Roman" w:hAnsi="Times New Roman" w:cs="Times New Roman"/>
          <w:sz w:val="24"/>
          <w:szCs w:val="24"/>
          <w:lang w:val="ro-MD"/>
        </w:rPr>
        <w:t xml:space="preserve"> regiunea Centru (2,9 procente)</w:t>
      </w:r>
      <w:r w:rsidR="005869D5" w:rsidRPr="003836D9">
        <w:rPr>
          <w:rFonts w:ascii="Times New Roman" w:eastAsia="Times New Roman" w:hAnsi="Times New Roman" w:cs="Times New Roman"/>
          <w:sz w:val="24"/>
          <w:szCs w:val="24"/>
          <w:lang w:val="ro-MD"/>
        </w:rPr>
        <w:t>,</w:t>
      </w:r>
      <w:r w:rsidRPr="003836D9">
        <w:rPr>
          <w:rFonts w:ascii="Times New Roman" w:eastAsia="Times New Roman" w:hAnsi="Times New Roman" w:cs="Times New Roman"/>
          <w:sz w:val="24"/>
          <w:szCs w:val="24"/>
          <w:lang w:val="ro-MD"/>
        </w:rPr>
        <w:t xml:space="preserve"> </w:t>
      </w:r>
      <w:r w:rsidR="0053094E" w:rsidRPr="003836D9">
        <w:rPr>
          <w:rFonts w:ascii="Times New Roman" w:eastAsia="Times New Roman" w:hAnsi="Times New Roman" w:cs="Times New Roman"/>
          <w:sz w:val="24"/>
          <w:szCs w:val="24"/>
          <w:lang w:val="ro-MD"/>
        </w:rPr>
        <w:t xml:space="preserve">dat fiind </w:t>
      </w:r>
      <w:r w:rsidRPr="003836D9">
        <w:rPr>
          <w:rFonts w:ascii="Times New Roman" w:eastAsia="Times New Roman" w:hAnsi="Times New Roman" w:cs="Times New Roman"/>
          <w:sz w:val="24"/>
          <w:szCs w:val="24"/>
          <w:lang w:val="ro-MD"/>
        </w:rPr>
        <w:t>dependența de agricultură în zonele rurale.</w:t>
      </w:r>
    </w:p>
    <w:p w14:paraId="7B1E52F4" w14:textId="29D0473F" w:rsidR="00BD16F3" w:rsidRPr="003836D9" w:rsidRDefault="00041FE0" w:rsidP="005805F2">
      <w:pPr>
        <w:jc w:val="both"/>
        <w:rPr>
          <w:rFonts w:ascii="Times New Roman" w:eastAsia="Calibri" w:hAnsi="Times New Roman" w:cs="Times New Roman"/>
          <w:iCs/>
          <w:sz w:val="24"/>
          <w:szCs w:val="24"/>
          <w:lang w:val="ro-MD"/>
        </w:rPr>
      </w:pPr>
      <w:r w:rsidRPr="003836D9">
        <w:rPr>
          <w:rFonts w:ascii="Times New Roman" w:eastAsia="Times New Roman" w:hAnsi="Times New Roman" w:cs="Times New Roman"/>
          <w:sz w:val="24"/>
          <w:szCs w:val="24"/>
          <w:lang w:val="ro-MD"/>
        </w:rPr>
        <w:t>Șomajul de lungă durată (peste 12 luni) în 2018 a reprezentat 25,7 procente din totalul șomajului (populația de 15 ani</w:t>
      </w:r>
      <w:r w:rsidR="005869D5" w:rsidRPr="003836D9">
        <w:rPr>
          <w:rFonts w:ascii="Times New Roman" w:eastAsia="Times New Roman" w:hAnsi="Times New Roman" w:cs="Times New Roman"/>
          <w:sz w:val="24"/>
          <w:szCs w:val="24"/>
          <w:lang w:val="ro-MD"/>
        </w:rPr>
        <w:t xml:space="preserve"> și peste</w:t>
      </w:r>
      <w:r w:rsidRPr="003836D9">
        <w:rPr>
          <w:rFonts w:ascii="Times New Roman" w:eastAsia="Times New Roman" w:hAnsi="Times New Roman" w:cs="Times New Roman"/>
          <w:sz w:val="24"/>
          <w:szCs w:val="24"/>
          <w:lang w:val="ro-MD"/>
        </w:rPr>
        <w:t xml:space="preserve">), cu probabilitate mai înaltă pentru femei decât pentru bărbați de a fi șomeri de lungă durată (29,4 procente și </w:t>
      </w:r>
      <w:r w:rsidR="004D2C69" w:rsidRPr="003836D9">
        <w:rPr>
          <w:rFonts w:ascii="Times New Roman" w:eastAsia="Times New Roman" w:hAnsi="Times New Roman" w:cs="Times New Roman"/>
          <w:sz w:val="24"/>
          <w:szCs w:val="24"/>
          <w:lang w:val="ro-MD"/>
        </w:rPr>
        <w:t xml:space="preserve">respectiv </w:t>
      </w:r>
      <w:r w:rsidRPr="003836D9">
        <w:rPr>
          <w:rFonts w:ascii="Times New Roman" w:eastAsia="Times New Roman" w:hAnsi="Times New Roman" w:cs="Times New Roman"/>
          <w:sz w:val="24"/>
          <w:szCs w:val="24"/>
          <w:lang w:val="ro-MD"/>
        </w:rPr>
        <w:t>23,2 procente). Tinerii sunt în cea mai mare parte șomeri de scurtă durată, deoarece peste 70 procente dintre ei erau șomeri de mai puțin de șase luni</w:t>
      </w:r>
      <w:r w:rsidR="00BD16F3" w:rsidRPr="003836D9">
        <w:rPr>
          <w:rFonts w:ascii="Times New Roman" w:eastAsia="Calibri" w:hAnsi="Times New Roman" w:cs="Times New Roman"/>
          <w:iCs/>
          <w:sz w:val="24"/>
          <w:szCs w:val="24"/>
          <w:lang w:val="ro-MD"/>
        </w:rPr>
        <w:t xml:space="preserve">. </w:t>
      </w:r>
    </w:p>
    <w:p w14:paraId="2B121DE6" w14:textId="77777777" w:rsidR="00041FE0" w:rsidRPr="003836D9" w:rsidRDefault="00041FE0" w:rsidP="005B2C69">
      <w:pPr>
        <w:pStyle w:val="Heading3"/>
        <w:ind w:left="3600"/>
        <w:rPr>
          <w:rFonts w:ascii="Times New Roman" w:hAnsi="Times New Roman" w:cs="Times New Roman"/>
          <w:b/>
          <w:bCs/>
          <w:i/>
          <w:iCs/>
          <w:color w:val="auto"/>
          <w:lang w:val="ro-MD"/>
        </w:rPr>
      </w:pPr>
      <w:bookmarkStart w:id="47" w:name="_Toc97315965"/>
      <w:bookmarkStart w:id="48" w:name="_Toc97709288"/>
      <w:r w:rsidRPr="003836D9">
        <w:rPr>
          <w:rFonts w:ascii="Times New Roman" w:hAnsi="Times New Roman" w:cs="Times New Roman"/>
          <w:b/>
          <w:i/>
          <w:iCs/>
          <w:color w:val="auto"/>
          <w:lang w:val="ro-MD"/>
        </w:rPr>
        <w:lastRenderedPageBreak/>
        <w:t>Inactivitate și descurajare</w:t>
      </w:r>
      <w:bookmarkEnd w:id="47"/>
      <w:bookmarkEnd w:id="48"/>
    </w:p>
    <w:p w14:paraId="7111C410" w14:textId="0F766364" w:rsidR="00041FE0" w:rsidRPr="003836D9" w:rsidRDefault="00041FE0" w:rsidP="00705142">
      <w:pPr>
        <w:autoSpaceDE w:val="0"/>
        <w:autoSpaceDN w:val="0"/>
        <w:adjustRightInd w:val="0"/>
        <w:spacing w:before="120" w:after="120"/>
        <w:jc w:val="both"/>
        <w:rPr>
          <w:rFonts w:ascii="Times New Roman" w:eastAsia="Calibri" w:hAnsi="Times New Roman" w:cs="Times New Roman"/>
          <w:iCs/>
          <w:sz w:val="24"/>
          <w:szCs w:val="24"/>
          <w:lang w:val="ro-MD"/>
        </w:rPr>
      </w:pPr>
      <w:r w:rsidRPr="003836D9">
        <w:rPr>
          <w:rFonts w:ascii="Times New Roman" w:eastAsia="Calibri" w:hAnsi="Times New Roman" w:cs="Times New Roman"/>
          <w:iCs/>
          <w:sz w:val="24"/>
          <w:szCs w:val="24"/>
          <w:lang w:val="ro-MD"/>
        </w:rPr>
        <w:t>Între 2014 și 2018, rata de inactivitate a populației de</w:t>
      </w:r>
      <w:r w:rsidR="00F0373E" w:rsidRPr="003836D9">
        <w:rPr>
          <w:rFonts w:ascii="Times New Roman" w:eastAsia="Calibri" w:hAnsi="Times New Roman" w:cs="Times New Roman"/>
          <w:iCs/>
          <w:sz w:val="24"/>
          <w:szCs w:val="24"/>
          <w:lang w:val="ro-MD"/>
        </w:rPr>
        <w:t xml:space="preserve"> 15 ani și peste a scăzut cu 2,6</w:t>
      </w:r>
      <w:r w:rsidRPr="003836D9">
        <w:rPr>
          <w:rFonts w:ascii="Times New Roman" w:eastAsia="Calibri" w:hAnsi="Times New Roman" w:cs="Times New Roman"/>
          <w:iCs/>
          <w:sz w:val="24"/>
          <w:szCs w:val="24"/>
          <w:lang w:val="ro-MD"/>
        </w:rPr>
        <w:t xml:space="preserve"> puncte procentuale (de la 5</w:t>
      </w:r>
      <w:r w:rsidR="00F0373E" w:rsidRPr="003836D9">
        <w:rPr>
          <w:rFonts w:ascii="Times New Roman" w:eastAsia="Calibri" w:hAnsi="Times New Roman" w:cs="Times New Roman"/>
          <w:iCs/>
          <w:sz w:val="24"/>
          <w:szCs w:val="24"/>
          <w:lang w:val="ro-MD"/>
        </w:rPr>
        <w:t>6</w:t>
      </w:r>
      <w:r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7</w:t>
      </w:r>
      <w:r w:rsidRPr="003836D9">
        <w:rPr>
          <w:rFonts w:ascii="Times New Roman" w:eastAsia="Calibri" w:hAnsi="Times New Roman" w:cs="Times New Roman"/>
          <w:iCs/>
          <w:sz w:val="24"/>
          <w:szCs w:val="24"/>
          <w:lang w:val="ro-MD"/>
        </w:rPr>
        <w:t xml:space="preserve"> procente la 5</w:t>
      </w:r>
      <w:r w:rsidR="00F0373E" w:rsidRPr="003836D9">
        <w:rPr>
          <w:rFonts w:ascii="Times New Roman" w:eastAsia="Calibri" w:hAnsi="Times New Roman" w:cs="Times New Roman"/>
          <w:iCs/>
          <w:sz w:val="24"/>
          <w:szCs w:val="24"/>
          <w:lang w:val="ro-MD"/>
        </w:rPr>
        <w:t>4</w:t>
      </w:r>
      <w:r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1</w:t>
      </w:r>
      <w:r w:rsidRPr="003836D9">
        <w:rPr>
          <w:rFonts w:ascii="Times New Roman" w:eastAsia="Calibri" w:hAnsi="Times New Roman" w:cs="Times New Roman"/>
          <w:iCs/>
          <w:sz w:val="24"/>
          <w:szCs w:val="24"/>
          <w:lang w:val="ro-MD"/>
        </w:rPr>
        <w:t xml:space="preserve"> procente), ca urmare a scăderii populației (cu 6 procente în aceeași perioadă). Aceste rate de inactivitate sunt de două ori mai mari decât cele înregistrate în UE (26,6 procente din populația în vârstă de muncă în 2019). Ratele ridic</w:t>
      </w:r>
      <w:r w:rsidR="00FB2C70">
        <w:rPr>
          <w:rFonts w:ascii="Times New Roman" w:eastAsia="Calibri" w:hAnsi="Times New Roman" w:cs="Times New Roman"/>
          <w:iCs/>
          <w:sz w:val="24"/>
          <w:szCs w:val="24"/>
          <w:lang w:val="ro-MD"/>
        </w:rPr>
        <w:t>ate de inactivitate sunt cauzate de ratelele</w:t>
      </w:r>
      <w:r w:rsidRPr="003836D9">
        <w:rPr>
          <w:rFonts w:ascii="Times New Roman" w:eastAsia="Calibri" w:hAnsi="Times New Roman" w:cs="Times New Roman"/>
          <w:iCs/>
          <w:sz w:val="24"/>
          <w:szCs w:val="24"/>
          <w:lang w:val="ro-MD"/>
        </w:rPr>
        <w:t xml:space="preserve"> ridicate de inactivitate în rândul tinerilor (7</w:t>
      </w:r>
      <w:r w:rsidR="00F0373E" w:rsidRPr="003836D9">
        <w:rPr>
          <w:rFonts w:ascii="Times New Roman" w:eastAsia="Calibri" w:hAnsi="Times New Roman" w:cs="Times New Roman"/>
          <w:iCs/>
          <w:sz w:val="24"/>
          <w:szCs w:val="24"/>
          <w:lang w:val="ro-MD"/>
        </w:rPr>
        <w:t>7</w:t>
      </w:r>
      <w:r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5</w:t>
      </w:r>
      <w:r w:rsidRPr="003836D9">
        <w:rPr>
          <w:rFonts w:ascii="Times New Roman" w:eastAsia="Calibri" w:hAnsi="Times New Roman" w:cs="Times New Roman"/>
          <w:iCs/>
          <w:sz w:val="24"/>
          <w:szCs w:val="24"/>
          <w:lang w:val="ro-MD"/>
        </w:rPr>
        <w:t xml:space="preserve"> procente în 2018) și a persoanelor cu vârsta între 55-64 de ani (5</w:t>
      </w:r>
      <w:r w:rsidR="00F0373E" w:rsidRPr="003836D9">
        <w:rPr>
          <w:rFonts w:ascii="Times New Roman" w:eastAsia="Calibri" w:hAnsi="Times New Roman" w:cs="Times New Roman"/>
          <w:iCs/>
          <w:sz w:val="24"/>
          <w:szCs w:val="24"/>
          <w:lang w:val="ro-MD"/>
        </w:rPr>
        <w:t>0</w:t>
      </w:r>
      <w:r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6</w:t>
      </w:r>
      <w:r w:rsidRPr="003836D9">
        <w:rPr>
          <w:rFonts w:ascii="Times New Roman" w:eastAsia="Calibri" w:hAnsi="Times New Roman" w:cs="Times New Roman"/>
          <w:iCs/>
          <w:sz w:val="24"/>
          <w:szCs w:val="24"/>
          <w:lang w:val="ro-MD"/>
        </w:rPr>
        <w:t xml:space="preserve"> procente în același an).</w:t>
      </w:r>
    </w:p>
    <w:p w14:paraId="18B3C84B" w14:textId="0A948356" w:rsidR="00041FE0" w:rsidRPr="003836D9" w:rsidRDefault="00AD464D" w:rsidP="00705142">
      <w:pPr>
        <w:autoSpaceDE w:val="0"/>
        <w:autoSpaceDN w:val="0"/>
        <w:adjustRightInd w:val="0"/>
        <w:spacing w:before="120" w:after="120"/>
        <w:jc w:val="both"/>
        <w:rPr>
          <w:rFonts w:ascii="Times New Roman" w:eastAsia="Calibri" w:hAnsi="Times New Roman" w:cs="Times New Roman"/>
          <w:iCs/>
          <w:sz w:val="24"/>
          <w:szCs w:val="24"/>
          <w:lang w:val="ro-MD"/>
        </w:rPr>
      </w:pPr>
      <w:r w:rsidRPr="003836D9">
        <w:rPr>
          <w:rFonts w:ascii="Times New Roman" w:eastAsia="Calibri" w:hAnsi="Times New Roman" w:cs="Times New Roman"/>
          <w:iCs/>
          <w:sz w:val="24"/>
          <w:szCs w:val="24"/>
          <w:lang w:val="ro-MD"/>
        </w:rPr>
        <w:t>În perioada 2019-2021</w:t>
      </w:r>
      <w:r w:rsidR="00041FE0" w:rsidRPr="003836D9">
        <w:rPr>
          <w:rFonts w:ascii="Times New Roman" w:eastAsia="Calibri" w:hAnsi="Times New Roman" w:cs="Times New Roman"/>
          <w:iCs/>
          <w:sz w:val="24"/>
          <w:szCs w:val="24"/>
          <w:lang w:val="ro-MD"/>
        </w:rPr>
        <w:t>, inactivitatea în rândul populației de 15 ani și peste a crescut de la 5</w:t>
      </w:r>
      <w:r w:rsidR="00F0373E" w:rsidRPr="003836D9">
        <w:rPr>
          <w:rFonts w:ascii="Times New Roman" w:eastAsia="Calibri" w:hAnsi="Times New Roman" w:cs="Times New Roman"/>
          <w:iCs/>
          <w:sz w:val="24"/>
          <w:szCs w:val="24"/>
          <w:lang w:val="ro-MD"/>
        </w:rPr>
        <w:t>7</w:t>
      </w:r>
      <w:r w:rsidR="00041FE0"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7</w:t>
      </w:r>
      <w:r w:rsidR="00041FE0" w:rsidRPr="003836D9">
        <w:rPr>
          <w:rFonts w:ascii="Times New Roman" w:eastAsia="Calibri" w:hAnsi="Times New Roman" w:cs="Times New Roman"/>
          <w:iCs/>
          <w:sz w:val="24"/>
          <w:szCs w:val="24"/>
          <w:lang w:val="ro-MD"/>
        </w:rPr>
        <w:t xml:space="preserve"> procente la 5</w:t>
      </w:r>
      <w:r w:rsidR="00F0373E" w:rsidRPr="003836D9">
        <w:rPr>
          <w:rFonts w:ascii="Times New Roman" w:eastAsia="Calibri" w:hAnsi="Times New Roman" w:cs="Times New Roman"/>
          <w:iCs/>
          <w:sz w:val="24"/>
          <w:szCs w:val="24"/>
          <w:lang w:val="ro-MD"/>
        </w:rPr>
        <w:t>8</w:t>
      </w:r>
      <w:r w:rsidR="00041FE0"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9</w:t>
      </w:r>
      <w:r w:rsidR="00041FE0" w:rsidRPr="003836D9">
        <w:rPr>
          <w:rFonts w:ascii="Times New Roman" w:eastAsia="Calibri" w:hAnsi="Times New Roman" w:cs="Times New Roman"/>
          <w:iCs/>
          <w:sz w:val="24"/>
          <w:szCs w:val="24"/>
          <w:lang w:val="ro-MD"/>
        </w:rPr>
        <w:t xml:space="preserve"> procente, nivelul de inactivitate a bărbaților crescând cu </w:t>
      </w:r>
      <w:r w:rsidR="00F0373E" w:rsidRPr="003836D9">
        <w:rPr>
          <w:rFonts w:ascii="Times New Roman" w:eastAsia="Calibri" w:hAnsi="Times New Roman" w:cs="Times New Roman"/>
          <w:iCs/>
          <w:sz w:val="24"/>
          <w:szCs w:val="24"/>
          <w:lang w:val="ro-MD"/>
        </w:rPr>
        <w:t>0</w:t>
      </w:r>
      <w:r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5</w:t>
      </w:r>
      <w:r w:rsidR="00041FE0" w:rsidRPr="003836D9">
        <w:rPr>
          <w:rFonts w:ascii="Times New Roman" w:eastAsia="Calibri" w:hAnsi="Times New Roman" w:cs="Times New Roman"/>
          <w:iCs/>
          <w:sz w:val="24"/>
          <w:szCs w:val="24"/>
          <w:lang w:val="ro-MD"/>
        </w:rPr>
        <w:t xml:space="preserve"> procente, comparativ cu creșterea cu </w:t>
      </w:r>
      <w:r w:rsidR="00F0373E" w:rsidRPr="003836D9">
        <w:rPr>
          <w:rFonts w:ascii="Times New Roman" w:eastAsia="Calibri" w:hAnsi="Times New Roman" w:cs="Times New Roman"/>
          <w:iCs/>
          <w:sz w:val="24"/>
          <w:szCs w:val="24"/>
          <w:lang w:val="ro-MD"/>
        </w:rPr>
        <w:t>1</w:t>
      </w:r>
      <w:r w:rsidR="00041FE0"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8</w:t>
      </w:r>
      <w:r w:rsidR="00041FE0" w:rsidRPr="003836D9">
        <w:rPr>
          <w:rFonts w:ascii="Times New Roman" w:eastAsia="Calibri" w:hAnsi="Times New Roman" w:cs="Times New Roman"/>
          <w:iCs/>
          <w:sz w:val="24"/>
          <w:szCs w:val="24"/>
          <w:lang w:val="ro-MD"/>
        </w:rPr>
        <w:t xml:space="preserve"> a nivelului de inactivitate a femeilor (</w:t>
      </w:r>
      <w:r w:rsidR="00D94B6B">
        <w:rPr>
          <w:rFonts w:ascii="Times New Roman" w:eastAsia="Calibri" w:hAnsi="Times New Roman" w:cs="Times New Roman"/>
          <w:iCs/>
          <w:sz w:val="24"/>
          <w:szCs w:val="24"/>
          <w:lang w:val="ro-MD"/>
        </w:rPr>
        <w:t>Fig.</w:t>
      </w:r>
      <w:r w:rsidR="00041FE0" w:rsidRPr="003836D9">
        <w:rPr>
          <w:rFonts w:ascii="Times New Roman" w:eastAsia="Calibri" w:hAnsi="Times New Roman" w:cs="Times New Roman"/>
          <w:iCs/>
          <w:sz w:val="24"/>
          <w:szCs w:val="24"/>
          <w:lang w:val="ro-MD"/>
        </w:rPr>
        <w:t xml:space="preserve"> 19). În rândul tinerilor</w:t>
      </w:r>
      <w:r w:rsidR="00F0373E" w:rsidRPr="003836D9">
        <w:rPr>
          <w:rFonts w:ascii="Times New Roman" w:eastAsia="Calibri" w:hAnsi="Times New Roman" w:cs="Times New Roman"/>
          <w:iCs/>
          <w:sz w:val="24"/>
          <w:szCs w:val="24"/>
          <w:lang w:val="ro-MD"/>
        </w:rPr>
        <w:t xml:space="preserve"> (15-24)</w:t>
      </w:r>
      <w:r w:rsidR="00041FE0" w:rsidRPr="003836D9">
        <w:rPr>
          <w:rFonts w:ascii="Times New Roman" w:eastAsia="Calibri" w:hAnsi="Times New Roman" w:cs="Times New Roman"/>
          <w:iCs/>
          <w:sz w:val="24"/>
          <w:szCs w:val="24"/>
          <w:lang w:val="ro-MD"/>
        </w:rPr>
        <w:t>, inactivitatea a crescut de la 7</w:t>
      </w:r>
      <w:r w:rsidR="00F0373E" w:rsidRPr="003836D9">
        <w:rPr>
          <w:rFonts w:ascii="Times New Roman" w:eastAsia="Calibri" w:hAnsi="Times New Roman" w:cs="Times New Roman"/>
          <w:iCs/>
          <w:sz w:val="24"/>
          <w:szCs w:val="24"/>
          <w:lang w:val="ro-MD"/>
        </w:rPr>
        <w:t>8</w:t>
      </w:r>
      <w:r w:rsidR="00041FE0"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8</w:t>
      </w:r>
      <w:r w:rsidR="00041FE0" w:rsidRPr="003836D9">
        <w:rPr>
          <w:rFonts w:ascii="Times New Roman" w:eastAsia="Calibri" w:hAnsi="Times New Roman" w:cs="Times New Roman"/>
          <w:iCs/>
          <w:sz w:val="24"/>
          <w:szCs w:val="24"/>
          <w:lang w:val="ro-MD"/>
        </w:rPr>
        <w:t xml:space="preserve"> procente la 8</w:t>
      </w:r>
      <w:r w:rsidR="00F0373E" w:rsidRPr="003836D9">
        <w:rPr>
          <w:rFonts w:ascii="Times New Roman" w:eastAsia="Calibri" w:hAnsi="Times New Roman" w:cs="Times New Roman"/>
          <w:iCs/>
          <w:sz w:val="24"/>
          <w:szCs w:val="24"/>
          <w:lang w:val="ro-MD"/>
        </w:rPr>
        <w:t>1</w:t>
      </w:r>
      <w:r w:rsidR="00041FE0" w:rsidRPr="003836D9">
        <w:rPr>
          <w:rFonts w:ascii="Times New Roman" w:eastAsia="Calibri" w:hAnsi="Times New Roman" w:cs="Times New Roman"/>
          <w:iCs/>
          <w:sz w:val="24"/>
          <w:szCs w:val="24"/>
          <w:lang w:val="ro-MD"/>
        </w:rPr>
        <w:t>,</w:t>
      </w:r>
      <w:r w:rsidR="00F0373E" w:rsidRPr="003836D9">
        <w:rPr>
          <w:rFonts w:ascii="Times New Roman" w:eastAsia="Calibri" w:hAnsi="Times New Roman" w:cs="Times New Roman"/>
          <w:iCs/>
          <w:sz w:val="24"/>
          <w:szCs w:val="24"/>
          <w:lang w:val="ro-MD"/>
        </w:rPr>
        <w:t>9</w:t>
      </w:r>
      <w:r w:rsidR="00041FE0" w:rsidRPr="003836D9">
        <w:rPr>
          <w:rFonts w:ascii="Times New Roman" w:eastAsia="Calibri" w:hAnsi="Times New Roman" w:cs="Times New Roman"/>
          <w:iCs/>
          <w:sz w:val="24"/>
          <w:szCs w:val="24"/>
          <w:lang w:val="ro-MD"/>
        </w:rPr>
        <w:t xml:space="preserve"> procente, cu creșteri similare de puncte procentuale între bărbați și femei</w:t>
      </w:r>
      <w:r w:rsidR="00E3735D" w:rsidRPr="003836D9">
        <w:rPr>
          <w:rFonts w:ascii="Times New Roman" w:eastAsia="Calibri" w:hAnsi="Times New Roman" w:cs="Times New Roman"/>
          <w:iCs/>
          <w:sz w:val="24"/>
          <w:szCs w:val="24"/>
          <w:lang w:val="ro-MD"/>
        </w:rPr>
        <w:t>.</w:t>
      </w:r>
    </w:p>
    <w:p w14:paraId="1C438240" w14:textId="525DD6BB" w:rsidR="00E25FAD" w:rsidRPr="00563AE0" w:rsidRDefault="00D94B6B" w:rsidP="00314807">
      <w:pPr>
        <w:autoSpaceDE w:val="0"/>
        <w:autoSpaceDN w:val="0"/>
        <w:adjustRightInd w:val="0"/>
        <w:spacing w:before="120" w:after="120"/>
        <w:jc w:val="center"/>
        <w:rPr>
          <w:rFonts w:ascii="Times New Roman" w:hAnsi="Times New Roman" w:cs="Times New Roman"/>
          <w:b/>
          <w:sz w:val="20"/>
          <w:szCs w:val="20"/>
          <w:lang w:val="ro-MD"/>
        </w:rPr>
      </w:pPr>
      <w:bookmarkStart w:id="49" w:name="_Hlk93139601"/>
      <w:r>
        <w:rPr>
          <w:rFonts w:ascii="Times New Roman" w:hAnsi="Times New Roman" w:cs="Times New Roman"/>
          <w:b/>
          <w:sz w:val="20"/>
          <w:szCs w:val="20"/>
          <w:lang w:val="ro-MD"/>
        </w:rPr>
        <w:t>Fig.</w:t>
      </w:r>
      <w:r w:rsidR="00E25FAD" w:rsidRPr="00563AE0">
        <w:rPr>
          <w:rFonts w:ascii="Times New Roman" w:hAnsi="Times New Roman" w:cs="Times New Roman"/>
          <w:b/>
          <w:sz w:val="20"/>
          <w:szCs w:val="20"/>
          <w:lang w:val="ro-MD"/>
        </w:rPr>
        <w:t xml:space="preserve"> 19</w:t>
      </w:r>
      <w:r w:rsidR="0011507E">
        <w:rPr>
          <w:rFonts w:ascii="Times New Roman" w:hAnsi="Times New Roman" w:cs="Times New Roman"/>
          <w:b/>
          <w:sz w:val="20"/>
          <w:szCs w:val="20"/>
          <w:lang w:val="ro-MD"/>
        </w:rPr>
        <w:t>.</w:t>
      </w:r>
      <w:r w:rsidR="00E25FAD" w:rsidRPr="00563AE0">
        <w:rPr>
          <w:rFonts w:ascii="Times New Roman" w:hAnsi="Times New Roman" w:cs="Times New Roman"/>
          <w:b/>
          <w:sz w:val="20"/>
          <w:szCs w:val="20"/>
          <w:lang w:val="ro-MD"/>
        </w:rPr>
        <w:t xml:space="preserve"> </w:t>
      </w:r>
      <w:r w:rsidR="00075DC9" w:rsidRPr="00563AE0">
        <w:rPr>
          <w:rFonts w:ascii="Times New Roman" w:hAnsi="Times New Roman" w:cs="Times New Roman"/>
          <w:b/>
          <w:sz w:val="20"/>
          <w:szCs w:val="20"/>
          <w:lang w:val="ro-MD"/>
        </w:rPr>
        <w:t>Ratele de inactivitate</w:t>
      </w:r>
      <w:r w:rsidR="00136296">
        <w:rPr>
          <w:rFonts w:ascii="Times New Roman" w:hAnsi="Times New Roman" w:cs="Times New Roman"/>
          <w:b/>
          <w:sz w:val="20"/>
          <w:szCs w:val="20"/>
          <w:lang w:val="ro-MD"/>
        </w:rPr>
        <w:t xml:space="preserve"> (%)</w:t>
      </w:r>
      <w:r w:rsidR="00075DC9" w:rsidRPr="00563AE0">
        <w:rPr>
          <w:rFonts w:ascii="Times New Roman" w:hAnsi="Times New Roman" w:cs="Times New Roman"/>
          <w:b/>
          <w:sz w:val="20"/>
          <w:szCs w:val="20"/>
          <w:lang w:val="ro-MD"/>
        </w:rPr>
        <w:t>, după sex și grupuri de vârstă</w:t>
      </w:r>
      <w:r w:rsidR="003F5417" w:rsidRPr="00563AE0">
        <w:rPr>
          <w:rFonts w:ascii="Times New Roman" w:hAnsi="Times New Roman" w:cs="Times New Roman"/>
          <w:b/>
          <w:sz w:val="20"/>
          <w:szCs w:val="20"/>
          <w:lang w:val="ro-MD"/>
        </w:rPr>
        <w:t>,</w:t>
      </w:r>
      <w:r w:rsidR="00136296">
        <w:rPr>
          <w:rFonts w:ascii="Times New Roman" w:hAnsi="Times New Roman" w:cs="Times New Roman"/>
          <w:b/>
          <w:sz w:val="20"/>
          <w:szCs w:val="20"/>
          <w:lang w:val="ro-MD"/>
        </w:rPr>
        <w:t xml:space="preserve"> </w:t>
      </w:r>
      <w:r w:rsidR="003F5417" w:rsidRPr="00563AE0">
        <w:rPr>
          <w:rFonts w:ascii="Times New Roman" w:hAnsi="Times New Roman" w:cs="Times New Roman"/>
          <w:b/>
          <w:sz w:val="20"/>
          <w:szCs w:val="20"/>
          <w:lang w:val="ro-MD"/>
        </w:rPr>
        <w:t>2019-2021</w:t>
      </w:r>
    </w:p>
    <w:bookmarkEnd w:id="49"/>
    <w:p w14:paraId="3E883B2A" w14:textId="47B7496C" w:rsidR="004F1F5B" w:rsidRPr="003836D9" w:rsidRDefault="00136296" w:rsidP="00CC2553">
      <w:pPr>
        <w:autoSpaceDE w:val="0"/>
        <w:autoSpaceDN w:val="0"/>
        <w:adjustRightInd w:val="0"/>
        <w:spacing w:before="120" w:after="120"/>
        <w:jc w:val="center"/>
        <w:rPr>
          <w:rFonts w:ascii="Times New Roman" w:hAnsi="Times New Roman" w:cs="Times New Roman"/>
          <w:b/>
          <w:noProof/>
          <w:sz w:val="16"/>
          <w:szCs w:val="16"/>
          <w:lang w:val="ro-MD"/>
        </w:rPr>
      </w:pPr>
      <w:r w:rsidRPr="00136296">
        <w:rPr>
          <w:rFonts w:ascii="Times New Roman" w:hAnsi="Times New Roman" w:cs="Times New Roman"/>
          <w:b/>
          <w:noProof/>
          <w:sz w:val="16"/>
          <w:szCs w:val="16"/>
          <w:lang w:val="ru-RU" w:eastAsia="ru-RU"/>
        </w:rPr>
        <w:drawing>
          <wp:inline distT="0" distB="0" distL="0" distR="0" wp14:anchorId="6DF69C46" wp14:editId="28A60BA2">
            <wp:extent cx="5201728" cy="2378503"/>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41801" cy="2396826"/>
                    </a:xfrm>
                    <a:prstGeom prst="rect">
                      <a:avLst/>
                    </a:prstGeom>
                    <a:noFill/>
                    <a:ln>
                      <a:noFill/>
                    </a:ln>
                  </pic:spPr>
                </pic:pic>
              </a:graphicData>
            </a:graphic>
          </wp:inline>
        </w:drawing>
      </w:r>
    </w:p>
    <w:p w14:paraId="4B4F2C9C" w14:textId="197BAF1B" w:rsidR="00075DC9" w:rsidRPr="003836D9" w:rsidRDefault="00075DC9" w:rsidP="00136296">
      <w:pPr>
        <w:spacing w:before="120" w:after="120"/>
        <w:ind w:firstLine="720"/>
        <w:rPr>
          <w:rFonts w:ascii="Times New Roman" w:eastAsia="Times New Roman" w:hAnsi="Times New Roman" w:cs="Times New Roman"/>
          <w:i/>
          <w:color w:val="000000"/>
          <w:sz w:val="16"/>
          <w:szCs w:val="16"/>
          <w:lang w:val="ro-MD"/>
        </w:rPr>
      </w:pPr>
      <w:r w:rsidRPr="003836D9">
        <w:rPr>
          <w:rFonts w:ascii="Times New Roman" w:eastAsia="Times New Roman" w:hAnsi="Times New Roman" w:cs="Times New Roman"/>
          <w:i/>
          <w:color w:val="000000"/>
          <w:sz w:val="16"/>
          <w:szCs w:val="16"/>
          <w:lang w:val="ro-MD"/>
        </w:rPr>
        <w:t xml:space="preserve">Sursa: </w:t>
      </w:r>
      <w:r w:rsidRPr="003836D9">
        <w:rPr>
          <w:rFonts w:ascii="Times New Roman" w:eastAsia="Times New Roman" w:hAnsi="Times New Roman" w:cs="Times New Roman"/>
          <w:iCs/>
          <w:color w:val="000000"/>
          <w:sz w:val="16"/>
          <w:szCs w:val="16"/>
          <w:lang w:val="ro-MD"/>
        </w:rPr>
        <w:t>Elaborare în baza datelor B</w:t>
      </w:r>
      <w:r w:rsidR="00136296">
        <w:rPr>
          <w:rFonts w:ascii="Times New Roman" w:eastAsia="Times New Roman" w:hAnsi="Times New Roman" w:cs="Times New Roman"/>
          <w:iCs/>
          <w:color w:val="000000"/>
          <w:sz w:val="16"/>
          <w:szCs w:val="16"/>
          <w:lang w:val="ro-MD"/>
        </w:rPr>
        <w:t>iroului Național de Statistică</w:t>
      </w:r>
      <w:r w:rsidRPr="003836D9">
        <w:rPr>
          <w:rFonts w:ascii="Times New Roman" w:eastAsia="Times New Roman" w:hAnsi="Times New Roman" w:cs="Times New Roman"/>
          <w:iCs/>
          <w:color w:val="000000"/>
          <w:sz w:val="16"/>
          <w:szCs w:val="16"/>
          <w:lang w:val="ro-MD"/>
        </w:rPr>
        <w:t xml:space="preserve"> ale Anchetei Forței de Muncă</w:t>
      </w:r>
    </w:p>
    <w:p w14:paraId="43AFED0D" w14:textId="55497D20" w:rsidR="00075DC9" w:rsidRPr="003836D9" w:rsidRDefault="00C842E2" w:rsidP="00705142">
      <w:pPr>
        <w:autoSpaceDE w:val="0"/>
        <w:autoSpaceDN w:val="0"/>
        <w:adjustRightInd w:val="0"/>
        <w:spacing w:before="120" w:after="120"/>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P</w:t>
      </w:r>
      <w:r w:rsidR="00075DC9" w:rsidRPr="003836D9">
        <w:rPr>
          <w:rFonts w:ascii="Times New Roman" w:eastAsia="Times New Roman" w:hAnsi="Times New Roman" w:cs="Times New Roman"/>
          <w:sz w:val="24"/>
          <w:szCs w:val="24"/>
          <w:lang w:val="ro-MD"/>
        </w:rPr>
        <w:t>rincipalul motiv al inactivității în rândul tinerilor a fost participarea la sistemul de învățământ (78 procente din totalul tinerilor inactivi</w:t>
      </w:r>
      <w:r w:rsidR="00F0373E" w:rsidRPr="003836D9">
        <w:rPr>
          <w:rFonts w:ascii="Times New Roman" w:eastAsia="Times New Roman" w:hAnsi="Times New Roman" w:cs="Times New Roman"/>
          <w:sz w:val="24"/>
          <w:szCs w:val="24"/>
          <w:lang w:val="ro-MD"/>
        </w:rPr>
        <w:t xml:space="preserve"> care nu doresc să lucreze</w:t>
      </w:r>
      <w:r w:rsidR="00075DC9" w:rsidRPr="003836D9">
        <w:rPr>
          <w:rFonts w:ascii="Times New Roman" w:eastAsia="Times New Roman" w:hAnsi="Times New Roman" w:cs="Times New Roman"/>
          <w:sz w:val="24"/>
          <w:szCs w:val="24"/>
          <w:lang w:val="ro-MD"/>
        </w:rPr>
        <w:t xml:space="preserve">) și responsabilitățile familiale (9 procente din totalul tinerilor inactivi), fenomen care afectează </w:t>
      </w:r>
      <w:r w:rsidR="00705142" w:rsidRPr="003836D9">
        <w:rPr>
          <w:rFonts w:ascii="Times New Roman" w:eastAsia="Times New Roman" w:hAnsi="Times New Roman" w:cs="Times New Roman"/>
          <w:sz w:val="24"/>
          <w:szCs w:val="24"/>
          <w:lang w:val="ro-MD"/>
        </w:rPr>
        <w:t xml:space="preserve">femeile </w:t>
      </w:r>
      <w:r w:rsidR="00075DC9" w:rsidRPr="003836D9">
        <w:rPr>
          <w:rFonts w:ascii="Times New Roman" w:eastAsia="Times New Roman" w:hAnsi="Times New Roman" w:cs="Times New Roman"/>
          <w:sz w:val="24"/>
          <w:szCs w:val="24"/>
          <w:lang w:val="ro-MD"/>
        </w:rPr>
        <w:t xml:space="preserve">tinere mai mult decât bărbații </w:t>
      </w:r>
      <w:r w:rsidR="00705142" w:rsidRPr="003836D9">
        <w:rPr>
          <w:rFonts w:ascii="Times New Roman" w:eastAsia="Times New Roman" w:hAnsi="Times New Roman" w:cs="Times New Roman"/>
          <w:sz w:val="24"/>
          <w:szCs w:val="24"/>
          <w:lang w:val="ro-MD"/>
        </w:rPr>
        <w:t xml:space="preserve">tineri </w:t>
      </w:r>
      <w:r w:rsidR="00075DC9" w:rsidRPr="003836D9">
        <w:rPr>
          <w:rFonts w:ascii="Times New Roman" w:eastAsia="Times New Roman" w:hAnsi="Times New Roman" w:cs="Times New Roman"/>
          <w:sz w:val="24"/>
          <w:szCs w:val="24"/>
          <w:lang w:val="ro-MD"/>
        </w:rPr>
        <w:t>(17,1 procente dintre tinerele femei inactive nu se aflau pe piața muncii din cauza responsabilităților familiale, comparativ cu 0,2 procente pentru bărbați).</w:t>
      </w:r>
    </w:p>
    <w:p w14:paraId="0CCBC361" w14:textId="0FFA6134" w:rsidR="00E300C2" w:rsidRDefault="00075DC9" w:rsidP="00705142">
      <w:pPr>
        <w:autoSpaceDE w:val="0"/>
        <w:autoSpaceDN w:val="0"/>
        <w:adjustRightInd w:val="0"/>
        <w:spacing w:before="120" w:after="120"/>
        <w:jc w:val="both"/>
        <w:rPr>
          <w:rFonts w:ascii="Times New Roman" w:eastAsia="Times New Roman" w:hAnsi="Times New Roman" w:cs="Times New Roman"/>
          <w:sz w:val="24"/>
          <w:szCs w:val="24"/>
          <w:lang w:val="ro-MD"/>
        </w:rPr>
      </w:pPr>
      <w:r w:rsidRPr="003836D9">
        <w:rPr>
          <w:rFonts w:ascii="Times New Roman" w:eastAsia="Times New Roman" w:hAnsi="Times New Roman" w:cs="Times New Roman"/>
          <w:sz w:val="24"/>
          <w:szCs w:val="24"/>
          <w:lang w:val="ro-MD"/>
        </w:rPr>
        <w:t xml:space="preserve">Cifrele de inactivitate aferente populației de 15 ani și peste sunt puternic afectate de ponderile ridicate ale </w:t>
      </w:r>
      <w:r w:rsidR="006943D5" w:rsidRPr="003836D9">
        <w:rPr>
          <w:rFonts w:ascii="Times New Roman" w:eastAsia="Times New Roman" w:hAnsi="Times New Roman" w:cs="Times New Roman"/>
          <w:sz w:val="24"/>
          <w:szCs w:val="24"/>
          <w:lang w:val="ro-MD"/>
        </w:rPr>
        <w:t xml:space="preserve">persoanelor </w:t>
      </w:r>
      <w:r w:rsidRPr="003836D9">
        <w:rPr>
          <w:rFonts w:ascii="Times New Roman" w:eastAsia="Times New Roman" w:hAnsi="Times New Roman" w:cs="Times New Roman"/>
          <w:sz w:val="24"/>
          <w:szCs w:val="24"/>
          <w:lang w:val="ro-MD"/>
        </w:rPr>
        <w:t>inactiv</w:t>
      </w:r>
      <w:r w:rsidR="006943D5" w:rsidRPr="003836D9">
        <w:rPr>
          <w:rFonts w:ascii="Times New Roman" w:eastAsia="Times New Roman" w:hAnsi="Times New Roman" w:cs="Times New Roman"/>
          <w:sz w:val="24"/>
          <w:szCs w:val="24"/>
          <w:lang w:val="ro-MD"/>
        </w:rPr>
        <w:t>e</w:t>
      </w:r>
      <w:r w:rsidRPr="003836D9">
        <w:rPr>
          <w:rFonts w:ascii="Times New Roman" w:eastAsia="Times New Roman" w:hAnsi="Times New Roman" w:cs="Times New Roman"/>
          <w:sz w:val="24"/>
          <w:szCs w:val="24"/>
          <w:lang w:val="ro-MD"/>
        </w:rPr>
        <w:t xml:space="preserve"> în cohorta mai tânără (15-24) și în vârstă (55-64), prima din cauza </w:t>
      </w:r>
      <w:r w:rsidR="00042194" w:rsidRPr="003836D9">
        <w:rPr>
          <w:rFonts w:ascii="Times New Roman" w:eastAsia="Times New Roman" w:hAnsi="Times New Roman" w:cs="Times New Roman"/>
          <w:sz w:val="24"/>
          <w:szCs w:val="24"/>
          <w:lang w:val="ro-MD"/>
        </w:rPr>
        <w:t>continuării studiilor</w:t>
      </w:r>
      <w:r w:rsidRPr="003836D9">
        <w:rPr>
          <w:rFonts w:ascii="Times New Roman" w:eastAsia="Times New Roman" w:hAnsi="Times New Roman" w:cs="Times New Roman"/>
          <w:sz w:val="24"/>
          <w:szCs w:val="24"/>
          <w:lang w:val="ro-MD"/>
        </w:rPr>
        <w:t xml:space="preserve"> și a doua din cauza pensionării (peste 49 procente din totalul persoanelor inactive în 2020 erau pensionari). Inactivitatea în rândul persoanelor de vârstă </w:t>
      </w:r>
      <w:r w:rsidR="00042194" w:rsidRPr="003836D9">
        <w:rPr>
          <w:rFonts w:ascii="Times New Roman" w:eastAsia="Times New Roman" w:hAnsi="Times New Roman" w:cs="Times New Roman"/>
          <w:sz w:val="24"/>
          <w:szCs w:val="24"/>
          <w:lang w:val="ro-MD"/>
        </w:rPr>
        <w:t>primă</w:t>
      </w:r>
      <w:r w:rsidRPr="003836D9">
        <w:rPr>
          <w:rFonts w:ascii="Times New Roman" w:eastAsia="Times New Roman" w:hAnsi="Times New Roman" w:cs="Times New Roman"/>
          <w:sz w:val="24"/>
          <w:szCs w:val="24"/>
          <w:lang w:val="ro-MD"/>
        </w:rPr>
        <w:t xml:space="preserve"> (25-49) arată că acest statut </w:t>
      </w:r>
      <w:r w:rsidR="00042194" w:rsidRPr="003836D9">
        <w:rPr>
          <w:rFonts w:ascii="Times New Roman" w:eastAsia="Times New Roman" w:hAnsi="Times New Roman" w:cs="Times New Roman"/>
          <w:sz w:val="24"/>
          <w:szCs w:val="24"/>
          <w:lang w:val="ro-MD"/>
        </w:rPr>
        <w:t>pe piața</w:t>
      </w:r>
      <w:r w:rsidRPr="003836D9">
        <w:rPr>
          <w:rFonts w:ascii="Times New Roman" w:eastAsia="Times New Roman" w:hAnsi="Times New Roman" w:cs="Times New Roman"/>
          <w:sz w:val="24"/>
          <w:szCs w:val="24"/>
          <w:lang w:val="ro-MD"/>
        </w:rPr>
        <w:t xml:space="preserve"> munc</w:t>
      </w:r>
      <w:r w:rsidR="00042194" w:rsidRPr="003836D9">
        <w:rPr>
          <w:rFonts w:ascii="Times New Roman" w:eastAsia="Times New Roman" w:hAnsi="Times New Roman" w:cs="Times New Roman"/>
          <w:sz w:val="24"/>
          <w:szCs w:val="24"/>
          <w:lang w:val="ro-MD"/>
        </w:rPr>
        <w:t>ii</w:t>
      </w:r>
      <w:r w:rsidRPr="003836D9">
        <w:rPr>
          <w:rFonts w:ascii="Times New Roman" w:eastAsia="Times New Roman" w:hAnsi="Times New Roman" w:cs="Times New Roman"/>
          <w:sz w:val="24"/>
          <w:szCs w:val="24"/>
          <w:lang w:val="ro-MD"/>
        </w:rPr>
        <w:t xml:space="preserve"> se datorează în primul rând responsabilităților familiale (35,8 procente din totalul persoanelor inactive de 25-49 de ani</w:t>
      </w:r>
      <w:r w:rsidR="00F0373E" w:rsidRPr="003836D9">
        <w:rPr>
          <w:rFonts w:ascii="Times New Roman" w:eastAsia="Times New Roman" w:hAnsi="Times New Roman" w:cs="Times New Roman"/>
          <w:sz w:val="24"/>
          <w:szCs w:val="24"/>
          <w:lang w:val="ro-MD"/>
        </w:rPr>
        <w:t xml:space="preserve"> care nu doresc să lucreze</w:t>
      </w:r>
      <w:r w:rsidRPr="003836D9">
        <w:rPr>
          <w:rFonts w:ascii="Times New Roman" w:eastAsia="Times New Roman" w:hAnsi="Times New Roman" w:cs="Times New Roman"/>
          <w:sz w:val="24"/>
          <w:szCs w:val="24"/>
          <w:lang w:val="ro-MD"/>
        </w:rPr>
        <w:t>) și muncii în străinătate (30,2 procente din totalul inactivitate). Aproximativ șase din zece femei (Tabelul 5) au fost inactive în 2020 din cauza responsabilităților familiale (58,3 procente pentru femei și 2,7 procente pentru bărbați), în timp ce cinci din zece bărbați inactivi lucrau în străinătate (53 procente în rândul bărbaților și 14,7 procente în rândul femeilor). A treia cea mai mare pondere a persoanelor inactive s-a datorat pensionării (14,4 procente</w:t>
      </w:r>
      <w:r w:rsidR="00280C78" w:rsidRPr="003836D9">
        <w:rPr>
          <w:rFonts w:ascii="Times New Roman" w:eastAsia="Times New Roman" w:hAnsi="Times New Roman" w:cs="Times New Roman"/>
          <w:sz w:val="24"/>
          <w:szCs w:val="24"/>
          <w:lang w:val="ro-MD"/>
        </w:rPr>
        <w:t xml:space="preserve">). </w:t>
      </w:r>
    </w:p>
    <w:p w14:paraId="136FAFAE" w14:textId="77777777" w:rsidR="00AF2D44" w:rsidRPr="003836D9" w:rsidRDefault="00AF2D44" w:rsidP="00705142">
      <w:pPr>
        <w:autoSpaceDE w:val="0"/>
        <w:autoSpaceDN w:val="0"/>
        <w:adjustRightInd w:val="0"/>
        <w:spacing w:before="120" w:after="120"/>
        <w:jc w:val="both"/>
        <w:rPr>
          <w:rFonts w:ascii="Times New Roman" w:eastAsia="Times New Roman" w:hAnsi="Times New Roman" w:cs="Times New Roman"/>
          <w:sz w:val="24"/>
          <w:szCs w:val="24"/>
          <w:lang w:val="ro-MD"/>
        </w:rPr>
      </w:pPr>
    </w:p>
    <w:p w14:paraId="4897195C" w14:textId="1FA9A959" w:rsidR="00C1082A" w:rsidRPr="003836D9" w:rsidRDefault="00075DC9" w:rsidP="00AF2D44">
      <w:pPr>
        <w:jc w:val="center"/>
        <w:rPr>
          <w:rFonts w:ascii="Times New Roman" w:hAnsi="Times New Roman" w:cs="Times New Roman"/>
          <w:b/>
          <w:sz w:val="16"/>
          <w:szCs w:val="16"/>
          <w:lang w:val="ro-MD"/>
        </w:rPr>
      </w:pPr>
      <w:bookmarkStart w:id="50" w:name="_Hlk93139612"/>
      <w:r w:rsidRPr="0023606F">
        <w:rPr>
          <w:rFonts w:ascii="Times New Roman" w:hAnsi="Times New Roman" w:cs="Times New Roman"/>
          <w:b/>
          <w:sz w:val="20"/>
          <w:szCs w:val="20"/>
          <w:lang w:val="ro-MD"/>
        </w:rPr>
        <w:t>Tabelul</w:t>
      </w:r>
      <w:r w:rsidR="00C1082A" w:rsidRPr="0023606F">
        <w:rPr>
          <w:rFonts w:ascii="Times New Roman" w:hAnsi="Times New Roman" w:cs="Times New Roman"/>
          <w:b/>
          <w:sz w:val="20"/>
          <w:szCs w:val="20"/>
          <w:lang w:val="ro-MD"/>
        </w:rPr>
        <w:t xml:space="preserve"> 5</w:t>
      </w:r>
      <w:r w:rsidR="00136296">
        <w:rPr>
          <w:rFonts w:ascii="Times New Roman" w:hAnsi="Times New Roman" w:cs="Times New Roman"/>
          <w:b/>
          <w:sz w:val="20"/>
          <w:szCs w:val="20"/>
          <w:lang w:val="ro-MD"/>
        </w:rPr>
        <w:t>.</w:t>
      </w:r>
      <w:r w:rsidR="00C1082A" w:rsidRPr="0023606F">
        <w:rPr>
          <w:rFonts w:ascii="Times New Roman" w:hAnsi="Times New Roman" w:cs="Times New Roman"/>
          <w:b/>
          <w:sz w:val="20"/>
          <w:szCs w:val="20"/>
          <w:lang w:val="ro-MD"/>
        </w:rPr>
        <w:t xml:space="preserve"> </w:t>
      </w:r>
      <w:r w:rsidRPr="0023606F">
        <w:rPr>
          <w:rFonts w:ascii="Times New Roman" w:hAnsi="Times New Roman" w:cs="Times New Roman"/>
          <w:b/>
          <w:sz w:val="20"/>
          <w:szCs w:val="20"/>
          <w:lang w:val="ro-MD"/>
        </w:rPr>
        <w:t xml:space="preserve">Inactivitatea după motiv, </w:t>
      </w:r>
      <w:r w:rsidR="00F0373E" w:rsidRPr="0023606F">
        <w:rPr>
          <w:rFonts w:ascii="Times New Roman" w:hAnsi="Times New Roman" w:cs="Times New Roman"/>
          <w:b/>
          <w:sz w:val="20"/>
          <w:szCs w:val="20"/>
          <w:lang w:val="ro-MD"/>
        </w:rPr>
        <w:t xml:space="preserve">pentru care nu au dorit să lucreze, </w:t>
      </w:r>
      <w:r w:rsidR="00042194" w:rsidRPr="0023606F">
        <w:rPr>
          <w:rFonts w:ascii="Times New Roman" w:hAnsi="Times New Roman" w:cs="Times New Roman"/>
          <w:b/>
          <w:sz w:val="20"/>
          <w:szCs w:val="20"/>
          <w:lang w:val="ro-MD"/>
        </w:rPr>
        <w:t xml:space="preserve">după </w:t>
      </w:r>
      <w:r w:rsidRPr="0023606F">
        <w:rPr>
          <w:rFonts w:ascii="Times New Roman" w:hAnsi="Times New Roman" w:cs="Times New Roman"/>
          <w:b/>
          <w:sz w:val="20"/>
          <w:szCs w:val="20"/>
          <w:lang w:val="ro-MD"/>
        </w:rPr>
        <w:t>sex și grupuri de vârstă</w:t>
      </w:r>
      <w:r w:rsidR="00C1082A" w:rsidRPr="0023606F">
        <w:rPr>
          <w:rFonts w:ascii="Times New Roman" w:hAnsi="Times New Roman" w:cs="Times New Roman"/>
          <w:b/>
          <w:sz w:val="20"/>
          <w:szCs w:val="20"/>
          <w:lang w:val="ro-MD"/>
        </w:rPr>
        <w:t>, 2020</w:t>
      </w:r>
      <w:r w:rsidR="00136296">
        <w:rPr>
          <w:rFonts w:ascii="Times New Roman" w:hAnsi="Times New Roman" w:cs="Times New Roman"/>
          <w:b/>
          <w:sz w:val="20"/>
          <w:szCs w:val="20"/>
          <w:lang w:val="ro-MD"/>
        </w:rPr>
        <w:t xml:space="preserve"> (%)</w:t>
      </w:r>
    </w:p>
    <w:p w14:paraId="4C55BB2C" w14:textId="5687127F" w:rsidR="00AF2D44" w:rsidRDefault="00702487" w:rsidP="0023606F">
      <w:pPr>
        <w:spacing w:before="120" w:after="120"/>
        <w:jc w:val="both"/>
        <w:rPr>
          <w:rFonts w:ascii="Times New Roman" w:eastAsia="Calibri" w:hAnsi="Times New Roman" w:cs="Times New Roman"/>
          <w:sz w:val="24"/>
          <w:szCs w:val="24"/>
          <w:lang w:val="ro-MD"/>
        </w:rPr>
      </w:pPr>
      <w:bookmarkStart w:id="51" w:name="_Hlk93139622"/>
      <w:bookmarkEnd w:id="50"/>
      <w:r w:rsidRPr="00702487">
        <w:rPr>
          <w:rFonts w:ascii="Times New Roman" w:eastAsia="Calibri" w:hAnsi="Times New Roman" w:cs="Times New Roman"/>
          <w:noProof/>
          <w:sz w:val="24"/>
          <w:szCs w:val="24"/>
          <w:lang w:val="ru-RU" w:eastAsia="ru-RU"/>
        </w:rPr>
        <w:lastRenderedPageBreak/>
        <w:drawing>
          <wp:inline distT="0" distB="0" distL="0" distR="0" wp14:anchorId="4CDF6703" wp14:editId="5CD5845C">
            <wp:extent cx="6120130" cy="19081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130" cy="1908175"/>
                    </a:xfrm>
                    <a:prstGeom prst="rect">
                      <a:avLst/>
                    </a:prstGeom>
                    <a:noFill/>
                    <a:ln>
                      <a:noFill/>
                    </a:ln>
                  </pic:spPr>
                </pic:pic>
              </a:graphicData>
            </a:graphic>
          </wp:inline>
        </w:drawing>
      </w:r>
    </w:p>
    <w:p w14:paraId="2C4284A6" w14:textId="2C1C9364" w:rsidR="0023606F" w:rsidRPr="00240282" w:rsidRDefault="0023606F" w:rsidP="0023606F">
      <w:pPr>
        <w:spacing w:before="120" w:after="120"/>
        <w:jc w:val="both"/>
        <w:rPr>
          <w:rFonts w:ascii="Times New Roman" w:eastAsia="Calibri" w:hAnsi="Times New Roman" w:cs="Times New Roman"/>
          <w:sz w:val="24"/>
          <w:szCs w:val="24"/>
          <w:lang w:val="ro-RO"/>
        </w:rPr>
      </w:pPr>
      <w:r w:rsidRPr="003836D9">
        <w:rPr>
          <w:rFonts w:ascii="Times New Roman" w:eastAsia="Calibri" w:hAnsi="Times New Roman" w:cs="Times New Roman"/>
          <w:sz w:val="24"/>
          <w:szCs w:val="24"/>
          <w:lang w:val="ro-MD"/>
        </w:rPr>
        <w:t xml:space="preserve">Femeile sunt mai predispuse decât bărbații să fie </w:t>
      </w:r>
      <w:r w:rsidR="0056109A">
        <w:rPr>
          <w:rFonts w:ascii="Times New Roman" w:eastAsia="Calibri" w:hAnsi="Times New Roman" w:cs="Times New Roman"/>
          <w:sz w:val="24"/>
          <w:szCs w:val="24"/>
          <w:lang w:val="ro-MD"/>
        </w:rPr>
        <w:t>tineri ca nu sînt nici în educație nici în ocupare (</w:t>
      </w:r>
      <w:r w:rsidRPr="003836D9">
        <w:rPr>
          <w:rFonts w:ascii="Times New Roman" w:eastAsia="Calibri" w:hAnsi="Times New Roman" w:cs="Times New Roman"/>
          <w:sz w:val="24"/>
          <w:szCs w:val="24"/>
          <w:lang w:val="ro-MD"/>
        </w:rPr>
        <w:t>NEET</w:t>
      </w:r>
      <w:r w:rsidR="0056109A">
        <w:rPr>
          <w:rFonts w:ascii="Times New Roman" w:eastAsia="Calibri" w:hAnsi="Times New Roman" w:cs="Times New Roman"/>
          <w:sz w:val="24"/>
          <w:szCs w:val="24"/>
          <w:lang w:val="ro-MD"/>
        </w:rPr>
        <w:t>)</w:t>
      </w:r>
      <w:r w:rsidRPr="003836D9">
        <w:rPr>
          <w:rFonts w:ascii="Times New Roman" w:eastAsia="Calibri" w:hAnsi="Times New Roman" w:cs="Times New Roman"/>
          <w:sz w:val="24"/>
          <w:szCs w:val="24"/>
          <w:lang w:val="ro-MD"/>
        </w:rPr>
        <w:t xml:space="preserve"> (19,7 procente și, respectiv, 15,6 procente), în timp ce tinerii cu studii universitare au șanse de aproape două ori mai mari de a fi NEET în comparație cu cei slab calificați (31,4 procente și, respectiv, 17,6 procente). În perioada 2014-2018, rata NEET a scăzut de la 27,9 procente la 16,2 procente. Această scădere a fost mai pronunțată în rândul bărbaților tineri (de la 29,8 procente în 2014 la 14,6 procente în 2018) comparativ cu femeile tinere (a căror rată NEET a scăzut de la 25,7 procente la 17,9 procente). Scăderea ratei NEET în perioada 2014-201</w:t>
      </w:r>
      <w:r w:rsidR="0086012F">
        <w:rPr>
          <w:rFonts w:ascii="Times New Roman" w:eastAsia="Calibri" w:hAnsi="Times New Roman" w:cs="Times New Roman"/>
          <w:sz w:val="24"/>
          <w:szCs w:val="24"/>
          <w:lang w:val="ro-MD"/>
        </w:rPr>
        <w:t>8 a fost cauzată de scăderea</w:t>
      </w:r>
      <w:r w:rsidRPr="003836D9">
        <w:rPr>
          <w:rFonts w:ascii="Times New Roman" w:eastAsia="Calibri" w:hAnsi="Times New Roman" w:cs="Times New Roman"/>
          <w:sz w:val="24"/>
          <w:szCs w:val="24"/>
          <w:lang w:val="ro-MD"/>
        </w:rPr>
        <w:t xml:space="preserve"> populației tinere (cu 24,8 procente), care a determinat, la rândul său, o scădere a șomajului și a nivelului de inactivitate a tinerilor (cu 37,8 procente și respectiv 27,6 procente). </w:t>
      </w:r>
    </w:p>
    <w:p w14:paraId="72590A6C" w14:textId="5E796F15" w:rsidR="00756B44" w:rsidRPr="0023606F" w:rsidRDefault="00D94B6B" w:rsidP="00906357">
      <w:pPr>
        <w:ind w:left="142"/>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075DC9" w:rsidRPr="0023606F">
        <w:rPr>
          <w:rFonts w:ascii="Times New Roman" w:hAnsi="Times New Roman" w:cs="Times New Roman"/>
          <w:b/>
          <w:sz w:val="20"/>
          <w:szCs w:val="20"/>
          <w:lang w:val="ro-MD"/>
        </w:rPr>
        <w:t xml:space="preserve"> 20</w:t>
      </w:r>
      <w:r w:rsidR="00AF2D44">
        <w:rPr>
          <w:rFonts w:ascii="Times New Roman" w:hAnsi="Times New Roman" w:cs="Times New Roman"/>
          <w:b/>
          <w:sz w:val="20"/>
          <w:szCs w:val="20"/>
          <w:lang w:val="ro-MD"/>
        </w:rPr>
        <w:t>. R</w:t>
      </w:r>
      <w:r w:rsidR="00075DC9" w:rsidRPr="0023606F">
        <w:rPr>
          <w:rFonts w:ascii="Times New Roman" w:hAnsi="Times New Roman" w:cs="Times New Roman"/>
          <w:b/>
          <w:sz w:val="20"/>
          <w:szCs w:val="20"/>
          <w:lang w:val="ro-MD"/>
        </w:rPr>
        <w:t>atele NEET</w:t>
      </w:r>
      <w:r w:rsidR="00DF67F3">
        <w:rPr>
          <w:rFonts w:ascii="Times New Roman" w:hAnsi="Times New Roman" w:cs="Times New Roman"/>
          <w:b/>
          <w:sz w:val="20"/>
          <w:szCs w:val="20"/>
          <w:lang w:val="ro-MD"/>
        </w:rPr>
        <w:t xml:space="preserve"> (</w:t>
      </w:r>
      <w:r w:rsidR="00075DC9" w:rsidRPr="0023606F">
        <w:rPr>
          <w:rFonts w:ascii="Times New Roman" w:hAnsi="Times New Roman" w:cs="Times New Roman"/>
          <w:b/>
          <w:sz w:val="20"/>
          <w:szCs w:val="20"/>
          <w:lang w:val="ro-MD"/>
        </w:rPr>
        <w:t>15-24</w:t>
      </w:r>
      <w:r w:rsidR="00DF67F3">
        <w:rPr>
          <w:rFonts w:ascii="Times New Roman" w:hAnsi="Times New Roman" w:cs="Times New Roman"/>
          <w:b/>
          <w:sz w:val="20"/>
          <w:szCs w:val="20"/>
          <w:lang w:val="ro-MD"/>
        </w:rPr>
        <w:t xml:space="preserve"> ani</w:t>
      </w:r>
      <w:r w:rsidR="00075DC9" w:rsidRPr="0023606F">
        <w:rPr>
          <w:rFonts w:ascii="Times New Roman" w:hAnsi="Times New Roman" w:cs="Times New Roman"/>
          <w:b/>
          <w:sz w:val="20"/>
          <w:szCs w:val="20"/>
          <w:lang w:val="ro-MD"/>
        </w:rPr>
        <w:t>) după sex, zon</w:t>
      </w:r>
      <w:r w:rsidR="00930D03" w:rsidRPr="0023606F">
        <w:rPr>
          <w:rFonts w:ascii="Times New Roman" w:hAnsi="Times New Roman" w:cs="Times New Roman"/>
          <w:b/>
          <w:sz w:val="20"/>
          <w:szCs w:val="20"/>
          <w:lang w:val="ro-MD"/>
        </w:rPr>
        <w:t>e</w:t>
      </w:r>
      <w:r w:rsidR="00075DC9" w:rsidRPr="0023606F">
        <w:rPr>
          <w:rFonts w:ascii="Times New Roman" w:hAnsi="Times New Roman" w:cs="Times New Roman"/>
          <w:b/>
          <w:sz w:val="20"/>
          <w:szCs w:val="20"/>
          <w:lang w:val="ro-MD"/>
        </w:rPr>
        <w:t xml:space="preserve"> și nivel de educație</w:t>
      </w:r>
      <w:r w:rsidR="00EF655A" w:rsidRPr="0023606F">
        <w:rPr>
          <w:rFonts w:ascii="Times New Roman" w:hAnsi="Times New Roman" w:cs="Times New Roman"/>
          <w:b/>
          <w:sz w:val="20"/>
          <w:szCs w:val="20"/>
          <w:lang w:val="ro-MD"/>
        </w:rPr>
        <w:t>, 2021</w:t>
      </w:r>
      <w:r w:rsidR="00DF67F3">
        <w:rPr>
          <w:rFonts w:ascii="Times New Roman" w:hAnsi="Times New Roman" w:cs="Times New Roman"/>
          <w:b/>
          <w:sz w:val="20"/>
          <w:szCs w:val="20"/>
          <w:lang w:val="ro-MD"/>
        </w:rPr>
        <w:t xml:space="preserve"> (%)</w:t>
      </w:r>
    </w:p>
    <w:p w14:paraId="38C49C44" w14:textId="7FB00FD2" w:rsidR="00EF655A" w:rsidRPr="003836D9" w:rsidRDefault="00DF67F3" w:rsidP="008E172E">
      <w:pPr>
        <w:ind w:left="142"/>
        <w:jc w:val="center"/>
        <w:rPr>
          <w:rFonts w:ascii="Times New Roman" w:hAnsi="Times New Roman" w:cs="Times New Roman"/>
          <w:b/>
          <w:sz w:val="16"/>
          <w:szCs w:val="16"/>
          <w:lang w:val="ro-MD"/>
        </w:rPr>
      </w:pPr>
      <w:r w:rsidRPr="00DF67F3">
        <w:rPr>
          <w:rFonts w:ascii="Times New Roman" w:hAnsi="Times New Roman" w:cs="Times New Roman"/>
          <w:b/>
          <w:noProof/>
          <w:sz w:val="16"/>
          <w:szCs w:val="16"/>
          <w:lang w:val="ru-RU" w:eastAsia="ru-RU"/>
        </w:rPr>
        <w:drawing>
          <wp:inline distT="0" distB="0" distL="0" distR="0" wp14:anchorId="0E1D6589" wp14:editId="20DFB7F1">
            <wp:extent cx="6341533" cy="3264199"/>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45201" cy="3266087"/>
                    </a:xfrm>
                    <a:prstGeom prst="rect">
                      <a:avLst/>
                    </a:prstGeom>
                    <a:noFill/>
                    <a:ln>
                      <a:noFill/>
                    </a:ln>
                  </pic:spPr>
                </pic:pic>
              </a:graphicData>
            </a:graphic>
          </wp:inline>
        </w:drawing>
      </w:r>
    </w:p>
    <w:bookmarkEnd w:id="51"/>
    <w:p w14:paraId="5643DBDB" w14:textId="1E945BD7" w:rsidR="00075DC9" w:rsidRPr="003836D9" w:rsidRDefault="00DF67F3" w:rsidP="00DF67F3">
      <w:pPr>
        <w:rPr>
          <w:rFonts w:ascii="Times New Roman" w:eastAsia="Times New Roman" w:hAnsi="Times New Roman" w:cs="Times New Roman"/>
          <w:iCs/>
          <w:color w:val="000000"/>
          <w:sz w:val="16"/>
          <w:szCs w:val="16"/>
          <w:lang w:val="ro-MD"/>
        </w:rPr>
      </w:pPr>
      <w:r>
        <w:rPr>
          <w:rFonts w:ascii="Times New Roman" w:eastAsia="Times New Roman" w:hAnsi="Times New Roman" w:cs="Times New Roman"/>
          <w:i/>
          <w:color w:val="000000"/>
          <w:sz w:val="16"/>
          <w:szCs w:val="16"/>
          <w:lang w:val="ro-MD"/>
        </w:rPr>
        <w:t xml:space="preserve">    </w:t>
      </w:r>
      <w:r w:rsidR="00075DC9" w:rsidRPr="003836D9">
        <w:rPr>
          <w:rFonts w:ascii="Times New Roman" w:eastAsia="Times New Roman" w:hAnsi="Times New Roman" w:cs="Times New Roman"/>
          <w:i/>
          <w:color w:val="000000"/>
          <w:sz w:val="16"/>
          <w:szCs w:val="16"/>
          <w:lang w:val="ro-MD"/>
        </w:rPr>
        <w:t xml:space="preserve">Sursa: </w:t>
      </w:r>
      <w:r w:rsidR="00075DC9" w:rsidRPr="003836D9">
        <w:rPr>
          <w:rFonts w:ascii="Times New Roman" w:eastAsia="Times New Roman" w:hAnsi="Times New Roman" w:cs="Times New Roman"/>
          <w:iCs/>
          <w:color w:val="000000"/>
          <w:sz w:val="16"/>
          <w:szCs w:val="16"/>
          <w:lang w:val="ro-MD"/>
        </w:rPr>
        <w:t>Elaborare în baza datelor B</w:t>
      </w:r>
      <w:r w:rsidR="00902F28">
        <w:rPr>
          <w:rFonts w:ascii="Times New Roman" w:eastAsia="Times New Roman" w:hAnsi="Times New Roman" w:cs="Times New Roman"/>
          <w:iCs/>
          <w:color w:val="000000"/>
          <w:sz w:val="16"/>
          <w:szCs w:val="16"/>
          <w:lang w:val="ro-MD"/>
        </w:rPr>
        <w:t>iroului Național de Statistică</w:t>
      </w:r>
      <w:r w:rsidR="00075DC9" w:rsidRPr="003836D9">
        <w:rPr>
          <w:rFonts w:ascii="Times New Roman" w:eastAsia="Times New Roman" w:hAnsi="Times New Roman" w:cs="Times New Roman"/>
          <w:iCs/>
          <w:color w:val="000000"/>
          <w:sz w:val="16"/>
          <w:szCs w:val="16"/>
          <w:lang w:val="ro-MD"/>
        </w:rPr>
        <w:t xml:space="preserve"> al</w:t>
      </w:r>
      <w:r w:rsidR="008E172E" w:rsidRPr="003836D9">
        <w:rPr>
          <w:rFonts w:ascii="Times New Roman" w:eastAsia="Times New Roman" w:hAnsi="Times New Roman" w:cs="Times New Roman"/>
          <w:iCs/>
          <w:color w:val="000000"/>
          <w:sz w:val="16"/>
          <w:szCs w:val="16"/>
          <w:lang w:val="ro-MD"/>
        </w:rPr>
        <w:t>e Anchetei Forței de Muncă, 2021</w:t>
      </w:r>
    </w:p>
    <w:p w14:paraId="44266CD7" w14:textId="112A56A4" w:rsidR="00D415B5" w:rsidRPr="003836D9" w:rsidRDefault="00D415B5" w:rsidP="00D415B5">
      <w:pPr>
        <w:spacing w:before="120" w:after="120"/>
        <w:jc w:val="center"/>
        <w:rPr>
          <w:rFonts w:ascii="Times New Roman" w:eastAsia="Calibri" w:hAnsi="Times New Roman" w:cs="Times New Roman"/>
          <w:b/>
          <w:i/>
          <w:sz w:val="24"/>
          <w:szCs w:val="24"/>
          <w:lang w:val="ro-MD"/>
        </w:rPr>
      </w:pPr>
      <w:r w:rsidRPr="003836D9">
        <w:rPr>
          <w:rFonts w:ascii="Times New Roman" w:eastAsia="Calibri" w:hAnsi="Times New Roman" w:cs="Times New Roman"/>
          <w:b/>
          <w:i/>
          <w:sz w:val="24"/>
          <w:szCs w:val="24"/>
          <w:lang w:val="ro-MD"/>
        </w:rPr>
        <w:t>Imigrarea străinilor cu scop de muncă</w:t>
      </w:r>
    </w:p>
    <w:p w14:paraId="5C1F20E9" w14:textId="046AE6E3" w:rsidR="00D415B5" w:rsidRPr="003836D9" w:rsidRDefault="006739C0" w:rsidP="00F73AB0">
      <w:pPr>
        <w:spacing w:before="120" w:after="12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În perioada anilor 2018-2020 numărul anual de străini care au imigrat în R</w:t>
      </w:r>
      <w:r w:rsidR="0086012F">
        <w:rPr>
          <w:rFonts w:ascii="Times New Roman" w:hAnsi="Times New Roman" w:cs="Times New Roman"/>
          <w:sz w:val="24"/>
          <w:szCs w:val="24"/>
          <w:lang w:val="ro-MD"/>
        </w:rPr>
        <w:t xml:space="preserve">epublica </w:t>
      </w:r>
      <w:r w:rsidRPr="003836D9">
        <w:rPr>
          <w:rFonts w:ascii="Times New Roman" w:hAnsi="Times New Roman" w:cs="Times New Roman"/>
          <w:sz w:val="24"/>
          <w:szCs w:val="24"/>
          <w:lang w:val="ro-MD"/>
        </w:rPr>
        <w:t>M</w:t>
      </w:r>
      <w:r w:rsidR="0086012F">
        <w:rPr>
          <w:rFonts w:ascii="Times New Roman" w:hAnsi="Times New Roman" w:cs="Times New Roman"/>
          <w:sz w:val="24"/>
          <w:szCs w:val="24"/>
          <w:lang w:val="ro-MD"/>
        </w:rPr>
        <w:t>oldova</w:t>
      </w:r>
      <w:r w:rsidRPr="003836D9">
        <w:rPr>
          <w:rFonts w:ascii="Times New Roman" w:hAnsi="Times New Roman" w:cs="Times New Roman"/>
          <w:sz w:val="24"/>
          <w:szCs w:val="24"/>
          <w:lang w:val="ro-MD"/>
        </w:rPr>
        <w:t xml:space="preserve"> a înr</w:t>
      </w:r>
      <w:r w:rsidR="00D415B5" w:rsidRPr="003836D9">
        <w:rPr>
          <w:rFonts w:ascii="Times New Roman" w:hAnsi="Times New Roman" w:cs="Times New Roman"/>
          <w:sz w:val="24"/>
          <w:szCs w:val="24"/>
          <w:lang w:val="ro-MD"/>
        </w:rPr>
        <w:t>egistrat tendințe spre creștere</w:t>
      </w:r>
      <w:r w:rsidRPr="003836D9">
        <w:rPr>
          <w:rFonts w:ascii="Times New Roman" w:hAnsi="Times New Roman" w:cs="Times New Roman"/>
          <w:sz w:val="24"/>
          <w:szCs w:val="24"/>
          <w:lang w:val="ro-MD"/>
        </w:rPr>
        <w:t>. Astfel în anul 2019 numărul imigranților străini s-a mărit cu 14% față de anul 2018 și a constituit 4.857 persoane</w:t>
      </w:r>
      <w:r w:rsidR="00D415B5" w:rsidRPr="003836D9">
        <w:rPr>
          <w:rFonts w:ascii="Times New Roman" w:hAnsi="Times New Roman" w:cs="Times New Roman"/>
          <w:sz w:val="24"/>
          <w:szCs w:val="24"/>
          <w:lang w:val="ro-MD"/>
        </w:rPr>
        <w:t xml:space="preserve">, din care </w:t>
      </w:r>
      <w:r w:rsidRPr="003836D9">
        <w:rPr>
          <w:rFonts w:ascii="Times New Roman" w:hAnsi="Times New Roman" w:cs="Times New Roman"/>
          <w:sz w:val="24"/>
          <w:szCs w:val="24"/>
          <w:lang w:val="ro-MD"/>
        </w:rPr>
        <w:t>47,8% au sosit la muncă</w:t>
      </w:r>
      <w:r w:rsidR="00D415B5" w:rsidRPr="003836D9">
        <w:rPr>
          <w:rFonts w:ascii="Times New Roman" w:hAnsi="Times New Roman" w:cs="Times New Roman"/>
          <w:sz w:val="24"/>
          <w:szCs w:val="24"/>
          <w:lang w:val="ro-MD"/>
        </w:rPr>
        <w:t>, tendință în creștere.</w:t>
      </w:r>
    </w:p>
    <w:p w14:paraId="234B1054" w14:textId="2C602637" w:rsidR="009C3D0D" w:rsidRPr="003836D9" w:rsidRDefault="006739C0" w:rsidP="00F73AB0">
      <w:pPr>
        <w:spacing w:before="120" w:after="120"/>
        <w:jc w:val="both"/>
        <w:rPr>
          <w:rFonts w:ascii="Times New Roman" w:eastAsia="Calibri" w:hAnsi="Times New Roman" w:cs="Times New Roman"/>
          <w:sz w:val="24"/>
          <w:szCs w:val="24"/>
          <w:lang w:val="ro-MD"/>
        </w:rPr>
      </w:pPr>
      <w:r w:rsidRPr="003836D9">
        <w:rPr>
          <w:rFonts w:ascii="Times New Roman" w:hAnsi="Times New Roman" w:cs="Times New Roman"/>
          <w:sz w:val="24"/>
          <w:szCs w:val="24"/>
          <w:lang w:val="ro-MD"/>
        </w:rPr>
        <w:t xml:space="preserve">Distribuția imigranților după țara de cetățenie relevă că în anul 2020, din numărul total de țări (98), cei mai mulți au sosit din Ucraina (22%), Turcia (15%) și Federația Rusă (14,8%), însumând o </w:t>
      </w:r>
      <w:r w:rsidRPr="003836D9">
        <w:rPr>
          <w:rFonts w:ascii="Times New Roman" w:hAnsi="Times New Roman" w:cs="Times New Roman"/>
          <w:sz w:val="24"/>
          <w:szCs w:val="24"/>
          <w:lang w:val="ro-MD"/>
        </w:rPr>
        <w:lastRenderedPageBreak/>
        <w:t>pondere de cca 52% din total. Cei sosiți din România au constituit 13%, iar ponderea celor sosiți din alte țări a variat între 3% și 0,03%</w:t>
      </w:r>
      <w:r w:rsidR="00A7739A" w:rsidRPr="003836D9">
        <w:rPr>
          <w:rFonts w:ascii="Times New Roman" w:hAnsi="Times New Roman" w:cs="Times New Roman"/>
          <w:sz w:val="24"/>
          <w:szCs w:val="24"/>
          <w:lang w:val="ro-MD"/>
        </w:rPr>
        <w:t xml:space="preserve">.  </w:t>
      </w:r>
    </w:p>
    <w:p w14:paraId="091BB7D5" w14:textId="3F1B0235" w:rsidR="00BB2C00" w:rsidRPr="003836D9" w:rsidRDefault="00DD1F7E" w:rsidP="00DD1F7E">
      <w:pPr>
        <w:pStyle w:val="Heading1"/>
        <w:ind w:left="993"/>
        <w:jc w:val="center"/>
        <w:rPr>
          <w:rFonts w:ascii="Times New Roman" w:eastAsia="Calibri" w:hAnsi="Times New Roman" w:cs="Times New Roman"/>
          <w:b/>
          <w:color w:val="auto"/>
          <w:sz w:val="24"/>
          <w:szCs w:val="24"/>
          <w:lang w:val="ro-MD"/>
        </w:rPr>
      </w:pPr>
      <w:bookmarkStart w:id="52" w:name="_Toc72745847"/>
      <w:bookmarkStart w:id="53" w:name="_Toc97315966"/>
      <w:bookmarkStart w:id="54" w:name="_Toc97709289"/>
      <w:r w:rsidRPr="003836D9">
        <w:rPr>
          <w:rFonts w:ascii="Times New Roman" w:eastAsia="Calibri" w:hAnsi="Times New Roman" w:cs="Times New Roman"/>
          <w:b/>
          <w:color w:val="auto"/>
          <w:sz w:val="24"/>
          <w:szCs w:val="24"/>
          <w:lang w:val="ro-MD"/>
        </w:rPr>
        <w:t xml:space="preserve">2.3. </w:t>
      </w:r>
      <w:r w:rsidR="00CC4914" w:rsidRPr="003836D9">
        <w:rPr>
          <w:rFonts w:ascii="Times New Roman" w:eastAsia="Calibri" w:hAnsi="Times New Roman" w:cs="Times New Roman"/>
          <w:b/>
          <w:color w:val="auto"/>
          <w:sz w:val="24"/>
          <w:szCs w:val="24"/>
          <w:lang w:val="ro-MD"/>
        </w:rPr>
        <w:t>Analiza politicilor și instituțiilor competente</w:t>
      </w:r>
      <w:bookmarkStart w:id="55" w:name="_Toc72745848"/>
      <w:bookmarkStart w:id="56" w:name="_Toc97315967"/>
      <w:bookmarkStart w:id="57" w:name="_Toc97709290"/>
      <w:bookmarkEnd w:id="52"/>
      <w:bookmarkEnd w:id="53"/>
      <w:bookmarkEnd w:id="54"/>
    </w:p>
    <w:p w14:paraId="7E1389F3" w14:textId="31F9E91A" w:rsidR="001E3FD0" w:rsidRPr="003836D9" w:rsidRDefault="001E3FD0" w:rsidP="005B2C69">
      <w:pPr>
        <w:pStyle w:val="Heading1"/>
        <w:ind w:left="1440"/>
        <w:jc w:val="center"/>
        <w:rPr>
          <w:rFonts w:ascii="Times New Roman" w:hAnsi="Times New Roman" w:cs="Times New Roman"/>
          <w:b/>
          <w:i/>
          <w:color w:val="auto"/>
          <w:sz w:val="24"/>
          <w:szCs w:val="24"/>
          <w:lang w:val="ro-MD"/>
        </w:rPr>
      </w:pPr>
      <w:r w:rsidRPr="003836D9">
        <w:rPr>
          <w:rFonts w:ascii="Times New Roman" w:hAnsi="Times New Roman" w:cs="Times New Roman"/>
          <w:b/>
          <w:i/>
          <w:color w:val="auto"/>
          <w:sz w:val="24"/>
          <w:szCs w:val="24"/>
          <w:lang w:val="ro-MD"/>
        </w:rPr>
        <w:t>Politici macroeconomice și sectoriale</w:t>
      </w:r>
      <w:bookmarkEnd w:id="55"/>
      <w:bookmarkEnd w:id="56"/>
      <w:bookmarkEnd w:id="57"/>
    </w:p>
    <w:p w14:paraId="16F9634F" w14:textId="77777777" w:rsidR="009119F7" w:rsidRPr="003836D9" w:rsidRDefault="009119F7" w:rsidP="009119F7">
      <w:pPr>
        <w:rPr>
          <w:rFonts w:ascii="Times New Roman" w:hAnsi="Times New Roman" w:cs="Times New Roman"/>
          <w:lang w:val="ro-MD"/>
        </w:rPr>
      </w:pPr>
    </w:p>
    <w:p w14:paraId="1CB3B9A1" w14:textId="4969D1DE" w:rsidR="00CC2493" w:rsidRPr="003836D9" w:rsidRDefault="001E3FD0" w:rsidP="009C3D0D">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Moldova </w:t>
      </w:r>
      <w:r w:rsidR="00D72A2D" w:rsidRPr="003836D9">
        <w:rPr>
          <w:rFonts w:ascii="Times New Roman" w:hAnsi="Times New Roman" w:cs="Times New Roman"/>
          <w:sz w:val="24"/>
          <w:szCs w:val="24"/>
          <w:lang w:val="ro-MD"/>
        </w:rPr>
        <w:t xml:space="preserve">a reușit să mențină un deficit bugetar </w:t>
      </w:r>
      <w:r w:rsidRPr="003836D9">
        <w:rPr>
          <w:rFonts w:ascii="Times New Roman" w:hAnsi="Times New Roman" w:cs="Times New Roman"/>
          <w:sz w:val="24"/>
          <w:szCs w:val="24"/>
          <w:lang w:val="ro-MD"/>
        </w:rPr>
        <w:t>scăzut în ultimul deceniu, cu o medie de 1,5 procente din PIB, cu excepția anului 2009 când deficitul a ajuns la 6,3 procente. O consolidare mai pronunțată a avut loc în 2017, când deficitul a fost redus la -0,6 procente din PIB</w:t>
      </w:r>
      <w:r w:rsidR="00E67DCC" w:rsidRPr="003836D9">
        <w:rPr>
          <w:rFonts w:ascii="Times New Roman" w:hAnsi="Times New Roman" w:cs="Times New Roman"/>
          <w:sz w:val="24"/>
          <w:szCs w:val="24"/>
          <w:lang w:val="ro-MD"/>
        </w:rPr>
        <w:t xml:space="preserve"> (</w:t>
      </w:r>
      <w:r w:rsidR="00D94B6B">
        <w:rPr>
          <w:rFonts w:ascii="Times New Roman" w:hAnsi="Times New Roman" w:cs="Times New Roman"/>
          <w:sz w:val="24"/>
          <w:szCs w:val="24"/>
          <w:lang w:val="ro-MD"/>
        </w:rPr>
        <w:t>Fig.</w:t>
      </w:r>
      <w:r w:rsidR="00E67DCC" w:rsidRPr="003836D9">
        <w:rPr>
          <w:rFonts w:ascii="Times New Roman" w:hAnsi="Times New Roman" w:cs="Times New Roman"/>
          <w:sz w:val="24"/>
          <w:szCs w:val="24"/>
          <w:lang w:val="ro-MD"/>
        </w:rPr>
        <w:t xml:space="preserve"> 21).</w:t>
      </w:r>
    </w:p>
    <w:p w14:paraId="3DA9F39A" w14:textId="01139F2F" w:rsidR="00783974" w:rsidRPr="007D7BB9" w:rsidRDefault="00D94B6B" w:rsidP="00783974">
      <w:pPr>
        <w:jc w:val="center"/>
        <w:rPr>
          <w:rFonts w:ascii="Times New Roman" w:hAnsi="Times New Roman" w:cs="Times New Roman"/>
          <w:sz w:val="20"/>
          <w:szCs w:val="20"/>
          <w:lang w:val="ro-MD"/>
        </w:rPr>
      </w:pPr>
      <w:bookmarkStart w:id="58" w:name="_Toc69058495"/>
      <w:bookmarkStart w:id="59" w:name="_Hlk72743854"/>
      <w:r>
        <w:rPr>
          <w:rFonts w:ascii="Times New Roman" w:hAnsi="Times New Roman" w:cs="Times New Roman"/>
          <w:b/>
          <w:sz w:val="20"/>
          <w:szCs w:val="20"/>
          <w:lang w:val="ro-MD"/>
        </w:rPr>
        <w:t>Fig.</w:t>
      </w:r>
      <w:r w:rsidR="00783974" w:rsidRPr="007D7BB9">
        <w:rPr>
          <w:rFonts w:ascii="Times New Roman" w:hAnsi="Times New Roman" w:cs="Times New Roman"/>
          <w:b/>
          <w:sz w:val="20"/>
          <w:szCs w:val="20"/>
          <w:lang w:val="ro-MD"/>
        </w:rPr>
        <w:t xml:space="preserve"> 21</w:t>
      </w:r>
      <w:r w:rsidR="007C7649">
        <w:rPr>
          <w:rFonts w:ascii="Times New Roman" w:hAnsi="Times New Roman" w:cs="Times New Roman"/>
          <w:b/>
          <w:sz w:val="20"/>
          <w:szCs w:val="20"/>
          <w:lang w:val="ro-MD"/>
        </w:rPr>
        <w:t>.</w:t>
      </w:r>
      <w:r w:rsidR="00783974" w:rsidRPr="007D7BB9">
        <w:rPr>
          <w:rFonts w:ascii="Times New Roman" w:hAnsi="Times New Roman" w:cs="Times New Roman"/>
          <w:b/>
          <w:sz w:val="20"/>
          <w:szCs w:val="20"/>
          <w:lang w:val="ro-MD"/>
        </w:rPr>
        <w:t xml:space="preserve"> </w:t>
      </w:r>
      <w:bookmarkEnd w:id="58"/>
      <w:r w:rsidR="009512A9" w:rsidRPr="007D7BB9">
        <w:rPr>
          <w:rFonts w:ascii="Times New Roman" w:hAnsi="Times New Roman" w:cs="Times New Roman"/>
          <w:b/>
          <w:sz w:val="20"/>
          <w:szCs w:val="20"/>
          <w:lang w:val="ro-MD"/>
        </w:rPr>
        <w:t>B</w:t>
      </w:r>
      <w:r w:rsidR="00274A36" w:rsidRPr="007D7BB9">
        <w:rPr>
          <w:rFonts w:ascii="Times New Roman" w:hAnsi="Times New Roman" w:cs="Times New Roman"/>
          <w:b/>
          <w:sz w:val="20"/>
          <w:szCs w:val="20"/>
          <w:lang w:val="ro-MD"/>
        </w:rPr>
        <w:t>alanța bugetului</w:t>
      </w:r>
      <w:r w:rsidR="009512A9" w:rsidRPr="007D7BB9">
        <w:rPr>
          <w:rFonts w:ascii="Times New Roman" w:hAnsi="Times New Roman" w:cs="Times New Roman"/>
          <w:b/>
          <w:sz w:val="20"/>
          <w:szCs w:val="20"/>
          <w:lang w:val="ro-MD"/>
        </w:rPr>
        <w:t xml:space="preserve"> public </w:t>
      </w:r>
      <w:r w:rsidR="00783974" w:rsidRPr="007D7BB9">
        <w:rPr>
          <w:rFonts w:ascii="Times New Roman" w:hAnsi="Times New Roman" w:cs="Times New Roman"/>
          <w:b/>
          <w:sz w:val="20"/>
          <w:szCs w:val="20"/>
          <w:lang w:val="ro-MD"/>
        </w:rPr>
        <w:t xml:space="preserve">(% </w:t>
      </w:r>
      <w:r w:rsidR="00EF6093" w:rsidRPr="007D7BB9">
        <w:rPr>
          <w:rFonts w:ascii="Times New Roman" w:hAnsi="Times New Roman" w:cs="Times New Roman"/>
          <w:b/>
          <w:sz w:val="20"/>
          <w:szCs w:val="20"/>
          <w:lang w:val="ro-MD"/>
        </w:rPr>
        <w:t>PIB</w:t>
      </w:r>
      <w:r w:rsidR="00783974" w:rsidRPr="007D7BB9">
        <w:rPr>
          <w:rFonts w:ascii="Times New Roman" w:hAnsi="Times New Roman" w:cs="Times New Roman"/>
          <w:b/>
          <w:sz w:val="20"/>
          <w:szCs w:val="20"/>
          <w:lang w:val="ro-MD"/>
        </w:rPr>
        <w:t>), 2009-20</w:t>
      </w:r>
      <w:r w:rsidR="00700473" w:rsidRPr="007D7BB9">
        <w:rPr>
          <w:rFonts w:ascii="Times New Roman" w:hAnsi="Times New Roman" w:cs="Times New Roman"/>
          <w:b/>
          <w:sz w:val="20"/>
          <w:szCs w:val="20"/>
          <w:lang w:val="ro-MD"/>
        </w:rPr>
        <w:t>20</w:t>
      </w:r>
    </w:p>
    <w:bookmarkEnd w:id="59"/>
    <w:p w14:paraId="0406C9AA" w14:textId="72435DC0" w:rsidR="00016153" w:rsidRPr="003836D9" w:rsidRDefault="007C7649" w:rsidP="00783974">
      <w:pPr>
        <w:autoSpaceDE w:val="0"/>
        <w:autoSpaceDN w:val="0"/>
        <w:adjustRightInd w:val="0"/>
        <w:ind w:firstLine="567"/>
        <w:jc w:val="center"/>
        <w:rPr>
          <w:rFonts w:ascii="Times New Roman" w:hAnsi="Times New Roman" w:cs="Times New Roman"/>
          <w:sz w:val="24"/>
          <w:szCs w:val="24"/>
          <w:lang w:val="ro-MD"/>
        </w:rPr>
      </w:pPr>
      <w:r w:rsidRPr="007C7649">
        <w:rPr>
          <w:rFonts w:ascii="Times New Roman" w:hAnsi="Times New Roman" w:cs="Times New Roman"/>
          <w:noProof/>
          <w:sz w:val="24"/>
          <w:szCs w:val="24"/>
          <w:lang w:val="ru-RU" w:eastAsia="ru-RU"/>
        </w:rPr>
        <w:drawing>
          <wp:inline distT="0" distB="0" distL="0" distR="0" wp14:anchorId="7CD7CEE5" wp14:editId="6F8B363C">
            <wp:extent cx="4831080" cy="2504763"/>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48001" cy="2513536"/>
                    </a:xfrm>
                    <a:prstGeom prst="rect">
                      <a:avLst/>
                    </a:prstGeom>
                    <a:noFill/>
                    <a:ln>
                      <a:noFill/>
                    </a:ln>
                  </pic:spPr>
                </pic:pic>
              </a:graphicData>
            </a:graphic>
          </wp:inline>
        </w:drawing>
      </w:r>
    </w:p>
    <w:p w14:paraId="577CC544" w14:textId="77777777" w:rsidR="009F0BFF" w:rsidRDefault="00E25EC1" w:rsidP="009F0BFF">
      <w:pPr>
        <w:autoSpaceDE w:val="0"/>
        <w:autoSpaceDN w:val="0"/>
        <w:adjustRightInd w:val="0"/>
        <w:spacing w:after="0" w:line="240" w:lineRule="auto"/>
        <w:ind w:left="1282"/>
        <w:rPr>
          <w:rFonts w:ascii="Times New Roman" w:eastAsia="Times New Roman" w:hAnsi="Times New Roman" w:cs="Times New Roman"/>
          <w:i/>
          <w:color w:val="000000"/>
          <w:sz w:val="20"/>
          <w:szCs w:val="20"/>
          <w:lang w:val="ro-MD"/>
        </w:rPr>
      </w:pPr>
      <w:r w:rsidRPr="007C7649">
        <w:rPr>
          <w:rFonts w:ascii="Times New Roman" w:eastAsia="Times New Roman" w:hAnsi="Times New Roman" w:cs="Times New Roman"/>
          <w:i/>
          <w:color w:val="000000"/>
          <w:sz w:val="20"/>
          <w:szCs w:val="20"/>
          <w:lang w:val="ro-MD"/>
        </w:rPr>
        <w:t xml:space="preserve">Sursa: Fondul Monetar Internațional (FMI), </w:t>
      </w:r>
      <w:r w:rsidR="00E64017" w:rsidRPr="007C7649">
        <w:rPr>
          <w:rFonts w:ascii="Times New Roman" w:eastAsia="Times New Roman" w:hAnsi="Times New Roman" w:cs="Times New Roman"/>
          <w:i/>
          <w:color w:val="000000"/>
          <w:sz w:val="20"/>
          <w:szCs w:val="20"/>
          <w:lang w:val="ro-MD"/>
        </w:rPr>
        <w:t xml:space="preserve">Raportul personalului </w:t>
      </w:r>
      <w:r w:rsidR="00871C6E" w:rsidRPr="007C7649">
        <w:rPr>
          <w:rFonts w:ascii="Times New Roman" w:eastAsia="Times New Roman" w:hAnsi="Times New Roman" w:cs="Times New Roman"/>
          <w:i/>
          <w:color w:val="000000"/>
          <w:sz w:val="20"/>
          <w:szCs w:val="20"/>
          <w:lang w:val="ro-MD"/>
        </w:rPr>
        <w:t xml:space="preserve">FMI </w:t>
      </w:r>
      <w:r w:rsidR="009F53D7" w:rsidRPr="007C7649">
        <w:rPr>
          <w:rFonts w:ascii="Times New Roman" w:eastAsia="Times New Roman" w:hAnsi="Times New Roman" w:cs="Times New Roman"/>
          <w:i/>
          <w:color w:val="000000"/>
          <w:sz w:val="20"/>
          <w:szCs w:val="20"/>
          <w:lang w:val="ro-MD"/>
        </w:rPr>
        <w:t xml:space="preserve">din 2014 </w:t>
      </w:r>
      <w:r w:rsidR="00E64017" w:rsidRPr="007C7649">
        <w:rPr>
          <w:rFonts w:ascii="Times New Roman" w:eastAsia="Times New Roman" w:hAnsi="Times New Roman" w:cs="Times New Roman"/>
          <w:i/>
          <w:color w:val="000000"/>
          <w:sz w:val="20"/>
          <w:szCs w:val="20"/>
          <w:lang w:val="ro-MD"/>
        </w:rPr>
        <w:t>p</w:t>
      </w:r>
      <w:r w:rsidR="00871C6E" w:rsidRPr="007C7649">
        <w:rPr>
          <w:rFonts w:ascii="Times New Roman" w:eastAsia="Times New Roman" w:hAnsi="Times New Roman" w:cs="Times New Roman"/>
          <w:i/>
          <w:color w:val="000000"/>
          <w:sz w:val="20"/>
          <w:szCs w:val="20"/>
          <w:lang w:val="ro-MD"/>
        </w:rPr>
        <w:t xml:space="preserve">rivind </w:t>
      </w:r>
    </w:p>
    <w:p w14:paraId="21ECA4CF" w14:textId="0CCF584A" w:rsidR="009F0BFF" w:rsidRDefault="00871C6E" w:rsidP="00B87550">
      <w:pPr>
        <w:autoSpaceDE w:val="0"/>
        <w:autoSpaceDN w:val="0"/>
        <w:adjustRightInd w:val="0"/>
        <w:spacing w:after="0" w:line="240" w:lineRule="auto"/>
        <w:ind w:left="1282"/>
        <w:rPr>
          <w:rFonts w:ascii="Times New Roman" w:hAnsi="Times New Roman" w:cs="Times New Roman"/>
          <w:sz w:val="24"/>
          <w:szCs w:val="24"/>
          <w:lang w:val="ro-MD"/>
        </w:rPr>
      </w:pPr>
      <w:r w:rsidRPr="007C7649">
        <w:rPr>
          <w:rFonts w:ascii="Times New Roman" w:eastAsia="Times New Roman" w:hAnsi="Times New Roman" w:cs="Times New Roman"/>
          <w:i/>
          <w:color w:val="000000"/>
          <w:sz w:val="20"/>
          <w:szCs w:val="20"/>
          <w:lang w:val="ro-MD"/>
        </w:rPr>
        <w:t xml:space="preserve">Consultările referitoare la </w:t>
      </w:r>
      <w:r w:rsidR="00E64017" w:rsidRPr="007C7649">
        <w:rPr>
          <w:rFonts w:ascii="Times New Roman" w:eastAsia="Times New Roman" w:hAnsi="Times New Roman" w:cs="Times New Roman"/>
          <w:i/>
          <w:color w:val="000000"/>
          <w:sz w:val="20"/>
          <w:szCs w:val="20"/>
          <w:lang w:val="ro-MD"/>
        </w:rPr>
        <w:t>Articolul IV, 2009-2019</w:t>
      </w:r>
    </w:p>
    <w:p w14:paraId="4D30555B" w14:textId="3FA7C2E5" w:rsidR="00C9625B" w:rsidRPr="003836D9" w:rsidRDefault="00E25EC1" w:rsidP="009C3D0D">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Veniturile </w:t>
      </w:r>
      <w:r w:rsidR="009C3D0D" w:rsidRPr="003836D9">
        <w:rPr>
          <w:rFonts w:ascii="Times New Roman" w:hAnsi="Times New Roman" w:cs="Times New Roman"/>
          <w:sz w:val="24"/>
          <w:szCs w:val="24"/>
          <w:lang w:val="ro-MD"/>
        </w:rPr>
        <w:t>în bugetul public național</w:t>
      </w:r>
      <w:r w:rsidRPr="003836D9">
        <w:rPr>
          <w:rFonts w:ascii="Times New Roman" w:hAnsi="Times New Roman" w:cs="Times New Roman"/>
          <w:sz w:val="24"/>
          <w:szCs w:val="24"/>
          <w:lang w:val="ro-MD"/>
        </w:rPr>
        <w:t xml:space="preserve"> au scăzut de la 36,8 procente din PIB în 2009 la 29,2 procente în 2019, în timp ce cheltuielile au scăzut cu 12</w:t>
      </w:r>
      <w:r w:rsidR="009C3D0D" w:rsidRPr="003836D9">
        <w:rPr>
          <w:rFonts w:ascii="Times New Roman" w:hAnsi="Times New Roman" w:cs="Times New Roman"/>
          <w:sz w:val="24"/>
          <w:szCs w:val="24"/>
          <w:lang w:val="ro-MD"/>
        </w:rPr>
        <w:t>,3</w:t>
      </w:r>
      <w:r w:rsidRPr="003836D9">
        <w:rPr>
          <w:rFonts w:ascii="Times New Roman" w:hAnsi="Times New Roman" w:cs="Times New Roman"/>
          <w:sz w:val="24"/>
          <w:szCs w:val="24"/>
          <w:lang w:val="ro-MD"/>
        </w:rPr>
        <w:t xml:space="preserve"> puncte procentuale în aceeași perioadă (de la 40,3 procente la 28 procente din PIB). </w:t>
      </w:r>
      <w:r w:rsidR="00471AD7" w:rsidRPr="003836D9">
        <w:rPr>
          <w:rFonts w:ascii="Times New Roman" w:hAnsi="Times New Roman" w:cs="Times New Roman"/>
          <w:sz w:val="24"/>
          <w:szCs w:val="24"/>
          <w:lang w:val="ro-MD"/>
        </w:rPr>
        <w:t>Structura</w:t>
      </w:r>
      <w:r w:rsidRPr="003836D9">
        <w:rPr>
          <w:rFonts w:ascii="Times New Roman" w:hAnsi="Times New Roman" w:cs="Times New Roman"/>
          <w:sz w:val="24"/>
          <w:szCs w:val="24"/>
          <w:lang w:val="ro-MD"/>
        </w:rPr>
        <w:t xml:space="preserve"> veniturilor arată cea mai mare contribuție a impozitelor indirecte, cu taxa pe valoarea adăugată (TVA) ridicându-se la 9,6 procente din PIB în 2019, în timp ce impozitele pe venitul persoanelor fizice și impozitele pe profit s-au ridicat la 1,9 și, respectiv, 2,6 procente. TVA-ul, </w:t>
      </w:r>
      <w:r w:rsidR="009C3D0D" w:rsidRPr="003836D9">
        <w:rPr>
          <w:rFonts w:ascii="Times New Roman" w:hAnsi="Times New Roman" w:cs="Times New Roman"/>
          <w:sz w:val="24"/>
          <w:szCs w:val="24"/>
          <w:lang w:val="ro-MD"/>
        </w:rPr>
        <w:t xml:space="preserve">contribuțiile de </w:t>
      </w:r>
      <w:r w:rsidRPr="003836D9">
        <w:rPr>
          <w:rFonts w:ascii="Times New Roman" w:hAnsi="Times New Roman" w:cs="Times New Roman"/>
          <w:sz w:val="24"/>
          <w:szCs w:val="24"/>
          <w:lang w:val="ro-MD"/>
        </w:rPr>
        <w:t xml:space="preserve">asigurări sociale și </w:t>
      </w:r>
      <w:r w:rsidR="009C3D0D" w:rsidRPr="003836D9">
        <w:rPr>
          <w:rFonts w:ascii="Times New Roman" w:hAnsi="Times New Roman" w:cs="Times New Roman"/>
          <w:sz w:val="24"/>
          <w:szCs w:val="24"/>
          <w:lang w:val="ro-MD"/>
        </w:rPr>
        <w:t>medicale</w:t>
      </w:r>
      <w:r w:rsidRPr="003836D9">
        <w:rPr>
          <w:rFonts w:ascii="Times New Roman" w:hAnsi="Times New Roman" w:cs="Times New Roman"/>
          <w:sz w:val="24"/>
          <w:szCs w:val="24"/>
          <w:lang w:val="ro-MD"/>
        </w:rPr>
        <w:t xml:space="preserve">, impozitul pe venitul </w:t>
      </w:r>
      <w:r w:rsidR="009C3D0D" w:rsidRPr="003836D9">
        <w:rPr>
          <w:rFonts w:ascii="Times New Roman" w:hAnsi="Times New Roman" w:cs="Times New Roman"/>
          <w:sz w:val="24"/>
          <w:szCs w:val="24"/>
          <w:lang w:val="ro-MD"/>
        </w:rPr>
        <w:t xml:space="preserve">achitat de persoanele juridice și fizice </w:t>
      </w:r>
      <w:r w:rsidRPr="003836D9">
        <w:rPr>
          <w:rFonts w:ascii="Times New Roman" w:hAnsi="Times New Roman" w:cs="Times New Roman"/>
          <w:sz w:val="24"/>
          <w:szCs w:val="24"/>
          <w:lang w:val="ro-MD"/>
        </w:rPr>
        <w:t>generează în prezent peste 70 procente din veniturile totale, iar tendința generală a fost de a consolida veniturile bugetare totale în jurul acestor impozite de bază</w:t>
      </w:r>
      <w:r w:rsidR="00651F16" w:rsidRPr="003836D9">
        <w:rPr>
          <w:rFonts w:ascii="Times New Roman" w:hAnsi="Times New Roman" w:cs="Times New Roman"/>
          <w:sz w:val="24"/>
          <w:szCs w:val="24"/>
          <w:lang w:val="ro-MD"/>
        </w:rPr>
        <w:t>.</w:t>
      </w:r>
      <w:r w:rsidR="00651F16" w:rsidRPr="003836D9">
        <w:rPr>
          <w:rStyle w:val="FootnoteReference"/>
          <w:rFonts w:ascii="Times New Roman" w:hAnsi="Times New Roman" w:cs="Times New Roman"/>
          <w:sz w:val="24"/>
          <w:szCs w:val="24"/>
          <w:lang w:val="ro-MD"/>
        </w:rPr>
        <w:footnoteReference w:id="24"/>
      </w:r>
    </w:p>
    <w:p w14:paraId="3F13BEF1" w14:textId="480B2F7F" w:rsidR="00AE44BD" w:rsidRPr="003836D9" w:rsidRDefault="00AE44BD" w:rsidP="00AE44BD">
      <w:pPr>
        <w:jc w:val="center"/>
        <w:rPr>
          <w:rFonts w:ascii="Times New Roman" w:hAnsi="Times New Roman" w:cs="Times New Roman"/>
          <w:sz w:val="24"/>
          <w:szCs w:val="24"/>
          <w:lang w:val="ro-MD"/>
        </w:rPr>
      </w:pPr>
      <w:bookmarkStart w:id="60" w:name="_Hlk93139646"/>
      <w:r w:rsidRPr="003836D9">
        <w:rPr>
          <w:rFonts w:ascii="Times New Roman" w:hAnsi="Times New Roman" w:cs="Times New Roman"/>
          <w:b/>
          <w:sz w:val="20"/>
          <w:szCs w:val="20"/>
          <w:lang w:val="ro-MD"/>
        </w:rPr>
        <w:t>Tabel</w:t>
      </w:r>
      <w:r w:rsidR="007C7649">
        <w:rPr>
          <w:rFonts w:ascii="Times New Roman" w:hAnsi="Times New Roman" w:cs="Times New Roman"/>
          <w:b/>
          <w:sz w:val="20"/>
          <w:szCs w:val="20"/>
          <w:lang w:val="ro-MD"/>
        </w:rPr>
        <w:t>ul</w:t>
      </w:r>
      <w:r w:rsidRPr="003836D9">
        <w:rPr>
          <w:rFonts w:ascii="Times New Roman" w:hAnsi="Times New Roman" w:cs="Times New Roman"/>
          <w:b/>
          <w:sz w:val="20"/>
          <w:szCs w:val="20"/>
          <w:lang w:val="ro-MD"/>
        </w:rPr>
        <w:t xml:space="preserve"> 6</w:t>
      </w:r>
      <w:r w:rsidR="007C7649">
        <w:rPr>
          <w:rFonts w:ascii="Times New Roman" w:hAnsi="Times New Roman" w:cs="Times New Roman"/>
          <w:b/>
          <w:sz w:val="20"/>
          <w:szCs w:val="20"/>
          <w:lang w:val="ro-MD"/>
        </w:rPr>
        <w:t xml:space="preserve">. </w:t>
      </w:r>
      <w:r w:rsidRPr="003836D9">
        <w:rPr>
          <w:rFonts w:ascii="Times New Roman" w:hAnsi="Times New Roman" w:cs="Times New Roman"/>
          <w:b/>
          <w:sz w:val="20"/>
          <w:szCs w:val="20"/>
          <w:lang w:val="ro-MD"/>
        </w:rPr>
        <w:t>Componența veniturilor și cheltuielilor (% PIB), 2009-2019</w:t>
      </w:r>
      <w:bookmarkEnd w:id="60"/>
    </w:p>
    <w:tbl>
      <w:tblPr>
        <w:tblpPr w:leftFromText="180" w:rightFromText="180" w:vertAnchor="text" w:horzAnchor="margin" w:tblpXSpec="center" w:tblpY="392"/>
        <w:tblW w:w="7475" w:type="dxa"/>
        <w:tblLook w:val="04A0" w:firstRow="1" w:lastRow="0" w:firstColumn="1" w:lastColumn="0" w:noHBand="0" w:noVBand="1"/>
      </w:tblPr>
      <w:tblGrid>
        <w:gridCol w:w="3035"/>
        <w:gridCol w:w="888"/>
        <w:gridCol w:w="888"/>
        <w:gridCol w:w="888"/>
        <w:gridCol w:w="888"/>
        <w:gridCol w:w="888"/>
      </w:tblGrid>
      <w:tr w:rsidR="00FD2C1E" w:rsidRPr="007C7649" w14:paraId="419D584C" w14:textId="77777777" w:rsidTr="009119F7">
        <w:trPr>
          <w:trHeight w:val="252"/>
        </w:trPr>
        <w:tc>
          <w:tcPr>
            <w:tcW w:w="3035" w:type="dxa"/>
            <w:tcBorders>
              <w:top w:val="single" w:sz="4" w:space="0" w:color="auto"/>
              <w:left w:val="nil"/>
              <w:bottom w:val="single" w:sz="4" w:space="0" w:color="auto"/>
              <w:right w:val="nil"/>
            </w:tcBorders>
            <w:shd w:val="clear" w:color="auto" w:fill="BDD6EE" w:themeFill="accent5" w:themeFillTint="66"/>
            <w:noWrap/>
            <w:vAlign w:val="bottom"/>
            <w:hideMark/>
          </w:tcPr>
          <w:p w14:paraId="3EF754EA" w14:textId="77777777" w:rsidR="00FD2C1E" w:rsidRPr="007C7649" w:rsidRDefault="00FD2C1E" w:rsidP="00FD2C1E">
            <w:pPr>
              <w:spacing w:after="0" w:line="240" w:lineRule="auto"/>
              <w:rPr>
                <w:rFonts w:ascii="Times New Roman" w:eastAsia="Times New Roman" w:hAnsi="Times New Roman" w:cs="Times New Roman"/>
                <w:sz w:val="20"/>
                <w:szCs w:val="20"/>
                <w:lang w:val="ro-MD" w:eastAsia="en-GB"/>
              </w:rPr>
            </w:pPr>
          </w:p>
        </w:tc>
        <w:tc>
          <w:tcPr>
            <w:tcW w:w="888" w:type="dxa"/>
            <w:tcBorders>
              <w:top w:val="single" w:sz="4" w:space="0" w:color="auto"/>
              <w:left w:val="nil"/>
              <w:bottom w:val="single" w:sz="4" w:space="0" w:color="auto"/>
              <w:right w:val="nil"/>
            </w:tcBorders>
            <w:shd w:val="clear" w:color="auto" w:fill="BDD6EE" w:themeFill="accent5" w:themeFillTint="66"/>
            <w:noWrap/>
            <w:vAlign w:val="bottom"/>
            <w:hideMark/>
          </w:tcPr>
          <w:p w14:paraId="31817824" w14:textId="77777777" w:rsidR="00FD2C1E" w:rsidRPr="007C7649" w:rsidRDefault="00FD2C1E" w:rsidP="00FD2C1E">
            <w:pPr>
              <w:spacing w:after="0" w:line="240" w:lineRule="auto"/>
              <w:jc w:val="right"/>
              <w:rPr>
                <w:rFonts w:ascii="Times New Roman" w:eastAsia="Times New Roman" w:hAnsi="Times New Roman" w:cs="Times New Roman"/>
                <w:b/>
                <w:bCs/>
                <w:color w:val="000000"/>
                <w:sz w:val="20"/>
                <w:szCs w:val="20"/>
                <w:lang w:val="ro-MD" w:eastAsia="en-GB"/>
              </w:rPr>
            </w:pPr>
            <w:r w:rsidRPr="007C7649">
              <w:rPr>
                <w:rFonts w:ascii="Times New Roman" w:eastAsia="Times New Roman" w:hAnsi="Times New Roman" w:cs="Times New Roman"/>
                <w:b/>
                <w:bCs/>
                <w:color w:val="000000"/>
                <w:sz w:val="20"/>
                <w:szCs w:val="20"/>
                <w:lang w:val="ro-MD" w:eastAsia="en-GB"/>
              </w:rPr>
              <w:t>2009</w:t>
            </w:r>
          </w:p>
        </w:tc>
        <w:tc>
          <w:tcPr>
            <w:tcW w:w="888" w:type="dxa"/>
            <w:tcBorders>
              <w:top w:val="single" w:sz="4" w:space="0" w:color="auto"/>
              <w:left w:val="nil"/>
              <w:bottom w:val="single" w:sz="4" w:space="0" w:color="auto"/>
              <w:right w:val="nil"/>
            </w:tcBorders>
            <w:shd w:val="clear" w:color="auto" w:fill="BDD6EE" w:themeFill="accent5" w:themeFillTint="66"/>
            <w:noWrap/>
            <w:vAlign w:val="bottom"/>
            <w:hideMark/>
          </w:tcPr>
          <w:p w14:paraId="4EEABC78" w14:textId="77777777" w:rsidR="00FD2C1E" w:rsidRPr="007C7649" w:rsidRDefault="00FD2C1E" w:rsidP="00FD2C1E">
            <w:pPr>
              <w:spacing w:after="0" w:line="240" w:lineRule="auto"/>
              <w:jc w:val="right"/>
              <w:rPr>
                <w:rFonts w:ascii="Times New Roman" w:eastAsia="Times New Roman" w:hAnsi="Times New Roman" w:cs="Times New Roman"/>
                <w:b/>
                <w:bCs/>
                <w:color w:val="000000"/>
                <w:sz w:val="20"/>
                <w:szCs w:val="20"/>
                <w:lang w:val="ro-MD" w:eastAsia="en-GB"/>
              </w:rPr>
            </w:pPr>
            <w:r w:rsidRPr="007C7649">
              <w:rPr>
                <w:rFonts w:ascii="Times New Roman" w:eastAsia="Times New Roman" w:hAnsi="Times New Roman" w:cs="Times New Roman"/>
                <w:b/>
                <w:bCs/>
                <w:color w:val="000000"/>
                <w:sz w:val="20"/>
                <w:szCs w:val="20"/>
                <w:lang w:val="ro-MD" w:eastAsia="en-GB"/>
              </w:rPr>
              <w:t>2011</w:t>
            </w:r>
          </w:p>
        </w:tc>
        <w:tc>
          <w:tcPr>
            <w:tcW w:w="888" w:type="dxa"/>
            <w:tcBorders>
              <w:top w:val="single" w:sz="4" w:space="0" w:color="auto"/>
              <w:left w:val="nil"/>
              <w:bottom w:val="single" w:sz="4" w:space="0" w:color="auto"/>
              <w:right w:val="nil"/>
            </w:tcBorders>
            <w:shd w:val="clear" w:color="auto" w:fill="BDD6EE" w:themeFill="accent5" w:themeFillTint="66"/>
            <w:noWrap/>
            <w:vAlign w:val="bottom"/>
            <w:hideMark/>
          </w:tcPr>
          <w:p w14:paraId="1E4D14B3" w14:textId="77777777" w:rsidR="00FD2C1E" w:rsidRPr="007C7649" w:rsidRDefault="00FD2C1E" w:rsidP="00FD2C1E">
            <w:pPr>
              <w:spacing w:after="0" w:line="240" w:lineRule="auto"/>
              <w:jc w:val="right"/>
              <w:rPr>
                <w:rFonts w:ascii="Times New Roman" w:eastAsia="Times New Roman" w:hAnsi="Times New Roman" w:cs="Times New Roman"/>
                <w:b/>
                <w:bCs/>
                <w:color w:val="000000"/>
                <w:sz w:val="20"/>
                <w:szCs w:val="20"/>
                <w:lang w:val="ro-MD" w:eastAsia="en-GB"/>
              </w:rPr>
            </w:pPr>
            <w:r w:rsidRPr="007C7649">
              <w:rPr>
                <w:rFonts w:ascii="Times New Roman" w:eastAsia="Times New Roman" w:hAnsi="Times New Roman" w:cs="Times New Roman"/>
                <w:b/>
                <w:bCs/>
                <w:color w:val="000000"/>
                <w:sz w:val="20"/>
                <w:szCs w:val="20"/>
                <w:lang w:val="ro-MD" w:eastAsia="en-GB"/>
              </w:rPr>
              <w:t>2013</w:t>
            </w:r>
          </w:p>
        </w:tc>
        <w:tc>
          <w:tcPr>
            <w:tcW w:w="888" w:type="dxa"/>
            <w:tcBorders>
              <w:top w:val="single" w:sz="4" w:space="0" w:color="auto"/>
              <w:left w:val="nil"/>
              <w:bottom w:val="single" w:sz="4" w:space="0" w:color="auto"/>
              <w:right w:val="nil"/>
            </w:tcBorders>
            <w:shd w:val="clear" w:color="auto" w:fill="BDD6EE" w:themeFill="accent5" w:themeFillTint="66"/>
            <w:noWrap/>
            <w:vAlign w:val="bottom"/>
            <w:hideMark/>
          </w:tcPr>
          <w:p w14:paraId="0E1FC6FC" w14:textId="77777777" w:rsidR="00FD2C1E" w:rsidRPr="007C7649" w:rsidRDefault="00FD2C1E" w:rsidP="00FD2C1E">
            <w:pPr>
              <w:spacing w:after="0" w:line="240" w:lineRule="auto"/>
              <w:jc w:val="right"/>
              <w:rPr>
                <w:rFonts w:ascii="Times New Roman" w:eastAsia="Times New Roman" w:hAnsi="Times New Roman" w:cs="Times New Roman"/>
                <w:b/>
                <w:bCs/>
                <w:color w:val="000000"/>
                <w:sz w:val="20"/>
                <w:szCs w:val="20"/>
                <w:lang w:val="ro-MD" w:eastAsia="en-GB"/>
              </w:rPr>
            </w:pPr>
            <w:r w:rsidRPr="007C7649">
              <w:rPr>
                <w:rFonts w:ascii="Times New Roman" w:eastAsia="Times New Roman" w:hAnsi="Times New Roman" w:cs="Times New Roman"/>
                <w:b/>
                <w:bCs/>
                <w:color w:val="000000"/>
                <w:sz w:val="20"/>
                <w:szCs w:val="20"/>
                <w:lang w:val="ro-MD" w:eastAsia="en-GB"/>
              </w:rPr>
              <w:t>2017</w:t>
            </w:r>
          </w:p>
        </w:tc>
        <w:tc>
          <w:tcPr>
            <w:tcW w:w="888" w:type="dxa"/>
            <w:tcBorders>
              <w:top w:val="single" w:sz="4" w:space="0" w:color="auto"/>
              <w:left w:val="nil"/>
              <w:bottom w:val="single" w:sz="4" w:space="0" w:color="auto"/>
              <w:right w:val="nil"/>
            </w:tcBorders>
            <w:shd w:val="clear" w:color="auto" w:fill="BDD6EE" w:themeFill="accent5" w:themeFillTint="66"/>
            <w:noWrap/>
            <w:vAlign w:val="bottom"/>
            <w:hideMark/>
          </w:tcPr>
          <w:p w14:paraId="74216E9C" w14:textId="77777777" w:rsidR="00FD2C1E" w:rsidRPr="007C7649" w:rsidRDefault="00FD2C1E" w:rsidP="00FD2C1E">
            <w:pPr>
              <w:spacing w:after="0" w:line="240" w:lineRule="auto"/>
              <w:jc w:val="right"/>
              <w:rPr>
                <w:rFonts w:ascii="Times New Roman" w:eastAsia="Times New Roman" w:hAnsi="Times New Roman" w:cs="Times New Roman"/>
                <w:b/>
                <w:bCs/>
                <w:color w:val="000000"/>
                <w:sz w:val="20"/>
                <w:szCs w:val="20"/>
                <w:lang w:val="ro-MD" w:eastAsia="en-GB"/>
              </w:rPr>
            </w:pPr>
            <w:r w:rsidRPr="007C7649">
              <w:rPr>
                <w:rFonts w:ascii="Times New Roman" w:eastAsia="Times New Roman" w:hAnsi="Times New Roman" w:cs="Times New Roman"/>
                <w:b/>
                <w:bCs/>
                <w:color w:val="000000"/>
                <w:sz w:val="20"/>
                <w:szCs w:val="20"/>
                <w:lang w:val="ro-MD" w:eastAsia="en-GB"/>
              </w:rPr>
              <w:t>2019</w:t>
            </w:r>
          </w:p>
        </w:tc>
      </w:tr>
      <w:tr w:rsidR="00FD2C1E" w:rsidRPr="007C7649" w14:paraId="21FAC3A2" w14:textId="77777777" w:rsidTr="009119F7">
        <w:trPr>
          <w:trHeight w:val="252"/>
        </w:trPr>
        <w:tc>
          <w:tcPr>
            <w:tcW w:w="3035" w:type="dxa"/>
            <w:tcBorders>
              <w:top w:val="single" w:sz="4" w:space="0" w:color="auto"/>
              <w:left w:val="nil"/>
              <w:bottom w:val="nil"/>
              <w:right w:val="nil"/>
            </w:tcBorders>
            <w:shd w:val="clear" w:color="auto" w:fill="auto"/>
            <w:noWrap/>
            <w:vAlign w:val="bottom"/>
            <w:hideMark/>
          </w:tcPr>
          <w:p w14:paraId="4C513EBD" w14:textId="544A2252" w:rsidR="00FD2C1E" w:rsidRPr="007C7649" w:rsidRDefault="00AB5AA7" w:rsidP="00FD2C1E">
            <w:pPr>
              <w:spacing w:after="0" w:line="240" w:lineRule="auto"/>
              <w:rPr>
                <w:rFonts w:ascii="Times New Roman" w:eastAsia="Times New Roman" w:hAnsi="Times New Roman" w:cs="Times New Roman"/>
                <w:b/>
                <w:bCs/>
                <w:color w:val="000000"/>
                <w:sz w:val="20"/>
                <w:szCs w:val="20"/>
                <w:lang w:val="ro-MD" w:eastAsia="en-GB"/>
              </w:rPr>
            </w:pPr>
            <w:r w:rsidRPr="007C7649">
              <w:rPr>
                <w:rFonts w:ascii="Times New Roman" w:eastAsia="Times New Roman" w:hAnsi="Times New Roman" w:cs="Times New Roman"/>
                <w:b/>
                <w:bCs/>
                <w:color w:val="000000"/>
                <w:sz w:val="20"/>
                <w:szCs w:val="20"/>
                <w:lang w:val="ro-MD" w:eastAsia="en-GB"/>
              </w:rPr>
              <w:t xml:space="preserve">Venituri, </w:t>
            </w:r>
            <w:r w:rsidRPr="007C7649">
              <w:rPr>
                <w:rFonts w:ascii="Times New Roman" w:eastAsia="Times New Roman" w:hAnsi="Times New Roman" w:cs="Times New Roman"/>
                <w:i/>
                <w:iCs/>
                <w:color w:val="000000"/>
                <w:sz w:val="20"/>
                <w:szCs w:val="20"/>
                <w:lang w:val="ro-MD" w:eastAsia="en-GB"/>
              </w:rPr>
              <w:t>dintre care</w:t>
            </w:r>
          </w:p>
        </w:tc>
        <w:tc>
          <w:tcPr>
            <w:tcW w:w="888" w:type="dxa"/>
            <w:tcBorders>
              <w:top w:val="single" w:sz="4" w:space="0" w:color="auto"/>
              <w:left w:val="nil"/>
              <w:bottom w:val="nil"/>
              <w:right w:val="nil"/>
            </w:tcBorders>
            <w:shd w:val="clear" w:color="auto" w:fill="auto"/>
            <w:noWrap/>
            <w:vAlign w:val="bottom"/>
            <w:hideMark/>
          </w:tcPr>
          <w:p w14:paraId="63E0BE69"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36.8</w:t>
            </w:r>
          </w:p>
        </w:tc>
        <w:tc>
          <w:tcPr>
            <w:tcW w:w="888" w:type="dxa"/>
            <w:tcBorders>
              <w:top w:val="single" w:sz="4" w:space="0" w:color="auto"/>
              <w:left w:val="nil"/>
              <w:bottom w:val="nil"/>
              <w:right w:val="nil"/>
            </w:tcBorders>
            <w:shd w:val="clear" w:color="auto" w:fill="auto"/>
            <w:noWrap/>
            <w:vAlign w:val="bottom"/>
            <w:hideMark/>
          </w:tcPr>
          <w:p w14:paraId="3FF5B59C"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34.5</w:t>
            </w:r>
          </w:p>
        </w:tc>
        <w:tc>
          <w:tcPr>
            <w:tcW w:w="888" w:type="dxa"/>
            <w:tcBorders>
              <w:top w:val="single" w:sz="4" w:space="0" w:color="auto"/>
              <w:left w:val="nil"/>
              <w:bottom w:val="nil"/>
              <w:right w:val="nil"/>
            </w:tcBorders>
            <w:shd w:val="clear" w:color="auto" w:fill="auto"/>
            <w:noWrap/>
            <w:vAlign w:val="bottom"/>
            <w:hideMark/>
          </w:tcPr>
          <w:p w14:paraId="5044F7FD"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34.9</w:t>
            </w:r>
          </w:p>
        </w:tc>
        <w:tc>
          <w:tcPr>
            <w:tcW w:w="888" w:type="dxa"/>
            <w:tcBorders>
              <w:top w:val="single" w:sz="4" w:space="0" w:color="auto"/>
              <w:left w:val="nil"/>
              <w:bottom w:val="nil"/>
              <w:right w:val="nil"/>
            </w:tcBorders>
            <w:shd w:val="clear" w:color="auto" w:fill="auto"/>
            <w:noWrap/>
            <w:vAlign w:val="bottom"/>
            <w:hideMark/>
          </w:tcPr>
          <w:p w14:paraId="00EA8858"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29.3</w:t>
            </w:r>
          </w:p>
        </w:tc>
        <w:tc>
          <w:tcPr>
            <w:tcW w:w="888" w:type="dxa"/>
            <w:tcBorders>
              <w:top w:val="single" w:sz="4" w:space="0" w:color="auto"/>
              <w:left w:val="nil"/>
              <w:bottom w:val="nil"/>
              <w:right w:val="nil"/>
            </w:tcBorders>
            <w:shd w:val="clear" w:color="auto" w:fill="auto"/>
            <w:noWrap/>
            <w:vAlign w:val="bottom"/>
            <w:hideMark/>
          </w:tcPr>
          <w:p w14:paraId="407D4CDE"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29.2</w:t>
            </w:r>
          </w:p>
        </w:tc>
      </w:tr>
      <w:tr w:rsidR="00FD2C1E" w:rsidRPr="007C7649" w14:paraId="77FA20B0" w14:textId="77777777" w:rsidTr="009119F7">
        <w:trPr>
          <w:trHeight w:val="252"/>
        </w:trPr>
        <w:tc>
          <w:tcPr>
            <w:tcW w:w="3035" w:type="dxa"/>
            <w:tcBorders>
              <w:top w:val="nil"/>
              <w:left w:val="nil"/>
              <w:bottom w:val="nil"/>
              <w:right w:val="nil"/>
            </w:tcBorders>
            <w:shd w:val="clear" w:color="auto" w:fill="auto"/>
            <w:noWrap/>
            <w:vAlign w:val="bottom"/>
            <w:hideMark/>
          </w:tcPr>
          <w:p w14:paraId="2C2FDAC5" w14:textId="49E19FD1" w:rsidR="00FD2C1E" w:rsidRPr="007C7649" w:rsidRDefault="00AB5AA7" w:rsidP="00FD2C1E">
            <w:pPr>
              <w:spacing w:after="0" w:line="240" w:lineRule="auto"/>
              <w:ind w:left="315"/>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TVA</w:t>
            </w:r>
          </w:p>
        </w:tc>
        <w:tc>
          <w:tcPr>
            <w:tcW w:w="888" w:type="dxa"/>
            <w:tcBorders>
              <w:top w:val="nil"/>
              <w:left w:val="nil"/>
              <w:bottom w:val="nil"/>
              <w:right w:val="nil"/>
            </w:tcBorders>
            <w:shd w:val="clear" w:color="auto" w:fill="auto"/>
            <w:noWrap/>
            <w:vAlign w:val="bottom"/>
            <w:hideMark/>
          </w:tcPr>
          <w:p w14:paraId="42E884E4"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12.6</w:t>
            </w:r>
          </w:p>
        </w:tc>
        <w:tc>
          <w:tcPr>
            <w:tcW w:w="888" w:type="dxa"/>
            <w:tcBorders>
              <w:top w:val="nil"/>
              <w:left w:val="nil"/>
              <w:bottom w:val="nil"/>
              <w:right w:val="nil"/>
            </w:tcBorders>
            <w:shd w:val="clear" w:color="auto" w:fill="auto"/>
            <w:noWrap/>
            <w:vAlign w:val="bottom"/>
            <w:hideMark/>
          </w:tcPr>
          <w:p w14:paraId="6D3F0A0C"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12.7</w:t>
            </w:r>
          </w:p>
        </w:tc>
        <w:tc>
          <w:tcPr>
            <w:tcW w:w="888" w:type="dxa"/>
            <w:tcBorders>
              <w:top w:val="nil"/>
              <w:left w:val="nil"/>
              <w:bottom w:val="nil"/>
              <w:right w:val="nil"/>
            </w:tcBorders>
            <w:shd w:val="clear" w:color="auto" w:fill="auto"/>
            <w:noWrap/>
            <w:vAlign w:val="bottom"/>
            <w:hideMark/>
          </w:tcPr>
          <w:p w14:paraId="26716BCB"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12.2</w:t>
            </w:r>
          </w:p>
        </w:tc>
        <w:tc>
          <w:tcPr>
            <w:tcW w:w="888" w:type="dxa"/>
            <w:tcBorders>
              <w:top w:val="nil"/>
              <w:left w:val="nil"/>
              <w:bottom w:val="nil"/>
              <w:right w:val="nil"/>
            </w:tcBorders>
            <w:shd w:val="clear" w:color="auto" w:fill="auto"/>
            <w:noWrap/>
            <w:vAlign w:val="bottom"/>
            <w:hideMark/>
          </w:tcPr>
          <w:p w14:paraId="684100EB"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9.4</w:t>
            </w:r>
          </w:p>
        </w:tc>
        <w:tc>
          <w:tcPr>
            <w:tcW w:w="888" w:type="dxa"/>
            <w:tcBorders>
              <w:top w:val="nil"/>
              <w:left w:val="nil"/>
              <w:bottom w:val="nil"/>
              <w:right w:val="nil"/>
            </w:tcBorders>
            <w:shd w:val="clear" w:color="auto" w:fill="auto"/>
            <w:noWrap/>
            <w:vAlign w:val="bottom"/>
            <w:hideMark/>
          </w:tcPr>
          <w:p w14:paraId="20CD1DBA"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9.6</w:t>
            </w:r>
          </w:p>
        </w:tc>
      </w:tr>
      <w:tr w:rsidR="00FD2C1E" w:rsidRPr="007C7649" w14:paraId="7FE80F9E" w14:textId="77777777" w:rsidTr="009119F7">
        <w:trPr>
          <w:trHeight w:val="252"/>
        </w:trPr>
        <w:tc>
          <w:tcPr>
            <w:tcW w:w="3035" w:type="dxa"/>
            <w:tcBorders>
              <w:top w:val="nil"/>
              <w:left w:val="nil"/>
              <w:bottom w:val="nil"/>
              <w:right w:val="nil"/>
            </w:tcBorders>
            <w:shd w:val="clear" w:color="auto" w:fill="auto"/>
            <w:noWrap/>
            <w:vAlign w:val="bottom"/>
            <w:hideMark/>
          </w:tcPr>
          <w:p w14:paraId="51C50203" w14:textId="16F104E5" w:rsidR="00FD2C1E" w:rsidRPr="007C7649" w:rsidRDefault="00AB5AA7" w:rsidP="00FD2C1E">
            <w:pPr>
              <w:spacing w:after="0" w:line="240" w:lineRule="auto"/>
              <w:ind w:left="315"/>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 xml:space="preserve">Impozit pe </w:t>
            </w:r>
            <w:r w:rsidR="00DA2BB4" w:rsidRPr="007C7649">
              <w:rPr>
                <w:rFonts w:ascii="Times New Roman" w:eastAsia="Times New Roman" w:hAnsi="Times New Roman" w:cs="Times New Roman"/>
                <w:color w:val="000000"/>
                <w:sz w:val="20"/>
                <w:szCs w:val="20"/>
                <w:lang w:val="ro-MD" w:eastAsia="en-GB"/>
              </w:rPr>
              <w:t>venit, persoane juridice</w:t>
            </w:r>
          </w:p>
        </w:tc>
        <w:tc>
          <w:tcPr>
            <w:tcW w:w="888" w:type="dxa"/>
            <w:tcBorders>
              <w:top w:val="nil"/>
              <w:left w:val="nil"/>
              <w:bottom w:val="nil"/>
              <w:right w:val="nil"/>
            </w:tcBorders>
            <w:shd w:val="clear" w:color="auto" w:fill="auto"/>
            <w:noWrap/>
            <w:vAlign w:val="bottom"/>
            <w:hideMark/>
          </w:tcPr>
          <w:p w14:paraId="0DEB1385"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0.7</w:t>
            </w:r>
          </w:p>
        </w:tc>
        <w:tc>
          <w:tcPr>
            <w:tcW w:w="888" w:type="dxa"/>
            <w:tcBorders>
              <w:top w:val="nil"/>
              <w:left w:val="nil"/>
              <w:bottom w:val="nil"/>
              <w:right w:val="nil"/>
            </w:tcBorders>
            <w:shd w:val="clear" w:color="auto" w:fill="auto"/>
            <w:noWrap/>
            <w:vAlign w:val="bottom"/>
            <w:hideMark/>
          </w:tcPr>
          <w:p w14:paraId="0E589469"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0.7</w:t>
            </w:r>
          </w:p>
        </w:tc>
        <w:tc>
          <w:tcPr>
            <w:tcW w:w="888" w:type="dxa"/>
            <w:tcBorders>
              <w:top w:val="nil"/>
              <w:left w:val="nil"/>
              <w:bottom w:val="nil"/>
              <w:right w:val="nil"/>
            </w:tcBorders>
            <w:shd w:val="clear" w:color="auto" w:fill="auto"/>
            <w:noWrap/>
            <w:vAlign w:val="bottom"/>
            <w:hideMark/>
          </w:tcPr>
          <w:p w14:paraId="7742315F"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2.1</w:t>
            </w:r>
          </w:p>
        </w:tc>
        <w:tc>
          <w:tcPr>
            <w:tcW w:w="888" w:type="dxa"/>
            <w:tcBorders>
              <w:top w:val="nil"/>
              <w:left w:val="nil"/>
              <w:bottom w:val="nil"/>
              <w:right w:val="nil"/>
            </w:tcBorders>
            <w:shd w:val="clear" w:color="auto" w:fill="auto"/>
            <w:noWrap/>
            <w:vAlign w:val="bottom"/>
            <w:hideMark/>
          </w:tcPr>
          <w:p w14:paraId="416CF050"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2.3</w:t>
            </w:r>
          </w:p>
        </w:tc>
        <w:tc>
          <w:tcPr>
            <w:tcW w:w="888" w:type="dxa"/>
            <w:tcBorders>
              <w:top w:val="nil"/>
              <w:left w:val="nil"/>
              <w:bottom w:val="nil"/>
              <w:right w:val="nil"/>
            </w:tcBorders>
            <w:shd w:val="clear" w:color="auto" w:fill="auto"/>
            <w:noWrap/>
            <w:vAlign w:val="bottom"/>
            <w:hideMark/>
          </w:tcPr>
          <w:p w14:paraId="0B4C0EFF"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2.6</w:t>
            </w:r>
          </w:p>
        </w:tc>
      </w:tr>
      <w:tr w:rsidR="00FD2C1E" w:rsidRPr="007C7649" w14:paraId="1D99F884" w14:textId="77777777" w:rsidTr="009119F7">
        <w:trPr>
          <w:trHeight w:val="252"/>
        </w:trPr>
        <w:tc>
          <w:tcPr>
            <w:tcW w:w="3035" w:type="dxa"/>
            <w:tcBorders>
              <w:top w:val="nil"/>
              <w:left w:val="nil"/>
              <w:bottom w:val="nil"/>
              <w:right w:val="nil"/>
            </w:tcBorders>
            <w:shd w:val="clear" w:color="auto" w:fill="auto"/>
            <w:noWrap/>
            <w:vAlign w:val="bottom"/>
            <w:hideMark/>
          </w:tcPr>
          <w:p w14:paraId="04AC2F71" w14:textId="5E8BC4BA" w:rsidR="00FD2C1E" w:rsidRPr="007C7649" w:rsidRDefault="00AB5AA7" w:rsidP="00FD2C1E">
            <w:pPr>
              <w:spacing w:after="0" w:line="240" w:lineRule="auto"/>
              <w:ind w:left="315"/>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Impozit pe venit pers</w:t>
            </w:r>
            <w:r w:rsidR="00DA2BB4" w:rsidRPr="007C7649">
              <w:rPr>
                <w:rFonts w:ascii="Times New Roman" w:eastAsia="Times New Roman" w:hAnsi="Times New Roman" w:cs="Times New Roman"/>
                <w:color w:val="000000"/>
                <w:sz w:val="20"/>
                <w:szCs w:val="20"/>
                <w:lang w:val="ro-MD" w:eastAsia="en-GB"/>
              </w:rPr>
              <w:t>oane fizice</w:t>
            </w:r>
          </w:p>
        </w:tc>
        <w:tc>
          <w:tcPr>
            <w:tcW w:w="888" w:type="dxa"/>
            <w:tcBorders>
              <w:top w:val="nil"/>
              <w:left w:val="nil"/>
              <w:bottom w:val="nil"/>
              <w:right w:val="nil"/>
            </w:tcBorders>
            <w:shd w:val="clear" w:color="auto" w:fill="auto"/>
            <w:noWrap/>
            <w:vAlign w:val="bottom"/>
            <w:hideMark/>
          </w:tcPr>
          <w:p w14:paraId="5CA4AC16"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2.4</w:t>
            </w:r>
          </w:p>
        </w:tc>
        <w:tc>
          <w:tcPr>
            <w:tcW w:w="888" w:type="dxa"/>
            <w:tcBorders>
              <w:top w:val="nil"/>
              <w:left w:val="nil"/>
              <w:bottom w:val="nil"/>
              <w:right w:val="nil"/>
            </w:tcBorders>
            <w:shd w:val="clear" w:color="auto" w:fill="auto"/>
            <w:noWrap/>
            <w:vAlign w:val="bottom"/>
            <w:hideMark/>
          </w:tcPr>
          <w:p w14:paraId="346A9E03"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2.1</w:t>
            </w:r>
          </w:p>
        </w:tc>
        <w:tc>
          <w:tcPr>
            <w:tcW w:w="888" w:type="dxa"/>
            <w:tcBorders>
              <w:top w:val="nil"/>
              <w:left w:val="nil"/>
              <w:bottom w:val="nil"/>
              <w:right w:val="nil"/>
            </w:tcBorders>
            <w:shd w:val="clear" w:color="auto" w:fill="auto"/>
            <w:noWrap/>
            <w:vAlign w:val="bottom"/>
            <w:hideMark/>
          </w:tcPr>
          <w:p w14:paraId="793CA0A5"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2.2</w:t>
            </w:r>
          </w:p>
        </w:tc>
        <w:tc>
          <w:tcPr>
            <w:tcW w:w="888" w:type="dxa"/>
            <w:tcBorders>
              <w:top w:val="nil"/>
              <w:left w:val="nil"/>
              <w:bottom w:val="nil"/>
              <w:right w:val="nil"/>
            </w:tcBorders>
            <w:shd w:val="clear" w:color="auto" w:fill="auto"/>
            <w:noWrap/>
            <w:vAlign w:val="bottom"/>
            <w:hideMark/>
          </w:tcPr>
          <w:p w14:paraId="25EBC5B1"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2.0</w:t>
            </w:r>
          </w:p>
        </w:tc>
        <w:tc>
          <w:tcPr>
            <w:tcW w:w="888" w:type="dxa"/>
            <w:tcBorders>
              <w:top w:val="nil"/>
              <w:left w:val="nil"/>
              <w:bottom w:val="nil"/>
              <w:right w:val="nil"/>
            </w:tcBorders>
            <w:shd w:val="clear" w:color="auto" w:fill="auto"/>
            <w:noWrap/>
            <w:vAlign w:val="bottom"/>
            <w:hideMark/>
          </w:tcPr>
          <w:p w14:paraId="610BD291"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1.9</w:t>
            </w:r>
          </w:p>
        </w:tc>
      </w:tr>
      <w:tr w:rsidR="00E67DCC" w:rsidRPr="007C7649" w14:paraId="48C0629B" w14:textId="77777777" w:rsidTr="009119F7">
        <w:trPr>
          <w:trHeight w:val="252"/>
        </w:trPr>
        <w:tc>
          <w:tcPr>
            <w:tcW w:w="3035" w:type="dxa"/>
            <w:tcBorders>
              <w:top w:val="nil"/>
              <w:left w:val="nil"/>
              <w:bottom w:val="nil"/>
              <w:right w:val="nil"/>
            </w:tcBorders>
            <w:shd w:val="clear" w:color="auto" w:fill="auto"/>
            <w:noWrap/>
            <w:vAlign w:val="bottom"/>
          </w:tcPr>
          <w:p w14:paraId="12BA6A7F" w14:textId="5091289A" w:rsidR="00E67DCC" w:rsidRPr="007C7649" w:rsidRDefault="00AB5AA7" w:rsidP="00E67DCC">
            <w:pPr>
              <w:spacing w:after="0" w:line="240" w:lineRule="auto"/>
              <w:ind w:left="315"/>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Contribuții asigurări sociale</w:t>
            </w:r>
          </w:p>
        </w:tc>
        <w:tc>
          <w:tcPr>
            <w:tcW w:w="888" w:type="dxa"/>
            <w:tcBorders>
              <w:top w:val="nil"/>
              <w:left w:val="nil"/>
              <w:bottom w:val="nil"/>
              <w:right w:val="nil"/>
            </w:tcBorders>
            <w:shd w:val="clear" w:color="auto" w:fill="auto"/>
            <w:noWrap/>
            <w:vAlign w:val="bottom"/>
          </w:tcPr>
          <w:p w14:paraId="14943E37" w14:textId="7CB0899C" w:rsidR="00E67DCC" w:rsidRPr="007C7649" w:rsidRDefault="00E67DCC"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9.3</w:t>
            </w:r>
          </w:p>
        </w:tc>
        <w:tc>
          <w:tcPr>
            <w:tcW w:w="888" w:type="dxa"/>
            <w:tcBorders>
              <w:top w:val="nil"/>
              <w:left w:val="nil"/>
              <w:bottom w:val="nil"/>
              <w:right w:val="nil"/>
            </w:tcBorders>
            <w:shd w:val="clear" w:color="auto" w:fill="auto"/>
            <w:noWrap/>
            <w:vAlign w:val="bottom"/>
          </w:tcPr>
          <w:p w14:paraId="162380AD" w14:textId="20EC84FE" w:rsidR="00E67DCC" w:rsidRPr="007C7649" w:rsidRDefault="00E67DCC"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8.0</w:t>
            </w:r>
          </w:p>
        </w:tc>
        <w:tc>
          <w:tcPr>
            <w:tcW w:w="888" w:type="dxa"/>
            <w:tcBorders>
              <w:top w:val="nil"/>
              <w:left w:val="nil"/>
              <w:bottom w:val="nil"/>
              <w:right w:val="nil"/>
            </w:tcBorders>
            <w:shd w:val="clear" w:color="auto" w:fill="auto"/>
            <w:noWrap/>
            <w:vAlign w:val="bottom"/>
          </w:tcPr>
          <w:p w14:paraId="6B0C2544" w14:textId="54112E7A" w:rsidR="00E67DCC" w:rsidRPr="007C7649" w:rsidRDefault="00E67DCC"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7.8</w:t>
            </w:r>
          </w:p>
        </w:tc>
        <w:tc>
          <w:tcPr>
            <w:tcW w:w="888" w:type="dxa"/>
            <w:tcBorders>
              <w:top w:val="nil"/>
              <w:left w:val="nil"/>
              <w:bottom w:val="nil"/>
              <w:right w:val="nil"/>
            </w:tcBorders>
            <w:shd w:val="clear" w:color="auto" w:fill="auto"/>
            <w:noWrap/>
            <w:vAlign w:val="bottom"/>
          </w:tcPr>
          <w:p w14:paraId="4BFE994A" w14:textId="29AC5224" w:rsidR="00E67DCC" w:rsidRPr="007C7649" w:rsidRDefault="00E67DCC"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6.6</w:t>
            </w:r>
          </w:p>
        </w:tc>
        <w:tc>
          <w:tcPr>
            <w:tcW w:w="888" w:type="dxa"/>
            <w:tcBorders>
              <w:top w:val="nil"/>
              <w:left w:val="nil"/>
              <w:bottom w:val="nil"/>
              <w:right w:val="nil"/>
            </w:tcBorders>
            <w:shd w:val="clear" w:color="auto" w:fill="auto"/>
            <w:noWrap/>
            <w:vAlign w:val="bottom"/>
          </w:tcPr>
          <w:p w14:paraId="014B81D4" w14:textId="1CD47FA5" w:rsidR="00E67DCC" w:rsidRPr="007C7649" w:rsidRDefault="00E67DCC"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6.5</w:t>
            </w:r>
          </w:p>
        </w:tc>
      </w:tr>
      <w:tr w:rsidR="00FD2C1E" w:rsidRPr="007C7649" w14:paraId="67798E8C" w14:textId="77777777" w:rsidTr="009119F7">
        <w:trPr>
          <w:trHeight w:val="252"/>
        </w:trPr>
        <w:tc>
          <w:tcPr>
            <w:tcW w:w="3035" w:type="dxa"/>
            <w:tcBorders>
              <w:top w:val="nil"/>
              <w:left w:val="nil"/>
              <w:bottom w:val="nil"/>
              <w:right w:val="nil"/>
            </w:tcBorders>
            <w:shd w:val="clear" w:color="auto" w:fill="auto"/>
            <w:noWrap/>
            <w:vAlign w:val="bottom"/>
            <w:hideMark/>
          </w:tcPr>
          <w:p w14:paraId="36DFB2C0" w14:textId="10D9B4DE" w:rsidR="00FD2C1E" w:rsidRPr="007C7649" w:rsidRDefault="00AB5AA7" w:rsidP="00FD2C1E">
            <w:pPr>
              <w:spacing w:after="0" w:line="240" w:lineRule="auto"/>
              <w:rPr>
                <w:rFonts w:ascii="Times New Roman" w:eastAsia="Times New Roman" w:hAnsi="Times New Roman" w:cs="Times New Roman"/>
                <w:b/>
                <w:bCs/>
                <w:color w:val="000000"/>
                <w:sz w:val="20"/>
                <w:szCs w:val="20"/>
                <w:lang w:val="ro-MD" w:eastAsia="en-GB"/>
              </w:rPr>
            </w:pPr>
            <w:r w:rsidRPr="007C7649">
              <w:rPr>
                <w:rFonts w:ascii="Times New Roman" w:eastAsia="Times New Roman" w:hAnsi="Times New Roman" w:cs="Times New Roman"/>
                <w:b/>
                <w:bCs/>
                <w:color w:val="000000"/>
                <w:sz w:val="20"/>
                <w:szCs w:val="20"/>
                <w:lang w:val="ro-MD" w:eastAsia="en-GB"/>
              </w:rPr>
              <w:t>Cheltuieli</w:t>
            </w:r>
            <w:r w:rsidR="00FD2C1E" w:rsidRPr="007C7649">
              <w:rPr>
                <w:rFonts w:ascii="Times New Roman" w:eastAsia="Times New Roman" w:hAnsi="Times New Roman" w:cs="Times New Roman"/>
                <w:b/>
                <w:bCs/>
                <w:color w:val="000000"/>
                <w:sz w:val="20"/>
                <w:szCs w:val="20"/>
                <w:lang w:val="ro-MD" w:eastAsia="en-GB"/>
              </w:rPr>
              <w:t xml:space="preserve">, </w:t>
            </w:r>
            <w:r w:rsidRPr="007C7649">
              <w:rPr>
                <w:rFonts w:ascii="Times New Roman" w:eastAsia="Times New Roman" w:hAnsi="Times New Roman" w:cs="Times New Roman"/>
                <w:i/>
                <w:iCs/>
                <w:color w:val="000000"/>
                <w:sz w:val="20"/>
                <w:szCs w:val="20"/>
                <w:lang w:val="ro-MD" w:eastAsia="en-GB"/>
              </w:rPr>
              <w:t>dintre care</w:t>
            </w:r>
            <w:r w:rsidR="00FD2C1E" w:rsidRPr="007C7649">
              <w:rPr>
                <w:rFonts w:ascii="Times New Roman" w:eastAsia="Times New Roman" w:hAnsi="Times New Roman" w:cs="Times New Roman"/>
                <w:b/>
                <w:bCs/>
                <w:color w:val="000000"/>
                <w:sz w:val="20"/>
                <w:szCs w:val="20"/>
                <w:lang w:val="ro-MD" w:eastAsia="en-GB"/>
              </w:rPr>
              <w:t xml:space="preserve"> </w:t>
            </w:r>
          </w:p>
        </w:tc>
        <w:tc>
          <w:tcPr>
            <w:tcW w:w="888" w:type="dxa"/>
            <w:tcBorders>
              <w:top w:val="nil"/>
              <w:left w:val="nil"/>
              <w:bottom w:val="nil"/>
              <w:right w:val="nil"/>
            </w:tcBorders>
            <w:shd w:val="clear" w:color="auto" w:fill="auto"/>
            <w:noWrap/>
            <w:vAlign w:val="bottom"/>
            <w:hideMark/>
          </w:tcPr>
          <w:p w14:paraId="3ED93E93"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40.3</w:t>
            </w:r>
          </w:p>
        </w:tc>
        <w:tc>
          <w:tcPr>
            <w:tcW w:w="888" w:type="dxa"/>
            <w:tcBorders>
              <w:top w:val="nil"/>
              <w:left w:val="nil"/>
              <w:bottom w:val="nil"/>
              <w:right w:val="nil"/>
            </w:tcBorders>
            <w:shd w:val="clear" w:color="auto" w:fill="auto"/>
            <w:noWrap/>
            <w:vAlign w:val="bottom"/>
            <w:hideMark/>
          </w:tcPr>
          <w:p w14:paraId="2F426A8A"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33.9</w:t>
            </w:r>
          </w:p>
        </w:tc>
        <w:tc>
          <w:tcPr>
            <w:tcW w:w="888" w:type="dxa"/>
            <w:tcBorders>
              <w:top w:val="nil"/>
              <w:left w:val="nil"/>
              <w:bottom w:val="nil"/>
              <w:right w:val="nil"/>
            </w:tcBorders>
            <w:shd w:val="clear" w:color="auto" w:fill="auto"/>
            <w:noWrap/>
            <w:vAlign w:val="bottom"/>
            <w:hideMark/>
          </w:tcPr>
          <w:p w14:paraId="21FE0182"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31.7</w:t>
            </w:r>
          </w:p>
        </w:tc>
        <w:tc>
          <w:tcPr>
            <w:tcW w:w="888" w:type="dxa"/>
            <w:tcBorders>
              <w:top w:val="nil"/>
              <w:left w:val="nil"/>
              <w:bottom w:val="nil"/>
              <w:right w:val="nil"/>
            </w:tcBorders>
            <w:shd w:val="clear" w:color="auto" w:fill="auto"/>
            <w:noWrap/>
            <w:vAlign w:val="bottom"/>
            <w:hideMark/>
          </w:tcPr>
          <w:p w14:paraId="288C95BF"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27.4</w:t>
            </w:r>
          </w:p>
        </w:tc>
        <w:tc>
          <w:tcPr>
            <w:tcW w:w="888" w:type="dxa"/>
            <w:tcBorders>
              <w:top w:val="nil"/>
              <w:left w:val="nil"/>
              <w:bottom w:val="nil"/>
              <w:right w:val="nil"/>
            </w:tcBorders>
            <w:shd w:val="clear" w:color="auto" w:fill="auto"/>
            <w:noWrap/>
            <w:vAlign w:val="bottom"/>
            <w:hideMark/>
          </w:tcPr>
          <w:p w14:paraId="345978BC"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28.0</w:t>
            </w:r>
          </w:p>
        </w:tc>
      </w:tr>
      <w:tr w:rsidR="00FD2C1E" w:rsidRPr="007C7649" w14:paraId="0E7A7346" w14:textId="77777777" w:rsidTr="009119F7">
        <w:trPr>
          <w:trHeight w:val="252"/>
        </w:trPr>
        <w:tc>
          <w:tcPr>
            <w:tcW w:w="3035" w:type="dxa"/>
            <w:tcBorders>
              <w:top w:val="nil"/>
              <w:left w:val="nil"/>
              <w:bottom w:val="nil"/>
              <w:right w:val="nil"/>
            </w:tcBorders>
            <w:shd w:val="clear" w:color="auto" w:fill="auto"/>
            <w:noWrap/>
            <w:vAlign w:val="bottom"/>
            <w:hideMark/>
          </w:tcPr>
          <w:p w14:paraId="3D5E9149" w14:textId="34734348" w:rsidR="00FD2C1E" w:rsidRPr="007C7649" w:rsidRDefault="00AB5AA7" w:rsidP="00FD2C1E">
            <w:pPr>
              <w:spacing w:after="0" w:line="240" w:lineRule="auto"/>
              <w:ind w:left="315"/>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Salarii</w:t>
            </w:r>
            <w:r w:rsidR="00FD2C1E" w:rsidRPr="007C7649">
              <w:rPr>
                <w:rFonts w:ascii="Times New Roman" w:eastAsia="Times New Roman" w:hAnsi="Times New Roman" w:cs="Times New Roman"/>
                <w:color w:val="000000"/>
                <w:sz w:val="20"/>
                <w:szCs w:val="20"/>
                <w:lang w:val="ro-MD" w:eastAsia="en-GB"/>
              </w:rPr>
              <w:t xml:space="preserve"> </w:t>
            </w:r>
          </w:p>
        </w:tc>
        <w:tc>
          <w:tcPr>
            <w:tcW w:w="888" w:type="dxa"/>
            <w:tcBorders>
              <w:top w:val="nil"/>
              <w:left w:val="nil"/>
              <w:bottom w:val="nil"/>
              <w:right w:val="nil"/>
            </w:tcBorders>
            <w:shd w:val="clear" w:color="auto" w:fill="auto"/>
            <w:noWrap/>
            <w:vAlign w:val="bottom"/>
            <w:hideMark/>
          </w:tcPr>
          <w:p w14:paraId="6FF88418"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11.6</w:t>
            </w:r>
          </w:p>
        </w:tc>
        <w:tc>
          <w:tcPr>
            <w:tcW w:w="888" w:type="dxa"/>
            <w:tcBorders>
              <w:top w:val="nil"/>
              <w:left w:val="nil"/>
              <w:bottom w:val="nil"/>
              <w:right w:val="nil"/>
            </w:tcBorders>
            <w:shd w:val="clear" w:color="auto" w:fill="auto"/>
            <w:noWrap/>
            <w:vAlign w:val="bottom"/>
            <w:hideMark/>
          </w:tcPr>
          <w:p w14:paraId="2BF0801C"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9.4</w:t>
            </w:r>
          </w:p>
        </w:tc>
        <w:tc>
          <w:tcPr>
            <w:tcW w:w="888" w:type="dxa"/>
            <w:tcBorders>
              <w:top w:val="nil"/>
              <w:left w:val="nil"/>
              <w:bottom w:val="nil"/>
              <w:right w:val="nil"/>
            </w:tcBorders>
            <w:shd w:val="clear" w:color="auto" w:fill="auto"/>
            <w:noWrap/>
            <w:vAlign w:val="bottom"/>
            <w:hideMark/>
          </w:tcPr>
          <w:p w14:paraId="446F8185"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8.3</w:t>
            </w:r>
          </w:p>
        </w:tc>
        <w:tc>
          <w:tcPr>
            <w:tcW w:w="888" w:type="dxa"/>
            <w:tcBorders>
              <w:top w:val="nil"/>
              <w:left w:val="nil"/>
              <w:bottom w:val="nil"/>
              <w:right w:val="nil"/>
            </w:tcBorders>
            <w:shd w:val="clear" w:color="auto" w:fill="auto"/>
            <w:noWrap/>
            <w:vAlign w:val="bottom"/>
            <w:hideMark/>
          </w:tcPr>
          <w:p w14:paraId="04C8B2DF"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7.0</w:t>
            </w:r>
          </w:p>
        </w:tc>
        <w:tc>
          <w:tcPr>
            <w:tcW w:w="888" w:type="dxa"/>
            <w:tcBorders>
              <w:top w:val="nil"/>
              <w:left w:val="nil"/>
              <w:bottom w:val="nil"/>
              <w:right w:val="nil"/>
            </w:tcBorders>
            <w:shd w:val="clear" w:color="auto" w:fill="auto"/>
            <w:noWrap/>
            <w:vAlign w:val="bottom"/>
            <w:hideMark/>
          </w:tcPr>
          <w:p w14:paraId="2282C98A"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7.4</w:t>
            </w:r>
          </w:p>
        </w:tc>
      </w:tr>
      <w:tr w:rsidR="00FD2C1E" w:rsidRPr="007C7649" w14:paraId="2A4A3469" w14:textId="77777777" w:rsidTr="009119F7">
        <w:trPr>
          <w:trHeight w:val="252"/>
        </w:trPr>
        <w:tc>
          <w:tcPr>
            <w:tcW w:w="3035" w:type="dxa"/>
            <w:tcBorders>
              <w:top w:val="nil"/>
              <w:left w:val="nil"/>
              <w:bottom w:val="nil"/>
              <w:right w:val="nil"/>
            </w:tcBorders>
            <w:shd w:val="clear" w:color="auto" w:fill="auto"/>
            <w:noWrap/>
            <w:vAlign w:val="bottom"/>
            <w:hideMark/>
          </w:tcPr>
          <w:p w14:paraId="0AA50A7E" w14:textId="7D0592A6" w:rsidR="00FD2C1E" w:rsidRPr="007C7649" w:rsidRDefault="00AB5AA7" w:rsidP="00FD2C1E">
            <w:pPr>
              <w:spacing w:after="0" w:line="240" w:lineRule="auto"/>
              <w:ind w:left="315"/>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lastRenderedPageBreak/>
              <w:t xml:space="preserve">Cheltuieli </w:t>
            </w:r>
            <w:r w:rsidR="00DA2BB4" w:rsidRPr="007C7649">
              <w:rPr>
                <w:rFonts w:ascii="Times New Roman" w:eastAsia="Times New Roman" w:hAnsi="Times New Roman" w:cs="Times New Roman"/>
                <w:color w:val="000000"/>
                <w:sz w:val="20"/>
                <w:szCs w:val="20"/>
                <w:lang w:val="ro-MD" w:eastAsia="en-GB"/>
              </w:rPr>
              <w:t xml:space="preserve">de </w:t>
            </w:r>
            <w:r w:rsidRPr="007C7649">
              <w:rPr>
                <w:rFonts w:ascii="Times New Roman" w:eastAsia="Times New Roman" w:hAnsi="Times New Roman" w:cs="Times New Roman"/>
                <w:color w:val="000000"/>
                <w:sz w:val="20"/>
                <w:szCs w:val="20"/>
                <w:lang w:val="ro-MD" w:eastAsia="en-GB"/>
              </w:rPr>
              <w:t>capital</w:t>
            </w:r>
            <w:r w:rsidR="00FD2C1E" w:rsidRPr="007C7649">
              <w:rPr>
                <w:rFonts w:ascii="Times New Roman" w:eastAsia="Times New Roman" w:hAnsi="Times New Roman" w:cs="Times New Roman"/>
                <w:color w:val="000000"/>
                <w:sz w:val="20"/>
                <w:szCs w:val="20"/>
                <w:lang w:val="ro-MD" w:eastAsia="en-GB"/>
              </w:rPr>
              <w:t xml:space="preserve"> </w:t>
            </w:r>
          </w:p>
        </w:tc>
        <w:tc>
          <w:tcPr>
            <w:tcW w:w="888" w:type="dxa"/>
            <w:tcBorders>
              <w:top w:val="nil"/>
              <w:left w:val="nil"/>
              <w:bottom w:val="nil"/>
              <w:right w:val="nil"/>
            </w:tcBorders>
            <w:shd w:val="clear" w:color="auto" w:fill="auto"/>
            <w:noWrap/>
            <w:vAlign w:val="bottom"/>
            <w:hideMark/>
          </w:tcPr>
          <w:p w14:paraId="789030E1"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5.0</w:t>
            </w:r>
          </w:p>
        </w:tc>
        <w:tc>
          <w:tcPr>
            <w:tcW w:w="888" w:type="dxa"/>
            <w:tcBorders>
              <w:top w:val="nil"/>
              <w:left w:val="nil"/>
              <w:bottom w:val="nil"/>
              <w:right w:val="nil"/>
            </w:tcBorders>
            <w:shd w:val="clear" w:color="auto" w:fill="auto"/>
            <w:noWrap/>
            <w:vAlign w:val="bottom"/>
            <w:hideMark/>
          </w:tcPr>
          <w:p w14:paraId="4EB00EEA"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5.2</w:t>
            </w:r>
          </w:p>
        </w:tc>
        <w:tc>
          <w:tcPr>
            <w:tcW w:w="888" w:type="dxa"/>
            <w:tcBorders>
              <w:top w:val="nil"/>
              <w:left w:val="nil"/>
              <w:bottom w:val="nil"/>
              <w:right w:val="nil"/>
            </w:tcBorders>
            <w:shd w:val="clear" w:color="auto" w:fill="auto"/>
            <w:noWrap/>
            <w:vAlign w:val="bottom"/>
            <w:hideMark/>
          </w:tcPr>
          <w:p w14:paraId="5339057E"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7.1</w:t>
            </w:r>
          </w:p>
        </w:tc>
        <w:tc>
          <w:tcPr>
            <w:tcW w:w="888" w:type="dxa"/>
            <w:tcBorders>
              <w:top w:val="nil"/>
              <w:left w:val="nil"/>
              <w:bottom w:val="nil"/>
              <w:right w:val="nil"/>
            </w:tcBorders>
            <w:shd w:val="clear" w:color="auto" w:fill="auto"/>
            <w:noWrap/>
            <w:vAlign w:val="bottom"/>
            <w:hideMark/>
          </w:tcPr>
          <w:p w14:paraId="4D948E7C"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3.0</w:t>
            </w:r>
          </w:p>
        </w:tc>
        <w:tc>
          <w:tcPr>
            <w:tcW w:w="888" w:type="dxa"/>
            <w:tcBorders>
              <w:top w:val="nil"/>
              <w:left w:val="nil"/>
              <w:bottom w:val="nil"/>
              <w:right w:val="nil"/>
            </w:tcBorders>
            <w:shd w:val="clear" w:color="auto" w:fill="auto"/>
            <w:noWrap/>
            <w:vAlign w:val="bottom"/>
            <w:hideMark/>
          </w:tcPr>
          <w:p w14:paraId="572B1179" w14:textId="77777777" w:rsidR="00FD2C1E" w:rsidRPr="007C7649" w:rsidRDefault="00FD2C1E" w:rsidP="00FD2C1E">
            <w:pPr>
              <w:spacing w:after="0" w:line="240" w:lineRule="auto"/>
              <w:jc w:val="right"/>
              <w:rPr>
                <w:rFonts w:ascii="Times New Roman" w:eastAsia="Times New Roman" w:hAnsi="Times New Roman" w:cs="Times New Roman"/>
                <w:color w:val="000000"/>
                <w:sz w:val="20"/>
                <w:szCs w:val="20"/>
                <w:lang w:val="ro-MD" w:eastAsia="en-GB"/>
              </w:rPr>
            </w:pPr>
            <w:r w:rsidRPr="007C7649">
              <w:rPr>
                <w:rFonts w:ascii="Times New Roman" w:eastAsia="Times New Roman" w:hAnsi="Times New Roman" w:cs="Times New Roman"/>
                <w:color w:val="000000"/>
                <w:sz w:val="20"/>
                <w:szCs w:val="20"/>
                <w:lang w:val="ro-MD" w:eastAsia="en-GB"/>
              </w:rPr>
              <w:t>3.3</w:t>
            </w:r>
          </w:p>
        </w:tc>
      </w:tr>
    </w:tbl>
    <w:p w14:paraId="72AD9679" w14:textId="77777777" w:rsidR="007C7649" w:rsidRDefault="007C7649" w:rsidP="007C7649">
      <w:pPr>
        <w:ind w:left="720" w:right="566"/>
        <w:rPr>
          <w:rFonts w:ascii="Times New Roman" w:eastAsia="Times New Roman" w:hAnsi="Times New Roman" w:cs="Times New Roman"/>
          <w:i/>
          <w:color w:val="000000"/>
          <w:sz w:val="20"/>
          <w:szCs w:val="20"/>
          <w:lang w:val="ro-MD"/>
        </w:rPr>
      </w:pPr>
      <w:r>
        <w:rPr>
          <w:rFonts w:ascii="Times New Roman" w:eastAsia="Times New Roman" w:hAnsi="Times New Roman" w:cs="Times New Roman"/>
          <w:i/>
          <w:color w:val="000000"/>
          <w:sz w:val="20"/>
          <w:szCs w:val="20"/>
          <w:lang w:val="ro-MD"/>
        </w:rPr>
        <w:t xml:space="preserve">     </w:t>
      </w:r>
    </w:p>
    <w:p w14:paraId="17F8D3D6" w14:textId="1D72F470" w:rsidR="00E25EC1" w:rsidRPr="007C7649" w:rsidRDefault="007C7649" w:rsidP="007C7649">
      <w:pPr>
        <w:ind w:left="720" w:right="566"/>
        <w:rPr>
          <w:rFonts w:ascii="Times New Roman" w:eastAsia="Times New Roman" w:hAnsi="Times New Roman" w:cs="Times New Roman"/>
          <w:i/>
          <w:color w:val="000000"/>
          <w:sz w:val="20"/>
          <w:szCs w:val="20"/>
          <w:lang w:val="ro-MD"/>
        </w:rPr>
      </w:pPr>
      <w:r>
        <w:rPr>
          <w:rFonts w:ascii="Times New Roman" w:eastAsia="Times New Roman" w:hAnsi="Times New Roman" w:cs="Times New Roman"/>
          <w:i/>
          <w:color w:val="000000"/>
          <w:sz w:val="20"/>
          <w:szCs w:val="20"/>
          <w:lang w:val="ro-MD"/>
        </w:rPr>
        <w:t xml:space="preserve">      </w:t>
      </w:r>
      <w:r w:rsidR="007007D6" w:rsidRPr="007C7649">
        <w:rPr>
          <w:rFonts w:ascii="Times New Roman" w:eastAsia="Times New Roman" w:hAnsi="Times New Roman" w:cs="Times New Roman"/>
          <w:i/>
          <w:color w:val="000000"/>
          <w:sz w:val="20"/>
          <w:szCs w:val="20"/>
          <w:lang w:val="ro-MD"/>
        </w:rPr>
        <w:t>Sursa: Fondul Monetar Internațional</w:t>
      </w:r>
      <w:r w:rsidR="007007D6" w:rsidRPr="007C7649">
        <w:rPr>
          <w:rFonts w:ascii="Times New Roman" w:eastAsia="Times New Roman" w:hAnsi="Times New Roman" w:cs="Times New Roman"/>
          <w:iCs/>
          <w:color w:val="000000"/>
          <w:sz w:val="20"/>
          <w:szCs w:val="20"/>
          <w:lang w:val="ro-MD"/>
        </w:rPr>
        <w:t xml:space="preserve"> (FMI), </w:t>
      </w:r>
      <w:r w:rsidR="007007D6" w:rsidRPr="007C7649">
        <w:rPr>
          <w:rFonts w:ascii="Times New Roman" w:eastAsia="Times New Roman" w:hAnsi="Times New Roman" w:cs="Times New Roman"/>
          <w:i/>
          <w:color w:val="000000"/>
          <w:sz w:val="20"/>
          <w:szCs w:val="20"/>
          <w:lang w:val="ro-MD"/>
        </w:rPr>
        <w:t xml:space="preserve">Raportul personalului FMI privind Consultările din 2014 referitoare la </w:t>
      </w:r>
      <w:r w:rsidR="00871C6E" w:rsidRPr="007C7649">
        <w:rPr>
          <w:rFonts w:ascii="Times New Roman" w:eastAsia="Times New Roman" w:hAnsi="Times New Roman" w:cs="Times New Roman"/>
          <w:i/>
          <w:color w:val="000000"/>
          <w:sz w:val="20"/>
          <w:szCs w:val="20"/>
          <w:lang w:val="ro-MD"/>
        </w:rPr>
        <w:t>Articolul IV</w:t>
      </w:r>
      <w:r w:rsidR="00E25EC1" w:rsidRPr="007C7649">
        <w:rPr>
          <w:rFonts w:ascii="Times New Roman" w:eastAsia="Times New Roman" w:hAnsi="Times New Roman" w:cs="Times New Roman"/>
          <w:i/>
          <w:color w:val="000000"/>
          <w:sz w:val="20"/>
          <w:szCs w:val="20"/>
          <w:lang w:val="ro-MD"/>
        </w:rPr>
        <w:t xml:space="preserve">, </w:t>
      </w:r>
      <w:r w:rsidR="00E25EC1" w:rsidRPr="007C7649">
        <w:rPr>
          <w:rFonts w:ascii="Times New Roman" w:eastAsia="Times New Roman" w:hAnsi="Times New Roman" w:cs="Times New Roman"/>
          <w:iCs/>
          <w:color w:val="000000"/>
          <w:sz w:val="20"/>
          <w:szCs w:val="20"/>
          <w:lang w:val="ro-MD"/>
        </w:rPr>
        <w:t>2009-2019</w:t>
      </w:r>
    </w:p>
    <w:p w14:paraId="6545CDCF" w14:textId="32B66989" w:rsidR="00662255" w:rsidRDefault="00F055A2" w:rsidP="007D7BB9">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Ce ține</w:t>
      </w:r>
      <w:r w:rsidR="0086012F">
        <w:rPr>
          <w:rFonts w:ascii="Times New Roman" w:hAnsi="Times New Roman" w:cs="Times New Roman"/>
          <w:sz w:val="24"/>
          <w:szCs w:val="24"/>
          <w:lang w:val="ro-MD"/>
        </w:rPr>
        <w:t xml:space="preserve"> de</w:t>
      </w:r>
      <w:r w:rsidRPr="003836D9">
        <w:rPr>
          <w:rFonts w:ascii="Times New Roman" w:hAnsi="Times New Roman" w:cs="Times New Roman"/>
          <w:sz w:val="24"/>
          <w:szCs w:val="24"/>
          <w:lang w:val="ro-MD"/>
        </w:rPr>
        <w:t xml:space="preserve"> </w:t>
      </w:r>
      <w:r w:rsidR="0086012F">
        <w:rPr>
          <w:rFonts w:ascii="Times New Roman" w:hAnsi="Times New Roman" w:cs="Times New Roman"/>
          <w:sz w:val="24"/>
          <w:szCs w:val="24"/>
          <w:lang w:val="ro-MD"/>
        </w:rPr>
        <w:t>cheltuieli</w:t>
      </w:r>
      <w:r w:rsidR="00E25EC1" w:rsidRPr="003836D9">
        <w:rPr>
          <w:rFonts w:ascii="Times New Roman" w:hAnsi="Times New Roman" w:cs="Times New Roman"/>
          <w:sz w:val="24"/>
          <w:szCs w:val="24"/>
          <w:lang w:val="ro-MD"/>
        </w:rPr>
        <w:t xml:space="preserve">, s-a înregistrat o scădere </w:t>
      </w:r>
      <w:r w:rsidR="00581254" w:rsidRPr="003836D9">
        <w:rPr>
          <w:rFonts w:ascii="Times New Roman" w:hAnsi="Times New Roman" w:cs="Times New Roman"/>
          <w:sz w:val="24"/>
          <w:szCs w:val="24"/>
          <w:lang w:val="ro-MD"/>
        </w:rPr>
        <w:t>considerabilă</w:t>
      </w:r>
      <w:r w:rsidR="00E25EC1" w:rsidRPr="003836D9">
        <w:rPr>
          <w:rFonts w:ascii="Times New Roman" w:hAnsi="Times New Roman" w:cs="Times New Roman"/>
          <w:sz w:val="24"/>
          <w:szCs w:val="24"/>
          <w:lang w:val="ro-MD"/>
        </w:rPr>
        <w:t xml:space="preserve"> a </w:t>
      </w:r>
      <w:r w:rsidR="00D340CC" w:rsidRPr="003836D9">
        <w:rPr>
          <w:rFonts w:ascii="Times New Roman" w:hAnsi="Times New Roman" w:cs="Times New Roman"/>
          <w:sz w:val="24"/>
          <w:szCs w:val="24"/>
          <w:lang w:val="ro-MD"/>
        </w:rPr>
        <w:t>masei</w:t>
      </w:r>
      <w:r w:rsidR="00E25EC1" w:rsidRPr="003836D9">
        <w:rPr>
          <w:rFonts w:ascii="Times New Roman" w:hAnsi="Times New Roman" w:cs="Times New Roman"/>
          <w:sz w:val="24"/>
          <w:szCs w:val="24"/>
          <w:lang w:val="ro-MD"/>
        </w:rPr>
        <w:t xml:space="preserve"> salariale în perioada 2009-2019 (Tabelul 7), dar și o scădere a cheltuielilor de capital (de la 5 procente din PIB în 2009 la doar 3,3 procente în 2019) și transferul către gospodării (de la 14,8 procente din PIB la 10,6 procente). În 2019, cheltuielile pentru educație au reprezentat 25,6 procente din totalul cheltuielilor bugetare, urmate de protecția socială (20,3 procente) și sănătate (8,8 procente). În total, cheltuielile pe aceste trei sfere au reprezentat aproape 55 procente din t</w:t>
      </w:r>
      <w:r w:rsidR="0086012F">
        <w:rPr>
          <w:rFonts w:ascii="Times New Roman" w:hAnsi="Times New Roman" w:cs="Times New Roman"/>
          <w:sz w:val="24"/>
          <w:szCs w:val="24"/>
          <w:lang w:val="ro-MD"/>
        </w:rPr>
        <w:t xml:space="preserve">otalul cheltuielilor, profilând </w:t>
      </w:r>
      <w:r w:rsidR="00E25EC1" w:rsidRPr="003836D9">
        <w:rPr>
          <w:rFonts w:ascii="Times New Roman" w:hAnsi="Times New Roman" w:cs="Times New Roman"/>
          <w:sz w:val="24"/>
          <w:szCs w:val="24"/>
          <w:lang w:val="ro-MD"/>
        </w:rPr>
        <w:t>orientarea socială a bugetului</w:t>
      </w:r>
      <w:r w:rsidR="00CD0681" w:rsidRPr="003836D9">
        <w:rPr>
          <w:rFonts w:ascii="Times New Roman" w:hAnsi="Times New Roman" w:cs="Times New Roman"/>
          <w:sz w:val="24"/>
          <w:szCs w:val="24"/>
          <w:lang w:val="ro-MD"/>
        </w:rPr>
        <w:t>.</w:t>
      </w:r>
      <w:r w:rsidR="00FC3573" w:rsidRPr="003836D9">
        <w:rPr>
          <w:rStyle w:val="FootnoteReference"/>
          <w:rFonts w:ascii="Times New Roman" w:hAnsi="Times New Roman" w:cs="Times New Roman"/>
          <w:sz w:val="24"/>
          <w:szCs w:val="24"/>
          <w:lang w:val="ro-MD"/>
        </w:rPr>
        <w:footnoteReference w:id="25"/>
      </w:r>
    </w:p>
    <w:p w14:paraId="3B0B1342" w14:textId="562177EF" w:rsidR="007C7649" w:rsidRDefault="007C7649" w:rsidP="007C7649">
      <w:pPr>
        <w:jc w:val="center"/>
        <w:rPr>
          <w:rFonts w:ascii="Times New Roman" w:hAnsi="Times New Roman" w:cs="Times New Roman"/>
          <w:b/>
          <w:sz w:val="20"/>
          <w:szCs w:val="20"/>
          <w:lang w:val="ro-MD"/>
        </w:rPr>
      </w:pPr>
      <w:bookmarkStart w:id="61" w:name="_Hlk93139657"/>
      <w:r w:rsidRPr="007C7649">
        <w:rPr>
          <w:rFonts w:ascii="Times New Roman" w:hAnsi="Times New Roman" w:cs="Times New Roman"/>
          <w:b/>
          <w:sz w:val="20"/>
          <w:szCs w:val="20"/>
          <w:lang w:val="ro-MD"/>
        </w:rPr>
        <w:t>Tabelul 7. Cheltuieli după funcții, procentul cheltuielilor totale (2019-2020)</w:t>
      </w:r>
    </w:p>
    <w:bookmarkEnd w:id="61"/>
    <w:p w14:paraId="49BD433D" w14:textId="513D2D74" w:rsidR="00D76553" w:rsidRPr="007C7649" w:rsidRDefault="00073F0A" w:rsidP="00073F0A">
      <w:pPr>
        <w:jc w:val="center"/>
        <w:rPr>
          <w:rFonts w:ascii="Times New Roman" w:eastAsia="Times New Roman" w:hAnsi="Times New Roman" w:cs="Times New Roman"/>
          <w:i/>
          <w:color w:val="000000"/>
          <w:sz w:val="20"/>
          <w:szCs w:val="20"/>
          <w:lang w:val="ro-MD"/>
        </w:rPr>
      </w:pPr>
      <w:r w:rsidRPr="00073F0A">
        <w:rPr>
          <w:rFonts w:ascii="Times New Roman" w:eastAsia="Times New Roman" w:hAnsi="Times New Roman" w:cs="Times New Roman"/>
          <w:i/>
          <w:noProof/>
          <w:color w:val="000000"/>
          <w:sz w:val="20"/>
          <w:szCs w:val="20"/>
          <w:lang w:val="ru-RU" w:eastAsia="ru-RU"/>
        </w:rPr>
        <w:drawing>
          <wp:inline distT="0" distB="0" distL="0" distR="0" wp14:anchorId="0418E9DD" wp14:editId="42D06EF3">
            <wp:extent cx="3750945" cy="2421255"/>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50945" cy="2421255"/>
                    </a:xfrm>
                    <a:prstGeom prst="rect">
                      <a:avLst/>
                    </a:prstGeom>
                    <a:noFill/>
                    <a:ln>
                      <a:noFill/>
                    </a:ln>
                  </pic:spPr>
                </pic:pic>
              </a:graphicData>
            </a:graphic>
          </wp:inline>
        </w:drawing>
      </w:r>
    </w:p>
    <w:p w14:paraId="047676E9" w14:textId="18CC8AA5" w:rsidR="00D31C2B" w:rsidRPr="003836D9" w:rsidRDefault="00D31C2B" w:rsidP="00BC70CE">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Până la sfârșitul anului 2018, impozit</w:t>
      </w:r>
      <w:r w:rsidR="00B3750A" w:rsidRPr="003836D9">
        <w:rPr>
          <w:rFonts w:ascii="Times New Roman" w:hAnsi="Times New Roman" w:cs="Times New Roman"/>
          <w:sz w:val="24"/>
          <w:szCs w:val="24"/>
          <w:lang w:val="ro-MD"/>
        </w:rPr>
        <w:t xml:space="preserve">area </w:t>
      </w:r>
      <w:r w:rsidRPr="003836D9">
        <w:rPr>
          <w:rFonts w:ascii="Times New Roman" w:hAnsi="Times New Roman" w:cs="Times New Roman"/>
          <w:sz w:val="24"/>
          <w:szCs w:val="24"/>
          <w:lang w:val="ro-MD"/>
        </w:rPr>
        <w:t>venitu</w:t>
      </w:r>
      <w:r w:rsidR="00B3750A" w:rsidRPr="003836D9">
        <w:rPr>
          <w:rFonts w:ascii="Times New Roman" w:hAnsi="Times New Roman" w:cs="Times New Roman"/>
          <w:sz w:val="24"/>
          <w:szCs w:val="24"/>
          <w:lang w:val="ro-MD"/>
        </w:rPr>
        <w:t>rilor</w:t>
      </w:r>
      <w:r w:rsidRPr="003836D9">
        <w:rPr>
          <w:rFonts w:ascii="Times New Roman" w:hAnsi="Times New Roman" w:cs="Times New Roman"/>
          <w:sz w:val="24"/>
          <w:szCs w:val="24"/>
          <w:lang w:val="ro-MD"/>
        </w:rPr>
        <w:t xml:space="preserve"> persoanelor fizice a fost </w:t>
      </w:r>
      <w:r w:rsidR="00B3750A" w:rsidRPr="003836D9">
        <w:rPr>
          <w:rFonts w:ascii="Times New Roman" w:hAnsi="Times New Roman" w:cs="Times New Roman"/>
          <w:sz w:val="24"/>
          <w:szCs w:val="24"/>
          <w:lang w:val="ro-MD"/>
        </w:rPr>
        <w:t xml:space="preserve">după </w:t>
      </w:r>
      <w:r w:rsidRPr="003836D9">
        <w:rPr>
          <w:rFonts w:ascii="Times New Roman" w:hAnsi="Times New Roman" w:cs="Times New Roman"/>
          <w:sz w:val="24"/>
          <w:szCs w:val="24"/>
          <w:lang w:val="ro-MD"/>
        </w:rPr>
        <w:t>un sistem progresiv cu două niveluri, cu o cotă de 7 procente pentru partea din venitul anual de până la 33.000 lei și 18 procente pentru veniturile peste ace</w:t>
      </w:r>
      <w:r w:rsidR="00907F89" w:rsidRPr="003836D9">
        <w:rPr>
          <w:rFonts w:ascii="Times New Roman" w:hAnsi="Times New Roman" w:cs="Times New Roman"/>
          <w:sz w:val="24"/>
          <w:szCs w:val="24"/>
          <w:lang w:val="ro-MD"/>
        </w:rPr>
        <w:t>st</w:t>
      </w:r>
      <w:r w:rsidRPr="003836D9">
        <w:rPr>
          <w:rFonts w:ascii="Times New Roman" w:hAnsi="Times New Roman" w:cs="Times New Roman"/>
          <w:sz w:val="24"/>
          <w:szCs w:val="24"/>
          <w:lang w:val="ro-MD"/>
        </w:rPr>
        <w:t xml:space="preserve"> prag, în timp ce impozitul pe profit era stabilit la 15 procente. Ca parte a pachetului de reforme fiscale adoptat în 2018, a fost introdusă o cotă forfetară a impozitului pe venit de 12 procente, </w:t>
      </w:r>
      <w:r w:rsidR="00B3750A" w:rsidRPr="003836D9">
        <w:rPr>
          <w:rFonts w:ascii="Times New Roman" w:hAnsi="Times New Roman" w:cs="Times New Roman"/>
          <w:sz w:val="24"/>
          <w:szCs w:val="24"/>
          <w:lang w:val="ro-MD"/>
        </w:rPr>
        <w:t xml:space="preserve">iar </w:t>
      </w:r>
      <w:r w:rsidRPr="003836D9">
        <w:rPr>
          <w:rFonts w:ascii="Times New Roman" w:hAnsi="Times New Roman" w:cs="Times New Roman"/>
          <w:sz w:val="24"/>
          <w:szCs w:val="24"/>
          <w:lang w:val="ro-MD"/>
        </w:rPr>
        <w:t xml:space="preserve">veniturile obținute din activități agricole </w:t>
      </w:r>
      <w:r w:rsidR="001A7A80" w:rsidRPr="003836D9">
        <w:rPr>
          <w:rFonts w:ascii="Times New Roman" w:hAnsi="Times New Roman" w:cs="Times New Roman"/>
          <w:sz w:val="24"/>
          <w:szCs w:val="24"/>
          <w:lang w:val="ro-MD"/>
        </w:rPr>
        <w:t xml:space="preserve">se </w:t>
      </w:r>
      <w:r w:rsidRPr="003836D9">
        <w:rPr>
          <w:rFonts w:ascii="Times New Roman" w:hAnsi="Times New Roman" w:cs="Times New Roman"/>
          <w:sz w:val="24"/>
          <w:szCs w:val="24"/>
          <w:lang w:val="ro-MD"/>
        </w:rPr>
        <w:t>impozit</w:t>
      </w:r>
      <w:r w:rsidR="001A7A80" w:rsidRPr="003836D9">
        <w:rPr>
          <w:rFonts w:ascii="Times New Roman" w:hAnsi="Times New Roman" w:cs="Times New Roman"/>
          <w:sz w:val="24"/>
          <w:szCs w:val="24"/>
          <w:lang w:val="ro-MD"/>
        </w:rPr>
        <w:t>ează</w:t>
      </w:r>
      <w:r w:rsidRPr="003836D9">
        <w:rPr>
          <w:rFonts w:ascii="Times New Roman" w:hAnsi="Times New Roman" w:cs="Times New Roman"/>
          <w:sz w:val="24"/>
          <w:szCs w:val="24"/>
          <w:lang w:val="ro-MD"/>
        </w:rPr>
        <w:t xml:space="preserve"> la 7 procente. Suma </w:t>
      </w:r>
      <w:r w:rsidR="00377D10" w:rsidRPr="003836D9">
        <w:rPr>
          <w:rFonts w:ascii="Times New Roman" w:hAnsi="Times New Roman" w:cs="Times New Roman"/>
          <w:sz w:val="24"/>
          <w:szCs w:val="24"/>
          <w:lang w:val="ro-MD"/>
        </w:rPr>
        <w:t xml:space="preserve">scutirilor </w:t>
      </w:r>
      <w:r w:rsidRPr="003836D9">
        <w:rPr>
          <w:rFonts w:ascii="Times New Roman" w:hAnsi="Times New Roman" w:cs="Times New Roman"/>
          <w:sz w:val="24"/>
          <w:szCs w:val="24"/>
          <w:lang w:val="ro-MD"/>
        </w:rPr>
        <w:t>perso</w:t>
      </w:r>
      <w:r w:rsidR="00377D10" w:rsidRPr="003836D9">
        <w:rPr>
          <w:rFonts w:ascii="Times New Roman" w:hAnsi="Times New Roman" w:cs="Times New Roman"/>
          <w:sz w:val="24"/>
          <w:szCs w:val="24"/>
          <w:lang w:val="ro-MD"/>
        </w:rPr>
        <w:t>nale</w:t>
      </w:r>
      <w:r w:rsidRPr="003836D9">
        <w:rPr>
          <w:rFonts w:ascii="Times New Roman" w:hAnsi="Times New Roman" w:cs="Times New Roman"/>
          <w:sz w:val="24"/>
          <w:szCs w:val="24"/>
          <w:lang w:val="ro-MD"/>
        </w:rPr>
        <w:t xml:space="preserve"> a fost stabilită la nivelul minim oficial (24.000 MDL pe an).</w:t>
      </w:r>
      <w:r w:rsidRPr="003836D9">
        <w:rPr>
          <w:rStyle w:val="FootnoteReference"/>
          <w:rFonts w:ascii="Times New Roman" w:hAnsi="Times New Roman" w:cs="Times New Roman"/>
          <w:sz w:val="24"/>
          <w:szCs w:val="24"/>
          <w:lang w:val="ro-MD"/>
        </w:rPr>
        <w:footnoteReference w:id="26"/>
      </w:r>
    </w:p>
    <w:p w14:paraId="4684E023" w14:textId="5D64B312" w:rsidR="00DB07C1" w:rsidRPr="003836D9" w:rsidRDefault="00D31C2B" w:rsidP="00BC70CE">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Pe lângă impozitul pe venit, </w:t>
      </w:r>
      <w:r w:rsidR="00743750" w:rsidRPr="003836D9">
        <w:rPr>
          <w:rFonts w:ascii="Times New Roman" w:hAnsi="Times New Roman" w:cs="Times New Roman"/>
          <w:sz w:val="24"/>
          <w:szCs w:val="24"/>
          <w:lang w:val="ro-MD"/>
        </w:rPr>
        <w:t>persoanele fizice achită</w:t>
      </w:r>
      <w:r w:rsidRPr="003836D9">
        <w:rPr>
          <w:rFonts w:ascii="Times New Roman" w:hAnsi="Times New Roman" w:cs="Times New Roman"/>
          <w:sz w:val="24"/>
          <w:szCs w:val="24"/>
          <w:lang w:val="ro-MD"/>
        </w:rPr>
        <w:t xml:space="preserve"> contribuții</w:t>
      </w:r>
      <w:r w:rsidR="00743750" w:rsidRPr="003836D9">
        <w:rPr>
          <w:rFonts w:ascii="Times New Roman" w:hAnsi="Times New Roman" w:cs="Times New Roman"/>
          <w:sz w:val="24"/>
          <w:szCs w:val="24"/>
          <w:lang w:val="ro-MD"/>
        </w:rPr>
        <w:t xml:space="preserve"> </w:t>
      </w:r>
      <w:r w:rsidR="00907F89" w:rsidRPr="003836D9">
        <w:rPr>
          <w:rFonts w:ascii="Times New Roman" w:hAnsi="Times New Roman" w:cs="Times New Roman"/>
          <w:sz w:val="24"/>
          <w:szCs w:val="24"/>
          <w:lang w:val="ro-MD"/>
        </w:rPr>
        <w:t>de</w:t>
      </w:r>
      <w:r w:rsidRPr="003836D9">
        <w:rPr>
          <w:rFonts w:ascii="Times New Roman" w:hAnsi="Times New Roman" w:cs="Times New Roman"/>
          <w:sz w:val="24"/>
          <w:szCs w:val="24"/>
          <w:lang w:val="ro-MD"/>
        </w:rPr>
        <w:t xml:space="preserve"> asigurări sociale și </w:t>
      </w:r>
      <w:r w:rsidR="00743750" w:rsidRPr="003836D9">
        <w:rPr>
          <w:rFonts w:ascii="Times New Roman" w:hAnsi="Times New Roman" w:cs="Times New Roman"/>
          <w:sz w:val="24"/>
          <w:szCs w:val="24"/>
          <w:lang w:val="ro-MD"/>
        </w:rPr>
        <w:t>medicale</w:t>
      </w:r>
      <w:r w:rsidR="00907F89"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 xml:space="preserve">care </w:t>
      </w:r>
      <w:r w:rsidR="00743750" w:rsidRPr="003836D9">
        <w:rPr>
          <w:rFonts w:ascii="Times New Roman" w:hAnsi="Times New Roman" w:cs="Times New Roman"/>
          <w:sz w:val="24"/>
          <w:szCs w:val="24"/>
          <w:lang w:val="ro-MD"/>
        </w:rPr>
        <w:t xml:space="preserve">asigură astfel de riscuri precum: </w:t>
      </w:r>
      <w:r w:rsidRPr="003836D9">
        <w:rPr>
          <w:rFonts w:ascii="Times New Roman" w:hAnsi="Times New Roman" w:cs="Times New Roman"/>
          <w:sz w:val="24"/>
          <w:szCs w:val="24"/>
          <w:lang w:val="ro-MD"/>
        </w:rPr>
        <w:t xml:space="preserve">pensii, șomaj, </w:t>
      </w:r>
      <w:r w:rsidR="00743750" w:rsidRPr="003836D9">
        <w:rPr>
          <w:rFonts w:ascii="Times New Roman" w:hAnsi="Times New Roman" w:cs="Times New Roman"/>
          <w:sz w:val="24"/>
          <w:szCs w:val="24"/>
          <w:lang w:val="ro-MD"/>
        </w:rPr>
        <w:t>i</w:t>
      </w:r>
      <w:r w:rsidRPr="003836D9">
        <w:rPr>
          <w:rFonts w:ascii="Times New Roman" w:hAnsi="Times New Roman" w:cs="Times New Roman"/>
          <w:sz w:val="24"/>
          <w:szCs w:val="24"/>
          <w:lang w:val="ro-MD"/>
        </w:rPr>
        <w:t>nvaliditate</w:t>
      </w:r>
      <w:r w:rsidR="00743750" w:rsidRPr="003836D9">
        <w:rPr>
          <w:rFonts w:ascii="Times New Roman" w:hAnsi="Times New Roman" w:cs="Times New Roman"/>
          <w:sz w:val="24"/>
          <w:szCs w:val="24"/>
          <w:lang w:val="ro-MD"/>
        </w:rPr>
        <w:t>,</w:t>
      </w:r>
      <w:r w:rsidR="00FD66C8" w:rsidRPr="003836D9">
        <w:rPr>
          <w:rFonts w:ascii="Times New Roman" w:hAnsi="Times New Roman" w:cs="Times New Roman"/>
          <w:sz w:val="24"/>
          <w:szCs w:val="24"/>
          <w:lang w:val="ro-MD"/>
        </w:rPr>
        <w:t xml:space="preserve"> incapacitate temporară de muncă</w:t>
      </w:r>
      <w:r w:rsidRPr="003836D9">
        <w:rPr>
          <w:rFonts w:ascii="Times New Roman" w:hAnsi="Times New Roman" w:cs="Times New Roman"/>
          <w:sz w:val="24"/>
          <w:szCs w:val="24"/>
          <w:lang w:val="ro-MD"/>
        </w:rPr>
        <w:t xml:space="preserve">. Povara fiscală generală asupra muncii a fost de 38 procente în 2019 (29 procente </w:t>
      </w:r>
      <w:r w:rsidR="00743750" w:rsidRPr="003836D9">
        <w:rPr>
          <w:rFonts w:ascii="Times New Roman" w:hAnsi="Times New Roman" w:cs="Times New Roman"/>
          <w:sz w:val="24"/>
          <w:szCs w:val="24"/>
          <w:lang w:val="ro-MD"/>
        </w:rPr>
        <w:t xml:space="preserve">contribuțiile de asigurări sociale </w:t>
      </w:r>
      <w:r w:rsidRPr="003836D9">
        <w:rPr>
          <w:rFonts w:ascii="Times New Roman" w:hAnsi="Times New Roman" w:cs="Times New Roman"/>
          <w:sz w:val="24"/>
          <w:szCs w:val="24"/>
          <w:lang w:val="ro-MD"/>
        </w:rPr>
        <w:t>pentru asigurările sociale și 9 procente pentru asigur</w:t>
      </w:r>
      <w:r w:rsidR="007D7BB9">
        <w:rPr>
          <w:rFonts w:ascii="Times New Roman" w:hAnsi="Times New Roman" w:cs="Times New Roman"/>
          <w:sz w:val="24"/>
          <w:szCs w:val="24"/>
          <w:lang w:val="ro-MD"/>
        </w:rPr>
        <w:t>area medicală</w:t>
      </w:r>
      <w:r w:rsidRPr="003836D9">
        <w:rPr>
          <w:rFonts w:ascii="Times New Roman" w:hAnsi="Times New Roman" w:cs="Times New Roman"/>
          <w:sz w:val="24"/>
          <w:szCs w:val="24"/>
          <w:lang w:val="ro-MD"/>
        </w:rPr>
        <w:t xml:space="preserve">). </w:t>
      </w:r>
      <w:r w:rsidR="0086012F">
        <w:rPr>
          <w:rFonts w:ascii="Times New Roman" w:hAnsi="Times New Roman" w:cs="Times New Roman"/>
          <w:sz w:val="24"/>
          <w:szCs w:val="24"/>
          <w:lang w:val="ro-MD"/>
        </w:rPr>
        <w:t>Începâ</w:t>
      </w:r>
      <w:r w:rsidR="007D7BB9">
        <w:rPr>
          <w:rFonts w:ascii="Times New Roman" w:hAnsi="Times New Roman" w:cs="Times New Roman"/>
          <w:sz w:val="24"/>
          <w:szCs w:val="24"/>
          <w:lang w:val="ro-MD"/>
        </w:rPr>
        <w:t>nd cu anul 2021 c</w:t>
      </w:r>
      <w:r w:rsidR="00F87FD1" w:rsidRPr="003836D9">
        <w:rPr>
          <w:rFonts w:ascii="Times New Roman" w:hAnsi="Times New Roman" w:cs="Times New Roman"/>
          <w:sz w:val="24"/>
          <w:szCs w:val="24"/>
          <w:lang w:val="ro-MD"/>
        </w:rPr>
        <w:t xml:space="preserve">ontribuțiile de asigurări sociale </w:t>
      </w:r>
      <w:r w:rsidRPr="003836D9">
        <w:rPr>
          <w:rFonts w:ascii="Times New Roman" w:hAnsi="Times New Roman" w:cs="Times New Roman"/>
          <w:sz w:val="24"/>
          <w:szCs w:val="24"/>
          <w:lang w:val="ro-MD"/>
        </w:rPr>
        <w:t xml:space="preserve">sunt stabilite la </w:t>
      </w:r>
      <w:r w:rsidR="007D7BB9">
        <w:rPr>
          <w:rFonts w:ascii="Times New Roman" w:hAnsi="Times New Roman" w:cs="Times New Roman"/>
          <w:sz w:val="24"/>
          <w:szCs w:val="24"/>
          <w:lang w:val="ro-MD"/>
        </w:rPr>
        <w:t xml:space="preserve">24 </w:t>
      </w:r>
      <w:r w:rsidRPr="003836D9">
        <w:rPr>
          <w:rFonts w:ascii="Times New Roman" w:hAnsi="Times New Roman" w:cs="Times New Roman"/>
          <w:sz w:val="24"/>
          <w:szCs w:val="24"/>
          <w:lang w:val="ro-MD"/>
        </w:rPr>
        <w:t xml:space="preserve">procente </w:t>
      </w:r>
      <w:r w:rsidR="007D7BB9">
        <w:rPr>
          <w:rFonts w:ascii="Times New Roman" w:hAnsi="Times New Roman" w:cs="Times New Roman"/>
          <w:sz w:val="24"/>
          <w:szCs w:val="24"/>
          <w:lang w:val="ro-MD"/>
        </w:rPr>
        <w:t xml:space="preserve">sau 29 procente </w:t>
      </w:r>
      <w:r w:rsidRPr="003836D9">
        <w:rPr>
          <w:rFonts w:ascii="Times New Roman" w:hAnsi="Times New Roman" w:cs="Times New Roman"/>
          <w:sz w:val="24"/>
          <w:szCs w:val="24"/>
          <w:lang w:val="ro-MD"/>
        </w:rPr>
        <w:t xml:space="preserve">pentru angajatori, în timp ce </w:t>
      </w:r>
      <w:r w:rsidR="00F87FD1" w:rsidRPr="003836D9">
        <w:rPr>
          <w:rFonts w:ascii="Times New Roman" w:hAnsi="Times New Roman" w:cs="Times New Roman"/>
          <w:sz w:val="24"/>
          <w:szCs w:val="24"/>
          <w:lang w:val="ro-MD"/>
        </w:rPr>
        <w:t>contribuții</w:t>
      </w:r>
      <w:r w:rsidR="007D7BB9">
        <w:rPr>
          <w:rFonts w:ascii="Times New Roman" w:hAnsi="Times New Roman" w:cs="Times New Roman"/>
          <w:sz w:val="24"/>
          <w:szCs w:val="24"/>
          <w:lang w:val="ro-MD"/>
        </w:rPr>
        <w:t>le</w:t>
      </w:r>
      <w:r w:rsidR="00F87FD1" w:rsidRPr="003836D9">
        <w:rPr>
          <w:rFonts w:ascii="Times New Roman" w:hAnsi="Times New Roman" w:cs="Times New Roman"/>
          <w:sz w:val="24"/>
          <w:szCs w:val="24"/>
          <w:lang w:val="ro-MD"/>
        </w:rPr>
        <w:t xml:space="preserve"> de asigurări medicale</w:t>
      </w:r>
      <w:r w:rsidRPr="003836D9">
        <w:rPr>
          <w:rFonts w:ascii="Times New Roman" w:hAnsi="Times New Roman" w:cs="Times New Roman"/>
          <w:sz w:val="24"/>
          <w:szCs w:val="24"/>
          <w:lang w:val="ro-MD"/>
        </w:rPr>
        <w:t xml:space="preserve"> </w:t>
      </w:r>
      <w:r w:rsidR="0086012F">
        <w:rPr>
          <w:rFonts w:ascii="Times New Roman" w:hAnsi="Times New Roman" w:cs="Times New Roman"/>
          <w:sz w:val="24"/>
          <w:szCs w:val="24"/>
          <w:lang w:val="ro-MD"/>
        </w:rPr>
        <w:t>constituie 9 procente și su</w:t>
      </w:r>
      <w:r w:rsidR="007D7BB9">
        <w:rPr>
          <w:rFonts w:ascii="Times New Roman" w:hAnsi="Times New Roman" w:cs="Times New Roman"/>
          <w:sz w:val="24"/>
          <w:szCs w:val="24"/>
          <w:lang w:val="ro-MD"/>
        </w:rPr>
        <w:t>nt achitate de către angajator.</w:t>
      </w:r>
      <w:r w:rsidRPr="003836D9">
        <w:rPr>
          <w:rFonts w:ascii="Times New Roman" w:hAnsi="Times New Roman" w:cs="Times New Roman"/>
          <w:sz w:val="24"/>
          <w:szCs w:val="24"/>
          <w:lang w:val="ro-MD"/>
        </w:rPr>
        <w:t xml:space="preserve"> Povara fiscală asupra angajatorilor este mare </w:t>
      </w:r>
      <w:r w:rsidR="007513EA" w:rsidRPr="003836D9">
        <w:rPr>
          <w:rFonts w:ascii="Times New Roman" w:hAnsi="Times New Roman" w:cs="Times New Roman"/>
          <w:sz w:val="24"/>
          <w:szCs w:val="24"/>
          <w:lang w:val="ro-MD"/>
        </w:rPr>
        <w:t xml:space="preserve">comparativ cu </w:t>
      </w:r>
      <w:r w:rsidRPr="003836D9">
        <w:rPr>
          <w:rFonts w:ascii="Times New Roman" w:hAnsi="Times New Roman" w:cs="Times New Roman"/>
          <w:sz w:val="24"/>
          <w:szCs w:val="24"/>
          <w:lang w:val="ro-MD"/>
        </w:rPr>
        <w:t>standardele regionale și poate favoriza fenomenul „salariilor în plic”.</w:t>
      </w:r>
      <w:r w:rsidRPr="003836D9">
        <w:rPr>
          <w:rStyle w:val="FootnoteReference"/>
          <w:rFonts w:ascii="Times New Roman" w:hAnsi="Times New Roman" w:cs="Times New Roman"/>
          <w:sz w:val="24"/>
          <w:szCs w:val="24"/>
          <w:lang w:val="ro-MD"/>
        </w:rPr>
        <w:t xml:space="preserve"> </w:t>
      </w:r>
      <w:r w:rsidRPr="003836D9">
        <w:rPr>
          <w:rStyle w:val="FootnoteReference"/>
          <w:rFonts w:ascii="Times New Roman" w:hAnsi="Times New Roman" w:cs="Times New Roman"/>
          <w:sz w:val="24"/>
          <w:szCs w:val="24"/>
          <w:lang w:val="ro-MD"/>
        </w:rPr>
        <w:footnoteReference w:id="27"/>
      </w:r>
      <w:r w:rsidRPr="003836D9">
        <w:rPr>
          <w:rFonts w:ascii="Times New Roman" w:hAnsi="Times New Roman" w:cs="Times New Roman"/>
          <w:sz w:val="24"/>
          <w:szCs w:val="24"/>
          <w:lang w:val="ro-MD"/>
        </w:rPr>
        <w:t xml:space="preserve"> Conform cercetărilor recente, aproximativ o treime din întreprinderi </w:t>
      </w:r>
      <w:r w:rsidR="007513EA" w:rsidRPr="003836D9">
        <w:rPr>
          <w:rFonts w:ascii="Times New Roman" w:hAnsi="Times New Roman" w:cs="Times New Roman"/>
          <w:sz w:val="24"/>
          <w:szCs w:val="24"/>
          <w:lang w:val="ro-MD"/>
        </w:rPr>
        <w:t xml:space="preserve">achită </w:t>
      </w:r>
      <w:r w:rsidRPr="003836D9">
        <w:rPr>
          <w:rFonts w:ascii="Times New Roman" w:hAnsi="Times New Roman" w:cs="Times New Roman"/>
          <w:sz w:val="24"/>
          <w:szCs w:val="24"/>
          <w:lang w:val="ro-MD"/>
        </w:rPr>
        <w:t>salariile în plic și o medie de 30 procente din salarii rămân nedeclarate</w:t>
      </w:r>
      <w:r w:rsidR="00740A37" w:rsidRPr="003836D9">
        <w:rPr>
          <w:rFonts w:ascii="Times New Roman" w:hAnsi="Times New Roman" w:cs="Times New Roman"/>
          <w:color w:val="383838"/>
          <w:sz w:val="24"/>
          <w:szCs w:val="24"/>
          <w:lang w:val="ro-MD"/>
        </w:rPr>
        <w:t>.</w:t>
      </w:r>
      <w:r w:rsidR="00C430E2" w:rsidRPr="003836D9">
        <w:rPr>
          <w:rStyle w:val="FootnoteReference"/>
          <w:rFonts w:ascii="Times New Roman" w:hAnsi="Times New Roman" w:cs="Times New Roman"/>
          <w:color w:val="383838"/>
          <w:sz w:val="24"/>
          <w:szCs w:val="24"/>
          <w:lang w:val="ro-MD"/>
        </w:rPr>
        <w:footnoteReference w:id="28"/>
      </w:r>
    </w:p>
    <w:p w14:paraId="30303B03" w14:textId="69A502E0" w:rsidR="00D31C2B" w:rsidRPr="003836D9" w:rsidRDefault="00D31C2B" w:rsidP="00B5785C">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lastRenderedPageBreak/>
        <w:t>Din 2010, Banca Națională a Moldovei (BNM) a permis mai multă flexibili</w:t>
      </w:r>
      <w:r w:rsidR="00F46B8D">
        <w:rPr>
          <w:rFonts w:ascii="Times New Roman" w:hAnsi="Times New Roman" w:cs="Times New Roman"/>
          <w:sz w:val="24"/>
          <w:szCs w:val="24"/>
          <w:lang w:val="ro-MD"/>
        </w:rPr>
        <w:t>tate</w:t>
      </w:r>
      <w:r w:rsidRPr="003836D9">
        <w:rPr>
          <w:rFonts w:ascii="Times New Roman" w:hAnsi="Times New Roman" w:cs="Times New Roman"/>
          <w:sz w:val="24"/>
          <w:szCs w:val="24"/>
          <w:lang w:val="ro-MD"/>
        </w:rPr>
        <w:t xml:space="preserve"> cursului de schimb și a urmărit o schimbare a politicii </w:t>
      </w:r>
      <w:r w:rsidR="00F318E8" w:rsidRPr="003836D9">
        <w:rPr>
          <w:rFonts w:ascii="Times New Roman" w:hAnsi="Times New Roman" w:cs="Times New Roman"/>
          <w:sz w:val="24"/>
          <w:szCs w:val="24"/>
          <w:lang w:val="ro-MD"/>
        </w:rPr>
        <w:t>pentru</w:t>
      </w:r>
      <w:r w:rsidRPr="003836D9">
        <w:rPr>
          <w:rFonts w:ascii="Times New Roman" w:hAnsi="Times New Roman" w:cs="Times New Roman"/>
          <w:sz w:val="24"/>
          <w:szCs w:val="24"/>
          <w:lang w:val="ro-MD"/>
        </w:rPr>
        <w:t xml:space="preserve"> țintirea inflației. Acest lucru a contribuit la restabilirea echilibrului extern, menținând stabilitatea prețurilor și atenuând efectele șocurilor. Politica monetară </w:t>
      </w:r>
      <w:r w:rsidR="0037150A" w:rsidRPr="003836D9">
        <w:rPr>
          <w:rFonts w:ascii="Times New Roman" w:hAnsi="Times New Roman" w:cs="Times New Roman"/>
          <w:sz w:val="24"/>
          <w:szCs w:val="24"/>
          <w:lang w:val="ro-MD"/>
        </w:rPr>
        <w:t xml:space="preserve">de asemenea </w:t>
      </w:r>
      <w:r w:rsidRPr="003836D9">
        <w:rPr>
          <w:rFonts w:ascii="Times New Roman" w:hAnsi="Times New Roman" w:cs="Times New Roman"/>
          <w:sz w:val="24"/>
          <w:szCs w:val="24"/>
          <w:lang w:val="ro-MD"/>
        </w:rPr>
        <w:t>a contribui</w:t>
      </w:r>
      <w:r w:rsidR="0037150A" w:rsidRPr="003836D9">
        <w:rPr>
          <w:rFonts w:ascii="Times New Roman" w:hAnsi="Times New Roman" w:cs="Times New Roman"/>
          <w:sz w:val="24"/>
          <w:szCs w:val="24"/>
          <w:lang w:val="ro-MD"/>
        </w:rPr>
        <w:t>t</w:t>
      </w:r>
      <w:r w:rsidRPr="003836D9">
        <w:rPr>
          <w:rFonts w:ascii="Times New Roman" w:hAnsi="Times New Roman" w:cs="Times New Roman"/>
          <w:sz w:val="24"/>
          <w:szCs w:val="24"/>
          <w:lang w:val="ro-MD"/>
        </w:rPr>
        <w:t xml:space="preserve"> la reconstruirea amortizoarelor erodate de criza bancară din 2014. Din 2016, politicile adoptate de Banca Națională au reușit să reducă ponderea creditelor neperformante (de la 18 procente din totalul creditelor la 12 procente în 2018) și creșterea nivelului de încredere în instituțiile bancare – măsurat în termeni de creștere a depozitelor și a creditelor. </w:t>
      </w:r>
    </w:p>
    <w:p w14:paraId="7C7D654B" w14:textId="493684AA" w:rsidR="00C6010D" w:rsidRPr="003836D9" w:rsidRDefault="00D31C2B" w:rsidP="00B5785C">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Datele disponibile arată că în perioada 2016-2020, Moldova a înregistrat progrese moderate în dezvoltarea unui mediu investițional favorabil pentru întreprinderile mici și mijlocii (IMM). Țara a avansat în implementarea </w:t>
      </w:r>
      <w:r w:rsidRPr="003836D9">
        <w:rPr>
          <w:rFonts w:ascii="Times New Roman" w:hAnsi="Times New Roman" w:cs="Times New Roman"/>
          <w:i/>
          <w:iCs/>
          <w:sz w:val="24"/>
          <w:szCs w:val="24"/>
          <w:lang w:val="ro-MD"/>
        </w:rPr>
        <w:t>Strategiei de dezvoltare a IMM-urilor 2012-2020</w:t>
      </w:r>
      <w:r w:rsidRPr="003836D9">
        <w:rPr>
          <w:rFonts w:ascii="Times New Roman" w:hAnsi="Times New Roman" w:cs="Times New Roman"/>
          <w:sz w:val="24"/>
          <w:szCs w:val="24"/>
          <w:lang w:val="ro-MD"/>
        </w:rPr>
        <w:t xml:space="preserve">, cu progrese substanțiale în reducerea birocrației și furnizarea de servicii de dezvoltare a afacerilor. Reformele de remarcat includ, de asemenea, un cadru de politici pentru instruire antreprenorială, </w:t>
      </w:r>
      <w:r w:rsidR="00D24D4C" w:rsidRPr="003836D9">
        <w:rPr>
          <w:rFonts w:ascii="Times New Roman" w:hAnsi="Times New Roman" w:cs="Times New Roman"/>
          <w:sz w:val="24"/>
          <w:szCs w:val="24"/>
          <w:lang w:val="ro-MD"/>
        </w:rPr>
        <w:t>suport</w:t>
      </w:r>
      <w:r w:rsidRPr="003836D9">
        <w:rPr>
          <w:rFonts w:ascii="Times New Roman" w:hAnsi="Times New Roman" w:cs="Times New Roman"/>
          <w:sz w:val="24"/>
          <w:szCs w:val="24"/>
          <w:lang w:val="ro-MD"/>
        </w:rPr>
        <w:t xml:space="preserve"> pentru lansarea de start-up</w:t>
      </w:r>
      <w:r w:rsidR="00D24D4C"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uri de către tineri antreprenori, extinderea schemei de garantare a creditelor și servicii extinse de guvernare electronică </w:t>
      </w:r>
      <w:r w:rsidR="000F5B2A" w:rsidRPr="003836D9">
        <w:rPr>
          <w:rFonts w:ascii="Times New Roman" w:hAnsi="Times New Roman" w:cs="Times New Roman"/>
          <w:sz w:val="24"/>
          <w:szCs w:val="24"/>
          <w:lang w:val="ro-MD"/>
        </w:rPr>
        <w:t>(</w:t>
      </w:r>
      <w:r w:rsidR="00D94B6B">
        <w:rPr>
          <w:rFonts w:ascii="Times New Roman" w:hAnsi="Times New Roman" w:cs="Times New Roman"/>
          <w:sz w:val="24"/>
          <w:szCs w:val="24"/>
          <w:lang w:val="ro-MD"/>
        </w:rPr>
        <w:t>Fig.</w:t>
      </w:r>
      <w:r w:rsidR="000F5B2A" w:rsidRPr="003836D9">
        <w:rPr>
          <w:rFonts w:ascii="Times New Roman" w:hAnsi="Times New Roman" w:cs="Times New Roman"/>
          <w:sz w:val="24"/>
          <w:szCs w:val="24"/>
          <w:lang w:val="ro-MD"/>
        </w:rPr>
        <w:t xml:space="preserve"> 22). </w:t>
      </w:r>
    </w:p>
    <w:p w14:paraId="2443FD17" w14:textId="5ED230CB" w:rsidR="00C6010D" w:rsidRPr="007D7BB9" w:rsidRDefault="00D94B6B" w:rsidP="00206105">
      <w:pPr>
        <w:jc w:val="center"/>
        <w:rPr>
          <w:rFonts w:ascii="Times New Roman" w:hAnsi="Times New Roman" w:cs="Times New Roman"/>
          <w:color w:val="333333"/>
          <w:sz w:val="20"/>
          <w:szCs w:val="20"/>
          <w:lang w:val="ro-MD"/>
        </w:rPr>
      </w:pPr>
      <w:bookmarkStart w:id="62" w:name="_Ref65259311"/>
      <w:bookmarkStart w:id="63" w:name="_Toc69058500"/>
      <w:bookmarkStart w:id="64" w:name="_Hlk72743893"/>
      <w:bookmarkStart w:id="65" w:name="_Hlk93139669"/>
      <w:r>
        <w:rPr>
          <w:rFonts w:ascii="Times New Roman" w:hAnsi="Times New Roman" w:cs="Times New Roman"/>
          <w:b/>
          <w:sz w:val="20"/>
          <w:szCs w:val="20"/>
          <w:lang w:val="ro-MD"/>
        </w:rPr>
        <w:t>Fig.</w:t>
      </w:r>
      <w:r w:rsidR="00206105" w:rsidRPr="007D7BB9">
        <w:rPr>
          <w:rFonts w:ascii="Times New Roman" w:hAnsi="Times New Roman" w:cs="Times New Roman"/>
          <w:b/>
          <w:sz w:val="20"/>
          <w:szCs w:val="20"/>
          <w:lang w:val="ro-MD"/>
        </w:rPr>
        <w:t xml:space="preserve"> 22</w:t>
      </w:r>
      <w:bookmarkEnd w:id="62"/>
      <w:r w:rsidR="005C481A">
        <w:rPr>
          <w:rFonts w:ascii="Times New Roman" w:hAnsi="Times New Roman" w:cs="Times New Roman"/>
          <w:b/>
          <w:sz w:val="20"/>
          <w:szCs w:val="20"/>
          <w:lang w:val="ro-MD"/>
        </w:rPr>
        <w:t xml:space="preserve">. </w:t>
      </w:r>
      <w:r w:rsidR="00D31C2B" w:rsidRPr="007D7BB9">
        <w:rPr>
          <w:rFonts w:ascii="Times New Roman" w:hAnsi="Times New Roman" w:cs="Times New Roman"/>
          <w:b/>
          <w:sz w:val="20"/>
          <w:szCs w:val="20"/>
          <w:lang w:val="ro-MD"/>
        </w:rPr>
        <w:t xml:space="preserve">Scorurile Actului </w:t>
      </w:r>
      <w:r w:rsidR="0037150A" w:rsidRPr="007D7BB9">
        <w:rPr>
          <w:rFonts w:ascii="Times New Roman" w:hAnsi="Times New Roman" w:cs="Times New Roman"/>
          <w:b/>
          <w:sz w:val="20"/>
          <w:szCs w:val="20"/>
          <w:lang w:val="ro-MD"/>
        </w:rPr>
        <w:t>Întreprinderilor</w:t>
      </w:r>
      <w:r w:rsidR="00D31C2B" w:rsidRPr="007D7BB9">
        <w:rPr>
          <w:rFonts w:ascii="Times New Roman" w:hAnsi="Times New Roman" w:cs="Times New Roman"/>
          <w:b/>
          <w:sz w:val="20"/>
          <w:szCs w:val="20"/>
          <w:lang w:val="ro-MD"/>
        </w:rPr>
        <w:t xml:space="preserve"> Mici </w:t>
      </w:r>
      <w:bookmarkEnd w:id="63"/>
      <w:r w:rsidR="00D31C2B" w:rsidRPr="007D7BB9">
        <w:rPr>
          <w:rFonts w:ascii="Times New Roman" w:hAnsi="Times New Roman" w:cs="Times New Roman"/>
          <w:b/>
          <w:sz w:val="20"/>
          <w:szCs w:val="20"/>
          <w:lang w:val="ro-MD"/>
        </w:rPr>
        <w:t xml:space="preserve">pentru </w:t>
      </w:r>
      <w:r w:rsidR="00206105" w:rsidRPr="007D7BB9">
        <w:rPr>
          <w:rFonts w:ascii="Times New Roman" w:hAnsi="Times New Roman" w:cs="Times New Roman"/>
          <w:b/>
          <w:sz w:val="20"/>
          <w:szCs w:val="20"/>
          <w:lang w:val="ro-MD"/>
        </w:rPr>
        <w:t>Moldova</w:t>
      </w:r>
      <w:bookmarkEnd w:id="64"/>
    </w:p>
    <w:bookmarkEnd w:id="65"/>
    <w:p w14:paraId="456A9F44" w14:textId="6627A4B4" w:rsidR="00C6010D" w:rsidRPr="003836D9" w:rsidRDefault="005C481A" w:rsidP="005C481A">
      <w:pPr>
        <w:autoSpaceDE w:val="0"/>
        <w:autoSpaceDN w:val="0"/>
        <w:adjustRightInd w:val="0"/>
        <w:jc w:val="center"/>
        <w:rPr>
          <w:rFonts w:ascii="Times New Roman" w:hAnsi="Times New Roman" w:cs="Times New Roman"/>
          <w:color w:val="333333"/>
          <w:sz w:val="24"/>
          <w:szCs w:val="24"/>
          <w:lang w:val="ro-MD"/>
        </w:rPr>
      </w:pPr>
      <w:r w:rsidRPr="005C481A">
        <w:rPr>
          <w:rFonts w:ascii="Times New Roman" w:hAnsi="Times New Roman" w:cs="Times New Roman"/>
          <w:noProof/>
          <w:color w:val="333333"/>
          <w:sz w:val="24"/>
          <w:szCs w:val="24"/>
          <w:lang w:val="ru-RU" w:eastAsia="ru-RU"/>
        </w:rPr>
        <w:drawing>
          <wp:inline distT="0" distB="0" distL="0" distR="0" wp14:anchorId="52A872E9" wp14:editId="31F86B45">
            <wp:extent cx="5884333" cy="4526504"/>
            <wp:effectExtent l="0" t="0" r="254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04570" cy="4542072"/>
                    </a:xfrm>
                    <a:prstGeom prst="rect">
                      <a:avLst/>
                    </a:prstGeom>
                    <a:noFill/>
                    <a:ln>
                      <a:noFill/>
                    </a:ln>
                  </pic:spPr>
                </pic:pic>
              </a:graphicData>
            </a:graphic>
          </wp:inline>
        </w:drawing>
      </w:r>
    </w:p>
    <w:p w14:paraId="32F0FA29" w14:textId="7F60CA40" w:rsidR="00D31C2B" w:rsidRPr="003836D9" w:rsidRDefault="005C481A" w:rsidP="005C481A">
      <w:pPr>
        <w:rPr>
          <w:rFonts w:ascii="Times New Roman" w:hAnsi="Times New Roman" w:cs="Times New Roman"/>
          <w:i/>
          <w:sz w:val="16"/>
          <w:szCs w:val="16"/>
          <w:lang w:val="ro-MD"/>
        </w:rPr>
      </w:pPr>
      <w:r>
        <w:rPr>
          <w:rFonts w:ascii="Times New Roman" w:hAnsi="Times New Roman" w:cs="Times New Roman"/>
          <w:i/>
          <w:sz w:val="16"/>
          <w:szCs w:val="16"/>
          <w:lang w:val="ro-MD"/>
        </w:rPr>
        <w:t xml:space="preserve">     </w:t>
      </w:r>
      <w:r w:rsidR="00D31C2B" w:rsidRPr="003836D9">
        <w:rPr>
          <w:rFonts w:ascii="Times New Roman" w:hAnsi="Times New Roman" w:cs="Times New Roman"/>
          <w:i/>
          <w:sz w:val="16"/>
          <w:szCs w:val="16"/>
          <w:lang w:val="ro-MD"/>
        </w:rPr>
        <w:t>Sursa: OCDE: Indicele politicilor pentru IMM-uri: Țări partenere estice (OCDE, Paris, 2020)</w:t>
      </w:r>
    </w:p>
    <w:p w14:paraId="2ED1C1C2" w14:textId="6237A2C7" w:rsidR="00D31C2B" w:rsidRPr="00F46B8D" w:rsidRDefault="00D31C2B" w:rsidP="00A5367B">
      <w:pPr>
        <w:autoSpaceDE w:val="0"/>
        <w:autoSpaceDN w:val="0"/>
        <w:adjustRightInd w:val="0"/>
        <w:jc w:val="both"/>
        <w:rPr>
          <w:rFonts w:ascii="Times New Roman" w:hAnsi="Times New Roman" w:cs="Times New Roman"/>
          <w:color w:val="000000" w:themeColor="text1"/>
          <w:sz w:val="24"/>
          <w:szCs w:val="24"/>
          <w:lang w:val="ro-MD"/>
        </w:rPr>
      </w:pPr>
      <w:r w:rsidRPr="00F46B8D">
        <w:rPr>
          <w:rFonts w:ascii="Times New Roman" w:hAnsi="Times New Roman" w:cs="Times New Roman"/>
          <w:color w:val="000000" w:themeColor="text1"/>
          <w:sz w:val="24"/>
          <w:szCs w:val="24"/>
          <w:lang w:val="ro-MD"/>
        </w:rPr>
        <w:t>Cu toate acestea, dezvoltarea IMM-urilor este încă</w:t>
      </w:r>
      <w:r w:rsidR="005F7EAE" w:rsidRPr="00F46B8D">
        <w:rPr>
          <w:rFonts w:ascii="Times New Roman" w:hAnsi="Times New Roman" w:cs="Times New Roman"/>
          <w:color w:val="000000" w:themeColor="text1"/>
          <w:sz w:val="24"/>
          <w:szCs w:val="24"/>
          <w:lang w:val="ro-MD"/>
        </w:rPr>
        <w:t xml:space="preserve"> limitat</w:t>
      </w:r>
      <w:r w:rsidRPr="00F46B8D">
        <w:rPr>
          <w:rFonts w:ascii="Times New Roman" w:hAnsi="Times New Roman" w:cs="Times New Roman"/>
          <w:color w:val="000000" w:themeColor="text1"/>
          <w:sz w:val="24"/>
          <w:szCs w:val="24"/>
          <w:lang w:val="ro-MD"/>
        </w:rPr>
        <w:t>ă de lipsa concurenței, de executarea deficitară a contractelor, de accesul insuficient la piețele de capital interne și internaționale și de fraud</w:t>
      </w:r>
      <w:r w:rsidR="00A5367B" w:rsidRPr="00F46B8D">
        <w:rPr>
          <w:rFonts w:ascii="Times New Roman" w:hAnsi="Times New Roman" w:cs="Times New Roman"/>
          <w:color w:val="000000" w:themeColor="text1"/>
          <w:sz w:val="24"/>
          <w:szCs w:val="24"/>
          <w:lang w:val="ro-MD"/>
        </w:rPr>
        <w:t>a</w:t>
      </w:r>
      <w:r w:rsidRPr="00F46B8D">
        <w:rPr>
          <w:rFonts w:ascii="Times New Roman" w:hAnsi="Times New Roman" w:cs="Times New Roman"/>
          <w:color w:val="000000" w:themeColor="text1"/>
          <w:sz w:val="24"/>
          <w:szCs w:val="24"/>
          <w:lang w:val="ro-MD"/>
        </w:rPr>
        <w:t xml:space="preserve"> bancar</w:t>
      </w:r>
      <w:r w:rsidR="00A5367B" w:rsidRPr="00F46B8D">
        <w:rPr>
          <w:rFonts w:ascii="Times New Roman" w:hAnsi="Times New Roman" w:cs="Times New Roman"/>
          <w:color w:val="000000" w:themeColor="text1"/>
          <w:sz w:val="24"/>
          <w:szCs w:val="24"/>
          <w:lang w:val="ro-MD"/>
        </w:rPr>
        <w:t>ă</w:t>
      </w:r>
      <w:r w:rsidRPr="00F46B8D">
        <w:rPr>
          <w:rFonts w:ascii="Times New Roman" w:hAnsi="Times New Roman" w:cs="Times New Roman"/>
          <w:color w:val="000000" w:themeColor="text1"/>
          <w:sz w:val="24"/>
          <w:szCs w:val="24"/>
          <w:lang w:val="ro-MD"/>
        </w:rPr>
        <w:t xml:space="preserve"> privind acordarea de credite. Ponderea sectoarelor cu productivitate scăzută (de exemplu, agricultura) este încă </w:t>
      </w:r>
      <w:r w:rsidR="005F7EAE" w:rsidRPr="00F46B8D">
        <w:rPr>
          <w:rFonts w:ascii="Times New Roman" w:hAnsi="Times New Roman" w:cs="Times New Roman"/>
          <w:color w:val="000000" w:themeColor="text1"/>
          <w:sz w:val="24"/>
          <w:szCs w:val="24"/>
          <w:lang w:val="ro-MD"/>
        </w:rPr>
        <w:t>mare</w:t>
      </w:r>
      <w:r w:rsidRPr="00F46B8D">
        <w:rPr>
          <w:rFonts w:ascii="Times New Roman" w:hAnsi="Times New Roman" w:cs="Times New Roman"/>
          <w:color w:val="000000" w:themeColor="text1"/>
          <w:sz w:val="24"/>
          <w:szCs w:val="24"/>
          <w:lang w:val="ro-MD"/>
        </w:rPr>
        <w:t>, iar export</w:t>
      </w:r>
      <w:r w:rsidR="00A5367B" w:rsidRPr="00F46B8D">
        <w:rPr>
          <w:rFonts w:ascii="Times New Roman" w:hAnsi="Times New Roman" w:cs="Times New Roman"/>
          <w:color w:val="000000" w:themeColor="text1"/>
          <w:sz w:val="24"/>
          <w:szCs w:val="24"/>
          <w:lang w:val="ro-MD"/>
        </w:rPr>
        <w:t xml:space="preserve">urile sunt scăzute </w:t>
      </w:r>
      <w:r w:rsidRPr="00F46B8D">
        <w:rPr>
          <w:rFonts w:ascii="Times New Roman" w:hAnsi="Times New Roman" w:cs="Times New Roman"/>
          <w:color w:val="000000" w:themeColor="text1"/>
          <w:sz w:val="24"/>
          <w:szCs w:val="24"/>
          <w:lang w:val="ro-MD"/>
        </w:rPr>
        <w:t>și concentrat</w:t>
      </w:r>
      <w:r w:rsidR="00A5367B" w:rsidRPr="00F46B8D">
        <w:rPr>
          <w:rFonts w:ascii="Times New Roman" w:hAnsi="Times New Roman" w:cs="Times New Roman"/>
          <w:color w:val="000000" w:themeColor="text1"/>
          <w:sz w:val="24"/>
          <w:szCs w:val="24"/>
          <w:lang w:val="ro-MD"/>
        </w:rPr>
        <w:t>e</w:t>
      </w:r>
      <w:r w:rsidRPr="00F46B8D">
        <w:rPr>
          <w:rFonts w:ascii="Times New Roman" w:hAnsi="Times New Roman" w:cs="Times New Roman"/>
          <w:color w:val="000000" w:themeColor="text1"/>
          <w:sz w:val="24"/>
          <w:szCs w:val="24"/>
          <w:lang w:val="ro-MD"/>
        </w:rPr>
        <w:t xml:space="preserve"> în industrii cu valoare adăugată scăzută. Întreprinderile de stat domină în continuare sectorul </w:t>
      </w:r>
      <w:r w:rsidR="00A5367B" w:rsidRPr="00F46B8D">
        <w:rPr>
          <w:rFonts w:ascii="Times New Roman" w:hAnsi="Times New Roman" w:cs="Times New Roman"/>
          <w:color w:val="000000" w:themeColor="text1"/>
          <w:sz w:val="24"/>
          <w:szCs w:val="24"/>
          <w:lang w:val="ro-MD"/>
        </w:rPr>
        <w:t>de producere</w:t>
      </w:r>
      <w:r w:rsidRPr="00F46B8D">
        <w:rPr>
          <w:rFonts w:ascii="Times New Roman" w:hAnsi="Times New Roman" w:cs="Times New Roman"/>
          <w:color w:val="000000" w:themeColor="text1"/>
          <w:sz w:val="24"/>
          <w:szCs w:val="24"/>
          <w:lang w:val="ro-MD"/>
        </w:rPr>
        <w:t xml:space="preserve">, dar au o productivitate mai mică în comparație cu </w:t>
      </w:r>
      <w:r w:rsidR="00CB2AA5" w:rsidRPr="00F46B8D">
        <w:rPr>
          <w:rFonts w:ascii="Times New Roman" w:hAnsi="Times New Roman" w:cs="Times New Roman"/>
          <w:color w:val="000000" w:themeColor="text1"/>
          <w:sz w:val="24"/>
          <w:szCs w:val="24"/>
          <w:lang w:val="ro-MD"/>
        </w:rPr>
        <w:t xml:space="preserve">companiile din sectorul privat </w:t>
      </w:r>
      <w:r w:rsidRPr="00F46B8D">
        <w:rPr>
          <w:rFonts w:ascii="Times New Roman" w:hAnsi="Times New Roman" w:cs="Times New Roman"/>
          <w:color w:val="000000" w:themeColor="text1"/>
          <w:sz w:val="24"/>
          <w:szCs w:val="24"/>
          <w:lang w:val="ro-MD"/>
        </w:rPr>
        <w:t>ș</w:t>
      </w:r>
      <w:r w:rsidR="00CB2AA5" w:rsidRPr="00F46B8D">
        <w:rPr>
          <w:rFonts w:ascii="Times New Roman" w:hAnsi="Times New Roman" w:cs="Times New Roman"/>
          <w:color w:val="000000" w:themeColor="text1"/>
          <w:sz w:val="24"/>
          <w:szCs w:val="24"/>
          <w:lang w:val="ro-MD"/>
        </w:rPr>
        <w:t>i absorb resursele publice</w:t>
      </w:r>
      <w:r w:rsidRPr="00F46B8D">
        <w:rPr>
          <w:rFonts w:ascii="Times New Roman" w:hAnsi="Times New Roman" w:cs="Times New Roman"/>
          <w:color w:val="000000" w:themeColor="text1"/>
          <w:sz w:val="24"/>
          <w:szCs w:val="24"/>
          <w:lang w:val="ro-MD"/>
        </w:rPr>
        <w:t>. Aceste întreprinderi</w:t>
      </w:r>
      <w:r w:rsidR="00A5367B" w:rsidRPr="00F46B8D">
        <w:rPr>
          <w:rFonts w:ascii="Times New Roman" w:hAnsi="Times New Roman" w:cs="Times New Roman"/>
          <w:color w:val="000000" w:themeColor="text1"/>
          <w:sz w:val="24"/>
          <w:szCs w:val="24"/>
          <w:lang w:val="ro-MD"/>
        </w:rPr>
        <w:t>,</w:t>
      </w:r>
      <w:r w:rsidRPr="00F46B8D">
        <w:rPr>
          <w:rFonts w:ascii="Times New Roman" w:hAnsi="Times New Roman" w:cs="Times New Roman"/>
          <w:color w:val="000000" w:themeColor="text1"/>
          <w:sz w:val="24"/>
          <w:szCs w:val="24"/>
          <w:lang w:val="ro-MD"/>
        </w:rPr>
        <w:t xml:space="preserve"> reprezentând aproximativ o treime din PIB și 24 procente din </w:t>
      </w:r>
      <w:r w:rsidRPr="00F46B8D">
        <w:rPr>
          <w:rFonts w:ascii="Times New Roman" w:hAnsi="Times New Roman" w:cs="Times New Roman"/>
          <w:color w:val="000000" w:themeColor="text1"/>
          <w:sz w:val="24"/>
          <w:szCs w:val="24"/>
          <w:lang w:val="ro-MD"/>
        </w:rPr>
        <w:lastRenderedPageBreak/>
        <w:t>ocuparea forței de muncă</w:t>
      </w:r>
      <w:r w:rsidR="00A5367B" w:rsidRPr="00F46B8D">
        <w:rPr>
          <w:rFonts w:ascii="Times New Roman" w:hAnsi="Times New Roman" w:cs="Times New Roman"/>
          <w:color w:val="000000" w:themeColor="text1"/>
          <w:sz w:val="24"/>
          <w:szCs w:val="24"/>
          <w:lang w:val="ro-MD"/>
        </w:rPr>
        <w:t>,</w:t>
      </w:r>
      <w:r w:rsidRPr="00F46B8D">
        <w:rPr>
          <w:rFonts w:ascii="Times New Roman" w:hAnsi="Times New Roman" w:cs="Times New Roman"/>
          <w:color w:val="000000" w:themeColor="text1"/>
          <w:sz w:val="24"/>
          <w:szCs w:val="24"/>
          <w:lang w:val="ro-MD"/>
        </w:rPr>
        <w:t xml:space="preserve"> se caracterizează prin pierderi considerabile, datorii în creștere pe termen lung, productivitate scăzută și guvernare inadecvată. Guvernul a început să abordeze aceste probleme prin introducerea </w:t>
      </w:r>
      <w:r w:rsidR="00636C24" w:rsidRPr="00F46B8D">
        <w:rPr>
          <w:rFonts w:ascii="Times New Roman" w:hAnsi="Times New Roman" w:cs="Times New Roman"/>
          <w:color w:val="000000" w:themeColor="text1"/>
          <w:sz w:val="24"/>
          <w:szCs w:val="24"/>
          <w:lang w:val="ro-MD"/>
        </w:rPr>
        <w:t xml:space="preserve">noilor </w:t>
      </w:r>
      <w:r w:rsidRPr="00F46B8D">
        <w:rPr>
          <w:rFonts w:ascii="Times New Roman" w:hAnsi="Times New Roman" w:cs="Times New Roman"/>
          <w:color w:val="000000" w:themeColor="text1"/>
          <w:sz w:val="24"/>
          <w:szCs w:val="24"/>
          <w:lang w:val="ro-MD"/>
        </w:rPr>
        <w:t>aranjamente de guvernare</w:t>
      </w:r>
      <w:r w:rsidR="00636C24" w:rsidRPr="00F46B8D">
        <w:rPr>
          <w:rFonts w:ascii="Times New Roman" w:hAnsi="Times New Roman" w:cs="Times New Roman"/>
          <w:color w:val="000000" w:themeColor="text1"/>
          <w:sz w:val="24"/>
          <w:szCs w:val="24"/>
          <w:lang w:val="ro-MD"/>
        </w:rPr>
        <w:t xml:space="preserve">, transferând responsabilitatea </w:t>
      </w:r>
      <w:r w:rsidR="00871C6E" w:rsidRPr="00F46B8D">
        <w:rPr>
          <w:rFonts w:ascii="Times New Roman" w:hAnsi="Times New Roman" w:cs="Times New Roman"/>
          <w:color w:val="000000" w:themeColor="text1"/>
          <w:sz w:val="24"/>
          <w:szCs w:val="24"/>
          <w:lang w:val="ro-MD"/>
        </w:rPr>
        <w:t xml:space="preserve">pentru acestea către </w:t>
      </w:r>
      <w:r w:rsidRPr="00F46B8D">
        <w:rPr>
          <w:rFonts w:ascii="Times New Roman" w:hAnsi="Times New Roman" w:cs="Times New Roman"/>
          <w:color w:val="000000" w:themeColor="text1"/>
          <w:sz w:val="24"/>
          <w:szCs w:val="24"/>
          <w:lang w:val="ro-MD"/>
        </w:rPr>
        <w:t>Agenția Proprietății Publice.</w:t>
      </w:r>
    </w:p>
    <w:p w14:paraId="4002F336" w14:textId="4D705002" w:rsidR="00D31C2B" w:rsidRPr="003836D9" w:rsidRDefault="00D31C2B" w:rsidP="00A20E55">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În 2019, țara s-a clasat pe locul 86 din 141 de țări în Indicele Competitivității Globale, într-o tendință de înrăutățire moderată față de 2015 (când s-a clasat pe locul 84 din 140 de țări). Scorurile de competitivitate întârziate se referă la stabilitatea macroeconomică, infrastructura, sistemul financiar și capacitatea de inovare.</w:t>
      </w:r>
      <w:r w:rsidRPr="003836D9">
        <w:rPr>
          <w:rStyle w:val="FootnoteReference"/>
          <w:rFonts w:ascii="Times New Roman" w:hAnsi="Times New Roman" w:cs="Times New Roman"/>
          <w:sz w:val="24"/>
          <w:szCs w:val="24"/>
          <w:lang w:val="ro-MD"/>
        </w:rPr>
        <w:footnoteReference w:id="29"/>
      </w:r>
    </w:p>
    <w:p w14:paraId="4C394040" w14:textId="718C396B" w:rsidR="00D31C2B" w:rsidRPr="003836D9" w:rsidRDefault="00D31C2B" w:rsidP="00A20E55">
      <w:pPr>
        <w:autoSpaceDE w:val="0"/>
        <w:autoSpaceDN w:val="0"/>
        <w:adjustRightInd w:val="0"/>
        <w:jc w:val="both"/>
        <w:rPr>
          <w:rFonts w:ascii="Times New Roman" w:hAnsi="Times New Roman" w:cs="Times New Roman"/>
          <w:color w:val="333333"/>
          <w:sz w:val="24"/>
          <w:szCs w:val="24"/>
          <w:lang w:val="ro-MD"/>
        </w:rPr>
      </w:pPr>
      <w:r w:rsidRPr="00F46B8D">
        <w:rPr>
          <w:rFonts w:ascii="Times New Roman" w:hAnsi="Times New Roman" w:cs="Times New Roman"/>
          <w:color w:val="000000" w:themeColor="text1"/>
          <w:sz w:val="24"/>
          <w:szCs w:val="24"/>
          <w:lang w:val="ro-MD"/>
        </w:rPr>
        <w:t>Moldova se confruntă cu mai multe provocări în managementul politicilor macroeconomice și sectoriale. În primul rând, creșterea producției a fost insuficientă pentru a realiza convergența cu nivelurile veniturilor EA</w:t>
      </w:r>
      <w:r w:rsidR="00AA5D25" w:rsidRPr="00F46B8D">
        <w:rPr>
          <w:rFonts w:ascii="Times New Roman" w:hAnsi="Times New Roman" w:cs="Times New Roman"/>
          <w:color w:val="000000" w:themeColor="text1"/>
          <w:sz w:val="24"/>
          <w:szCs w:val="24"/>
          <w:lang w:val="ro-MD"/>
        </w:rPr>
        <w:t>C</w:t>
      </w:r>
      <w:r w:rsidRPr="00F46B8D">
        <w:rPr>
          <w:rFonts w:ascii="Times New Roman" w:hAnsi="Times New Roman" w:cs="Times New Roman"/>
          <w:color w:val="000000" w:themeColor="text1"/>
          <w:sz w:val="24"/>
          <w:szCs w:val="24"/>
          <w:lang w:val="ro-MD"/>
        </w:rPr>
        <w:t xml:space="preserve">, din cauza participării scăzute a forței de muncă, a migrației mari către exterior, a acumulării limitate de capital și creșterilor de productivitate. În al doilea rând, țara este afectată de o subexecuție persistentă a investițiilor publice, care limitează stocul de capital public și contribuie la decalaje mari de infrastructură și împiedică integrarea </w:t>
      </w:r>
      <w:r w:rsidR="00AA5D25" w:rsidRPr="00F46B8D">
        <w:rPr>
          <w:rFonts w:ascii="Times New Roman" w:hAnsi="Times New Roman" w:cs="Times New Roman"/>
          <w:color w:val="000000" w:themeColor="text1"/>
          <w:sz w:val="24"/>
          <w:szCs w:val="24"/>
          <w:lang w:val="ro-MD"/>
        </w:rPr>
        <w:t>în</w:t>
      </w:r>
      <w:r w:rsidRPr="00F46B8D">
        <w:rPr>
          <w:rFonts w:ascii="Times New Roman" w:hAnsi="Times New Roman" w:cs="Times New Roman"/>
          <w:color w:val="000000" w:themeColor="text1"/>
          <w:sz w:val="24"/>
          <w:szCs w:val="24"/>
          <w:lang w:val="ro-MD"/>
        </w:rPr>
        <w:t xml:space="preserve"> lanțurile regionale de aprovizionare.</w:t>
      </w:r>
      <w:r w:rsidRPr="00F46B8D">
        <w:rPr>
          <w:rStyle w:val="FootnoteReference"/>
          <w:rFonts w:ascii="Times New Roman" w:hAnsi="Times New Roman" w:cs="Times New Roman"/>
          <w:color w:val="000000" w:themeColor="text1"/>
          <w:sz w:val="24"/>
          <w:szCs w:val="24"/>
          <w:lang w:val="ro-MD"/>
        </w:rPr>
        <w:t xml:space="preserve"> </w:t>
      </w:r>
      <w:r w:rsidRPr="00F46B8D">
        <w:rPr>
          <w:rStyle w:val="FootnoteReference"/>
          <w:rFonts w:ascii="Times New Roman" w:hAnsi="Times New Roman" w:cs="Times New Roman"/>
          <w:color w:val="000000" w:themeColor="text1"/>
          <w:sz w:val="24"/>
          <w:szCs w:val="24"/>
          <w:lang w:val="ro-MD"/>
        </w:rPr>
        <w:footnoteReference w:id="30"/>
      </w:r>
      <w:r w:rsidRPr="00F46B8D">
        <w:rPr>
          <w:rFonts w:ascii="Times New Roman" w:hAnsi="Times New Roman" w:cs="Times New Roman"/>
          <w:color w:val="000000" w:themeColor="text1"/>
          <w:sz w:val="24"/>
          <w:szCs w:val="24"/>
          <w:lang w:val="ro-MD"/>
        </w:rPr>
        <w:t xml:space="preserve"> În al treilea rând, mediul de afaceri ar putea fi îmbunătățit prin crearea unor condiții de concurență echitabile pentru întreprinderi și prin abordarea preocupărilor legate de eficienț</w:t>
      </w:r>
      <w:r w:rsidR="00AA5D25" w:rsidRPr="00F46B8D">
        <w:rPr>
          <w:rFonts w:ascii="Times New Roman" w:hAnsi="Times New Roman" w:cs="Times New Roman"/>
          <w:color w:val="000000" w:themeColor="text1"/>
          <w:sz w:val="24"/>
          <w:szCs w:val="24"/>
          <w:lang w:val="ro-MD"/>
        </w:rPr>
        <w:t>ă</w:t>
      </w:r>
      <w:r w:rsidRPr="00F46B8D">
        <w:rPr>
          <w:rFonts w:ascii="Times New Roman" w:hAnsi="Times New Roman" w:cs="Times New Roman"/>
          <w:color w:val="000000" w:themeColor="text1"/>
          <w:sz w:val="24"/>
          <w:szCs w:val="24"/>
          <w:lang w:val="ro-MD"/>
        </w:rPr>
        <w:t xml:space="preserve"> întreprinderilor publice.</w:t>
      </w:r>
    </w:p>
    <w:p w14:paraId="7DBFBF55" w14:textId="3C940C57" w:rsidR="00000C2E" w:rsidRPr="003836D9" w:rsidRDefault="00D31C2B" w:rsidP="00000C2E">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Pentru a contracara efectul pandemiei de </w:t>
      </w:r>
      <w:r w:rsidR="00DF67F3">
        <w:rPr>
          <w:rFonts w:ascii="Times New Roman" w:hAnsi="Times New Roman" w:cs="Times New Roman"/>
          <w:sz w:val="24"/>
          <w:szCs w:val="24"/>
          <w:lang w:val="ro-MD"/>
        </w:rPr>
        <w:t>COVID</w:t>
      </w:r>
      <w:r w:rsidRPr="003836D9">
        <w:rPr>
          <w:rFonts w:ascii="Times New Roman" w:hAnsi="Times New Roman" w:cs="Times New Roman"/>
          <w:sz w:val="24"/>
          <w:szCs w:val="24"/>
          <w:lang w:val="ro-MD"/>
        </w:rPr>
        <w:t xml:space="preserve"> 19, </w:t>
      </w:r>
      <w:r w:rsidR="00670CC7" w:rsidRPr="003836D9">
        <w:rPr>
          <w:rFonts w:ascii="Times New Roman" w:hAnsi="Times New Roman" w:cs="Times New Roman"/>
          <w:sz w:val="24"/>
          <w:szCs w:val="24"/>
          <w:lang w:val="ro-MD"/>
        </w:rPr>
        <w:t xml:space="preserve">în aprilie 2020, </w:t>
      </w:r>
      <w:r w:rsidRPr="003836D9">
        <w:rPr>
          <w:rFonts w:ascii="Times New Roman" w:hAnsi="Times New Roman" w:cs="Times New Roman"/>
          <w:sz w:val="24"/>
          <w:szCs w:val="24"/>
          <w:lang w:val="ro-MD"/>
        </w:rPr>
        <w:t xml:space="preserve">guvernul a implementat un </w:t>
      </w:r>
      <w:r w:rsidR="00670CC7" w:rsidRPr="003836D9">
        <w:rPr>
          <w:rFonts w:ascii="Times New Roman" w:hAnsi="Times New Roman" w:cs="Times New Roman"/>
          <w:sz w:val="24"/>
          <w:szCs w:val="24"/>
          <w:lang w:val="ro-MD"/>
        </w:rPr>
        <w:t>pachet</w:t>
      </w:r>
      <w:r w:rsidRPr="003836D9">
        <w:rPr>
          <w:rFonts w:ascii="Times New Roman" w:hAnsi="Times New Roman" w:cs="Times New Roman"/>
          <w:sz w:val="24"/>
          <w:szCs w:val="24"/>
          <w:lang w:val="ro-MD"/>
        </w:rPr>
        <w:t xml:space="preserve"> de politic</w:t>
      </w:r>
      <w:r w:rsidR="00670CC7" w:rsidRPr="003836D9">
        <w:rPr>
          <w:rFonts w:ascii="Times New Roman" w:hAnsi="Times New Roman" w:cs="Times New Roman"/>
          <w:sz w:val="24"/>
          <w:szCs w:val="24"/>
          <w:lang w:val="ro-MD"/>
        </w:rPr>
        <w:t>i</w:t>
      </w:r>
      <w:r w:rsidRPr="003836D9">
        <w:rPr>
          <w:rFonts w:ascii="Times New Roman" w:hAnsi="Times New Roman" w:cs="Times New Roman"/>
          <w:sz w:val="24"/>
          <w:szCs w:val="24"/>
          <w:lang w:val="ro-MD"/>
        </w:rPr>
        <w:t xml:space="preserve"> de urgență în valoare de 2 procente din PIB. Acest pachet s-a concentrat pe amânări fiscale, o creștere temporară a prestațiilor sociale, relaxarea politicii monetare și furnizarea de lichiditate. Mai precis, guvernul a redus cota TVA pentru sectorul HORECA (de la 20 procente la 15 procente), a introdus rambursări mai rapide de TVA și a oferit împrumuturi subvenționate întreprinderilor mici și mijlocii. Plățile </w:t>
      </w:r>
      <w:r w:rsidR="00670CC7" w:rsidRPr="003836D9">
        <w:rPr>
          <w:rFonts w:ascii="Times New Roman" w:hAnsi="Times New Roman" w:cs="Times New Roman"/>
          <w:sz w:val="24"/>
          <w:szCs w:val="24"/>
          <w:lang w:val="ro-MD"/>
        </w:rPr>
        <w:t xml:space="preserve">de </w:t>
      </w:r>
      <w:r w:rsidRPr="003836D9">
        <w:rPr>
          <w:rFonts w:ascii="Times New Roman" w:hAnsi="Times New Roman" w:cs="Times New Roman"/>
          <w:sz w:val="24"/>
          <w:szCs w:val="24"/>
          <w:lang w:val="ro-MD"/>
        </w:rPr>
        <w:t xml:space="preserve">impozite au fost amânate, iar controalele fiscale și alte controale au fost </w:t>
      </w:r>
      <w:r w:rsidR="00670CC7" w:rsidRPr="003836D9">
        <w:rPr>
          <w:rFonts w:ascii="Times New Roman" w:hAnsi="Times New Roman" w:cs="Times New Roman"/>
          <w:sz w:val="24"/>
          <w:szCs w:val="24"/>
          <w:lang w:val="ro-MD"/>
        </w:rPr>
        <w:t xml:space="preserve">temporar </w:t>
      </w:r>
      <w:r w:rsidRPr="003836D9">
        <w:rPr>
          <w:rFonts w:ascii="Times New Roman" w:hAnsi="Times New Roman" w:cs="Times New Roman"/>
          <w:sz w:val="24"/>
          <w:szCs w:val="24"/>
          <w:lang w:val="ro-MD"/>
        </w:rPr>
        <w:t xml:space="preserve">suspendate. Firmele care și-au încetat activitatea în timpul stării de urgență aveau salariile (impozitul </w:t>
      </w:r>
      <w:r w:rsidR="001D3ACE" w:rsidRPr="003836D9">
        <w:rPr>
          <w:rFonts w:ascii="Times New Roman" w:hAnsi="Times New Roman" w:cs="Times New Roman"/>
          <w:sz w:val="24"/>
          <w:szCs w:val="24"/>
          <w:lang w:val="ro-MD"/>
        </w:rPr>
        <w:t xml:space="preserve">pe venitul </w:t>
      </w:r>
      <w:r w:rsidRPr="003836D9">
        <w:rPr>
          <w:rFonts w:ascii="Times New Roman" w:hAnsi="Times New Roman" w:cs="Times New Roman"/>
          <w:sz w:val="24"/>
          <w:szCs w:val="24"/>
          <w:lang w:val="ro-MD"/>
        </w:rPr>
        <w:t>personal și contribuțiile soci</w:t>
      </w:r>
      <w:r w:rsidR="00670CC7" w:rsidRPr="003836D9">
        <w:rPr>
          <w:rFonts w:ascii="Times New Roman" w:hAnsi="Times New Roman" w:cs="Times New Roman"/>
          <w:sz w:val="24"/>
          <w:szCs w:val="24"/>
          <w:lang w:val="ro-MD"/>
        </w:rPr>
        <w:t>a</w:t>
      </w:r>
      <w:r w:rsidRPr="003836D9">
        <w:rPr>
          <w:rFonts w:ascii="Times New Roman" w:hAnsi="Times New Roman" w:cs="Times New Roman"/>
          <w:sz w:val="24"/>
          <w:szCs w:val="24"/>
          <w:lang w:val="ro-MD"/>
        </w:rPr>
        <w:t xml:space="preserve">le) compensate integral de către stat, în timp ce cele care și-au continuat activitatea, au primit până la 60 procente din costurile suportate. Măsurile de protecție socială au inclus creșterea nivelului </w:t>
      </w:r>
      <w:r w:rsidR="001D3ACE" w:rsidRPr="003836D9">
        <w:rPr>
          <w:rFonts w:ascii="Times New Roman" w:hAnsi="Times New Roman" w:cs="Times New Roman"/>
          <w:sz w:val="24"/>
          <w:szCs w:val="24"/>
          <w:lang w:val="ro-MD"/>
        </w:rPr>
        <w:t>ajutorului</w:t>
      </w:r>
      <w:r w:rsidRPr="003836D9">
        <w:rPr>
          <w:rFonts w:ascii="Times New Roman" w:hAnsi="Times New Roman" w:cs="Times New Roman"/>
          <w:sz w:val="24"/>
          <w:szCs w:val="24"/>
          <w:lang w:val="ro-MD"/>
        </w:rPr>
        <w:t xml:space="preserve"> de șomaj (la 2.775 M</w:t>
      </w:r>
      <w:r w:rsidR="00DB26A8" w:rsidRPr="003836D9">
        <w:rPr>
          <w:rFonts w:ascii="Times New Roman" w:hAnsi="Times New Roman" w:cs="Times New Roman"/>
          <w:sz w:val="24"/>
          <w:szCs w:val="24"/>
          <w:lang w:val="ro-MD"/>
        </w:rPr>
        <w:t>D</w:t>
      </w:r>
      <w:r w:rsidRPr="003836D9">
        <w:rPr>
          <w:rFonts w:ascii="Times New Roman" w:hAnsi="Times New Roman" w:cs="Times New Roman"/>
          <w:sz w:val="24"/>
          <w:szCs w:val="24"/>
          <w:lang w:val="ro-MD"/>
        </w:rPr>
        <w:t>L) și extinderea acest</w:t>
      </w:r>
      <w:r w:rsidR="001D3ACE" w:rsidRPr="003836D9">
        <w:rPr>
          <w:rFonts w:ascii="Times New Roman" w:hAnsi="Times New Roman" w:cs="Times New Roman"/>
          <w:sz w:val="24"/>
          <w:szCs w:val="24"/>
          <w:lang w:val="ro-MD"/>
        </w:rPr>
        <w:t>uia</w:t>
      </w:r>
      <w:r w:rsidRPr="003836D9">
        <w:rPr>
          <w:rFonts w:ascii="Times New Roman" w:hAnsi="Times New Roman" w:cs="Times New Roman"/>
          <w:sz w:val="24"/>
          <w:szCs w:val="24"/>
          <w:lang w:val="ro-MD"/>
        </w:rPr>
        <w:t xml:space="preserve"> </w:t>
      </w:r>
      <w:r w:rsidR="00670CC7" w:rsidRPr="003836D9">
        <w:rPr>
          <w:rFonts w:ascii="Times New Roman" w:hAnsi="Times New Roman" w:cs="Times New Roman"/>
          <w:sz w:val="24"/>
          <w:szCs w:val="24"/>
          <w:lang w:val="ro-MD"/>
        </w:rPr>
        <w:t>către</w:t>
      </w:r>
      <w:r w:rsidRPr="003836D9">
        <w:rPr>
          <w:rFonts w:ascii="Times New Roman" w:hAnsi="Times New Roman" w:cs="Times New Roman"/>
          <w:sz w:val="24"/>
          <w:szCs w:val="24"/>
          <w:lang w:val="ro-MD"/>
        </w:rPr>
        <w:t xml:space="preserve"> persoanele fără </w:t>
      </w:r>
      <w:r w:rsidR="00CB2AA5" w:rsidRPr="003836D9">
        <w:rPr>
          <w:rFonts w:ascii="Times New Roman" w:hAnsi="Times New Roman" w:cs="Times New Roman"/>
          <w:sz w:val="24"/>
          <w:szCs w:val="24"/>
          <w:lang w:val="ro-MD"/>
        </w:rPr>
        <w:t>un stagiu de cotizare</w:t>
      </w:r>
      <w:r w:rsidRPr="003836D9">
        <w:rPr>
          <w:rFonts w:ascii="Times New Roman" w:hAnsi="Times New Roman" w:cs="Times New Roman"/>
          <w:sz w:val="24"/>
          <w:szCs w:val="24"/>
          <w:lang w:val="ro-MD"/>
        </w:rPr>
        <w:t xml:space="preserve">, precum și extinderea programului </w:t>
      </w:r>
      <w:r w:rsidR="00000C2E" w:rsidRPr="003836D9">
        <w:rPr>
          <w:rFonts w:ascii="Times New Roman" w:hAnsi="Times New Roman" w:cs="Times New Roman"/>
          <w:sz w:val="24"/>
          <w:szCs w:val="24"/>
          <w:lang w:val="ro-MD"/>
        </w:rPr>
        <w:t xml:space="preserve">de ajutor social </w:t>
      </w:r>
      <w:r w:rsidRPr="003836D9">
        <w:rPr>
          <w:rFonts w:ascii="Times New Roman" w:hAnsi="Times New Roman" w:cs="Times New Roman"/>
          <w:sz w:val="24"/>
          <w:szCs w:val="24"/>
          <w:lang w:val="ro-MD"/>
        </w:rPr>
        <w:t xml:space="preserve">(prestații mai mari și criterii de eligibilitate mai puțin </w:t>
      </w:r>
      <w:r w:rsidR="0075529A" w:rsidRPr="003836D9">
        <w:rPr>
          <w:rFonts w:ascii="Times New Roman" w:hAnsi="Times New Roman" w:cs="Times New Roman"/>
          <w:sz w:val="24"/>
          <w:szCs w:val="24"/>
          <w:lang w:val="ro-MD"/>
        </w:rPr>
        <w:t>stricte</w:t>
      </w:r>
      <w:r w:rsidRPr="003836D9">
        <w:rPr>
          <w:rFonts w:ascii="Times New Roman" w:hAnsi="Times New Roman" w:cs="Times New Roman"/>
          <w:sz w:val="24"/>
          <w:szCs w:val="24"/>
          <w:lang w:val="ro-MD"/>
        </w:rPr>
        <w:t xml:space="preserve">). Banca Națională a redus rata </w:t>
      </w:r>
      <w:r w:rsidR="00CD65AE" w:rsidRPr="003836D9">
        <w:rPr>
          <w:rFonts w:ascii="Times New Roman" w:hAnsi="Times New Roman" w:cs="Times New Roman"/>
          <w:sz w:val="24"/>
          <w:szCs w:val="24"/>
          <w:lang w:val="ro-MD"/>
        </w:rPr>
        <w:t xml:space="preserve">dobânzii </w:t>
      </w:r>
      <w:r w:rsidRPr="003836D9">
        <w:rPr>
          <w:rFonts w:ascii="Times New Roman" w:hAnsi="Times New Roman" w:cs="Times New Roman"/>
          <w:sz w:val="24"/>
          <w:szCs w:val="24"/>
          <w:lang w:val="ro-MD"/>
        </w:rPr>
        <w:t>de politică monetară pentru a contracara scăderea cererii agregate și presiunile deflaționiste. De asemenea, a permis băncilor să amâne plățile împrumuturilor și a redus rezervele obligatorii pentru a susține lichiditatea în sectorul bancar.</w:t>
      </w:r>
      <w:r w:rsidRPr="003836D9">
        <w:rPr>
          <w:rStyle w:val="FootnoteReference"/>
          <w:rFonts w:ascii="Times New Roman" w:hAnsi="Times New Roman" w:cs="Times New Roman"/>
          <w:sz w:val="24"/>
          <w:szCs w:val="24"/>
          <w:lang w:val="ro-MD"/>
        </w:rPr>
        <w:footnoteReference w:id="31"/>
      </w:r>
      <w:bookmarkStart w:id="66" w:name="_Toc97315968"/>
      <w:bookmarkStart w:id="67" w:name="_Toc97709291"/>
    </w:p>
    <w:p w14:paraId="094C676E" w14:textId="5BD47975" w:rsidR="00D31C2B" w:rsidRPr="003836D9" w:rsidRDefault="00D31C2B" w:rsidP="005C481A">
      <w:pPr>
        <w:pStyle w:val="ListParagraph"/>
        <w:autoSpaceDE w:val="0"/>
        <w:autoSpaceDN w:val="0"/>
        <w:adjustRightInd w:val="0"/>
        <w:ind w:left="0"/>
        <w:jc w:val="center"/>
        <w:rPr>
          <w:rFonts w:ascii="Times New Roman" w:hAnsi="Times New Roman" w:cs="Times New Roman"/>
          <w:b/>
          <w:i/>
          <w:sz w:val="24"/>
          <w:szCs w:val="24"/>
          <w:lang w:val="ro-MD"/>
        </w:rPr>
      </w:pPr>
      <w:r w:rsidRPr="003836D9">
        <w:rPr>
          <w:rFonts w:ascii="Times New Roman" w:hAnsi="Times New Roman" w:cs="Times New Roman"/>
          <w:b/>
          <w:i/>
          <w:sz w:val="24"/>
          <w:szCs w:val="24"/>
          <w:lang w:val="ro-MD"/>
        </w:rPr>
        <w:t>Politica</w:t>
      </w:r>
      <w:r w:rsidR="007E3B32" w:rsidRPr="003836D9">
        <w:rPr>
          <w:rFonts w:ascii="Times New Roman" w:hAnsi="Times New Roman" w:cs="Times New Roman"/>
          <w:b/>
          <w:i/>
          <w:sz w:val="24"/>
          <w:szCs w:val="24"/>
          <w:lang w:val="ro-MD"/>
        </w:rPr>
        <w:t xml:space="preserve"> </w:t>
      </w:r>
      <w:r w:rsidRPr="003836D9">
        <w:rPr>
          <w:rFonts w:ascii="Times New Roman" w:hAnsi="Times New Roman" w:cs="Times New Roman"/>
          <w:b/>
          <w:i/>
          <w:sz w:val="24"/>
          <w:szCs w:val="24"/>
          <w:lang w:val="ro-MD"/>
        </w:rPr>
        <w:t>educați</w:t>
      </w:r>
      <w:r w:rsidR="007E3B32" w:rsidRPr="003836D9">
        <w:rPr>
          <w:rFonts w:ascii="Times New Roman" w:hAnsi="Times New Roman" w:cs="Times New Roman"/>
          <w:b/>
          <w:i/>
          <w:sz w:val="24"/>
          <w:szCs w:val="24"/>
          <w:lang w:val="ro-MD"/>
        </w:rPr>
        <w:t>onală</w:t>
      </w:r>
      <w:bookmarkEnd w:id="66"/>
      <w:bookmarkEnd w:id="67"/>
    </w:p>
    <w:p w14:paraId="532895A4" w14:textId="11ABF318" w:rsidR="00D31C2B" w:rsidRPr="003836D9" w:rsidRDefault="00D31C2B" w:rsidP="00000C2E">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S</w:t>
      </w:r>
      <w:r w:rsidR="0032731A" w:rsidRPr="003836D9">
        <w:rPr>
          <w:rFonts w:ascii="Times New Roman" w:hAnsi="Times New Roman" w:cs="Times New Roman"/>
          <w:sz w:val="24"/>
          <w:szCs w:val="24"/>
          <w:lang w:val="ro-MD"/>
        </w:rPr>
        <w:t>tructura s</w:t>
      </w:r>
      <w:r w:rsidRPr="003836D9">
        <w:rPr>
          <w:rFonts w:ascii="Times New Roman" w:hAnsi="Times New Roman" w:cs="Times New Roman"/>
          <w:sz w:val="24"/>
          <w:szCs w:val="24"/>
          <w:lang w:val="ro-MD"/>
        </w:rPr>
        <w:t>istemul</w:t>
      </w:r>
      <w:r w:rsidR="0032731A" w:rsidRPr="003836D9">
        <w:rPr>
          <w:rFonts w:ascii="Times New Roman" w:hAnsi="Times New Roman" w:cs="Times New Roman"/>
          <w:sz w:val="24"/>
          <w:szCs w:val="24"/>
          <w:lang w:val="ro-MD"/>
        </w:rPr>
        <w:t>ui</w:t>
      </w:r>
      <w:r w:rsidRPr="003836D9">
        <w:rPr>
          <w:rFonts w:ascii="Times New Roman" w:hAnsi="Times New Roman" w:cs="Times New Roman"/>
          <w:sz w:val="24"/>
          <w:szCs w:val="24"/>
          <w:lang w:val="ro-MD"/>
        </w:rPr>
        <w:t xml:space="preserve"> de învățământ din Moldova </w:t>
      </w:r>
      <w:r w:rsidR="0032731A" w:rsidRPr="003836D9">
        <w:rPr>
          <w:rFonts w:ascii="Times New Roman" w:hAnsi="Times New Roman" w:cs="Times New Roman"/>
          <w:sz w:val="24"/>
          <w:szCs w:val="24"/>
          <w:lang w:val="ro-MD"/>
        </w:rPr>
        <w:t xml:space="preserve">include </w:t>
      </w:r>
      <w:r w:rsidRPr="003836D9">
        <w:rPr>
          <w:rFonts w:ascii="Times New Roman" w:hAnsi="Times New Roman" w:cs="Times New Roman"/>
          <w:sz w:val="24"/>
          <w:szCs w:val="24"/>
          <w:lang w:val="ro-MD"/>
        </w:rPr>
        <w:t xml:space="preserve">cinci </w:t>
      </w:r>
      <w:r w:rsidR="0032731A" w:rsidRPr="003836D9">
        <w:rPr>
          <w:rFonts w:ascii="Times New Roman" w:hAnsi="Times New Roman" w:cs="Times New Roman"/>
          <w:sz w:val="24"/>
          <w:szCs w:val="24"/>
          <w:lang w:val="ro-MD"/>
        </w:rPr>
        <w:t>trepte</w:t>
      </w:r>
      <w:r w:rsidR="00F46B8D">
        <w:rPr>
          <w:rFonts w:ascii="Times New Roman" w:hAnsi="Times New Roman" w:cs="Times New Roman"/>
          <w:sz w:val="24"/>
          <w:szCs w:val="24"/>
          <w:lang w:val="ro-MD"/>
        </w:rPr>
        <w:t xml:space="preserve">: </w:t>
      </w:r>
      <w:r w:rsidR="00404382">
        <w:rPr>
          <w:rFonts w:ascii="Times New Roman" w:hAnsi="Times New Roman" w:cs="Times New Roman"/>
          <w:sz w:val="24"/>
          <w:szCs w:val="24"/>
          <w:lang w:val="ro-MD"/>
        </w:rPr>
        <w:t>(i)</w:t>
      </w:r>
      <w:r w:rsidRPr="003836D9">
        <w:rPr>
          <w:rFonts w:ascii="Times New Roman" w:hAnsi="Times New Roman" w:cs="Times New Roman"/>
          <w:sz w:val="24"/>
          <w:szCs w:val="24"/>
          <w:lang w:val="ro-MD"/>
        </w:rPr>
        <w:t>: învățământ preșcolar, care acoperă copiii cu vârste cuprinse între 3 și 6</w:t>
      </w:r>
      <w:r w:rsidR="00BC130D" w:rsidRPr="003836D9">
        <w:rPr>
          <w:rFonts w:ascii="Times New Roman" w:hAnsi="Times New Roman" w:cs="Times New Roman"/>
          <w:sz w:val="24"/>
          <w:szCs w:val="24"/>
          <w:lang w:val="ro-MD"/>
        </w:rPr>
        <w:t>(7)</w:t>
      </w:r>
      <w:r w:rsidR="00F46B8D">
        <w:rPr>
          <w:rFonts w:ascii="Times New Roman" w:hAnsi="Times New Roman" w:cs="Times New Roman"/>
          <w:sz w:val="24"/>
          <w:szCs w:val="24"/>
          <w:lang w:val="ro-MD"/>
        </w:rPr>
        <w:t xml:space="preserve"> ani; </w:t>
      </w:r>
      <w:r w:rsidR="00404382">
        <w:rPr>
          <w:rFonts w:ascii="Times New Roman" w:hAnsi="Times New Roman" w:cs="Times New Roman"/>
          <w:sz w:val="24"/>
          <w:szCs w:val="24"/>
          <w:lang w:val="ro-MD"/>
        </w:rPr>
        <w:t>(ii)</w:t>
      </w:r>
      <w:r w:rsidRPr="003836D9">
        <w:rPr>
          <w:rFonts w:ascii="Times New Roman" w:hAnsi="Times New Roman" w:cs="Times New Roman"/>
          <w:sz w:val="24"/>
          <w:szCs w:val="24"/>
          <w:lang w:val="ro-MD"/>
        </w:rPr>
        <w:t xml:space="preserve"> învățământ </w:t>
      </w:r>
      <w:r w:rsidR="00F46B8D">
        <w:rPr>
          <w:rFonts w:ascii="Times New Roman" w:hAnsi="Times New Roman" w:cs="Times New Roman"/>
          <w:sz w:val="24"/>
          <w:szCs w:val="24"/>
          <w:lang w:val="ro-MD"/>
        </w:rPr>
        <w:t xml:space="preserve">primar (de la 7 la 10 ani); </w:t>
      </w:r>
      <w:r w:rsidR="00404382">
        <w:rPr>
          <w:rFonts w:ascii="Times New Roman" w:hAnsi="Times New Roman" w:cs="Times New Roman"/>
          <w:sz w:val="24"/>
          <w:szCs w:val="24"/>
          <w:lang w:val="ro-MD"/>
        </w:rPr>
        <w:t>(iii)</w:t>
      </w:r>
      <w:r w:rsidRPr="003836D9">
        <w:rPr>
          <w:rFonts w:ascii="Times New Roman" w:hAnsi="Times New Roman" w:cs="Times New Roman"/>
          <w:sz w:val="24"/>
          <w:szCs w:val="24"/>
          <w:lang w:val="ro-MD"/>
        </w:rPr>
        <w:t xml:space="preserve"> </w:t>
      </w:r>
      <w:r w:rsidR="00BA5DB2" w:rsidRPr="003836D9">
        <w:rPr>
          <w:rFonts w:ascii="Times New Roman" w:hAnsi="Times New Roman" w:cs="Times New Roman"/>
          <w:sz w:val="24"/>
          <w:szCs w:val="24"/>
          <w:lang w:val="ro-MD"/>
        </w:rPr>
        <w:t>gimnazial</w:t>
      </w:r>
      <w:r w:rsidRPr="003836D9">
        <w:rPr>
          <w:rFonts w:ascii="Times New Roman" w:hAnsi="Times New Roman" w:cs="Times New Roman"/>
          <w:sz w:val="24"/>
          <w:szCs w:val="24"/>
          <w:lang w:val="ro-MD"/>
        </w:rPr>
        <w:t xml:space="preserve"> </w:t>
      </w:r>
      <w:r w:rsidR="00BC130D" w:rsidRPr="003836D9">
        <w:rPr>
          <w:rFonts w:ascii="Times New Roman" w:hAnsi="Times New Roman" w:cs="Times New Roman"/>
          <w:sz w:val="24"/>
          <w:szCs w:val="24"/>
          <w:lang w:val="ro-MD"/>
        </w:rPr>
        <w:t xml:space="preserve">(11-15), liceal </w:t>
      </w:r>
      <w:r w:rsidRPr="003836D9">
        <w:rPr>
          <w:rFonts w:ascii="Times New Roman" w:hAnsi="Times New Roman" w:cs="Times New Roman"/>
          <w:sz w:val="24"/>
          <w:szCs w:val="24"/>
          <w:lang w:val="ro-MD"/>
        </w:rPr>
        <w:t>(1</w:t>
      </w:r>
      <w:r w:rsidR="00BC130D" w:rsidRPr="003836D9">
        <w:rPr>
          <w:rFonts w:ascii="Times New Roman" w:hAnsi="Times New Roman" w:cs="Times New Roman"/>
          <w:sz w:val="24"/>
          <w:szCs w:val="24"/>
          <w:lang w:val="ro-MD"/>
        </w:rPr>
        <w:t>6</w:t>
      </w:r>
      <w:r w:rsidRPr="003836D9">
        <w:rPr>
          <w:rFonts w:ascii="Times New Roman" w:hAnsi="Times New Roman" w:cs="Times New Roman"/>
          <w:sz w:val="24"/>
          <w:szCs w:val="24"/>
          <w:lang w:val="ro-MD"/>
        </w:rPr>
        <w:t>-1</w:t>
      </w:r>
      <w:r w:rsidR="00BC130D" w:rsidRPr="003836D9">
        <w:rPr>
          <w:rFonts w:ascii="Times New Roman" w:hAnsi="Times New Roman" w:cs="Times New Roman"/>
          <w:sz w:val="24"/>
          <w:szCs w:val="24"/>
          <w:lang w:val="ro-MD"/>
        </w:rPr>
        <w:t>8</w:t>
      </w:r>
      <w:r w:rsidR="00F46B8D">
        <w:rPr>
          <w:rFonts w:ascii="Times New Roman" w:hAnsi="Times New Roman" w:cs="Times New Roman"/>
          <w:sz w:val="24"/>
          <w:szCs w:val="24"/>
          <w:lang w:val="ro-MD"/>
        </w:rPr>
        <w:t xml:space="preserve"> ani), </w:t>
      </w:r>
      <w:r w:rsidR="00404382">
        <w:rPr>
          <w:rFonts w:ascii="Times New Roman" w:hAnsi="Times New Roman" w:cs="Times New Roman"/>
          <w:sz w:val="24"/>
          <w:szCs w:val="24"/>
          <w:lang w:val="ro-MD"/>
        </w:rPr>
        <w:t>(iv)</w:t>
      </w:r>
      <w:r w:rsidRPr="003836D9">
        <w:rPr>
          <w:rFonts w:ascii="Times New Roman" w:hAnsi="Times New Roman" w:cs="Times New Roman"/>
          <w:sz w:val="24"/>
          <w:szCs w:val="24"/>
          <w:lang w:val="ro-MD"/>
        </w:rPr>
        <w:t xml:space="preserve"> post</w:t>
      </w:r>
      <w:r w:rsidR="00BA5DB2" w:rsidRPr="003836D9">
        <w:rPr>
          <w:rFonts w:ascii="Times New Roman" w:hAnsi="Times New Roman" w:cs="Times New Roman"/>
          <w:sz w:val="24"/>
          <w:szCs w:val="24"/>
          <w:lang w:val="ro-MD"/>
        </w:rPr>
        <w:t>secundar</w:t>
      </w:r>
      <w:r w:rsidR="00F46B8D">
        <w:rPr>
          <w:rFonts w:ascii="Times New Roman" w:hAnsi="Times New Roman" w:cs="Times New Roman"/>
          <w:sz w:val="24"/>
          <w:szCs w:val="24"/>
          <w:lang w:val="ro-MD"/>
        </w:rPr>
        <w:t xml:space="preserve"> și </w:t>
      </w:r>
      <w:r w:rsidR="00404382">
        <w:rPr>
          <w:rFonts w:ascii="Times New Roman" w:hAnsi="Times New Roman" w:cs="Times New Roman"/>
          <w:sz w:val="24"/>
          <w:szCs w:val="24"/>
          <w:lang w:val="ro-MD"/>
        </w:rPr>
        <w:t>(v)</w:t>
      </w:r>
      <w:r w:rsidRPr="003836D9">
        <w:rPr>
          <w:rFonts w:ascii="Times New Roman" w:hAnsi="Times New Roman" w:cs="Times New Roman"/>
          <w:sz w:val="24"/>
          <w:szCs w:val="24"/>
          <w:lang w:val="ro-MD"/>
        </w:rPr>
        <w:t xml:space="preserve"> superior. Învățământul este obligatoriu din clasa 1 până la a 9-a, adică de la nivel</w:t>
      </w:r>
      <w:r w:rsidR="00BA5DB2" w:rsidRPr="003836D9">
        <w:rPr>
          <w:rFonts w:ascii="Times New Roman" w:hAnsi="Times New Roman" w:cs="Times New Roman"/>
          <w:sz w:val="24"/>
          <w:szCs w:val="24"/>
          <w:lang w:val="ro-MD"/>
        </w:rPr>
        <w:t>ul</w:t>
      </w:r>
      <w:r w:rsidRPr="003836D9">
        <w:rPr>
          <w:rFonts w:ascii="Times New Roman" w:hAnsi="Times New Roman" w:cs="Times New Roman"/>
          <w:sz w:val="24"/>
          <w:szCs w:val="24"/>
          <w:lang w:val="ro-MD"/>
        </w:rPr>
        <w:t xml:space="preserve"> primar până la </w:t>
      </w:r>
      <w:r w:rsidR="00BA5DB2" w:rsidRPr="003836D9">
        <w:rPr>
          <w:rFonts w:ascii="Times New Roman" w:hAnsi="Times New Roman" w:cs="Times New Roman"/>
          <w:sz w:val="24"/>
          <w:szCs w:val="24"/>
          <w:lang w:val="ro-MD"/>
        </w:rPr>
        <w:t>cel</w:t>
      </w:r>
      <w:r w:rsidRPr="003836D9">
        <w:rPr>
          <w:rFonts w:ascii="Times New Roman" w:hAnsi="Times New Roman" w:cs="Times New Roman"/>
          <w:sz w:val="24"/>
          <w:szCs w:val="24"/>
          <w:lang w:val="ro-MD"/>
        </w:rPr>
        <w:t xml:space="preserve"> gimnazi</w:t>
      </w:r>
      <w:r w:rsidR="00BA5DB2" w:rsidRPr="003836D9">
        <w:rPr>
          <w:rFonts w:ascii="Times New Roman" w:hAnsi="Times New Roman" w:cs="Times New Roman"/>
          <w:sz w:val="24"/>
          <w:szCs w:val="24"/>
          <w:lang w:val="ro-MD"/>
        </w:rPr>
        <w:t>al</w:t>
      </w:r>
      <w:r w:rsidR="002A3264"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Învățământul superior este asigurat </w:t>
      </w:r>
      <w:r w:rsidR="00BA5DB2" w:rsidRPr="003836D9">
        <w:rPr>
          <w:rFonts w:ascii="Times New Roman" w:hAnsi="Times New Roman" w:cs="Times New Roman"/>
          <w:sz w:val="24"/>
          <w:szCs w:val="24"/>
          <w:lang w:val="ro-MD"/>
        </w:rPr>
        <w:t>prin intermediul</w:t>
      </w:r>
      <w:r w:rsidRPr="003836D9">
        <w:rPr>
          <w:rFonts w:ascii="Times New Roman" w:hAnsi="Times New Roman" w:cs="Times New Roman"/>
          <w:sz w:val="24"/>
          <w:szCs w:val="24"/>
          <w:lang w:val="ro-MD"/>
        </w:rPr>
        <w:t xml:space="preserve"> universități</w:t>
      </w:r>
      <w:r w:rsidR="00BA5DB2" w:rsidRPr="003836D9">
        <w:rPr>
          <w:rFonts w:ascii="Times New Roman" w:hAnsi="Times New Roman" w:cs="Times New Roman"/>
          <w:sz w:val="24"/>
          <w:szCs w:val="24"/>
          <w:lang w:val="ro-MD"/>
        </w:rPr>
        <w:t>lor</w:t>
      </w:r>
      <w:r w:rsidRPr="003836D9">
        <w:rPr>
          <w:rFonts w:ascii="Times New Roman" w:hAnsi="Times New Roman" w:cs="Times New Roman"/>
          <w:sz w:val="24"/>
          <w:szCs w:val="24"/>
          <w:lang w:val="ro-MD"/>
        </w:rPr>
        <w:t>, academii</w:t>
      </w:r>
      <w:r w:rsidR="00BA5DB2" w:rsidRPr="003836D9">
        <w:rPr>
          <w:rFonts w:ascii="Times New Roman" w:hAnsi="Times New Roman" w:cs="Times New Roman"/>
          <w:sz w:val="24"/>
          <w:szCs w:val="24"/>
          <w:lang w:val="ro-MD"/>
        </w:rPr>
        <w:t>lor</w:t>
      </w:r>
      <w:r w:rsidRPr="003836D9">
        <w:rPr>
          <w:rFonts w:ascii="Times New Roman" w:hAnsi="Times New Roman" w:cs="Times New Roman"/>
          <w:sz w:val="24"/>
          <w:szCs w:val="24"/>
          <w:lang w:val="ro-MD"/>
        </w:rPr>
        <w:t xml:space="preserve"> și instituții</w:t>
      </w:r>
      <w:r w:rsidR="00BA5DB2" w:rsidRPr="003836D9">
        <w:rPr>
          <w:rFonts w:ascii="Times New Roman" w:hAnsi="Times New Roman" w:cs="Times New Roman"/>
          <w:sz w:val="24"/>
          <w:szCs w:val="24"/>
          <w:lang w:val="ro-MD"/>
        </w:rPr>
        <w:t>lor</w:t>
      </w:r>
      <w:r w:rsidRPr="003836D9">
        <w:rPr>
          <w:rFonts w:ascii="Times New Roman" w:hAnsi="Times New Roman" w:cs="Times New Roman"/>
          <w:sz w:val="24"/>
          <w:szCs w:val="24"/>
          <w:lang w:val="ro-MD"/>
        </w:rPr>
        <w:t xml:space="preserve"> private și publice și este accesibil studenților care au obținut o diplomă de </w:t>
      </w:r>
      <w:r w:rsidR="00BA5DB2" w:rsidRPr="003836D9">
        <w:rPr>
          <w:rFonts w:ascii="Times New Roman" w:hAnsi="Times New Roman" w:cs="Times New Roman"/>
          <w:sz w:val="24"/>
          <w:szCs w:val="24"/>
          <w:lang w:val="ro-MD"/>
        </w:rPr>
        <w:t xml:space="preserve">studii </w:t>
      </w:r>
      <w:r w:rsidR="008A019B" w:rsidRPr="003836D9">
        <w:rPr>
          <w:rFonts w:ascii="Times New Roman" w:hAnsi="Times New Roman" w:cs="Times New Roman"/>
          <w:sz w:val="24"/>
          <w:szCs w:val="24"/>
          <w:lang w:val="ro-MD"/>
        </w:rPr>
        <w:t>medii</w:t>
      </w:r>
      <w:r w:rsidR="00BA5DB2" w:rsidRPr="003836D9">
        <w:rPr>
          <w:rFonts w:ascii="Times New Roman" w:hAnsi="Times New Roman" w:cs="Times New Roman"/>
          <w:sz w:val="24"/>
          <w:szCs w:val="24"/>
          <w:lang w:val="ro-MD"/>
        </w:rPr>
        <w:t xml:space="preserve"> generale</w:t>
      </w:r>
      <w:r w:rsidRPr="003836D9">
        <w:rPr>
          <w:rFonts w:ascii="Times New Roman" w:hAnsi="Times New Roman" w:cs="Times New Roman"/>
          <w:sz w:val="24"/>
          <w:szCs w:val="24"/>
          <w:lang w:val="ro-MD"/>
        </w:rPr>
        <w:t xml:space="preserve"> sau lice</w:t>
      </w:r>
      <w:r w:rsidR="00BA5DB2" w:rsidRPr="003836D9">
        <w:rPr>
          <w:rFonts w:ascii="Times New Roman" w:hAnsi="Times New Roman" w:cs="Times New Roman"/>
          <w:sz w:val="24"/>
          <w:szCs w:val="24"/>
          <w:lang w:val="ro-MD"/>
        </w:rPr>
        <w:t>ale</w:t>
      </w:r>
      <w:r w:rsidRPr="003836D9">
        <w:rPr>
          <w:rFonts w:ascii="Times New Roman" w:hAnsi="Times New Roman" w:cs="Times New Roman"/>
          <w:sz w:val="24"/>
          <w:szCs w:val="24"/>
          <w:lang w:val="ro-MD"/>
        </w:rPr>
        <w:t>.</w:t>
      </w:r>
    </w:p>
    <w:p w14:paraId="570194A3" w14:textId="1B5F54F4" w:rsidR="00D31C2B" w:rsidRPr="003836D9" w:rsidRDefault="00D31C2B" w:rsidP="00711DB6">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Din cauza scăderii </w:t>
      </w:r>
      <w:r w:rsidR="00711DB6" w:rsidRPr="003836D9">
        <w:rPr>
          <w:rFonts w:ascii="Times New Roman" w:hAnsi="Times New Roman" w:cs="Times New Roman"/>
          <w:sz w:val="24"/>
          <w:szCs w:val="24"/>
          <w:lang w:val="ro-MD"/>
        </w:rPr>
        <w:t xml:space="preserve">numărului </w:t>
      </w:r>
      <w:r w:rsidRPr="003836D9">
        <w:rPr>
          <w:rFonts w:ascii="Times New Roman" w:hAnsi="Times New Roman" w:cs="Times New Roman"/>
          <w:sz w:val="24"/>
          <w:szCs w:val="24"/>
          <w:lang w:val="ro-MD"/>
        </w:rPr>
        <w:t xml:space="preserve">populației și mai ales a cohortei de tineri, numărul </w:t>
      </w:r>
      <w:r w:rsidR="00BC130D" w:rsidRPr="003836D9">
        <w:rPr>
          <w:rFonts w:ascii="Times New Roman" w:hAnsi="Times New Roman" w:cs="Times New Roman"/>
          <w:sz w:val="24"/>
          <w:szCs w:val="24"/>
          <w:lang w:val="ro-MD"/>
        </w:rPr>
        <w:t>elevilor</w:t>
      </w:r>
      <w:r w:rsidRPr="003836D9">
        <w:rPr>
          <w:rFonts w:ascii="Times New Roman" w:hAnsi="Times New Roman" w:cs="Times New Roman"/>
          <w:sz w:val="24"/>
          <w:szCs w:val="24"/>
          <w:lang w:val="ro-MD"/>
        </w:rPr>
        <w:t xml:space="preserve"> este în scădere la toate nivelurile de învățământ (cu 9 procente în perioada 2014-2019). Scăderea </w:t>
      </w:r>
      <w:r w:rsidRPr="003836D9">
        <w:rPr>
          <w:rFonts w:ascii="Times New Roman" w:hAnsi="Times New Roman" w:cs="Times New Roman"/>
          <w:sz w:val="24"/>
          <w:szCs w:val="24"/>
          <w:lang w:val="ro-MD"/>
        </w:rPr>
        <w:lastRenderedPageBreak/>
        <w:t xml:space="preserve">numărului de </w:t>
      </w:r>
      <w:r w:rsidR="00BC130D" w:rsidRPr="003836D9">
        <w:rPr>
          <w:rFonts w:ascii="Times New Roman" w:hAnsi="Times New Roman" w:cs="Times New Roman"/>
          <w:sz w:val="24"/>
          <w:szCs w:val="24"/>
          <w:lang w:val="ro-MD"/>
        </w:rPr>
        <w:t>elevi</w:t>
      </w:r>
      <w:r w:rsidRPr="003836D9">
        <w:rPr>
          <w:rFonts w:ascii="Times New Roman" w:hAnsi="Times New Roman" w:cs="Times New Roman"/>
          <w:sz w:val="24"/>
          <w:szCs w:val="24"/>
          <w:lang w:val="ro-MD"/>
        </w:rPr>
        <w:t xml:space="preserve"> înscriși a </w:t>
      </w:r>
      <w:r w:rsidR="00813C55" w:rsidRPr="003836D9">
        <w:rPr>
          <w:rFonts w:ascii="Times New Roman" w:hAnsi="Times New Roman" w:cs="Times New Roman"/>
          <w:sz w:val="24"/>
          <w:szCs w:val="24"/>
          <w:lang w:val="ro-MD"/>
        </w:rPr>
        <w:t xml:space="preserve">avut loc </w:t>
      </w:r>
      <w:r w:rsidRPr="003836D9">
        <w:rPr>
          <w:rFonts w:ascii="Times New Roman" w:hAnsi="Times New Roman" w:cs="Times New Roman"/>
          <w:sz w:val="24"/>
          <w:szCs w:val="24"/>
          <w:lang w:val="ro-MD"/>
        </w:rPr>
        <w:t xml:space="preserve">în învățământul profesional </w:t>
      </w:r>
      <w:r w:rsidR="002A3264" w:rsidRPr="003836D9">
        <w:rPr>
          <w:rFonts w:ascii="Times New Roman" w:hAnsi="Times New Roman" w:cs="Times New Roman"/>
          <w:sz w:val="24"/>
          <w:szCs w:val="24"/>
          <w:lang w:val="ro-MD"/>
        </w:rPr>
        <w:t xml:space="preserve">tehnic </w:t>
      </w:r>
      <w:r w:rsidRPr="003836D9">
        <w:rPr>
          <w:rFonts w:ascii="Times New Roman" w:hAnsi="Times New Roman" w:cs="Times New Roman"/>
          <w:sz w:val="24"/>
          <w:szCs w:val="24"/>
          <w:lang w:val="ro-MD"/>
        </w:rPr>
        <w:t xml:space="preserve">(-19 procente) și </w:t>
      </w:r>
      <w:r w:rsidR="002A3264" w:rsidRPr="003836D9">
        <w:rPr>
          <w:rFonts w:ascii="Times New Roman" w:hAnsi="Times New Roman" w:cs="Times New Roman"/>
          <w:sz w:val="24"/>
          <w:szCs w:val="24"/>
          <w:lang w:val="ro-MD"/>
        </w:rPr>
        <w:t xml:space="preserve">superior </w:t>
      </w:r>
      <w:r w:rsidRPr="003836D9">
        <w:rPr>
          <w:rFonts w:ascii="Times New Roman" w:hAnsi="Times New Roman" w:cs="Times New Roman"/>
          <w:sz w:val="24"/>
          <w:szCs w:val="24"/>
          <w:lang w:val="ro-MD"/>
        </w:rPr>
        <w:t xml:space="preserve"> (-36,5 procente).</w:t>
      </w:r>
      <w:r w:rsidRPr="003836D9">
        <w:rPr>
          <w:rStyle w:val="FootnoteReference"/>
          <w:rFonts w:ascii="Times New Roman" w:hAnsi="Times New Roman" w:cs="Times New Roman"/>
          <w:sz w:val="24"/>
          <w:szCs w:val="24"/>
          <w:lang w:val="ro-MD"/>
        </w:rPr>
        <w:footnoteReference w:id="32"/>
      </w:r>
      <w:r w:rsidRPr="003836D9">
        <w:rPr>
          <w:rFonts w:ascii="Times New Roman" w:hAnsi="Times New Roman" w:cs="Times New Roman"/>
          <w:sz w:val="24"/>
          <w:szCs w:val="24"/>
          <w:lang w:val="ro-MD"/>
        </w:rPr>
        <w:t xml:space="preserve"> Totuși, o astfel de scădere, a fost reflectată doar parțial în restructurarea rețelei școlare.</w:t>
      </w:r>
    </w:p>
    <w:p w14:paraId="72B005CE" w14:textId="70A130C0" w:rsidR="00D31C2B" w:rsidRPr="003836D9" w:rsidRDefault="00D31C2B" w:rsidP="00813C55">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Numărul instituțiilor de învățământ superior a scăzut de-a lungul timpului (de la 31 în 2014 la 24 în 2020), în timp ce ratele brute de înscriere în învățământul </w:t>
      </w:r>
      <w:r w:rsidR="002A3264" w:rsidRPr="003836D9">
        <w:rPr>
          <w:rFonts w:ascii="Times New Roman" w:hAnsi="Times New Roman" w:cs="Times New Roman"/>
          <w:sz w:val="24"/>
          <w:szCs w:val="24"/>
          <w:lang w:val="ro-MD"/>
        </w:rPr>
        <w:t xml:space="preserve">superior </w:t>
      </w:r>
      <w:r w:rsidRPr="003836D9">
        <w:rPr>
          <w:rFonts w:ascii="Times New Roman" w:hAnsi="Times New Roman" w:cs="Times New Roman"/>
          <w:sz w:val="24"/>
          <w:szCs w:val="24"/>
          <w:lang w:val="ro-MD"/>
        </w:rPr>
        <w:t xml:space="preserve"> au crescut (de la 52,1 procente în 2014 la 57,9 procente în 2020).</w:t>
      </w:r>
      <w:r w:rsidRPr="003836D9">
        <w:rPr>
          <w:rStyle w:val="FootnoteReference"/>
          <w:rFonts w:ascii="Times New Roman" w:hAnsi="Times New Roman" w:cs="Times New Roman"/>
          <w:sz w:val="24"/>
          <w:szCs w:val="24"/>
          <w:lang w:val="ro-MD"/>
        </w:rPr>
        <w:footnoteReference w:id="33"/>
      </w:r>
      <w:r w:rsidRPr="003836D9">
        <w:rPr>
          <w:rFonts w:ascii="Times New Roman" w:hAnsi="Times New Roman" w:cs="Times New Roman"/>
          <w:sz w:val="24"/>
          <w:szCs w:val="24"/>
          <w:lang w:val="ro-MD"/>
        </w:rPr>
        <w:t xml:space="preserve"> În anul universitar 2019-20, mai mult de jumătate dintre studenții din ciclul I universitar (55,9 procente) au fost înscriși la studii în </w:t>
      </w:r>
      <w:r w:rsidR="00BA5DB2" w:rsidRPr="003836D9">
        <w:rPr>
          <w:rFonts w:ascii="Times New Roman" w:hAnsi="Times New Roman" w:cs="Times New Roman"/>
          <w:sz w:val="24"/>
          <w:szCs w:val="24"/>
          <w:lang w:val="ro-MD"/>
        </w:rPr>
        <w:t>educație</w:t>
      </w:r>
      <w:r w:rsidRPr="003836D9">
        <w:rPr>
          <w:rFonts w:ascii="Times New Roman" w:hAnsi="Times New Roman" w:cs="Times New Roman"/>
          <w:sz w:val="24"/>
          <w:szCs w:val="24"/>
          <w:lang w:val="ro-MD"/>
        </w:rPr>
        <w:t xml:space="preserve">, studii economice și juridice și 19 procente  la </w:t>
      </w:r>
      <w:r w:rsidR="00471AD7" w:rsidRPr="003836D9">
        <w:rPr>
          <w:rFonts w:ascii="Times New Roman" w:hAnsi="Times New Roman" w:cs="Times New Roman"/>
          <w:sz w:val="24"/>
          <w:szCs w:val="24"/>
          <w:lang w:val="ro-MD"/>
        </w:rPr>
        <w:t>facultăți</w:t>
      </w:r>
      <w:r w:rsidRPr="003836D9">
        <w:rPr>
          <w:rFonts w:ascii="Times New Roman" w:hAnsi="Times New Roman" w:cs="Times New Roman"/>
          <w:sz w:val="24"/>
          <w:szCs w:val="24"/>
          <w:lang w:val="ro-MD"/>
        </w:rPr>
        <w:t xml:space="preserve"> de tehnologie și inginerie, fără modificări majore în timp.</w:t>
      </w:r>
      <w:r w:rsidRPr="003836D9">
        <w:rPr>
          <w:rStyle w:val="FootnoteReference"/>
          <w:rFonts w:ascii="Times New Roman" w:hAnsi="Times New Roman" w:cs="Times New Roman"/>
          <w:sz w:val="24"/>
          <w:szCs w:val="24"/>
          <w:lang w:val="ro-MD"/>
        </w:rPr>
        <w:footnoteReference w:id="34"/>
      </w:r>
      <w:r w:rsidRPr="003836D9">
        <w:rPr>
          <w:rFonts w:ascii="Times New Roman" w:hAnsi="Times New Roman" w:cs="Times New Roman"/>
          <w:sz w:val="24"/>
          <w:szCs w:val="24"/>
          <w:lang w:val="ro-MD"/>
        </w:rPr>
        <w:t xml:space="preserve"> În ceea ce privește reformele în învățământul superior, </w:t>
      </w:r>
      <w:r w:rsidRPr="003836D9">
        <w:rPr>
          <w:rFonts w:ascii="Times New Roman" w:hAnsi="Times New Roman" w:cs="Times New Roman"/>
          <w:i/>
          <w:iCs/>
          <w:sz w:val="24"/>
          <w:szCs w:val="24"/>
          <w:lang w:val="ro-MD"/>
        </w:rPr>
        <w:t>Strategia de Dezvoltare a Educației 20</w:t>
      </w:r>
      <w:r w:rsidR="002A3264" w:rsidRPr="003836D9">
        <w:rPr>
          <w:rFonts w:ascii="Times New Roman" w:hAnsi="Times New Roman" w:cs="Times New Roman"/>
          <w:i/>
          <w:iCs/>
          <w:sz w:val="24"/>
          <w:szCs w:val="24"/>
          <w:lang w:val="ro-MD"/>
        </w:rPr>
        <w:t>3</w:t>
      </w:r>
      <w:r w:rsidRPr="003836D9">
        <w:rPr>
          <w:rFonts w:ascii="Times New Roman" w:hAnsi="Times New Roman" w:cs="Times New Roman"/>
          <w:i/>
          <w:iCs/>
          <w:sz w:val="24"/>
          <w:szCs w:val="24"/>
          <w:lang w:val="ro-MD"/>
        </w:rPr>
        <w:t>0</w:t>
      </w:r>
      <w:r w:rsidRPr="003836D9">
        <w:rPr>
          <w:rFonts w:ascii="Times New Roman" w:hAnsi="Times New Roman" w:cs="Times New Roman"/>
          <w:sz w:val="24"/>
          <w:szCs w:val="24"/>
          <w:lang w:val="ro-MD"/>
        </w:rPr>
        <w:t xml:space="preserve"> are în vedere doar modernizarea curriculei universitare, în timp ce Proiectul Învățământ</w:t>
      </w:r>
      <w:r w:rsidR="0074260D" w:rsidRPr="003836D9">
        <w:rPr>
          <w:rFonts w:ascii="Times New Roman" w:hAnsi="Times New Roman" w:cs="Times New Roman"/>
          <w:sz w:val="24"/>
          <w:szCs w:val="24"/>
          <w:lang w:val="ro-MD"/>
        </w:rPr>
        <w:t>ului</w:t>
      </w:r>
      <w:r w:rsidRPr="003836D9">
        <w:rPr>
          <w:rFonts w:ascii="Times New Roman" w:hAnsi="Times New Roman" w:cs="Times New Roman"/>
          <w:sz w:val="24"/>
          <w:szCs w:val="24"/>
          <w:lang w:val="ro-MD"/>
        </w:rPr>
        <w:t xml:space="preserve"> Superior – recent finanțat de Banca Mondială – prevede revizuirea standardelor de calificare, modernizarea </w:t>
      </w:r>
      <w:r w:rsidR="00471AD7" w:rsidRPr="003836D9">
        <w:rPr>
          <w:rFonts w:ascii="Times New Roman" w:hAnsi="Times New Roman" w:cs="Times New Roman"/>
          <w:sz w:val="24"/>
          <w:szCs w:val="24"/>
          <w:lang w:val="ro-MD"/>
        </w:rPr>
        <w:t>ciclului</w:t>
      </w:r>
      <w:r w:rsidRPr="003836D9">
        <w:rPr>
          <w:rFonts w:ascii="Times New Roman" w:hAnsi="Times New Roman" w:cs="Times New Roman"/>
          <w:sz w:val="24"/>
          <w:szCs w:val="24"/>
          <w:lang w:val="ro-MD"/>
        </w:rPr>
        <w:t xml:space="preserve"> de licență și master, introducerea unui nou model de finanțare, cu scopul general de a îmbunătăți receptivitatea generală a sistemului de învățământ superior la cerințele pieței muncii.</w:t>
      </w:r>
    </w:p>
    <w:p w14:paraId="65DBB2CF" w14:textId="334AC891" w:rsidR="00D31C2B" w:rsidRPr="003836D9" w:rsidRDefault="00D31C2B" w:rsidP="00813C55">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În perioada 2000-2013, Moldova a investit în medie 7 procente din PIB în educație. De atunci, investițiile în educație au ajuns la puțin peste cinci procente din PIB anual.</w:t>
      </w:r>
      <w:r w:rsidRPr="003836D9">
        <w:rPr>
          <w:rStyle w:val="FootnoteReference"/>
          <w:rFonts w:ascii="Times New Roman" w:eastAsia="Times New Roman" w:hAnsi="Times New Roman" w:cs="Times New Roman"/>
          <w:color w:val="000000"/>
          <w:sz w:val="24"/>
          <w:szCs w:val="24"/>
          <w:lang w:val="ro-MD"/>
        </w:rPr>
        <w:footnoteReference w:id="35"/>
      </w:r>
      <w:r w:rsidRPr="003836D9">
        <w:rPr>
          <w:rFonts w:ascii="Times New Roman" w:hAnsi="Times New Roman" w:cs="Times New Roman"/>
          <w:sz w:val="24"/>
          <w:szCs w:val="24"/>
          <w:lang w:val="ro-MD"/>
        </w:rPr>
        <w:t xml:space="preserve"> În ceea ce privește </w:t>
      </w:r>
      <w:r w:rsidR="00471AD7" w:rsidRPr="003836D9">
        <w:rPr>
          <w:rFonts w:ascii="Times New Roman" w:hAnsi="Times New Roman" w:cs="Times New Roman"/>
          <w:sz w:val="24"/>
          <w:szCs w:val="24"/>
          <w:lang w:val="ro-MD"/>
        </w:rPr>
        <w:t>structura</w:t>
      </w:r>
      <w:r w:rsidRPr="003836D9">
        <w:rPr>
          <w:rFonts w:ascii="Times New Roman" w:hAnsi="Times New Roman" w:cs="Times New Roman"/>
          <w:sz w:val="24"/>
          <w:szCs w:val="24"/>
          <w:lang w:val="ro-MD"/>
        </w:rPr>
        <w:t xml:space="preserve"> cheltuielilor, Republica Moldova cheltuie mai mult decât media </w:t>
      </w:r>
      <w:r w:rsidR="001C3D74" w:rsidRPr="003836D9">
        <w:rPr>
          <w:rFonts w:ascii="Times New Roman" w:hAnsi="Times New Roman" w:cs="Times New Roman"/>
          <w:sz w:val="24"/>
          <w:szCs w:val="24"/>
          <w:lang w:val="ro-MD"/>
        </w:rPr>
        <w:t xml:space="preserve">vecinilor </w:t>
      </w:r>
      <w:r w:rsidRPr="003836D9">
        <w:rPr>
          <w:rFonts w:ascii="Times New Roman" w:hAnsi="Times New Roman" w:cs="Times New Roman"/>
          <w:sz w:val="24"/>
          <w:szCs w:val="24"/>
          <w:lang w:val="ro-MD"/>
        </w:rPr>
        <w:t xml:space="preserve">săi la toate nivelurile de învățământ, în special în </w:t>
      </w:r>
      <w:r w:rsidR="008F61BC" w:rsidRPr="003836D9">
        <w:rPr>
          <w:rFonts w:ascii="Times New Roman" w:hAnsi="Times New Roman" w:cs="Times New Roman"/>
          <w:sz w:val="24"/>
          <w:szCs w:val="24"/>
          <w:lang w:val="ro-MD"/>
        </w:rPr>
        <w:t>educație timpurie</w:t>
      </w:r>
      <w:r w:rsidR="00F920EC" w:rsidRPr="003836D9">
        <w:rPr>
          <w:rFonts w:ascii="Times New Roman" w:hAnsi="Times New Roman" w:cs="Times New Roman"/>
          <w:sz w:val="24"/>
          <w:szCs w:val="24"/>
          <w:lang w:val="ro-MD"/>
        </w:rPr>
        <w:t>, educației primare și secundar generale</w:t>
      </w:r>
      <w:r w:rsidRPr="003836D9">
        <w:rPr>
          <w:rFonts w:ascii="Times New Roman" w:hAnsi="Times New Roman" w:cs="Times New Roman"/>
          <w:sz w:val="24"/>
          <w:szCs w:val="24"/>
          <w:lang w:val="ro-MD"/>
        </w:rPr>
        <w:t xml:space="preserve">. În ceea ce privește clasificarea economică, cheltuielile mari pentru educația publică din Moldova sunt determinate în principal de </w:t>
      </w:r>
      <w:r w:rsidR="00566E6C" w:rsidRPr="003836D9">
        <w:rPr>
          <w:rFonts w:ascii="Times New Roman" w:hAnsi="Times New Roman" w:cs="Times New Roman"/>
          <w:sz w:val="24"/>
          <w:szCs w:val="24"/>
          <w:lang w:val="ro-MD"/>
        </w:rPr>
        <w:t>salariile</w:t>
      </w:r>
      <w:r w:rsidRPr="003836D9">
        <w:rPr>
          <w:rFonts w:ascii="Times New Roman" w:hAnsi="Times New Roman" w:cs="Times New Roman"/>
          <w:sz w:val="24"/>
          <w:szCs w:val="24"/>
          <w:lang w:val="ro-MD"/>
        </w:rPr>
        <w:t xml:space="preserve"> angajaților și de alte cheltuieli curente, inclusiv bunuri și servicii. Deoarece masa salarială și costurile de funcționare absorb o bună parte din cheltuielile pentru educația publică, multe unități școlare au nevoie urgentă de renovare și sunt necesare mai multe investiții </w:t>
      </w:r>
      <w:r w:rsidR="00566E6C" w:rsidRPr="003836D9">
        <w:rPr>
          <w:rFonts w:ascii="Times New Roman" w:hAnsi="Times New Roman" w:cs="Times New Roman"/>
          <w:sz w:val="24"/>
          <w:szCs w:val="24"/>
          <w:lang w:val="ro-MD"/>
        </w:rPr>
        <w:t>în</w:t>
      </w:r>
      <w:r w:rsidRPr="003836D9">
        <w:rPr>
          <w:rFonts w:ascii="Times New Roman" w:hAnsi="Times New Roman" w:cs="Times New Roman"/>
          <w:sz w:val="24"/>
          <w:szCs w:val="24"/>
          <w:lang w:val="ro-MD"/>
        </w:rPr>
        <w:t xml:space="preserve"> materiale și echipamente </w:t>
      </w:r>
      <w:r w:rsidR="008F61BC" w:rsidRPr="003836D9">
        <w:rPr>
          <w:rFonts w:ascii="Times New Roman" w:hAnsi="Times New Roman" w:cs="Times New Roman"/>
          <w:sz w:val="24"/>
          <w:szCs w:val="24"/>
          <w:lang w:val="ro-MD"/>
        </w:rPr>
        <w:t xml:space="preserve">necesare procesului de </w:t>
      </w:r>
      <w:r w:rsidRPr="003836D9">
        <w:rPr>
          <w:rFonts w:ascii="Times New Roman" w:hAnsi="Times New Roman" w:cs="Times New Roman"/>
          <w:sz w:val="24"/>
          <w:szCs w:val="24"/>
          <w:lang w:val="ro-MD"/>
        </w:rPr>
        <w:t xml:space="preserve">studiu. Alte </w:t>
      </w:r>
      <w:r w:rsidR="00566E6C" w:rsidRPr="003836D9">
        <w:rPr>
          <w:rFonts w:ascii="Times New Roman" w:hAnsi="Times New Roman" w:cs="Times New Roman"/>
          <w:sz w:val="24"/>
          <w:szCs w:val="24"/>
          <w:lang w:val="ro-MD"/>
        </w:rPr>
        <w:t xml:space="preserve">cheltuieli </w:t>
      </w:r>
      <w:r w:rsidRPr="003836D9">
        <w:rPr>
          <w:rFonts w:ascii="Times New Roman" w:hAnsi="Times New Roman" w:cs="Times New Roman"/>
          <w:sz w:val="24"/>
          <w:szCs w:val="24"/>
          <w:lang w:val="ro-MD"/>
        </w:rPr>
        <w:t>ineficien</w:t>
      </w:r>
      <w:r w:rsidR="005834AA" w:rsidRPr="003836D9">
        <w:rPr>
          <w:rFonts w:ascii="Times New Roman" w:hAnsi="Times New Roman" w:cs="Times New Roman"/>
          <w:sz w:val="24"/>
          <w:szCs w:val="24"/>
          <w:lang w:val="ro-MD"/>
        </w:rPr>
        <w:t>te</w:t>
      </w:r>
      <w:r w:rsidRPr="003836D9">
        <w:rPr>
          <w:rFonts w:ascii="Times New Roman" w:hAnsi="Times New Roman" w:cs="Times New Roman"/>
          <w:sz w:val="24"/>
          <w:szCs w:val="24"/>
          <w:lang w:val="ro-MD"/>
        </w:rPr>
        <w:t xml:space="preserve"> se referă la adaptarea lentă a rețelei școlare la </w:t>
      </w:r>
      <w:r w:rsidR="008F61BC" w:rsidRPr="003836D9">
        <w:rPr>
          <w:rFonts w:ascii="Times New Roman" w:hAnsi="Times New Roman" w:cs="Times New Roman"/>
          <w:sz w:val="24"/>
          <w:szCs w:val="24"/>
          <w:lang w:val="ro-MD"/>
        </w:rPr>
        <w:t xml:space="preserve">numărul </w:t>
      </w:r>
      <w:r w:rsidRPr="003836D9">
        <w:rPr>
          <w:rFonts w:ascii="Times New Roman" w:hAnsi="Times New Roman" w:cs="Times New Roman"/>
          <w:sz w:val="24"/>
          <w:szCs w:val="24"/>
          <w:lang w:val="ro-MD"/>
        </w:rPr>
        <w:t>de elevi în scădere rapidă</w:t>
      </w:r>
      <w:r w:rsidR="008F61BC"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ceea ce face ca multe școli să funcționeze sub capacitate, cu </w:t>
      </w:r>
      <w:r w:rsidR="005834AA" w:rsidRPr="003836D9">
        <w:rPr>
          <w:rFonts w:ascii="Times New Roman" w:hAnsi="Times New Roman" w:cs="Times New Roman"/>
          <w:sz w:val="24"/>
          <w:szCs w:val="24"/>
          <w:lang w:val="ro-MD"/>
        </w:rPr>
        <w:t xml:space="preserve">un raport scăzut </w:t>
      </w:r>
      <w:r w:rsidRPr="003836D9">
        <w:rPr>
          <w:rFonts w:ascii="Times New Roman" w:hAnsi="Times New Roman" w:cs="Times New Roman"/>
          <w:sz w:val="24"/>
          <w:szCs w:val="24"/>
          <w:lang w:val="ro-MD"/>
        </w:rPr>
        <w:t>elev-profesor în comparație cu țările partenere (12:1 în Moldova față de 20:1 în țările G20); calificările cadrelor didactice și un sistem de salarizare neorientat să atragă personal mai tânăr și mai bine calificat; și conținutul curricul</w:t>
      </w:r>
      <w:r w:rsidR="00566E6C" w:rsidRPr="003836D9">
        <w:rPr>
          <w:rFonts w:ascii="Times New Roman" w:hAnsi="Times New Roman" w:cs="Times New Roman"/>
          <w:sz w:val="24"/>
          <w:szCs w:val="24"/>
          <w:lang w:val="ro-MD"/>
        </w:rPr>
        <w:t>ei</w:t>
      </w:r>
      <w:r w:rsidRPr="003836D9">
        <w:rPr>
          <w:rFonts w:ascii="Times New Roman" w:hAnsi="Times New Roman" w:cs="Times New Roman"/>
          <w:sz w:val="24"/>
          <w:szCs w:val="24"/>
          <w:lang w:val="ro-MD"/>
        </w:rPr>
        <w:t>, care nu pare să utilizeze eficient timpul de predare, cu un sistem de evaluare încă axat pe capacitatea de a reproduce materialele învățate în clasă, decât pe competențe.</w:t>
      </w:r>
    </w:p>
    <w:p w14:paraId="38679C85" w14:textId="56FD37CB" w:rsidR="00D31C2B" w:rsidRPr="003836D9" w:rsidRDefault="00D31C2B" w:rsidP="008F61BC">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Indiferent de investițiile în învățământul superior și</w:t>
      </w:r>
      <w:r w:rsidR="008F61BC"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în special</w:t>
      </w:r>
      <w:r w:rsidR="008F61BC"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primar și </w:t>
      </w:r>
      <w:r w:rsidR="0032731A" w:rsidRPr="003836D9">
        <w:rPr>
          <w:rFonts w:ascii="Times New Roman" w:hAnsi="Times New Roman" w:cs="Times New Roman"/>
          <w:sz w:val="24"/>
          <w:szCs w:val="24"/>
          <w:lang w:val="ro-MD"/>
        </w:rPr>
        <w:t>secundar,</w:t>
      </w:r>
      <w:r w:rsidRPr="003836D9">
        <w:rPr>
          <w:rFonts w:ascii="Times New Roman" w:hAnsi="Times New Roman" w:cs="Times New Roman"/>
          <w:sz w:val="24"/>
          <w:szCs w:val="24"/>
          <w:lang w:val="ro-MD"/>
        </w:rPr>
        <w:t xml:space="preserve"> rezultatele educaționale pentru elevii de 15 ani sunt slabe, ponderea celor cu rezultate slabe în citire, matematică și științe depășind 30 procente (comparativ cu media OCDE de 13,4 procente), cu decalajul dintre elevii care locuiesc în mediul rural și cel urban egal cu 1,5 ani de școlarizare.</w:t>
      </w:r>
      <w:r w:rsidRPr="003836D9">
        <w:rPr>
          <w:rStyle w:val="FootnoteReference"/>
          <w:rFonts w:ascii="Times New Roman" w:hAnsi="Times New Roman" w:cs="Times New Roman"/>
          <w:sz w:val="24"/>
          <w:szCs w:val="24"/>
          <w:lang w:val="ro-MD"/>
        </w:rPr>
        <w:footnoteReference w:id="36"/>
      </w:r>
    </w:p>
    <w:p w14:paraId="0010CE51" w14:textId="63568164" w:rsidR="001E6B44" w:rsidRPr="003836D9" w:rsidRDefault="00D31C2B" w:rsidP="008F61BC">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Din 2014, mai multe reforme au încercat să îmbunătățească </w:t>
      </w:r>
      <w:r w:rsidR="00D6163D" w:rsidRPr="003836D9">
        <w:rPr>
          <w:rFonts w:ascii="Times New Roman" w:hAnsi="Times New Roman" w:cs="Times New Roman"/>
          <w:sz w:val="24"/>
          <w:szCs w:val="24"/>
          <w:lang w:val="ro-MD"/>
        </w:rPr>
        <w:t>corelarea</w:t>
      </w:r>
      <w:r w:rsidRPr="003836D9">
        <w:rPr>
          <w:rFonts w:ascii="Times New Roman" w:hAnsi="Times New Roman" w:cs="Times New Roman"/>
          <w:sz w:val="24"/>
          <w:szCs w:val="24"/>
          <w:lang w:val="ro-MD"/>
        </w:rPr>
        <w:t xml:space="preserve"> sistemului de învățământ </w:t>
      </w:r>
      <w:r w:rsidR="00D6163D" w:rsidRPr="003836D9">
        <w:rPr>
          <w:rFonts w:ascii="Times New Roman" w:hAnsi="Times New Roman" w:cs="Times New Roman"/>
          <w:sz w:val="24"/>
          <w:szCs w:val="24"/>
          <w:lang w:val="ro-MD"/>
        </w:rPr>
        <w:t>cu</w:t>
      </w:r>
      <w:r w:rsidRPr="003836D9">
        <w:rPr>
          <w:rFonts w:ascii="Times New Roman" w:hAnsi="Times New Roman" w:cs="Times New Roman"/>
          <w:sz w:val="24"/>
          <w:szCs w:val="24"/>
          <w:lang w:val="ro-MD"/>
        </w:rPr>
        <w:t xml:space="preserve"> nevoile pieței muncii. </w:t>
      </w:r>
      <w:r w:rsidRPr="003836D9">
        <w:rPr>
          <w:rFonts w:ascii="Times New Roman" w:hAnsi="Times New Roman" w:cs="Times New Roman"/>
          <w:i/>
          <w:iCs/>
          <w:sz w:val="24"/>
          <w:szCs w:val="24"/>
          <w:lang w:val="ro-MD"/>
        </w:rPr>
        <w:t>Codul Educației</w:t>
      </w:r>
      <w:r w:rsidRPr="003836D9">
        <w:rPr>
          <w:rFonts w:ascii="Times New Roman" w:hAnsi="Times New Roman" w:cs="Times New Roman"/>
          <w:sz w:val="24"/>
          <w:szCs w:val="24"/>
          <w:lang w:val="ro-MD"/>
        </w:rPr>
        <w:t xml:space="preserve"> stabilește cadrul legal pentru organizarea, implementarea și dezvoltarea </w:t>
      </w:r>
      <w:r w:rsidR="00F617CE" w:rsidRPr="003836D9">
        <w:rPr>
          <w:rFonts w:ascii="Times New Roman" w:hAnsi="Times New Roman" w:cs="Times New Roman"/>
          <w:sz w:val="24"/>
          <w:szCs w:val="24"/>
          <w:lang w:val="ro-MD"/>
        </w:rPr>
        <w:t>învățământului</w:t>
      </w:r>
      <w:r w:rsidRPr="003836D9">
        <w:rPr>
          <w:rFonts w:ascii="Times New Roman" w:hAnsi="Times New Roman" w:cs="Times New Roman"/>
          <w:sz w:val="24"/>
          <w:szCs w:val="24"/>
          <w:lang w:val="ro-MD"/>
        </w:rPr>
        <w:t xml:space="preserve"> și oferă baza pentru modernizarea sistemului de </w:t>
      </w:r>
      <w:r w:rsidR="00F617CE" w:rsidRPr="003836D9">
        <w:rPr>
          <w:rFonts w:ascii="Times New Roman" w:hAnsi="Times New Roman" w:cs="Times New Roman"/>
          <w:sz w:val="24"/>
          <w:szCs w:val="24"/>
          <w:lang w:val="ro-MD"/>
        </w:rPr>
        <w:t>învățământ</w:t>
      </w:r>
      <w:r w:rsidRPr="003836D9">
        <w:rPr>
          <w:rFonts w:ascii="Times New Roman" w:hAnsi="Times New Roman" w:cs="Times New Roman"/>
          <w:sz w:val="24"/>
          <w:szCs w:val="24"/>
          <w:lang w:val="ro-MD"/>
        </w:rPr>
        <w:t xml:space="preserve"> și formare. </w:t>
      </w:r>
      <w:r w:rsidR="00F617CE" w:rsidRPr="003836D9">
        <w:rPr>
          <w:rFonts w:ascii="Times New Roman" w:hAnsi="Times New Roman" w:cs="Times New Roman"/>
          <w:sz w:val="24"/>
          <w:szCs w:val="24"/>
          <w:lang w:val="ro-MD"/>
        </w:rPr>
        <w:t>De asemenea, c</w:t>
      </w:r>
      <w:r w:rsidRPr="003836D9">
        <w:rPr>
          <w:rFonts w:ascii="Times New Roman" w:hAnsi="Times New Roman" w:cs="Times New Roman"/>
          <w:sz w:val="24"/>
          <w:szCs w:val="24"/>
          <w:lang w:val="ro-MD"/>
        </w:rPr>
        <w:t>odul stabilește</w:t>
      </w:r>
      <w:r w:rsidR="0010160C"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un nou sistem</w:t>
      </w:r>
      <w:r w:rsidR="0025041D">
        <w:rPr>
          <w:rFonts w:ascii="Times New Roman" w:hAnsi="Times New Roman" w:cs="Times New Roman"/>
          <w:sz w:val="24"/>
          <w:szCs w:val="24"/>
          <w:lang w:val="ro-MD"/>
        </w:rPr>
        <w:t xml:space="preserve"> de</w:t>
      </w:r>
      <w:r w:rsidRPr="003836D9">
        <w:rPr>
          <w:rFonts w:ascii="Times New Roman" w:hAnsi="Times New Roman" w:cs="Times New Roman"/>
          <w:sz w:val="24"/>
          <w:szCs w:val="24"/>
          <w:lang w:val="ro-MD"/>
        </w:rPr>
        <w:t xml:space="preserve"> </w:t>
      </w:r>
      <w:r w:rsidR="0025041D" w:rsidRPr="003836D9">
        <w:rPr>
          <w:rFonts w:ascii="Times New Roman" w:hAnsi="Times New Roman" w:cs="Times New Roman"/>
          <w:sz w:val="24"/>
          <w:szCs w:val="24"/>
          <w:lang w:val="ro-MD"/>
        </w:rPr>
        <w:t>învățământ</w:t>
      </w:r>
      <w:r w:rsidR="008F61BC" w:rsidRPr="003836D9">
        <w:rPr>
          <w:rFonts w:ascii="Times New Roman" w:hAnsi="Times New Roman" w:cs="Times New Roman"/>
          <w:sz w:val="24"/>
          <w:szCs w:val="24"/>
          <w:lang w:val="ro-MD"/>
        </w:rPr>
        <w:t xml:space="preserve"> profesional tehnic or</w:t>
      </w:r>
      <w:r w:rsidRPr="003836D9">
        <w:rPr>
          <w:rFonts w:ascii="Times New Roman" w:hAnsi="Times New Roman" w:cs="Times New Roman"/>
          <w:sz w:val="24"/>
          <w:szCs w:val="24"/>
          <w:lang w:val="ro-MD"/>
        </w:rPr>
        <w:t xml:space="preserve">ganizat </w:t>
      </w:r>
      <w:r w:rsidR="00D6163D" w:rsidRPr="003836D9">
        <w:rPr>
          <w:rFonts w:ascii="Times New Roman" w:hAnsi="Times New Roman" w:cs="Times New Roman"/>
          <w:sz w:val="24"/>
          <w:szCs w:val="24"/>
          <w:lang w:val="ro-MD"/>
        </w:rPr>
        <w:t>în două nivele</w:t>
      </w:r>
      <w:r w:rsidRPr="003836D9">
        <w:rPr>
          <w:rFonts w:ascii="Times New Roman" w:hAnsi="Times New Roman" w:cs="Times New Roman"/>
          <w:sz w:val="24"/>
          <w:szCs w:val="24"/>
          <w:lang w:val="ro-MD"/>
        </w:rPr>
        <w:t>, și anume</w:t>
      </w:r>
      <w:r w:rsidR="00D6163D"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w:t>
      </w:r>
      <w:r w:rsidR="0025041D" w:rsidRPr="003836D9">
        <w:rPr>
          <w:rFonts w:ascii="Times New Roman" w:hAnsi="Times New Roman" w:cs="Times New Roman"/>
          <w:sz w:val="24"/>
          <w:szCs w:val="24"/>
          <w:lang w:val="ro-MD"/>
        </w:rPr>
        <w:t>învățămân</w:t>
      </w:r>
      <w:r w:rsidR="0025041D">
        <w:rPr>
          <w:rFonts w:ascii="Times New Roman" w:hAnsi="Times New Roman" w:cs="Times New Roman"/>
          <w:sz w:val="24"/>
          <w:szCs w:val="24"/>
          <w:lang w:val="ro-MD"/>
        </w:rPr>
        <w:t>t</w:t>
      </w:r>
      <w:r w:rsidR="008F61BC" w:rsidRPr="003836D9">
        <w:rPr>
          <w:rFonts w:ascii="Times New Roman" w:hAnsi="Times New Roman" w:cs="Times New Roman"/>
          <w:sz w:val="24"/>
          <w:szCs w:val="24"/>
          <w:lang w:val="ro-MD"/>
        </w:rPr>
        <w:t xml:space="preserve"> profesional</w:t>
      </w:r>
      <w:r w:rsidRPr="003836D9">
        <w:rPr>
          <w:rFonts w:ascii="Times New Roman" w:hAnsi="Times New Roman" w:cs="Times New Roman"/>
          <w:sz w:val="24"/>
          <w:szCs w:val="24"/>
          <w:lang w:val="ro-MD"/>
        </w:rPr>
        <w:t xml:space="preserve"> </w:t>
      </w:r>
      <w:r w:rsidR="003468EB" w:rsidRPr="003836D9">
        <w:rPr>
          <w:rFonts w:ascii="Times New Roman" w:hAnsi="Times New Roman" w:cs="Times New Roman"/>
          <w:sz w:val="24"/>
          <w:szCs w:val="24"/>
          <w:lang w:val="ro-MD"/>
        </w:rPr>
        <w:t xml:space="preserve">tehnic </w:t>
      </w:r>
      <w:r w:rsidRPr="003836D9">
        <w:rPr>
          <w:rFonts w:ascii="Times New Roman" w:hAnsi="Times New Roman" w:cs="Times New Roman"/>
          <w:sz w:val="24"/>
          <w:szCs w:val="24"/>
          <w:lang w:val="ro-MD"/>
        </w:rPr>
        <w:t xml:space="preserve">secundar (școli </w:t>
      </w:r>
      <w:r w:rsidR="00D6163D" w:rsidRPr="003836D9">
        <w:rPr>
          <w:rFonts w:ascii="Times New Roman" w:hAnsi="Times New Roman" w:cs="Times New Roman"/>
          <w:sz w:val="24"/>
          <w:szCs w:val="24"/>
          <w:lang w:val="ro-MD"/>
        </w:rPr>
        <w:t xml:space="preserve">profesionale </w:t>
      </w:r>
      <w:r w:rsidRPr="003836D9">
        <w:rPr>
          <w:rFonts w:ascii="Times New Roman" w:hAnsi="Times New Roman" w:cs="Times New Roman"/>
          <w:sz w:val="24"/>
          <w:szCs w:val="24"/>
          <w:lang w:val="ro-MD"/>
        </w:rPr>
        <w:t xml:space="preserve">și </w:t>
      </w:r>
      <w:r w:rsidR="008F61BC" w:rsidRPr="003836D9">
        <w:rPr>
          <w:rFonts w:ascii="Times New Roman" w:hAnsi="Times New Roman" w:cs="Times New Roman"/>
          <w:sz w:val="24"/>
          <w:szCs w:val="24"/>
          <w:lang w:val="ro-MD"/>
        </w:rPr>
        <w:t>colegii)</w:t>
      </w:r>
      <w:r w:rsidRPr="003836D9">
        <w:rPr>
          <w:rFonts w:ascii="Times New Roman" w:hAnsi="Times New Roman" w:cs="Times New Roman"/>
          <w:sz w:val="24"/>
          <w:szCs w:val="24"/>
          <w:lang w:val="ro-MD"/>
        </w:rPr>
        <w:t xml:space="preserve"> și </w:t>
      </w:r>
      <w:r w:rsidR="0025041D" w:rsidRPr="003836D9">
        <w:rPr>
          <w:rFonts w:ascii="Times New Roman" w:hAnsi="Times New Roman" w:cs="Times New Roman"/>
          <w:sz w:val="24"/>
          <w:szCs w:val="24"/>
          <w:lang w:val="ro-MD"/>
        </w:rPr>
        <w:t>învățământ</w:t>
      </w:r>
      <w:r w:rsidR="008F61BC" w:rsidRPr="003836D9">
        <w:rPr>
          <w:rFonts w:ascii="Times New Roman" w:hAnsi="Times New Roman" w:cs="Times New Roman"/>
          <w:sz w:val="24"/>
          <w:szCs w:val="24"/>
          <w:lang w:val="ro-MD"/>
        </w:rPr>
        <w:t xml:space="preserve"> profesional tehnic </w:t>
      </w:r>
      <w:r w:rsidRPr="003836D9">
        <w:rPr>
          <w:rFonts w:ascii="Times New Roman" w:hAnsi="Times New Roman" w:cs="Times New Roman"/>
          <w:sz w:val="24"/>
          <w:szCs w:val="24"/>
          <w:lang w:val="ro-MD"/>
        </w:rPr>
        <w:t xml:space="preserve">postsecundar </w:t>
      </w:r>
      <w:r w:rsidR="00175BA9" w:rsidRPr="003836D9">
        <w:rPr>
          <w:rFonts w:ascii="Times New Roman" w:hAnsi="Times New Roman" w:cs="Times New Roman"/>
          <w:sz w:val="24"/>
          <w:szCs w:val="24"/>
          <w:lang w:val="ro-MD"/>
        </w:rPr>
        <w:t xml:space="preserve">nonterțiar </w:t>
      </w:r>
      <w:r w:rsidRPr="003836D9">
        <w:rPr>
          <w:rFonts w:ascii="Times New Roman" w:hAnsi="Times New Roman" w:cs="Times New Roman"/>
          <w:sz w:val="24"/>
          <w:szCs w:val="24"/>
          <w:lang w:val="ro-MD"/>
        </w:rPr>
        <w:t xml:space="preserve">(centre de excelență). Sistemul </w:t>
      </w:r>
      <w:r w:rsidR="0025041D" w:rsidRPr="003836D9">
        <w:rPr>
          <w:rFonts w:ascii="Times New Roman" w:hAnsi="Times New Roman" w:cs="Times New Roman"/>
          <w:sz w:val="24"/>
          <w:szCs w:val="24"/>
          <w:lang w:val="ro-MD"/>
        </w:rPr>
        <w:t>învățământului</w:t>
      </w:r>
      <w:r w:rsidR="008F61BC" w:rsidRPr="003836D9">
        <w:rPr>
          <w:rFonts w:ascii="Times New Roman" w:hAnsi="Times New Roman" w:cs="Times New Roman"/>
          <w:sz w:val="24"/>
          <w:szCs w:val="24"/>
          <w:lang w:val="ro-MD"/>
        </w:rPr>
        <w:t xml:space="preserve"> profesional tehnic </w:t>
      </w:r>
      <w:r w:rsidRPr="003836D9">
        <w:rPr>
          <w:rFonts w:ascii="Times New Roman" w:hAnsi="Times New Roman" w:cs="Times New Roman"/>
          <w:sz w:val="24"/>
          <w:szCs w:val="24"/>
          <w:lang w:val="ro-MD"/>
        </w:rPr>
        <w:t xml:space="preserve">a fost îmbunătățit și mai mult prin introducerea în 2014 a unui sistem </w:t>
      </w:r>
      <w:r w:rsidR="0025041D">
        <w:rPr>
          <w:rFonts w:ascii="Times New Roman" w:hAnsi="Times New Roman" w:cs="Times New Roman"/>
          <w:sz w:val="24"/>
          <w:szCs w:val="24"/>
          <w:lang w:val="ro-MD"/>
        </w:rPr>
        <w:t xml:space="preserve">de </w:t>
      </w:r>
      <w:r w:rsidR="008F61BC" w:rsidRPr="003836D9">
        <w:rPr>
          <w:rFonts w:ascii="Times New Roman" w:hAnsi="Times New Roman" w:cs="Times New Roman"/>
          <w:sz w:val="24"/>
          <w:szCs w:val="24"/>
          <w:lang w:val="ro-MD"/>
        </w:rPr>
        <w:t xml:space="preserve">formare profesională duală </w:t>
      </w:r>
      <w:r w:rsidRPr="003836D9">
        <w:rPr>
          <w:rFonts w:ascii="Times New Roman" w:hAnsi="Times New Roman" w:cs="Times New Roman"/>
          <w:sz w:val="24"/>
          <w:szCs w:val="24"/>
          <w:lang w:val="ro-MD"/>
        </w:rPr>
        <w:t>(cu o pondere de studenți egală cu 10 procente în anul universitar 2020-20</w:t>
      </w:r>
      <w:r w:rsidR="008F61BC" w:rsidRPr="003836D9">
        <w:rPr>
          <w:rFonts w:ascii="Times New Roman" w:hAnsi="Times New Roman" w:cs="Times New Roman"/>
          <w:sz w:val="24"/>
          <w:szCs w:val="24"/>
          <w:lang w:val="ro-MD"/>
        </w:rPr>
        <w:t>21) și a centrelor de excelență</w:t>
      </w:r>
      <w:r w:rsidRPr="003836D9">
        <w:rPr>
          <w:rFonts w:ascii="Times New Roman" w:hAnsi="Times New Roman" w:cs="Times New Roman"/>
          <w:sz w:val="24"/>
          <w:szCs w:val="24"/>
          <w:lang w:val="ro-MD"/>
        </w:rPr>
        <w:t xml:space="preserve">, care oferă formare </w:t>
      </w:r>
      <w:r w:rsidR="008F61BC" w:rsidRPr="003836D9">
        <w:rPr>
          <w:rFonts w:ascii="Times New Roman" w:hAnsi="Times New Roman" w:cs="Times New Roman"/>
          <w:sz w:val="24"/>
          <w:szCs w:val="24"/>
          <w:lang w:val="ro-MD"/>
        </w:rPr>
        <w:t>profesională i</w:t>
      </w:r>
      <w:r w:rsidRPr="003836D9">
        <w:rPr>
          <w:rFonts w:ascii="Times New Roman" w:hAnsi="Times New Roman" w:cs="Times New Roman"/>
          <w:sz w:val="24"/>
          <w:szCs w:val="24"/>
          <w:lang w:val="ro-MD"/>
        </w:rPr>
        <w:t xml:space="preserve">nițială și </w:t>
      </w:r>
      <w:r w:rsidRPr="003836D9">
        <w:rPr>
          <w:rFonts w:ascii="Times New Roman" w:hAnsi="Times New Roman" w:cs="Times New Roman"/>
          <w:sz w:val="24"/>
          <w:szCs w:val="24"/>
          <w:lang w:val="ro-MD"/>
        </w:rPr>
        <w:lastRenderedPageBreak/>
        <w:t>recunoașterea învățării anterioare.</w:t>
      </w:r>
      <w:r w:rsidRPr="003836D9">
        <w:rPr>
          <w:rStyle w:val="FootnoteReference"/>
          <w:rFonts w:ascii="Times New Roman" w:hAnsi="Times New Roman" w:cs="Times New Roman"/>
          <w:sz w:val="24"/>
          <w:szCs w:val="24"/>
          <w:lang w:val="ro-MD"/>
        </w:rPr>
        <w:footnoteReference w:id="37"/>
      </w:r>
      <w:r w:rsidRPr="003836D9">
        <w:rPr>
          <w:rFonts w:ascii="Times New Roman" w:hAnsi="Times New Roman" w:cs="Times New Roman"/>
          <w:sz w:val="24"/>
          <w:szCs w:val="24"/>
          <w:lang w:val="ro-MD"/>
        </w:rPr>
        <w:t xml:space="preserve"> </w:t>
      </w:r>
      <w:r w:rsidR="0075529A" w:rsidRPr="003836D9">
        <w:rPr>
          <w:rFonts w:ascii="Times New Roman" w:hAnsi="Times New Roman" w:cs="Times New Roman"/>
          <w:sz w:val="24"/>
          <w:szCs w:val="24"/>
          <w:lang w:val="ro-MD"/>
        </w:rPr>
        <w:t>Însă, aceste reforme nu-și ating obiectivul</w:t>
      </w:r>
      <w:r w:rsidR="002147AD"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 xml:space="preserve">în ceea ce privește scăderea ratei șomajului </w:t>
      </w:r>
      <w:r w:rsidR="00D6163D" w:rsidRPr="003836D9">
        <w:rPr>
          <w:rFonts w:ascii="Times New Roman" w:hAnsi="Times New Roman" w:cs="Times New Roman"/>
          <w:sz w:val="24"/>
          <w:szCs w:val="24"/>
          <w:lang w:val="ro-MD"/>
        </w:rPr>
        <w:t>în rândul</w:t>
      </w:r>
      <w:r w:rsidRPr="003836D9">
        <w:rPr>
          <w:rFonts w:ascii="Times New Roman" w:hAnsi="Times New Roman" w:cs="Times New Roman"/>
          <w:sz w:val="24"/>
          <w:szCs w:val="24"/>
          <w:lang w:val="ro-MD"/>
        </w:rPr>
        <w:t xml:space="preserve"> absolvenților </w:t>
      </w:r>
      <w:r w:rsidR="0025041D" w:rsidRPr="003836D9">
        <w:rPr>
          <w:rFonts w:ascii="Times New Roman" w:hAnsi="Times New Roman" w:cs="Times New Roman"/>
          <w:sz w:val="24"/>
          <w:szCs w:val="24"/>
          <w:lang w:val="ro-MD"/>
        </w:rPr>
        <w:t>învățământului</w:t>
      </w:r>
      <w:r w:rsidR="008F61BC" w:rsidRPr="003836D9">
        <w:rPr>
          <w:rFonts w:ascii="Times New Roman" w:hAnsi="Times New Roman" w:cs="Times New Roman"/>
          <w:sz w:val="24"/>
          <w:szCs w:val="24"/>
          <w:lang w:val="ro-MD"/>
        </w:rPr>
        <w:t xml:space="preserve"> profesional tehnic</w:t>
      </w:r>
      <w:r w:rsidRPr="003836D9">
        <w:rPr>
          <w:rFonts w:ascii="Times New Roman" w:hAnsi="Times New Roman" w:cs="Times New Roman"/>
          <w:sz w:val="24"/>
          <w:szCs w:val="24"/>
          <w:lang w:val="ro-MD"/>
        </w:rPr>
        <w:t xml:space="preserve">. Sistemul de învățământ superior a fost neglijat în ultimii ani, iar acest lucru se reflectă în rate ridicate ale șomajului și </w:t>
      </w:r>
      <w:r w:rsidR="00D6163D" w:rsidRPr="003836D9">
        <w:rPr>
          <w:rFonts w:ascii="Times New Roman" w:hAnsi="Times New Roman" w:cs="Times New Roman"/>
          <w:sz w:val="24"/>
          <w:szCs w:val="24"/>
          <w:lang w:val="ro-MD"/>
        </w:rPr>
        <w:t xml:space="preserve">ale tinerilor </w:t>
      </w:r>
      <w:r w:rsidRPr="003836D9">
        <w:rPr>
          <w:rFonts w:ascii="Times New Roman" w:hAnsi="Times New Roman" w:cs="Times New Roman"/>
          <w:sz w:val="24"/>
          <w:szCs w:val="24"/>
          <w:lang w:val="ro-MD"/>
        </w:rPr>
        <w:t>NEET în rândul absolvenților de universități</w:t>
      </w:r>
      <w:r w:rsidR="006A73FE" w:rsidRPr="003836D9">
        <w:rPr>
          <w:rFonts w:ascii="Times New Roman" w:hAnsi="Times New Roman" w:cs="Times New Roman"/>
          <w:sz w:val="24"/>
          <w:szCs w:val="24"/>
          <w:lang w:val="ro-MD"/>
        </w:rPr>
        <w:t>.</w:t>
      </w:r>
    </w:p>
    <w:p w14:paraId="7BA78943" w14:textId="773254A1" w:rsidR="003547EA" w:rsidRPr="003836D9" w:rsidRDefault="00A24581" w:rsidP="009073DE">
      <w:pPr>
        <w:pStyle w:val="Heading2"/>
        <w:spacing w:before="0" w:after="160" w:line="259" w:lineRule="auto"/>
        <w:ind w:left="2880"/>
        <w:rPr>
          <w:rFonts w:ascii="Times New Roman" w:hAnsi="Times New Roman"/>
          <w:i/>
          <w:color w:val="auto"/>
          <w:sz w:val="24"/>
          <w:szCs w:val="24"/>
          <w:lang w:val="ro-MD"/>
        </w:rPr>
      </w:pPr>
      <w:bookmarkStart w:id="68" w:name="_Toc72745850"/>
      <w:bookmarkStart w:id="69" w:name="_Toc97709292"/>
      <w:r w:rsidRPr="003836D9">
        <w:rPr>
          <w:rFonts w:ascii="Times New Roman" w:hAnsi="Times New Roman"/>
          <w:i/>
          <w:color w:val="auto"/>
          <w:sz w:val="24"/>
          <w:szCs w:val="24"/>
          <w:lang w:val="ro-MD"/>
        </w:rPr>
        <w:t>Politicile și instituțiile pieței muncii</w:t>
      </w:r>
      <w:bookmarkEnd w:id="68"/>
      <w:bookmarkEnd w:id="69"/>
    </w:p>
    <w:p w14:paraId="17DE1520" w14:textId="56662508" w:rsidR="0067204B" w:rsidRPr="003836D9" w:rsidRDefault="00A24581" w:rsidP="00720214">
      <w:pPr>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În perioada 2017-2021, politic</w:t>
      </w:r>
      <w:r w:rsidR="00D6163D" w:rsidRPr="003836D9">
        <w:rPr>
          <w:rFonts w:ascii="Times New Roman" w:hAnsi="Times New Roman" w:cs="Times New Roman"/>
          <w:sz w:val="24"/>
          <w:szCs w:val="24"/>
          <w:lang w:val="ro-MD"/>
        </w:rPr>
        <w:t xml:space="preserve">ile </w:t>
      </w:r>
      <w:r w:rsidRPr="003836D9">
        <w:rPr>
          <w:rFonts w:ascii="Times New Roman" w:hAnsi="Times New Roman" w:cs="Times New Roman"/>
          <w:sz w:val="24"/>
          <w:szCs w:val="24"/>
          <w:lang w:val="ro-MD"/>
        </w:rPr>
        <w:t>de ocupare a forței de muncă a Republicii Moldova a</w:t>
      </w:r>
      <w:r w:rsidR="00D6163D" w:rsidRPr="003836D9">
        <w:rPr>
          <w:rFonts w:ascii="Times New Roman" w:hAnsi="Times New Roman" w:cs="Times New Roman"/>
          <w:sz w:val="24"/>
          <w:szCs w:val="24"/>
          <w:lang w:val="ro-MD"/>
        </w:rPr>
        <w:t>u</w:t>
      </w:r>
      <w:r w:rsidRPr="003836D9">
        <w:rPr>
          <w:rFonts w:ascii="Times New Roman" w:hAnsi="Times New Roman" w:cs="Times New Roman"/>
          <w:sz w:val="24"/>
          <w:szCs w:val="24"/>
          <w:lang w:val="ro-MD"/>
        </w:rPr>
        <w:t xml:space="preserve"> fost ghidat</w:t>
      </w:r>
      <w:r w:rsidR="00D6163D" w:rsidRPr="003836D9">
        <w:rPr>
          <w:rFonts w:ascii="Times New Roman" w:hAnsi="Times New Roman" w:cs="Times New Roman"/>
          <w:sz w:val="24"/>
          <w:szCs w:val="24"/>
          <w:lang w:val="ro-MD"/>
        </w:rPr>
        <w:t>e</w:t>
      </w:r>
      <w:r w:rsidRPr="003836D9">
        <w:rPr>
          <w:rFonts w:ascii="Times New Roman" w:hAnsi="Times New Roman" w:cs="Times New Roman"/>
          <w:sz w:val="24"/>
          <w:szCs w:val="24"/>
          <w:lang w:val="ro-MD"/>
        </w:rPr>
        <w:t xml:space="preserve"> de principiile stabilite de </w:t>
      </w:r>
      <w:r w:rsidRPr="003836D9">
        <w:rPr>
          <w:rFonts w:ascii="Times New Roman" w:hAnsi="Times New Roman" w:cs="Times New Roman"/>
          <w:i/>
          <w:iCs/>
          <w:sz w:val="24"/>
          <w:szCs w:val="24"/>
          <w:lang w:val="ro-MD"/>
        </w:rPr>
        <w:t xml:space="preserve">Strategia Națională de Ocupare a Forței de Muncă </w:t>
      </w:r>
      <w:r w:rsidRPr="003836D9">
        <w:rPr>
          <w:rFonts w:ascii="Times New Roman" w:hAnsi="Times New Roman" w:cs="Times New Roman"/>
          <w:sz w:val="24"/>
          <w:szCs w:val="24"/>
          <w:lang w:val="ro-MD"/>
        </w:rPr>
        <w:t>(SNO</w:t>
      </w:r>
      <w:r w:rsidR="00F75E1F">
        <w:rPr>
          <w:rFonts w:ascii="Times New Roman" w:hAnsi="Times New Roman" w:cs="Times New Roman"/>
          <w:sz w:val="24"/>
          <w:szCs w:val="24"/>
          <w:lang w:val="ro-MD"/>
        </w:rPr>
        <w:t xml:space="preserve">FM), care a fost centrată pe: </w:t>
      </w:r>
      <w:r w:rsidR="00404382">
        <w:rPr>
          <w:rFonts w:ascii="Times New Roman" w:hAnsi="Times New Roman" w:cs="Times New Roman"/>
          <w:sz w:val="24"/>
          <w:szCs w:val="24"/>
          <w:lang w:val="ro-MD"/>
        </w:rPr>
        <w:t>(i)</w:t>
      </w:r>
      <w:r w:rsidRPr="003836D9">
        <w:rPr>
          <w:rFonts w:ascii="Times New Roman" w:hAnsi="Times New Roman" w:cs="Times New Roman"/>
          <w:sz w:val="24"/>
          <w:szCs w:val="24"/>
          <w:lang w:val="ro-MD"/>
        </w:rPr>
        <w:t xml:space="preserve"> creșterea ocu</w:t>
      </w:r>
      <w:r w:rsidR="00F75E1F">
        <w:rPr>
          <w:rFonts w:ascii="Times New Roman" w:hAnsi="Times New Roman" w:cs="Times New Roman"/>
          <w:sz w:val="24"/>
          <w:szCs w:val="24"/>
          <w:lang w:val="ro-MD"/>
        </w:rPr>
        <w:t xml:space="preserve">pării formale și productive; </w:t>
      </w:r>
      <w:r w:rsidR="00404382">
        <w:rPr>
          <w:rFonts w:ascii="Times New Roman" w:hAnsi="Times New Roman" w:cs="Times New Roman"/>
          <w:sz w:val="24"/>
          <w:szCs w:val="24"/>
          <w:lang w:val="ro-MD"/>
        </w:rPr>
        <w:t>(ii)</w:t>
      </w:r>
      <w:r w:rsidRPr="003836D9">
        <w:rPr>
          <w:rFonts w:ascii="Times New Roman" w:hAnsi="Times New Roman" w:cs="Times New Roman"/>
          <w:sz w:val="24"/>
          <w:szCs w:val="24"/>
          <w:lang w:val="ro-MD"/>
        </w:rPr>
        <w:t xml:space="preserve"> sporirea relevanței și eficacității sistemu</w:t>
      </w:r>
      <w:r w:rsidR="00F75E1F">
        <w:rPr>
          <w:rFonts w:ascii="Times New Roman" w:hAnsi="Times New Roman" w:cs="Times New Roman"/>
          <w:sz w:val="24"/>
          <w:szCs w:val="24"/>
          <w:lang w:val="ro-MD"/>
        </w:rPr>
        <w:t xml:space="preserve">lui de educație și formare; </w:t>
      </w:r>
      <w:r w:rsidR="00404382">
        <w:rPr>
          <w:rFonts w:ascii="Times New Roman" w:hAnsi="Times New Roman" w:cs="Times New Roman"/>
          <w:sz w:val="24"/>
          <w:szCs w:val="24"/>
          <w:lang w:val="ro-MD"/>
        </w:rPr>
        <w:t>(iii)</w:t>
      </w:r>
      <w:r w:rsidRPr="003836D9">
        <w:rPr>
          <w:rFonts w:ascii="Times New Roman" w:hAnsi="Times New Roman" w:cs="Times New Roman"/>
          <w:sz w:val="24"/>
          <w:szCs w:val="24"/>
          <w:lang w:val="ro-MD"/>
        </w:rPr>
        <w:t xml:space="preserve"> consolidarea sistemului de </w:t>
      </w:r>
      <w:r w:rsidR="004D3FAD" w:rsidRPr="003836D9">
        <w:rPr>
          <w:rFonts w:ascii="Times New Roman" w:hAnsi="Times New Roman" w:cs="Times New Roman"/>
          <w:sz w:val="24"/>
          <w:szCs w:val="24"/>
          <w:lang w:val="ro-MD"/>
        </w:rPr>
        <w:t>guvernare</w:t>
      </w:r>
      <w:r w:rsidR="00F75E1F">
        <w:rPr>
          <w:rFonts w:ascii="Times New Roman" w:hAnsi="Times New Roman" w:cs="Times New Roman"/>
          <w:sz w:val="24"/>
          <w:szCs w:val="24"/>
          <w:lang w:val="ro-MD"/>
        </w:rPr>
        <w:t xml:space="preserve"> a pieței muncii; și </w:t>
      </w:r>
      <w:r w:rsidR="00404382">
        <w:rPr>
          <w:rFonts w:ascii="Times New Roman" w:hAnsi="Times New Roman" w:cs="Times New Roman"/>
          <w:sz w:val="24"/>
          <w:szCs w:val="24"/>
          <w:lang w:val="ro-MD"/>
        </w:rPr>
        <w:t>(iv)</w:t>
      </w:r>
      <w:r w:rsidRPr="003836D9">
        <w:rPr>
          <w:rFonts w:ascii="Times New Roman" w:hAnsi="Times New Roman" w:cs="Times New Roman"/>
          <w:sz w:val="24"/>
          <w:szCs w:val="24"/>
          <w:lang w:val="ro-MD"/>
        </w:rPr>
        <w:t xml:space="preserve"> </w:t>
      </w:r>
      <w:r w:rsidR="004D3FAD" w:rsidRPr="003836D9">
        <w:rPr>
          <w:rFonts w:ascii="Times New Roman" w:hAnsi="Times New Roman" w:cs="Times New Roman"/>
          <w:sz w:val="24"/>
          <w:szCs w:val="24"/>
          <w:lang w:val="ro-MD"/>
        </w:rPr>
        <w:t>valorificarea potenţialului migraţiei pentru dezvoltarea durabilă</w:t>
      </w:r>
      <w:r w:rsidR="0067204B" w:rsidRPr="003836D9">
        <w:rPr>
          <w:rFonts w:ascii="Times New Roman" w:hAnsi="Times New Roman" w:cs="Times New Roman"/>
          <w:sz w:val="24"/>
          <w:szCs w:val="24"/>
          <w:lang w:val="ro-MD"/>
        </w:rPr>
        <w:t xml:space="preserve">. </w:t>
      </w:r>
    </w:p>
    <w:p w14:paraId="2A8AEEBC" w14:textId="1C52DF26" w:rsidR="003A1AC1" w:rsidRPr="003836D9" w:rsidRDefault="00A24581" w:rsidP="003A1AC1">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Unele dintre reformele de politică prevăzute în </w:t>
      </w:r>
      <w:r w:rsidR="004A2DE5" w:rsidRPr="003836D9">
        <w:rPr>
          <w:rFonts w:ascii="Times New Roman" w:hAnsi="Times New Roman" w:cs="Times New Roman"/>
          <w:sz w:val="24"/>
          <w:szCs w:val="24"/>
          <w:lang w:val="ro-MD"/>
        </w:rPr>
        <w:t>SNOFM</w:t>
      </w:r>
      <w:r w:rsidRPr="003836D9">
        <w:rPr>
          <w:rFonts w:ascii="Times New Roman" w:hAnsi="Times New Roman" w:cs="Times New Roman"/>
          <w:sz w:val="24"/>
          <w:szCs w:val="24"/>
          <w:lang w:val="ro-MD"/>
        </w:rPr>
        <w:t xml:space="preserve"> au fost realizate. În 2018 a fost introdus un nou cadru legal privind ocuparea forței de muncă (Legea nr. 105/2018 privind promovarea ocupării forței de muncă și protecția împotriva șomajului). Acest cadru a stabilit un sistem de analiză și prognoză a pieței muncii; a </w:t>
      </w:r>
      <w:r w:rsidR="004220F7" w:rsidRPr="003836D9">
        <w:rPr>
          <w:rFonts w:ascii="Times New Roman" w:hAnsi="Times New Roman" w:cs="Times New Roman"/>
          <w:sz w:val="24"/>
          <w:szCs w:val="24"/>
          <w:lang w:val="ro-MD"/>
        </w:rPr>
        <w:t>reorganizat</w:t>
      </w:r>
      <w:r w:rsidRPr="003836D9">
        <w:rPr>
          <w:rFonts w:ascii="Times New Roman" w:hAnsi="Times New Roman" w:cs="Times New Roman"/>
          <w:sz w:val="24"/>
          <w:szCs w:val="24"/>
          <w:lang w:val="ro-MD"/>
        </w:rPr>
        <w:t xml:space="preserve"> structura</w:t>
      </w:r>
      <w:r w:rsidR="004220F7" w:rsidRPr="003836D9">
        <w:rPr>
          <w:rFonts w:ascii="Times New Roman" w:hAnsi="Times New Roman" w:cs="Times New Roman"/>
          <w:sz w:val="24"/>
          <w:szCs w:val="24"/>
          <w:lang w:val="ro-MD"/>
        </w:rPr>
        <w:t xml:space="preserve"> organizatorică </w:t>
      </w:r>
      <w:r w:rsidRPr="003836D9">
        <w:rPr>
          <w:rFonts w:ascii="Times New Roman" w:hAnsi="Times New Roman" w:cs="Times New Roman"/>
          <w:sz w:val="24"/>
          <w:szCs w:val="24"/>
          <w:lang w:val="ro-MD"/>
        </w:rPr>
        <w:t xml:space="preserve">și sistemul de prestare a serviciilor </w:t>
      </w:r>
      <w:r w:rsidR="0025041D">
        <w:rPr>
          <w:rFonts w:ascii="Times New Roman" w:hAnsi="Times New Roman" w:cs="Times New Roman"/>
          <w:sz w:val="24"/>
          <w:szCs w:val="24"/>
          <w:lang w:val="ro-MD"/>
        </w:rPr>
        <w:t>A</w:t>
      </w:r>
      <w:r w:rsidR="004A2DE5" w:rsidRPr="003836D9">
        <w:rPr>
          <w:rFonts w:ascii="Times New Roman" w:hAnsi="Times New Roman" w:cs="Times New Roman"/>
          <w:sz w:val="24"/>
          <w:szCs w:val="24"/>
          <w:lang w:val="ro-MD"/>
        </w:rPr>
        <w:t>NOFM</w:t>
      </w:r>
      <w:r w:rsidRPr="003836D9">
        <w:rPr>
          <w:rFonts w:ascii="Times New Roman" w:hAnsi="Times New Roman" w:cs="Times New Roman"/>
          <w:sz w:val="24"/>
          <w:szCs w:val="24"/>
          <w:lang w:val="ro-MD"/>
        </w:rPr>
        <w:t xml:space="preserve">; a </w:t>
      </w:r>
      <w:r w:rsidR="003A4AFA" w:rsidRPr="003836D9">
        <w:rPr>
          <w:rFonts w:ascii="Times New Roman" w:hAnsi="Times New Roman" w:cs="Times New Roman"/>
          <w:sz w:val="24"/>
          <w:szCs w:val="24"/>
          <w:lang w:val="ro-MD"/>
        </w:rPr>
        <w:t>revizuit</w:t>
      </w:r>
      <w:r w:rsidRPr="003836D9">
        <w:rPr>
          <w:rFonts w:ascii="Times New Roman" w:hAnsi="Times New Roman" w:cs="Times New Roman"/>
          <w:sz w:val="24"/>
          <w:szCs w:val="24"/>
          <w:lang w:val="ro-MD"/>
        </w:rPr>
        <w:t xml:space="preserve"> conținutul serviciilor de </w:t>
      </w:r>
      <w:r w:rsidR="004220F7" w:rsidRPr="003836D9">
        <w:rPr>
          <w:rFonts w:ascii="Times New Roman" w:hAnsi="Times New Roman" w:cs="Times New Roman"/>
          <w:sz w:val="24"/>
          <w:szCs w:val="24"/>
          <w:lang w:val="ro-MD"/>
        </w:rPr>
        <w:t>ocupare</w:t>
      </w:r>
      <w:r w:rsidRPr="003836D9">
        <w:rPr>
          <w:rFonts w:ascii="Times New Roman" w:hAnsi="Times New Roman" w:cs="Times New Roman"/>
          <w:sz w:val="24"/>
          <w:szCs w:val="24"/>
          <w:lang w:val="ro-MD"/>
        </w:rPr>
        <w:t xml:space="preserve"> și a introdus recunoașterea învățării anterioare și a serviciilor de reabilitare profesională; a implementat un nou portofoliu de programe active </w:t>
      </w:r>
      <w:r w:rsidR="003A4AFA" w:rsidRPr="003836D9">
        <w:rPr>
          <w:rFonts w:ascii="Times New Roman" w:hAnsi="Times New Roman" w:cs="Times New Roman"/>
          <w:sz w:val="24"/>
          <w:szCs w:val="24"/>
          <w:lang w:val="ro-MD"/>
        </w:rPr>
        <w:t>ale</w:t>
      </w:r>
      <w:r w:rsidRPr="003836D9">
        <w:rPr>
          <w:rFonts w:ascii="Times New Roman" w:hAnsi="Times New Roman" w:cs="Times New Roman"/>
          <w:sz w:val="24"/>
          <w:szCs w:val="24"/>
          <w:lang w:val="ro-MD"/>
        </w:rPr>
        <w:t xml:space="preserve"> pi</w:t>
      </w:r>
      <w:r w:rsidR="003A4AFA" w:rsidRPr="003836D9">
        <w:rPr>
          <w:rFonts w:ascii="Times New Roman" w:hAnsi="Times New Roman" w:cs="Times New Roman"/>
          <w:sz w:val="24"/>
          <w:szCs w:val="24"/>
          <w:lang w:val="ro-MD"/>
        </w:rPr>
        <w:t>e</w:t>
      </w:r>
      <w:r w:rsidRPr="003836D9">
        <w:rPr>
          <w:rFonts w:ascii="Times New Roman" w:hAnsi="Times New Roman" w:cs="Times New Roman"/>
          <w:sz w:val="24"/>
          <w:szCs w:val="24"/>
          <w:lang w:val="ro-MD"/>
        </w:rPr>
        <w:t>ț</w:t>
      </w:r>
      <w:r w:rsidR="003A4AFA" w:rsidRPr="003836D9">
        <w:rPr>
          <w:rFonts w:ascii="Times New Roman" w:hAnsi="Times New Roman" w:cs="Times New Roman"/>
          <w:sz w:val="24"/>
          <w:szCs w:val="24"/>
          <w:lang w:val="ro-MD"/>
        </w:rPr>
        <w:t>ei</w:t>
      </w:r>
      <w:r w:rsidRPr="003836D9">
        <w:rPr>
          <w:rFonts w:ascii="Times New Roman" w:hAnsi="Times New Roman" w:cs="Times New Roman"/>
          <w:sz w:val="24"/>
          <w:szCs w:val="24"/>
          <w:lang w:val="ro-MD"/>
        </w:rPr>
        <w:t xml:space="preserve"> muncii (</w:t>
      </w:r>
      <w:r w:rsidR="003626EC" w:rsidRPr="003836D9">
        <w:rPr>
          <w:rFonts w:ascii="Times New Roman" w:hAnsi="Times New Roman" w:cs="Times New Roman"/>
          <w:sz w:val="24"/>
          <w:szCs w:val="24"/>
          <w:lang w:val="ro-MD"/>
        </w:rPr>
        <w:t>instruirea la locul de muncă</w:t>
      </w:r>
      <w:r w:rsidRPr="003836D9">
        <w:rPr>
          <w:rFonts w:ascii="Times New Roman" w:hAnsi="Times New Roman" w:cs="Times New Roman"/>
          <w:sz w:val="24"/>
          <w:szCs w:val="24"/>
          <w:lang w:val="ro-MD"/>
        </w:rPr>
        <w:t>, stagiu</w:t>
      </w:r>
      <w:r w:rsidR="003626EC" w:rsidRPr="003836D9">
        <w:rPr>
          <w:rFonts w:ascii="Times New Roman" w:hAnsi="Times New Roman" w:cs="Times New Roman"/>
          <w:sz w:val="24"/>
          <w:szCs w:val="24"/>
          <w:lang w:val="ro-MD"/>
        </w:rPr>
        <w:t xml:space="preserve"> profesional</w:t>
      </w:r>
      <w:r w:rsidRPr="003836D9">
        <w:rPr>
          <w:rFonts w:ascii="Times New Roman" w:hAnsi="Times New Roman" w:cs="Times New Roman"/>
          <w:sz w:val="24"/>
          <w:szCs w:val="24"/>
          <w:lang w:val="ro-MD"/>
        </w:rPr>
        <w:t xml:space="preserve">, asistență pentru </w:t>
      </w:r>
      <w:r w:rsidR="004D3FAD" w:rsidRPr="003836D9">
        <w:rPr>
          <w:rFonts w:ascii="Times New Roman" w:hAnsi="Times New Roman" w:cs="Times New Roman"/>
          <w:sz w:val="24"/>
          <w:szCs w:val="24"/>
          <w:lang w:val="ro-MD"/>
        </w:rPr>
        <w:t>auto-ocupare</w:t>
      </w:r>
      <w:r w:rsidRPr="003836D9">
        <w:rPr>
          <w:rFonts w:ascii="Times New Roman" w:hAnsi="Times New Roman" w:cs="Times New Roman"/>
          <w:sz w:val="24"/>
          <w:szCs w:val="24"/>
          <w:lang w:val="ro-MD"/>
        </w:rPr>
        <w:t xml:space="preserve">, </w:t>
      </w:r>
      <w:r w:rsidR="003626EC" w:rsidRPr="003836D9">
        <w:rPr>
          <w:rFonts w:ascii="Times New Roman" w:hAnsi="Times New Roman" w:cs="Times New Roman"/>
          <w:sz w:val="24"/>
          <w:szCs w:val="24"/>
          <w:lang w:val="ro-MD"/>
        </w:rPr>
        <w:t>subvenții</w:t>
      </w:r>
      <w:r w:rsidRPr="003836D9">
        <w:rPr>
          <w:rFonts w:ascii="Times New Roman" w:hAnsi="Times New Roman" w:cs="Times New Roman"/>
          <w:sz w:val="24"/>
          <w:szCs w:val="24"/>
          <w:lang w:val="ro-MD"/>
        </w:rPr>
        <w:t xml:space="preserve"> pentru adaptarea locului de muncă, subvenții salariale și </w:t>
      </w:r>
      <w:r w:rsidR="003626EC" w:rsidRPr="003836D9">
        <w:rPr>
          <w:rFonts w:ascii="Times New Roman" w:hAnsi="Times New Roman" w:cs="Times New Roman"/>
          <w:sz w:val="24"/>
          <w:szCs w:val="24"/>
          <w:lang w:val="ro-MD"/>
        </w:rPr>
        <w:t xml:space="preserve">proiecte de </w:t>
      </w:r>
      <w:r w:rsidRPr="003836D9">
        <w:rPr>
          <w:rFonts w:ascii="Times New Roman" w:hAnsi="Times New Roman" w:cs="Times New Roman"/>
          <w:sz w:val="24"/>
          <w:szCs w:val="24"/>
          <w:lang w:val="ro-MD"/>
        </w:rPr>
        <w:t>inițiativ</w:t>
      </w:r>
      <w:r w:rsidR="007D7B9B" w:rsidRPr="003836D9">
        <w:rPr>
          <w:rFonts w:ascii="Times New Roman" w:hAnsi="Times New Roman" w:cs="Times New Roman"/>
          <w:sz w:val="24"/>
          <w:szCs w:val="24"/>
          <w:lang w:val="ro-MD"/>
        </w:rPr>
        <w:t>ă</w:t>
      </w:r>
      <w:r w:rsidRPr="003836D9">
        <w:rPr>
          <w:rFonts w:ascii="Times New Roman" w:hAnsi="Times New Roman" w:cs="Times New Roman"/>
          <w:sz w:val="24"/>
          <w:szCs w:val="24"/>
          <w:lang w:val="ro-MD"/>
        </w:rPr>
        <w:t xml:space="preserve"> local</w:t>
      </w:r>
      <w:r w:rsidR="007D7B9B" w:rsidRPr="003836D9">
        <w:rPr>
          <w:rFonts w:ascii="Times New Roman" w:hAnsi="Times New Roman" w:cs="Times New Roman"/>
          <w:sz w:val="24"/>
          <w:szCs w:val="24"/>
          <w:lang w:val="ro-MD"/>
        </w:rPr>
        <w:t>ă</w:t>
      </w:r>
      <w:r w:rsidRPr="003836D9">
        <w:rPr>
          <w:rFonts w:ascii="Times New Roman" w:hAnsi="Times New Roman" w:cs="Times New Roman"/>
          <w:sz w:val="24"/>
          <w:szCs w:val="24"/>
          <w:lang w:val="ro-MD"/>
        </w:rPr>
        <w:t>); a introdus un sistem de monitorizare și evaluare pentru programele active</w:t>
      </w:r>
      <w:r w:rsidR="003626EC" w:rsidRPr="003836D9">
        <w:rPr>
          <w:rFonts w:ascii="Times New Roman" w:hAnsi="Times New Roman" w:cs="Times New Roman"/>
          <w:sz w:val="24"/>
          <w:szCs w:val="24"/>
          <w:lang w:val="ro-MD"/>
        </w:rPr>
        <w:t xml:space="preserve"> ale </w:t>
      </w:r>
      <w:r w:rsidRPr="003836D9">
        <w:rPr>
          <w:rFonts w:ascii="Times New Roman" w:hAnsi="Times New Roman" w:cs="Times New Roman"/>
          <w:sz w:val="24"/>
          <w:szCs w:val="24"/>
          <w:lang w:val="ro-MD"/>
        </w:rPr>
        <w:t>pi</w:t>
      </w:r>
      <w:r w:rsidR="003626EC" w:rsidRPr="003836D9">
        <w:rPr>
          <w:rFonts w:ascii="Times New Roman" w:hAnsi="Times New Roman" w:cs="Times New Roman"/>
          <w:sz w:val="24"/>
          <w:szCs w:val="24"/>
          <w:lang w:val="ro-MD"/>
        </w:rPr>
        <w:t>e</w:t>
      </w:r>
      <w:r w:rsidRPr="003836D9">
        <w:rPr>
          <w:rFonts w:ascii="Times New Roman" w:hAnsi="Times New Roman" w:cs="Times New Roman"/>
          <w:sz w:val="24"/>
          <w:szCs w:val="24"/>
          <w:lang w:val="ro-MD"/>
        </w:rPr>
        <w:t>ț</w:t>
      </w:r>
      <w:r w:rsidR="003626EC" w:rsidRPr="003836D9">
        <w:rPr>
          <w:rFonts w:ascii="Times New Roman" w:hAnsi="Times New Roman" w:cs="Times New Roman"/>
          <w:sz w:val="24"/>
          <w:szCs w:val="24"/>
          <w:lang w:val="ro-MD"/>
        </w:rPr>
        <w:t>ei</w:t>
      </w:r>
      <w:r w:rsidRPr="003836D9">
        <w:rPr>
          <w:rFonts w:ascii="Times New Roman" w:hAnsi="Times New Roman" w:cs="Times New Roman"/>
          <w:sz w:val="24"/>
          <w:szCs w:val="24"/>
          <w:lang w:val="ro-MD"/>
        </w:rPr>
        <w:t xml:space="preserve"> muncii. Cu toate acestea, țintele măsurabile stabilite de </w:t>
      </w:r>
      <w:r w:rsidR="003A4AFA" w:rsidRPr="003836D9">
        <w:rPr>
          <w:rFonts w:ascii="Times New Roman" w:hAnsi="Times New Roman" w:cs="Times New Roman"/>
          <w:sz w:val="24"/>
          <w:szCs w:val="24"/>
          <w:lang w:val="ro-MD"/>
        </w:rPr>
        <w:t>SNOFM</w:t>
      </w:r>
      <w:r w:rsidRPr="003836D9">
        <w:rPr>
          <w:rFonts w:ascii="Times New Roman" w:hAnsi="Times New Roman" w:cs="Times New Roman"/>
          <w:sz w:val="24"/>
          <w:szCs w:val="24"/>
          <w:lang w:val="ro-MD"/>
        </w:rPr>
        <w:t xml:space="preserve"> rămân în mare parte nerealizate din cauza scăderii </w:t>
      </w:r>
      <w:r w:rsidR="003626EC" w:rsidRPr="003836D9">
        <w:rPr>
          <w:rFonts w:ascii="Times New Roman" w:hAnsi="Times New Roman" w:cs="Times New Roman"/>
          <w:sz w:val="24"/>
          <w:szCs w:val="24"/>
          <w:lang w:val="ro-MD"/>
        </w:rPr>
        <w:t xml:space="preserve">masive neașteptate </w:t>
      </w:r>
      <w:r w:rsidRPr="003836D9">
        <w:rPr>
          <w:rFonts w:ascii="Times New Roman" w:hAnsi="Times New Roman" w:cs="Times New Roman"/>
          <w:sz w:val="24"/>
          <w:szCs w:val="24"/>
          <w:lang w:val="ro-MD"/>
        </w:rPr>
        <w:t xml:space="preserve">a populației totale; modificarea metodologiei </w:t>
      </w:r>
      <w:r w:rsidR="004D3FAD" w:rsidRPr="003836D9">
        <w:rPr>
          <w:rFonts w:ascii="Times New Roman" w:hAnsi="Times New Roman" w:cs="Times New Roman"/>
          <w:sz w:val="24"/>
          <w:szCs w:val="24"/>
          <w:lang w:val="ro-MD"/>
        </w:rPr>
        <w:t>A</w:t>
      </w:r>
      <w:r w:rsidRPr="003836D9">
        <w:rPr>
          <w:rFonts w:ascii="Times New Roman" w:hAnsi="Times New Roman" w:cs="Times New Roman"/>
          <w:sz w:val="24"/>
          <w:szCs w:val="24"/>
          <w:lang w:val="ro-MD"/>
        </w:rPr>
        <w:t xml:space="preserve">nchetei </w:t>
      </w:r>
      <w:r w:rsidR="004D3FAD" w:rsidRPr="003836D9">
        <w:rPr>
          <w:rFonts w:ascii="Times New Roman" w:hAnsi="Times New Roman" w:cs="Times New Roman"/>
          <w:sz w:val="24"/>
          <w:szCs w:val="24"/>
          <w:lang w:val="ro-MD"/>
        </w:rPr>
        <w:t>F</w:t>
      </w:r>
      <w:r w:rsidRPr="003836D9">
        <w:rPr>
          <w:rFonts w:ascii="Times New Roman" w:hAnsi="Times New Roman" w:cs="Times New Roman"/>
          <w:sz w:val="24"/>
          <w:szCs w:val="24"/>
          <w:lang w:val="ro-MD"/>
        </w:rPr>
        <w:t xml:space="preserve">orței de </w:t>
      </w:r>
      <w:r w:rsidR="004D3FAD" w:rsidRPr="003836D9">
        <w:rPr>
          <w:rFonts w:ascii="Times New Roman" w:hAnsi="Times New Roman" w:cs="Times New Roman"/>
          <w:sz w:val="24"/>
          <w:szCs w:val="24"/>
          <w:lang w:val="ro-MD"/>
        </w:rPr>
        <w:t>M</w:t>
      </w:r>
      <w:r w:rsidRPr="003836D9">
        <w:rPr>
          <w:rFonts w:ascii="Times New Roman" w:hAnsi="Times New Roman" w:cs="Times New Roman"/>
          <w:sz w:val="24"/>
          <w:szCs w:val="24"/>
          <w:lang w:val="ro-MD"/>
        </w:rPr>
        <w:t xml:space="preserve">uncă </w:t>
      </w:r>
      <w:r w:rsidR="003626EC" w:rsidRPr="003836D9">
        <w:rPr>
          <w:rFonts w:ascii="Times New Roman" w:hAnsi="Times New Roman" w:cs="Times New Roman"/>
          <w:sz w:val="24"/>
          <w:szCs w:val="24"/>
          <w:lang w:val="ro-MD"/>
        </w:rPr>
        <w:t>din 2018</w:t>
      </w:r>
      <w:r w:rsidR="00720214"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ceea ce face ca datele din 2020 să nu fie comparabile cu valoarea de referință; și impactul </w:t>
      </w:r>
      <w:r w:rsidR="005B0D6A" w:rsidRPr="003836D9">
        <w:rPr>
          <w:rFonts w:ascii="Times New Roman" w:hAnsi="Times New Roman" w:cs="Times New Roman"/>
          <w:sz w:val="24"/>
          <w:szCs w:val="24"/>
          <w:lang w:val="ro-MD"/>
        </w:rPr>
        <w:t>pandemiei</w:t>
      </w:r>
      <w:r w:rsidRPr="003836D9">
        <w:rPr>
          <w:rFonts w:ascii="Times New Roman" w:hAnsi="Times New Roman" w:cs="Times New Roman"/>
          <w:sz w:val="24"/>
          <w:szCs w:val="24"/>
          <w:lang w:val="ro-MD"/>
        </w:rPr>
        <w:t xml:space="preserve"> </w:t>
      </w:r>
      <w:r w:rsidR="00DF67F3">
        <w:rPr>
          <w:rFonts w:ascii="Times New Roman" w:hAnsi="Times New Roman" w:cs="Times New Roman"/>
          <w:sz w:val="24"/>
          <w:szCs w:val="24"/>
          <w:lang w:val="ro-MD"/>
        </w:rPr>
        <w:t>COVID</w:t>
      </w:r>
      <w:r w:rsidRPr="003836D9">
        <w:rPr>
          <w:rFonts w:ascii="Times New Roman" w:hAnsi="Times New Roman" w:cs="Times New Roman"/>
          <w:sz w:val="24"/>
          <w:szCs w:val="24"/>
          <w:lang w:val="ro-MD"/>
        </w:rPr>
        <w:t>-19 pe piața muncii (</w:t>
      </w:r>
      <w:r w:rsidR="004D3FAD" w:rsidRPr="003836D9">
        <w:rPr>
          <w:rFonts w:ascii="Times New Roman" w:hAnsi="Times New Roman" w:cs="Times New Roman"/>
          <w:sz w:val="24"/>
          <w:szCs w:val="24"/>
          <w:lang w:val="ro-MD"/>
        </w:rPr>
        <w:t>cu</w:t>
      </w:r>
      <w:r w:rsidRPr="003836D9">
        <w:rPr>
          <w:rFonts w:ascii="Times New Roman" w:hAnsi="Times New Roman" w:cs="Times New Roman"/>
          <w:sz w:val="24"/>
          <w:szCs w:val="24"/>
          <w:lang w:val="ro-MD"/>
        </w:rPr>
        <w:t xml:space="preserve"> persoane care trec de la angajare la inactivitate). În plus, S</w:t>
      </w:r>
      <w:r w:rsidR="00720214" w:rsidRPr="003836D9">
        <w:rPr>
          <w:rFonts w:ascii="Times New Roman" w:hAnsi="Times New Roman" w:cs="Times New Roman"/>
          <w:sz w:val="24"/>
          <w:szCs w:val="24"/>
          <w:lang w:val="ro-MD"/>
        </w:rPr>
        <w:t>NOFM</w:t>
      </w:r>
      <w:r w:rsidRPr="003836D9">
        <w:rPr>
          <w:rFonts w:ascii="Times New Roman" w:hAnsi="Times New Roman" w:cs="Times New Roman"/>
          <w:sz w:val="24"/>
          <w:szCs w:val="24"/>
          <w:lang w:val="ro-MD"/>
        </w:rPr>
        <w:t xml:space="preserve"> nu a reușit să stabilească </w:t>
      </w:r>
      <w:r w:rsidR="00560DF8" w:rsidRPr="003836D9">
        <w:rPr>
          <w:rFonts w:ascii="Times New Roman" w:hAnsi="Times New Roman" w:cs="Times New Roman"/>
          <w:sz w:val="24"/>
          <w:szCs w:val="24"/>
          <w:lang w:val="ro-MD"/>
        </w:rPr>
        <w:t>obiective</w:t>
      </w:r>
      <w:r w:rsidRPr="003836D9">
        <w:rPr>
          <w:rFonts w:ascii="Times New Roman" w:hAnsi="Times New Roman" w:cs="Times New Roman"/>
          <w:sz w:val="24"/>
          <w:szCs w:val="24"/>
          <w:lang w:val="ro-MD"/>
        </w:rPr>
        <w:t xml:space="preserve"> pentru a măsura relevanța sistemului de învățământ </w:t>
      </w:r>
      <w:r w:rsidR="00560DF8" w:rsidRPr="003836D9">
        <w:rPr>
          <w:rFonts w:ascii="Times New Roman" w:hAnsi="Times New Roman" w:cs="Times New Roman"/>
          <w:sz w:val="24"/>
          <w:szCs w:val="24"/>
          <w:lang w:val="ro-MD"/>
        </w:rPr>
        <w:t>în raport cu</w:t>
      </w:r>
      <w:r w:rsidRPr="003836D9">
        <w:rPr>
          <w:rFonts w:ascii="Times New Roman" w:hAnsi="Times New Roman" w:cs="Times New Roman"/>
          <w:sz w:val="24"/>
          <w:szCs w:val="24"/>
          <w:lang w:val="ro-MD"/>
        </w:rPr>
        <w:t xml:space="preserve"> cerințele pieței muncii și maximizarea potențialului </w:t>
      </w:r>
      <w:r w:rsidR="004D3FAD" w:rsidRPr="003836D9">
        <w:rPr>
          <w:rFonts w:ascii="Times New Roman" w:hAnsi="Times New Roman" w:cs="Times New Roman"/>
          <w:sz w:val="24"/>
          <w:szCs w:val="24"/>
          <w:lang w:val="ro-MD"/>
        </w:rPr>
        <w:t xml:space="preserve">migrației </w:t>
      </w:r>
      <w:r w:rsidRPr="003836D9">
        <w:rPr>
          <w:rFonts w:ascii="Times New Roman" w:hAnsi="Times New Roman" w:cs="Times New Roman"/>
          <w:sz w:val="24"/>
          <w:szCs w:val="24"/>
          <w:lang w:val="ro-MD"/>
        </w:rPr>
        <w:t>pentru o dezvoltare durabilă</w:t>
      </w:r>
      <w:r w:rsidR="003C246B" w:rsidRPr="003836D9">
        <w:rPr>
          <w:rFonts w:ascii="Times New Roman" w:hAnsi="Times New Roman" w:cs="Times New Roman"/>
          <w:sz w:val="24"/>
          <w:szCs w:val="24"/>
          <w:lang w:val="ro-MD"/>
        </w:rPr>
        <w:t xml:space="preserve">. </w:t>
      </w:r>
      <w:r w:rsidR="00D03031" w:rsidRPr="003836D9">
        <w:rPr>
          <w:rFonts w:ascii="Times New Roman" w:hAnsi="Times New Roman" w:cs="Times New Roman"/>
          <w:sz w:val="24"/>
          <w:szCs w:val="24"/>
          <w:lang w:val="ro-MD"/>
        </w:rPr>
        <w:t xml:space="preserve">În tabelul </w:t>
      </w:r>
      <w:r w:rsidR="003C7938" w:rsidRPr="003836D9">
        <w:rPr>
          <w:rFonts w:ascii="Times New Roman" w:hAnsi="Times New Roman" w:cs="Times New Roman"/>
          <w:sz w:val="24"/>
          <w:szCs w:val="24"/>
          <w:lang w:val="ro-MD"/>
        </w:rPr>
        <w:t xml:space="preserve">8 </w:t>
      </w:r>
      <w:r w:rsidR="00F75E1F">
        <w:rPr>
          <w:rFonts w:ascii="Times New Roman" w:hAnsi="Times New Roman" w:cs="Times New Roman"/>
          <w:sz w:val="24"/>
          <w:szCs w:val="24"/>
          <w:lang w:val="ro-MD"/>
        </w:rPr>
        <w:t>este prezentat gradul de</w:t>
      </w:r>
      <w:r w:rsidR="00D03031" w:rsidRPr="003836D9">
        <w:rPr>
          <w:rFonts w:ascii="Times New Roman" w:hAnsi="Times New Roman" w:cs="Times New Roman"/>
          <w:sz w:val="24"/>
          <w:szCs w:val="24"/>
          <w:lang w:val="ro-MD"/>
        </w:rPr>
        <w:t xml:space="preserve"> realizare a obiectivelor SNOFM</w:t>
      </w:r>
      <w:r w:rsidR="003C7938" w:rsidRPr="003836D9">
        <w:rPr>
          <w:rFonts w:ascii="Times New Roman" w:hAnsi="Times New Roman" w:cs="Times New Roman"/>
          <w:sz w:val="24"/>
          <w:szCs w:val="24"/>
          <w:lang w:val="ro-MD"/>
        </w:rPr>
        <w:t>.</w:t>
      </w:r>
      <w:r w:rsidR="00D03031" w:rsidRPr="003836D9">
        <w:rPr>
          <w:rFonts w:ascii="Times New Roman" w:hAnsi="Times New Roman" w:cs="Times New Roman"/>
          <w:sz w:val="24"/>
          <w:szCs w:val="24"/>
          <w:lang w:val="ro-MD"/>
        </w:rPr>
        <w:t xml:space="preserve">  </w:t>
      </w:r>
      <w:r w:rsidR="006B380F" w:rsidRPr="003836D9">
        <w:rPr>
          <w:rFonts w:ascii="Times New Roman" w:hAnsi="Times New Roman" w:cs="Times New Roman"/>
          <w:sz w:val="24"/>
          <w:szCs w:val="24"/>
          <w:lang w:val="ro-MD"/>
        </w:rPr>
        <w:t xml:space="preserve">  </w:t>
      </w:r>
      <w:r w:rsidR="003626EC" w:rsidRPr="003836D9">
        <w:rPr>
          <w:rFonts w:ascii="Times New Roman" w:hAnsi="Times New Roman" w:cs="Times New Roman"/>
          <w:sz w:val="24"/>
          <w:szCs w:val="24"/>
          <w:lang w:val="ro-MD"/>
        </w:rPr>
        <w:t xml:space="preserve">  </w:t>
      </w:r>
      <w:bookmarkStart w:id="70" w:name="_Toc97709293"/>
    </w:p>
    <w:p w14:paraId="3053B094" w14:textId="59D77DBA" w:rsidR="00D03031" w:rsidRDefault="00D03031" w:rsidP="003C7938">
      <w:pPr>
        <w:autoSpaceDE w:val="0"/>
        <w:autoSpaceDN w:val="0"/>
        <w:adjustRightInd w:val="0"/>
        <w:jc w:val="center"/>
        <w:rPr>
          <w:rFonts w:ascii="Times New Roman" w:hAnsi="Times New Roman" w:cs="Times New Roman"/>
          <w:b/>
          <w:sz w:val="20"/>
          <w:szCs w:val="20"/>
          <w:lang w:val="ro-MD"/>
        </w:rPr>
      </w:pPr>
      <w:r w:rsidRPr="0025041D">
        <w:rPr>
          <w:rFonts w:ascii="Times New Roman" w:hAnsi="Times New Roman" w:cs="Times New Roman"/>
          <w:b/>
          <w:sz w:val="20"/>
          <w:szCs w:val="20"/>
          <w:lang w:val="ro-MD"/>
        </w:rPr>
        <w:t>Tabel</w:t>
      </w:r>
      <w:r w:rsidR="00DF67F3">
        <w:rPr>
          <w:rFonts w:ascii="Times New Roman" w:hAnsi="Times New Roman" w:cs="Times New Roman"/>
          <w:b/>
          <w:sz w:val="20"/>
          <w:szCs w:val="20"/>
          <w:lang w:val="ro-MD"/>
        </w:rPr>
        <w:t>ul</w:t>
      </w:r>
      <w:r w:rsidRPr="0025041D">
        <w:rPr>
          <w:rFonts w:ascii="Times New Roman" w:hAnsi="Times New Roman" w:cs="Times New Roman"/>
          <w:b/>
          <w:sz w:val="20"/>
          <w:szCs w:val="20"/>
          <w:lang w:val="ro-MD"/>
        </w:rPr>
        <w:t xml:space="preserve"> </w:t>
      </w:r>
      <w:r w:rsidR="003C7938" w:rsidRPr="0025041D">
        <w:rPr>
          <w:rFonts w:ascii="Times New Roman" w:hAnsi="Times New Roman" w:cs="Times New Roman"/>
          <w:b/>
          <w:sz w:val="20"/>
          <w:szCs w:val="20"/>
          <w:lang w:val="ro-MD"/>
        </w:rPr>
        <w:t>8</w:t>
      </w:r>
      <w:r w:rsidR="00DF67F3">
        <w:rPr>
          <w:rFonts w:ascii="Times New Roman" w:hAnsi="Times New Roman" w:cs="Times New Roman"/>
          <w:b/>
          <w:sz w:val="20"/>
          <w:szCs w:val="20"/>
          <w:lang w:val="ro-MD"/>
        </w:rPr>
        <w:t>.</w:t>
      </w:r>
      <w:r w:rsidR="003C7938" w:rsidRPr="0025041D">
        <w:rPr>
          <w:rFonts w:ascii="Times New Roman" w:hAnsi="Times New Roman" w:cs="Times New Roman"/>
          <w:b/>
          <w:sz w:val="20"/>
          <w:szCs w:val="20"/>
          <w:lang w:val="ro-MD"/>
        </w:rPr>
        <w:t xml:space="preserve"> Realizarea Obiectivelor S</w:t>
      </w:r>
      <w:r w:rsidR="0036554E">
        <w:rPr>
          <w:rFonts w:ascii="Times New Roman" w:hAnsi="Times New Roman" w:cs="Times New Roman"/>
          <w:b/>
          <w:sz w:val="20"/>
          <w:szCs w:val="20"/>
          <w:lang w:val="ro-MD"/>
        </w:rPr>
        <w:t>trategiei Naționale de Ocupare a Forței de Muncă, 2017-2021</w:t>
      </w:r>
    </w:p>
    <w:p w14:paraId="6F7BA9C2" w14:textId="2A874051" w:rsidR="00FA2C3B" w:rsidRDefault="00CC10EB" w:rsidP="00CC10EB">
      <w:pPr>
        <w:autoSpaceDE w:val="0"/>
        <w:autoSpaceDN w:val="0"/>
        <w:adjustRightInd w:val="0"/>
        <w:spacing w:after="0"/>
        <w:rPr>
          <w:rFonts w:ascii="Times New Roman" w:eastAsia="Times New Roman" w:hAnsi="Times New Roman" w:cs="Times New Roman"/>
          <w:i/>
          <w:iCs/>
          <w:color w:val="000000"/>
          <w:sz w:val="16"/>
          <w:szCs w:val="16"/>
          <w:lang w:val="ro-MD"/>
        </w:rPr>
      </w:pPr>
      <w:r w:rsidRPr="00CC10EB">
        <w:rPr>
          <w:rFonts w:ascii="Times New Roman" w:hAnsi="Times New Roman" w:cs="Times New Roman"/>
          <w:b/>
          <w:noProof/>
          <w:sz w:val="20"/>
          <w:szCs w:val="20"/>
          <w:lang w:val="ru-RU" w:eastAsia="ru-RU"/>
        </w:rPr>
        <w:drawing>
          <wp:inline distT="0" distB="0" distL="0" distR="0" wp14:anchorId="775B5CC4" wp14:editId="7817D4F8">
            <wp:extent cx="6477000" cy="24878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84711" cy="2490807"/>
                    </a:xfrm>
                    <a:prstGeom prst="rect">
                      <a:avLst/>
                    </a:prstGeom>
                    <a:noFill/>
                    <a:ln>
                      <a:noFill/>
                    </a:ln>
                  </pic:spPr>
                </pic:pic>
              </a:graphicData>
            </a:graphic>
          </wp:inline>
        </w:drawing>
      </w:r>
      <w:r w:rsidR="00FA2C3B" w:rsidRPr="009F0BFF">
        <w:rPr>
          <w:rFonts w:ascii="Times New Roman" w:eastAsia="Times New Roman" w:hAnsi="Times New Roman" w:cs="Times New Roman"/>
          <w:i/>
          <w:iCs/>
          <w:color w:val="000000"/>
          <w:sz w:val="16"/>
          <w:szCs w:val="16"/>
          <w:lang w:val="ro-MD"/>
        </w:rPr>
        <w:t>Sursa: Elaborare în baza datelor B</w:t>
      </w:r>
      <w:r w:rsidR="009F0BFF" w:rsidRPr="009F0BFF">
        <w:rPr>
          <w:rFonts w:ascii="Times New Roman" w:eastAsia="Times New Roman" w:hAnsi="Times New Roman" w:cs="Times New Roman"/>
          <w:i/>
          <w:iCs/>
          <w:color w:val="000000"/>
          <w:sz w:val="16"/>
          <w:szCs w:val="16"/>
          <w:lang w:val="ro-MD"/>
        </w:rPr>
        <w:t>iroului Național de Statistică</w:t>
      </w:r>
      <w:r w:rsidR="00FA2C3B" w:rsidRPr="009F0BFF">
        <w:rPr>
          <w:rFonts w:ascii="Times New Roman" w:eastAsia="Times New Roman" w:hAnsi="Times New Roman" w:cs="Times New Roman"/>
          <w:i/>
          <w:iCs/>
          <w:color w:val="000000"/>
          <w:sz w:val="16"/>
          <w:szCs w:val="16"/>
          <w:lang w:val="ro-MD"/>
        </w:rPr>
        <w:t xml:space="preserve"> ale Anchetei Forței de Muncă, ANOFM</w:t>
      </w:r>
    </w:p>
    <w:p w14:paraId="21BB1E3F" w14:textId="6B8969B0" w:rsidR="00CC10EB" w:rsidRPr="00CC10EB" w:rsidRDefault="00CC10EB" w:rsidP="00CC10EB">
      <w:pPr>
        <w:autoSpaceDE w:val="0"/>
        <w:autoSpaceDN w:val="0"/>
        <w:adjustRightInd w:val="0"/>
        <w:spacing w:after="0"/>
        <w:rPr>
          <w:rFonts w:ascii="Times New Roman" w:hAnsi="Times New Roman" w:cs="Times New Roman"/>
          <w:b/>
          <w:sz w:val="20"/>
          <w:szCs w:val="20"/>
          <w:lang w:val="ro-MD"/>
        </w:rPr>
      </w:pPr>
      <w:r w:rsidRPr="00CC10EB">
        <w:rPr>
          <w:rFonts w:ascii="Times New Roman" w:eastAsia="Times New Roman" w:hAnsi="Times New Roman" w:cs="Times New Roman"/>
          <w:color w:val="000000"/>
          <w:sz w:val="16"/>
          <w:szCs w:val="16"/>
          <w:lang w:val="ro-MD"/>
        </w:rPr>
        <w:t>Note:</w:t>
      </w:r>
    </w:p>
    <w:p w14:paraId="762C5CED" w14:textId="303EA513" w:rsidR="00FA2C3B" w:rsidRPr="003836D9" w:rsidRDefault="00FA2C3B" w:rsidP="00CC10EB">
      <w:pPr>
        <w:spacing w:after="0"/>
        <w:rPr>
          <w:rFonts w:ascii="Times New Roman" w:eastAsia="Times New Roman" w:hAnsi="Times New Roman" w:cs="Times New Roman"/>
          <w:iCs/>
          <w:color w:val="000000"/>
          <w:sz w:val="16"/>
          <w:szCs w:val="16"/>
          <w:lang w:val="ro-MD"/>
        </w:rPr>
      </w:pPr>
      <w:r w:rsidRPr="003836D9">
        <w:rPr>
          <w:rFonts w:ascii="Times New Roman" w:eastAsia="Times New Roman" w:hAnsi="Times New Roman" w:cs="Times New Roman"/>
          <w:iCs/>
          <w:color w:val="000000"/>
          <w:sz w:val="16"/>
          <w:szCs w:val="16"/>
          <w:lang w:val="ro-MD"/>
        </w:rPr>
        <w:t>*</w:t>
      </w:r>
      <w:r w:rsidR="009F0BFF">
        <w:rPr>
          <w:rFonts w:ascii="Times New Roman" w:eastAsia="Times New Roman" w:hAnsi="Times New Roman" w:cs="Times New Roman"/>
          <w:iCs/>
          <w:color w:val="000000"/>
          <w:sz w:val="16"/>
          <w:szCs w:val="16"/>
          <w:lang w:val="ro-MD"/>
        </w:rPr>
        <w:t xml:space="preserve"> </w:t>
      </w:r>
      <w:r w:rsidR="009F0BFF" w:rsidRPr="003836D9">
        <w:rPr>
          <w:rFonts w:ascii="Times New Roman" w:eastAsia="Times New Roman" w:hAnsi="Times New Roman" w:cs="Times New Roman"/>
          <w:iCs/>
          <w:color w:val="000000"/>
          <w:sz w:val="16"/>
          <w:szCs w:val="16"/>
          <w:lang w:val="ro-MD"/>
        </w:rPr>
        <w:t>Întrerupere</w:t>
      </w:r>
      <w:r w:rsidRPr="003836D9">
        <w:rPr>
          <w:rFonts w:ascii="Times New Roman" w:eastAsia="Times New Roman" w:hAnsi="Times New Roman" w:cs="Times New Roman"/>
          <w:iCs/>
          <w:color w:val="000000"/>
          <w:sz w:val="16"/>
          <w:szCs w:val="16"/>
          <w:lang w:val="ro-MD"/>
        </w:rPr>
        <w:t xml:space="preserve"> în seriile de timp. Începând cu anul 2019 metodologia Anchetei forței de muncă în gospodării (sursa datelor marcate cu „*” din acest tabel) a fost revizuită. Datele publicate începând cu 2019 nu sunt comparabile cu cele publicate pentru anii precedenți.</w:t>
      </w:r>
    </w:p>
    <w:p w14:paraId="1EF5EE34" w14:textId="77777777" w:rsidR="00FA2C3B" w:rsidRPr="003836D9" w:rsidRDefault="00FA2C3B" w:rsidP="00CC10EB">
      <w:pPr>
        <w:spacing w:after="0"/>
        <w:rPr>
          <w:rFonts w:ascii="Times New Roman" w:eastAsia="Times New Roman" w:hAnsi="Times New Roman" w:cs="Times New Roman"/>
          <w:iCs/>
          <w:color w:val="000000"/>
          <w:sz w:val="16"/>
          <w:szCs w:val="16"/>
          <w:lang w:val="ro-MD"/>
        </w:rPr>
      </w:pPr>
      <w:r w:rsidRPr="003836D9">
        <w:rPr>
          <w:rFonts w:ascii="Times New Roman" w:eastAsia="Times New Roman" w:hAnsi="Times New Roman" w:cs="Times New Roman"/>
          <w:iCs/>
          <w:color w:val="000000"/>
          <w:sz w:val="16"/>
          <w:szCs w:val="16"/>
          <w:lang w:val="ro-MD"/>
        </w:rPr>
        <w:t>** Pentru anii 2015-2018 datele sunt estimate în baza populației stabile si includ persoanele plecate în străinătate la muncă sau în căutare unui loc de  muncă indiferent de durata aflării peste hotare.</w:t>
      </w:r>
    </w:p>
    <w:p w14:paraId="5BC00F57" w14:textId="1D03D951" w:rsidR="00FA2C3B" w:rsidRDefault="00FA2C3B" w:rsidP="00CC10EB">
      <w:pPr>
        <w:spacing w:after="0"/>
        <w:rPr>
          <w:rFonts w:ascii="Times New Roman" w:eastAsia="Times New Roman" w:hAnsi="Times New Roman" w:cs="Times New Roman"/>
          <w:iCs/>
          <w:color w:val="000000"/>
          <w:sz w:val="16"/>
          <w:szCs w:val="16"/>
          <w:lang w:val="ro-MD"/>
        </w:rPr>
      </w:pPr>
      <w:r w:rsidRPr="003836D9">
        <w:rPr>
          <w:rFonts w:ascii="Times New Roman" w:eastAsia="Times New Roman" w:hAnsi="Times New Roman" w:cs="Times New Roman"/>
          <w:iCs/>
          <w:color w:val="000000"/>
          <w:sz w:val="16"/>
          <w:szCs w:val="16"/>
          <w:lang w:val="ro-MD"/>
        </w:rPr>
        <w:lastRenderedPageBreak/>
        <w:t>Pentru anii 2019-2022 datele sunt estimate în baza populației cu reședință obișnuită și includ persoanele plecate peste hotare la lucru sau în căutare de lucru pentru o durată mai mică de 1 an.</w:t>
      </w:r>
    </w:p>
    <w:p w14:paraId="37B4B8B7" w14:textId="560703FB" w:rsidR="00A557B7" w:rsidRPr="003836D9" w:rsidRDefault="00A557B7" w:rsidP="00CC10EB">
      <w:pPr>
        <w:spacing w:after="0"/>
        <w:rPr>
          <w:rFonts w:ascii="Times New Roman" w:eastAsia="Times New Roman" w:hAnsi="Times New Roman" w:cs="Times New Roman"/>
          <w:iCs/>
          <w:color w:val="000000"/>
          <w:sz w:val="16"/>
          <w:szCs w:val="16"/>
          <w:lang w:val="ro-MD"/>
        </w:rPr>
      </w:pPr>
      <w:r>
        <w:rPr>
          <w:rFonts w:ascii="Times New Roman" w:eastAsia="Times New Roman" w:hAnsi="Times New Roman" w:cs="Times New Roman"/>
          <w:iCs/>
          <w:color w:val="000000"/>
          <w:sz w:val="16"/>
          <w:szCs w:val="16"/>
          <w:lang w:val="ro-MD"/>
        </w:rPr>
        <w:t xml:space="preserve">*** Pentru 2015 nu au fost planificați indicatorii, deoarece Strategia națională pentru ocuparea forței de muncă pentru anii 2017-2021 a fost aprobată în 2016. </w:t>
      </w:r>
    </w:p>
    <w:p w14:paraId="1780E47E" w14:textId="251F589C" w:rsidR="003C7938" w:rsidRPr="003836D9" w:rsidRDefault="003C7938" w:rsidP="003C7938">
      <w:pPr>
        <w:rPr>
          <w:rFonts w:ascii="Times New Roman" w:eastAsia="Times New Roman" w:hAnsi="Times New Roman" w:cs="Times New Roman"/>
          <w:iCs/>
          <w:color w:val="000000"/>
          <w:sz w:val="16"/>
          <w:szCs w:val="16"/>
          <w:lang w:val="ro-MD"/>
        </w:rPr>
      </w:pPr>
    </w:p>
    <w:p w14:paraId="5ED2CBA5" w14:textId="607DB50B" w:rsidR="006D52D8" w:rsidRPr="003836D9" w:rsidRDefault="003A4AFA" w:rsidP="009073DE">
      <w:pPr>
        <w:pStyle w:val="ListParagraph"/>
        <w:autoSpaceDE w:val="0"/>
        <w:autoSpaceDN w:val="0"/>
        <w:adjustRightInd w:val="0"/>
        <w:ind w:left="4320"/>
        <w:jc w:val="both"/>
        <w:rPr>
          <w:rFonts w:ascii="Times New Roman" w:hAnsi="Times New Roman" w:cs="Times New Roman"/>
          <w:b/>
          <w:i/>
          <w:sz w:val="24"/>
          <w:szCs w:val="24"/>
          <w:lang w:val="ro-MD"/>
        </w:rPr>
      </w:pPr>
      <w:r w:rsidRPr="003836D9">
        <w:rPr>
          <w:rFonts w:ascii="Times New Roman" w:hAnsi="Times New Roman" w:cs="Times New Roman"/>
          <w:b/>
          <w:i/>
          <w:sz w:val="24"/>
          <w:szCs w:val="24"/>
          <w:lang w:val="ro-MD"/>
        </w:rPr>
        <w:t>Politica salarială</w:t>
      </w:r>
      <w:bookmarkEnd w:id="70"/>
    </w:p>
    <w:p w14:paraId="0F580AAB" w14:textId="541C978E" w:rsidR="006301D7" w:rsidRPr="00E65E95" w:rsidRDefault="002764A2" w:rsidP="006301D7">
      <w:pPr>
        <w:autoSpaceDE w:val="0"/>
        <w:autoSpaceDN w:val="0"/>
        <w:adjustRightInd w:val="0"/>
        <w:jc w:val="both"/>
        <w:rPr>
          <w:rFonts w:ascii="Times New Roman" w:eastAsia="Times New Roman" w:hAnsi="Times New Roman" w:cs="Times New Roman"/>
          <w:sz w:val="20"/>
          <w:szCs w:val="20"/>
          <w:lang w:val="ro-MD" w:eastAsia="en-GB"/>
        </w:rPr>
      </w:pPr>
      <w:r w:rsidRPr="003836D9">
        <w:rPr>
          <w:rFonts w:ascii="Times New Roman" w:eastAsia="Times New Roman" w:hAnsi="Times New Roman" w:cs="Times New Roman"/>
          <w:sz w:val="24"/>
          <w:szCs w:val="24"/>
          <w:lang w:val="ro-MD" w:eastAsia="en-GB"/>
        </w:rPr>
        <w:t xml:space="preserve">Salariul minim în Moldova </w:t>
      </w:r>
      <w:r w:rsidR="003A1AC1" w:rsidRPr="003836D9">
        <w:rPr>
          <w:rFonts w:ascii="Times New Roman" w:eastAsia="Times New Roman" w:hAnsi="Times New Roman" w:cs="Times New Roman"/>
          <w:sz w:val="24"/>
          <w:szCs w:val="24"/>
          <w:lang w:val="ro-MD" w:eastAsia="en-GB"/>
        </w:rPr>
        <w:t>este</w:t>
      </w:r>
      <w:r w:rsidRPr="003836D9">
        <w:rPr>
          <w:rFonts w:ascii="Times New Roman" w:eastAsia="Times New Roman" w:hAnsi="Times New Roman" w:cs="Times New Roman"/>
          <w:sz w:val="24"/>
          <w:szCs w:val="24"/>
          <w:lang w:val="ro-MD" w:eastAsia="en-GB"/>
        </w:rPr>
        <w:t xml:space="preserve"> negociat anual </w:t>
      </w:r>
      <w:r w:rsidR="005B0D6A" w:rsidRPr="003836D9">
        <w:rPr>
          <w:rFonts w:ascii="Times New Roman" w:eastAsia="Times New Roman" w:hAnsi="Times New Roman" w:cs="Times New Roman"/>
          <w:sz w:val="24"/>
          <w:szCs w:val="24"/>
          <w:lang w:val="ro-MD" w:eastAsia="en-GB"/>
        </w:rPr>
        <w:t xml:space="preserve">de către sindicatele și patronatele </w:t>
      </w:r>
      <w:r w:rsidRPr="003836D9">
        <w:rPr>
          <w:rFonts w:ascii="Times New Roman" w:eastAsia="Times New Roman" w:hAnsi="Times New Roman" w:cs="Times New Roman"/>
          <w:sz w:val="24"/>
          <w:szCs w:val="24"/>
          <w:lang w:val="ro-MD" w:eastAsia="en-GB"/>
        </w:rPr>
        <w:t>prin dialog social</w:t>
      </w:r>
      <w:r w:rsidR="003A1AC1" w:rsidRPr="003836D9">
        <w:rPr>
          <w:rFonts w:ascii="Times New Roman" w:eastAsia="Times New Roman" w:hAnsi="Times New Roman" w:cs="Times New Roman"/>
          <w:sz w:val="24"/>
          <w:szCs w:val="24"/>
          <w:lang w:val="ro-MD" w:eastAsia="en-GB"/>
        </w:rPr>
        <w:t xml:space="preserve"> și </w:t>
      </w:r>
      <w:r w:rsidRPr="003836D9">
        <w:rPr>
          <w:rFonts w:ascii="Times New Roman" w:eastAsia="Times New Roman" w:hAnsi="Times New Roman" w:cs="Times New Roman"/>
          <w:sz w:val="24"/>
          <w:szCs w:val="24"/>
          <w:lang w:val="ro-MD" w:eastAsia="en-GB"/>
        </w:rPr>
        <w:t>a crescut continuu în perioada 2014-2021 (</w:t>
      </w:r>
      <w:r w:rsidR="00D94B6B">
        <w:rPr>
          <w:rFonts w:ascii="Times New Roman" w:eastAsia="Times New Roman" w:hAnsi="Times New Roman" w:cs="Times New Roman"/>
          <w:sz w:val="24"/>
          <w:szCs w:val="24"/>
          <w:lang w:val="ro-MD" w:eastAsia="en-GB"/>
        </w:rPr>
        <w:t>Fig.</w:t>
      </w:r>
      <w:r w:rsidRPr="003836D9">
        <w:rPr>
          <w:rFonts w:ascii="Times New Roman" w:eastAsia="Times New Roman" w:hAnsi="Times New Roman" w:cs="Times New Roman"/>
          <w:sz w:val="24"/>
          <w:szCs w:val="24"/>
          <w:lang w:val="ro-MD" w:eastAsia="en-GB"/>
        </w:rPr>
        <w:t xml:space="preserve"> 23), cu excepția anului 2020. Creșterile anuale ale salariului minim (sectorul real) au însumat aproximativ 9 procente, </w:t>
      </w:r>
      <w:r w:rsidR="00560DF8" w:rsidRPr="003836D9">
        <w:rPr>
          <w:rFonts w:ascii="Times New Roman" w:eastAsia="Times New Roman" w:hAnsi="Times New Roman" w:cs="Times New Roman"/>
          <w:sz w:val="24"/>
          <w:szCs w:val="24"/>
          <w:lang w:val="ro-MD" w:eastAsia="en-GB"/>
        </w:rPr>
        <w:t>în mod invariabil</w:t>
      </w:r>
      <w:r w:rsidR="00393EA1" w:rsidRPr="003836D9">
        <w:rPr>
          <w:rFonts w:ascii="Times New Roman" w:eastAsia="Times New Roman" w:hAnsi="Times New Roman" w:cs="Times New Roman"/>
          <w:sz w:val="24"/>
          <w:szCs w:val="24"/>
          <w:lang w:val="ro-MD" w:eastAsia="en-GB"/>
        </w:rPr>
        <w:t xml:space="preserve"> superioare</w:t>
      </w:r>
      <w:r w:rsidRPr="003836D9">
        <w:rPr>
          <w:rFonts w:ascii="Times New Roman" w:eastAsia="Times New Roman" w:hAnsi="Times New Roman" w:cs="Times New Roman"/>
          <w:sz w:val="24"/>
          <w:szCs w:val="24"/>
          <w:lang w:val="ro-MD" w:eastAsia="en-GB"/>
        </w:rPr>
        <w:t xml:space="preserve"> inflați</w:t>
      </w:r>
      <w:r w:rsidR="00393EA1" w:rsidRPr="003836D9">
        <w:rPr>
          <w:rFonts w:ascii="Times New Roman" w:eastAsia="Times New Roman" w:hAnsi="Times New Roman" w:cs="Times New Roman"/>
          <w:sz w:val="24"/>
          <w:szCs w:val="24"/>
          <w:lang w:val="ro-MD" w:eastAsia="en-GB"/>
        </w:rPr>
        <w:t>ei</w:t>
      </w:r>
      <w:r w:rsidRPr="003836D9">
        <w:rPr>
          <w:rFonts w:ascii="Times New Roman" w:eastAsia="Times New Roman" w:hAnsi="Times New Roman" w:cs="Times New Roman"/>
          <w:sz w:val="24"/>
          <w:szCs w:val="24"/>
          <w:lang w:val="ro-MD" w:eastAsia="en-GB"/>
        </w:rPr>
        <w:t>, determinând astfel creșterea salariilor reale. Salariul minim în sectorul public</w:t>
      </w:r>
      <w:r w:rsidR="003A1AC1" w:rsidRPr="003836D9">
        <w:rPr>
          <w:rFonts w:ascii="Times New Roman" w:eastAsia="Times New Roman" w:hAnsi="Times New Roman" w:cs="Times New Roman"/>
          <w:sz w:val="24"/>
          <w:szCs w:val="24"/>
          <w:lang w:val="ro-MD" w:eastAsia="en-GB"/>
        </w:rPr>
        <w:t>,</w:t>
      </w:r>
      <w:r w:rsidRPr="003836D9">
        <w:rPr>
          <w:rFonts w:ascii="Times New Roman" w:eastAsia="Times New Roman" w:hAnsi="Times New Roman" w:cs="Times New Roman"/>
          <w:sz w:val="24"/>
          <w:szCs w:val="24"/>
          <w:lang w:val="ro-MD" w:eastAsia="en-GB"/>
        </w:rPr>
        <w:t xml:space="preserve"> începând cu 2018</w:t>
      </w:r>
      <w:r w:rsidR="003A1AC1" w:rsidRPr="003836D9">
        <w:rPr>
          <w:rFonts w:ascii="Times New Roman" w:eastAsia="Times New Roman" w:hAnsi="Times New Roman" w:cs="Times New Roman"/>
          <w:sz w:val="24"/>
          <w:szCs w:val="24"/>
          <w:lang w:val="ro-MD" w:eastAsia="en-GB"/>
        </w:rPr>
        <w:t>,</w:t>
      </w:r>
      <w:r w:rsidRPr="003836D9">
        <w:rPr>
          <w:rFonts w:ascii="Times New Roman" w:eastAsia="Times New Roman" w:hAnsi="Times New Roman" w:cs="Times New Roman"/>
          <w:sz w:val="24"/>
          <w:szCs w:val="24"/>
          <w:lang w:val="ro-MD" w:eastAsia="en-GB"/>
        </w:rPr>
        <w:t xml:space="preserve"> a fost stabilit la un nivel mai scăzut față de cel din economia reală (cu peste 23 procente) și nu a urmat creșterea inflației, determinând astfel o scădere a salariului real pentru angajații din sectorul public</w:t>
      </w:r>
      <w:r w:rsidR="00DC085C" w:rsidRPr="003836D9">
        <w:rPr>
          <w:rFonts w:ascii="Times New Roman" w:eastAsia="Times New Roman" w:hAnsi="Times New Roman" w:cs="Times New Roman"/>
          <w:sz w:val="24"/>
          <w:szCs w:val="24"/>
          <w:lang w:val="ro-MD" w:eastAsia="en-GB"/>
        </w:rPr>
        <w:t xml:space="preserve">. </w:t>
      </w:r>
      <w:r w:rsidR="0016276D" w:rsidRPr="003836D9">
        <w:rPr>
          <w:rFonts w:ascii="Times New Roman" w:eastAsia="Times New Roman" w:hAnsi="Times New Roman" w:cs="Times New Roman"/>
          <w:sz w:val="24"/>
          <w:szCs w:val="24"/>
          <w:lang w:val="ro-MD" w:eastAsia="en-GB"/>
        </w:rPr>
        <w:t>Este necesară consolidarea instituțională pentru elaborarea politicilor salariale în</w:t>
      </w:r>
      <w:r w:rsidR="00F75E1F">
        <w:rPr>
          <w:rFonts w:ascii="Times New Roman" w:eastAsia="Times New Roman" w:hAnsi="Times New Roman" w:cs="Times New Roman"/>
          <w:sz w:val="24"/>
          <w:szCs w:val="24"/>
          <w:lang w:val="ro-MD" w:eastAsia="en-GB"/>
        </w:rPr>
        <w:t xml:space="preserve"> Republica</w:t>
      </w:r>
      <w:r w:rsidR="0016276D" w:rsidRPr="003836D9">
        <w:rPr>
          <w:rFonts w:ascii="Times New Roman" w:eastAsia="Times New Roman" w:hAnsi="Times New Roman" w:cs="Times New Roman"/>
          <w:sz w:val="24"/>
          <w:szCs w:val="24"/>
          <w:lang w:val="ro-MD" w:eastAsia="en-GB"/>
        </w:rPr>
        <w:t xml:space="preserve"> Moldova.</w:t>
      </w:r>
      <w:r w:rsidR="00560DF8" w:rsidRPr="003836D9">
        <w:rPr>
          <w:rFonts w:ascii="Times New Roman" w:eastAsia="Times New Roman" w:hAnsi="Times New Roman" w:cs="Times New Roman"/>
          <w:sz w:val="24"/>
          <w:szCs w:val="24"/>
          <w:lang w:val="ro-MD" w:eastAsia="en-GB"/>
        </w:rPr>
        <w:t xml:space="preserve"> </w:t>
      </w:r>
      <w:bookmarkStart w:id="71" w:name="_Hlk93139701"/>
    </w:p>
    <w:p w14:paraId="3B7B9CE6" w14:textId="572333A9" w:rsidR="003868E4" w:rsidRDefault="00D94B6B" w:rsidP="006301D7">
      <w:pPr>
        <w:autoSpaceDE w:val="0"/>
        <w:autoSpaceDN w:val="0"/>
        <w:adjustRightInd w:val="0"/>
        <w:jc w:val="center"/>
        <w:rPr>
          <w:rFonts w:ascii="Times New Roman" w:hAnsi="Times New Roman" w:cs="Times New Roman"/>
          <w:b/>
          <w:sz w:val="20"/>
          <w:szCs w:val="20"/>
          <w:lang w:val="ro-MD"/>
        </w:rPr>
      </w:pPr>
      <w:r>
        <w:rPr>
          <w:rFonts w:ascii="Times New Roman" w:hAnsi="Times New Roman" w:cs="Times New Roman"/>
          <w:b/>
          <w:sz w:val="20"/>
          <w:szCs w:val="20"/>
          <w:lang w:val="ro-MD"/>
        </w:rPr>
        <w:t>Fig.</w:t>
      </w:r>
      <w:r w:rsidR="003868E4" w:rsidRPr="00E65E95">
        <w:rPr>
          <w:rFonts w:ascii="Times New Roman" w:hAnsi="Times New Roman" w:cs="Times New Roman"/>
          <w:b/>
          <w:sz w:val="20"/>
          <w:szCs w:val="20"/>
          <w:lang w:val="ro-MD"/>
        </w:rPr>
        <w:t xml:space="preserve"> 23</w:t>
      </w:r>
      <w:r w:rsidR="00685057">
        <w:rPr>
          <w:rFonts w:ascii="Times New Roman" w:hAnsi="Times New Roman" w:cs="Times New Roman"/>
          <w:b/>
          <w:sz w:val="20"/>
          <w:szCs w:val="20"/>
          <w:lang w:val="ro-MD"/>
        </w:rPr>
        <w:t>.</w:t>
      </w:r>
      <w:r w:rsidR="003868E4" w:rsidRPr="00E65E95">
        <w:rPr>
          <w:rFonts w:ascii="Times New Roman" w:hAnsi="Times New Roman" w:cs="Times New Roman"/>
          <w:b/>
          <w:sz w:val="20"/>
          <w:szCs w:val="20"/>
          <w:lang w:val="ro-MD"/>
        </w:rPr>
        <w:t xml:space="preserve"> </w:t>
      </w:r>
      <w:r w:rsidR="002764A2" w:rsidRPr="00E65E95">
        <w:rPr>
          <w:rFonts w:ascii="Times New Roman" w:hAnsi="Times New Roman" w:cs="Times New Roman"/>
          <w:b/>
          <w:sz w:val="20"/>
          <w:szCs w:val="20"/>
          <w:lang w:val="ro-MD"/>
        </w:rPr>
        <w:t>Salariul</w:t>
      </w:r>
      <w:r w:rsidR="003868E4" w:rsidRPr="00E65E95">
        <w:rPr>
          <w:rFonts w:ascii="Times New Roman" w:hAnsi="Times New Roman" w:cs="Times New Roman"/>
          <w:b/>
          <w:sz w:val="20"/>
          <w:szCs w:val="20"/>
          <w:lang w:val="ro-MD"/>
        </w:rPr>
        <w:t xml:space="preserve"> </w:t>
      </w:r>
      <w:r w:rsidR="002764A2" w:rsidRPr="00E65E95">
        <w:rPr>
          <w:rFonts w:ascii="Times New Roman" w:hAnsi="Times New Roman" w:cs="Times New Roman"/>
          <w:b/>
          <w:sz w:val="20"/>
          <w:szCs w:val="20"/>
          <w:lang w:val="ro-MD"/>
        </w:rPr>
        <w:t>minim î</w:t>
      </w:r>
      <w:r w:rsidR="003868E4" w:rsidRPr="00E65E95">
        <w:rPr>
          <w:rFonts w:ascii="Times New Roman" w:hAnsi="Times New Roman" w:cs="Times New Roman"/>
          <w:b/>
          <w:sz w:val="20"/>
          <w:szCs w:val="20"/>
          <w:lang w:val="ro-MD"/>
        </w:rPr>
        <w:t>n</w:t>
      </w:r>
      <w:r w:rsidR="00F75E1F">
        <w:rPr>
          <w:rFonts w:ascii="Times New Roman" w:hAnsi="Times New Roman" w:cs="Times New Roman"/>
          <w:b/>
          <w:sz w:val="20"/>
          <w:szCs w:val="20"/>
          <w:lang w:val="ro-MD"/>
        </w:rPr>
        <w:t xml:space="preserve"> Republica</w:t>
      </w:r>
      <w:r w:rsidR="003868E4" w:rsidRPr="00E65E95">
        <w:rPr>
          <w:rFonts w:ascii="Times New Roman" w:hAnsi="Times New Roman" w:cs="Times New Roman"/>
          <w:b/>
          <w:sz w:val="20"/>
          <w:szCs w:val="20"/>
          <w:lang w:val="ro-MD"/>
        </w:rPr>
        <w:t xml:space="preserve"> Moldova (2014-2021)</w:t>
      </w:r>
      <w:r w:rsidR="00DC085C" w:rsidRPr="00E65E95">
        <w:rPr>
          <w:rFonts w:ascii="Times New Roman" w:hAnsi="Times New Roman" w:cs="Times New Roman"/>
          <w:b/>
          <w:sz w:val="20"/>
          <w:szCs w:val="20"/>
          <w:lang w:val="ro-MD"/>
        </w:rPr>
        <w:t>, MD</w:t>
      </w:r>
      <w:r w:rsidR="00685057">
        <w:rPr>
          <w:rFonts w:ascii="Times New Roman" w:hAnsi="Times New Roman" w:cs="Times New Roman"/>
          <w:b/>
          <w:sz w:val="20"/>
          <w:szCs w:val="20"/>
          <w:lang w:val="ro-MD"/>
        </w:rPr>
        <w:t>L</w:t>
      </w:r>
    </w:p>
    <w:p w14:paraId="18288EA5" w14:textId="77777777" w:rsidR="001A6303" w:rsidRPr="00E65E95" w:rsidRDefault="001A6303" w:rsidP="006301D7">
      <w:pPr>
        <w:autoSpaceDE w:val="0"/>
        <w:autoSpaceDN w:val="0"/>
        <w:adjustRightInd w:val="0"/>
        <w:jc w:val="center"/>
        <w:rPr>
          <w:rFonts w:ascii="Times New Roman" w:hAnsi="Times New Roman" w:cs="Times New Roman"/>
          <w:color w:val="333333"/>
          <w:sz w:val="20"/>
          <w:szCs w:val="20"/>
          <w:lang w:val="ro-MD"/>
        </w:rPr>
      </w:pPr>
    </w:p>
    <w:bookmarkEnd w:id="71"/>
    <w:p w14:paraId="7564EA40" w14:textId="0F2F163D" w:rsidR="003868E4" w:rsidRPr="003836D9" w:rsidRDefault="00CD295B" w:rsidP="00CD295B">
      <w:pPr>
        <w:autoSpaceDE w:val="0"/>
        <w:autoSpaceDN w:val="0"/>
        <w:adjustRightInd w:val="0"/>
        <w:jc w:val="center"/>
        <w:rPr>
          <w:rFonts w:ascii="Times New Roman" w:hAnsi="Times New Roman" w:cs="Times New Roman"/>
          <w:sz w:val="24"/>
          <w:szCs w:val="24"/>
          <w:lang w:val="ro-MD"/>
        </w:rPr>
      </w:pPr>
      <w:r w:rsidRPr="003836D9">
        <w:rPr>
          <w:rFonts w:ascii="Times New Roman" w:hAnsi="Times New Roman" w:cs="Times New Roman"/>
          <w:noProof/>
          <w:sz w:val="24"/>
          <w:szCs w:val="24"/>
          <w:lang w:val="ru-RU" w:eastAsia="ru-RU"/>
        </w:rPr>
        <w:drawing>
          <wp:inline distT="0" distB="0" distL="0" distR="0" wp14:anchorId="583562AB" wp14:editId="0C72D229">
            <wp:extent cx="3632433" cy="2197570"/>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52551" cy="2209741"/>
                    </a:xfrm>
                    <a:prstGeom prst="rect">
                      <a:avLst/>
                    </a:prstGeom>
                    <a:noFill/>
                  </pic:spPr>
                </pic:pic>
              </a:graphicData>
            </a:graphic>
          </wp:inline>
        </w:drawing>
      </w:r>
    </w:p>
    <w:p w14:paraId="0CAED081" w14:textId="59AF5685" w:rsidR="00DC085C" w:rsidRPr="003836D9" w:rsidRDefault="002764A2" w:rsidP="00DC085C">
      <w:pPr>
        <w:jc w:val="center"/>
        <w:rPr>
          <w:rFonts w:ascii="Times New Roman" w:hAnsi="Times New Roman" w:cs="Times New Roman"/>
          <w:iCs/>
          <w:sz w:val="16"/>
          <w:szCs w:val="16"/>
          <w:lang w:val="ro-MD"/>
        </w:rPr>
      </w:pPr>
      <w:r w:rsidRPr="003836D9">
        <w:rPr>
          <w:rFonts w:ascii="Times New Roman" w:hAnsi="Times New Roman" w:cs="Times New Roman"/>
          <w:i/>
          <w:sz w:val="16"/>
          <w:szCs w:val="16"/>
          <w:lang w:val="ro-MD"/>
        </w:rPr>
        <w:t>Sursa</w:t>
      </w:r>
      <w:r w:rsidR="00DC085C" w:rsidRPr="003836D9">
        <w:rPr>
          <w:rFonts w:ascii="Times New Roman" w:hAnsi="Times New Roman" w:cs="Times New Roman"/>
          <w:i/>
          <w:sz w:val="16"/>
          <w:szCs w:val="16"/>
          <w:lang w:val="ro-MD"/>
        </w:rPr>
        <w:t xml:space="preserve">: </w:t>
      </w:r>
      <w:r w:rsidRPr="003836D9">
        <w:rPr>
          <w:rFonts w:ascii="Times New Roman" w:hAnsi="Times New Roman" w:cs="Times New Roman"/>
          <w:iCs/>
          <w:sz w:val="16"/>
          <w:szCs w:val="16"/>
          <w:lang w:val="ro-MD"/>
        </w:rPr>
        <w:t>Informație oferită de Ministerul Sănătății, Muncii și Protecției Sociale</w:t>
      </w:r>
    </w:p>
    <w:p w14:paraId="4B39EA47" w14:textId="77777777" w:rsidR="00231802" w:rsidRDefault="00231802" w:rsidP="004F5C11">
      <w:pPr>
        <w:pStyle w:val="Heading3"/>
        <w:spacing w:before="0" w:after="160"/>
        <w:ind w:left="2880"/>
        <w:rPr>
          <w:rFonts w:ascii="Times New Roman" w:hAnsi="Times New Roman" w:cs="Times New Roman"/>
          <w:b/>
          <w:i/>
          <w:color w:val="auto"/>
          <w:lang w:val="ro-MD"/>
        </w:rPr>
      </w:pPr>
      <w:bookmarkStart w:id="72" w:name="_Toc97709294"/>
    </w:p>
    <w:p w14:paraId="69D9492D" w14:textId="6F3BD1B8" w:rsidR="006D52D8" w:rsidRPr="003836D9" w:rsidRDefault="002764A2" w:rsidP="004F5C11">
      <w:pPr>
        <w:pStyle w:val="Heading3"/>
        <w:spacing w:before="0" w:after="160"/>
        <w:ind w:left="2880"/>
        <w:rPr>
          <w:rFonts w:ascii="Times New Roman" w:hAnsi="Times New Roman" w:cs="Times New Roman"/>
          <w:i/>
          <w:color w:val="auto"/>
          <w:lang w:val="ro-MD"/>
        </w:rPr>
      </w:pPr>
      <w:r w:rsidRPr="003836D9">
        <w:rPr>
          <w:rFonts w:ascii="Times New Roman" w:hAnsi="Times New Roman" w:cs="Times New Roman"/>
          <w:b/>
          <w:i/>
          <w:color w:val="auto"/>
          <w:lang w:val="ro-MD"/>
        </w:rPr>
        <w:t>Politici active ale pieței</w:t>
      </w:r>
      <w:r w:rsidRPr="003836D9">
        <w:rPr>
          <w:rFonts w:ascii="Times New Roman" w:hAnsi="Times New Roman" w:cs="Times New Roman"/>
          <w:i/>
          <w:color w:val="auto"/>
          <w:lang w:val="ro-MD"/>
        </w:rPr>
        <w:t xml:space="preserve"> </w:t>
      </w:r>
      <w:r w:rsidRPr="003836D9">
        <w:rPr>
          <w:rFonts w:ascii="Times New Roman" w:hAnsi="Times New Roman" w:cs="Times New Roman"/>
          <w:b/>
          <w:i/>
          <w:color w:val="auto"/>
          <w:lang w:val="ro-MD"/>
        </w:rPr>
        <w:t>muncii</w:t>
      </w:r>
      <w:bookmarkEnd w:id="72"/>
    </w:p>
    <w:p w14:paraId="4FD942E0" w14:textId="288BCD98" w:rsidR="006D52D8" w:rsidRPr="003836D9" w:rsidRDefault="0016276D" w:rsidP="004F5C11">
      <w:pPr>
        <w:pStyle w:val="Heading4"/>
        <w:spacing w:before="0" w:after="160"/>
        <w:ind w:left="2160"/>
        <w:rPr>
          <w:rFonts w:ascii="Times New Roman" w:eastAsiaTheme="minorHAnsi" w:hAnsi="Times New Roman" w:cs="Times New Roman"/>
          <w:b/>
          <w:color w:val="auto"/>
          <w:lang w:val="ro-MD"/>
        </w:rPr>
      </w:pPr>
      <w:r w:rsidRPr="003836D9">
        <w:rPr>
          <w:rFonts w:ascii="Times New Roman" w:eastAsiaTheme="minorHAnsi" w:hAnsi="Times New Roman" w:cs="Times New Roman"/>
          <w:color w:val="auto"/>
          <w:lang w:val="ro-MD"/>
        </w:rPr>
        <w:t xml:space="preserve">Agenția Națională pentru Ocuparea Forței de Muncă </w:t>
      </w:r>
    </w:p>
    <w:p w14:paraId="2220A967" w14:textId="4B9CBC88" w:rsidR="00EB38D6" w:rsidRPr="003836D9" w:rsidRDefault="002764A2" w:rsidP="00D04898">
      <w:pPr>
        <w:jc w:val="both"/>
        <w:rPr>
          <w:rFonts w:ascii="Times New Roman" w:hAnsi="Times New Roman" w:cs="Times New Roman"/>
          <w:sz w:val="24"/>
          <w:szCs w:val="24"/>
          <w:lang w:val="ro-MD" w:eastAsia="it-IT"/>
        </w:rPr>
      </w:pPr>
      <w:r w:rsidRPr="003836D9">
        <w:rPr>
          <w:rFonts w:ascii="Times New Roman" w:eastAsia="Times New Roman" w:hAnsi="Times New Roman" w:cs="Times New Roman"/>
          <w:sz w:val="24"/>
          <w:szCs w:val="24"/>
          <w:lang w:val="ro-MD" w:eastAsia="en-GB"/>
        </w:rPr>
        <w:t xml:space="preserve">Obiectivul principal al </w:t>
      </w:r>
      <w:r w:rsidR="00E65E95">
        <w:rPr>
          <w:rFonts w:ascii="Times New Roman" w:eastAsia="Times New Roman" w:hAnsi="Times New Roman" w:cs="Times New Roman"/>
          <w:sz w:val="24"/>
          <w:szCs w:val="24"/>
          <w:lang w:val="ro-MD" w:eastAsia="en-GB"/>
        </w:rPr>
        <w:t>A</w:t>
      </w:r>
      <w:r w:rsidR="002E4B91">
        <w:rPr>
          <w:rFonts w:ascii="Times New Roman" w:eastAsia="Times New Roman" w:hAnsi="Times New Roman" w:cs="Times New Roman"/>
          <w:sz w:val="24"/>
          <w:szCs w:val="24"/>
          <w:lang w:val="ro-MD" w:eastAsia="en-GB"/>
        </w:rPr>
        <w:t xml:space="preserve">genției Naționale pentru Ocuparea Forței de Muncă </w:t>
      </w:r>
      <w:r w:rsidRPr="003836D9">
        <w:rPr>
          <w:rFonts w:ascii="Times New Roman" w:eastAsia="Times New Roman" w:hAnsi="Times New Roman" w:cs="Times New Roman"/>
          <w:sz w:val="24"/>
          <w:szCs w:val="24"/>
          <w:lang w:val="ro-MD" w:eastAsia="en-GB"/>
        </w:rPr>
        <w:t xml:space="preserve">din Moldova este de a facilita </w:t>
      </w:r>
      <w:r w:rsidR="0039777A" w:rsidRPr="003836D9">
        <w:rPr>
          <w:rFonts w:ascii="Times New Roman" w:eastAsia="Times New Roman" w:hAnsi="Times New Roman" w:cs="Times New Roman"/>
          <w:sz w:val="24"/>
          <w:szCs w:val="24"/>
          <w:lang w:val="ro-MD" w:eastAsia="en-GB"/>
        </w:rPr>
        <w:t>corelarea</w:t>
      </w:r>
      <w:r w:rsidRPr="003836D9">
        <w:rPr>
          <w:rFonts w:ascii="Times New Roman" w:eastAsia="Times New Roman" w:hAnsi="Times New Roman" w:cs="Times New Roman"/>
          <w:sz w:val="24"/>
          <w:szCs w:val="24"/>
          <w:lang w:val="ro-MD" w:eastAsia="en-GB"/>
        </w:rPr>
        <w:t xml:space="preserve"> șomerilor cu locurile de muncă vacante din întreprinderi.</w:t>
      </w:r>
      <w:r w:rsidR="0039777A" w:rsidRPr="003836D9">
        <w:rPr>
          <w:rFonts w:ascii="Times New Roman" w:eastAsia="Times New Roman" w:hAnsi="Times New Roman" w:cs="Times New Roman"/>
          <w:sz w:val="24"/>
          <w:szCs w:val="24"/>
          <w:lang w:val="ro-MD" w:eastAsia="en-GB"/>
        </w:rPr>
        <w:t xml:space="preserve"> În conformitate cu principiile Convenției OIM privind Serviciul pentru Ocuparea Forței de Muncă (C88), 1948 ratificată de Moldova în 1996, aceasta o</w:t>
      </w:r>
      <w:r w:rsidRPr="003836D9">
        <w:rPr>
          <w:rFonts w:ascii="Times New Roman" w:eastAsia="Times New Roman" w:hAnsi="Times New Roman" w:cs="Times New Roman"/>
          <w:sz w:val="24"/>
          <w:szCs w:val="24"/>
          <w:lang w:val="ro-MD" w:eastAsia="en-GB"/>
        </w:rPr>
        <w:t xml:space="preserve">feră informații </w:t>
      </w:r>
      <w:r w:rsidR="00560DF8" w:rsidRPr="003836D9">
        <w:rPr>
          <w:rFonts w:ascii="Times New Roman" w:eastAsia="Times New Roman" w:hAnsi="Times New Roman" w:cs="Times New Roman"/>
          <w:sz w:val="24"/>
          <w:szCs w:val="24"/>
          <w:lang w:val="ro-MD" w:eastAsia="en-GB"/>
        </w:rPr>
        <w:t>privind</w:t>
      </w:r>
      <w:r w:rsidRPr="003836D9">
        <w:rPr>
          <w:rFonts w:ascii="Times New Roman" w:eastAsia="Times New Roman" w:hAnsi="Times New Roman" w:cs="Times New Roman"/>
          <w:sz w:val="24"/>
          <w:szCs w:val="24"/>
          <w:lang w:val="ro-MD" w:eastAsia="en-GB"/>
        </w:rPr>
        <w:t xml:space="preserve"> piața muncii, consiliere pentru ocuparea forței de muncă</w:t>
      </w:r>
      <w:r w:rsidR="00560DF8" w:rsidRPr="003836D9">
        <w:rPr>
          <w:rFonts w:ascii="Times New Roman" w:eastAsia="Times New Roman" w:hAnsi="Times New Roman" w:cs="Times New Roman"/>
          <w:sz w:val="24"/>
          <w:szCs w:val="24"/>
          <w:lang w:val="ro-MD" w:eastAsia="en-GB"/>
        </w:rPr>
        <w:t>, ghidare</w:t>
      </w:r>
      <w:r w:rsidRPr="003836D9">
        <w:rPr>
          <w:rFonts w:ascii="Times New Roman" w:eastAsia="Times New Roman" w:hAnsi="Times New Roman" w:cs="Times New Roman"/>
          <w:sz w:val="24"/>
          <w:szCs w:val="24"/>
          <w:lang w:val="ro-MD" w:eastAsia="en-GB"/>
        </w:rPr>
        <w:t xml:space="preserve"> în carieră și </w:t>
      </w:r>
      <w:r w:rsidR="00560DF8" w:rsidRPr="003836D9">
        <w:rPr>
          <w:rFonts w:ascii="Times New Roman" w:eastAsia="Times New Roman" w:hAnsi="Times New Roman" w:cs="Times New Roman"/>
          <w:sz w:val="24"/>
          <w:szCs w:val="24"/>
          <w:lang w:val="ro-MD" w:eastAsia="en-GB"/>
        </w:rPr>
        <w:t>gestionează măsuri</w:t>
      </w:r>
      <w:r w:rsidRPr="003836D9">
        <w:rPr>
          <w:rFonts w:ascii="Times New Roman" w:eastAsia="Times New Roman" w:hAnsi="Times New Roman" w:cs="Times New Roman"/>
          <w:sz w:val="24"/>
          <w:szCs w:val="24"/>
          <w:lang w:val="ro-MD" w:eastAsia="en-GB"/>
        </w:rPr>
        <w:t xml:space="preserve"> active și pasive ale pieței munci</w:t>
      </w:r>
      <w:r w:rsidR="0039777A" w:rsidRPr="003836D9">
        <w:rPr>
          <w:rFonts w:ascii="Times New Roman" w:eastAsia="Times New Roman" w:hAnsi="Times New Roman" w:cs="Times New Roman"/>
          <w:sz w:val="24"/>
          <w:szCs w:val="24"/>
          <w:lang w:val="ro-MD" w:eastAsia="en-GB"/>
        </w:rPr>
        <w:t>i</w:t>
      </w:r>
      <w:r w:rsidR="00B95D14" w:rsidRPr="003836D9">
        <w:rPr>
          <w:rFonts w:ascii="Times New Roman" w:hAnsi="Times New Roman" w:cs="Times New Roman"/>
          <w:bCs/>
          <w:sz w:val="24"/>
          <w:szCs w:val="24"/>
          <w:lang w:val="ro-MD"/>
        </w:rPr>
        <w:t xml:space="preserve">. </w:t>
      </w:r>
    </w:p>
    <w:p w14:paraId="028CE6D6" w14:textId="7604B140" w:rsidR="00EB38D6" w:rsidRPr="003836D9" w:rsidRDefault="002764A2" w:rsidP="00225B2E">
      <w:pPr>
        <w:suppressAutoHyphens/>
        <w:spacing w:before="120" w:after="120" w:line="280" w:lineRule="exact"/>
        <w:jc w:val="both"/>
        <w:rPr>
          <w:rFonts w:ascii="Times New Roman" w:hAnsi="Times New Roman" w:cs="Times New Roman"/>
          <w:bCs/>
          <w:sz w:val="24"/>
          <w:szCs w:val="24"/>
          <w:lang w:val="ro-MD"/>
        </w:rPr>
      </w:pPr>
      <w:r w:rsidRPr="003836D9">
        <w:rPr>
          <w:rFonts w:ascii="Times New Roman" w:hAnsi="Times New Roman" w:cs="Times New Roman"/>
          <w:bCs/>
          <w:sz w:val="24"/>
          <w:szCs w:val="24"/>
          <w:lang w:val="ro-MD"/>
        </w:rPr>
        <w:t xml:space="preserve">Structura organizatorică și geografică </w:t>
      </w:r>
      <w:r w:rsidR="0016276D" w:rsidRPr="003836D9">
        <w:rPr>
          <w:rFonts w:ascii="Times New Roman" w:hAnsi="Times New Roman" w:cs="Times New Roman"/>
          <w:bCs/>
          <w:sz w:val="24"/>
          <w:szCs w:val="24"/>
          <w:lang w:val="ro-MD"/>
        </w:rPr>
        <w:t xml:space="preserve">a </w:t>
      </w:r>
      <w:r w:rsidR="002E4B91">
        <w:rPr>
          <w:rFonts w:ascii="Times New Roman" w:eastAsia="Times New Roman" w:hAnsi="Times New Roman" w:cs="Times New Roman"/>
          <w:sz w:val="24"/>
          <w:szCs w:val="24"/>
          <w:lang w:val="ro-MD" w:eastAsia="en-GB"/>
        </w:rPr>
        <w:t>Agenției Naționale pentru Ocuparea Forței de Muncă</w:t>
      </w:r>
      <w:r w:rsidR="0016276D" w:rsidRPr="003836D9">
        <w:rPr>
          <w:rFonts w:ascii="Times New Roman" w:hAnsi="Times New Roman" w:cs="Times New Roman"/>
          <w:bCs/>
          <w:sz w:val="24"/>
          <w:szCs w:val="24"/>
          <w:lang w:val="ro-MD"/>
        </w:rPr>
        <w:t xml:space="preserve"> </w:t>
      </w:r>
      <w:r w:rsidRPr="003836D9">
        <w:rPr>
          <w:rFonts w:ascii="Times New Roman" w:hAnsi="Times New Roman" w:cs="Times New Roman"/>
          <w:bCs/>
          <w:sz w:val="24"/>
          <w:szCs w:val="24"/>
          <w:lang w:val="ro-MD"/>
        </w:rPr>
        <w:t xml:space="preserve">asigură disponibilitatea serviciilor </w:t>
      </w:r>
      <w:r w:rsidR="0039777A" w:rsidRPr="003836D9">
        <w:rPr>
          <w:rFonts w:ascii="Times New Roman" w:hAnsi="Times New Roman" w:cs="Times New Roman"/>
          <w:bCs/>
          <w:sz w:val="24"/>
          <w:szCs w:val="24"/>
          <w:lang w:val="ro-MD"/>
        </w:rPr>
        <w:t xml:space="preserve">de angajare </w:t>
      </w:r>
      <w:r w:rsidRPr="003836D9">
        <w:rPr>
          <w:rFonts w:ascii="Times New Roman" w:hAnsi="Times New Roman" w:cs="Times New Roman"/>
          <w:bCs/>
          <w:sz w:val="24"/>
          <w:szCs w:val="24"/>
          <w:lang w:val="ro-MD"/>
        </w:rPr>
        <w:t>de bază, formare profesională și acces la drepturile statutare (</w:t>
      </w:r>
      <w:r w:rsidR="005B0D6A" w:rsidRPr="003836D9">
        <w:rPr>
          <w:rFonts w:ascii="Times New Roman" w:hAnsi="Times New Roman" w:cs="Times New Roman"/>
          <w:bCs/>
          <w:sz w:val="24"/>
          <w:szCs w:val="24"/>
          <w:lang w:val="ro-MD"/>
        </w:rPr>
        <w:t>ajutor</w:t>
      </w:r>
      <w:r w:rsidRPr="003836D9">
        <w:rPr>
          <w:rFonts w:ascii="Times New Roman" w:hAnsi="Times New Roman" w:cs="Times New Roman"/>
          <w:bCs/>
          <w:sz w:val="24"/>
          <w:szCs w:val="24"/>
          <w:lang w:val="ro-MD"/>
        </w:rPr>
        <w:t xml:space="preserve"> de șomaj) în toată țara. Asistența șomeri</w:t>
      </w:r>
      <w:r w:rsidR="00225B2E" w:rsidRPr="003836D9">
        <w:rPr>
          <w:rFonts w:ascii="Times New Roman" w:hAnsi="Times New Roman" w:cs="Times New Roman"/>
          <w:bCs/>
          <w:sz w:val="24"/>
          <w:szCs w:val="24"/>
          <w:lang w:val="ro-MD"/>
        </w:rPr>
        <w:t>lor</w:t>
      </w:r>
      <w:r w:rsidRPr="003836D9">
        <w:rPr>
          <w:rFonts w:ascii="Times New Roman" w:hAnsi="Times New Roman" w:cs="Times New Roman"/>
          <w:bCs/>
          <w:sz w:val="24"/>
          <w:szCs w:val="24"/>
          <w:lang w:val="ro-MD"/>
        </w:rPr>
        <w:t xml:space="preserve"> este oferită în mare parte față</w:t>
      </w:r>
      <w:r w:rsidR="00803F8F" w:rsidRPr="003836D9">
        <w:rPr>
          <w:rFonts w:ascii="Times New Roman" w:hAnsi="Times New Roman" w:cs="Times New Roman"/>
          <w:bCs/>
          <w:sz w:val="24"/>
          <w:szCs w:val="24"/>
          <w:lang w:val="ro-MD"/>
        </w:rPr>
        <w:t xml:space="preserve"> </w:t>
      </w:r>
      <w:r w:rsidRPr="003836D9">
        <w:rPr>
          <w:rFonts w:ascii="Times New Roman" w:hAnsi="Times New Roman" w:cs="Times New Roman"/>
          <w:bCs/>
          <w:sz w:val="24"/>
          <w:szCs w:val="24"/>
          <w:lang w:val="ro-MD"/>
        </w:rPr>
        <w:t>în</w:t>
      </w:r>
      <w:r w:rsidR="00803F8F" w:rsidRPr="003836D9">
        <w:rPr>
          <w:rFonts w:ascii="Times New Roman" w:hAnsi="Times New Roman" w:cs="Times New Roman"/>
          <w:bCs/>
          <w:sz w:val="24"/>
          <w:szCs w:val="24"/>
          <w:lang w:val="ro-MD"/>
        </w:rPr>
        <w:t xml:space="preserve"> </w:t>
      </w:r>
      <w:r w:rsidRPr="003836D9">
        <w:rPr>
          <w:rFonts w:ascii="Times New Roman" w:hAnsi="Times New Roman" w:cs="Times New Roman"/>
          <w:bCs/>
          <w:sz w:val="24"/>
          <w:szCs w:val="24"/>
          <w:lang w:val="ro-MD"/>
        </w:rPr>
        <w:t xml:space="preserve">față în timpul înregistrării, profilării și planificării individuale a angajării, precum și prin sesiuni de consiliere de grup organizate în mod regulat. Sistemul de profilare segmentează clienții șomeri în </w:t>
      </w:r>
      <w:r w:rsidR="00143EE3" w:rsidRPr="003836D9">
        <w:rPr>
          <w:rFonts w:ascii="Times New Roman" w:hAnsi="Times New Roman" w:cs="Times New Roman"/>
          <w:bCs/>
          <w:sz w:val="24"/>
          <w:szCs w:val="24"/>
          <w:lang w:val="ro-MD"/>
        </w:rPr>
        <w:t>trei</w:t>
      </w:r>
      <w:r w:rsidRPr="003836D9">
        <w:rPr>
          <w:rFonts w:ascii="Times New Roman" w:hAnsi="Times New Roman" w:cs="Times New Roman"/>
          <w:bCs/>
          <w:sz w:val="24"/>
          <w:szCs w:val="24"/>
          <w:lang w:val="ro-MD"/>
        </w:rPr>
        <w:t xml:space="preserve"> categorii, atribui</w:t>
      </w:r>
      <w:r w:rsidR="0039777A" w:rsidRPr="003836D9">
        <w:rPr>
          <w:rFonts w:ascii="Times New Roman" w:hAnsi="Times New Roman" w:cs="Times New Roman"/>
          <w:bCs/>
          <w:sz w:val="24"/>
          <w:szCs w:val="24"/>
          <w:lang w:val="ro-MD"/>
        </w:rPr>
        <w:t>nd fiecăruia</w:t>
      </w:r>
      <w:r w:rsidRPr="003836D9">
        <w:rPr>
          <w:rFonts w:ascii="Times New Roman" w:hAnsi="Times New Roman" w:cs="Times New Roman"/>
          <w:bCs/>
          <w:sz w:val="24"/>
          <w:szCs w:val="24"/>
          <w:lang w:val="ro-MD"/>
        </w:rPr>
        <w:t xml:space="preserve"> o anumită secvență de livrare a serviciilor. Serviciile specializate de intensitate mai mare</w:t>
      </w:r>
      <w:r w:rsidR="00225B2E" w:rsidRPr="003836D9">
        <w:rPr>
          <w:rFonts w:ascii="Times New Roman" w:hAnsi="Times New Roman" w:cs="Times New Roman"/>
          <w:bCs/>
          <w:sz w:val="24"/>
          <w:szCs w:val="24"/>
          <w:lang w:val="ro-MD"/>
        </w:rPr>
        <w:t>,</w:t>
      </w:r>
      <w:r w:rsidRPr="003836D9">
        <w:rPr>
          <w:rFonts w:ascii="Times New Roman" w:hAnsi="Times New Roman" w:cs="Times New Roman"/>
          <w:bCs/>
          <w:sz w:val="24"/>
          <w:szCs w:val="24"/>
          <w:lang w:val="ro-MD"/>
        </w:rPr>
        <w:t xml:space="preserve"> cum ar fi testarea </w:t>
      </w:r>
      <w:r w:rsidR="00803F8F" w:rsidRPr="003836D9">
        <w:rPr>
          <w:rFonts w:ascii="Times New Roman" w:hAnsi="Times New Roman" w:cs="Times New Roman"/>
          <w:bCs/>
          <w:sz w:val="24"/>
          <w:szCs w:val="24"/>
          <w:lang w:val="ro-MD"/>
        </w:rPr>
        <w:t>psi</w:t>
      </w:r>
      <w:r w:rsidR="00C600AB" w:rsidRPr="003836D9">
        <w:rPr>
          <w:rFonts w:ascii="Times New Roman" w:hAnsi="Times New Roman" w:cs="Times New Roman"/>
          <w:bCs/>
          <w:sz w:val="24"/>
          <w:szCs w:val="24"/>
          <w:lang w:val="ro-MD"/>
        </w:rPr>
        <w:t>h</w:t>
      </w:r>
      <w:r w:rsidR="00803F8F" w:rsidRPr="003836D9">
        <w:rPr>
          <w:rFonts w:ascii="Times New Roman" w:hAnsi="Times New Roman" w:cs="Times New Roman"/>
          <w:bCs/>
          <w:sz w:val="24"/>
          <w:szCs w:val="24"/>
          <w:lang w:val="ro-MD"/>
        </w:rPr>
        <w:t>o-atitudinală</w:t>
      </w:r>
      <w:r w:rsidRPr="003836D9">
        <w:rPr>
          <w:rFonts w:ascii="Times New Roman" w:hAnsi="Times New Roman" w:cs="Times New Roman"/>
          <w:bCs/>
          <w:sz w:val="24"/>
          <w:szCs w:val="24"/>
          <w:lang w:val="ro-MD"/>
        </w:rPr>
        <w:t xml:space="preserve"> și managementul de caz pentru persoanele care </w:t>
      </w:r>
      <w:r w:rsidR="001C26B4" w:rsidRPr="003836D9">
        <w:rPr>
          <w:rFonts w:ascii="Times New Roman" w:hAnsi="Times New Roman" w:cs="Times New Roman"/>
          <w:bCs/>
          <w:sz w:val="24"/>
          <w:szCs w:val="24"/>
          <w:lang w:val="ro-MD"/>
        </w:rPr>
        <w:t>întâmpină</w:t>
      </w:r>
      <w:r w:rsidRPr="003836D9">
        <w:rPr>
          <w:rFonts w:ascii="Times New Roman" w:hAnsi="Times New Roman" w:cs="Times New Roman"/>
          <w:bCs/>
          <w:sz w:val="24"/>
          <w:szCs w:val="24"/>
          <w:lang w:val="ro-MD"/>
        </w:rPr>
        <w:t xml:space="preserve"> multiple </w:t>
      </w:r>
      <w:r w:rsidR="001C26B4" w:rsidRPr="003836D9">
        <w:rPr>
          <w:rFonts w:ascii="Times New Roman" w:hAnsi="Times New Roman" w:cs="Times New Roman"/>
          <w:bCs/>
          <w:sz w:val="24"/>
          <w:szCs w:val="24"/>
          <w:lang w:val="ro-MD"/>
        </w:rPr>
        <w:t xml:space="preserve">bariere </w:t>
      </w:r>
      <w:r w:rsidRPr="003836D9">
        <w:rPr>
          <w:rFonts w:ascii="Times New Roman" w:hAnsi="Times New Roman" w:cs="Times New Roman"/>
          <w:bCs/>
          <w:sz w:val="24"/>
          <w:szCs w:val="24"/>
          <w:lang w:val="ro-MD"/>
        </w:rPr>
        <w:t>pe piața muncii</w:t>
      </w:r>
      <w:r w:rsidR="00225B2E" w:rsidRPr="003836D9">
        <w:rPr>
          <w:rFonts w:ascii="Times New Roman" w:hAnsi="Times New Roman" w:cs="Times New Roman"/>
          <w:bCs/>
          <w:sz w:val="24"/>
          <w:szCs w:val="24"/>
          <w:lang w:val="ro-MD"/>
        </w:rPr>
        <w:t>,</w:t>
      </w:r>
      <w:r w:rsidRPr="003836D9">
        <w:rPr>
          <w:rFonts w:ascii="Times New Roman" w:hAnsi="Times New Roman" w:cs="Times New Roman"/>
          <w:bCs/>
          <w:sz w:val="24"/>
          <w:szCs w:val="24"/>
          <w:lang w:val="ro-MD"/>
        </w:rPr>
        <w:t xml:space="preserve"> sunt</w:t>
      </w:r>
      <w:r w:rsidR="0039777A" w:rsidRPr="003836D9">
        <w:rPr>
          <w:rFonts w:ascii="Times New Roman" w:hAnsi="Times New Roman" w:cs="Times New Roman"/>
          <w:bCs/>
          <w:sz w:val="24"/>
          <w:szCs w:val="24"/>
          <w:lang w:val="ro-MD"/>
        </w:rPr>
        <w:t xml:space="preserve"> </w:t>
      </w:r>
      <w:r w:rsidR="00225B2E" w:rsidRPr="003836D9">
        <w:rPr>
          <w:rFonts w:ascii="Times New Roman" w:hAnsi="Times New Roman" w:cs="Times New Roman"/>
          <w:bCs/>
          <w:sz w:val="24"/>
          <w:szCs w:val="24"/>
          <w:lang w:val="ro-MD"/>
        </w:rPr>
        <w:t>subdezvoltate</w:t>
      </w:r>
      <w:r w:rsidRPr="003836D9">
        <w:rPr>
          <w:rFonts w:ascii="Times New Roman" w:hAnsi="Times New Roman" w:cs="Times New Roman"/>
          <w:bCs/>
          <w:sz w:val="24"/>
          <w:szCs w:val="24"/>
          <w:lang w:val="ro-MD"/>
        </w:rPr>
        <w:t xml:space="preserve">. În trecut, multe agenții locale aveau un psiholog în structura </w:t>
      </w:r>
      <w:r w:rsidR="0039777A" w:rsidRPr="003836D9">
        <w:rPr>
          <w:rFonts w:ascii="Times New Roman" w:hAnsi="Times New Roman" w:cs="Times New Roman"/>
          <w:bCs/>
          <w:sz w:val="24"/>
          <w:szCs w:val="24"/>
          <w:lang w:val="ro-MD"/>
        </w:rPr>
        <w:t xml:space="preserve">de </w:t>
      </w:r>
      <w:r w:rsidRPr="003836D9">
        <w:rPr>
          <w:rFonts w:ascii="Times New Roman" w:hAnsi="Times New Roman" w:cs="Times New Roman"/>
          <w:bCs/>
          <w:sz w:val="24"/>
          <w:szCs w:val="24"/>
          <w:lang w:val="ro-MD"/>
        </w:rPr>
        <w:t>personal</w:t>
      </w:r>
      <w:r w:rsidR="0039777A" w:rsidRPr="003836D9">
        <w:rPr>
          <w:rFonts w:ascii="Times New Roman" w:hAnsi="Times New Roman" w:cs="Times New Roman"/>
          <w:bCs/>
          <w:sz w:val="24"/>
          <w:szCs w:val="24"/>
          <w:lang w:val="ro-MD"/>
        </w:rPr>
        <w:t xml:space="preserve">, </w:t>
      </w:r>
      <w:r w:rsidRPr="003836D9">
        <w:rPr>
          <w:rFonts w:ascii="Times New Roman" w:hAnsi="Times New Roman" w:cs="Times New Roman"/>
          <w:bCs/>
          <w:sz w:val="24"/>
          <w:szCs w:val="24"/>
          <w:lang w:val="ro-MD"/>
        </w:rPr>
        <w:t xml:space="preserve">dar aceste </w:t>
      </w:r>
      <w:r w:rsidR="00225B2E" w:rsidRPr="003836D9">
        <w:rPr>
          <w:rFonts w:ascii="Times New Roman" w:hAnsi="Times New Roman" w:cs="Times New Roman"/>
          <w:bCs/>
          <w:sz w:val="24"/>
          <w:szCs w:val="24"/>
          <w:lang w:val="ro-MD"/>
        </w:rPr>
        <w:t xml:space="preserve">funcții </w:t>
      </w:r>
      <w:r w:rsidRPr="003836D9">
        <w:rPr>
          <w:rFonts w:ascii="Times New Roman" w:hAnsi="Times New Roman" w:cs="Times New Roman"/>
          <w:bCs/>
          <w:sz w:val="24"/>
          <w:szCs w:val="24"/>
          <w:lang w:val="ro-MD"/>
        </w:rPr>
        <w:t xml:space="preserve">au fost </w:t>
      </w:r>
      <w:r w:rsidR="00225B2E" w:rsidRPr="003836D9">
        <w:rPr>
          <w:rFonts w:ascii="Times New Roman" w:hAnsi="Times New Roman" w:cs="Times New Roman"/>
          <w:bCs/>
          <w:sz w:val="24"/>
          <w:szCs w:val="24"/>
          <w:lang w:val="ro-MD"/>
        </w:rPr>
        <w:t>lichidate</w:t>
      </w:r>
      <w:r w:rsidRPr="003836D9">
        <w:rPr>
          <w:rFonts w:ascii="Times New Roman" w:hAnsi="Times New Roman" w:cs="Times New Roman"/>
          <w:bCs/>
          <w:sz w:val="24"/>
          <w:szCs w:val="24"/>
          <w:lang w:val="ro-MD"/>
        </w:rPr>
        <w:t xml:space="preserve"> în 2005. </w:t>
      </w:r>
      <w:r w:rsidRPr="003836D9">
        <w:rPr>
          <w:rFonts w:ascii="Times New Roman" w:hAnsi="Times New Roman" w:cs="Times New Roman"/>
          <w:bCs/>
          <w:sz w:val="24"/>
          <w:szCs w:val="24"/>
          <w:lang w:val="ro-MD"/>
        </w:rPr>
        <w:lastRenderedPageBreak/>
        <w:t>Serviciile pentru angajatori includ medierea locului de muncă</w:t>
      </w:r>
      <w:r w:rsidR="00225B2E" w:rsidRPr="003836D9">
        <w:rPr>
          <w:rFonts w:ascii="Times New Roman" w:hAnsi="Times New Roman" w:cs="Times New Roman"/>
          <w:bCs/>
          <w:sz w:val="24"/>
          <w:szCs w:val="24"/>
          <w:lang w:val="ro-MD"/>
        </w:rPr>
        <w:t xml:space="preserve">, </w:t>
      </w:r>
      <w:r w:rsidRPr="003836D9">
        <w:rPr>
          <w:rFonts w:ascii="Times New Roman" w:hAnsi="Times New Roman" w:cs="Times New Roman"/>
          <w:bCs/>
          <w:sz w:val="24"/>
          <w:szCs w:val="24"/>
          <w:lang w:val="ro-MD"/>
        </w:rPr>
        <w:t xml:space="preserve">efectuată electronic prin potrivirea caracteristicilor cheie ale </w:t>
      </w:r>
      <w:r w:rsidR="00225B2E" w:rsidRPr="003836D9">
        <w:rPr>
          <w:rFonts w:ascii="Times New Roman" w:hAnsi="Times New Roman" w:cs="Times New Roman"/>
          <w:bCs/>
          <w:sz w:val="24"/>
          <w:szCs w:val="24"/>
          <w:lang w:val="ro-MD"/>
        </w:rPr>
        <w:t xml:space="preserve">locului de muncă </w:t>
      </w:r>
      <w:r w:rsidRPr="003836D9">
        <w:rPr>
          <w:rFonts w:ascii="Times New Roman" w:hAnsi="Times New Roman" w:cs="Times New Roman"/>
          <w:bCs/>
          <w:sz w:val="24"/>
          <w:szCs w:val="24"/>
          <w:lang w:val="ro-MD"/>
        </w:rPr>
        <w:t>vacant cu caracteristicile șomerului înregistrat</w:t>
      </w:r>
      <w:r w:rsidR="00225B2E" w:rsidRPr="003836D9">
        <w:rPr>
          <w:rFonts w:ascii="Times New Roman" w:hAnsi="Times New Roman" w:cs="Times New Roman"/>
          <w:bCs/>
          <w:sz w:val="24"/>
          <w:szCs w:val="24"/>
          <w:lang w:val="ro-MD"/>
        </w:rPr>
        <w:t xml:space="preserve"> și </w:t>
      </w:r>
      <w:r w:rsidR="0039777A" w:rsidRPr="003836D9">
        <w:rPr>
          <w:rFonts w:ascii="Times New Roman" w:hAnsi="Times New Roman" w:cs="Times New Roman"/>
          <w:bCs/>
          <w:sz w:val="24"/>
          <w:szCs w:val="24"/>
          <w:lang w:val="ro-MD"/>
        </w:rPr>
        <w:t>stabilirea listei preferențiale a</w:t>
      </w:r>
      <w:r w:rsidRPr="003836D9">
        <w:rPr>
          <w:rFonts w:ascii="Times New Roman" w:hAnsi="Times New Roman" w:cs="Times New Roman"/>
          <w:bCs/>
          <w:sz w:val="24"/>
          <w:szCs w:val="24"/>
          <w:lang w:val="ro-MD"/>
        </w:rPr>
        <w:t xml:space="preserve"> </w:t>
      </w:r>
      <w:r w:rsidR="001C26B4" w:rsidRPr="003836D9">
        <w:rPr>
          <w:rFonts w:ascii="Times New Roman" w:hAnsi="Times New Roman" w:cs="Times New Roman"/>
          <w:bCs/>
          <w:sz w:val="24"/>
          <w:szCs w:val="24"/>
          <w:lang w:val="ro-MD"/>
        </w:rPr>
        <w:t>potențialilor</w:t>
      </w:r>
      <w:r w:rsidRPr="003836D9">
        <w:rPr>
          <w:rFonts w:ascii="Times New Roman" w:hAnsi="Times New Roman" w:cs="Times New Roman"/>
          <w:bCs/>
          <w:sz w:val="24"/>
          <w:szCs w:val="24"/>
          <w:lang w:val="ro-MD"/>
        </w:rPr>
        <w:t xml:space="preserve"> </w:t>
      </w:r>
      <w:r w:rsidR="001C26B4" w:rsidRPr="003836D9">
        <w:rPr>
          <w:rFonts w:ascii="Times New Roman" w:hAnsi="Times New Roman" w:cs="Times New Roman"/>
          <w:bCs/>
          <w:sz w:val="24"/>
          <w:szCs w:val="24"/>
          <w:lang w:val="ro-MD"/>
        </w:rPr>
        <w:t>candidați</w:t>
      </w:r>
      <w:r w:rsidRPr="003836D9">
        <w:rPr>
          <w:rFonts w:ascii="Times New Roman" w:hAnsi="Times New Roman" w:cs="Times New Roman"/>
          <w:bCs/>
          <w:sz w:val="24"/>
          <w:szCs w:val="24"/>
          <w:lang w:val="ro-MD"/>
        </w:rPr>
        <w:t xml:space="preserve"> </w:t>
      </w:r>
      <w:r w:rsidR="0039777A" w:rsidRPr="003836D9">
        <w:rPr>
          <w:rFonts w:ascii="Times New Roman" w:hAnsi="Times New Roman" w:cs="Times New Roman"/>
          <w:bCs/>
          <w:sz w:val="24"/>
          <w:szCs w:val="24"/>
          <w:lang w:val="ro-MD"/>
        </w:rPr>
        <w:t>pentru</w:t>
      </w:r>
      <w:r w:rsidRPr="003836D9">
        <w:rPr>
          <w:rFonts w:ascii="Times New Roman" w:hAnsi="Times New Roman" w:cs="Times New Roman"/>
          <w:bCs/>
          <w:sz w:val="24"/>
          <w:szCs w:val="24"/>
          <w:lang w:val="ro-MD"/>
        </w:rPr>
        <w:t xml:space="preserve"> locuri</w:t>
      </w:r>
      <w:r w:rsidR="0039777A" w:rsidRPr="003836D9">
        <w:rPr>
          <w:rFonts w:ascii="Times New Roman" w:hAnsi="Times New Roman" w:cs="Times New Roman"/>
          <w:bCs/>
          <w:sz w:val="24"/>
          <w:szCs w:val="24"/>
          <w:lang w:val="ro-MD"/>
        </w:rPr>
        <w:t>le</w:t>
      </w:r>
      <w:r w:rsidRPr="003836D9">
        <w:rPr>
          <w:rFonts w:ascii="Times New Roman" w:hAnsi="Times New Roman" w:cs="Times New Roman"/>
          <w:bCs/>
          <w:sz w:val="24"/>
          <w:szCs w:val="24"/>
          <w:lang w:val="ro-MD"/>
        </w:rPr>
        <w:t xml:space="preserve"> de munc</w:t>
      </w:r>
      <w:r w:rsidR="00265F67" w:rsidRPr="003836D9">
        <w:rPr>
          <w:rFonts w:ascii="Times New Roman" w:hAnsi="Times New Roman" w:cs="Times New Roman"/>
          <w:bCs/>
          <w:sz w:val="24"/>
          <w:szCs w:val="24"/>
          <w:lang w:val="ro-MD"/>
        </w:rPr>
        <w:t>ă</w:t>
      </w:r>
      <w:r w:rsidRPr="003836D9">
        <w:rPr>
          <w:rFonts w:ascii="Times New Roman" w:hAnsi="Times New Roman" w:cs="Times New Roman"/>
          <w:bCs/>
          <w:sz w:val="24"/>
          <w:szCs w:val="24"/>
          <w:lang w:val="ro-MD"/>
        </w:rPr>
        <w:t>, organizarea de interviuri de angajare fie</w:t>
      </w:r>
      <w:r w:rsidR="00265F67" w:rsidRPr="003836D9">
        <w:rPr>
          <w:rFonts w:ascii="Times New Roman" w:hAnsi="Times New Roman" w:cs="Times New Roman"/>
          <w:bCs/>
          <w:sz w:val="24"/>
          <w:szCs w:val="24"/>
          <w:lang w:val="ro-MD"/>
        </w:rPr>
        <w:t xml:space="preserve"> la</w:t>
      </w:r>
      <w:r w:rsidRPr="003836D9">
        <w:rPr>
          <w:rFonts w:ascii="Times New Roman" w:hAnsi="Times New Roman" w:cs="Times New Roman"/>
          <w:bCs/>
          <w:sz w:val="24"/>
          <w:szCs w:val="24"/>
          <w:lang w:val="ro-MD"/>
        </w:rPr>
        <w:t xml:space="preserve"> </w:t>
      </w:r>
      <w:r w:rsidR="0039777A" w:rsidRPr="003836D9">
        <w:rPr>
          <w:rFonts w:ascii="Times New Roman" w:hAnsi="Times New Roman" w:cs="Times New Roman"/>
          <w:bCs/>
          <w:sz w:val="24"/>
          <w:szCs w:val="24"/>
          <w:lang w:val="ro-MD"/>
        </w:rPr>
        <w:t xml:space="preserve">sediu </w:t>
      </w:r>
      <w:r w:rsidRPr="003836D9">
        <w:rPr>
          <w:rFonts w:ascii="Times New Roman" w:hAnsi="Times New Roman" w:cs="Times New Roman"/>
          <w:bCs/>
          <w:sz w:val="24"/>
          <w:szCs w:val="24"/>
          <w:lang w:val="ro-MD"/>
        </w:rPr>
        <w:t>propriu</w:t>
      </w:r>
      <w:r w:rsidR="00265F67" w:rsidRPr="003836D9">
        <w:rPr>
          <w:rFonts w:ascii="Times New Roman" w:hAnsi="Times New Roman" w:cs="Times New Roman"/>
          <w:bCs/>
          <w:sz w:val="24"/>
          <w:szCs w:val="24"/>
          <w:lang w:val="ro-MD"/>
        </w:rPr>
        <w:t>l</w:t>
      </w:r>
      <w:r w:rsidRPr="003836D9">
        <w:rPr>
          <w:rFonts w:ascii="Times New Roman" w:hAnsi="Times New Roman" w:cs="Times New Roman"/>
          <w:bCs/>
          <w:sz w:val="24"/>
          <w:szCs w:val="24"/>
          <w:lang w:val="ro-MD"/>
        </w:rPr>
        <w:t>, fie la sediul angajatorului</w:t>
      </w:r>
      <w:r w:rsidR="00EB38D6" w:rsidRPr="003836D9">
        <w:rPr>
          <w:rFonts w:ascii="Times New Roman" w:hAnsi="Times New Roman" w:cs="Times New Roman"/>
          <w:bCs/>
          <w:sz w:val="24"/>
          <w:szCs w:val="24"/>
          <w:lang w:val="ro-MD"/>
        </w:rPr>
        <w:t xml:space="preserve">. </w:t>
      </w:r>
    </w:p>
    <w:p w14:paraId="42E704F1" w14:textId="7C24875E" w:rsidR="00824AF1" w:rsidRPr="003836D9" w:rsidRDefault="002764A2" w:rsidP="00225B2E">
      <w:pPr>
        <w:jc w:val="both"/>
        <w:rPr>
          <w:rFonts w:ascii="Times New Roman" w:hAnsi="Times New Roman" w:cs="Times New Roman"/>
          <w:iCs/>
          <w:sz w:val="24"/>
          <w:szCs w:val="24"/>
          <w:lang w:val="ro-MD" w:eastAsia="it-IT"/>
        </w:rPr>
      </w:pPr>
      <w:r w:rsidRPr="003836D9">
        <w:rPr>
          <w:rFonts w:ascii="Times New Roman" w:hAnsi="Times New Roman" w:cs="Times New Roman"/>
          <w:sz w:val="24"/>
          <w:szCs w:val="24"/>
          <w:lang w:val="ro-MD"/>
        </w:rPr>
        <w:t>Analiza efe</w:t>
      </w:r>
      <w:r w:rsidR="0039777A" w:rsidRPr="003836D9">
        <w:rPr>
          <w:rFonts w:ascii="Times New Roman" w:hAnsi="Times New Roman" w:cs="Times New Roman"/>
          <w:sz w:val="24"/>
          <w:szCs w:val="24"/>
          <w:lang w:val="ro-MD"/>
        </w:rPr>
        <w:t>c</w:t>
      </w:r>
      <w:r w:rsidRPr="003836D9">
        <w:rPr>
          <w:rFonts w:ascii="Times New Roman" w:hAnsi="Times New Roman" w:cs="Times New Roman"/>
          <w:sz w:val="24"/>
          <w:szCs w:val="24"/>
          <w:lang w:val="ro-MD"/>
        </w:rPr>
        <w:t xml:space="preserve">tuată în 2017 privind organizarea funcțională a </w:t>
      </w:r>
      <w:r w:rsidR="002E4B91">
        <w:rPr>
          <w:rFonts w:ascii="Times New Roman" w:eastAsia="Times New Roman" w:hAnsi="Times New Roman" w:cs="Times New Roman"/>
          <w:sz w:val="24"/>
          <w:szCs w:val="24"/>
          <w:lang w:val="ro-MD" w:eastAsia="en-GB"/>
        </w:rPr>
        <w:t>Agenției Naționale pentru Ocuparea Forței de Muncă</w:t>
      </w:r>
      <w:r w:rsidRPr="003836D9">
        <w:rPr>
          <w:rFonts w:ascii="Times New Roman" w:hAnsi="Times New Roman" w:cs="Times New Roman"/>
          <w:sz w:val="24"/>
          <w:szCs w:val="24"/>
          <w:lang w:val="ro-MD"/>
        </w:rPr>
        <w:t xml:space="preserve"> a raportat provocări legate de </w:t>
      </w:r>
      <w:r w:rsidR="0016276D" w:rsidRPr="003836D9">
        <w:rPr>
          <w:rFonts w:ascii="Times New Roman" w:hAnsi="Times New Roman" w:cs="Times New Roman"/>
          <w:sz w:val="24"/>
          <w:szCs w:val="24"/>
          <w:lang w:val="ro-MD"/>
        </w:rPr>
        <w:t xml:space="preserve">numărul de </w:t>
      </w:r>
      <w:r w:rsidRPr="003836D9">
        <w:rPr>
          <w:rFonts w:ascii="Times New Roman" w:hAnsi="Times New Roman" w:cs="Times New Roman"/>
          <w:sz w:val="24"/>
          <w:szCs w:val="24"/>
          <w:lang w:val="ro-MD"/>
        </w:rPr>
        <w:t>resurse umane (raport personal-client</w:t>
      </w:r>
      <w:r w:rsidR="001C26B4" w:rsidRPr="003836D9">
        <w:rPr>
          <w:rFonts w:ascii="Times New Roman" w:hAnsi="Times New Roman" w:cs="Times New Roman"/>
          <w:sz w:val="24"/>
          <w:szCs w:val="24"/>
          <w:lang w:val="ro-MD"/>
        </w:rPr>
        <w:t xml:space="preserve"> </w:t>
      </w:r>
      <w:r w:rsidR="0039777A" w:rsidRPr="003836D9">
        <w:rPr>
          <w:rFonts w:ascii="Times New Roman" w:hAnsi="Times New Roman" w:cs="Times New Roman"/>
          <w:sz w:val="24"/>
          <w:szCs w:val="24"/>
          <w:lang w:val="ro-MD"/>
        </w:rPr>
        <w:t>înalt</w:t>
      </w:r>
      <w:r w:rsidRPr="003836D9">
        <w:rPr>
          <w:rFonts w:ascii="Times New Roman" w:hAnsi="Times New Roman" w:cs="Times New Roman"/>
          <w:sz w:val="24"/>
          <w:szCs w:val="24"/>
          <w:lang w:val="ro-MD"/>
        </w:rPr>
        <w:t xml:space="preserve">); un portofoliu restrâns de programe active </w:t>
      </w:r>
      <w:r w:rsidR="0039777A" w:rsidRPr="003836D9">
        <w:rPr>
          <w:rFonts w:ascii="Times New Roman" w:hAnsi="Times New Roman" w:cs="Times New Roman"/>
          <w:sz w:val="24"/>
          <w:szCs w:val="24"/>
          <w:lang w:val="ro-MD"/>
        </w:rPr>
        <w:t>ale</w:t>
      </w:r>
      <w:r w:rsidRPr="003836D9">
        <w:rPr>
          <w:rFonts w:ascii="Times New Roman" w:hAnsi="Times New Roman" w:cs="Times New Roman"/>
          <w:sz w:val="24"/>
          <w:szCs w:val="24"/>
          <w:lang w:val="ro-MD"/>
        </w:rPr>
        <w:t xml:space="preserve"> </w:t>
      </w:r>
      <w:r w:rsidR="00803F8F" w:rsidRPr="003836D9">
        <w:rPr>
          <w:rFonts w:ascii="Times New Roman" w:hAnsi="Times New Roman" w:cs="Times New Roman"/>
          <w:sz w:val="24"/>
          <w:szCs w:val="24"/>
          <w:lang w:val="ro-MD"/>
        </w:rPr>
        <w:t>pieței</w:t>
      </w:r>
      <w:r w:rsidRPr="003836D9">
        <w:rPr>
          <w:rFonts w:ascii="Times New Roman" w:hAnsi="Times New Roman" w:cs="Times New Roman"/>
          <w:sz w:val="24"/>
          <w:szCs w:val="24"/>
          <w:lang w:val="ro-MD"/>
        </w:rPr>
        <w:t xml:space="preserve"> muncii; și un deficit de resurse financiare pentru a acoperi operațiunile de bază și a automatiza procesele și procedurile</w:t>
      </w:r>
      <w:r w:rsidR="00EB38D6" w:rsidRPr="003836D9">
        <w:rPr>
          <w:rFonts w:ascii="Times New Roman" w:hAnsi="Times New Roman" w:cs="Times New Roman"/>
          <w:sz w:val="24"/>
          <w:szCs w:val="24"/>
          <w:lang w:val="ro-MD" w:eastAsia="en-GB"/>
        </w:rPr>
        <w:t>.</w:t>
      </w:r>
      <w:r w:rsidR="00E95F91" w:rsidRPr="003836D9">
        <w:rPr>
          <w:rStyle w:val="FootnoteReference"/>
          <w:rFonts w:ascii="Times New Roman" w:hAnsi="Times New Roman" w:cs="Times New Roman"/>
          <w:sz w:val="24"/>
          <w:szCs w:val="24"/>
          <w:lang w:val="ro-MD" w:eastAsia="en-GB"/>
        </w:rPr>
        <w:footnoteReference w:id="38"/>
      </w:r>
      <w:r w:rsidR="00824AF1" w:rsidRPr="003836D9">
        <w:rPr>
          <w:rFonts w:ascii="Times New Roman" w:hAnsi="Times New Roman" w:cs="Times New Roman"/>
          <w:sz w:val="24"/>
          <w:szCs w:val="24"/>
          <w:lang w:val="ro-MD" w:eastAsia="en-GB"/>
        </w:rPr>
        <w:t xml:space="preserve"> </w:t>
      </w:r>
      <w:r w:rsidR="00316E30" w:rsidRPr="003836D9">
        <w:rPr>
          <w:rFonts w:ascii="Times New Roman" w:hAnsi="Times New Roman" w:cs="Times New Roman"/>
          <w:sz w:val="24"/>
          <w:szCs w:val="24"/>
          <w:lang w:val="ro-MD" w:eastAsia="en-GB"/>
        </w:rPr>
        <w:t>R</w:t>
      </w:r>
      <w:r w:rsidRPr="003836D9">
        <w:rPr>
          <w:rFonts w:ascii="Times New Roman" w:hAnsi="Times New Roman" w:cs="Times New Roman"/>
          <w:sz w:val="24"/>
          <w:szCs w:val="24"/>
          <w:lang w:val="ro-MD" w:eastAsia="en-GB"/>
        </w:rPr>
        <w:t xml:space="preserve">aportul </w:t>
      </w:r>
      <w:r w:rsidR="00D2616D" w:rsidRPr="003836D9">
        <w:rPr>
          <w:rFonts w:ascii="Times New Roman" w:hAnsi="Times New Roman" w:cs="Times New Roman"/>
          <w:sz w:val="24"/>
          <w:szCs w:val="24"/>
          <w:lang w:val="ro-MD" w:eastAsia="en-GB"/>
        </w:rPr>
        <w:t xml:space="preserve">angajat </w:t>
      </w:r>
      <w:r w:rsidR="00772AA5" w:rsidRPr="003836D9">
        <w:rPr>
          <w:rFonts w:ascii="Times New Roman" w:hAnsi="Times New Roman" w:cs="Times New Roman"/>
          <w:sz w:val="24"/>
          <w:szCs w:val="24"/>
          <w:lang w:val="ro-MD" w:eastAsia="en-GB"/>
        </w:rPr>
        <w:t xml:space="preserve">- </w:t>
      </w:r>
      <w:r w:rsidRPr="003836D9">
        <w:rPr>
          <w:rFonts w:ascii="Times New Roman" w:hAnsi="Times New Roman" w:cs="Times New Roman"/>
          <w:sz w:val="24"/>
          <w:szCs w:val="24"/>
          <w:lang w:val="ro-MD" w:eastAsia="en-GB"/>
        </w:rPr>
        <w:t xml:space="preserve">șomeri </w:t>
      </w:r>
      <w:r w:rsidR="00316E30" w:rsidRPr="003836D9">
        <w:rPr>
          <w:rFonts w:ascii="Times New Roman" w:hAnsi="Times New Roman" w:cs="Times New Roman"/>
          <w:sz w:val="24"/>
          <w:szCs w:val="24"/>
          <w:lang w:val="ro-MD" w:eastAsia="en-GB"/>
        </w:rPr>
        <w:t xml:space="preserve">a crescut de peste trei ori </w:t>
      </w:r>
      <w:r w:rsidR="00220D3E" w:rsidRPr="003836D9">
        <w:rPr>
          <w:rFonts w:ascii="Times New Roman" w:hAnsi="Times New Roman" w:cs="Times New Roman"/>
          <w:sz w:val="24"/>
          <w:szCs w:val="24"/>
          <w:lang w:val="ro-MD" w:eastAsia="en-GB"/>
        </w:rPr>
        <w:t>(de la 1:265 în 2017</w:t>
      </w:r>
      <w:r w:rsidR="0075529A" w:rsidRPr="003836D9">
        <w:rPr>
          <w:rFonts w:ascii="Times New Roman" w:hAnsi="Times New Roman" w:cs="Times New Roman"/>
          <w:sz w:val="24"/>
          <w:szCs w:val="24"/>
          <w:lang w:val="ro-MD" w:eastAsia="en-GB"/>
        </w:rPr>
        <w:t xml:space="preserve"> până la 1:339</w:t>
      </w:r>
      <w:r w:rsidR="00220D3E" w:rsidRPr="003836D9">
        <w:rPr>
          <w:rFonts w:ascii="Times New Roman" w:hAnsi="Times New Roman" w:cs="Times New Roman"/>
          <w:sz w:val="24"/>
          <w:szCs w:val="24"/>
          <w:lang w:val="ro-MD" w:eastAsia="en-GB"/>
        </w:rPr>
        <w:t>) din cauza r</w:t>
      </w:r>
      <w:r w:rsidR="00316E30" w:rsidRPr="003836D9">
        <w:rPr>
          <w:rFonts w:ascii="Times New Roman" w:hAnsi="Times New Roman" w:cs="Times New Roman"/>
          <w:sz w:val="24"/>
          <w:szCs w:val="24"/>
          <w:lang w:val="ro-MD" w:eastAsia="en-GB"/>
        </w:rPr>
        <w:t>educer</w:t>
      </w:r>
      <w:r w:rsidR="00220D3E" w:rsidRPr="003836D9">
        <w:rPr>
          <w:rFonts w:ascii="Times New Roman" w:hAnsi="Times New Roman" w:cs="Times New Roman"/>
          <w:sz w:val="24"/>
          <w:szCs w:val="24"/>
          <w:lang w:val="ro-MD" w:eastAsia="en-GB"/>
        </w:rPr>
        <w:t>ii</w:t>
      </w:r>
      <w:r w:rsidR="00316E30" w:rsidRPr="003836D9">
        <w:rPr>
          <w:rFonts w:ascii="Times New Roman" w:hAnsi="Times New Roman" w:cs="Times New Roman"/>
          <w:sz w:val="24"/>
          <w:szCs w:val="24"/>
          <w:lang w:val="ro-MD" w:eastAsia="en-GB"/>
        </w:rPr>
        <w:t xml:space="preserve"> personalului</w:t>
      </w:r>
      <w:r w:rsidRPr="003836D9">
        <w:rPr>
          <w:rFonts w:ascii="Times New Roman" w:hAnsi="Times New Roman" w:cs="Times New Roman"/>
          <w:sz w:val="24"/>
          <w:szCs w:val="24"/>
          <w:lang w:val="ro-MD" w:eastAsia="en-GB"/>
        </w:rPr>
        <w:t>,</w:t>
      </w:r>
      <w:r w:rsidR="00316E30" w:rsidRPr="003836D9">
        <w:rPr>
          <w:rFonts w:ascii="Times New Roman" w:hAnsi="Times New Roman" w:cs="Times New Roman"/>
          <w:sz w:val="24"/>
          <w:szCs w:val="24"/>
          <w:lang w:val="ro-MD" w:eastAsia="en-GB"/>
        </w:rPr>
        <w:t xml:space="preserve"> </w:t>
      </w:r>
      <w:r w:rsidR="0075529A" w:rsidRPr="003836D9">
        <w:rPr>
          <w:rFonts w:ascii="Times New Roman" w:hAnsi="Times New Roman" w:cs="Times New Roman"/>
          <w:sz w:val="24"/>
          <w:szCs w:val="24"/>
          <w:lang w:val="ro-MD" w:eastAsia="en-GB"/>
        </w:rPr>
        <w:t>fiind de trei ori mai mic decât indicatorul</w:t>
      </w:r>
      <w:r w:rsidRPr="003836D9">
        <w:rPr>
          <w:rFonts w:ascii="Times New Roman" w:hAnsi="Times New Roman" w:cs="Times New Roman"/>
          <w:sz w:val="24"/>
          <w:szCs w:val="24"/>
          <w:lang w:val="ro-MD" w:eastAsia="en-GB"/>
        </w:rPr>
        <w:t xml:space="preserve"> internațional </w:t>
      </w:r>
      <w:r w:rsidR="0075529A" w:rsidRPr="003836D9">
        <w:rPr>
          <w:rFonts w:ascii="Times New Roman" w:hAnsi="Times New Roman" w:cs="Times New Roman"/>
          <w:sz w:val="24"/>
          <w:szCs w:val="24"/>
          <w:lang w:val="ro-MD" w:eastAsia="en-GB"/>
        </w:rPr>
        <w:t xml:space="preserve">utilizat </w:t>
      </w:r>
      <w:r w:rsidRPr="003836D9">
        <w:rPr>
          <w:rFonts w:ascii="Times New Roman" w:hAnsi="Times New Roman" w:cs="Times New Roman"/>
          <w:sz w:val="24"/>
          <w:szCs w:val="24"/>
          <w:lang w:val="ro-MD" w:eastAsia="en-GB"/>
        </w:rPr>
        <w:t>pentru măsura</w:t>
      </w:r>
      <w:r w:rsidR="00220D3E" w:rsidRPr="003836D9">
        <w:rPr>
          <w:rFonts w:ascii="Times New Roman" w:hAnsi="Times New Roman" w:cs="Times New Roman"/>
          <w:sz w:val="24"/>
          <w:szCs w:val="24"/>
          <w:lang w:val="ro-MD" w:eastAsia="en-GB"/>
        </w:rPr>
        <w:t>rea</w:t>
      </w:r>
      <w:r w:rsidRPr="003836D9">
        <w:rPr>
          <w:rFonts w:ascii="Times New Roman" w:hAnsi="Times New Roman" w:cs="Times New Roman"/>
          <w:sz w:val="24"/>
          <w:szCs w:val="24"/>
          <w:lang w:val="ro-MD" w:eastAsia="en-GB"/>
        </w:rPr>
        <w:t xml:space="preserve"> calit</w:t>
      </w:r>
      <w:r w:rsidR="00220D3E" w:rsidRPr="003836D9">
        <w:rPr>
          <w:rFonts w:ascii="Times New Roman" w:hAnsi="Times New Roman" w:cs="Times New Roman"/>
          <w:sz w:val="24"/>
          <w:szCs w:val="24"/>
          <w:lang w:val="ro-MD" w:eastAsia="en-GB"/>
        </w:rPr>
        <w:t xml:space="preserve">ății </w:t>
      </w:r>
      <w:r w:rsidRPr="003836D9">
        <w:rPr>
          <w:rFonts w:ascii="Times New Roman" w:hAnsi="Times New Roman" w:cs="Times New Roman"/>
          <w:sz w:val="24"/>
          <w:szCs w:val="24"/>
          <w:lang w:val="ro-MD" w:eastAsia="en-GB"/>
        </w:rPr>
        <w:t>furnizării serviciilor</w:t>
      </w:r>
      <w:r w:rsidR="00824AF1" w:rsidRPr="003836D9">
        <w:rPr>
          <w:rFonts w:ascii="Times New Roman" w:hAnsi="Times New Roman" w:cs="Times New Roman"/>
          <w:sz w:val="24"/>
          <w:szCs w:val="24"/>
          <w:lang w:val="ro-MD" w:eastAsia="en-GB"/>
        </w:rPr>
        <w:t xml:space="preserve">. </w:t>
      </w:r>
    </w:p>
    <w:p w14:paraId="36A715A4" w14:textId="2A568532" w:rsidR="00FF6BE2" w:rsidRPr="003836D9" w:rsidRDefault="00E053C7" w:rsidP="00D2616D">
      <w:pPr>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Portofoliul servicii</w:t>
      </w:r>
      <w:r w:rsidR="00E65E95">
        <w:rPr>
          <w:rFonts w:ascii="Times New Roman" w:hAnsi="Times New Roman" w:cs="Times New Roman"/>
          <w:sz w:val="24"/>
          <w:szCs w:val="24"/>
          <w:lang w:val="ro-MD"/>
        </w:rPr>
        <w:t>lor</w:t>
      </w:r>
      <w:r w:rsidRPr="003836D9">
        <w:rPr>
          <w:rFonts w:ascii="Times New Roman" w:hAnsi="Times New Roman" w:cs="Times New Roman"/>
          <w:sz w:val="24"/>
          <w:szCs w:val="24"/>
          <w:lang w:val="ro-MD"/>
        </w:rPr>
        <w:t xml:space="preserve"> de ocupa</w:t>
      </w:r>
      <w:r w:rsidR="00F75E1F">
        <w:rPr>
          <w:rFonts w:ascii="Times New Roman" w:hAnsi="Times New Roman" w:cs="Times New Roman"/>
          <w:sz w:val="24"/>
          <w:szCs w:val="24"/>
          <w:lang w:val="ro-MD"/>
        </w:rPr>
        <w:t xml:space="preserve">re a forței de muncă include: </w:t>
      </w:r>
      <w:r w:rsidR="00404382">
        <w:rPr>
          <w:rFonts w:ascii="Times New Roman" w:hAnsi="Times New Roman" w:cs="Times New Roman"/>
          <w:sz w:val="24"/>
          <w:szCs w:val="24"/>
          <w:lang w:val="ro-MD"/>
        </w:rPr>
        <w:t>(i)</w:t>
      </w:r>
      <w:r w:rsidRPr="003836D9">
        <w:rPr>
          <w:rFonts w:ascii="Times New Roman" w:hAnsi="Times New Roman" w:cs="Times New Roman"/>
          <w:sz w:val="24"/>
          <w:szCs w:val="24"/>
          <w:lang w:val="ro-MD"/>
        </w:rPr>
        <w:t xml:space="preserve"> furnizarea de info</w:t>
      </w:r>
      <w:r w:rsidR="00F75E1F">
        <w:rPr>
          <w:rFonts w:ascii="Times New Roman" w:hAnsi="Times New Roman" w:cs="Times New Roman"/>
          <w:sz w:val="24"/>
          <w:szCs w:val="24"/>
          <w:lang w:val="ro-MD"/>
        </w:rPr>
        <w:t xml:space="preserve">rmații privind piața muncii; </w:t>
      </w:r>
      <w:r w:rsidR="00404382">
        <w:rPr>
          <w:rFonts w:ascii="Times New Roman" w:hAnsi="Times New Roman" w:cs="Times New Roman"/>
          <w:sz w:val="24"/>
          <w:szCs w:val="24"/>
          <w:lang w:val="ro-MD"/>
        </w:rPr>
        <w:t>(ii)</w:t>
      </w:r>
      <w:r w:rsidRPr="003836D9">
        <w:rPr>
          <w:rFonts w:ascii="Times New Roman" w:hAnsi="Times New Roman" w:cs="Times New Roman"/>
          <w:sz w:val="24"/>
          <w:szCs w:val="24"/>
          <w:lang w:val="ro-MD"/>
        </w:rPr>
        <w:t xml:space="preserve"> consiliere pentru angajare, inclusiv </w:t>
      </w:r>
      <w:r w:rsidR="00482D5C" w:rsidRPr="003836D9">
        <w:rPr>
          <w:rFonts w:ascii="Times New Roman" w:hAnsi="Times New Roman" w:cs="Times New Roman"/>
          <w:sz w:val="24"/>
          <w:szCs w:val="24"/>
          <w:lang w:val="ro-MD"/>
        </w:rPr>
        <w:t>profilare</w:t>
      </w:r>
      <w:r w:rsidRPr="003836D9">
        <w:rPr>
          <w:rFonts w:ascii="Times New Roman" w:hAnsi="Times New Roman" w:cs="Times New Roman"/>
          <w:sz w:val="24"/>
          <w:szCs w:val="24"/>
          <w:lang w:val="ro-MD"/>
        </w:rPr>
        <w:t>, asistență pentru căutarea unui loc de muncă și planificar</w:t>
      </w:r>
      <w:r w:rsidR="00F75E1F">
        <w:rPr>
          <w:rFonts w:ascii="Times New Roman" w:hAnsi="Times New Roman" w:cs="Times New Roman"/>
          <w:sz w:val="24"/>
          <w:szCs w:val="24"/>
          <w:lang w:val="ro-MD"/>
        </w:rPr>
        <w:t xml:space="preserve">ea individuală a angajării; </w:t>
      </w:r>
      <w:r w:rsidR="00404382">
        <w:rPr>
          <w:rFonts w:ascii="Times New Roman" w:hAnsi="Times New Roman" w:cs="Times New Roman"/>
          <w:sz w:val="24"/>
          <w:szCs w:val="24"/>
          <w:lang w:val="ro-MD"/>
        </w:rPr>
        <w:t>(iii)</w:t>
      </w:r>
      <w:r w:rsidRPr="003836D9">
        <w:rPr>
          <w:rFonts w:ascii="Times New Roman" w:hAnsi="Times New Roman" w:cs="Times New Roman"/>
          <w:sz w:val="24"/>
          <w:szCs w:val="24"/>
          <w:lang w:val="ro-MD"/>
        </w:rPr>
        <w:t xml:space="preserve"> servicii de </w:t>
      </w:r>
      <w:r w:rsidR="00482D5C" w:rsidRPr="003836D9">
        <w:rPr>
          <w:rFonts w:ascii="Times New Roman" w:hAnsi="Times New Roman" w:cs="Times New Roman"/>
          <w:sz w:val="24"/>
          <w:szCs w:val="24"/>
          <w:lang w:val="ro-MD"/>
        </w:rPr>
        <w:t>ghidare</w:t>
      </w:r>
      <w:r w:rsidR="00F75E1F">
        <w:rPr>
          <w:rFonts w:ascii="Times New Roman" w:hAnsi="Times New Roman" w:cs="Times New Roman"/>
          <w:sz w:val="24"/>
          <w:szCs w:val="24"/>
          <w:lang w:val="ro-MD"/>
        </w:rPr>
        <w:t xml:space="preserve"> în carieră; și </w:t>
      </w:r>
      <w:r w:rsidR="00404382">
        <w:rPr>
          <w:rFonts w:ascii="Times New Roman" w:hAnsi="Times New Roman" w:cs="Times New Roman"/>
          <w:sz w:val="24"/>
          <w:szCs w:val="24"/>
          <w:lang w:val="ro-MD"/>
        </w:rPr>
        <w:t>(iv)</w:t>
      </w:r>
      <w:r w:rsidRPr="003836D9">
        <w:rPr>
          <w:rFonts w:ascii="Times New Roman" w:hAnsi="Times New Roman" w:cs="Times New Roman"/>
          <w:sz w:val="24"/>
          <w:szCs w:val="24"/>
          <w:lang w:val="ro-MD"/>
        </w:rPr>
        <w:t xml:space="preserve"> medierea locurilor de muncă (</w:t>
      </w:r>
      <w:r w:rsidR="00482D5C" w:rsidRPr="003836D9">
        <w:rPr>
          <w:rFonts w:ascii="Times New Roman" w:hAnsi="Times New Roman" w:cs="Times New Roman"/>
          <w:sz w:val="24"/>
          <w:szCs w:val="24"/>
          <w:lang w:val="ro-MD"/>
        </w:rPr>
        <w:t>corelarea</w:t>
      </w:r>
      <w:r w:rsidRPr="003836D9">
        <w:rPr>
          <w:rFonts w:ascii="Times New Roman" w:hAnsi="Times New Roman" w:cs="Times New Roman"/>
          <w:sz w:val="24"/>
          <w:szCs w:val="24"/>
          <w:lang w:val="ro-MD"/>
        </w:rPr>
        <w:t xml:space="preserve"> </w:t>
      </w:r>
      <w:r w:rsidR="00482D5C" w:rsidRPr="003836D9">
        <w:rPr>
          <w:rFonts w:ascii="Times New Roman" w:hAnsi="Times New Roman" w:cs="Times New Roman"/>
          <w:sz w:val="24"/>
          <w:szCs w:val="24"/>
          <w:lang w:val="ro-MD"/>
        </w:rPr>
        <w:t>di</w:t>
      </w:r>
      <w:r w:rsidRPr="003836D9">
        <w:rPr>
          <w:rFonts w:ascii="Times New Roman" w:hAnsi="Times New Roman" w:cs="Times New Roman"/>
          <w:sz w:val="24"/>
          <w:szCs w:val="24"/>
          <w:lang w:val="ro-MD"/>
        </w:rPr>
        <w:t>ntre șomeri și întreprinderile care oferă locuri de muncă vacante). În 2019, aproximativ 73</w:t>
      </w:r>
      <w:r w:rsidR="00482D5C"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din </w:t>
      </w:r>
      <w:r w:rsidR="00482D5C" w:rsidRPr="003836D9">
        <w:rPr>
          <w:rFonts w:ascii="Times New Roman" w:hAnsi="Times New Roman" w:cs="Times New Roman"/>
          <w:sz w:val="24"/>
          <w:szCs w:val="24"/>
          <w:lang w:val="ro-MD"/>
        </w:rPr>
        <w:t>numărul</w:t>
      </w:r>
      <w:r w:rsidRPr="003836D9">
        <w:rPr>
          <w:rFonts w:ascii="Times New Roman" w:hAnsi="Times New Roman" w:cs="Times New Roman"/>
          <w:sz w:val="24"/>
          <w:szCs w:val="24"/>
          <w:lang w:val="ro-MD"/>
        </w:rPr>
        <w:t xml:space="preserve"> total de persoane înregistrate la </w:t>
      </w:r>
      <w:r w:rsidR="002E4B91">
        <w:rPr>
          <w:rFonts w:ascii="Times New Roman" w:eastAsia="Times New Roman" w:hAnsi="Times New Roman" w:cs="Times New Roman"/>
          <w:sz w:val="24"/>
          <w:szCs w:val="24"/>
          <w:lang w:val="ro-MD" w:eastAsia="en-GB"/>
        </w:rPr>
        <w:t>Agenția Națională pentru Ocuparea Forței de Muncă</w:t>
      </w:r>
      <w:r w:rsidRPr="003836D9">
        <w:rPr>
          <w:rFonts w:ascii="Times New Roman" w:hAnsi="Times New Roman" w:cs="Times New Roman"/>
          <w:sz w:val="24"/>
          <w:szCs w:val="24"/>
          <w:lang w:val="ro-MD"/>
        </w:rPr>
        <w:t xml:space="preserve"> au </w:t>
      </w:r>
      <w:r w:rsidR="00482D5C" w:rsidRPr="003836D9">
        <w:rPr>
          <w:rFonts w:ascii="Times New Roman" w:hAnsi="Times New Roman" w:cs="Times New Roman"/>
          <w:sz w:val="24"/>
          <w:szCs w:val="24"/>
          <w:lang w:val="ro-MD"/>
        </w:rPr>
        <w:t>beneficiat de</w:t>
      </w:r>
      <w:r w:rsidRPr="003836D9">
        <w:rPr>
          <w:rFonts w:ascii="Times New Roman" w:hAnsi="Times New Roman" w:cs="Times New Roman"/>
          <w:sz w:val="24"/>
          <w:szCs w:val="24"/>
          <w:lang w:val="ro-MD"/>
        </w:rPr>
        <w:t xml:space="preserve"> servicii de informare și consiliere </w:t>
      </w:r>
      <w:r w:rsidR="00482D5C" w:rsidRPr="003836D9">
        <w:rPr>
          <w:rFonts w:ascii="Times New Roman" w:hAnsi="Times New Roman" w:cs="Times New Roman"/>
          <w:sz w:val="24"/>
          <w:szCs w:val="24"/>
          <w:lang w:val="ro-MD"/>
        </w:rPr>
        <w:t>privind</w:t>
      </w:r>
      <w:r w:rsidRPr="003836D9">
        <w:rPr>
          <w:rFonts w:ascii="Times New Roman" w:hAnsi="Times New Roman" w:cs="Times New Roman"/>
          <w:sz w:val="24"/>
          <w:szCs w:val="24"/>
          <w:lang w:val="ro-MD"/>
        </w:rPr>
        <w:t xml:space="preserve"> piața muncii, 16,2</w:t>
      </w:r>
      <w:r w:rsidR="00482D5C"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au </w:t>
      </w:r>
      <w:r w:rsidR="00BF3A7A" w:rsidRPr="003836D9">
        <w:rPr>
          <w:rFonts w:ascii="Times New Roman" w:hAnsi="Times New Roman" w:cs="Times New Roman"/>
          <w:sz w:val="24"/>
          <w:szCs w:val="24"/>
          <w:lang w:val="ro-MD"/>
        </w:rPr>
        <w:t>beneficiat de</w:t>
      </w:r>
      <w:r w:rsidRPr="003836D9">
        <w:rPr>
          <w:rFonts w:ascii="Times New Roman" w:hAnsi="Times New Roman" w:cs="Times New Roman"/>
          <w:sz w:val="24"/>
          <w:szCs w:val="24"/>
          <w:lang w:val="ro-MD"/>
        </w:rPr>
        <w:t xml:space="preserve"> servicii de </w:t>
      </w:r>
      <w:r w:rsidR="00482D5C" w:rsidRPr="003836D9">
        <w:rPr>
          <w:rFonts w:ascii="Times New Roman" w:hAnsi="Times New Roman" w:cs="Times New Roman"/>
          <w:sz w:val="24"/>
          <w:szCs w:val="24"/>
          <w:lang w:val="ro-MD"/>
        </w:rPr>
        <w:t>ghidare</w:t>
      </w:r>
      <w:r w:rsidRPr="003836D9">
        <w:rPr>
          <w:rFonts w:ascii="Times New Roman" w:hAnsi="Times New Roman" w:cs="Times New Roman"/>
          <w:sz w:val="24"/>
          <w:szCs w:val="24"/>
          <w:lang w:val="ro-MD"/>
        </w:rPr>
        <w:t xml:space="preserve"> în carieră și 31</w:t>
      </w:r>
      <w:r w:rsidR="00482D5C"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au </w:t>
      </w:r>
      <w:r w:rsidR="00BF3A7A" w:rsidRPr="003836D9">
        <w:rPr>
          <w:rFonts w:ascii="Times New Roman" w:hAnsi="Times New Roman" w:cs="Times New Roman"/>
          <w:sz w:val="24"/>
          <w:szCs w:val="24"/>
          <w:lang w:val="ro-MD"/>
        </w:rPr>
        <w:t>beneficiat</w:t>
      </w:r>
      <w:r w:rsidRPr="003836D9">
        <w:rPr>
          <w:rFonts w:ascii="Times New Roman" w:hAnsi="Times New Roman" w:cs="Times New Roman"/>
          <w:sz w:val="24"/>
          <w:szCs w:val="24"/>
          <w:lang w:val="ro-MD"/>
        </w:rPr>
        <w:t xml:space="preserve"> </w:t>
      </w:r>
      <w:r w:rsidR="007D7B9B" w:rsidRPr="003836D9">
        <w:rPr>
          <w:rFonts w:ascii="Times New Roman" w:hAnsi="Times New Roman" w:cs="Times New Roman"/>
          <w:sz w:val="24"/>
          <w:szCs w:val="24"/>
          <w:lang w:val="ro-MD"/>
        </w:rPr>
        <w:t xml:space="preserve">de </w:t>
      </w:r>
      <w:r w:rsidRPr="003836D9">
        <w:rPr>
          <w:rFonts w:ascii="Times New Roman" w:hAnsi="Times New Roman" w:cs="Times New Roman"/>
          <w:sz w:val="24"/>
          <w:szCs w:val="24"/>
          <w:lang w:val="ro-MD"/>
        </w:rPr>
        <w:t xml:space="preserve">servicii de </w:t>
      </w:r>
      <w:r w:rsidR="00482D5C" w:rsidRPr="003836D9">
        <w:rPr>
          <w:rFonts w:ascii="Times New Roman" w:hAnsi="Times New Roman" w:cs="Times New Roman"/>
          <w:sz w:val="24"/>
          <w:szCs w:val="24"/>
          <w:lang w:val="ro-MD"/>
        </w:rPr>
        <w:t>corelare</w:t>
      </w:r>
      <w:r w:rsidRPr="003836D9">
        <w:rPr>
          <w:rFonts w:ascii="Times New Roman" w:hAnsi="Times New Roman" w:cs="Times New Roman"/>
          <w:sz w:val="24"/>
          <w:szCs w:val="24"/>
          <w:lang w:val="ro-MD"/>
        </w:rPr>
        <w:t xml:space="preserve"> a locurilor de muncă (23</w:t>
      </w:r>
      <w:r w:rsidR="00482D5C" w:rsidRPr="003836D9">
        <w:rPr>
          <w:rFonts w:ascii="Times New Roman" w:hAnsi="Times New Roman" w:cs="Times New Roman"/>
          <w:sz w:val="24"/>
          <w:szCs w:val="24"/>
          <w:lang w:val="ro-MD"/>
        </w:rPr>
        <w:t xml:space="preserve"> procente</w:t>
      </w:r>
      <w:r w:rsidRPr="003836D9">
        <w:rPr>
          <w:rFonts w:ascii="Times New Roman" w:hAnsi="Times New Roman" w:cs="Times New Roman"/>
          <w:sz w:val="24"/>
          <w:szCs w:val="24"/>
          <w:lang w:val="ro-MD"/>
        </w:rPr>
        <w:t xml:space="preserve"> </w:t>
      </w:r>
      <w:r w:rsidR="00482D5C" w:rsidRPr="003836D9">
        <w:rPr>
          <w:rFonts w:ascii="Times New Roman" w:hAnsi="Times New Roman" w:cs="Times New Roman"/>
          <w:sz w:val="24"/>
          <w:szCs w:val="24"/>
          <w:lang w:val="ro-MD"/>
        </w:rPr>
        <w:t>fiind</w:t>
      </w:r>
      <w:r w:rsidRPr="003836D9">
        <w:rPr>
          <w:rFonts w:ascii="Times New Roman" w:hAnsi="Times New Roman" w:cs="Times New Roman"/>
          <w:sz w:val="24"/>
          <w:szCs w:val="24"/>
          <w:lang w:val="ro-MD"/>
        </w:rPr>
        <w:t xml:space="preserve"> plasați </w:t>
      </w:r>
      <w:r w:rsidR="00482D5C" w:rsidRPr="003836D9">
        <w:rPr>
          <w:rFonts w:ascii="Times New Roman" w:hAnsi="Times New Roman" w:cs="Times New Roman"/>
          <w:sz w:val="24"/>
          <w:szCs w:val="24"/>
          <w:lang w:val="ro-MD"/>
        </w:rPr>
        <w:t xml:space="preserve">la </w:t>
      </w:r>
      <w:r w:rsidRPr="003836D9">
        <w:rPr>
          <w:rFonts w:ascii="Times New Roman" w:hAnsi="Times New Roman" w:cs="Times New Roman"/>
          <w:sz w:val="24"/>
          <w:szCs w:val="24"/>
          <w:lang w:val="ro-MD"/>
        </w:rPr>
        <w:t>loc</w:t>
      </w:r>
      <w:r w:rsidR="00482D5C" w:rsidRPr="003836D9">
        <w:rPr>
          <w:rFonts w:ascii="Times New Roman" w:hAnsi="Times New Roman" w:cs="Times New Roman"/>
          <w:sz w:val="24"/>
          <w:szCs w:val="24"/>
          <w:lang w:val="ro-MD"/>
        </w:rPr>
        <w:t>uri</w:t>
      </w:r>
      <w:r w:rsidRPr="003836D9">
        <w:rPr>
          <w:rFonts w:ascii="Times New Roman" w:hAnsi="Times New Roman" w:cs="Times New Roman"/>
          <w:sz w:val="24"/>
          <w:szCs w:val="24"/>
          <w:lang w:val="ro-MD"/>
        </w:rPr>
        <w:t xml:space="preserve"> de muncă</w:t>
      </w:r>
      <w:r w:rsidR="00FF6BE2" w:rsidRPr="003836D9">
        <w:rPr>
          <w:rFonts w:ascii="Times New Roman" w:hAnsi="Times New Roman" w:cs="Times New Roman"/>
          <w:sz w:val="24"/>
          <w:szCs w:val="24"/>
          <w:lang w:val="ro-MD"/>
        </w:rPr>
        <w:t>).</w:t>
      </w:r>
      <w:r w:rsidR="00FF6BE2" w:rsidRPr="003836D9">
        <w:rPr>
          <w:rStyle w:val="FootnoteReference"/>
          <w:rFonts w:ascii="Times New Roman" w:hAnsi="Times New Roman" w:cs="Times New Roman"/>
          <w:sz w:val="24"/>
          <w:szCs w:val="24"/>
          <w:lang w:val="ro-MD"/>
        </w:rPr>
        <w:footnoteReference w:id="39"/>
      </w:r>
      <w:r w:rsidR="00700C2A" w:rsidRPr="003836D9">
        <w:rPr>
          <w:rFonts w:ascii="Times New Roman" w:hAnsi="Times New Roman" w:cs="Times New Roman"/>
          <w:sz w:val="24"/>
          <w:szCs w:val="24"/>
          <w:lang w:val="ro-MD"/>
        </w:rPr>
        <w:t xml:space="preserve"> </w:t>
      </w:r>
      <w:r w:rsidR="00BF3A7A" w:rsidRPr="003836D9">
        <w:rPr>
          <w:rFonts w:ascii="Times New Roman" w:hAnsi="Times New Roman" w:cs="Times New Roman"/>
          <w:sz w:val="24"/>
          <w:szCs w:val="24"/>
          <w:lang w:val="ro-MD"/>
        </w:rPr>
        <w:t>Pe parcursul anului 20</w:t>
      </w:r>
      <w:r w:rsidR="00F956CC">
        <w:rPr>
          <w:rFonts w:ascii="Times New Roman" w:hAnsi="Times New Roman" w:cs="Times New Roman"/>
          <w:sz w:val="24"/>
          <w:szCs w:val="24"/>
          <w:lang w:val="ro-MD"/>
        </w:rPr>
        <w:t>21</w:t>
      </w:r>
      <w:r w:rsidR="00BF3A7A" w:rsidRPr="003836D9">
        <w:rPr>
          <w:rFonts w:ascii="Times New Roman" w:hAnsi="Times New Roman" w:cs="Times New Roman"/>
          <w:sz w:val="24"/>
          <w:szCs w:val="24"/>
          <w:lang w:val="ro-MD"/>
        </w:rPr>
        <w:t xml:space="preserve">, au fost înregistrate </w:t>
      </w:r>
      <w:r w:rsidR="00F956CC">
        <w:rPr>
          <w:rFonts w:ascii="Times New Roman" w:hAnsi="Times New Roman" w:cs="Times New Roman"/>
          <w:sz w:val="24"/>
          <w:szCs w:val="24"/>
          <w:lang w:val="ro-MD"/>
        </w:rPr>
        <w:t xml:space="preserve">circa 29 mii </w:t>
      </w:r>
      <w:r w:rsidRPr="003836D9">
        <w:rPr>
          <w:rFonts w:ascii="Times New Roman" w:hAnsi="Times New Roman" w:cs="Times New Roman"/>
          <w:sz w:val="24"/>
          <w:szCs w:val="24"/>
          <w:lang w:val="ro-MD"/>
        </w:rPr>
        <w:t>de locuri de muncă vacante</w:t>
      </w:r>
      <w:r w:rsidR="00700C2A" w:rsidRPr="003836D9">
        <w:rPr>
          <w:rFonts w:ascii="Times New Roman" w:hAnsi="Times New Roman" w:cs="Times New Roman"/>
          <w:sz w:val="24"/>
          <w:szCs w:val="24"/>
          <w:lang w:val="ro-MD"/>
        </w:rPr>
        <w:t xml:space="preserve">. </w:t>
      </w:r>
      <w:r w:rsidR="00772AA5" w:rsidRPr="003836D9">
        <w:rPr>
          <w:rFonts w:ascii="Times New Roman" w:hAnsi="Times New Roman" w:cs="Times New Roman"/>
          <w:sz w:val="24"/>
          <w:szCs w:val="24"/>
          <w:lang w:val="ro-MD"/>
        </w:rPr>
        <w:t xml:space="preserve"> </w:t>
      </w:r>
    </w:p>
    <w:p w14:paraId="07DD77C5" w14:textId="77777777" w:rsidR="00231802" w:rsidRDefault="00231802" w:rsidP="004F5C11">
      <w:pPr>
        <w:pStyle w:val="Heading4"/>
        <w:spacing w:after="120"/>
        <w:ind w:left="2880"/>
        <w:rPr>
          <w:rFonts w:ascii="Times New Roman" w:eastAsiaTheme="minorHAnsi" w:hAnsi="Times New Roman" w:cs="Times New Roman"/>
          <w:b/>
          <w:color w:val="auto"/>
          <w:lang w:val="ro-MD"/>
        </w:rPr>
      </w:pPr>
    </w:p>
    <w:p w14:paraId="6523A0BE" w14:textId="53EF174A" w:rsidR="006D52D8" w:rsidRPr="003836D9" w:rsidRDefault="00E053C7" w:rsidP="004F5C11">
      <w:pPr>
        <w:pStyle w:val="Heading4"/>
        <w:spacing w:after="120"/>
        <w:ind w:left="2880"/>
        <w:rPr>
          <w:rFonts w:ascii="Times New Roman" w:eastAsiaTheme="minorHAnsi" w:hAnsi="Times New Roman" w:cs="Times New Roman"/>
          <w:b/>
          <w:color w:val="auto"/>
          <w:lang w:val="ro-MD"/>
        </w:rPr>
      </w:pPr>
      <w:r w:rsidRPr="003836D9">
        <w:rPr>
          <w:rFonts w:ascii="Times New Roman" w:eastAsiaTheme="minorHAnsi" w:hAnsi="Times New Roman" w:cs="Times New Roman"/>
          <w:b/>
          <w:color w:val="auto"/>
          <w:lang w:val="ro-MD"/>
        </w:rPr>
        <w:t>Programe de integrare pe piața muncii</w:t>
      </w:r>
      <w:r w:rsidR="006D52D8" w:rsidRPr="003836D9">
        <w:rPr>
          <w:rFonts w:ascii="Times New Roman" w:eastAsiaTheme="minorHAnsi" w:hAnsi="Times New Roman" w:cs="Times New Roman"/>
          <w:b/>
          <w:color w:val="auto"/>
          <w:lang w:val="ro-MD"/>
        </w:rPr>
        <w:t xml:space="preserve"> </w:t>
      </w:r>
    </w:p>
    <w:p w14:paraId="7BEE33DE" w14:textId="66905A2A" w:rsidR="00612EEF" w:rsidRPr="003836D9" w:rsidRDefault="00E053C7" w:rsidP="00B3666F">
      <w:pPr>
        <w:jc w:val="both"/>
        <w:rPr>
          <w:rFonts w:ascii="Times New Roman" w:hAnsi="Times New Roman" w:cs="Times New Roman"/>
          <w:bCs/>
          <w:sz w:val="24"/>
          <w:szCs w:val="24"/>
          <w:lang w:val="ro-MD"/>
        </w:rPr>
      </w:pPr>
      <w:r w:rsidRPr="003836D9">
        <w:rPr>
          <w:rFonts w:ascii="Times New Roman" w:hAnsi="Times New Roman" w:cs="Times New Roman"/>
          <w:sz w:val="24"/>
          <w:szCs w:val="24"/>
          <w:lang w:val="ro-MD" w:eastAsia="en-GB"/>
        </w:rPr>
        <w:t xml:space="preserve">Țara investește </w:t>
      </w:r>
      <w:r w:rsidR="00BF3A7A" w:rsidRPr="003836D9">
        <w:rPr>
          <w:rFonts w:ascii="Times New Roman" w:hAnsi="Times New Roman" w:cs="Times New Roman"/>
          <w:sz w:val="24"/>
          <w:szCs w:val="24"/>
          <w:lang w:val="ro-MD" w:eastAsia="en-GB"/>
        </w:rPr>
        <w:t xml:space="preserve">0,03 procente din Produsul Intern Brut </w:t>
      </w:r>
      <w:r w:rsidRPr="003836D9">
        <w:rPr>
          <w:rFonts w:ascii="Times New Roman" w:hAnsi="Times New Roman" w:cs="Times New Roman"/>
          <w:sz w:val="24"/>
          <w:szCs w:val="24"/>
          <w:lang w:val="ro-MD" w:eastAsia="en-GB"/>
        </w:rPr>
        <w:t xml:space="preserve">în servicii de ocupare a forței de muncă și programe active </w:t>
      </w:r>
      <w:r w:rsidR="00482D5C" w:rsidRPr="003836D9">
        <w:rPr>
          <w:rFonts w:ascii="Times New Roman" w:hAnsi="Times New Roman" w:cs="Times New Roman"/>
          <w:sz w:val="24"/>
          <w:szCs w:val="24"/>
          <w:lang w:val="ro-MD" w:eastAsia="en-GB"/>
        </w:rPr>
        <w:t>ale</w:t>
      </w:r>
      <w:r w:rsidRPr="003836D9">
        <w:rPr>
          <w:rFonts w:ascii="Times New Roman" w:hAnsi="Times New Roman" w:cs="Times New Roman"/>
          <w:sz w:val="24"/>
          <w:szCs w:val="24"/>
          <w:lang w:val="ro-MD" w:eastAsia="en-GB"/>
        </w:rPr>
        <w:t xml:space="preserve"> pi</w:t>
      </w:r>
      <w:r w:rsidR="00482D5C" w:rsidRPr="003836D9">
        <w:rPr>
          <w:rFonts w:ascii="Times New Roman" w:hAnsi="Times New Roman" w:cs="Times New Roman"/>
          <w:sz w:val="24"/>
          <w:szCs w:val="24"/>
          <w:lang w:val="ro-MD" w:eastAsia="en-GB"/>
        </w:rPr>
        <w:t>e</w:t>
      </w:r>
      <w:r w:rsidRPr="003836D9">
        <w:rPr>
          <w:rFonts w:ascii="Times New Roman" w:hAnsi="Times New Roman" w:cs="Times New Roman"/>
          <w:sz w:val="24"/>
          <w:szCs w:val="24"/>
          <w:lang w:val="ro-MD" w:eastAsia="en-GB"/>
        </w:rPr>
        <w:t>ț</w:t>
      </w:r>
      <w:r w:rsidR="00482D5C" w:rsidRPr="003836D9">
        <w:rPr>
          <w:rFonts w:ascii="Times New Roman" w:hAnsi="Times New Roman" w:cs="Times New Roman"/>
          <w:sz w:val="24"/>
          <w:szCs w:val="24"/>
          <w:lang w:val="ro-MD" w:eastAsia="en-GB"/>
        </w:rPr>
        <w:t>ei</w:t>
      </w:r>
      <w:r w:rsidRPr="003836D9">
        <w:rPr>
          <w:rFonts w:ascii="Times New Roman" w:hAnsi="Times New Roman" w:cs="Times New Roman"/>
          <w:sz w:val="24"/>
          <w:szCs w:val="24"/>
          <w:lang w:val="ro-MD" w:eastAsia="en-GB"/>
        </w:rPr>
        <w:t xml:space="preserve"> munc</w:t>
      </w:r>
      <w:r w:rsidR="00482D5C" w:rsidRPr="003836D9">
        <w:rPr>
          <w:rFonts w:ascii="Times New Roman" w:hAnsi="Times New Roman" w:cs="Times New Roman"/>
          <w:sz w:val="24"/>
          <w:szCs w:val="24"/>
          <w:lang w:val="ro-MD" w:eastAsia="en-GB"/>
        </w:rPr>
        <w:t>ii</w:t>
      </w:r>
      <w:r w:rsidRPr="003836D9">
        <w:rPr>
          <w:rFonts w:ascii="Times New Roman" w:hAnsi="Times New Roman" w:cs="Times New Roman"/>
          <w:sz w:val="24"/>
          <w:szCs w:val="24"/>
          <w:lang w:val="ro-MD" w:eastAsia="en-GB"/>
        </w:rPr>
        <w:t>, de cinci ori mai puțin decât media țăril</w:t>
      </w:r>
      <w:r w:rsidR="00BF3A7A" w:rsidRPr="003836D9">
        <w:rPr>
          <w:rFonts w:ascii="Times New Roman" w:hAnsi="Times New Roman" w:cs="Times New Roman"/>
          <w:sz w:val="24"/>
          <w:szCs w:val="24"/>
          <w:lang w:val="ro-MD" w:eastAsia="en-GB"/>
        </w:rPr>
        <w:t>or</w:t>
      </w:r>
      <w:r w:rsidRPr="003836D9">
        <w:rPr>
          <w:rFonts w:ascii="Times New Roman" w:hAnsi="Times New Roman" w:cs="Times New Roman"/>
          <w:sz w:val="24"/>
          <w:szCs w:val="24"/>
          <w:lang w:val="ro-MD" w:eastAsia="en-GB"/>
        </w:rPr>
        <w:t xml:space="preserve"> din sud-estul Europei și de treizeci de ori mai puțin decât resursele alocate în UE. În 2019, </w:t>
      </w:r>
      <w:r w:rsidR="00BF3A7A" w:rsidRPr="003836D9">
        <w:rPr>
          <w:rFonts w:ascii="Times New Roman" w:hAnsi="Times New Roman" w:cs="Times New Roman"/>
          <w:sz w:val="24"/>
          <w:szCs w:val="24"/>
          <w:lang w:val="ro-MD" w:eastAsia="en-GB"/>
        </w:rPr>
        <w:t>s-a</w:t>
      </w:r>
      <w:r w:rsidR="007D7B9B" w:rsidRPr="003836D9">
        <w:rPr>
          <w:rFonts w:ascii="Times New Roman" w:hAnsi="Times New Roman" w:cs="Times New Roman"/>
          <w:sz w:val="24"/>
          <w:szCs w:val="24"/>
          <w:lang w:val="ro-MD" w:eastAsia="en-GB"/>
        </w:rPr>
        <w:t>u</w:t>
      </w:r>
      <w:r w:rsidR="00BF3A7A" w:rsidRPr="003836D9">
        <w:rPr>
          <w:rFonts w:ascii="Times New Roman" w:hAnsi="Times New Roman" w:cs="Times New Roman"/>
          <w:sz w:val="24"/>
          <w:szCs w:val="24"/>
          <w:lang w:val="ro-MD" w:eastAsia="en-GB"/>
        </w:rPr>
        <w:t xml:space="preserve"> cheltuit </w:t>
      </w:r>
      <w:r w:rsidRPr="003836D9">
        <w:rPr>
          <w:rFonts w:ascii="Times New Roman" w:hAnsi="Times New Roman" w:cs="Times New Roman"/>
          <w:sz w:val="24"/>
          <w:szCs w:val="24"/>
          <w:lang w:val="ro-MD" w:eastAsia="en-GB"/>
        </w:rPr>
        <w:t>doar 37,3</w:t>
      </w:r>
      <w:r w:rsidR="00482D5C" w:rsidRPr="003836D9">
        <w:rPr>
          <w:rFonts w:ascii="Times New Roman" w:hAnsi="Times New Roman" w:cs="Times New Roman"/>
          <w:sz w:val="24"/>
          <w:szCs w:val="24"/>
          <w:lang w:val="ro-MD" w:eastAsia="en-GB"/>
        </w:rPr>
        <w:t xml:space="preserve"> procente</w:t>
      </w:r>
      <w:r w:rsidRPr="003836D9">
        <w:rPr>
          <w:rFonts w:ascii="Times New Roman" w:hAnsi="Times New Roman" w:cs="Times New Roman"/>
          <w:sz w:val="24"/>
          <w:szCs w:val="24"/>
          <w:lang w:val="ro-MD" w:eastAsia="en-GB"/>
        </w:rPr>
        <w:t xml:space="preserve"> din suma alocată </w:t>
      </w:r>
      <w:r w:rsidR="00BF3A7A" w:rsidRPr="003836D9">
        <w:rPr>
          <w:rFonts w:ascii="Times New Roman" w:hAnsi="Times New Roman" w:cs="Times New Roman"/>
          <w:sz w:val="24"/>
          <w:szCs w:val="24"/>
          <w:lang w:val="ro-MD" w:eastAsia="en-GB"/>
        </w:rPr>
        <w:t xml:space="preserve">pentru </w:t>
      </w:r>
      <w:r w:rsidRPr="003836D9">
        <w:rPr>
          <w:rFonts w:ascii="Times New Roman" w:hAnsi="Times New Roman" w:cs="Times New Roman"/>
          <w:sz w:val="24"/>
          <w:szCs w:val="24"/>
          <w:lang w:val="ro-MD" w:eastAsia="en-GB"/>
        </w:rPr>
        <w:t>măsuril</w:t>
      </w:r>
      <w:r w:rsidR="00BF3A7A" w:rsidRPr="003836D9">
        <w:rPr>
          <w:rFonts w:ascii="Times New Roman" w:hAnsi="Times New Roman" w:cs="Times New Roman"/>
          <w:sz w:val="24"/>
          <w:szCs w:val="24"/>
          <w:lang w:val="ro-MD" w:eastAsia="en-GB"/>
        </w:rPr>
        <w:t>e</w:t>
      </w:r>
      <w:r w:rsidRPr="003836D9">
        <w:rPr>
          <w:rFonts w:ascii="Times New Roman" w:hAnsi="Times New Roman" w:cs="Times New Roman"/>
          <w:sz w:val="24"/>
          <w:szCs w:val="24"/>
          <w:lang w:val="ro-MD" w:eastAsia="en-GB"/>
        </w:rPr>
        <w:t xml:space="preserve"> active. Cele mai multe fonduri au fost </w:t>
      </w:r>
      <w:r w:rsidR="00393EA1" w:rsidRPr="003836D9">
        <w:rPr>
          <w:rFonts w:ascii="Times New Roman" w:hAnsi="Times New Roman" w:cs="Times New Roman"/>
          <w:sz w:val="24"/>
          <w:szCs w:val="24"/>
          <w:lang w:val="ro-MD" w:eastAsia="en-GB"/>
        </w:rPr>
        <w:t>investite</w:t>
      </w:r>
      <w:r w:rsidRPr="003836D9">
        <w:rPr>
          <w:rFonts w:ascii="Times New Roman" w:hAnsi="Times New Roman" w:cs="Times New Roman"/>
          <w:sz w:val="24"/>
          <w:szCs w:val="24"/>
          <w:lang w:val="ro-MD" w:eastAsia="en-GB"/>
        </w:rPr>
        <w:t xml:space="preserve"> </w:t>
      </w:r>
      <w:r w:rsidR="00393EA1" w:rsidRPr="003836D9">
        <w:rPr>
          <w:rFonts w:ascii="Times New Roman" w:hAnsi="Times New Roman" w:cs="Times New Roman"/>
          <w:sz w:val="24"/>
          <w:szCs w:val="24"/>
          <w:lang w:val="ro-MD" w:eastAsia="en-GB"/>
        </w:rPr>
        <w:t xml:space="preserve">în </w:t>
      </w:r>
      <w:r w:rsidRPr="003836D9">
        <w:rPr>
          <w:rFonts w:ascii="Times New Roman" w:hAnsi="Times New Roman" w:cs="Times New Roman"/>
          <w:sz w:val="24"/>
          <w:szCs w:val="24"/>
          <w:lang w:val="ro-MD" w:eastAsia="en-GB"/>
        </w:rPr>
        <w:t xml:space="preserve">programe de formare (85 </w:t>
      </w:r>
      <w:r w:rsidR="00482D5C" w:rsidRPr="003836D9">
        <w:rPr>
          <w:rFonts w:ascii="Times New Roman" w:hAnsi="Times New Roman" w:cs="Times New Roman"/>
          <w:sz w:val="24"/>
          <w:szCs w:val="24"/>
          <w:lang w:val="ro-MD" w:eastAsia="en-GB"/>
        </w:rPr>
        <w:t>procente</w:t>
      </w:r>
      <w:r w:rsidRPr="003836D9">
        <w:rPr>
          <w:rFonts w:ascii="Times New Roman" w:hAnsi="Times New Roman" w:cs="Times New Roman"/>
          <w:sz w:val="24"/>
          <w:szCs w:val="24"/>
          <w:lang w:val="ro-MD" w:eastAsia="en-GB"/>
        </w:rPr>
        <w:t xml:space="preserve"> din cheltuielile totale) și pentru grantul de mobilitate a lucrătorilor (13,9 </w:t>
      </w:r>
      <w:r w:rsidR="00482D5C" w:rsidRPr="003836D9">
        <w:rPr>
          <w:rFonts w:ascii="Times New Roman" w:hAnsi="Times New Roman" w:cs="Times New Roman"/>
          <w:sz w:val="24"/>
          <w:szCs w:val="24"/>
          <w:lang w:val="ro-MD" w:eastAsia="en-GB"/>
        </w:rPr>
        <w:t>procente</w:t>
      </w:r>
      <w:r w:rsidRPr="003836D9">
        <w:rPr>
          <w:rFonts w:ascii="Times New Roman" w:hAnsi="Times New Roman" w:cs="Times New Roman"/>
          <w:sz w:val="24"/>
          <w:szCs w:val="24"/>
          <w:lang w:val="ro-MD" w:eastAsia="en-GB"/>
        </w:rPr>
        <w:t xml:space="preserve"> din cheltuielile totale). </w:t>
      </w:r>
      <w:r w:rsidR="002E4B91">
        <w:rPr>
          <w:rFonts w:ascii="Times New Roman" w:eastAsia="Times New Roman" w:hAnsi="Times New Roman" w:cs="Times New Roman"/>
          <w:sz w:val="24"/>
          <w:szCs w:val="24"/>
          <w:lang w:val="ro-MD" w:eastAsia="en-GB"/>
        </w:rPr>
        <w:t>Agenția Națională pentru Ocuparea Forței de Muncă</w:t>
      </w:r>
      <w:r w:rsidRPr="003836D9">
        <w:rPr>
          <w:rFonts w:ascii="Times New Roman" w:hAnsi="Times New Roman" w:cs="Times New Roman"/>
          <w:sz w:val="24"/>
          <w:szCs w:val="24"/>
          <w:lang w:val="ro-MD" w:eastAsia="en-GB"/>
        </w:rPr>
        <w:t xml:space="preserve"> a avut</w:t>
      </w:r>
      <w:r w:rsidR="00A1413C" w:rsidRPr="003836D9">
        <w:rPr>
          <w:rFonts w:ascii="Times New Roman" w:hAnsi="Times New Roman" w:cs="Times New Roman"/>
          <w:sz w:val="24"/>
          <w:szCs w:val="24"/>
          <w:lang w:val="ro-MD" w:eastAsia="en-GB"/>
        </w:rPr>
        <w:t>,</w:t>
      </w:r>
      <w:r w:rsidRPr="003836D9">
        <w:rPr>
          <w:rFonts w:ascii="Times New Roman" w:hAnsi="Times New Roman" w:cs="Times New Roman"/>
          <w:sz w:val="24"/>
          <w:szCs w:val="24"/>
          <w:lang w:val="ro-MD" w:eastAsia="en-GB"/>
        </w:rPr>
        <w:t xml:space="preserve"> până la intrarea în vigoare a noii legislații de promovare a ocupării forței de muncă în 2018</w:t>
      </w:r>
      <w:r w:rsidR="00A1413C" w:rsidRPr="003836D9">
        <w:rPr>
          <w:rFonts w:ascii="Times New Roman" w:hAnsi="Times New Roman" w:cs="Times New Roman"/>
          <w:sz w:val="24"/>
          <w:szCs w:val="24"/>
          <w:lang w:val="ro-MD" w:eastAsia="en-GB"/>
        </w:rPr>
        <w:t>,</w:t>
      </w:r>
      <w:r w:rsidRPr="003836D9">
        <w:rPr>
          <w:rFonts w:ascii="Times New Roman" w:hAnsi="Times New Roman" w:cs="Times New Roman"/>
          <w:sz w:val="24"/>
          <w:szCs w:val="24"/>
          <w:lang w:val="ro-MD" w:eastAsia="en-GB"/>
        </w:rPr>
        <w:t xml:space="preserve"> un portofoliu limitat de programe active </w:t>
      </w:r>
      <w:r w:rsidR="00482D5C" w:rsidRPr="003836D9">
        <w:rPr>
          <w:rFonts w:ascii="Times New Roman" w:hAnsi="Times New Roman" w:cs="Times New Roman"/>
          <w:sz w:val="24"/>
          <w:szCs w:val="24"/>
          <w:lang w:val="ro-MD" w:eastAsia="en-GB"/>
        </w:rPr>
        <w:t>ale</w:t>
      </w:r>
      <w:r w:rsidRPr="003836D9">
        <w:rPr>
          <w:rFonts w:ascii="Times New Roman" w:hAnsi="Times New Roman" w:cs="Times New Roman"/>
          <w:sz w:val="24"/>
          <w:szCs w:val="24"/>
          <w:lang w:val="ro-MD" w:eastAsia="en-GB"/>
        </w:rPr>
        <w:t xml:space="preserve"> pi</w:t>
      </w:r>
      <w:r w:rsidR="00482D5C" w:rsidRPr="003836D9">
        <w:rPr>
          <w:rFonts w:ascii="Times New Roman" w:hAnsi="Times New Roman" w:cs="Times New Roman"/>
          <w:sz w:val="24"/>
          <w:szCs w:val="24"/>
          <w:lang w:val="ro-MD" w:eastAsia="en-GB"/>
        </w:rPr>
        <w:t>e</w:t>
      </w:r>
      <w:r w:rsidRPr="003836D9">
        <w:rPr>
          <w:rFonts w:ascii="Times New Roman" w:hAnsi="Times New Roman" w:cs="Times New Roman"/>
          <w:sz w:val="24"/>
          <w:szCs w:val="24"/>
          <w:lang w:val="ro-MD" w:eastAsia="en-GB"/>
        </w:rPr>
        <w:t>ț</w:t>
      </w:r>
      <w:r w:rsidR="00482D5C" w:rsidRPr="003836D9">
        <w:rPr>
          <w:rFonts w:ascii="Times New Roman" w:hAnsi="Times New Roman" w:cs="Times New Roman"/>
          <w:sz w:val="24"/>
          <w:szCs w:val="24"/>
          <w:lang w:val="ro-MD" w:eastAsia="en-GB"/>
        </w:rPr>
        <w:t>e</w:t>
      </w:r>
      <w:r w:rsidR="000E40A9" w:rsidRPr="003836D9">
        <w:rPr>
          <w:rFonts w:ascii="Times New Roman" w:hAnsi="Times New Roman" w:cs="Times New Roman"/>
          <w:sz w:val="24"/>
          <w:szCs w:val="24"/>
          <w:lang w:val="ro-MD" w:eastAsia="en-GB"/>
        </w:rPr>
        <w:t>i</w:t>
      </w:r>
      <w:r w:rsidRPr="003836D9">
        <w:rPr>
          <w:rFonts w:ascii="Times New Roman" w:hAnsi="Times New Roman" w:cs="Times New Roman"/>
          <w:sz w:val="24"/>
          <w:szCs w:val="24"/>
          <w:lang w:val="ro-MD" w:eastAsia="en-GB"/>
        </w:rPr>
        <w:t xml:space="preserve"> muncii, care a cuprins în principal programe de formare și </w:t>
      </w:r>
      <w:r w:rsidR="00482D5C" w:rsidRPr="003836D9">
        <w:rPr>
          <w:rFonts w:ascii="Times New Roman" w:hAnsi="Times New Roman" w:cs="Times New Roman"/>
          <w:sz w:val="24"/>
          <w:szCs w:val="24"/>
          <w:lang w:val="ro-MD" w:eastAsia="en-GB"/>
        </w:rPr>
        <w:t>activități</w:t>
      </w:r>
      <w:r w:rsidRPr="003836D9">
        <w:rPr>
          <w:rFonts w:ascii="Times New Roman" w:hAnsi="Times New Roman" w:cs="Times New Roman"/>
          <w:sz w:val="24"/>
          <w:szCs w:val="24"/>
          <w:lang w:val="ro-MD" w:eastAsia="en-GB"/>
        </w:rPr>
        <w:t xml:space="preserve"> publice. Noua leg</w:t>
      </w:r>
      <w:r w:rsidR="00BF3A7A" w:rsidRPr="003836D9">
        <w:rPr>
          <w:rFonts w:ascii="Times New Roman" w:hAnsi="Times New Roman" w:cs="Times New Roman"/>
          <w:sz w:val="24"/>
          <w:szCs w:val="24"/>
          <w:lang w:val="ro-MD" w:eastAsia="en-GB"/>
        </w:rPr>
        <w:t>e</w:t>
      </w:r>
      <w:r w:rsidRPr="003836D9">
        <w:rPr>
          <w:rFonts w:ascii="Times New Roman" w:hAnsi="Times New Roman" w:cs="Times New Roman"/>
          <w:sz w:val="24"/>
          <w:szCs w:val="24"/>
          <w:lang w:val="ro-MD" w:eastAsia="en-GB"/>
        </w:rPr>
        <w:t xml:space="preserve"> a introdus mai multe programe noi (</w:t>
      </w:r>
      <w:r w:rsidR="00482D5C" w:rsidRPr="003836D9">
        <w:rPr>
          <w:rFonts w:ascii="Times New Roman" w:hAnsi="Times New Roman" w:cs="Times New Roman"/>
          <w:sz w:val="24"/>
          <w:szCs w:val="24"/>
          <w:lang w:val="ro-MD" w:eastAsia="en-GB"/>
        </w:rPr>
        <w:t>C</w:t>
      </w:r>
      <w:r w:rsidRPr="003836D9">
        <w:rPr>
          <w:rFonts w:ascii="Times New Roman" w:hAnsi="Times New Roman" w:cs="Times New Roman"/>
          <w:sz w:val="24"/>
          <w:szCs w:val="24"/>
          <w:lang w:val="ro-MD" w:eastAsia="en-GB"/>
        </w:rPr>
        <w:t>aseta 1)</w:t>
      </w:r>
      <w:r w:rsidR="000E40A9" w:rsidRPr="003836D9">
        <w:rPr>
          <w:rFonts w:ascii="Times New Roman" w:hAnsi="Times New Roman" w:cs="Times New Roman"/>
          <w:sz w:val="24"/>
          <w:szCs w:val="24"/>
          <w:lang w:val="ro-MD" w:eastAsia="en-GB"/>
        </w:rPr>
        <w:t>.</w:t>
      </w: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09"/>
      </w:tblGrid>
      <w:tr w:rsidR="00824AF1" w:rsidRPr="003836D9" w14:paraId="2F450EDC" w14:textId="77777777" w:rsidTr="00763326">
        <w:trPr>
          <w:trHeight w:val="4312"/>
        </w:trPr>
        <w:tc>
          <w:tcPr>
            <w:tcW w:w="9809" w:type="dxa"/>
            <w:shd w:val="clear" w:color="auto" w:fill="D9D9D9" w:themeFill="background1" w:themeFillShade="D9"/>
          </w:tcPr>
          <w:p w14:paraId="6284D09E" w14:textId="0922FA66" w:rsidR="00824AF1" w:rsidRPr="003836D9" w:rsidRDefault="00E053C7" w:rsidP="001D3D57">
            <w:pPr>
              <w:spacing w:after="120"/>
              <w:jc w:val="center"/>
              <w:rPr>
                <w:rFonts w:ascii="Times New Roman" w:hAnsi="Times New Roman" w:cs="Times New Roman"/>
                <w:b/>
                <w:bCs/>
                <w:sz w:val="16"/>
                <w:szCs w:val="16"/>
                <w:lang w:val="ro-MD"/>
              </w:rPr>
            </w:pPr>
            <w:bookmarkStart w:id="73" w:name="_Hlk93139717"/>
            <w:r w:rsidRPr="003836D9">
              <w:rPr>
                <w:rFonts w:ascii="Times New Roman" w:hAnsi="Times New Roman" w:cs="Times New Roman"/>
                <w:b/>
                <w:bCs/>
                <w:sz w:val="16"/>
                <w:szCs w:val="16"/>
                <w:lang w:val="ro-MD"/>
              </w:rPr>
              <w:lastRenderedPageBreak/>
              <w:t>Caseta</w:t>
            </w:r>
            <w:r w:rsidR="00824AF1" w:rsidRPr="003836D9">
              <w:rPr>
                <w:rFonts w:ascii="Times New Roman" w:hAnsi="Times New Roman" w:cs="Times New Roman"/>
                <w:b/>
                <w:bCs/>
                <w:sz w:val="16"/>
                <w:szCs w:val="16"/>
                <w:lang w:val="ro-MD"/>
              </w:rPr>
              <w:t xml:space="preserve"> </w:t>
            </w:r>
            <w:r w:rsidR="00404318" w:rsidRPr="003836D9">
              <w:rPr>
                <w:rFonts w:ascii="Times New Roman" w:hAnsi="Times New Roman" w:cs="Times New Roman"/>
                <w:b/>
                <w:bCs/>
                <w:sz w:val="16"/>
                <w:szCs w:val="16"/>
                <w:lang w:val="ro-MD"/>
              </w:rPr>
              <w:t>1</w:t>
            </w:r>
            <w:r w:rsidR="008548FE">
              <w:rPr>
                <w:rFonts w:ascii="Times New Roman" w:hAnsi="Times New Roman" w:cs="Times New Roman"/>
                <w:b/>
                <w:bCs/>
                <w:sz w:val="16"/>
                <w:szCs w:val="16"/>
                <w:lang w:val="ro-MD"/>
              </w:rPr>
              <w:t>.</w:t>
            </w:r>
            <w:r w:rsidR="00824AF1" w:rsidRPr="003836D9">
              <w:rPr>
                <w:rFonts w:ascii="Times New Roman" w:hAnsi="Times New Roman" w:cs="Times New Roman"/>
                <w:b/>
                <w:bCs/>
                <w:sz w:val="16"/>
                <w:szCs w:val="16"/>
                <w:lang w:val="ro-MD"/>
              </w:rPr>
              <w:t xml:space="preserve"> </w:t>
            </w:r>
            <w:r w:rsidRPr="003836D9">
              <w:rPr>
                <w:rFonts w:ascii="Times New Roman" w:hAnsi="Times New Roman" w:cs="Times New Roman"/>
                <w:b/>
                <w:bCs/>
                <w:sz w:val="16"/>
                <w:szCs w:val="16"/>
                <w:lang w:val="ro-MD"/>
              </w:rPr>
              <w:t>Măsuri active ale pieței muncii în Moldova</w:t>
            </w:r>
          </w:p>
          <w:bookmarkEnd w:id="73"/>
          <w:p w14:paraId="0B542C2C" w14:textId="50821157" w:rsidR="00404318" w:rsidRPr="003836D9" w:rsidRDefault="00393EA1" w:rsidP="001D3D57">
            <w:pPr>
              <w:spacing w:after="120"/>
              <w:jc w:val="both"/>
              <w:rPr>
                <w:rFonts w:ascii="Times New Roman" w:hAnsi="Times New Roman" w:cs="Times New Roman"/>
                <w:sz w:val="16"/>
                <w:szCs w:val="16"/>
                <w:lang w:val="ro-MD"/>
              </w:rPr>
            </w:pPr>
            <w:r w:rsidRPr="003836D9">
              <w:rPr>
                <w:rFonts w:ascii="Times New Roman" w:hAnsi="Times New Roman" w:cs="Times New Roman"/>
                <w:b/>
                <w:bCs/>
                <w:sz w:val="16"/>
                <w:szCs w:val="16"/>
                <w:lang w:val="ro-MD"/>
              </w:rPr>
              <w:t>Formare</w:t>
            </w:r>
            <w:r w:rsidR="00824AF1" w:rsidRPr="003836D9">
              <w:rPr>
                <w:rFonts w:ascii="Times New Roman" w:hAnsi="Times New Roman" w:cs="Times New Roman"/>
                <w:b/>
                <w:bCs/>
                <w:sz w:val="16"/>
                <w:szCs w:val="16"/>
                <w:lang w:val="ro-MD"/>
              </w:rPr>
              <w:t>:</w:t>
            </w:r>
            <w:r w:rsidR="00824AF1" w:rsidRPr="003836D9">
              <w:rPr>
                <w:rFonts w:ascii="Times New Roman" w:hAnsi="Times New Roman" w:cs="Times New Roman"/>
                <w:sz w:val="16"/>
                <w:szCs w:val="16"/>
                <w:lang w:val="ro-MD"/>
              </w:rPr>
              <w:t xml:space="preserve"> </w:t>
            </w:r>
            <w:r w:rsidR="00E053C7" w:rsidRPr="003836D9">
              <w:rPr>
                <w:rFonts w:ascii="Times New Roman" w:hAnsi="Times New Roman" w:cs="Times New Roman"/>
                <w:sz w:val="16"/>
                <w:szCs w:val="16"/>
                <w:lang w:val="ro-MD"/>
              </w:rPr>
              <w:t xml:space="preserve">Aceste programe includ formare în funcție de cerere, perfecționare și recalificare, organizate de furnizorii de formare publici și privați în conformitate cu standardele ocupaționale stabilite și </w:t>
            </w:r>
            <w:r w:rsidRPr="003836D9">
              <w:rPr>
                <w:rFonts w:ascii="Times New Roman" w:hAnsi="Times New Roman" w:cs="Times New Roman"/>
                <w:sz w:val="16"/>
                <w:szCs w:val="16"/>
                <w:lang w:val="ro-MD"/>
              </w:rPr>
              <w:t>instruirea</w:t>
            </w:r>
            <w:r w:rsidR="00E053C7" w:rsidRPr="003836D9">
              <w:rPr>
                <w:rFonts w:ascii="Times New Roman" w:hAnsi="Times New Roman" w:cs="Times New Roman"/>
                <w:sz w:val="16"/>
                <w:szCs w:val="16"/>
                <w:lang w:val="ro-MD"/>
              </w:rPr>
              <w:t xml:space="preserve"> la locul de muncă organizată și furnizată de întreprinderi </w:t>
            </w:r>
            <w:r w:rsidRPr="003836D9">
              <w:rPr>
                <w:rFonts w:ascii="Times New Roman" w:hAnsi="Times New Roman" w:cs="Times New Roman"/>
                <w:sz w:val="16"/>
                <w:szCs w:val="16"/>
                <w:lang w:val="ro-MD"/>
              </w:rPr>
              <w:t>în</w:t>
            </w:r>
            <w:r w:rsidR="00E053C7" w:rsidRPr="003836D9">
              <w:rPr>
                <w:rFonts w:ascii="Times New Roman" w:hAnsi="Times New Roman" w:cs="Times New Roman"/>
                <w:sz w:val="16"/>
                <w:szCs w:val="16"/>
                <w:lang w:val="ro-MD"/>
              </w:rPr>
              <w:t xml:space="preserve"> baza unui contract semnat de beneficiarul individual, </w:t>
            </w:r>
            <w:r w:rsidRPr="003836D9">
              <w:rPr>
                <w:rFonts w:ascii="Times New Roman" w:hAnsi="Times New Roman" w:cs="Times New Roman"/>
                <w:sz w:val="16"/>
                <w:szCs w:val="16"/>
                <w:lang w:val="ro-MD"/>
              </w:rPr>
              <w:t>ANOFM</w:t>
            </w:r>
            <w:r w:rsidR="00E053C7" w:rsidRPr="003836D9">
              <w:rPr>
                <w:rFonts w:ascii="Times New Roman" w:hAnsi="Times New Roman" w:cs="Times New Roman"/>
                <w:sz w:val="16"/>
                <w:szCs w:val="16"/>
                <w:lang w:val="ro-MD"/>
              </w:rPr>
              <w:t>, un furnizor de formare și</w:t>
            </w:r>
            <w:r w:rsidR="00BF3A7A" w:rsidRPr="003836D9">
              <w:rPr>
                <w:rFonts w:ascii="Times New Roman" w:hAnsi="Times New Roman" w:cs="Times New Roman"/>
                <w:sz w:val="16"/>
                <w:szCs w:val="16"/>
                <w:lang w:val="ro-MD"/>
              </w:rPr>
              <w:t xml:space="preserve"> însăși</w:t>
            </w:r>
            <w:r w:rsidR="00E053C7" w:rsidRPr="003836D9">
              <w:rPr>
                <w:rFonts w:ascii="Times New Roman" w:hAnsi="Times New Roman" w:cs="Times New Roman"/>
                <w:sz w:val="16"/>
                <w:szCs w:val="16"/>
                <w:lang w:val="ro-MD"/>
              </w:rPr>
              <w:t xml:space="preserve"> întreprinderea. În 2019, </w:t>
            </w:r>
            <w:r w:rsidRPr="003836D9">
              <w:rPr>
                <w:rFonts w:ascii="Times New Roman" w:hAnsi="Times New Roman" w:cs="Times New Roman"/>
                <w:sz w:val="16"/>
                <w:szCs w:val="16"/>
                <w:lang w:val="ro-MD"/>
              </w:rPr>
              <w:t>ANOFM</w:t>
            </w:r>
            <w:r w:rsidR="00E053C7" w:rsidRPr="003836D9">
              <w:rPr>
                <w:rFonts w:ascii="Times New Roman" w:hAnsi="Times New Roman" w:cs="Times New Roman"/>
                <w:sz w:val="16"/>
                <w:szCs w:val="16"/>
                <w:lang w:val="ro-MD"/>
              </w:rPr>
              <w:t xml:space="preserve"> a organizat programe de calificare, </w:t>
            </w:r>
            <w:r w:rsidRPr="003836D9">
              <w:rPr>
                <w:rFonts w:ascii="Times New Roman" w:hAnsi="Times New Roman" w:cs="Times New Roman"/>
                <w:sz w:val="16"/>
                <w:szCs w:val="16"/>
                <w:lang w:val="ro-MD"/>
              </w:rPr>
              <w:t>perfecționare</w:t>
            </w:r>
            <w:r w:rsidR="00E053C7" w:rsidRPr="003836D9">
              <w:rPr>
                <w:rFonts w:ascii="Times New Roman" w:hAnsi="Times New Roman" w:cs="Times New Roman"/>
                <w:sz w:val="16"/>
                <w:szCs w:val="16"/>
                <w:lang w:val="ro-MD"/>
              </w:rPr>
              <w:t xml:space="preserve"> </w:t>
            </w:r>
            <w:r w:rsidRPr="003836D9">
              <w:rPr>
                <w:rFonts w:ascii="Times New Roman" w:hAnsi="Times New Roman" w:cs="Times New Roman"/>
                <w:sz w:val="16"/>
                <w:szCs w:val="16"/>
                <w:lang w:val="ro-MD"/>
              </w:rPr>
              <w:t>și</w:t>
            </w:r>
            <w:r w:rsidR="00E053C7" w:rsidRPr="003836D9">
              <w:rPr>
                <w:rFonts w:ascii="Times New Roman" w:hAnsi="Times New Roman" w:cs="Times New Roman"/>
                <w:sz w:val="16"/>
                <w:szCs w:val="16"/>
                <w:lang w:val="ro-MD"/>
              </w:rPr>
              <w:t xml:space="preserve"> recalificare pentru 868 de persoane, egal cu 1,3 </w:t>
            </w:r>
            <w:r w:rsidRPr="003836D9">
              <w:rPr>
                <w:rFonts w:ascii="Times New Roman" w:hAnsi="Times New Roman" w:cs="Times New Roman"/>
                <w:sz w:val="16"/>
                <w:szCs w:val="16"/>
                <w:lang w:val="ro-MD"/>
              </w:rPr>
              <w:t>procente</w:t>
            </w:r>
            <w:r w:rsidR="00E053C7" w:rsidRPr="003836D9">
              <w:rPr>
                <w:rFonts w:ascii="Times New Roman" w:hAnsi="Times New Roman" w:cs="Times New Roman"/>
                <w:sz w:val="16"/>
                <w:szCs w:val="16"/>
                <w:lang w:val="ro-MD"/>
              </w:rPr>
              <w:t xml:space="preserve"> din </w:t>
            </w:r>
            <w:r w:rsidRPr="003836D9">
              <w:rPr>
                <w:rFonts w:ascii="Times New Roman" w:hAnsi="Times New Roman" w:cs="Times New Roman"/>
                <w:sz w:val="16"/>
                <w:szCs w:val="16"/>
                <w:lang w:val="ro-MD"/>
              </w:rPr>
              <w:t>numărul</w:t>
            </w:r>
            <w:r w:rsidR="00E053C7" w:rsidRPr="003836D9">
              <w:rPr>
                <w:rFonts w:ascii="Times New Roman" w:hAnsi="Times New Roman" w:cs="Times New Roman"/>
                <w:sz w:val="16"/>
                <w:szCs w:val="16"/>
                <w:lang w:val="ro-MD"/>
              </w:rPr>
              <w:t xml:space="preserve"> total de </w:t>
            </w:r>
            <w:r w:rsidRPr="003836D9">
              <w:rPr>
                <w:rFonts w:ascii="Times New Roman" w:hAnsi="Times New Roman" w:cs="Times New Roman"/>
                <w:sz w:val="16"/>
                <w:szCs w:val="16"/>
                <w:lang w:val="ro-MD"/>
              </w:rPr>
              <w:t>șomeri</w:t>
            </w:r>
            <w:r w:rsidR="00E053C7" w:rsidRPr="003836D9">
              <w:rPr>
                <w:rFonts w:ascii="Times New Roman" w:hAnsi="Times New Roman" w:cs="Times New Roman"/>
                <w:sz w:val="16"/>
                <w:szCs w:val="16"/>
                <w:lang w:val="ro-MD"/>
              </w:rPr>
              <w:t xml:space="preserve"> </w:t>
            </w:r>
            <w:r w:rsidRPr="003836D9">
              <w:rPr>
                <w:rFonts w:ascii="Times New Roman" w:hAnsi="Times New Roman" w:cs="Times New Roman"/>
                <w:sz w:val="16"/>
                <w:szCs w:val="16"/>
                <w:lang w:val="ro-MD"/>
              </w:rPr>
              <w:t>înregistrați</w:t>
            </w:r>
            <w:r w:rsidR="00A11634" w:rsidRPr="003836D9">
              <w:rPr>
                <w:rFonts w:ascii="Times New Roman" w:hAnsi="Times New Roman" w:cs="Times New Roman"/>
                <w:sz w:val="16"/>
                <w:szCs w:val="16"/>
                <w:lang w:val="ro-MD"/>
              </w:rPr>
              <w:t xml:space="preserve">. </w:t>
            </w:r>
          </w:p>
          <w:p w14:paraId="219A31D9" w14:textId="790B30A2" w:rsidR="00C82A4C" w:rsidRPr="003836D9" w:rsidRDefault="00E053C7" w:rsidP="001D3D57">
            <w:pPr>
              <w:spacing w:after="120"/>
              <w:jc w:val="both"/>
              <w:rPr>
                <w:rFonts w:ascii="Times New Roman" w:hAnsi="Times New Roman" w:cs="Times New Roman"/>
                <w:sz w:val="16"/>
                <w:szCs w:val="16"/>
                <w:lang w:val="ro-MD"/>
              </w:rPr>
            </w:pPr>
            <w:r w:rsidRPr="003836D9">
              <w:rPr>
                <w:rFonts w:ascii="Times New Roman" w:hAnsi="Times New Roman" w:cs="Times New Roman"/>
                <w:b/>
                <w:bCs/>
                <w:sz w:val="16"/>
                <w:szCs w:val="16"/>
                <w:lang w:val="ro-MD"/>
              </w:rPr>
              <w:t xml:space="preserve">Stagiul </w:t>
            </w:r>
            <w:r w:rsidRPr="003836D9">
              <w:rPr>
                <w:rFonts w:ascii="Times New Roman" w:hAnsi="Times New Roman" w:cs="Times New Roman"/>
                <w:sz w:val="16"/>
                <w:szCs w:val="16"/>
                <w:lang w:val="ro-MD"/>
              </w:rPr>
              <w:t xml:space="preserve">oferă șomerilor înregistrați o perioadă de experiență de lucru relevantă într-o organizație gazdă (o întreprindere privată sau publică, organizație non-profit sau organ </w:t>
            </w:r>
            <w:r w:rsidR="00BF3A7A" w:rsidRPr="003836D9">
              <w:rPr>
                <w:rFonts w:ascii="Times New Roman" w:hAnsi="Times New Roman" w:cs="Times New Roman"/>
                <w:sz w:val="16"/>
                <w:szCs w:val="16"/>
                <w:lang w:val="ro-MD"/>
              </w:rPr>
              <w:t>al</w:t>
            </w:r>
            <w:r w:rsidRPr="003836D9">
              <w:rPr>
                <w:rFonts w:ascii="Times New Roman" w:hAnsi="Times New Roman" w:cs="Times New Roman"/>
                <w:sz w:val="16"/>
                <w:szCs w:val="16"/>
                <w:lang w:val="ro-MD"/>
              </w:rPr>
              <w:t xml:space="preserve"> administrație</w:t>
            </w:r>
            <w:r w:rsidR="00BF3A7A" w:rsidRPr="003836D9">
              <w:rPr>
                <w:rFonts w:ascii="Times New Roman" w:hAnsi="Times New Roman" w:cs="Times New Roman"/>
                <w:sz w:val="16"/>
                <w:szCs w:val="16"/>
                <w:lang w:val="ro-MD"/>
              </w:rPr>
              <w:t>i</w:t>
            </w:r>
            <w:r w:rsidRPr="003836D9">
              <w:rPr>
                <w:rFonts w:ascii="Times New Roman" w:hAnsi="Times New Roman" w:cs="Times New Roman"/>
                <w:sz w:val="16"/>
                <w:szCs w:val="16"/>
                <w:lang w:val="ro-MD"/>
              </w:rPr>
              <w:t xml:space="preserve"> public</w:t>
            </w:r>
            <w:r w:rsidR="00BF3A7A" w:rsidRPr="003836D9">
              <w:rPr>
                <w:rFonts w:ascii="Times New Roman" w:hAnsi="Times New Roman" w:cs="Times New Roman"/>
                <w:sz w:val="16"/>
                <w:szCs w:val="16"/>
                <w:lang w:val="ro-MD"/>
              </w:rPr>
              <w:t>e</w:t>
            </w:r>
            <w:r w:rsidRPr="003836D9">
              <w:rPr>
                <w:rFonts w:ascii="Times New Roman" w:hAnsi="Times New Roman" w:cs="Times New Roman"/>
                <w:sz w:val="16"/>
                <w:szCs w:val="16"/>
                <w:lang w:val="ro-MD"/>
              </w:rPr>
              <w:t>) cu scopul de a-și îmbunătăți perspectivele de angajare</w:t>
            </w:r>
            <w:r w:rsidR="00C82A4C" w:rsidRPr="003836D9">
              <w:rPr>
                <w:rFonts w:ascii="Times New Roman" w:hAnsi="Times New Roman" w:cs="Times New Roman"/>
                <w:sz w:val="16"/>
                <w:szCs w:val="16"/>
                <w:lang w:val="ro-MD"/>
              </w:rPr>
              <w:t xml:space="preserve">. </w:t>
            </w:r>
          </w:p>
          <w:p w14:paraId="59AA80F5" w14:textId="1980474E" w:rsidR="00824AF1" w:rsidRPr="003836D9" w:rsidRDefault="008D7930" w:rsidP="001D3D57">
            <w:pPr>
              <w:spacing w:after="120"/>
              <w:jc w:val="both"/>
              <w:rPr>
                <w:rFonts w:ascii="Times New Roman" w:hAnsi="Times New Roman" w:cs="Times New Roman"/>
                <w:sz w:val="16"/>
                <w:szCs w:val="16"/>
                <w:lang w:val="ro-MD"/>
              </w:rPr>
            </w:pPr>
            <w:r w:rsidRPr="003836D9">
              <w:rPr>
                <w:rFonts w:ascii="Times New Roman" w:hAnsi="Times New Roman" w:cs="Times New Roman"/>
                <w:b/>
                <w:bCs/>
                <w:sz w:val="16"/>
                <w:szCs w:val="16"/>
                <w:lang w:val="ro-MD"/>
              </w:rPr>
              <w:t>Subvenționarea locurilor de muncă</w:t>
            </w:r>
            <w:r w:rsidR="00824AF1" w:rsidRPr="003836D9">
              <w:rPr>
                <w:rFonts w:ascii="Times New Roman" w:hAnsi="Times New Roman" w:cs="Times New Roman"/>
                <w:b/>
                <w:bCs/>
                <w:sz w:val="16"/>
                <w:szCs w:val="16"/>
                <w:lang w:val="ro-MD"/>
              </w:rPr>
              <w:t>:</w:t>
            </w:r>
            <w:r w:rsidR="00824AF1" w:rsidRPr="003836D9">
              <w:rPr>
                <w:rFonts w:ascii="Times New Roman" w:hAnsi="Times New Roman" w:cs="Times New Roman"/>
                <w:sz w:val="16"/>
                <w:szCs w:val="16"/>
                <w:lang w:val="ro-MD"/>
              </w:rPr>
              <w:t xml:space="preserve"> </w:t>
            </w:r>
            <w:r w:rsidR="00E053C7" w:rsidRPr="003836D9">
              <w:rPr>
                <w:rFonts w:ascii="Times New Roman" w:hAnsi="Times New Roman" w:cs="Times New Roman"/>
                <w:sz w:val="16"/>
                <w:szCs w:val="16"/>
                <w:lang w:val="ro-MD"/>
              </w:rPr>
              <w:t xml:space="preserve">Sunt disponibile subvenții pentru recrutarea categoriilor vulnerabile (persoane cu dizabilități, șomeri în vârstă, victime ale violenței domestice sau ale traficului </w:t>
            </w:r>
            <w:r w:rsidRPr="003836D9">
              <w:rPr>
                <w:rFonts w:ascii="Times New Roman" w:hAnsi="Times New Roman" w:cs="Times New Roman"/>
                <w:sz w:val="16"/>
                <w:szCs w:val="16"/>
                <w:lang w:val="ro-MD"/>
              </w:rPr>
              <w:t>uman</w:t>
            </w:r>
            <w:r w:rsidR="00E053C7" w:rsidRPr="003836D9">
              <w:rPr>
                <w:rFonts w:ascii="Times New Roman" w:hAnsi="Times New Roman" w:cs="Times New Roman"/>
                <w:sz w:val="16"/>
                <w:szCs w:val="16"/>
                <w:lang w:val="ro-MD"/>
              </w:rPr>
              <w:t>, foști deținuți și persoane cu probleme legate de abuz de substanțe). Acestea asigură întreprinderilor o rambursare egală cu salariul minim lunar în vigoare în țară timp de șase luni cu obligația de a</w:t>
            </w:r>
            <w:r w:rsidRPr="003836D9">
              <w:rPr>
                <w:rFonts w:ascii="Times New Roman" w:hAnsi="Times New Roman" w:cs="Times New Roman"/>
                <w:sz w:val="16"/>
                <w:szCs w:val="16"/>
                <w:lang w:val="ro-MD"/>
              </w:rPr>
              <w:t xml:space="preserve"> menține</w:t>
            </w:r>
            <w:r w:rsidR="00E053C7" w:rsidRPr="003836D9">
              <w:rPr>
                <w:rFonts w:ascii="Times New Roman" w:hAnsi="Times New Roman" w:cs="Times New Roman"/>
                <w:sz w:val="16"/>
                <w:szCs w:val="16"/>
                <w:lang w:val="ro-MD"/>
              </w:rPr>
              <w:t xml:space="preserve"> </w:t>
            </w:r>
            <w:r w:rsidR="007D7B9B" w:rsidRPr="003836D9">
              <w:rPr>
                <w:rFonts w:ascii="Times New Roman" w:hAnsi="Times New Roman" w:cs="Times New Roman"/>
                <w:sz w:val="16"/>
                <w:szCs w:val="16"/>
                <w:lang w:val="ro-MD"/>
              </w:rPr>
              <w:t xml:space="preserve">persoana </w:t>
            </w:r>
            <w:r w:rsidR="00E053C7" w:rsidRPr="003836D9">
              <w:rPr>
                <w:rFonts w:ascii="Times New Roman" w:hAnsi="Times New Roman" w:cs="Times New Roman"/>
                <w:sz w:val="16"/>
                <w:szCs w:val="16"/>
                <w:lang w:val="ro-MD"/>
              </w:rPr>
              <w:t>angaja</w:t>
            </w:r>
            <w:r w:rsidRPr="003836D9">
              <w:rPr>
                <w:rFonts w:ascii="Times New Roman" w:hAnsi="Times New Roman" w:cs="Times New Roman"/>
                <w:sz w:val="16"/>
                <w:szCs w:val="16"/>
                <w:lang w:val="ro-MD"/>
              </w:rPr>
              <w:t xml:space="preserve">tă </w:t>
            </w:r>
            <w:r w:rsidR="00E053C7" w:rsidRPr="003836D9">
              <w:rPr>
                <w:rFonts w:ascii="Times New Roman" w:hAnsi="Times New Roman" w:cs="Times New Roman"/>
                <w:sz w:val="16"/>
                <w:szCs w:val="16"/>
                <w:lang w:val="ro-MD"/>
              </w:rPr>
              <w:t xml:space="preserve">încă </w:t>
            </w:r>
            <w:r w:rsidR="00BF3A7A" w:rsidRPr="003836D9">
              <w:rPr>
                <w:rFonts w:ascii="Times New Roman" w:hAnsi="Times New Roman" w:cs="Times New Roman"/>
                <w:sz w:val="16"/>
                <w:szCs w:val="16"/>
                <w:lang w:val="ro-MD"/>
              </w:rPr>
              <w:t xml:space="preserve">pentru </w:t>
            </w:r>
            <w:r w:rsidR="00E053C7" w:rsidRPr="003836D9">
              <w:rPr>
                <w:rFonts w:ascii="Times New Roman" w:hAnsi="Times New Roman" w:cs="Times New Roman"/>
                <w:sz w:val="16"/>
                <w:szCs w:val="16"/>
                <w:lang w:val="ro-MD"/>
              </w:rPr>
              <w:t>douăsprezece luni. Noua legislație stabilește și un stimulent pentru recrutarea lucrătorilor cu dizabilități și adaptarea loculu</w:t>
            </w:r>
            <w:r w:rsidR="007D7B9B" w:rsidRPr="003836D9">
              <w:rPr>
                <w:rFonts w:ascii="Times New Roman" w:hAnsi="Times New Roman" w:cs="Times New Roman"/>
                <w:sz w:val="16"/>
                <w:szCs w:val="16"/>
                <w:lang w:val="ro-MD"/>
              </w:rPr>
              <w:t>i</w:t>
            </w:r>
            <w:r w:rsidR="00E053C7" w:rsidRPr="003836D9">
              <w:rPr>
                <w:rFonts w:ascii="Times New Roman" w:hAnsi="Times New Roman" w:cs="Times New Roman"/>
                <w:sz w:val="16"/>
                <w:szCs w:val="16"/>
                <w:lang w:val="ro-MD"/>
              </w:rPr>
              <w:t xml:space="preserve"> de muncă. Întreprinderile care recrutează lucrători cu dizabilități pot primi până la zece ori valoarea salariului mediu pentru fiecare loc de muncă creat (care trebuie menținut timp de cel puțin trei ani). Costurile estimate de întreprindere pentru adaptarea locului de muncă pentru lucrătorii cu dizabilități sunt subvenționate în proporție de 50%</w:t>
            </w:r>
            <w:r w:rsidR="00CA5D9C" w:rsidRPr="003836D9">
              <w:rPr>
                <w:rFonts w:ascii="Times New Roman" w:hAnsi="Times New Roman" w:cs="Times New Roman"/>
                <w:sz w:val="16"/>
                <w:szCs w:val="16"/>
                <w:lang w:val="ro-MD"/>
              </w:rPr>
              <w:t xml:space="preserve">. </w:t>
            </w:r>
          </w:p>
          <w:p w14:paraId="35F5EB4E" w14:textId="032E1598" w:rsidR="00CA5D9C" w:rsidRPr="003836D9" w:rsidRDefault="00E053C7" w:rsidP="001D3D57">
            <w:pPr>
              <w:spacing w:after="120"/>
              <w:jc w:val="both"/>
              <w:rPr>
                <w:rFonts w:ascii="Times New Roman" w:hAnsi="Times New Roman" w:cs="Times New Roman"/>
                <w:sz w:val="16"/>
                <w:szCs w:val="16"/>
                <w:lang w:val="ro-MD"/>
              </w:rPr>
            </w:pPr>
            <w:r w:rsidRPr="003836D9">
              <w:rPr>
                <w:rFonts w:ascii="Times New Roman" w:hAnsi="Times New Roman" w:cs="Times New Roman"/>
                <w:b/>
                <w:bCs/>
                <w:sz w:val="16"/>
                <w:szCs w:val="16"/>
                <w:lang w:val="ro-MD"/>
              </w:rPr>
              <w:t xml:space="preserve">Suportul pentru auto-ocupare </w:t>
            </w:r>
            <w:r w:rsidRPr="003836D9">
              <w:rPr>
                <w:rFonts w:ascii="Times New Roman" w:hAnsi="Times New Roman" w:cs="Times New Roman"/>
                <w:sz w:val="16"/>
                <w:szCs w:val="16"/>
                <w:lang w:val="ro-MD"/>
              </w:rPr>
              <w:t>ofer</w:t>
            </w:r>
            <w:r w:rsidR="008D7930" w:rsidRPr="003836D9">
              <w:rPr>
                <w:rFonts w:ascii="Times New Roman" w:hAnsi="Times New Roman" w:cs="Times New Roman"/>
                <w:sz w:val="16"/>
                <w:szCs w:val="16"/>
                <w:lang w:val="ro-MD"/>
              </w:rPr>
              <w:t>ă</w:t>
            </w:r>
            <w:r w:rsidRPr="003836D9">
              <w:rPr>
                <w:rFonts w:ascii="Times New Roman" w:hAnsi="Times New Roman" w:cs="Times New Roman"/>
                <w:sz w:val="16"/>
                <w:szCs w:val="16"/>
                <w:lang w:val="ro-MD"/>
              </w:rPr>
              <w:t xml:space="preserve"> consiliere, </w:t>
            </w:r>
            <w:r w:rsidR="008D7930" w:rsidRPr="003836D9">
              <w:rPr>
                <w:rFonts w:ascii="Times New Roman" w:hAnsi="Times New Roman" w:cs="Times New Roman"/>
                <w:sz w:val="16"/>
                <w:szCs w:val="16"/>
                <w:lang w:val="ro-MD"/>
              </w:rPr>
              <w:t>î</w:t>
            </w:r>
            <w:r w:rsidRPr="003836D9">
              <w:rPr>
                <w:rFonts w:ascii="Times New Roman" w:hAnsi="Times New Roman" w:cs="Times New Roman"/>
                <w:sz w:val="16"/>
                <w:szCs w:val="16"/>
                <w:lang w:val="ro-MD"/>
              </w:rPr>
              <w:t xml:space="preserve">ndrumare privind </w:t>
            </w:r>
            <w:r w:rsidR="008D7930" w:rsidRPr="003836D9">
              <w:rPr>
                <w:rFonts w:ascii="Times New Roman" w:hAnsi="Times New Roman" w:cs="Times New Roman"/>
                <w:sz w:val="16"/>
                <w:szCs w:val="16"/>
                <w:lang w:val="ro-MD"/>
              </w:rPr>
              <w:t>inițierea</w:t>
            </w:r>
            <w:r w:rsidRPr="003836D9">
              <w:rPr>
                <w:rFonts w:ascii="Times New Roman" w:hAnsi="Times New Roman" w:cs="Times New Roman"/>
                <w:sz w:val="16"/>
                <w:szCs w:val="16"/>
                <w:lang w:val="ro-MD"/>
              </w:rPr>
              <w:t xml:space="preserve"> afacerii precum </w:t>
            </w:r>
            <w:r w:rsidR="008D7930" w:rsidRPr="003836D9">
              <w:rPr>
                <w:rFonts w:ascii="Times New Roman" w:hAnsi="Times New Roman" w:cs="Times New Roman"/>
                <w:sz w:val="16"/>
                <w:szCs w:val="16"/>
                <w:lang w:val="ro-MD"/>
              </w:rPr>
              <w:t>ș</w:t>
            </w:r>
            <w:r w:rsidRPr="003836D9">
              <w:rPr>
                <w:rFonts w:ascii="Times New Roman" w:hAnsi="Times New Roman" w:cs="Times New Roman"/>
                <w:sz w:val="16"/>
                <w:szCs w:val="16"/>
                <w:lang w:val="ro-MD"/>
              </w:rPr>
              <w:t xml:space="preserve">i un grant pentru acoperirea unei </w:t>
            </w:r>
            <w:r w:rsidR="008D7930" w:rsidRPr="003836D9">
              <w:rPr>
                <w:rFonts w:ascii="Times New Roman" w:hAnsi="Times New Roman" w:cs="Times New Roman"/>
                <w:sz w:val="16"/>
                <w:szCs w:val="16"/>
                <w:lang w:val="ro-MD"/>
              </w:rPr>
              <w:t>părți</w:t>
            </w:r>
            <w:r w:rsidRPr="003836D9">
              <w:rPr>
                <w:rFonts w:ascii="Times New Roman" w:hAnsi="Times New Roman" w:cs="Times New Roman"/>
                <w:sz w:val="16"/>
                <w:szCs w:val="16"/>
                <w:lang w:val="ro-MD"/>
              </w:rPr>
              <w:t xml:space="preserve"> din costurile de </w:t>
            </w:r>
            <w:r w:rsidR="008D7930" w:rsidRPr="003836D9">
              <w:rPr>
                <w:rFonts w:ascii="Times New Roman" w:hAnsi="Times New Roman" w:cs="Times New Roman"/>
                <w:sz w:val="16"/>
                <w:szCs w:val="16"/>
                <w:lang w:val="ro-MD"/>
              </w:rPr>
              <w:t>inițiere</w:t>
            </w:r>
            <w:r w:rsidRPr="003836D9">
              <w:rPr>
                <w:rFonts w:ascii="Times New Roman" w:hAnsi="Times New Roman" w:cs="Times New Roman"/>
                <w:sz w:val="16"/>
                <w:szCs w:val="16"/>
                <w:lang w:val="ro-MD"/>
              </w:rPr>
              <w:t xml:space="preserve"> a afacerii (50 </w:t>
            </w:r>
            <w:r w:rsidR="008D7930" w:rsidRPr="003836D9">
              <w:rPr>
                <w:rFonts w:ascii="Times New Roman" w:hAnsi="Times New Roman" w:cs="Times New Roman"/>
                <w:sz w:val="16"/>
                <w:szCs w:val="16"/>
                <w:lang w:val="ro-MD"/>
              </w:rPr>
              <w:t>procente</w:t>
            </w:r>
            <w:r w:rsidRPr="003836D9">
              <w:rPr>
                <w:rFonts w:ascii="Times New Roman" w:hAnsi="Times New Roman" w:cs="Times New Roman"/>
                <w:sz w:val="16"/>
                <w:szCs w:val="16"/>
                <w:lang w:val="ro-MD"/>
              </w:rPr>
              <w:t xml:space="preserve"> din costurile estimate pentru </w:t>
            </w:r>
            <w:r w:rsidR="008D7930" w:rsidRPr="003836D9">
              <w:rPr>
                <w:rFonts w:ascii="Times New Roman" w:hAnsi="Times New Roman" w:cs="Times New Roman"/>
                <w:sz w:val="16"/>
                <w:szCs w:val="16"/>
                <w:lang w:val="ro-MD"/>
              </w:rPr>
              <w:t>inițierea</w:t>
            </w:r>
            <w:r w:rsidRPr="003836D9">
              <w:rPr>
                <w:rFonts w:ascii="Times New Roman" w:hAnsi="Times New Roman" w:cs="Times New Roman"/>
                <w:sz w:val="16"/>
                <w:szCs w:val="16"/>
                <w:lang w:val="ro-MD"/>
              </w:rPr>
              <w:t xml:space="preserve"> </w:t>
            </w:r>
            <w:r w:rsidR="008D7930" w:rsidRPr="003836D9">
              <w:rPr>
                <w:rFonts w:ascii="Times New Roman" w:hAnsi="Times New Roman" w:cs="Times New Roman"/>
                <w:sz w:val="16"/>
                <w:szCs w:val="16"/>
                <w:lang w:val="ro-MD"/>
              </w:rPr>
              <w:t>activității</w:t>
            </w:r>
            <w:r w:rsidRPr="003836D9">
              <w:rPr>
                <w:rFonts w:ascii="Times New Roman" w:hAnsi="Times New Roman" w:cs="Times New Roman"/>
                <w:sz w:val="16"/>
                <w:szCs w:val="16"/>
                <w:lang w:val="ro-MD"/>
              </w:rPr>
              <w:t xml:space="preserve">, dar care nu </w:t>
            </w:r>
            <w:r w:rsidR="008D7930" w:rsidRPr="003836D9">
              <w:rPr>
                <w:rFonts w:ascii="Times New Roman" w:hAnsi="Times New Roman" w:cs="Times New Roman"/>
                <w:sz w:val="16"/>
                <w:szCs w:val="16"/>
                <w:lang w:val="ro-MD"/>
              </w:rPr>
              <w:t>depășește</w:t>
            </w:r>
            <w:r w:rsidRPr="003836D9">
              <w:rPr>
                <w:rFonts w:ascii="Times New Roman" w:hAnsi="Times New Roman" w:cs="Times New Roman"/>
                <w:sz w:val="16"/>
                <w:szCs w:val="16"/>
                <w:lang w:val="ro-MD"/>
              </w:rPr>
              <w:t xml:space="preserve"> o sum</w:t>
            </w:r>
            <w:r w:rsidR="008D7930" w:rsidRPr="003836D9">
              <w:rPr>
                <w:rFonts w:ascii="Times New Roman" w:hAnsi="Times New Roman" w:cs="Times New Roman"/>
                <w:sz w:val="16"/>
                <w:szCs w:val="16"/>
                <w:lang w:val="ro-MD"/>
              </w:rPr>
              <w:t>ă</w:t>
            </w:r>
            <w:r w:rsidRPr="003836D9">
              <w:rPr>
                <w:rFonts w:ascii="Times New Roman" w:hAnsi="Times New Roman" w:cs="Times New Roman"/>
                <w:sz w:val="16"/>
                <w:szCs w:val="16"/>
                <w:lang w:val="ro-MD"/>
              </w:rPr>
              <w:t xml:space="preserve"> egal</w:t>
            </w:r>
            <w:r w:rsidR="008D7930" w:rsidRPr="003836D9">
              <w:rPr>
                <w:rFonts w:ascii="Times New Roman" w:hAnsi="Times New Roman" w:cs="Times New Roman"/>
                <w:sz w:val="16"/>
                <w:szCs w:val="16"/>
                <w:lang w:val="ro-MD"/>
              </w:rPr>
              <w:t>ă</w:t>
            </w:r>
            <w:r w:rsidRPr="003836D9">
              <w:rPr>
                <w:rFonts w:ascii="Times New Roman" w:hAnsi="Times New Roman" w:cs="Times New Roman"/>
                <w:sz w:val="16"/>
                <w:szCs w:val="16"/>
                <w:lang w:val="ro-MD"/>
              </w:rPr>
              <w:t xml:space="preserve"> cu zece salari</w:t>
            </w:r>
            <w:r w:rsidR="008D7930" w:rsidRPr="003836D9">
              <w:rPr>
                <w:rFonts w:ascii="Times New Roman" w:hAnsi="Times New Roman" w:cs="Times New Roman"/>
                <w:sz w:val="16"/>
                <w:szCs w:val="16"/>
                <w:lang w:val="ro-MD"/>
              </w:rPr>
              <w:t>i</w:t>
            </w:r>
            <w:r w:rsidRPr="003836D9">
              <w:rPr>
                <w:rFonts w:ascii="Times New Roman" w:hAnsi="Times New Roman" w:cs="Times New Roman"/>
                <w:sz w:val="16"/>
                <w:szCs w:val="16"/>
                <w:lang w:val="ro-MD"/>
              </w:rPr>
              <w:t xml:space="preserve"> medi</w:t>
            </w:r>
            <w:r w:rsidR="008D7930" w:rsidRPr="003836D9">
              <w:rPr>
                <w:rFonts w:ascii="Times New Roman" w:hAnsi="Times New Roman" w:cs="Times New Roman"/>
                <w:sz w:val="16"/>
                <w:szCs w:val="16"/>
                <w:lang w:val="ro-MD"/>
              </w:rPr>
              <w:t>i</w:t>
            </w:r>
            <w:r w:rsidRPr="003836D9">
              <w:rPr>
                <w:rFonts w:ascii="Times New Roman" w:hAnsi="Times New Roman" w:cs="Times New Roman"/>
                <w:sz w:val="16"/>
                <w:szCs w:val="16"/>
                <w:lang w:val="ro-MD"/>
              </w:rPr>
              <w:t xml:space="preserve"> </w:t>
            </w:r>
            <w:r w:rsidR="008D7930" w:rsidRPr="003836D9">
              <w:rPr>
                <w:rFonts w:ascii="Times New Roman" w:hAnsi="Times New Roman" w:cs="Times New Roman"/>
                <w:sz w:val="16"/>
                <w:szCs w:val="16"/>
                <w:lang w:val="ro-MD"/>
              </w:rPr>
              <w:t>pe</w:t>
            </w:r>
            <w:r w:rsidR="00BF3A7A" w:rsidRPr="003836D9">
              <w:rPr>
                <w:rFonts w:ascii="Times New Roman" w:hAnsi="Times New Roman" w:cs="Times New Roman"/>
                <w:sz w:val="16"/>
                <w:szCs w:val="16"/>
                <w:lang w:val="ro-MD"/>
              </w:rPr>
              <w:t>ntru</w:t>
            </w:r>
            <w:r w:rsidR="008D7930" w:rsidRPr="003836D9">
              <w:rPr>
                <w:rFonts w:ascii="Times New Roman" w:hAnsi="Times New Roman" w:cs="Times New Roman"/>
                <w:sz w:val="16"/>
                <w:szCs w:val="16"/>
                <w:lang w:val="ro-MD"/>
              </w:rPr>
              <w:t xml:space="preserve"> </w:t>
            </w:r>
            <w:r w:rsidRPr="003836D9">
              <w:rPr>
                <w:rFonts w:ascii="Times New Roman" w:hAnsi="Times New Roman" w:cs="Times New Roman"/>
                <w:sz w:val="16"/>
                <w:szCs w:val="16"/>
                <w:lang w:val="ro-MD"/>
              </w:rPr>
              <w:t>anul precedent)</w:t>
            </w:r>
            <w:r w:rsidR="00BF3A7A" w:rsidRPr="003836D9">
              <w:rPr>
                <w:rFonts w:ascii="Times New Roman" w:hAnsi="Times New Roman" w:cs="Times New Roman"/>
                <w:sz w:val="16"/>
                <w:szCs w:val="16"/>
                <w:lang w:val="ro-MD"/>
              </w:rPr>
              <w:t xml:space="preserve">, </w:t>
            </w:r>
            <w:r w:rsidR="008D7930" w:rsidRPr="003836D9">
              <w:rPr>
                <w:rFonts w:ascii="Times New Roman" w:hAnsi="Times New Roman" w:cs="Times New Roman"/>
                <w:sz w:val="16"/>
                <w:szCs w:val="16"/>
                <w:lang w:val="ro-MD"/>
              </w:rPr>
              <w:t>condiționând</w:t>
            </w:r>
            <w:r w:rsidRPr="003836D9">
              <w:rPr>
                <w:rFonts w:ascii="Times New Roman" w:hAnsi="Times New Roman" w:cs="Times New Roman"/>
                <w:sz w:val="16"/>
                <w:szCs w:val="16"/>
                <w:lang w:val="ro-MD"/>
              </w:rPr>
              <w:t xml:space="preserve"> </w:t>
            </w:r>
            <w:r w:rsidR="00BF3A7A" w:rsidRPr="003836D9">
              <w:rPr>
                <w:rFonts w:ascii="Times New Roman" w:hAnsi="Times New Roman" w:cs="Times New Roman"/>
                <w:sz w:val="16"/>
                <w:szCs w:val="16"/>
                <w:lang w:val="ro-MD"/>
              </w:rPr>
              <w:t xml:space="preserve">ca </w:t>
            </w:r>
            <w:r w:rsidR="008D7930" w:rsidRPr="003836D9">
              <w:rPr>
                <w:rFonts w:ascii="Times New Roman" w:hAnsi="Times New Roman" w:cs="Times New Roman"/>
                <w:sz w:val="16"/>
                <w:szCs w:val="16"/>
                <w:lang w:val="ro-MD"/>
              </w:rPr>
              <w:t>afacerea</w:t>
            </w:r>
            <w:r w:rsidRPr="003836D9">
              <w:rPr>
                <w:rFonts w:ascii="Times New Roman" w:hAnsi="Times New Roman" w:cs="Times New Roman"/>
                <w:sz w:val="16"/>
                <w:szCs w:val="16"/>
                <w:lang w:val="ro-MD"/>
              </w:rPr>
              <w:t xml:space="preserve"> </w:t>
            </w:r>
            <w:r w:rsidR="008D7930" w:rsidRPr="003836D9">
              <w:rPr>
                <w:rFonts w:ascii="Times New Roman" w:hAnsi="Times New Roman" w:cs="Times New Roman"/>
                <w:sz w:val="16"/>
                <w:szCs w:val="16"/>
                <w:lang w:val="ro-MD"/>
              </w:rPr>
              <w:t xml:space="preserve">inițiată </w:t>
            </w:r>
            <w:r w:rsidRPr="003836D9">
              <w:rPr>
                <w:rFonts w:ascii="Times New Roman" w:hAnsi="Times New Roman" w:cs="Times New Roman"/>
                <w:sz w:val="16"/>
                <w:szCs w:val="16"/>
                <w:lang w:val="ro-MD"/>
              </w:rPr>
              <w:t>să rămână operațională timp de cel puțin trei ani</w:t>
            </w:r>
            <w:r w:rsidR="001D3D57" w:rsidRPr="003836D9">
              <w:rPr>
                <w:rFonts w:ascii="Times New Roman" w:hAnsi="Times New Roman" w:cs="Times New Roman"/>
                <w:sz w:val="16"/>
                <w:szCs w:val="16"/>
                <w:lang w:val="ro-MD"/>
              </w:rPr>
              <w:t>.</w:t>
            </w:r>
          </w:p>
          <w:p w14:paraId="4B56E843" w14:textId="794090F0" w:rsidR="00824AF1" w:rsidRPr="003836D9" w:rsidRDefault="00D74D98" w:rsidP="001D3D57">
            <w:pPr>
              <w:spacing w:after="120"/>
              <w:jc w:val="both"/>
              <w:rPr>
                <w:rFonts w:ascii="Times New Roman" w:hAnsi="Times New Roman" w:cs="Times New Roman"/>
                <w:sz w:val="16"/>
                <w:szCs w:val="16"/>
                <w:lang w:val="ro-MD"/>
              </w:rPr>
            </w:pPr>
            <w:r w:rsidRPr="003836D9">
              <w:rPr>
                <w:rFonts w:ascii="Times New Roman" w:hAnsi="Times New Roman" w:cs="Times New Roman"/>
                <w:b/>
                <w:bCs/>
                <w:sz w:val="16"/>
                <w:szCs w:val="16"/>
                <w:lang w:val="ro-MD"/>
              </w:rPr>
              <w:t>Proiecte de inițiativă locală</w:t>
            </w:r>
            <w:r w:rsidR="00C82A4C" w:rsidRPr="003836D9">
              <w:rPr>
                <w:rFonts w:ascii="Times New Roman" w:hAnsi="Times New Roman" w:cs="Times New Roman"/>
                <w:b/>
                <w:bCs/>
                <w:sz w:val="16"/>
                <w:szCs w:val="16"/>
                <w:lang w:val="ro-MD"/>
              </w:rPr>
              <w:t>:</w:t>
            </w:r>
            <w:r w:rsidR="001D3D57" w:rsidRPr="003836D9">
              <w:rPr>
                <w:rFonts w:ascii="Times New Roman" w:hAnsi="Times New Roman" w:cs="Times New Roman"/>
                <w:b/>
                <w:bCs/>
                <w:sz w:val="16"/>
                <w:szCs w:val="16"/>
                <w:lang w:val="ro-MD"/>
              </w:rPr>
              <w:t xml:space="preserve"> </w:t>
            </w:r>
            <w:r w:rsidR="00E053C7" w:rsidRPr="003836D9">
              <w:rPr>
                <w:rFonts w:ascii="Times New Roman" w:hAnsi="Times New Roman" w:cs="Times New Roman"/>
                <w:sz w:val="16"/>
                <w:szCs w:val="16"/>
                <w:lang w:val="ro-MD"/>
              </w:rPr>
              <w:t xml:space="preserve">Aceste scheme oferă întreprinderilor solicitante și antreprenorilor un grant pentru a acoperi o parte din costurile </w:t>
            </w:r>
            <w:r w:rsidRPr="003836D9">
              <w:rPr>
                <w:rFonts w:ascii="Times New Roman" w:hAnsi="Times New Roman" w:cs="Times New Roman"/>
                <w:sz w:val="16"/>
                <w:szCs w:val="16"/>
                <w:lang w:val="ro-MD"/>
              </w:rPr>
              <w:t xml:space="preserve">de </w:t>
            </w:r>
            <w:r w:rsidR="00E053C7" w:rsidRPr="003836D9">
              <w:rPr>
                <w:rFonts w:ascii="Times New Roman" w:hAnsi="Times New Roman" w:cs="Times New Roman"/>
                <w:sz w:val="16"/>
                <w:szCs w:val="16"/>
                <w:lang w:val="ro-MD"/>
              </w:rPr>
              <w:t>extinder</w:t>
            </w:r>
            <w:r w:rsidRPr="003836D9">
              <w:rPr>
                <w:rFonts w:ascii="Times New Roman" w:hAnsi="Times New Roman" w:cs="Times New Roman"/>
                <w:sz w:val="16"/>
                <w:szCs w:val="16"/>
                <w:lang w:val="ro-MD"/>
              </w:rPr>
              <w:t>e</w:t>
            </w:r>
            <w:r w:rsidR="00E053C7" w:rsidRPr="003836D9">
              <w:rPr>
                <w:rFonts w:ascii="Times New Roman" w:hAnsi="Times New Roman" w:cs="Times New Roman"/>
                <w:sz w:val="16"/>
                <w:szCs w:val="16"/>
                <w:lang w:val="ro-MD"/>
              </w:rPr>
              <w:t xml:space="preserve"> a afacerii lor, cu condiția ca această extindere să creeze cel puțin un nou loc de muncă pentru un șomer înregistrat. Angajatorii au dreptul </w:t>
            </w:r>
            <w:r w:rsidRPr="003836D9">
              <w:rPr>
                <w:rFonts w:ascii="Times New Roman" w:hAnsi="Times New Roman" w:cs="Times New Roman"/>
                <w:sz w:val="16"/>
                <w:szCs w:val="16"/>
                <w:lang w:val="ro-MD"/>
              </w:rPr>
              <w:t>să primească</w:t>
            </w:r>
            <w:r w:rsidR="00E053C7" w:rsidRPr="003836D9">
              <w:rPr>
                <w:rFonts w:ascii="Times New Roman" w:hAnsi="Times New Roman" w:cs="Times New Roman"/>
                <w:sz w:val="16"/>
                <w:szCs w:val="16"/>
                <w:lang w:val="ro-MD"/>
              </w:rPr>
              <w:t xml:space="preserve"> un grant egal cu 65% din costurile estimate în planul de extindere a afacerii (dar nu mai mult de 10 salarii medii</w:t>
            </w:r>
            <w:r w:rsidR="001D3D57" w:rsidRPr="003836D9">
              <w:rPr>
                <w:rFonts w:ascii="Times New Roman" w:hAnsi="Times New Roman" w:cs="Times New Roman"/>
                <w:sz w:val="16"/>
                <w:szCs w:val="16"/>
                <w:lang w:val="ro-MD"/>
              </w:rPr>
              <w:t xml:space="preserve">). </w:t>
            </w:r>
          </w:p>
          <w:p w14:paraId="093128D5" w14:textId="77A2954E" w:rsidR="003259BC" w:rsidRPr="003836D9" w:rsidRDefault="00D74D98" w:rsidP="001D3D57">
            <w:pPr>
              <w:spacing w:after="120"/>
              <w:jc w:val="both"/>
              <w:rPr>
                <w:rFonts w:ascii="Times New Roman" w:hAnsi="Times New Roman" w:cs="Times New Roman"/>
                <w:sz w:val="16"/>
                <w:szCs w:val="16"/>
                <w:lang w:val="ro-MD"/>
              </w:rPr>
            </w:pPr>
            <w:r w:rsidRPr="003836D9">
              <w:rPr>
                <w:rFonts w:ascii="Times New Roman" w:hAnsi="Times New Roman" w:cs="Times New Roman"/>
                <w:b/>
                <w:bCs/>
                <w:sz w:val="16"/>
                <w:szCs w:val="16"/>
                <w:lang w:val="ro-MD"/>
              </w:rPr>
              <w:t xml:space="preserve">Stimulentele </w:t>
            </w:r>
            <w:r w:rsidR="0014664F" w:rsidRPr="003836D9">
              <w:rPr>
                <w:rFonts w:ascii="Times New Roman" w:hAnsi="Times New Roman" w:cs="Times New Roman"/>
                <w:b/>
                <w:bCs/>
                <w:sz w:val="16"/>
                <w:szCs w:val="16"/>
                <w:lang w:val="ro-MD"/>
              </w:rPr>
              <w:t>pentru</w:t>
            </w:r>
            <w:r w:rsidRPr="003836D9">
              <w:rPr>
                <w:rFonts w:ascii="Times New Roman" w:hAnsi="Times New Roman" w:cs="Times New Roman"/>
                <w:b/>
                <w:bCs/>
                <w:sz w:val="16"/>
                <w:szCs w:val="16"/>
                <w:lang w:val="ro-MD"/>
              </w:rPr>
              <w:t xml:space="preserve"> mobilitate</w:t>
            </w:r>
            <w:r w:rsidR="00E053C7" w:rsidRPr="003836D9">
              <w:rPr>
                <w:rFonts w:ascii="Times New Roman" w:hAnsi="Times New Roman" w:cs="Times New Roman"/>
                <w:b/>
                <w:bCs/>
                <w:sz w:val="16"/>
                <w:szCs w:val="16"/>
                <w:lang w:val="ro-MD"/>
              </w:rPr>
              <w:t xml:space="preserve"> </w:t>
            </w:r>
            <w:r w:rsidR="00E053C7" w:rsidRPr="003836D9">
              <w:rPr>
                <w:rFonts w:ascii="Times New Roman" w:hAnsi="Times New Roman" w:cs="Times New Roman"/>
                <w:sz w:val="16"/>
                <w:szCs w:val="16"/>
                <w:lang w:val="ro-MD"/>
              </w:rPr>
              <w:t xml:space="preserve">sunt disponibile </w:t>
            </w:r>
            <w:r w:rsidRPr="003836D9">
              <w:rPr>
                <w:rFonts w:ascii="Times New Roman" w:hAnsi="Times New Roman" w:cs="Times New Roman"/>
                <w:sz w:val="16"/>
                <w:szCs w:val="16"/>
                <w:lang w:val="ro-MD"/>
              </w:rPr>
              <w:t xml:space="preserve">pentru </w:t>
            </w:r>
            <w:r w:rsidR="00E053C7" w:rsidRPr="003836D9">
              <w:rPr>
                <w:rFonts w:ascii="Times New Roman" w:hAnsi="Times New Roman" w:cs="Times New Roman"/>
                <w:sz w:val="16"/>
                <w:szCs w:val="16"/>
                <w:lang w:val="ro-MD"/>
              </w:rPr>
              <w:t>șomeri</w:t>
            </w:r>
            <w:r w:rsidRPr="003836D9">
              <w:rPr>
                <w:rFonts w:ascii="Times New Roman" w:hAnsi="Times New Roman" w:cs="Times New Roman"/>
                <w:sz w:val="16"/>
                <w:szCs w:val="16"/>
                <w:lang w:val="ro-MD"/>
              </w:rPr>
              <w:t>i</w:t>
            </w:r>
            <w:r w:rsidR="00E053C7" w:rsidRPr="003836D9">
              <w:rPr>
                <w:rFonts w:ascii="Times New Roman" w:hAnsi="Times New Roman" w:cs="Times New Roman"/>
                <w:sz w:val="16"/>
                <w:szCs w:val="16"/>
                <w:lang w:val="ro-MD"/>
              </w:rPr>
              <w:t xml:space="preserve"> care acceptă oferte de muncă în afara locului de reședință (o subvenție egală cu un salariu mediu pentru munca situată la treizeci de kilometri distanță de casă sau trei salarii medii pentru lucrătorii care acceptă să</w:t>
            </w:r>
            <w:r w:rsidRPr="003836D9">
              <w:rPr>
                <w:rFonts w:ascii="Times New Roman" w:hAnsi="Times New Roman" w:cs="Times New Roman"/>
                <w:sz w:val="16"/>
                <w:szCs w:val="16"/>
                <w:lang w:val="ro-MD"/>
              </w:rPr>
              <w:t xml:space="preserve">-și schimbe reședința </w:t>
            </w:r>
            <w:r w:rsidR="00F071F2" w:rsidRPr="003836D9">
              <w:rPr>
                <w:rFonts w:ascii="Times New Roman" w:hAnsi="Times New Roman" w:cs="Times New Roman"/>
                <w:sz w:val="16"/>
                <w:szCs w:val="16"/>
                <w:lang w:val="ro-MD"/>
              </w:rPr>
              <w:t xml:space="preserve">în vederea obținerii unui </w:t>
            </w:r>
            <w:r w:rsidR="00E053C7" w:rsidRPr="003836D9">
              <w:rPr>
                <w:rFonts w:ascii="Times New Roman" w:hAnsi="Times New Roman" w:cs="Times New Roman"/>
                <w:sz w:val="16"/>
                <w:szCs w:val="16"/>
                <w:lang w:val="ro-MD"/>
              </w:rPr>
              <w:t>loc</w:t>
            </w:r>
            <w:r w:rsidR="00F071F2" w:rsidRPr="003836D9">
              <w:rPr>
                <w:rFonts w:ascii="Times New Roman" w:hAnsi="Times New Roman" w:cs="Times New Roman"/>
                <w:sz w:val="16"/>
                <w:szCs w:val="16"/>
                <w:lang w:val="ro-MD"/>
              </w:rPr>
              <w:t xml:space="preserve"> </w:t>
            </w:r>
            <w:r w:rsidR="00E053C7" w:rsidRPr="003836D9">
              <w:rPr>
                <w:rFonts w:ascii="Times New Roman" w:hAnsi="Times New Roman" w:cs="Times New Roman"/>
                <w:sz w:val="16"/>
                <w:szCs w:val="16"/>
                <w:lang w:val="ro-MD"/>
              </w:rPr>
              <w:t>de muncă</w:t>
            </w:r>
            <w:r w:rsidR="003259BC" w:rsidRPr="003836D9">
              <w:rPr>
                <w:rFonts w:ascii="Times New Roman" w:hAnsi="Times New Roman" w:cs="Times New Roman"/>
                <w:sz w:val="16"/>
                <w:szCs w:val="16"/>
                <w:lang w:val="ro-MD"/>
              </w:rPr>
              <w:t>).</w:t>
            </w:r>
          </w:p>
          <w:p w14:paraId="436FB379" w14:textId="6E02B9B2" w:rsidR="00824AF1" w:rsidRPr="003836D9" w:rsidRDefault="00E053C7" w:rsidP="001D3D57">
            <w:pPr>
              <w:spacing w:after="120"/>
              <w:jc w:val="both"/>
              <w:rPr>
                <w:rFonts w:ascii="Times New Roman" w:hAnsi="Times New Roman" w:cs="Times New Roman"/>
                <w:sz w:val="16"/>
                <w:szCs w:val="16"/>
                <w:lang w:val="ro-MD"/>
              </w:rPr>
            </w:pPr>
            <w:r w:rsidRPr="003836D9">
              <w:rPr>
                <w:rFonts w:ascii="Times New Roman" w:hAnsi="Times New Roman" w:cs="Times New Roman"/>
                <w:i/>
                <w:iCs/>
                <w:sz w:val="16"/>
                <w:szCs w:val="16"/>
                <w:lang w:val="ro-MD"/>
              </w:rPr>
              <w:t>Sursa</w:t>
            </w:r>
            <w:r w:rsidR="00824AF1" w:rsidRPr="00BB681A">
              <w:rPr>
                <w:rFonts w:ascii="Times New Roman" w:hAnsi="Times New Roman" w:cs="Times New Roman"/>
                <w:i/>
                <w:iCs/>
                <w:sz w:val="16"/>
                <w:szCs w:val="16"/>
                <w:lang w:val="ro-MD"/>
              </w:rPr>
              <w:t>:</w:t>
            </w:r>
            <w:r w:rsidR="00824AF1" w:rsidRPr="00B87550">
              <w:rPr>
                <w:rFonts w:ascii="Times New Roman" w:hAnsi="Times New Roman" w:cs="Times New Roman"/>
                <w:i/>
                <w:iCs/>
                <w:sz w:val="16"/>
                <w:szCs w:val="16"/>
                <w:lang w:val="ro-MD"/>
              </w:rPr>
              <w:t xml:space="preserve"> </w:t>
            </w:r>
            <w:r w:rsidRPr="00B87550">
              <w:rPr>
                <w:rFonts w:ascii="Times New Roman" w:hAnsi="Times New Roman" w:cs="Times New Roman"/>
                <w:i/>
                <w:iCs/>
                <w:sz w:val="16"/>
                <w:szCs w:val="16"/>
                <w:lang w:val="ro-MD"/>
              </w:rPr>
              <w:t>Legea</w:t>
            </w:r>
            <w:r w:rsidR="008548FE" w:rsidRPr="00B87550">
              <w:rPr>
                <w:rFonts w:ascii="Times New Roman" w:hAnsi="Times New Roman" w:cs="Times New Roman"/>
                <w:i/>
                <w:iCs/>
                <w:sz w:val="16"/>
                <w:szCs w:val="16"/>
                <w:lang w:val="ro-MD"/>
              </w:rPr>
              <w:t xml:space="preserve"> </w:t>
            </w:r>
            <w:r w:rsidR="00A14A18">
              <w:rPr>
                <w:rFonts w:ascii="Times New Roman" w:hAnsi="Times New Roman" w:cs="Times New Roman"/>
                <w:i/>
                <w:iCs/>
                <w:sz w:val="16"/>
                <w:szCs w:val="16"/>
                <w:lang w:val="ro-MD"/>
              </w:rPr>
              <w:t>n</w:t>
            </w:r>
            <w:r w:rsidR="008548FE" w:rsidRPr="00B87550">
              <w:rPr>
                <w:rFonts w:ascii="Times New Roman" w:hAnsi="Times New Roman" w:cs="Times New Roman"/>
                <w:i/>
                <w:iCs/>
                <w:sz w:val="16"/>
                <w:szCs w:val="16"/>
                <w:lang w:val="ro-MD"/>
              </w:rPr>
              <w:t>r. 105</w:t>
            </w:r>
            <w:r w:rsidR="00BB681A" w:rsidRPr="00B87550">
              <w:rPr>
                <w:rFonts w:ascii="Times New Roman" w:hAnsi="Times New Roman" w:cs="Times New Roman"/>
                <w:i/>
                <w:iCs/>
                <w:sz w:val="16"/>
                <w:szCs w:val="16"/>
                <w:lang w:val="ro-MD"/>
              </w:rPr>
              <w:t>/2018</w:t>
            </w:r>
            <w:r w:rsidRPr="00B87550">
              <w:rPr>
                <w:rFonts w:ascii="Times New Roman" w:hAnsi="Times New Roman" w:cs="Times New Roman"/>
                <w:i/>
                <w:iCs/>
                <w:sz w:val="16"/>
                <w:szCs w:val="16"/>
                <w:lang w:val="ro-MD"/>
              </w:rPr>
              <w:t xml:space="preserve"> </w:t>
            </w:r>
            <w:r w:rsidR="008548FE" w:rsidRPr="00B87550">
              <w:rPr>
                <w:rFonts w:ascii="Times New Roman" w:hAnsi="Times New Roman" w:cs="Times New Roman"/>
                <w:i/>
                <w:iCs/>
                <w:sz w:val="16"/>
                <w:szCs w:val="16"/>
                <w:lang w:val="ro-MD"/>
              </w:rPr>
              <w:t>cu privire la promovarea ocupării forţei de muncă și asigurarea de șomaj</w:t>
            </w:r>
          </w:p>
        </w:tc>
      </w:tr>
    </w:tbl>
    <w:p w14:paraId="5648691A" w14:textId="77777777" w:rsidR="00231802" w:rsidRDefault="00231802" w:rsidP="004F5C11">
      <w:pPr>
        <w:pStyle w:val="Heading3"/>
        <w:spacing w:after="160"/>
        <w:jc w:val="center"/>
        <w:rPr>
          <w:rFonts w:ascii="Times New Roman" w:hAnsi="Times New Roman" w:cs="Times New Roman"/>
          <w:b/>
          <w:i/>
          <w:color w:val="auto"/>
          <w:lang w:val="ro-MD"/>
        </w:rPr>
      </w:pPr>
      <w:bookmarkStart w:id="74" w:name="_Toc72745854"/>
      <w:bookmarkStart w:id="75" w:name="_Toc97709295"/>
    </w:p>
    <w:p w14:paraId="12CE8460" w14:textId="5D57D5EA" w:rsidR="00CF6197" w:rsidRPr="003836D9" w:rsidRDefault="00ED5E0C" w:rsidP="004F5C11">
      <w:pPr>
        <w:pStyle w:val="Heading3"/>
        <w:spacing w:after="160"/>
        <w:jc w:val="center"/>
        <w:rPr>
          <w:rFonts w:ascii="Times New Roman" w:hAnsi="Times New Roman" w:cs="Times New Roman"/>
          <w:b/>
          <w:i/>
          <w:color w:val="auto"/>
          <w:lang w:val="ro-MD"/>
        </w:rPr>
      </w:pPr>
      <w:r w:rsidRPr="003836D9">
        <w:rPr>
          <w:rFonts w:ascii="Times New Roman" w:hAnsi="Times New Roman" w:cs="Times New Roman"/>
          <w:b/>
          <w:i/>
          <w:color w:val="auto"/>
          <w:lang w:val="ro-MD"/>
        </w:rPr>
        <w:t>Politici pasive ale pieței muncii</w:t>
      </w:r>
      <w:bookmarkEnd w:id="74"/>
      <w:bookmarkEnd w:id="75"/>
    </w:p>
    <w:p w14:paraId="17B9215B" w14:textId="20BD1C4A" w:rsidR="00CF6197" w:rsidRPr="003836D9" w:rsidRDefault="006453C2" w:rsidP="00A1413C">
      <w:pPr>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Sistemul de protecție socială din Republica Moldova constă din mai multe scheme, dintre care cel</w:t>
      </w:r>
      <w:r w:rsidR="00340095"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 xml:space="preserve">mai important </w:t>
      </w:r>
      <w:r w:rsidR="00340095" w:rsidRPr="003836D9">
        <w:rPr>
          <w:rFonts w:ascii="Times New Roman" w:hAnsi="Times New Roman" w:cs="Times New Roman"/>
          <w:sz w:val="24"/>
          <w:szCs w:val="24"/>
          <w:lang w:val="ro-MD"/>
        </w:rPr>
        <w:t>este</w:t>
      </w:r>
      <w:r w:rsidRPr="003836D9">
        <w:rPr>
          <w:rFonts w:ascii="Times New Roman" w:hAnsi="Times New Roman" w:cs="Times New Roman"/>
          <w:sz w:val="24"/>
          <w:szCs w:val="24"/>
          <w:lang w:val="ro-MD"/>
        </w:rPr>
        <w:t xml:space="preserve"> </w:t>
      </w:r>
      <w:r w:rsidR="00340095" w:rsidRPr="003836D9">
        <w:rPr>
          <w:rFonts w:ascii="Times New Roman" w:hAnsi="Times New Roman" w:cs="Times New Roman"/>
          <w:sz w:val="24"/>
          <w:szCs w:val="24"/>
          <w:lang w:val="ro-MD"/>
        </w:rPr>
        <w:t xml:space="preserve">programul de </w:t>
      </w:r>
      <w:r w:rsidR="005E4B2D" w:rsidRPr="003836D9">
        <w:rPr>
          <w:rFonts w:ascii="Times New Roman" w:hAnsi="Times New Roman" w:cs="Times New Roman"/>
          <w:sz w:val="24"/>
          <w:szCs w:val="24"/>
          <w:lang w:val="ro-MD"/>
        </w:rPr>
        <w:t>ajutor social (AS)</w:t>
      </w:r>
      <w:r w:rsidRPr="003836D9">
        <w:rPr>
          <w:rFonts w:ascii="Times New Roman" w:hAnsi="Times New Roman" w:cs="Times New Roman"/>
          <w:sz w:val="24"/>
          <w:szCs w:val="24"/>
          <w:lang w:val="ro-MD"/>
        </w:rPr>
        <w:t xml:space="preserve">, combinat cu </w:t>
      </w:r>
      <w:r w:rsidR="001E5440" w:rsidRPr="003836D9">
        <w:rPr>
          <w:rFonts w:ascii="Times New Roman" w:hAnsi="Times New Roman" w:cs="Times New Roman"/>
          <w:sz w:val="24"/>
          <w:szCs w:val="24"/>
          <w:lang w:val="ro-MD"/>
        </w:rPr>
        <w:t>suportul pentru perioada rece a anului</w:t>
      </w:r>
      <w:r w:rsidRPr="003836D9">
        <w:rPr>
          <w:rFonts w:ascii="Times New Roman" w:hAnsi="Times New Roman" w:cs="Times New Roman"/>
          <w:sz w:val="24"/>
          <w:szCs w:val="24"/>
          <w:lang w:val="ro-MD"/>
        </w:rPr>
        <w:t xml:space="preserve"> și </w:t>
      </w:r>
      <w:r w:rsidR="001E5440" w:rsidRPr="003836D9">
        <w:rPr>
          <w:rFonts w:ascii="Times New Roman" w:hAnsi="Times New Roman" w:cs="Times New Roman"/>
          <w:sz w:val="24"/>
          <w:szCs w:val="24"/>
          <w:lang w:val="ro-MD"/>
        </w:rPr>
        <w:t>ajutorul</w:t>
      </w:r>
      <w:r w:rsidRPr="003836D9">
        <w:rPr>
          <w:rFonts w:ascii="Times New Roman" w:hAnsi="Times New Roman" w:cs="Times New Roman"/>
          <w:sz w:val="24"/>
          <w:szCs w:val="24"/>
          <w:lang w:val="ro-MD"/>
        </w:rPr>
        <w:t xml:space="preserve"> de șomaj.</w:t>
      </w:r>
      <w:r w:rsidR="003955F1" w:rsidRPr="003836D9">
        <w:rPr>
          <w:rFonts w:ascii="Times New Roman" w:hAnsi="Times New Roman" w:cs="Times New Roman"/>
          <w:sz w:val="24"/>
          <w:szCs w:val="24"/>
          <w:lang w:val="ro-MD"/>
        </w:rPr>
        <w:t xml:space="preserve"> </w:t>
      </w:r>
    </w:p>
    <w:p w14:paraId="7B321E58" w14:textId="2283B342" w:rsidR="005D57AD" w:rsidRPr="003836D9" w:rsidRDefault="001E5440" w:rsidP="005E4B2D">
      <w:pPr>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Ajutorul</w:t>
      </w:r>
      <w:r w:rsidR="00C81858" w:rsidRPr="003836D9">
        <w:rPr>
          <w:rFonts w:ascii="Times New Roman" w:hAnsi="Times New Roman" w:cs="Times New Roman"/>
          <w:sz w:val="24"/>
          <w:szCs w:val="24"/>
          <w:lang w:val="ro-MD"/>
        </w:rPr>
        <w:t xml:space="preserve"> de șomaj se ridică la 50</w:t>
      </w:r>
      <w:r w:rsidR="00215224" w:rsidRPr="003836D9">
        <w:rPr>
          <w:rFonts w:ascii="Times New Roman" w:hAnsi="Times New Roman" w:cs="Times New Roman"/>
          <w:sz w:val="24"/>
          <w:szCs w:val="24"/>
          <w:lang w:val="ro-MD"/>
        </w:rPr>
        <w:t xml:space="preserve"> de</w:t>
      </w:r>
      <w:r w:rsidR="00C81858" w:rsidRPr="003836D9">
        <w:rPr>
          <w:rFonts w:ascii="Times New Roman" w:hAnsi="Times New Roman" w:cs="Times New Roman"/>
          <w:sz w:val="24"/>
          <w:szCs w:val="24"/>
          <w:lang w:val="ro-MD"/>
        </w:rPr>
        <w:t xml:space="preserve"> </w:t>
      </w:r>
      <w:r w:rsidR="00340095" w:rsidRPr="003836D9">
        <w:rPr>
          <w:rFonts w:ascii="Times New Roman" w:hAnsi="Times New Roman" w:cs="Times New Roman"/>
          <w:sz w:val="24"/>
          <w:szCs w:val="24"/>
          <w:lang w:val="ro-MD"/>
        </w:rPr>
        <w:t>procente</w:t>
      </w:r>
      <w:r w:rsidR="00C81858" w:rsidRPr="003836D9">
        <w:rPr>
          <w:rFonts w:ascii="Times New Roman" w:hAnsi="Times New Roman" w:cs="Times New Roman"/>
          <w:sz w:val="24"/>
          <w:szCs w:val="24"/>
          <w:lang w:val="ro-MD"/>
        </w:rPr>
        <w:t xml:space="preserve"> din salariul mediu al persoanei în ultimele 12 luni de angajare</w:t>
      </w:r>
      <w:r w:rsidR="00D453C7" w:rsidRPr="003836D9">
        <w:rPr>
          <w:rFonts w:ascii="Times New Roman" w:hAnsi="Times New Roman" w:cs="Times New Roman"/>
          <w:sz w:val="24"/>
          <w:szCs w:val="24"/>
          <w:lang w:val="ro-MD"/>
        </w:rPr>
        <w:t>,</w:t>
      </w:r>
      <w:r w:rsidR="00C81858" w:rsidRPr="003836D9">
        <w:rPr>
          <w:rFonts w:ascii="Times New Roman" w:hAnsi="Times New Roman" w:cs="Times New Roman"/>
          <w:sz w:val="24"/>
          <w:szCs w:val="24"/>
          <w:lang w:val="ro-MD"/>
        </w:rPr>
        <w:t xml:space="preserve"> dar nu mai </w:t>
      </w:r>
      <w:r w:rsidRPr="003836D9">
        <w:rPr>
          <w:rFonts w:ascii="Times New Roman" w:hAnsi="Times New Roman" w:cs="Times New Roman"/>
          <w:sz w:val="24"/>
          <w:szCs w:val="24"/>
          <w:lang w:val="ro-MD"/>
        </w:rPr>
        <w:t>mult</w:t>
      </w:r>
      <w:r w:rsidR="00C81858" w:rsidRPr="003836D9">
        <w:rPr>
          <w:rFonts w:ascii="Times New Roman" w:hAnsi="Times New Roman" w:cs="Times New Roman"/>
          <w:sz w:val="24"/>
          <w:szCs w:val="24"/>
          <w:lang w:val="ro-MD"/>
        </w:rPr>
        <w:t xml:space="preserve"> decât salariul </w:t>
      </w:r>
      <w:r w:rsidR="00215224" w:rsidRPr="003836D9">
        <w:rPr>
          <w:rFonts w:ascii="Times New Roman" w:hAnsi="Times New Roman" w:cs="Times New Roman"/>
          <w:sz w:val="24"/>
          <w:szCs w:val="24"/>
          <w:lang w:val="ro-MD"/>
        </w:rPr>
        <w:t>mediu lunar pe economie pentru anul precedent</w:t>
      </w:r>
      <w:r w:rsidR="00D453C7" w:rsidRPr="003836D9">
        <w:rPr>
          <w:rFonts w:ascii="Times New Roman" w:hAnsi="Times New Roman" w:cs="Times New Roman"/>
          <w:sz w:val="24"/>
          <w:szCs w:val="24"/>
          <w:lang w:val="ro-MD"/>
        </w:rPr>
        <w:t>,</w:t>
      </w:r>
      <w:r w:rsidR="00C81858" w:rsidRPr="003836D9">
        <w:rPr>
          <w:rFonts w:ascii="Times New Roman" w:hAnsi="Times New Roman" w:cs="Times New Roman"/>
          <w:sz w:val="24"/>
          <w:szCs w:val="24"/>
          <w:lang w:val="ro-MD"/>
        </w:rPr>
        <w:t xml:space="preserve"> dacă pierderea locului de muncă se datorează lichidării/închiderii întreprinderii și 40 procente în alte </w:t>
      </w:r>
      <w:r w:rsidR="00D453C7" w:rsidRPr="003836D9">
        <w:rPr>
          <w:rFonts w:ascii="Times New Roman" w:hAnsi="Times New Roman" w:cs="Times New Roman"/>
          <w:sz w:val="24"/>
          <w:szCs w:val="24"/>
          <w:lang w:val="ro-MD"/>
        </w:rPr>
        <w:t>circumstanțe</w:t>
      </w:r>
      <w:r w:rsidR="00C81858" w:rsidRPr="003836D9">
        <w:rPr>
          <w:rFonts w:ascii="Times New Roman" w:hAnsi="Times New Roman" w:cs="Times New Roman"/>
          <w:sz w:val="24"/>
          <w:szCs w:val="24"/>
          <w:lang w:val="ro-MD"/>
        </w:rPr>
        <w:t>. Indemnizația depinde de vechimea în muncă și variază de la cinci luni de plată (</w:t>
      </w:r>
      <w:r w:rsidR="00A03C84" w:rsidRPr="003836D9">
        <w:rPr>
          <w:rFonts w:ascii="Times New Roman" w:hAnsi="Times New Roman" w:cs="Times New Roman"/>
          <w:color w:val="333333"/>
          <w:sz w:val="24"/>
          <w:szCs w:val="24"/>
          <w:shd w:val="clear" w:color="auto" w:fill="FFFFFF"/>
          <w:lang w:val="ro-MD"/>
        </w:rPr>
        <w:t>în cazul unui stagiu de cotizare</w:t>
      </w:r>
      <w:r w:rsidR="00A03C84" w:rsidRPr="003836D9">
        <w:rPr>
          <w:rFonts w:ascii="Times New Roman" w:hAnsi="Times New Roman" w:cs="Times New Roman"/>
          <w:sz w:val="24"/>
          <w:szCs w:val="24"/>
          <w:lang w:val="ro-MD"/>
        </w:rPr>
        <w:t xml:space="preserve"> </w:t>
      </w:r>
      <w:r w:rsidR="00C81858" w:rsidRPr="003836D9">
        <w:rPr>
          <w:rFonts w:ascii="Times New Roman" w:hAnsi="Times New Roman" w:cs="Times New Roman"/>
          <w:sz w:val="24"/>
          <w:szCs w:val="24"/>
          <w:lang w:val="ro-MD"/>
        </w:rPr>
        <w:t xml:space="preserve">până la cinci luni) până la nouă luni pentru lucrătorii cu </w:t>
      </w:r>
      <w:r w:rsidR="00A03C84" w:rsidRPr="003836D9">
        <w:rPr>
          <w:rFonts w:ascii="Times New Roman" w:hAnsi="Times New Roman" w:cs="Times New Roman"/>
          <w:sz w:val="24"/>
          <w:szCs w:val="24"/>
          <w:lang w:val="ro-MD"/>
        </w:rPr>
        <w:t>un stagiu de cotizare</w:t>
      </w:r>
      <w:r w:rsidR="00C81858" w:rsidRPr="003836D9">
        <w:rPr>
          <w:rFonts w:ascii="Times New Roman" w:hAnsi="Times New Roman" w:cs="Times New Roman"/>
          <w:sz w:val="24"/>
          <w:szCs w:val="24"/>
          <w:lang w:val="ro-MD"/>
        </w:rPr>
        <w:t xml:space="preserve"> de 15 ani și peste. Până la sfârșitul anului 2019, aproximativ 11,3</w:t>
      </w:r>
      <w:r w:rsidR="00775D95" w:rsidRPr="003836D9">
        <w:rPr>
          <w:rFonts w:ascii="Times New Roman" w:hAnsi="Times New Roman" w:cs="Times New Roman"/>
          <w:sz w:val="24"/>
          <w:szCs w:val="24"/>
          <w:lang w:val="ro-MD"/>
        </w:rPr>
        <w:t xml:space="preserve"> procente</w:t>
      </w:r>
      <w:r w:rsidR="00C81858" w:rsidRPr="003836D9">
        <w:rPr>
          <w:rFonts w:ascii="Times New Roman" w:hAnsi="Times New Roman" w:cs="Times New Roman"/>
          <w:sz w:val="24"/>
          <w:szCs w:val="24"/>
          <w:lang w:val="ro-MD"/>
        </w:rPr>
        <w:t xml:space="preserve"> din totalul șomerilor înregistrați au primit ajutor de șomaj</w:t>
      </w:r>
      <w:r w:rsidR="002F6511" w:rsidRPr="003836D9">
        <w:rPr>
          <w:rFonts w:ascii="Times New Roman" w:hAnsi="Times New Roman" w:cs="Times New Roman"/>
          <w:sz w:val="24"/>
          <w:szCs w:val="24"/>
          <w:lang w:val="ro-MD"/>
        </w:rPr>
        <w:t>.</w:t>
      </w:r>
      <w:r w:rsidR="002F6511" w:rsidRPr="003836D9">
        <w:rPr>
          <w:rStyle w:val="FootnoteReference"/>
          <w:rFonts w:ascii="Times New Roman" w:hAnsi="Times New Roman" w:cs="Times New Roman"/>
          <w:sz w:val="24"/>
          <w:szCs w:val="24"/>
          <w:lang w:val="ro-MD"/>
        </w:rPr>
        <w:footnoteReference w:id="40"/>
      </w:r>
      <w:r w:rsidR="007822D2" w:rsidRPr="003836D9">
        <w:rPr>
          <w:rFonts w:ascii="Times New Roman" w:hAnsi="Times New Roman" w:cs="Times New Roman"/>
          <w:sz w:val="24"/>
          <w:szCs w:val="24"/>
          <w:lang w:val="ro-MD"/>
        </w:rPr>
        <w:t xml:space="preserve"> </w:t>
      </w:r>
      <w:r w:rsidR="00775D95" w:rsidRPr="003836D9">
        <w:rPr>
          <w:rFonts w:ascii="Times New Roman" w:hAnsi="Times New Roman" w:cs="Times New Roman"/>
          <w:sz w:val="24"/>
          <w:szCs w:val="24"/>
          <w:lang w:val="ro-MD"/>
        </w:rPr>
        <w:t xml:space="preserve">În perioada crizei </w:t>
      </w:r>
      <w:r w:rsidR="00DF67F3">
        <w:rPr>
          <w:rFonts w:ascii="Times New Roman" w:hAnsi="Times New Roman" w:cs="Times New Roman"/>
          <w:sz w:val="24"/>
          <w:szCs w:val="24"/>
          <w:lang w:val="ro-MD"/>
        </w:rPr>
        <w:t>COVID</w:t>
      </w:r>
      <w:r w:rsidR="00775D95" w:rsidRPr="003836D9">
        <w:rPr>
          <w:rFonts w:ascii="Times New Roman" w:hAnsi="Times New Roman" w:cs="Times New Roman"/>
          <w:sz w:val="24"/>
          <w:szCs w:val="24"/>
          <w:lang w:val="ro-MD"/>
        </w:rPr>
        <w:t xml:space="preserve">-19, criteriile de eligibilitate pentru accesarea ajutorului de șomaj au fost </w:t>
      </w:r>
      <w:r w:rsidR="00215224" w:rsidRPr="003836D9">
        <w:rPr>
          <w:rFonts w:ascii="Times New Roman" w:hAnsi="Times New Roman" w:cs="Times New Roman"/>
          <w:sz w:val="24"/>
          <w:szCs w:val="24"/>
          <w:lang w:val="ro-MD"/>
        </w:rPr>
        <w:t>simplificate</w:t>
      </w:r>
      <w:r w:rsidR="00775D95" w:rsidRPr="003836D9">
        <w:rPr>
          <w:rFonts w:ascii="Times New Roman" w:hAnsi="Times New Roman" w:cs="Times New Roman"/>
          <w:sz w:val="24"/>
          <w:szCs w:val="24"/>
          <w:lang w:val="ro-MD"/>
        </w:rPr>
        <w:t xml:space="preserve"> pentru a oferi s</w:t>
      </w:r>
      <w:r w:rsidR="00D453C7" w:rsidRPr="003836D9">
        <w:rPr>
          <w:rFonts w:ascii="Times New Roman" w:hAnsi="Times New Roman" w:cs="Times New Roman"/>
          <w:sz w:val="24"/>
          <w:szCs w:val="24"/>
          <w:lang w:val="ro-MD"/>
        </w:rPr>
        <w:t>uport</w:t>
      </w:r>
      <w:r w:rsidR="00775D95" w:rsidRPr="003836D9">
        <w:rPr>
          <w:rFonts w:ascii="Times New Roman" w:hAnsi="Times New Roman" w:cs="Times New Roman"/>
          <w:sz w:val="24"/>
          <w:szCs w:val="24"/>
          <w:lang w:val="ro-MD"/>
        </w:rPr>
        <w:t xml:space="preserve"> șomerilor fără asigur</w:t>
      </w:r>
      <w:r w:rsidR="00075E2E" w:rsidRPr="003836D9">
        <w:rPr>
          <w:rFonts w:ascii="Times New Roman" w:hAnsi="Times New Roman" w:cs="Times New Roman"/>
          <w:sz w:val="24"/>
          <w:szCs w:val="24"/>
          <w:lang w:val="ro-MD"/>
        </w:rPr>
        <w:t>a</w:t>
      </w:r>
      <w:r w:rsidR="00775D95" w:rsidRPr="003836D9">
        <w:rPr>
          <w:rFonts w:ascii="Times New Roman" w:hAnsi="Times New Roman" w:cs="Times New Roman"/>
          <w:sz w:val="24"/>
          <w:szCs w:val="24"/>
          <w:lang w:val="ro-MD"/>
        </w:rPr>
        <w:t xml:space="preserve">re socială. Ca urmare, numărul persoanelor care au primit ajutor de șomaj în 2020 a </w:t>
      </w:r>
      <w:r w:rsidR="00A03C84" w:rsidRPr="003836D9">
        <w:rPr>
          <w:rFonts w:ascii="Times New Roman" w:hAnsi="Times New Roman" w:cs="Times New Roman"/>
          <w:sz w:val="24"/>
          <w:szCs w:val="24"/>
          <w:lang w:val="ro-MD"/>
        </w:rPr>
        <w:t>numărat</w:t>
      </w:r>
      <w:r w:rsidR="00775D95" w:rsidRPr="003836D9">
        <w:rPr>
          <w:rFonts w:ascii="Times New Roman" w:hAnsi="Times New Roman" w:cs="Times New Roman"/>
          <w:sz w:val="24"/>
          <w:szCs w:val="24"/>
          <w:lang w:val="ro-MD"/>
        </w:rPr>
        <w:t xml:space="preserve"> peste 24.000 de persoane, dintre care 38,9 procente au </w:t>
      </w:r>
      <w:r w:rsidR="00A03C84" w:rsidRPr="003836D9">
        <w:rPr>
          <w:rFonts w:ascii="Times New Roman" w:hAnsi="Times New Roman" w:cs="Times New Roman"/>
          <w:sz w:val="24"/>
          <w:szCs w:val="24"/>
          <w:lang w:val="ro-MD"/>
        </w:rPr>
        <w:t xml:space="preserve">avut </w:t>
      </w:r>
      <w:r w:rsidR="00775D95" w:rsidRPr="003836D9">
        <w:rPr>
          <w:rFonts w:ascii="Times New Roman" w:hAnsi="Times New Roman" w:cs="Times New Roman"/>
          <w:sz w:val="24"/>
          <w:szCs w:val="24"/>
          <w:lang w:val="ro-MD"/>
        </w:rPr>
        <w:t xml:space="preserve">dreptul la </w:t>
      </w:r>
      <w:r w:rsidR="00A03C84" w:rsidRPr="003836D9">
        <w:rPr>
          <w:rFonts w:ascii="Times New Roman" w:hAnsi="Times New Roman" w:cs="Times New Roman"/>
          <w:sz w:val="24"/>
          <w:szCs w:val="24"/>
          <w:lang w:val="ro-MD"/>
        </w:rPr>
        <w:t>ajutor</w:t>
      </w:r>
      <w:r w:rsidR="00775D95" w:rsidRPr="003836D9">
        <w:rPr>
          <w:rFonts w:ascii="Times New Roman" w:hAnsi="Times New Roman" w:cs="Times New Roman"/>
          <w:sz w:val="24"/>
          <w:szCs w:val="24"/>
          <w:lang w:val="ro-MD"/>
        </w:rPr>
        <w:t xml:space="preserve"> standard de șomaj, iar restul de 61 procente beneficiind de </w:t>
      </w:r>
      <w:r w:rsidR="00A03C84" w:rsidRPr="003836D9">
        <w:rPr>
          <w:rFonts w:ascii="Times New Roman" w:hAnsi="Times New Roman" w:cs="Times New Roman"/>
          <w:sz w:val="24"/>
          <w:szCs w:val="24"/>
          <w:lang w:val="ro-MD"/>
        </w:rPr>
        <w:t>ajutor</w:t>
      </w:r>
      <w:r w:rsidR="00775D95" w:rsidRPr="003836D9">
        <w:rPr>
          <w:rFonts w:ascii="Times New Roman" w:hAnsi="Times New Roman" w:cs="Times New Roman"/>
          <w:sz w:val="24"/>
          <w:szCs w:val="24"/>
          <w:lang w:val="ro-MD"/>
        </w:rPr>
        <w:t xml:space="preserve"> de șomaj ad-hoc adoptat</w:t>
      </w:r>
      <w:r w:rsidR="00A03C84" w:rsidRPr="003836D9">
        <w:rPr>
          <w:rFonts w:ascii="Times New Roman" w:hAnsi="Times New Roman" w:cs="Times New Roman"/>
          <w:sz w:val="24"/>
          <w:szCs w:val="24"/>
          <w:lang w:val="ro-MD"/>
        </w:rPr>
        <w:t xml:space="preserve"> </w:t>
      </w:r>
      <w:r w:rsidR="00775D95" w:rsidRPr="003836D9">
        <w:rPr>
          <w:rFonts w:ascii="Times New Roman" w:hAnsi="Times New Roman" w:cs="Times New Roman"/>
          <w:sz w:val="24"/>
          <w:szCs w:val="24"/>
          <w:lang w:val="ro-MD"/>
        </w:rPr>
        <w:t xml:space="preserve">în perioada </w:t>
      </w:r>
      <w:r w:rsidR="00D453C7" w:rsidRPr="003836D9">
        <w:rPr>
          <w:rFonts w:ascii="Times New Roman" w:hAnsi="Times New Roman" w:cs="Times New Roman"/>
          <w:sz w:val="24"/>
          <w:szCs w:val="24"/>
          <w:lang w:val="ro-MD"/>
        </w:rPr>
        <w:t xml:space="preserve">stării </w:t>
      </w:r>
      <w:r w:rsidR="00775D95" w:rsidRPr="003836D9">
        <w:rPr>
          <w:rFonts w:ascii="Times New Roman" w:hAnsi="Times New Roman" w:cs="Times New Roman"/>
          <w:sz w:val="24"/>
          <w:szCs w:val="24"/>
          <w:lang w:val="ro-MD"/>
        </w:rPr>
        <w:t>de urgență (aproximativ 50 procente din totalul șomerilor înregistrați</w:t>
      </w:r>
      <w:r w:rsidR="00A24B81" w:rsidRPr="003836D9">
        <w:rPr>
          <w:rFonts w:ascii="Times New Roman" w:hAnsi="Times New Roman" w:cs="Times New Roman"/>
          <w:sz w:val="24"/>
          <w:szCs w:val="24"/>
          <w:lang w:val="ro-MD"/>
        </w:rPr>
        <w:t xml:space="preserve">). </w:t>
      </w:r>
    </w:p>
    <w:p w14:paraId="11155675" w14:textId="76C2EB62" w:rsidR="006F4B92" w:rsidRPr="003836D9" w:rsidRDefault="006743E1" w:rsidP="00A14A18">
      <w:pPr>
        <w:pStyle w:val="Heading3"/>
        <w:spacing w:before="0" w:after="160"/>
        <w:jc w:val="center"/>
        <w:rPr>
          <w:rFonts w:ascii="Times New Roman" w:hAnsi="Times New Roman" w:cs="Times New Roman"/>
          <w:b/>
          <w:i/>
          <w:color w:val="auto"/>
          <w:lang w:val="ro-MD"/>
        </w:rPr>
      </w:pPr>
      <w:bookmarkStart w:id="76" w:name="_Toc97709296"/>
      <w:r w:rsidRPr="003836D9">
        <w:rPr>
          <w:rFonts w:ascii="Times New Roman" w:hAnsi="Times New Roman" w:cs="Times New Roman"/>
          <w:b/>
          <w:i/>
          <w:color w:val="auto"/>
          <w:lang w:val="ro-MD"/>
        </w:rPr>
        <w:t>Dialog social</w:t>
      </w:r>
      <w:bookmarkEnd w:id="76"/>
    </w:p>
    <w:p w14:paraId="3EE5A166" w14:textId="124F7809" w:rsidR="00A7739A" w:rsidRDefault="006743E1" w:rsidP="00997363">
      <w:pPr>
        <w:jc w:val="both"/>
        <w:rPr>
          <w:rStyle w:val="jlqj4b"/>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Dialogul social în Moldova </w:t>
      </w:r>
      <w:r w:rsidR="00063715" w:rsidRPr="003836D9">
        <w:rPr>
          <w:rFonts w:ascii="Times New Roman" w:hAnsi="Times New Roman" w:cs="Times New Roman"/>
          <w:sz w:val="24"/>
          <w:szCs w:val="24"/>
          <w:lang w:val="ro-MD"/>
        </w:rPr>
        <w:t>este asigurat de</w:t>
      </w:r>
      <w:r w:rsidR="00D72410" w:rsidRPr="003836D9">
        <w:rPr>
          <w:rFonts w:ascii="Times New Roman" w:hAnsi="Times New Roman" w:cs="Times New Roman"/>
          <w:sz w:val="24"/>
          <w:szCs w:val="24"/>
          <w:lang w:val="ro-MD"/>
        </w:rPr>
        <w:t xml:space="preserve"> Comisi</w:t>
      </w:r>
      <w:r w:rsidR="00063715" w:rsidRPr="003836D9">
        <w:rPr>
          <w:rFonts w:ascii="Times New Roman" w:hAnsi="Times New Roman" w:cs="Times New Roman"/>
          <w:sz w:val="24"/>
          <w:szCs w:val="24"/>
          <w:lang w:val="ro-MD"/>
        </w:rPr>
        <w:t>a</w:t>
      </w:r>
      <w:r w:rsidR="00D72410" w:rsidRPr="003836D9">
        <w:rPr>
          <w:rFonts w:ascii="Times New Roman" w:hAnsi="Times New Roman" w:cs="Times New Roman"/>
          <w:sz w:val="24"/>
          <w:szCs w:val="24"/>
          <w:lang w:val="ro-MD"/>
        </w:rPr>
        <w:t xml:space="preserve"> Național</w:t>
      </w:r>
      <w:r w:rsidR="00063715" w:rsidRPr="003836D9">
        <w:rPr>
          <w:rFonts w:ascii="Times New Roman" w:hAnsi="Times New Roman" w:cs="Times New Roman"/>
          <w:sz w:val="24"/>
          <w:szCs w:val="24"/>
          <w:lang w:val="ro-MD"/>
        </w:rPr>
        <w:t>ă</w:t>
      </w:r>
      <w:r w:rsidR="00D72410" w:rsidRPr="003836D9">
        <w:rPr>
          <w:rFonts w:ascii="Times New Roman" w:hAnsi="Times New Roman" w:cs="Times New Roman"/>
          <w:sz w:val="24"/>
          <w:szCs w:val="24"/>
          <w:lang w:val="ro-MD"/>
        </w:rPr>
        <w:t xml:space="preserve"> pentru Consult</w:t>
      </w:r>
      <w:r w:rsidR="00063715" w:rsidRPr="003836D9">
        <w:rPr>
          <w:rFonts w:ascii="Times New Roman" w:hAnsi="Times New Roman" w:cs="Times New Roman"/>
          <w:sz w:val="24"/>
          <w:szCs w:val="24"/>
          <w:lang w:val="ro-MD"/>
        </w:rPr>
        <w:t>ări și Negocieri Colective</w:t>
      </w:r>
      <w:r w:rsidR="00D72410" w:rsidRPr="003836D9">
        <w:rPr>
          <w:rFonts w:ascii="Times New Roman" w:hAnsi="Times New Roman" w:cs="Times New Roman"/>
          <w:sz w:val="24"/>
          <w:szCs w:val="24"/>
          <w:lang w:val="ro-MD"/>
        </w:rPr>
        <w:t>, di</w:t>
      </w:r>
      <w:r w:rsidRPr="003836D9">
        <w:rPr>
          <w:rFonts w:ascii="Times New Roman" w:hAnsi="Times New Roman" w:cs="Times New Roman"/>
          <w:sz w:val="24"/>
          <w:szCs w:val="24"/>
          <w:lang w:val="ro-MD"/>
        </w:rPr>
        <w:t xml:space="preserve">ntre Guvern și partenerii sociali. Deși legislația în vigoare prevede ședințe lunare ale Comisiei, aceasta s-a întrunit doar sporadic de la înființare </w:t>
      </w:r>
      <w:r w:rsidR="00063715" w:rsidRPr="003836D9">
        <w:rPr>
          <w:rFonts w:ascii="Times New Roman" w:hAnsi="Times New Roman" w:cs="Times New Roman"/>
          <w:sz w:val="24"/>
          <w:szCs w:val="24"/>
          <w:lang w:val="ro-MD"/>
        </w:rPr>
        <w:t xml:space="preserve">(2016) </w:t>
      </w:r>
      <w:r w:rsidRPr="003836D9">
        <w:rPr>
          <w:rFonts w:ascii="Times New Roman" w:hAnsi="Times New Roman" w:cs="Times New Roman"/>
          <w:sz w:val="24"/>
          <w:szCs w:val="24"/>
          <w:lang w:val="ro-MD"/>
        </w:rPr>
        <w:t>și o singură dată în 2019</w:t>
      </w:r>
      <w:r w:rsidR="00A237CE" w:rsidRPr="003836D9">
        <w:rPr>
          <w:rStyle w:val="jlqj4b"/>
          <w:rFonts w:ascii="Times New Roman" w:hAnsi="Times New Roman" w:cs="Times New Roman"/>
          <w:sz w:val="24"/>
          <w:szCs w:val="24"/>
          <w:lang w:val="ro-MD"/>
        </w:rPr>
        <w:t>.</w:t>
      </w:r>
      <w:r w:rsidR="00A237CE" w:rsidRPr="003836D9">
        <w:rPr>
          <w:rStyle w:val="FootnoteReference"/>
          <w:rFonts w:ascii="Times New Roman" w:hAnsi="Times New Roman" w:cs="Times New Roman"/>
          <w:sz w:val="24"/>
          <w:szCs w:val="24"/>
          <w:lang w:val="ro-MD"/>
        </w:rPr>
        <w:footnoteReference w:id="41"/>
      </w:r>
      <w:r w:rsidR="00461EF4" w:rsidRPr="003836D9">
        <w:rPr>
          <w:rStyle w:val="jlqj4b"/>
          <w:rFonts w:ascii="Times New Roman" w:hAnsi="Times New Roman" w:cs="Times New Roman"/>
          <w:sz w:val="24"/>
          <w:szCs w:val="24"/>
          <w:lang w:val="ro-MD"/>
        </w:rPr>
        <w:t xml:space="preserve"> </w:t>
      </w:r>
      <w:proofErr w:type="spellStart"/>
      <w:r w:rsidR="00A971C2">
        <w:rPr>
          <w:rStyle w:val="jlqj4b"/>
          <w:rFonts w:ascii="Times New Roman" w:hAnsi="Times New Roman" w:cs="Times New Roman"/>
          <w:sz w:val="24"/>
          <w:szCs w:val="24"/>
          <w:lang w:val="ro-MO"/>
        </w:rPr>
        <w:t>Începînd</w:t>
      </w:r>
      <w:proofErr w:type="spellEnd"/>
      <w:r w:rsidR="00A971C2">
        <w:rPr>
          <w:rStyle w:val="jlqj4b"/>
          <w:rFonts w:ascii="Times New Roman" w:hAnsi="Times New Roman" w:cs="Times New Roman"/>
          <w:sz w:val="24"/>
          <w:szCs w:val="24"/>
          <w:lang w:val="ro-MO"/>
        </w:rPr>
        <w:t xml:space="preserve"> cu anul 2021 ședințele Comisiei au devenit mai frecvente și au loc lunar sau mai des, iar în anul 2022 partenerii sociali au semnat memorandumul de cooperare pentru combaterea și eliminarea muncii nedeclarate. </w:t>
      </w:r>
      <w:r w:rsidRPr="003836D9">
        <w:rPr>
          <w:rStyle w:val="jlqj4b"/>
          <w:rFonts w:ascii="Times New Roman" w:hAnsi="Times New Roman" w:cs="Times New Roman"/>
          <w:sz w:val="24"/>
          <w:szCs w:val="24"/>
          <w:lang w:val="ro-MD"/>
        </w:rPr>
        <w:t>În 2011, pe lângă Prim</w:t>
      </w:r>
      <w:r w:rsidR="00D72410" w:rsidRPr="003836D9">
        <w:rPr>
          <w:rStyle w:val="jlqj4b"/>
          <w:rFonts w:ascii="Times New Roman" w:hAnsi="Times New Roman" w:cs="Times New Roman"/>
          <w:sz w:val="24"/>
          <w:szCs w:val="24"/>
          <w:lang w:val="ro-MD"/>
        </w:rPr>
        <w:t xml:space="preserve">ul </w:t>
      </w:r>
      <w:r w:rsidRPr="003836D9">
        <w:rPr>
          <w:rStyle w:val="jlqj4b"/>
          <w:rFonts w:ascii="Times New Roman" w:hAnsi="Times New Roman" w:cs="Times New Roman"/>
          <w:sz w:val="24"/>
          <w:szCs w:val="24"/>
          <w:lang w:val="ro-MD"/>
        </w:rPr>
        <w:t>Ministru a fost înființat un Consiliu Economic, cu scopul de a facilita dialogul dintre Guvern și mediul de afaceri.</w:t>
      </w:r>
    </w:p>
    <w:p w14:paraId="631BB2E2" w14:textId="77777777" w:rsidR="008C4344" w:rsidRPr="003836D9" w:rsidRDefault="008C4344" w:rsidP="00997363">
      <w:pPr>
        <w:jc w:val="both"/>
        <w:rPr>
          <w:rStyle w:val="jlqj4b"/>
          <w:rFonts w:ascii="Times New Roman" w:hAnsi="Times New Roman" w:cs="Times New Roman"/>
          <w:sz w:val="24"/>
          <w:szCs w:val="24"/>
          <w:lang w:val="ro-MD"/>
        </w:rPr>
      </w:pPr>
    </w:p>
    <w:p w14:paraId="6B0C07F2" w14:textId="38AA6098" w:rsidR="003836D9" w:rsidRPr="003836D9" w:rsidRDefault="003836D9" w:rsidP="003836D9">
      <w:pPr>
        <w:jc w:val="center"/>
        <w:outlineLvl w:val="0"/>
        <w:rPr>
          <w:rFonts w:ascii="Times New Roman" w:hAnsi="Times New Roman" w:cs="Times New Roman"/>
          <w:b/>
          <w:lang w:val="ro-MD"/>
        </w:rPr>
      </w:pPr>
      <w:bookmarkStart w:id="77" w:name="_Toc40824023"/>
      <w:bookmarkStart w:id="78" w:name="_Toc40732472"/>
      <w:bookmarkStart w:id="79" w:name="_Toc40735417"/>
      <w:bookmarkStart w:id="80" w:name="_Toc39583048"/>
      <w:r w:rsidRPr="003836D9">
        <w:rPr>
          <w:rFonts w:ascii="Times New Roman" w:hAnsi="Times New Roman" w:cs="Times New Roman"/>
          <w:b/>
          <w:lang w:val="ro-MD"/>
        </w:rPr>
        <w:t>Politica de reglementare a migrației</w:t>
      </w:r>
      <w:r w:rsidR="008C4344">
        <w:rPr>
          <w:rFonts w:ascii="Times New Roman" w:hAnsi="Times New Roman" w:cs="Times New Roman"/>
          <w:b/>
          <w:lang w:val="ro-MD"/>
        </w:rPr>
        <w:t xml:space="preserve"> forței de muncă</w:t>
      </w:r>
    </w:p>
    <w:p w14:paraId="352A5DFE" w14:textId="2F7E7567" w:rsidR="003836D9" w:rsidRPr="008C4344" w:rsidRDefault="003836D9" w:rsidP="003836D9">
      <w:pPr>
        <w:jc w:val="both"/>
        <w:outlineLvl w:val="0"/>
        <w:rPr>
          <w:rFonts w:ascii="Times New Roman" w:hAnsi="Times New Roman" w:cs="Times New Roman"/>
          <w:bCs/>
          <w:sz w:val="24"/>
          <w:szCs w:val="24"/>
          <w:lang w:val="ro-MD"/>
        </w:rPr>
      </w:pPr>
      <w:r w:rsidRPr="008C4344">
        <w:rPr>
          <w:rFonts w:ascii="Times New Roman" w:hAnsi="Times New Roman" w:cs="Times New Roman"/>
          <w:bCs/>
          <w:sz w:val="24"/>
          <w:szCs w:val="24"/>
          <w:lang w:val="ro-MD"/>
        </w:rPr>
        <w:t xml:space="preserve">Republica Moldova participă la mai multe parteneriate regionale care au tangență cu domeniul dat, în special cu UE. Cadrul legal a fost modificat în perspectiva transpunerii mai multor directive comunitare în domeniu. De asemenea, a fost asigurată convergența categoriilor de lucrători străini menționați în partea economică a Acordului de Asociere (AA) față de care au fost asumate angajamente în materie de intrare pe piață. Totodată, au fost depuse anumite eforturi ce țin de simplificarea procedurii și  micșorarea numărului de acte prezentate pentru angajarea lucrătorilor străini (Tabelul </w:t>
      </w:r>
      <w:r w:rsidR="00D51AF5">
        <w:rPr>
          <w:rFonts w:ascii="Times New Roman" w:hAnsi="Times New Roman" w:cs="Times New Roman"/>
          <w:bCs/>
          <w:sz w:val="24"/>
          <w:szCs w:val="24"/>
          <w:lang w:val="ro-MD"/>
        </w:rPr>
        <w:t>9</w:t>
      </w:r>
      <w:r w:rsidRPr="008C4344">
        <w:rPr>
          <w:rFonts w:ascii="Times New Roman" w:hAnsi="Times New Roman" w:cs="Times New Roman"/>
          <w:bCs/>
          <w:sz w:val="24"/>
          <w:szCs w:val="24"/>
          <w:lang w:val="ro-MD"/>
        </w:rPr>
        <w:t>).</w:t>
      </w:r>
      <w:bookmarkEnd w:id="77"/>
    </w:p>
    <w:p w14:paraId="35649691" w14:textId="078133FA" w:rsidR="003836D9" w:rsidRPr="008C4344" w:rsidRDefault="003836D9" w:rsidP="003836D9">
      <w:pPr>
        <w:spacing w:after="0"/>
        <w:jc w:val="center"/>
        <w:outlineLvl w:val="0"/>
        <w:rPr>
          <w:rFonts w:ascii="Times New Roman" w:hAnsi="Times New Roman" w:cs="Times New Roman"/>
          <w:b/>
          <w:sz w:val="20"/>
          <w:szCs w:val="20"/>
          <w:lang w:val="ro-MD"/>
        </w:rPr>
      </w:pPr>
      <w:bookmarkStart w:id="81" w:name="_Toc40824024"/>
      <w:r w:rsidRPr="008C4344">
        <w:rPr>
          <w:rFonts w:ascii="Times New Roman" w:hAnsi="Times New Roman" w:cs="Times New Roman"/>
          <w:b/>
          <w:sz w:val="20"/>
          <w:szCs w:val="20"/>
          <w:lang w:val="ro-MD"/>
        </w:rPr>
        <w:t xml:space="preserve">Tabelul </w:t>
      </w:r>
      <w:r w:rsidR="002E4B91">
        <w:rPr>
          <w:rFonts w:ascii="Times New Roman" w:hAnsi="Times New Roman" w:cs="Times New Roman"/>
          <w:b/>
          <w:sz w:val="20"/>
          <w:szCs w:val="20"/>
          <w:lang w:val="ro-MD"/>
        </w:rPr>
        <w:t>9</w:t>
      </w:r>
      <w:r w:rsidR="00450795">
        <w:rPr>
          <w:rFonts w:ascii="Times New Roman" w:hAnsi="Times New Roman" w:cs="Times New Roman"/>
          <w:b/>
          <w:sz w:val="20"/>
          <w:szCs w:val="20"/>
          <w:lang w:val="ro-MD"/>
        </w:rPr>
        <w:t xml:space="preserve">. </w:t>
      </w:r>
      <w:r w:rsidRPr="008C4344">
        <w:rPr>
          <w:rFonts w:ascii="Times New Roman" w:hAnsi="Times New Roman" w:cs="Times New Roman"/>
          <w:b/>
          <w:sz w:val="20"/>
          <w:szCs w:val="20"/>
          <w:lang w:val="ro-MD"/>
        </w:rPr>
        <w:t>Cadrul legal privind migrația forței de muncă</w:t>
      </w:r>
      <w:bookmarkEnd w:id="81"/>
    </w:p>
    <w:p w14:paraId="0CE952B2" w14:textId="77777777" w:rsidR="008C4344" w:rsidRPr="008C4344" w:rsidRDefault="008C4344" w:rsidP="003836D9">
      <w:pPr>
        <w:spacing w:after="0"/>
        <w:jc w:val="center"/>
        <w:outlineLvl w:val="0"/>
        <w:rPr>
          <w:rFonts w:ascii="Times New Roman" w:hAnsi="Times New Roman" w:cs="Times New Roman"/>
          <w:b/>
          <w:lang w:val="ro-MD"/>
        </w:rPr>
      </w:pP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406"/>
        <w:gridCol w:w="6448"/>
      </w:tblGrid>
      <w:tr w:rsidR="003836D9" w:rsidRPr="008C4344" w14:paraId="216705EA" w14:textId="77777777" w:rsidTr="000F5AFC">
        <w:tc>
          <w:tcPr>
            <w:tcW w:w="1728" w:type="pct"/>
            <w:tcBorders>
              <w:top w:val="single" w:sz="12" w:space="0" w:color="auto"/>
              <w:bottom w:val="single" w:sz="12" w:space="0" w:color="auto"/>
            </w:tcBorders>
            <w:shd w:val="clear" w:color="auto" w:fill="D9D9D9" w:themeFill="background1" w:themeFillShade="D9"/>
          </w:tcPr>
          <w:p w14:paraId="6EF1027A" w14:textId="77777777" w:rsidR="003836D9" w:rsidRPr="008C4344" w:rsidRDefault="003836D9" w:rsidP="000F5AFC">
            <w:pPr>
              <w:jc w:val="center"/>
              <w:outlineLvl w:val="0"/>
              <w:rPr>
                <w:rFonts w:ascii="Times New Roman" w:hAnsi="Times New Roman" w:cs="Times New Roman"/>
                <w:bCs/>
                <w:sz w:val="16"/>
                <w:szCs w:val="16"/>
                <w:lang w:val="ro-MD"/>
              </w:rPr>
            </w:pPr>
            <w:bookmarkStart w:id="82" w:name="_Toc40824025"/>
            <w:r w:rsidRPr="008C4344">
              <w:rPr>
                <w:rFonts w:ascii="Times New Roman" w:hAnsi="Times New Roman" w:cs="Times New Roman"/>
                <w:sz w:val="16"/>
                <w:szCs w:val="16"/>
                <w:lang w:val="ro-MD"/>
              </w:rPr>
              <w:t>Actul normativ</w:t>
            </w:r>
            <w:bookmarkEnd w:id="82"/>
          </w:p>
        </w:tc>
        <w:tc>
          <w:tcPr>
            <w:tcW w:w="3272" w:type="pct"/>
            <w:tcBorders>
              <w:top w:val="single" w:sz="12" w:space="0" w:color="auto"/>
              <w:bottom w:val="single" w:sz="12" w:space="0" w:color="auto"/>
            </w:tcBorders>
            <w:shd w:val="clear" w:color="auto" w:fill="D9D9D9" w:themeFill="background1" w:themeFillShade="D9"/>
          </w:tcPr>
          <w:p w14:paraId="2EF8FF4D" w14:textId="77777777" w:rsidR="003836D9" w:rsidRPr="008C4344" w:rsidRDefault="003836D9" w:rsidP="000F5AFC">
            <w:pPr>
              <w:jc w:val="center"/>
              <w:outlineLvl w:val="0"/>
              <w:rPr>
                <w:rFonts w:ascii="Times New Roman" w:hAnsi="Times New Roman" w:cs="Times New Roman"/>
                <w:sz w:val="16"/>
                <w:szCs w:val="16"/>
                <w:lang w:val="ro-MD"/>
              </w:rPr>
            </w:pPr>
            <w:bookmarkStart w:id="83" w:name="_Toc40824026"/>
            <w:r w:rsidRPr="008C4344">
              <w:rPr>
                <w:rFonts w:ascii="Times New Roman" w:hAnsi="Times New Roman" w:cs="Times New Roman"/>
                <w:sz w:val="16"/>
                <w:szCs w:val="16"/>
                <w:lang w:val="ro-MD"/>
              </w:rPr>
              <w:t>Comentarii</w:t>
            </w:r>
            <w:bookmarkEnd w:id="83"/>
          </w:p>
        </w:tc>
      </w:tr>
      <w:tr w:rsidR="003836D9" w:rsidRPr="008C4344" w14:paraId="305F1B3B" w14:textId="77777777" w:rsidTr="000F5AFC">
        <w:tc>
          <w:tcPr>
            <w:tcW w:w="1728" w:type="pct"/>
            <w:tcBorders>
              <w:top w:val="single" w:sz="12" w:space="0" w:color="auto"/>
            </w:tcBorders>
          </w:tcPr>
          <w:p w14:paraId="085AACCA" w14:textId="77777777" w:rsidR="003836D9" w:rsidRPr="008C4344" w:rsidRDefault="003836D9" w:rsidP="000F5AFC">
            <w:pPr>
              <w:outlineLvl w:val="0"/>
              <w:rPr>
                <w:rFonts w:ascii="Times New Roman" w:hAnsi="Times New Roman" w:cs="Times New Roman"/>
                <w:bCs/>
                <w:sz w:val="16"/>
                <w:szCs w:val="16"/>
                <w:lang w:val="ro-MD"/>
              </w:rPr>
            </w:pPr>
            <w:bookmarkStart w:id="84" w:name="_Toc40824027"/>
            <w:r w:rsidRPr="008C4344">
              <w:rPr>
                <w:rFonts w:ascii="Times New Roman" w:hAnsi="Times New Roman" w:cs="Times New Roman"/>
                <w:sz w:val="16"/>
                <w:szCs w:val="16"/>
                <w:lang w:val="ro-MD"/>
              </w:rPr>
              <w:t>Legea nr. 200/2010 privind regimul străinilor în Republica Moldova</w:t>
            </w:r>
            <w:bookmarkEnd w:id="84"/>
          </w:p>
        </w:tc>
        <w:tc>
          <w:tcPr>
            <w:tcW w:w="3272" w:type="pct"/>
            <w:tcBorders>
              <w:top w:val="single" w:sz="12" w:space="0" w:color="auto"/>
            </w:tcBorders>
          </w:tcPr>
          <w:p w14:paraId="19A37F80" w14:textId="77777777" w:rsidR="003836D9" w:rsidRPr="008C4344" w:rsidRDefault="003836D9" w:rsidP="000F5AFC">
            <w:pPr>
              <w:outlineLvl w:val="0"/>
              <w:rPr>
                <w:rFonts w:ascii="Times New Roman" w:hAnsi="Times New Roman" w:cs="Times New Roman"/>
                <w:bCs/>
                <w:sz w:val="16"/>
                <w:szCs w:val="16"/>
                <w:lang w:val="ro-MD"/>
              </w:rPr>
            </w:pPr>
            <w:bookmarkStart w:id="85" w:name="_Toc40824028"/>
            <w:r w:rsidRPr="008C4344">
              <w:rPr>
                <w:rFonts w:ascii="Times New Roman" w:hAnsi="Times New Roman" w:cs="Times New Roman"/>
                <w:sz w:val="16"/>
                <w:szCs w:val="16"/>
                <w:lang w:val="ro-MD"/>
              </w:rPr>
              <w:t>Prevederile legii stabilesc cadrul juridic privind libera circulație şi imigrarea cetățenilor străini; asigurării unui mecanism complet, uniform şi continuu de reglementare a regimului străinilor pe teritoriul Republicii Moldova; aplicării unei proceduri uniforme de documentare a acestora şi adoptării unui nou cadru normativ în conformitate cu legislația comunitară.</w:t>
            </w:r>
            <w:bookmarkEnd w:id="85"/>
          </w:p>
        </w:tc>
      </w:tr>
      <w:tr w:rsidR="003836D9" w:rsidRPr="008C4344" w14:paraId="2982B0B5" w14:textId="77777777" w:rsidTr="000F5AFC">
        <w:tc>
          <w:tcPr>
            <w:tcW w:w="1728" w:type="pct"/>
          </w:tcPr>
          <w:p w14:paraId="4BA47615" w14:textId="0AC59A07" w:rsidR="003836D9" w:rsidRPr="008C4344" w:rsidRDefault="003836D9" w:rsidP="000F5AFC">
            <w:pPr>
              <w:outlineLvl w:val="0"/>
              <w:rPr>
                <w:rFonts w:ascii="Times New Roman" w:hAnsi="Times New Roman" w:cs="Times New Roman"/>
                <w:sz w:val="16"/>
                <w:szCs w:val="16"/>
                <w:lang w:val="ro-MD"/>
              </w:rPr>
            </w:pPr>
            <w:bookmarkStart w:id="86" w:name="_Toc40824029"/>
            <w:r w:rsidRPr="008C4344">
              <w:rPr>
                <w:rFonts w:ascii="Times New Roman" w:hAnsi="Times New Roman" w:cs="Times New Roman"/>
                <w:sz w:val="16"/>
                <w:szCs w:val="16"/>
                <w:lang w:val="ro-MD"/>
              </w:rPr>
              <w:t>Legea nr.</w:t>
            </w:r>
            <w:r w:rsidR="00450795">
              <w:rPr>
                <w:rFonts w:ascii="Times New Roman" w:hAnsi="Times New Roman" w:cs="Times New Roman"/>
                <w:sz w:val="16"/>
                <w:szCs w:val="16"/>
                <w:lang w:val="ro-MD"/>
              </w:rPr>
              <w:t xml:space="preserve"> </w:t>
            </w:r>
            <w:r w:rsidRPr="008C4344">
              <w:rPr>
                <w:rFonts w:ascii="Times New Roman" w:hAnsi="Times New Roman" w:cs="Times New Roman"/>
                <w:sz w:val="16"/>
                <w:szCs w:val="16"/>
                <w:lang w:val="ro-MD"/>
              </w:rPr>
              <w:t>274/2011 privind integrarea străinilor în Republica Moldova</w:t>
            </w:r>
            <w:bookmarkEnd w:id="86"/>
          </w:p>
        </w:tc>
        <w:tc>
          <w:tcPr>
            <w:tcW w:w="3272" w:type="pct"/>
          </w:tcPr>
          <w:p w14:paraId="7F52E0B0" w14:textId="77777777" w:rsidR="003836D9" w:rsidRPr="008C4344" w:rsidRDefault="003836D9" w:rsidP="000F5AFC">
            <w:pPr>
              <w:outlineLvl w:val="0"/>
              <w:rPr>
                <w:rFonts w:ascii="Times New Roman" w:hAnsi="Times New Roman" w:cs="Times New Roman"/>
                <w:bCs/>
                <w:sz w:val="16"/>
                <w:szCs w:val="16"/>
                <w:lang w:val="ro-MD"/>
              </w:rPr>
            </w:pPr>
            <w:bookmarkStart w:id="87" w:name="_Toc40824030"/>
            <w:r w:rsidRPr="008C4344">
              <w:rPr>
                <w:rFonts w:ascii="Times New Roman" w:hAnsi="Times New Roman" w:cs="Times New Roman"/>
                <w:sz w:val="16"/>
                <w:szCs w:val="16"/>
                <w:lang w:val="ro-MD"/>
              </w:rPr>
              <w:t>Prevederile legii stabilesc un cadru juridic uniform privind integrarea străinilor în viața economică, socială şi culturală a Republicii Moldova, a asigurării drepturilor, libertăților şi a determinării obligațiilor acestora.</w:t>
            </w:r>
            <w:bookmarkEnd w:id="87"/>
          </w:p>
        </w:tc>
      </w:tr>
      <w:tr w:rsidR="003836D9" w:rsidRPr="008C4344" w14:paraId="2060FC6D" w14:textId="77777777" w:rsidTr="000F5AFC">
        <w:tc>
          <w:tcPr>
            <w:tcW w:w="1728" w:type="pct"/>
          </w:tcPr>
          <w:p w14:paraId="15C1D178" w14:textId="66E16E33" w:rsidR="003836D9" w:rsidRPr="008C4344" w:rsidRDefault="003836D9" w:rsidP="000F5AFC">
            <w:pPr>
              <w:outlineLvl w:val="0"/>
              <w:rPr>
                <w:rFonts w:ascii="Times New Roman" w:hAnsi="Times New Roman" w:cs="Times New Roman"/>
                <w:bCs/>
                <w:sz w:val="16"/>
                <w:szCs w:val="16"/>
                <w:lang w:val="ro-MD"/>
              </w:rPr>
            </w:pPr>
            <w:bookmarkStart w:id="88" w:name="_Toc40824031"/>
            <w:r w:rsidRPr="008C4344">
              <w:rPr>
                <w:rFonts w:ascii="Times New Roman" w:hAnsi="Times New Roman" w:cs="Times New Roman"/>
                <w:sz w:val="16"/>
                <w:szCs w:val="16"/>
                <w:lang w:val="ro-MD"/>
              </w:rPr>
              <w:t>Legea nr.</w:t>
            </w:r>
            <w:r w:rsidR="00450795">
              <w:rPr>
                <w:rFonts w:ascii="Times New Roman" w:hAnsi="Times New Roman" w:cs="Times New Roman"/>
                <w:sz w:val="16"/>
                <w:szCs w:val="16"/>
                <w:lang w:val="ro-MD"/>
              </w:rPr>
              <w:t xml:space="preserve"> </w:t>
            </w:r>
            <w:r w:rsidRPr="008C4344">
              <w:rPr>
                <w:rFonts w:ascii="Times New Roman" w:hAnsi="Times New Roman" w:cs="Times New Roman"/>
                <w:sz w:val="16"/>
                <w:szCs w:val="16"/>
                <w:lang w:val="ro-MD"/>
              </w:rPr>
              <w:t>105/2018 cu privire la promovarea ocupării forței de muncă și asigurarea de șomaj</w:t>
            </w:r>
            <w:bookmarkEnd w:id="88"/>
          </w:p>
        </w:tc>
        <w:tc>
          <w:tcPr>
            <w:tcW w:w="3272" w:type="pct"/>
          </w:tcPr>
          <w:p w14:paraId="478DA789" w14:textId="77777777" w:rsidR="003836D9" w:rsidRPr="008C4344" w:rsidRDefault="003836D9" w:rsidP="000F5AFC">
            <w:pPr>
              <w:outlineLvl w:val="0"/>
              <w:rPr>
                <w:rFonts w:ascii="Times New Roman" w:hAnsi="Times New Roman" w:cs="Times New Roman"/>
                <w:bCs/>
                <w:sz w:val="16"/>
                <w:szCs w:val="16"/>
                <w:lang w:val="ro-MD"/>
              </w:rPr>
            </w:pPr>
            <w:bookmarkStart w:id="89" w:name="_Toc40824032"/>
            <w:r w:rsidRPr="008C4344">
              <w:rPr>
                <w:rFonts w:ascii="Times New Roman" w:hAnsi="Times New Roman" w:cs="Times New Roman"/>
                <w:sz w:val="16"/>
                <w:szCs w:val="16"/>
                <w:lang w:val="ro-MD"/>
              </w:rPr>
              <w:t>Prevederile legii reglementează politica de promovare a ocupării forței de muncă, piața muncii, sistemul instituțional de ocupare a forței de muncă, măsurile de ocupare a forței de muncă, precum și raporturile juridice care apar la implementarea măsurilor de ocupare a forței de muncă</w:t>
            </w:r>
            <w:bookmarkEnd w:id="89"/>
          </w:p>
        </w:tc>
      </w:tr>
      <w:tr w:rsidR="003836D9" w:rsidRPr="008C4344" w14:paraId="361CAEDA" w14:textId="77777777" w:rsidTr="000F5AFC">
        <w:tc>
          <w:tcPr>
            <w:tcW w:w="1728" w:type="pct"/>
          </w:tcPr>
          <w:p w14:paraId="43C0AA47" w14:textId="77777777" w:rsidR="003836D9" w:rsidRPr="008C4344" w:rsidRDefault="003836D9" w:rsidP="000F5AFC">
            <w:pPr>
              <w:outlineLvl w:val="0"/>
              <w:rPr>
                <w:rFonts w:ascii="Times New Roman" w:hAnsi="Times New Roman" w:cs="Times New Roman"/>
                <w:bCs/>
                <w:sz w:val="16"/>
                <w:szCs w:val="16"/>
                <w:lang w:val="ro-MD"/>
              </w:rPr>
            </w:pPr>
            <w:bookmarkStart w:id="90" w:name="_Toc40824033"/>
            <w:r w:rsidRPr="008C4344">
              <w:rPr>
                <w:rFonts w:ascii="Times New Roman" w:hAnsi="Times New Roman" w:cs="Times New Roman"/>
                <w:sz w:val="16"/>
                <w:szCs w:val="16"/>
                <w:lang w:val="ro-MD"/>
              </w:rPr>
              <w:t>Codul muncii al Republicii Moldova</w:t>
            </w:r>
            <w:bookmarkEnd w:id="90"/>
          </w:p>
        </w:tc>
        <w:tc>
          <w:tcPr>
            <w:tcW w:w="3272" w:type="pct"/>
          </w:tcPr>
          <w:p w14:paraId="515146F9" w14:textId="77777777" w:rsidR="003836D9" w:rsidRPr="008C4344" w:rsidRDefault="003836D9" w:rsidP="000F5AFC">
            <w:pPr>
              <w:outlineLvl w:val="0"/>
              <w:rPr>
                <w:rFonts w:ascii="Times New Roman" w:hAnsi="Times New Roman" w:cs="Times New Roman"/>
                <w:bCs/>
                <w:sz w:val="16"/>
                <w:szCs w:val="16"/>
                <w:lang w:val="ro-MD"/>
              </w:rPr>
            </w:pPr>
            <w:bookmarkStart w:id="91" w:name="_Toc40824034"/>
            <w:r w:rsidRPr="008C4344">
              <w:rPr>
                <w:rFonts w:ascii="Times New Roman" w:hAnsi="Times New Roman" w:cs="Times New Roman"/>
                <w:sz w:val="16"/>
                <w:szCs w:val="16"/>
                <w:lang w:val="ro-MD"/>
              </w:rPr>
              <w:t>Codul muncii reglementează totalitatea raporturilor individuale şi colective de muncă, controlul aplicării reglementărilor din domeniul raporturilor de muncă, jurisdicția muncii, precum şi alte raporturi legate nemijlocit de raporturile de muncă.</w:t>
            </w:r>
            <w:bookmarkEnd w:id="91"/>
          </w:p>
        </w:tc>
      </w:tr>
    </w:tbl>
    <w:p w14:paraId="056CA65C" w14:textId="77777777" w:rsidR="003836D9" w:rsidRPr="003836D9" w:rsidRDefault="003836D9" w:rsidP="003836D9">
      <w:pPr>
        <w:jc w:val="both"/>
        <w:outlineLvl w:val="0"/>
        <w:rPr>
          <w:rFonts w:ascii="Times New Roman" w:hAnsi="Times New Roman" w:cs="Times New Roman"/>
          <w:bCs/>
          <w:sz w:val="16"/>
          <w:szCs w:val="20"/>
          <w:lang w:val="ro-MD"/>
        </w:rPr>
      </w:pPr>
      <w:bookmarkStart w:id="92" w:name="_Toc40824035"/>
      <w:r w:rsidRPr="003836D9">
        <w:rPr>
          <w:rFonts w:ascii="Times New Roman" w:hAnsi="Times New Roman" w:cs="Times New Roman"/>
          <w:bCs/>
          <w:i/>
          <w:iCs/>
          <w:sz w:val="16"/>
          <w:szCs w:val="20"/>
          <w:lang w:val="ro-MD"/>
        </w:rPr>
        <w:t>Sursa: Sistematizat de autori</w:t>
      </w:r>
      <w:bookmarkEnd w:id="92"/>
    </w:p>
    <w:p w14:paraId="3436BDA3" w14:textId="77777777" w:rsidR="003836D9" w:rsidRPr="008C4344" w:rsidRDefault="003836D9" w:rsidP="003836D9">
      <w:pPr>
        <w:spacing w:after="0"/>
        <w:jc w:val="both"/>
        <w:outlineLvl w:val="0"/>
        <w:rPr>
          <w:rFonts w:ascii="Times New Roman" w:hAnsi="Times New Roman" w:cs="Times New Roman"/>
          <w:bCs/>
          <w:sz w:val="24"/>
          <w:szCs w:val="24"/>
          <w:lang w:val="ro-MD"/>
        </w:rPr>
      </w:pPr>
      <w:bookmarkStart w:id="93" w:name="_Toc40824036"/>
      <w:r w:rsidRPr="008C4344">
        <w:rPr>
          <w:rFonts w:ascii="Times New Roman" w:hAnsi="Times New Roman" w:cs="Times New Roman"/>
          <w:sz w:val="24"/>
          <w:szCs w:val="24"/>
          <w:lang w:val="ro-MD"/>
        </w:rPr>
        <w:t>Reglementările naționale aferente lucrătorilor străini sunt în concordanță cu normele fundamentale internaționale</w:t>
      </w:r>
      <w:r w:rsidRPr="008C4344">
        <w:rPr>
          <w:rFonts w:ascii="Times New Roman" w:hAnsi="Times New Roman" w:cs="Times New Roman"/>
          <w:b/>
          <w:sz w:val="24"/>
          <w:szCs w:val="24"/>
          <w:lang w:val="ro-MD"/>
        </w:rPr>
        <w:t>.</w:t>
      </w:r>
      <w:r w:rsidRPr="008C4344">
        <w:rPr>
          <w:rFonts w:ascii="Times New Roman" w:hAnsi="Times New Roman" w:cs="Times New Roman"/>
          <w:bCs/>
          <w:sz w:val="24"/>
          <w:szCs w:val="24"/>
          <w:lang w:val="ro-MD"/>
        </w:rPr>
        <w:t xml:space="preserve"> Ce ține nemijlocit de lucrătorii străini, legislația națională respectă criteriile fundamentele ce asigură protecția acestora față de discriminare (pe motive de rasă, naționalitate, origine etnică, limbă, religie, sex, opinie, apartenență politică, avere). Mai mult, aceștia au aceleași drepturi și obligații în domeniul asigurărilor sociale și asistenței sociale, precum și al asigurărilor obligatorii de sănătate, ca și cetățenii Republicii Moldova, dacă tratatele internaționale nu prevăd altfel. </w:t>
      </w:r>
      <w:bookmarkEnd w:id="93"/>
    </w:p>
    <w:p w14:paraId="699072CF" w14:textId="10DB56FC" w:rsidR="003836D9" w:rsidRPr="008C4344" w:rsidRDefault="003836D9" w:rsidP="003836D9">
      <w:pPr>
        <w:jc w:val="both"/>
        <w:outlineLvl w:val="0"/>
        <w:rPr>
          <w:rFonts w:ascii="Times New Roman" w:hAnsi="Times New Roman" w:cs="Times New Roman"/>
          <w:bCs/>
          <w:sz w:val="24"/>
          <w:szCs w:val="24"/>
          <w:lang w:val="ro-MD"/>
        </w:rPr>
      </w:pPr>
      <w:bookmarkStart w:id="94" w:name="_Toc40824037"/>
      <w:bookmarkStart w:id="95" w:name="_Toc40732491"/>
      <w:bookmarkStart w:id="96" w:name="_Toc40735436"/>
      <w:bookmarkStart w:id="97" w:name="_Toc39583064"/>
      <w:bookmarkEnd w:id="78"/>
      <w:bookmarkEnd w:id="79"/>
      <w:bookmarkEnd w:id="80"/>
      <w:r w:rsidRPr="008C4344">
        <w:rPr>
          <w:rFonts w:ascii="Times New Roman" w:hAnsi="Times New Roman" w:cs="Times New Roman"/>
          <w:sz w:val="24"/>
          <w:szCs w:val="24"/>
          <w:lang w:val="ro-MD"/>
        </w:rPr>
        <w:t>Gestionarea politicilor imigraționiste implică mai multe instituții.</w:t>
      </w:r>
      <w:r w:rsidRPr="008C4344">
        <w:rPr>
          <w:rFonts w:ascii="Times New Roman" w:hAnsi="Times New Roman" w:cs="Times New Roman"/>
          <w:bCs/>
          <w:sz w:val="24"/>
          <w:szCs w:val="24"/>
          <w:lang w:val="ro-MD"/>
        </w:rPr>
        <w:t xml:space="preserve"> Responsabilitatea instituțională față de politica imigraționistă este împărțită între mai multe instituții (Tabelul </w:t>
      </w:r>
      <w:r w:rsidR="002E4B91">
        <w:rPr>
          <w:rFonts w:ascii="Times New Roman" w:hAnsi="Times New Roman" w:cs="Times New Roman"/>
          <w:bCs/>
          <w:sz w:val="24"/>
          <w:szCs w:val="24"/>
          <w:lang w:val="ro-MD"/>
        </w:rPr>
        <w:t>10</w:t>
      </w:r>
      <w:r w:rsidRPr="008C4344">
        <w:rPr>
          <w:rFonts w:ascii="Times New Roman" w:hAnsi="Times New Roman" w:cs="Times New Roman"/>
          <w:bCs/>
          <w:sz w:val="24"/>
          <w:szCs w:val="24"/>
          <w:lang w:val="ro-MD"/>
        </w:rPr>
        <w:t xml:space="preserve">). </w:t>
      </w:r>
      <w:bookmarkEnd w:id="94"/>
    </w:p>
    <w:p w14:paraId="65916E33" w14:textId="4E70FC79" w:rsidR="003836D9" w:rsidRDefault="003836D9" w:rsidP="003836D9">
      <w:pPr>
        <w:spacing w:after="0"/>
        <w:jc w:val="center"/>
        <w:outlineLvl w:val="0"/>
        <w:rPr>
          <w:rFonts w:ascii="Times New Roman" w:hAnsi="Times New Roman" w:cs="Times New Roman"/>
          <w:b/>
          <w:sz w:val="20"/>
          <w:szCs w:val="20"/>
          <w:lang w:val="ro-MD"/>
        </w:rPr>
      </w:pPr>
      <w:bookmarkStart w:id="98" w:name="_Toc40824038"/>
      <w:r w:rsidRPr="008C4344">
        <w:rPr>
          <w:rFonts w:ascii="Times New Roman" w:hAnsi="Times New Roman" w:cs="Times New Roman"/>
          <w:b/>
          <w:sz w:val="20"/>
          <w:szCs w:val="20"/>
          <w:lang w:val="ro-MD"/>
        </w:rPr>
        <w:t>Tabelul 1</w:t>
      </w:r>
      <w:r w:rsidR="002E4B91">
        <w:rPr>
          <w:rFonts w:ascii="Times New Roman" w:hAnsi="Times New Roman" w:cs="Times New Roman"/>
          <w:b/>
          <w:sz w:val="20"/>
          <w:szCs w:val="20"/>
          <w:lang w:val="ro-MD"/>
        </w:rPr>
        <w:t>0</w:t>
      </w:r>
      <w:r w:rsidRPr="008C4344">
        <w:rPr>
          <w:rFonts w:ascii="Times New Roman" w:hAnsi="Times New Roman" w:cs="Times New Roman"/>
          <w:b/>
          <w:sz w:val="20"/>
          <w:szCs w:val="20"/>
          <w:lang w:val="ro-MD"/>
        </w:rPr>
        <w:t>.</w:t>
      </w:r>
      <w:r w:rsidR="00450795">
        <w:rPr>
          <w:rFonts w:ascii="Times New Roman" w:hAnsi="Times New Roman" w:cs="Times New Roman"/>
          <w:b/>
          <w:sz w:val="20"/>
          <w:szCs w:val="20"/>
          <w:lang w:val="ro-MD"/>
        </w:rPr>
        <w:t xml:space="preserve"> </w:t>
      </w:r>
      <w:r w:rsidRPr="008C4344">
        <w:rPr>
          <w:rFonts w:ascii="Times New Roman" w:hAnsi="Times New Roman" w:cs="Times New Roman"/>
          <w:b/>
          <w:sz w:val="20"/>
          <w:szCs w:val="20"/>
          <w:lang w:val="ro-MD"/>
        </w:rPr>
        <w:t>Cadrul instituțional în domeniul migrației de muncă</w:t>
      </w:r>
      <w:bookmarkEnd w:id="98"/>
    </w:p>
    <w:p w14:paraId="14620B11" w14:textId="77777777" w:rsidR="008C4344" w:rsidRPr="008C4344" w:rsidRDefault="008C4344" w:rsidP="003836D9">
      <w:pPr>
        <w:spacing w:after="0"/>
        <w:jc w:val="center"/>
        <w:outlineLvl w:val="0"/>
        <w:rPr>
          <w:rFonts w:ascii="Times New Roman" w:hAnsi="Times New Roman" w:cs="Times New Roman"/>
          <w:b/>
          <w:sz w:val="20"/>
          <w:szCs w:val="20"/>
          <w:lang w:val="ro-MD"/>
        </w:rPr>
      </w:pP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496"/>
        <w:gridCol w:w="6358"/>
      </w:tblGrid>
      <w:tr w:rsidR="003836D9" w:rsidRPr="008C4344" w14:paraId="622CDD5E" w14:textId="77777777" w:rsidTr="000F5AFC">
        <w:tc>
          <w:tcPr>
            <w:tcW w:w="1774" w:type="pct"/>
            <w:tcBorders>
              <w:top w:val="single" w:sz="12" w:space="0" w:color="auto"/>
              <w:bottom w:val="single" w:sz="12" w:space="0" w:color="auto"/>
            </w:tcBorders>
            <w:shd w:val="clear" w:color="auto" w:fill="D9D9D9" w:themeFill="background1" w:themeFillShade="D9"/>
          </w:tcPr>
          <w:p w14:paraId="173D9629" w14:textId="77777777" w:rsidR="003836D9" w:rsidRPr="008C4344" w:rsidRDefault="003836D9" w:rsidP="000F5AFC">
            <w:pPr>
              <w:jc w:val="center"/>
              <w:outlineLvl w:val="0"/>
              <w:rPr>
                <w:rFonts w:ascii="Times New Roman" w:hAnsi="Times New Roman" w:cs="Times New Roman"/>
                <w:bCs/>
                <w:sz w:val="16"/>
                <w:szCs w:val="16"/>
                <w:lang w:val="ro-MD"/>
              </w:rPr>
            </w:pPr>
            <w:bookmarkStart w:id="99" w:name="_Toc40824039"/>
            <w:r w:rsidRPr="008C4344">
              <w:rPr>
                <w:rFonts w:ascii="Times New Roman" w:hAnsi="Times New Roman" w:cs="Times New Roman"/>
                <w:bCs/>
                <w:sz w:val="16"/>
                <w:szCs w:val="16"/>
                <w:lang w:val="ro-MD"/>
              </w:rPr>
              <w:t>Instituția</w:t>
            </w:r>
            <w:bookmarkEnd w:id="99"/>
          </w:p>
        </w:tc>
        <w:tc>
          <w:tcPr>
            <w:tcW w:w="3226" w:type="pct"/>
            <w:tcBorders>
              <w:top w:val="single" w:sz="12" w:space="0" w:color="auto"/>
              <w:bottom w:val="single" w:sz="12" w:space="0" w:color="auto"/>
            </w:tcBorders>
            <w:shd w:val="clear" w:color="auto" w:fill="D9D9D9" w:themeFill="background1" w:themeFillShade="D9"/>
          </w:tcPr>
          <w:p w14:paraId="30B6717F" w14:textId="77777777" w:rsidR="003836D9" w:rsidRPr="008C4344" w:rsidRDefault="003836D9" w:rsidP="000F5AFC">
            <w:pPr>
              <w:jc w:val="center"/>
              <w:outlineLvl w:val="0"/>
              <w:rPr>
                <w:rFonts w:ascii="Times New Roman" w:hAnsi="Times New Roman" w:cs="Times New Roman"/>
                <w:sz w:val="16"/>
                <w:szCs w:val="16"/>
                <w:lang w:val="ro-MD"/>
              </w:rPr>
            </w:pPr>
            <w:bookmarkStart w:id="100" w:name="_Toc40824040"/>
            <w:r w:rsidRPr="008C4344">
              <w:rPr>
                <w:rFonts w:ascii="Times New Roman" w:hAnsi="Times New Roman" w:cs="Times New Roman"/>
                <w:sz w:val="16"/>
                <w:szCs w:val="16"/>
                <w:lang w:val="ro-MD"/>
              </w:rPr>
              <w:t>Atribuții</w:t>
            </w:r>
            <w:bookmarkEnd w:id="100"/>
          </w:p>
        </w:tc>
      </w:tr>
      <w:tr w:rsidR="003836D9" w:rsidRPr="008C4344" w14:paraId="04C196FD" w14:textId="77777777" w:rsidTr="000F5AFC">
        <w:tc>
          <w:tcPr>
            <w:tcW w:w="1774" w:type="pct"/>
          </w:tcPr>
          <w:p w14:paraId="6E353CE2" w14:textId="77777777" w:rsidR="003836D9" w:rsidRPr="008C4344" w:rsidRDefault="003836D9" w:rsidP="000F5AFC">
            <w:pPr>
              <w:tabs>
                <w:tab w:val="left" w:pos="6600"/>
              </w:tabs>
              <w:outlineLvl w:val="0"/>
              <w:rPr>
                <w:rFonts w:ascii="Times New Roman" w:hAnsi="Times New Roman" w:cs="Times New Roman"/>
                <w:bCs/>
                <w:sz w:val="16"/>
                <w:szCs w:val="16"/>
                <w:lang w:val="ro-MD"/>
              </w:rPr>
            </w:pPr>
            <w:bookmarkStart w:id="101" w:name="_Toc39583051"/>
            <w:bookmarkStart w:id="102" w:name="_Toc40824043"/>
            <w:r w:rsidRPr="008C4344">
              <w:rPr>
                <w:rFonts w:ascii="Times New Roman" w:hAnsi="Times New Roman" w:cs="Times New Roman"/>
                <w:sz w:val="16"/>
                <w:szCs w:val="16"/>
                <w:lang w:val="ro-MD"/>
              </w:rPr>
              <w:t>Ministerul Afacerilor Interne</w:t>
            </w:r>
            <w:bookmarkEnd w:id="101"/>
            <w:bookmarkEnd w:id="102"/>
          </w:p>
        </w:tc>
        <w:tc>
          <w:tcPr>
            <w:tcW w:w="3226" w:type="pct"/>
          </w:tcPr>
          <w:p w14:paraId="0B6D8CDC" w14:textId="77777777" w:rsidR="003836D9" w:rsidRPr="008C4344" w:rsidRDefault="003836D9" w:rsidP="000F5AFC">
            <w:pPr>
              <w:jc w:val="both"/>
              <w:outlineLvl w:val="0"/>
              <w:rPr>
                <w:rFonts w:ascii="Times New Roman" w:hAnsi="Times New Roman" w:cs="Times New Roman"/>
                <w:bCs/>
                <w:sz w:val="16"/>
                <w:szCs w:val="16"/>
                <w:lang w:val="ro-MD"/>
              </w:rPr>
            </w:pPr>
            <w:bookmarkStart w:id="103" w:name="_Toc39583052"/>
            <w:bookmarkStart w:id="104" w:name="_Toc40824044"/>
            <w:r w:rsidRPr="008C4344">
              <w:rPr>
                <w:rFonts w:ascii="Times New Roman" w:hAnsi="Times New Roman" w:cs="Times New Roman"/>
                <w:bCs/>
                <w:sz w:val="16"/>
                <w:szCs w:val="16"/>
                <w:lang w:val="ro-MD"/>
              </w:rPr>
              <w:t>Autoritatea dezvoltă politici publice și monitorizează implementarea acestora în domeniul migrației și azilului, precum și coordonează procesul de integrare a străinilor în Republica Moldova.</w:t>
            </w:r>
            <w:bookmarkEnd w:id="103"/>
            <w:bookmarkEnd w:id="104"/>
          </w:p>
        </w:tc>
      </w:tr>
      <w:tr w:rsidR="003836D9" w:rsidRPr="008C4344" w14:paraId="2ECFBAC5" w14:textId="77777777" w:rsidTr="000F5AFC">
        <w:tc>
          <w:tcPr>
            <w:tcW w:w="1774" w:type="pct"/>
          </w:tcPr>
          <w:p w14:paraId="11CA0AD4" w14:textId="77777777" w:rsidR="003836D9" w:rsidRPr="008C4344" w:rsidRDefault="003836D9" w:rsidP="000F5AFC">
            <w:pPr>
              <w:outlineLvl w:val="0"/>
              <w:rPr>
                <w:rFonts w:ascii="Times New Roman" w:hAnsi="Times New Roman" w:cs="Times New Roman"/>
                <w:bCs/>
                <w:sz w:val="16"/>
                <w:szCs w:val="16"/>
                <w:lang w:val="ro-MD"/>
              </w:rPr>
            </w:pPr>
            <w:bookmarkStart w:id="105" w:name="_Toc39583055"/>
            <w:bookmarkStart w:id="106" w:name="_Toc40824047"/>
            <w:r w:rsidRPr="008C4344">
              <w:rPr>
                <w:rFonts w:ascii="Times New Roman" w:hAnsi="Times New Roman" w:cs="Times New Roman"/>
                <w:bCs/>
                <w:sz w:val="16"/>
                <w:szCs w:val="16"/>
                <w:lang w:val="ro-MD"/>
              </w:rPr>
              <w:t>Biroul pentru Migrație și Azil</w:t>
            </w:r>
            <w:bookmarkEnd w:id="105"/>
            <w:bookmarkEnd w:id="106"/>
          </w:p>
        </w:tc>
        <w:tc>
          <w:tcPr>
            <w:tcW w:w="3226" w:type="pct"/>
          </w:tcPr>
          <w:p w14:paraId="0F0E3339" w14:textId="77777777" w:rsidR="003836D9" w:rsidRPr="008C4344" w:rsidRDefault="003836D9" w:rsidP="000F5AFC">
            <w:pPr>
              <w:jc w:val="both"/>
              <w:outlineLvl w:val="0"/>
              <w:rPr>
                <w:rFonts w:ascii="Times New Roman" w:hAnsi="Times New Roman" w:cs="Times New Roman"/>
                <w:bCs/>
                <w:sz w:val="16"/>
                <w:szCs w:val="16"/>
                <w:lang w:val="ro-MD"/>
              </w:rPr>
            </w:pPr>
            <w:bookmarkStart w:id="107" w:name="_Toc39583056"/>
            <w:bookmarkStart w:id="108" w:name="_Toc40824048"/>
            <w:r w:rsidRPr="008C4344">
              <w:rPr>
                <w:rFonts w:ascii="Times New Roman" w:hAnsi="Times New Roman" w:cs="Times New Roman"/>
                <w:bCs/>
                <w:sz w:val="16"/>
                <w:szCs w:val="16"/>
                <w:lang w:val="ro-MD"/>
              </w:rPr>
              <w:t>Instituție responsabilă de implementarea politicii de stat în domeniul migrației şi azilului, gestionării migrației prin admisie și documentare a străinilor, controlul legalității aflării străinilor pe teritoriul țării.</w:t>
            </w:r>
            <w:bookmarkEnd w:id="107"/>
            <w:bookmarkEnd w:id="108"/>
          </w:p>
        </w:tc>
      </w:tr>
      <w:tr w:rsidR="003836D9" w:rsidRPr="008C4344" w14:paraId="0196417D" w14:textId="77777777" w:rsidTr="000F5AFC">
        <w:tc>
          <w:tcPr>
            <w:tcW w:w="1774" w:type="pct"/>
          </w:tcPr>
          <w:p w14:paraId="723CDFB8" w14:textId="77777777" w:rsidR="003836D9" w:rsidRPr="008C4344" w:rsidRDefault="003836D9" w:rsidP="000F5AFC">
            <w:pPr>
              <w:outlineLvl w:val="0"/>
              <w:rPr>
                <w:rFonts w:ascii="Times New Roman" w:hAnsi="Times New Roman" w:cs="Times New Roman"/>
                <w:bCs/>
                <w:sz w:val="16"/>
                <w:szCs w:val="16"/>
                <w:lang w:val="ro-MD"/>
              </w:rPr>
            </w:pPr>
            <w:bookmarkStart w:id="109" w:name="_Toc39583057"/>
            <w:bookmarkStart w:id="110" w:name="_Toc40824049"/>
            <w:r w:rsidRPr="008C4344">
              <w:rPr>
                <w:rFonts w:ascii="Times New Roman" w:hAnsi="Times New Roman" w:cs="Times New Roman"/>
                <w:bCs/>
                <w:sz w:val="16"/>
                <w:szCs w:val="16"/>
                <w:lang w:val="ro-MD"/>
              </w:rPr>
              <w:t>Ministerul Sănătății, Muncii și Protecției Sociale</w:t>
            </w:r>
            <w:bookmarkEnd w:id="109"/>
            <w:bookmarkEnd w:id="110"/>
          </w:p>
        </w:tc>
        <w:tc>
          <w:tcPr>
            <w:tcW w:w="3226" w:type="pct"/>
          </w:tcPr>
          <w:p w14:paraId="245F92FA" w14:textId="77777777" w:rsidR="003836D9" w:rsidRPr="008C4344" w:rsidRDefault="003836D9" w:rsidP="000F5AFC">
            <w:pPr>
              <w:jc w:val="both"/>
              <w:outlineLvl w:val="0"/>
              <w:rPr>
                <w:rFonts w:ascii="Times New Roman" w:hAnsi="Times New Roman" w:cs="Times New Roman"/>
                <w:bCs/>
                <w:sz w:val="16"/>
                <w:szCs w:val="16"/>
                <w:lang w:val="ro-MD"/>
              </w:rPr>
            </w:pPr>
            <w:bookmarkStart w:id="111" w:name="_Toc39583058"/>
            <w:bookmarkStart w:id="112" w:name="_Toc40824050"/>
            <w:r w:rsidRPr="008C4344">
              <w:rPr>
                <w:rFonts w:ascii="Times New Roman" w:hAnsi="Times New Roman" w:cs="Times New Roman"/>
                <w:bCs/>
                <w:sz w:val="16"/>
                <w:szCs w:val="16"/>
                <w:lang w:val="ro-MD"/>
              </w:rPr>
              <w:t xml:space="preserve">Autoritate </w:t>
            </w:r>
            <w:r w:rsidRPr="008C4344">
              <w:rPr>
                <w:rFonts w:ascii="Times New Roman" w:hAnsi="Times New Roman" w:cs="Times New Roman"/>
                <w:sz w:val="16"/>
                <w:szCs w:val="16"/>
                <w:lang w:val="ro-MD"/>
              </w:rPr>
              <w:t>de specialitate abilitat</w:t>
            </w:r>
            <w:r w:rsidRPr="008C4344">
              <w:rPr>
                <w:rFonts w:ascii="Times New Roman" w:hAnsi="Times New Roman" w:cs="Times New Roman"/>
                <w:bCs/>
                <w:sz w:val="16"/>
                <w:szCs w:val="16"/>
                <w:lang w:val="ro-MD"/>
              </w:rPr>
              <w:t>ă</w:t>
            </w:r>
            <w:r w:rsidRPr="008C4344">
              <w:rPr>
                <w:rFonts w:ascii="Times New Roman" w:hAnsi="Times New Roman" w:cs="Times New Roman"/>
                <w:sz w:val="16"/>
                <w:szCs w:val="16"/>
                <w:lang w:val="ro-MD"/>
              </w:rPr>
              <w:t xml:space="preserve"> să elaboreze, promoveze şi să asigure realizarea politicii statului în domeniul migrației de muncă și protecției sociale.</w:t>
            </w:r>
            <w:bookmarkEnd w:id="111"/>
            <w:bookmarkEnd w:id="112"/>
          </w:p>
        </w:tc>
      </w:tr>
      <w:tr w:rsidR="003836D9" w:rsidRPr="008C4344" w14:paraId="2612D063" w14:textId="77777777" w:rsidTr="000F5AFC">
        <w:tc>
          <w:tcPr>
            <w:tcW w:w="1774" w:type="pct"/>
          </w:tcPr>
          <w:p w14:paraId="7C5B0284" w14:textId="77777777" w:rsidR="003836D9" w:rsidRPr="008C4344" w:rsidRDefault="003836D9" w:rsidP="000F5AFC">
            <w:pPr>
              <w:outlineLvl w:val="0"/>
              <w:rPr>
                <w:rFonts w:ascii="Times New Roman" w:hAnsi="Times New Roman" w:cs="Times New Roman"/>
                <w:bCs/>
                <w:sz w:val="16"/>
                <w:szCs w:val="16"/>
                <w:lang w:val="ro-MD"/>
              </w:rPr>
            </w:pPr>
            <w:bookmarkStart w:id="113" w:name="_Toc39583059"/>
            <w:bookmarkStart w:id="114" w:name="_Toc40824051"/>
            <w:r w:rsidRPr="008C4344">
              <w:rPr>
                <w:rFonts w:ascii="Times New Roman" w:hAnsi="Times New Roman" w:cs="Times New Roman"/>
                <w:sz w:val="16"/>
                <w:szCs w:val="16"/>
                <w:lang w:val="ro-MD"/>
              </w:rPr>
              <w:t>Agenția Națională pentru Ocuparea Forței de Muncă</w:t>
            </w:r>
            <w:bookmarkEnd w:id="113"/>
            <w:bookmarkEnd w:id="114"/>
          </w:p>
        </w:tc>
        <w:tc>
          <w:tcPr>
            <w:tcW w:w="3226" w:type="pct"/>
          </w:tcPr>
          <w:p w14:paraId="4A7C854E" w14:textId="77777777" w:rsidR="003836D9" w:rsidRPr="008C4344" w:rsidRDefault="003836D9" w:rsidP="000F5AFC">
            <w:pPr>
              <w:jc w:val="both"/>
              <w:outlineLvl w:val="0"/>
              <w:rPr>
                <w:rFonts w:ascii="Times New Roman" w:hAnsi="Times New Roman" w:cs="Times New Roman"/>
                <w:bCs/>
                <w:sz w:val="16"/>
                <w:szCs w:val="16"/>
                <w:lang w:val="ro-MD"/>
              </w:rPr>
            </w:pPr>
            <w:bookmarkStart w:id="115" w:name="_Toc39583060"/>
            <w:bookmarkStart w:id="116" w:name="_Toc40824052"/>
            <w:r w:rsidRPr="008C4344">
              <w:rPr>
                <w:rFonts w:ascii="Times New Roman" w:hAnsi="Times New Roman" w:cs="Times New Roman"/>
                <w:bCs/>
                <w:sz w:val="16"/>
                <w:szCs w:val="16"/>
                <w:lang w:val="ro-MD"/>
              </w:rPr>
              <w:t xml:space="preserve">Instituție responsabilă de </w:t>
            </w:r>
            <w:r w:rsidRPr="008C4344">
              <w:rPr>
                <w:rFonts w:ascii="Times New Roman" w:hAnsi="Times New Roman" w:cs="Times New Roman"/>
                <w:sz w:val="16"/>
                <w:szCs w:val="16"/>
                <w:lang w:val="ro-MD"/>
              </w:rPr>
              <w:t>implementarea politicilor în domeniul migrației de muncă şi coordonarea activităților în cadrul acordurilor bilaterale dintre Republica Moldova şi alte țări</w:t>
            </w:r>
            <w:r w:rsidRPr="008C4344">
              <w:rPr>
                <w:rFonts w:ascii="Times New Roman" w:hAnsi="Times New Roman" w:cs="Times New Roman"/>
                <w:bCs/>
                <w:sz w:val="16"/>
                <w:szCs w:val="16"/>
                <w:lang w:val="ro-MD"/>
              </w:rPr>
              <w:t>.</w:t>
            </w:r>
            <w:bookmarkEnd w:id="115"/>
            <w:bookmarkEnd w:id="116"/>
          </w:p>
        </w:tc>
      </w:tr>
      <w:tr w:rsidR="003836D9" w:rsidRPr="008C4344" w14:paraId="36F08E48" w14:textId="77777777" w:rsidTr="000F5AFC">
        <w:tc>
          <w:tcPr>
            <w:tcW w:w="1774" w:type="pct"/>
          </w:tcPr>
          <w:p w14:paraId="3AD131A5" w14:textId="77777777" w:rsidR="003836D9" w:rsidRPr="008C4344" w:rsidRDefault="003836D9" w:rsidP="000F5AFC">
            <w:pPr>
              <w:outlineLvl w:val="0"/>
              <w:rPr>
                <w:rFonts w:ascii="Times New Roman" w:hAnsi="Times New Roman" w:cs="Times New Roman"/>
                <w:bCs/>
                <w:sz w:val="16"/>
                <w:szCs w:val="16"/>
                <w:lang w:val="ro-MD"/>
              </w:rPr>
            </w:pPr>
            <w:bookmarkStart w:id="117" w:name="_Toc39583053"/>
            <w:bookmarkStart w:id="118" w:name="_Toc40824045"/>
            <w:r w:rsidRPr="008C4344">
              <w:rPr>
                <w:rFonts w:ascii="Times New Roman" w:hAnsi="Times New Roman" w:cs="Times New Roman"/>
                <w:bCs/>
                <w:sz w:val="16"/>
                <w:szCs w:val="16"/>
                <w:lang w:val="ro-MD"/>
              </w:rPr>
              <w:t>Ministerul Economiei și Infrastructurii</w:t>
            </w:r>
            <w:bookmarkEnd w:id="117"/>
            <w:bookmarkEnd w:id="118"/>
          </w:p>
        </w:tc>
        <w:tc>
          <w:tcPr>
            <w:tcW w:w="3226" w:type="pct"/>
          </w:tcPr>
          <w:p w14:paraId="066A4BF4" w14:textId="77777777" w:rsidR="003836D9" w:rsidRPr="008C4344" w:rsidRDefault="003836D9" w:rsidP="000F5AFC">
            <w:pPr>
              <w:jc w:val="both"/>
              <w:outlineLvl w:val="0"/>
              <w:rPr>
                <w:rFonts w:ascii="Times New Roman" w:hAnsi="Times New Roman" w:cs="Times New Roman"/>
                <w:bCs/>
                <w:sz w:val="16"/>
                <w:szCs w:val="16"/>
                <w:lang w:val="ro-MD"/>
              </w:rPr>
            </w:pPr>
            <w:bookmarkStart w:id="119" w:name="_Toc39583054"/>
            <w:bookmarkStart w:id="120" w:name="_Toc40824046"/>
            <w:r w:rsidRPr="008C4344">
              <w:rPr>
                <w:rFonts w:ascii="Times New Roman" w:hAnsi="Times New Roman" w:cs="Times New Roman"/>
                <w:bCs/>
                <w:sz w:val="16"/>
                <w:szCs w:val="16"/>
                <w:lang w:val="ro-MD"/>
              </w:rPr>
              <w:t xml:space="preserve">Autoritatea setează direcțiile economice prioritare, prin crearea </w:t>
            </w:r>
            <w:r w:rsidRPr="008C4344">
              <w:rPr>
                <w:rFonts w:ascii="Times New Roman" w:hAnsi="Times New Roman" w:cs="Times New Roman"/>
                <w:sz w:val="16"/>
                <w:szCs w:val="16"/>
                <w:lang w:val="ro-MD"/>
              </w:rPr>
              <w:t>unui climat investițional favorabil în Republica Moldova pentru a atrage investițiile interne şi străine</w:t>
            </w:r>
            <w:r w:rsidRPr="008C4344">
              <w:rPr>
                <w:rFonts w:ascii="Times New Roman" w:hAnsi="Times New Roman" w:cs="Times New Roman"/>
                <w:bCs/>
                <w:sz w:val="16"/>
                <w:szCs w:val="16"/>
                <w:lang w:val="ro-MD"/>
              </w:rPr>
              <w:t>.</w:t>
            </w:r>
            <w:bookmarkEnd w:id="119"/>
            <w:bookmarkEnd w:id="120"/>
          </w:p>
        </w:tc>
      </w:tr>
      <w:tr w:rsidR="003836D9" w:rsidRPr="008C4344" w14:paraId="3473E966" w14:textId="77777777" w:rsidTr="000F5AFC">
        <w:tc>
          <w:tcPr>
            <w:tcW w:w="1774" w:type="pct"/>
          </w:tcPr>
          <w:p w14:paraId="458F344D" w14:textId="77777777" w:rsidR="003836D9" w:rsidRPr="008C4344" w:rsidRDefault="003836D9" w:rsidP="000F5AFC">
            <w:pPr>
              <w:outlineLvl w:val="0"/>
              <w:rPr>
                <w:rFonts w:ascii="Times New Roman" w:hAnsi="Times New Roman" w:cs="Times New Roman"/>
                <w:bCs/>
                <w:sz w:val="16"/>
                <w:szCs w:val="16"/>
                <w:lang w:val="ro-MD"/>
              </w:rPr>
            </w:pPr>
            <w:bookmarkStart w:id="121" w:name="_Toc39583049"/>
            <w:bookmarkStart w:id="122" w:name="_Toc40824041"/>
            <w:r w:rsidRPr="008C4344">
              <w:rPr>
                <w:rFonts w:ascii="Times New Roman" w:hAnsi="Times New Roman" w:cs="Times New Roman"/>
                <w:sz w:val="16"/>
                <w:szCs w:val="16"/>
                <w:lang w:val="ro-MD"/>
              </w:rPr>
              <w:t>Ministerul Afacerilor Externe și Integrării Europene</w:t>
            </w:r>
            <w:bookmarkEnd w:id="121"/>
            <w:bookmarkEnd w:id="122"/>
          </w:p>
        </w:tc>
        <w:tc>
          <w:tcPr>
            <w:tcW w:w="3226" w:type="pct"/>
          </w:tcPr>
          <w:p w14:paraId="21D64724" w14:textId="77777777" w:rsidR="003836D9" w:rsidRPr="008C4344" w:rsidRDefault="003836D9" w:rsidP="000F5AFC">
            <w:pPr>
              <w:jc w:val="both"/>
              <w:outlineLvl w:val="0"/>
              <w:rPr>
                <w:rFonts w:ascii="Times New Roman" w:hAnsi="Times New Roman" w:cs="Times New Roman"/>
                <w:bCs/>
                <w:sz w:val="16"/>
                <w:szCs w:val="16"/>
                <w:lang w:val="ro-MD"/>
              </w:rPr>
            </w:pPr>
            <w:bookmarkStart w:id="123" w:name="_Toc39583050"/>
            <w:bookmarkStart w:id="124" w:name="_Toc40824042"/>
            <w:r w:rsidRPr="008C4344">
              <w:rPr>
                <w:rFonts w:ascii="Times New Roman" w:hAnsi="Times New Roman" w:cs="Times New Roman"/>
                <w:bCs/>
                <w:sz w:val="16"/>
                <w:szCs w:val="16"/>
                <w:lang w:val="ro-MD"/>
              </w:rPr>
              <w:t xml:space="preserve">Autoritate </w:t>
            </w:r>
            <w:r w:rsidRPr="008C4344">
              <w:rPr>
                <w:rFonts w:ascii="Times New Roman" w:hAnsi="Times New Roman" w:cs="Times New Roman"/>
                <w:sz w:val="16"/>
                <w:szCs w:val="16"/>
                <w:lang w:val="ro-MD"/>
              </w:rPr>
              <w:t>responsabil</w:t>
            </w:r>
            <w:r w:rsidRPr="008C4344">
              <w:rPr>
                <w:rFonts w:ascii="Times New Roman" w:hAnsi="Times New Roman" w:cs="Times New Roman"/>
                <w:bCs/>
                <w:sz w:val="16"/>
                <w:szCs w:val="16"/>
                <w:lang w:val="ro-MD"/>
              </w:rPr>
              <w:t>ă</w:t>
            </w:r>
            <w:r w:rsidRPr="008C4344">
              <w:rPr>
                <w:rFonts w:ascii="Times New Roman" w:hAnsi="Times New Roman" w:cs="Times New Roman"/>
                <w:sz w:val="16"/>
                <w:szCs w:val="16"/>
                <w:lang w:val="ro-MD"/>
              </w:rPr>
              <w:t xml:space="preserve"> de politica externă, politica de viz</w:t>
            </w:r>
            <w:r w:rsidRPr="008C4344">
              <w:rPr>
                <w:rFonts w:ascii="Times New Roman" w:hAnsi="Times New Roman" w:cs="Times New Roman"/>
                <w:bCs/>
                <w:sz w:val="16"/>
                <w:szCs w:val="16"/>
                <w:lang w:val="ro-MD"/>
              </w:rPr>
              <w:t>e</w:t>
            </w:r>
            <w:r w:rsidRPr="008C4344">
              <w:rPr>
                <w:rFonts w:ascii="Times New Roman" w:hAnsi="Times New Roman" w:cs="Times New Roman"/>
                <w:sz w:val="16"/>
                <w:szCs w:val="16"/>
                <w:lang w:val="ro-MD"/>
              </w:rPr>
              <w:t xml:space="preserve">, </w:t>
            </w:r>
            <w:r w:rsidRPr="008C4344">
              <w:rPr>
                <w:rFonts w:ascii="Times New Roman" w:hAnsi="Times New Roman" w:cs="Times New Roman"/>
                <w:bCs/>
                <w:sz w:val="16"/>
                <w:szCs w:val="16"/>
                <w:lang w:val="ro-MD"/>
              </w:rPr>
              <w:t xml:space="preserve">asigură cooperarea cu organizațiile internaționale de profil, precum și </w:t>
            </w:r>
            <w:r w:rsidRPr="008C4344">
              <w:rPr>
                <w:rFonts w:ascii="Times New Roman" w:hAnsi="Times New Roman" w:cs="Times New Roman"/>
                <w:sz w:val="16"/>
                <w:szCs w:val="16"/>
                <w:lang w:val="ro-MD"/>
              </w:rPr>
              <w:t xml:space="preserve">monitorizează procesul de punere în aplicare a Acordului </w:t>
            </w:r>
            <w:r w:rsidRPr="008C4344">
              <w:rPr>
                <w:rFonts w:ascii="Times New Roman" w:hAnsi="Times New Roman" w:cs="Times New Roman"/>
                <w:bCs/>
                <w:sz w:val="16"/>
                <w:szCs w:val="16"/>
                <w:lang w:val="ro-MD"/>
              </w:rPr>
              <w:t>de Asociere RM-UE</w:t>
            </w:r>
            <w:r w:rsidRPr="008C4344">
              <w:rPr>
                <w:rFonts w:ascii="Times New Roman" w:hAnsi="Times New Roman" w:cs="Times New Roman"/>
                <w:sz w:val="16"/>
                <w:szCs w:val="16"/>
                <w:lang w:val="ro-MD"/>
              </w:rPr>
              <w:t>.</w:t>
            </w:r>
            <w:bookmarkEnd w:id="123"/>
            <w:bookmarkEnd w:id="124"/>
          </w:p>
        </w:tc>
      </w:tr>
      <w:tr w:rsidR="003836D9" w:rsidRPr="008C4344" w14:paraId="1D820D31" w14:textId="77777777" w:rsidTr="000F5AFC">
        <w:trPr>
          <w:trHeight w:val="70"/>
        </w:trPr>
        <w:tc>
          <w:tcPr>
            <w:tcW w:w="1774" w:type="pct"/>
          </w:tcPr>
          <w:p w14:paraId="5DCDC62B" w14:textId="77777777" w:rsidR="003836D9" w:rsidRPr="008C4344" w:rsidRDefault="003836D9" w:rsidP="000F5AFC">
            <w:pPr>
              <w:outlineLvl w:val="0"/>
              <w:rPr>
                <w:rFonts w:ascii="Times New Roman" w:hAnsi="Times New Roman" w:cs="Times New Roman"/>
                <w:bCs/>
                <w:sz w:val="16"/>
                <w:szCs w:val="16"/>
                <w:lang w:val="ro-MD"/>
              </w:rPr>
            </w:pPr>
            <w:bookmarkStart w:id="125" w:name="_Toc39583061"/>
            <w:bookmarkStart w:id="126" w:name="_Toc40824053"/>
            <w:r w:rsidRPr="008C4344">
              <w:rPr>
                <w:rFonts w:ascii="Times New Roman" w:hAnsi="Times New Roman" w:cs="Times New Roman"/>
                <w:bCs/>
                <w:sz w:val="16"/>
                <w:szCs w:val="16"/>
                <w:lang w:val="ro-MD"/>
              </w:rPr>
              <w:t>Biroul Național de Statistică</w:t>
            </w:r>
            <w:bookmarkEnd w:id="125"/>
            <w:bookmarkEnd w:id="126"/>
          </w:p>
        </w:tc>
        <w:tc>
          <w:tcPr>
            <w:tcW w:w="3226" w:type="pct"/>
          </w:tcPr>
          <w:p w14:paraId="3A3850D7" w14:textId="77777777" w:rsidR="003836D9" w:rsidRPr="008C4344" w:rsidRDefault="003836D9" w:rsidP="000F5AFC">
            <w:pPr>
              <w:jc w:val="both"/>
              <w:outlineLvl w:val="0"/>
              <w:rPr>
                <w:rFonts w:ascii="Times New Roman" w:hAnsi="Times New Roman" w:cs="Times New Roman"/>
                <w:bCs/>
                <w:sz w:val="16"/>
                <w:szCs w:val="16"/>
                <w:lang w:val="ro-MD"/>
              </w:rPr>
            </w:pPr>
            <w:bookmarkStart w:id="127" w:name="_Toc39583062"/>
            <w:bookmarkStart w:id="128" w:name="_Toc40824054"/>
            <w:r w:rsidRPr="008C4344">
              <w:rPr>
                <w:rFonts w:ascii="Times New Roman" w:hAnsi="Times New Roman" w:cs="Times New Roman"/>
                <w:bCs/>
                <w:sz w:val="16"/>
                <w:szCs w:val="16"/>
                <w:lang w:val="ro-MD"/>
              </w:rPr>
              <w:t>Instituție c</w:t>
            </w:r>
            <w:r w:rsidRPr="008C4344">
              <w:rPr>
                <w:rFonts w:ascii="Times New Roman" w:hAnsi="Times New Roman" w:cs="Times New Roman"/>
                <w:sz w:val="16"/>
                <w:szCs w:val="16"/>
                <w:lang w:val="ro-MD"/>
              </w:rPr>
              <w:t>are gestionează şi coordonează activitatea în domeniul statisticii din țară, inclusiv domeniul migrației.</w:t>
            </w:r>
            <w:bookmarkEnd w:id="127"/>
            <w:bookmarkEnd w:id="128"/>
            <w:r w:rsidRPr="008C4344">
              <w:rPr>
                <w:rFonts w:ascii="Times New Roman" w:hAnsi="Times New Roman" w:cs="Times New Roman"/>
                <w:sz w:val="16"/>
                <w:szCs w:val="16"/>
                <w:lang w:val="ro-MD"/>
              </w:rPr>
              <w:t xml:space="preserve"> </w:t>
            </w:r>
          </w:p>
        </w:tc>
      </w:tr>
    </w:tbl>
    <w:p w14:paraId="2140D669" w14:textId="77777777" w:rsidR="003836D9" w:rsidRPr="003836D9" w:rsidRDefault="003836D9" w:rsidP="003836D9">
      <w:pPr>
        <w:jc w:val="both"/>
        <w:outlineLvl w:val="0"/>
        <w:rPr>
          <w:rFonts w:ascii="Times New Roman" w:hAnsi="Times New Roman" w:cs="Times New Roman"/>
          <w:bCs/>
          <w:sz w:val="16"/>
          <w:szCs w:val="20"/>
          <w:lang w:val="ro-MD"/>
        </w:rPr>
      </w:pPr>
      <w:bookmarkStart w:id="129" w:name="_Toc40824055"/>
      <w:r w:rsidRPr="003836D9">
        <w:rPr>
          <w:rFonts w:ascii="Times New Roman" w:hAnsi="Times New Roman" w:cs="Times New Roman"/>
          <w:bCs/>
          <w:i/>
          <w:iCs/>
          <w:sz w:val="16"/>
          <w:szCs w:val="20"/>
          <w:lang w:val="ro-MD"/>
        </w:rPr>
        <w:t>Sursa: Sistematizat de autori</w:t>
      </w:r>
      <w:bookmarkEnd w:id="129"/>
    </w:p>
    <w:p w14:paraId="4F6E4A2B" w14:textId="77777777" w:rsidR="003836D9" w:rsidRPr="003836D9" w:rsidRDefault="003836D9" w:rsidP="003836D9">
      <w:pPr>
        <w:spacing w:after="0" w:line="240" w:lineRule="auto"/>
        <w:jc w:val="both"/>
        <w:outlineLvl w:val="0"/>
        <w:rPr>
          <w:rFonts w:ascii="Times New Roman" w:hAnsi="Times New Roman" w:cs="Times New Roman"/>
          <w:b/>
          <w:sz w:val="18"/>
          <w:szCs w:val="18"/>
          <w:lang w:val="ro-MD"/>
        </w:rPr>
      </w:pPr>
    </w:p>
    <w:p w14:paraId="7F16D8F9" w14:textId="21F4EC20" w:rsidR="003836D9" w:rsidRDefault="003836D9" w:rsidP="003836D9">
      <w:pPr>
        <w:jc w:val="both"/>
        <w:outlineLvl w:val="0"/>
        <w:rPr>
          <w:rFonts w:ascii="Times New Roman" w:hAnsi="Times New Roman" w:cs="Times New Roman"/>
          <w:bCs/>
          <w:lang w:val="ro-MD"/>
        </w:rPr>
      </w:pPr>
      <w:bookmarkStart w:id="130" w:name="_Toc40824056"/>
      <w:r w:rsidRPr="003836D9">
        <w:rPr>
          <w:rFonts w:ascii="Times New Roman" w:hAnsi="Times New Roman" w:cs="Times New Roman"/>
          <w:b/>
          <w:lang w:val="ro-MD"/>
        </w:rPr>
        <w:t>În pofida corespunderii cadrului legal și instituțional normelor internaționale, percepția mediului de afaceri este diferită.</w:t>
      </w:r>
      <w:r w:rsidRPr="003836D9">
        <w:rPr>
          <w:rFonts w:ascii="Times New Roman" w:hAnsi="Times New Roman" w:cs="Times New Roman"/>
          <w:bCs/>
          <w:lang w:val="ro-MD"/>
        </w:rPr>
        <w:t xml:space="preserve"> Concluziile date reflectă poziția angajatorilor, care în continuare consideră procesul de </w:t>
      </w:r>
      <w:r w:rsidRPr="003836D9">
        <w:rPr>
          <w:rFonts w:ascii="Times New Roman" w:hAnsi="Times New Roman" w:cs="Times New Roman"/>
          <w:bCs/>
          <w:lang w:val="ro-MD"/>
        </w:rPr>
        <w:lastRenderedPageBreak/>
        <w:t xml:space="preserve">angajare a lucrătorilor străini unul destul de complicat. Astfel, conform indicatorului relevant din Indicele Global al Competitivității și anume </w:t>
      </w:r>
      <w:r w:rsidRPr="003836D9">
        <w:rPr>
          <w:rFonts w:ascii="Times New Roman" w:hAnsi="Times New Roman" w:cs="Times New Roman"/>
          <w:bCs/>
          <w:i/>
          <w:iCs/>
          <w:lang w:val="ro-MD"/>
        </w:rPr>
        <w:t>”ușurința de angajare a lucrătorilor străin</w:t>
      </w:r>
      <w:r w:rsidRPr="00450795">
        <w:rPr>
          <w:rFonts w:ascii="Times New Roman" w:hAnsi="Times New Roman" w:cs="Times New Roman"/>
          <w:bCs/>
          <w:i/>
          <w:iCs/>
          <w:lang w:val="ro-MD"/>
        </w:rPr>
        <w:t>i”</w:t>
      </w:r>
      <w:r w:rsidRPr="00450795">
        <w:rPr>
          <w:rFonts w:ascii="Times New Roman" w:hAnsi="Times New Roman" w:cs="Times New Roman"/>
          <w:bCs/>
          <w:lang w:val="ro-MD"/>
        </w:rPr>
        <w:t>,</w:t>
      </w:r>
      <w:r w:rsidRPr="003836D9">
        <w:rPr>
          <w:rFonts w:ascii="Times New Roman" w:hAnsi="Times New Roman" w:cs="Times New Roman"/>
          <w:bCs/>
          <w:lang w:val="ro-MD"/>
        </w:rPr>
        <w:t xml:space="preserve"> Republica Moldova înregistrează un grad mediu de flexibilitate la acest capitol (scor de 4,1 din maximum 7)</w:t>
      </w:r>
      <w:r w:rsidRPr="003836D9">
        <w:rPr>
          <w:rStyle w:val="FootnoteReference"/>
          <w:rFonts w:ascii="Times New Roman" w:hAnsi="Times New Roman" w:cs="Times New Roman"/>
          <w:bCs/>
          <w:lang w:val="ro-MD"/>
        </w:rPr>
        <w:footnoteReference w:id="42"/>
      </w:r>
      <w:r w:rsidRPr="003836D9">
        <w:rPr>
          <w:rFonts w:ascii="Times New Roman" w:hAnsi="Times New Roman" w:cs="Times New Roman"/>
          <w:bCs/>
          <w:lang w:val="ro-MD"/>
        </w:rPr>
        <w:t>. Deși, acesta a înregistrat o ușoară îmbunătățire în timp de la 3,8 în 2018 la 4,1</w:t>
      </w:r>
      <w:r w:rsidR="00450795">
        <w:rPr>
          <w:rFonts w:ascii="Times New Roman" w:hAnsi="Times New Roman" w:cs="Times New Roman"/>
          <w:bCs/>
          <w:lang w:val="ro-MD"/>
        </w:rPr>
        <w:t xml:space="preserve"> </w:t>
      </w:r>
      <w:r w:rsidRPr="003836D9">
        <w:rPr>
          <w:rFonts w:ascii="Times New Roman" w:hAnsi="Times New Roman" w:cs="Times New Roman"/>
          <w:bCs/>
          <w:lang w:val="ro-MD"/>
        </w:rPr>
        <w:t>în 2019</w:t>
      </w:r>
      <w:r w:rsidRPr="003836D9">
        <w:rPr>
          <w:rStyle w:val="FootnoteReference"/>
          <w:rFonts w:ascii="Times New Roman" w:hAnsi="Times New Roman" w:cs="Times New Roman"/>
          <w:bCs/>
          <w:lang w:val="ro-MD"/>
        </w:rPr>
        <w:footnoteReference w:id="43"/>
      </w:r>
      <w:r w:rsidRPr="003836D9">
        <w:rPr>
          <w:rFonts w:ascii="Times New Roman" w:hAnsi="Times New Roman" w:cs="Times New Roman"/>
          <w:bCs/>
          <w:lang w:val="ro-MD"/>
        </w:rPr>
        <w:t>, totuși, în comparație cu alte țări din clasament, țara noastră aparent întâmpină anumite carențe la acest capitol (</w:t>
      </w:r>
      <w:r w:rsidR="00D94B6B">
        <w:rPr>
          <w:rFonts w:ascii="Times New Roman" w:hAnsi="Times New Roman" w:cs="Times New Roman"/>
          <w:bCs/>
          <w:lang w:val="ro-MD"/>
        </w:rPr>
        <w:t>Fig.</w:t>
      </w:r>
      <w:r>
        <w:rPr>
          <w:rFonts w:ascii="Times New Roman" w:hAnsi="Times New Roman" w:cs="Times New Roman"/>
          <w:bCs/>
          <w:lang w:val="ro-MD"/>
        </w:rPr>
        <w:t xml:space="preserve"> 24</w:t>
      </w:r>
      <w:r w:rsidRPr="003836D9">
        <w:rPr>
          <w:rFonts w:ascii="Times New Roman" w:hAnsi="Times New Roman" w:cs="Times New Roman"/>
          <w:bCs/>
          <w:lang w:val="ro-MD"/>
        </w:rPr>
        <w:t>).</w:t>
      </w:r>
      <w:bookmarkEnd w:id="95"/>
      <w:bookmarkEnd w:id="96"/>
      <w:bookmarkEnd w:id="130"/>
      <w:r>
        <w:rPr>
          <w:rFonts w:ascii="Times New Roman" w:hAnsi="Times New Roman" w:cs="Times New Roman"/>
          <w:bCs/>
          <w:lang w:val="ro-MD"/>
        </w:rPr>
        <w:t xml:space="preserve"> </w:t>
      </w:r>
      <w:bookmarkStart w:id="131" w:name="_Toc40732492"/>
      <w:bookmarkStart w:id="132" w:name="_Toc40735437"/>
      <w:bookmarkStart w:id="133" w:name="_Toc40824057"/>
    </w:p>
    <w:p w14:paraId="16630E19" w14:textId="07A56F56" w:rsidR="003836D9" w:rsidRPr="00450795" w:rsidRDefault="00D94B6B" w:rsidP="00450795">
      <w:pPr>
        <w:jc w:val="center"/>
        <w:outlineLvl w:val="0"/>
        <w:rPr>
          <w:rFonts w:ascii="Times New Roman" w:hAnsi="Times New Roman" w:cs="Times New Roman"/>
          <w:b/>
          <w:sz w:val="20"/>
          <w:szCs w:val="20"/>
          <w:lang w:val="ro-RO"/>
        </w:rPr>
      </w:pPr>
      <w:r>
        <w:rPr>
          <w:rFonts w:ascii="Times New Roman" w:hAnsi="Times New Roman" w:cs="Times New Roman"/>
          <w:b/>
          <w:bCs/>
          <w:sz w:val="20"/>
          <w:szCs w:val="20"/>
          <w:lang w:val="ro-MD"/>
        </w:rPr>
        <w:t>Fig.</w:t>
      </w:r>
      <w:r w:rsidR="003836D9" w:rsidRPr="008C4344">
        <w:rPr>
          <w:rFonts w:ascii="Times New Roman" w:hAnsi="Times New Roman" w:cs="Times New Roman"/>
          <w:b/>
          <w:sz w:val="20"/>
          <w:szCs w:val="20"/>
          <w:lang w:val="ro-MD"/>
        </w:rPr>
        <w:t xml:space="preserve"> 24</w:t>
      </w:r>
      <w:r w:rsidR="00450795">
        <w:rPr>
          <w:rFonts w:ascii="Times New Roman" w:hAnsi="Times New Roman" w:cs="Times New Roman"/>
          <w:b/>
          <w:sz w:val="20"/>
          <w:szCs w:val="20"/>
          <w:lang w:val="ro-MD"/>
        </w:rPr>
        <w:t>.</w:t>
      </w:r>
      <w:r w:rsidR="003836D9" w:rsidRPr="008C4344">
        <w:rPr>
          <w:rFonts w:ascii="Times New Roman" w:hAnsi="Times New Roman" w:cs="Times New Roman"/>
          <w:b/>
          <w:sz w:val="20"/>
          <w:szCs w:val="20"/>
          <w:lang w:val="ro-MD"/>
        </w:rPr>
        <w:t xml:space="preserve"> Scorurile comparative pentru indicatorul </w:t>
      </w:r>
      <w:r w:rsidR="00450795">
        <w:rPr>
          <w:rFonts w:ascii="Times New Roman" w:hAnsi="Times New Roman" w:cs="Times New Roman"/>
          <w:b/>
          <w:sz w:val="20"/>
          <w:szCs w:val="20"/>
          <w:lang w:val="en-US"/>
        </w:rPr>
        <w:t>“</w:t>
      </w:r>
      <w:r w:rsidR="003836D9" w:rsidRPr="008C4344">
        <w:rPr>
          <w:rFonts w:ascii="Times New Roman" w:hAnsi="Times New Roman" w:cs="Times New Roman"/>
          <w:b/>
          <w:iCs/>
          <w:sz w:val="20"/>
          <w:szCs w:val="20"/>
          <w:lang w:val="ro-MD"/>
        </w:rPr>
        <w:t>ușurința de angajare a lucrătorilor străini”</w:t>
      </w:r>
      <w:r w:rsidR="003836D9" w:rsidRPr="008C4344">
        <w:rPr>
          <w:rFonts w:ascii="Times New Roman" w:hAnsi="Times New Roman" w:cs="Times New Roman"/>
          <w:b/>
          <w:sz w:val="20"/>
          <w:szCs w:val="20"/>
          <w:lang w:val="ro-MD"/>
        </w:rPr>
        <w:t xml:space="preserve"> conform </w:t>
      </w:r>
      <w:bookmarkEnd w:id="97"/>
      <w:bookmarkEnd w:id="131"/>
      <w:bookmarkEnd w:id="132"/>
      <w:bookmarkEnd w:id="133"/>
      <w:r w:rsidR="00450795">
        <w:rPr>
          <w:rFonts w:ascii="Times New Roman" w:hAnsi="Times New Roman" w:cs="Times New Roman"/>
          <w:b/>
          <w:sz w:val="20"/>
          <w:szCs w:val="20"/>
          <w:lang w:val="ro-MD"/>
        </w:rPr>
        <w:t>Indicelui Global al Competitivității</w:t>
      </w:r>
    </w:p>
    <w:p w14:paraId="7120888E" w14:textId="77777777" w:rsidR="003836D9" w:rsidRPr="003836D9" w:rsidRDefault="003836D9" w:rsidP="003836D9">
      <w:pPr>
        <w:spacing w:after="0"/>
        <w:jc w:val="center"/>
        <w:outlineLvl w:val="0"/>
        <w:rPr>
          <w:rFonts w:ascii="Times New Roman" w:hAnsi="Times New Roman" w:cs="Times New Roman"/>
          <w:b/>
          <w:lang w:val="ro-MD"/>
        </w:rPr>
      </w:pPr>
      <w:r w:rsidRPr="003836D9">
        <w:rPr>
          <w:rFonts w:ascii="Times New Roman" w:hAnsi="Times New Roman" w:cs="Times New Roman"/>
          <w:noProof/>
          <w:lang w:val="ru-RU" w:eastAsia="ru-RU"/>
        </w:rPr>
        <w:drawing>
          <wp:inline distT="0" distB="0" distL="0" distR="0" wp14:anchorId="38625E23" wp14:editId="5B91D896">
            <wp:extent cx="3818467" cy="2679798"/>
            <wp:effectExtent l="0" t="0" r="0" b="6350"/>
            <wp:docPr id="5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3829374" cy="2687452"/>
                    </a:xfrm>
                    <a:prstGeom prst="rect">
                      <a:avLst/>
                    </a:prstGeom>
                  </pic:spPr>
                </pic:pic>
              </a:graphicData>
            </a:graphic>
          </wp:inline>
        </w:drawing>
      </w:r>
    </w:p>
    <w:p w14:paraId="0823A7A0" w14:textId="781464B7" w:rsidR="003836D9" w:rsidRPr="003836D9" w:rsidRDefault="003836D9" w:rsidP="006538A0">
      <w:pPr>
        <w:ind w:left="1440" w:firstLine="720"/>
        <w:jc w:val="both"/>
        <w:outlineLvl w:val="0"/>
        <w:rPr>
          <w:rFonts w:ascii="Times New Roman" w:hAnsi="Times New Roman" w:cs="Times New Roman"/>
          <w:i/>
          <w:sz w:val="16"/>
          <w:szCs w:val="16"/>
          <w:lang w:val="ro-MD"/>
        </w:rPr>
      </w:pPr>
      <w:bookmarkStart w:id="134" w:name="_Toc39583065"/>
      <w:bookmarkStart w:id="135" w:name="_Toc40732493"/>
      <w:bookmarkStart w:id="136" w:name="_Toc40735438"/>
      <w:bookmarkStart w:id="137" w:name="_Toc40824058"/>
      <w:r w:rsidRPr="003836D9">
        <w:rPr>
          <w:rFonts w:ascii="Times New Roman" w:hAnsi="Times New Roman" w:cs="Times New Roman"/>
          <w:i/>
          <w:sz w:val="16"/>
          <w:szCs w:val="16"/>
          <w:lang w:val="ro-MD"/>
        </w:rPr>
        <w:t>Sursa:</w:t>
      </w:r>
      <w:r w:rsidR="006538A0">
        <w:rPr>
          <w:rFonts w:ascii="Times New Roman" w:hAnsi="Times New Roman" w:cs="Times New Roman"/>
          <w:i/>
          <w:sz w:val="16"/>
          <w:szCs w:val="16"/>
          <w:lang w:val="en-US"/>
        </w:rPr>
        <w:t>”</w:t>
      </w:r>
      <w:r w:rsidRPr="003836D9">
        <w:rPr>
          <w:rFonts w:ascii="Times New Roman" w:hAnsi="Times New Roman" w:cs="Times New Roman"/>
          <w:i/>
          <w:sz w:val="16"/>
          <w:szCs w:val="16"/>
          <w:lang w:val="ro-MD"/>
        </w:rPr>
        <w:t>The Global Competitiveness Report 2019”</w:t>
      </w:r>
      <w:bookmarkEnd w:id="134"/>
      <w:bookmarkEnd w:id="135"/>
      <w:bookmarkEnd w:id="136"/>
      <w:bookmarkEnd w:id="137"/>
    </w:p>
    <w:p w14:paraId="5AE2584D" w14:textId="55075294" w:rsidR="003836D9" w:rsidRPr="003836D9" w:rsidRDefault="003836D9" w:rsidP="003836D9">
      <w:pPr>
        <w:jc w:val="both"/>
        <w:outlineLvl w:val="0"/>
        <w:rPr>
          <w:rFonts w:ascii="Times New Roman" w:hAnsi="Times New Roman" w:cs="Times New Roman"/>
          <w:bCs/>
          <w:lang w:val="ro-MD"/>
        </w:rPr>
      </w:pPr>
      <w:bookmarkStart w:id="138" w:name="_Toc40732495"/>
      <w:bookmarkStart w:id="139" w:name="_Toc40735440"/>
      <w:bookmarkStart w:id="140" w:name="_Toc40824059"/>
      <w:r w:rsidRPr="003836D9">
        <w:rPr>
          <w:rFonts w:ascii="Times New Roman" w:hAnsi="Times New Roman" w:cs="Times New Roman"/>
          <w:b/>
          <w:lang w:val="ro-MD"/>
        </w:rPr>
        <w:t xml:space="preserve">Aprecierile angajatorilor pot fi subiective în materie de angajare a lucrătorilor străini. </w:t>
      </w:r>
      <w:r w:rsidRPr="003836D9">
        <w:rPr>
          <w:rFonts w:ascii="Times New Roman" w:hAnsi="Times New Roman" w:cs="Times New Roman"/>
          <w:bCs/>
          <w:lang w:val="ro-MD"/>
        </w:rPr>
        <w:t>Trebuie de menționat că indicatorul dat din</w:t>
      </w:r>
      <w:r w:rsidR="006538A0">
        <w:rPr>
          <w:rFonts w:ascii="Times New Roman" w:hAnsi="Times New Roman" w:cs="Times New Roman"/>
          <w:bCs/>
          <w:lang w:val="ro-MD"/>
        </w:rPr>
        <w:t xml:space="preserve"> </w:t>
      </w:r>
      <w:r w:rsidR="006538A0" w:rsidRPr="003836D9">
        <w:rPr>
          <w:rFonts w:ascii="Times New Roman" w:hAnsi="Times New Roman" w:cs="Times New Roman"/>
          <w:bCs/>
          <w:lang w:val="ro-MD"/>
        </w:rPr>
        <w:t>Indicele Global al Competitivității</w:t>
      </w:r>
      <w:r w:rsidRPr="003836D9">
        <w:rPr>
          <w:rFonts w:ascii="Times New Roman" w:hAnsi="Times New Roman" w:cs="Times New Roman"/>
          <w:bCs/>
          <w:lang w:val="ro-MD"/>
        </w:rPr>
        <w:t xml:space="preserve"> este bazat pe sondajele de opinie efectuate asupra managerilor unor companii (în mediu 100 persoane), prin urmare acesta reflectă nemijlocit opiniile managerilor, ceea ce, de fapt, implică și o anumită doză de subiectivism în aprecierea rigidității unor aspecte de pe piața muncii, în special în cazul comparării indicatorului dat cu alte țări.</w:t>
      </w:r>
      <w:bookmarkEnd w:id="138"/>
      <w:bookmarkEnd w:id="139"/>
      <w:bookmarkEnd w:id="140"/>
      <w:r w:rsidRPr="003836D9">
        <w:rPr>
          <w:rFonts w:ascii="Times New Roman" w:hAnsi="Times New Roman" w:cs="Times New Roman"/>
          <w:bCs/>
          <w:lang w:val="ro-MD"/>
        </w:rPr>
        <w:t xml:space="preserve">   </w:t>
      </w:r>
    </w:p>
    <w:p w14:paraId="2D6FCBAA" w14:textId="08ED55F0" w:rsidR="00EE1C7A" w:rsidRPr="003836D9" w:rsidRDefault="00AA0C4A" w:rsidP="00AA0C4A">
      <w:pPr>
        <w:pStyle w:val="Heading1"/>
        <w:spacing w:before="0" w:after="160"/>
        <w:ind w:left="1080"/>
        <w:jc w:val="center"/>
        <w:rPr>
          <w:rFonts w:ascii="Times New Roman" w:eastAsia="Calibri" w:hAnsi="Times New Roman" w:cs="Times New Roman"/>
          <w:b/>
          <w:color w:val="auto"/>
          <w:sz w:val="24"/>
          <w:szCs w:val="24"/>
          <w:lang w:val="ro-MD"/>
        </w:rPr>
      </w:pPr>
      <w:bookmarkStart w:id="141" w:name="_Toc72745856"/>
      <w:bookmarkStart w:id="142" w:name="_Toc97709297"/>
      <w:r w:rsidRPr="003836D9">
        <w:rPr>
          <w:rFonts w:ascii="Times New Roman" w:eastAsia="Calibri" w:hAnsi="Times New Roman" w:cs="Times New Roman"/>
          <w:b/>
          <w:color w:val="auto"/>
          <w:sz w:val="24"/>
          <w:szCs w:val="24"/>
          <w:lang w:val="ro-MD"/>
        </w:rPr>
        <w:t xml:space="preserve">Capitolul III. </w:t>
      </w:r>
      <w:r w:rsidR="008714D5" w:rsidRPr="003836D9">
        <w:rPr>
          <w:rFonts w:ascii="Times New Roman" w:eastAsia="Calibri" w:hAnsi="Times New Roman" w:cs="Times New Roman"/>
          <w:b/>
          <w:color w:val="auto"/>
          <w:sz w:val="24"/>
          <w:szCs w:val="24"/>
          <w:lang w:val="ro-MD"/>
        </w:rPr>
        <w:t>Obiective</w:t>
      </w:r>
      <w:r w:rsidRPr="003836D9">
        <w:rPr>
          <w:rFonts w:ascii="Times New Roman" w:eastAsia="Calibri" w:hAnsi="Times New Roman" w:cs="Times New Roman"/>
          <w:b/>
          <w:color w:val="auto"/>
          <w:sz w:val="24"/>
          <w:szCs w:val="24"/>
          <w:lang w:val="ro-MD"/>
        </w:rPr>
        <w:t xml:space="preserve"> generale și </w:t>
      </w:r>
      <w:r w:rsidR="00B75812" w:rsidRPr="003836D9">
        <w:rPr>
          <w:rFonts w:ascii="Times New Roman" w:eastAsia="Calibri" w:hAnsi="Times New Roman" w:cs="Times New Roman"/>
          <w:b/>
          <w:color w:val="auto"/>
          <w:sz w:val="24"/>
          <w:szCs w:val="24"/>
          <w:lang w:val="ro-MD"/>
        </w:rPr>
        <w:t>O</w:t>
      </w:r>
      <w:r w:rsidRPr="003836D9">
        <w:rPr>
          <w:rFonts w:ascii="Times New Roman" w:eastAsia="Calibri" w:hAnsi="Times New Roman" w:cs="Times New Roman"/>
          <w:b/>
          <w:color w:val="auto"/>
          <w:sz w:val="24"/>
          <w:szCs w:val="24"/>
          <w:lang w:val="ro-MD"/>
        </w:rPr>
        <w:t>biective specifice</w:t>
      </w:r>
      <w:bookmarkEnd w:id="141"/>
      <w:bookmarkEnd w:id="142"/>
    </w:p>
    <w:p w14:paraId="6BE67FB4" w14:textId="2E013606" w:rsidR="008371AA" w:rsidRPr="003836D9" w:rsidRDefault="008371AA" w:rsidP="00904983">
      <w:pPr>
        <w:pStyle w:val="Heading2"/>
        <w:spacing w:before="0" w:after="160" w:line="259" w:lineRule="auto"/>
        <w:ind w:left="360"/>
        <w:jc w:val="center"/>
        <w:rPr>
          <w:rFonts w:ascii="Times New Roman" w:hAnsi="Times New Roman"/>
          <w:color w:val="auto"/>
          <w:sz w:val="24"/>
          <w:szCs w:val="24"/>
          <w:lang w:val="ro-MD"/>
        </w:rPr>
      </w:pPr>
      <w:bookmarkStart w:id="143" w:name="_Toc72745858"/>
      <w:r w:rsidRPr="003836D9">
        <w:rPr>
          <w:rFonts w:ascii="Times New Roman" w:hAnsi="Times New Roman"/>
          <w:color w:val="auto"/>
          <w:sz w:val="24"/>
          <w:szCs w:val="24"/>
          <w:lang w:val="ro-MD"/>
        </w:rPr>
        <w:t>Priorități de politici</w:t>
      </w:r>
      <w:bookmarkEnd w:id="143"/>
      <w:r w:rsidR="005573C4" w:rsidRPr="003836D9">
        <w:rPr>
          <w:rFonts w:ascii="Times New Roman" w:hAnsi="Times New Roman"/>
          <w:color w:val="auto"/>
          <w:sz w:val="24"/>
          <w:szCs w:val="24"/>
          <w:lang w:val="ro-MD"/>
        </w:rPr>
        <w:t>: context general</w:t>
      </w:r>
    </w:p>
    <w:p w14:paraId="04BE09CA" w14:textId="47375E42" w:rsidR="008371AA" w:rsidRPr="003836D9" w:rsidRDefault="00FA5917" w:rsidP="00FA5917">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O</w:t>
      </w:r>
      <w:r w:rsidR="008371AA" w:rsidRPr="003836D9">
        <w:rPr>
          <w:rFonts w:ascii="Times New Roman" w:hAnsi="Times New Roman" w:cs="Times New Roman"/>
          <w:sz w:val="24"/>
          <w:szCs w:val="24"/>
          <w:lang w:val="ro-MD"/>
        </w:rPr>
        <w:t>pțiunil</w:t>
      </w:r>
      <w:r w:rsidRPr="003836D9">
        <w:rPr>
          <w:rFonts w:ascii="Times New Roman" w:hAnsi="Times New Roman" w:cs="Times New Roman"/>
          <w:sz w:val="24"/>
          <w:szCs w:val="24"/>
          <w:lang w:val="ro-MD"/>
        </w:rPr>
        <w:t>e</w:t>
      </w:r>
      <w:r w:rsidR="008371AA" w:rsidRPr="003836D9">
        <w:rPr>
          <w:rFonts w:ascii="Times New Roman" w:hAnsi="Times New Roman" w:cs="Times New Roman"/>
          <w:sz w:val="24"/>
          <w:szCs w:val="24"/>
          <w:lang w:val="ro-MD"/>
        </w:rPr>
        <w:t xml:space="preserve"> politici</w:t>
      </w:r>
      <w:r w:rsidRPr="003836D9">
        <w:rPr>
          <w:rFonts w:ascii="Times New Roman" w:hAnsi="Times New Roman" w:cs="Times New Roman"/>
          <w:sz w:val="24"/>
          <w:szCs w:val="24"/>
          <w:lang w:val="ro-MD"/>
        </w:rPr>
        <w:t>i</w:t>
      </w:r>
      <w:r w:rsidR="008371AA" w:rsidRPr="003836D9">
        <w:rPr>
          <w:rFonts w:ascii="Times New Roman" w:hAnsi="Times New Roman" w:cs="Times New Roman"/>
          <w:sz w:val="24"/>
          <w:szCs w:val="24"/>
          <w:lang w:val="ro-MD"/>
        </w:rPr>
        <w:t xml:space="preserve"> de ocupare a forței de muncă pentru perioada 2022-2026 </w:t>
      </w:r>
      <w:r w:rsidRPr="003836D9">
        <w:rPr>
          <w:rFonts w:ascii="Times New Roman" w:hAnsi="Times New Roman" w:cs="Times New Roman"/>
          <w:sz w:val="24"/>
          <w:szCs w:val="24"/>
          <w:lang w:val="ro-MD"/>
        </w:rPr>
        <w:t>au fost identificate țin</w:t>
      </w:r>
      <w:r w:rsidR="00BB2B8B" w:rsidRPr="003836D9">
        <w:rPr>
          <w:rFonts w:ascii="Times New Roman" w:hAnsi="Times New Roman" w:cs="Times New Roman"/>
          <w:sz w:val="24"/>
          <w:szCs w:val="24"/>
          <w:lang w:val="ro-MD"/>
        </w:rPr>
        <w:t>â</w:t>
      </w:r>
      <w:r w:rsidR="00FC4E84">
        <w:rPr>
          <w:rFonts w:ascii="Times New Roman" w:hAnsi="Times New Roman" w:cs="Times New Roman"/>
          <w:sz w:val="24"/>
          <w:szCs w:val="24"/>
          <w:lang w:val="ro-MD"/>
        </w:rPr>
        <w:t>ndu-</w:t>
      </w:r>
      <w:r w:rsidRPr="003836D9">
        <w:rPr>
          <w:rFonts w:ascii="Times New Roman" w:hAnsi="Times New Roman" w:cs="Times New Roman"/>
          <w:sz w:val="24"/>
          <w:szCs w:val="24"/>
          <w:lang w:val="ro-MD"/>
        </w:rPr>
        <w:t>se cont de:</w:t>
      </w:r>
      <w:r w:rsidR="00FC4E84">
        <w:rPr>
          <w:rFonts w:ascii="Times New Roman" w:hAnsi="Times New Roman" w:cs="Times New Roman"/>
          <w:sz w:val="24"/>
          <w:szCs w:val="24"/>
          <w:lang w:val="ro-MD"/>
        </w:rPr>
        <w:t xml:space="preserve"> </w:t>
      </w:r>
      <w:r w:rsidR="00404382">
        <w:rPr>
          <w:rFonts w:ascii="Times New Roman" w:hAnsi="Times New Roman" w:cs="Times New Roman"/>
          <w:sz w:val="24"/>
          <w:szCs w:val="24"/>
          <w:lang w:val="ro-MD"/>
        </w:rPr>
        <w:t>(i)</w:t>
      </w:r>
      <w:r w:rsidR="008371AA" w:rsidRPr="003836D9">
        <w:rPr>
          <w:rFonts w:ascii="Times New Roman" w:hAnsi="Times New Roman" w:cs="Times New Roman"/>
          <w:sz w:val="24"/>
          <w:szCs w:val="24"/>
          <w:lang w:val="ro-MD"/>
        </w:rPr>
        <w:t xml:space="preserve"> proiecțiile m</w:t>
      </w:r>
      <w:r w:rsidR="00FC4E84">
        <w:rPr>
          <w:rFonts w:ascii="Times New Roman" w:hAnsi="Times New Roman" w:cs="Times New Roman"/>
          <w:sz w:val="24"/>
          <w:szCs w:val="24"/>
          <w:lang w:val="ro-MD"/>
        </w:rPr>
        <w:t xml:space="preserve">acroeconomice disponibile și </w:t>
      </w:r>
      <w:r w:rsidR="00404382">
        <w:rPr>
          <w:rFonts w:ascii="Times New Roman" w:hAnsi="Times New Roman" w:cs="Times New Roman"/>
          <w:sz w:val="24"/>
          <w:szCs w:val="24"/>
          <w:lang w:val="ro-MD"/>
        </w:rPr>
        <w:t>(ii)</w:t>
      </w:r>
      <w:r w:rsidR="008371AA" w:rsidRPr="003836D9">
        <w:rPr>
          <w:rFonts w:ascii="Times New Roman" w:hAnsi="Times New Roman" w:cs="Times New Roman"/>
          <w:sz w:val="24"/>
          <w:szCs w:val="24"/>
          <w:lang w:val="ro-MD"/>
        </w:rPr>
        <w:t xml:space="preserve"> prioritățile de politici stabilite prin </w:t>
      </w:r>
      <w:r w:rsidR="008371AA" w:rsidRPr="003836D9">
        <w:rPr>
          <w:rFonts w:ascii="Times New Roman" w:hAnsi="Times New Roman" w:cs="Times New Roman"/>
          <w:i/>
          <w:iCs/>
          <w:sz w:val="24"/>
          <w:szCs w:val="24"/>
          <w:lang w:val="ro-MD"/>
        </w:rPr>
        <w:t>Strategia Națională de Dezvoltare 2030</w:t>
      </w:r>
      <w:r w:rsidR="008371AA" w:rsidRPr="003836D9">
        <w:rPr>
          <w:rFonts w:ascii="Times New Roman" w:hAnsi="Times New Roman" w:cs="Times New Roman"/>
          <w:sz w:val="24"/>
          <w:szCs w:val="24"/>
          <w:lang w:val="ro-MD"/>
        </w:rPr>
        <w:t xml:space="preserve">. </w:t>
      </w:r>
    </w:p>
    <w:p w14:paraId="098A455B" w14:textId="47E4061C" w:rsidR="008371AA" w:rsidRPr="003836D9" w:rsidRDefault="008371AA" w:rsidP="008371AA">
      <w:pPr>
        <w:autoSpaceDE w:val="0"/>
        <w:autoSpaceDN w:val="0"/>
        <w:adjustRightInd w:val="0"/>
        <w:jc w:val="both"/>
        <w:rPr>
          <w:rFonts w:ascii="Times New Roman" w:eastAsia="Calibri" w:hAnsi="Times New Roman" w:cs="Times New Roman"/>
          <w:sz w:val="24"/>
          <w:szCs w:val="24"/>
          <w:lang w:val="ro-MD" w:eastAsia="en-GB"/>
        </w:rPr>
      </w:pPr>
      <w:r w:rsidRPr="003836D9">
        <w:rPr>
          <w:rFonts w:ascii="Times New Roman" w:eastAsia="Calibri" w:hAnsi="Times New Roman" w:cs="Times New Roman"/>
          <w:sz w:val="24"/>
          <w:szCs w:val="24"/>
          <w:lang w:val="ro-MD" w:eastAsia="en-GB"/>
        </w:rPr>
        <w:t xml:space="preserve">În perioada 2022-2026, se presupune că economia va crește cu o rată medie de </w:t>
      </w:r>
      <w:r w:rsidR="001D4F1F">
        <w:rPr>
          <w:rFonts w:ascii="Times New Roman" w:eastAsia="Calibri" w:hAnsi="Times New Roman" w:cs="Times New Roman"/>
          <w:sz w:val="24"/>
          <w:szCs w:val="24"/>
          <w:lang w:val="ro-MD" w:eastAsia="en-GB"/>
        </w:rPr>
        <w:t>6,1</w:t>
      </w:r>
      <w:r w:rsidRPr="003836D9">
        <w:rPr>
          <w:rFonts w:ascii="Times New Roman" w:eastAsia="Calibri" w:hAnsi="Times New Roman" w:cs="Times New Roman"/>
          <w:sz w:val="24"/>
          <w:szCs w:val="24"/>
          <w:lang w:val="ro-MD" w:eastAsia="en-GB"/>
        </w:rPr>
        <w:t xml:space="preserve"> procente anual, determinată de creșterea investițiilor, consumului, cerer</w:t>
      </w:r>
      <w:r w:rsidR="00FA5917" w:rsidRPr="003836D9">
        <w:rPr>
          <w:rFonts w:ascii="Times New Roman" w:eastAsia="Calibri" w:hAnsi="Times New Roman" w:cs="Times New Roman"/>
          <w:sz w:val="24"/>
          <w:szCs w:val="24"/>
          <w:lang w:val="ro-MD" w:eastAsia="en-GB"/>
        </w:rPr>
        <w:t>i</w:t>
      </w:r>
      <w:r w:rsidR="00F40141" w:rsidRPr="003836D9">
        <w:rPr>
          <w:rFonts w:ascii="Times New Roman" w:eastAsia="Calibri" w:hAnsi="Times New Roman" w:cs="Times New Roman"/>
          <w:sz w:val="24"/>
          <w:szCs w:val="24"/>
          <w:lang w:val="ro-MD" w:eastAsia="en-GB"/>
        </w:rPr>
        <w:t>i externe</w:t>
      </w:r>
      <w:r w:rsidRPr="003836D9">
        <w:rPr>
          <w:rFonts w:ascii="Times New Roman" w:eastAsia="Calibri" w:hAnsi="Times New Roman" w:cs="Times New Roman"/>
          <w:sz w:val="24"/>
          <w:szCs w:val="24"/>
          <w:lang w:val="ro-MD" w:eastAsia="en-GB"/>
        </w:rPr>
        <w:t xml:space="preserve"> și a remitențelor, precum și de impactul reformelor care vizează îmbunătățirea mediului de afaceri, statul de drept și eliminarea lacunelor de infrastructură.</w:t>
      </w:r>
      <w:r w:rsidRPr="003836D9">
        <w:rPr>
          <w:rStyle w:val="FootnoteReference"/>
          <w:rFonts w:ascii="Times New Roman" w:eastAsia="Calibri" w:hAnsi="Times New Roman" w:cs="Times New Roman"/>
          <w:sz w:val="24"/>
          <w:szCs w:val="24"/>
          <w:lang w:val="ro-MD" w:eastAsia="en-GB"/>
        </w:rPr>
        <w:footnoteReference w:id="44"/>
      </w:r>
      <w:r w:rsidRPr="003836D9">
        <w:rPr>
          <w:rFonts w:ascii="Times New Roman" w:eastAsia="Calibri" w:hAnsi="Times New Roman" w:cs="Times New Roman"/>
          <w:sz w:val="24"/>
          <w:szCs w:val="24"/>
          <w:lang w:val="ro-MD" w:eastAsia="en-GB"/>
        </w:rPr>
        <w:t xml:space="preserve"> Creșterea mai scăzută a producției proiectată pentru perioada 2022-2026 comparativ cu </w:t>
      </w:r>
      <w:r w:rsidR="004F18E9" w:rsidRPr="003836D9">
        <w:rPr>
          <w:rFonts w:ascii="Times New Roman" w:eastAsia="Calibri" w:hAnsi="Times New Roman" w:cs="Times New Roman"/>
          <w:sz w:val="24"/>
          <w:szCs w:val="24"/>
          <w:lang w:val="ro-MD" w:eastAsia="en-GB"/>
        </w:rPr>
        <w:t xml:space="preserve">creșterea </w:t>
      </w:r>
      <w:r w:rsidRPr="003836D9">
        <w:rPr>
          <w:rFonts w:ascii="Times New Roman" w:eastAsia="Calibri" w:hAnsi="Times New Roman" w:cs="Times New Roman"/>
          <w:sz w:val="24"/>
          <w:szCs w:val="24"/>
          <w:lang w:val="ro-MD" w:eastAsia="en-GB"/>
        </w:rPr>
        <w:t>economică din 2021</w:t>
      </w:r>
      <w:r w:rsidR="004F18E9" w:rsidRPr="003836D9">
        <w:rPr>
          <w:rFonts w:ascii="Times New Roman" w:eastAsia="Calibri" w:hAnsi="Times New Roman" w:cs="Times New Roman"/>
          <w:sz w:val="24"/>
          <w:szCs w:val="24"/>
          <w:lang w:val="ro-MD" w:eastAsia="en-GB"/>
        </w:rPr>
        <w:t>,</w:t>
      </w:r>
      <w:r w:rsidRPr="003836D9">
        <w:rPr>
          <w:rFonts w:ascii="Times New Roman" w:eastAsia="Calibri" w:hAnsi="Times New Roman" w:cs="Times New Roman"/>
          <w:sz w:val="24"/>
          <w:szCs w:val="24"/>
          <w:lang w:val="ro-MD" w:eastAsia="en-GB"/>
        </w:rPr>
        <w:t xml:space="preserve"> se datorează incertitudinilor legate de </w:t>
      </w:r>
      <w:r w:rsidR="00621B4D">
        <w:rPr>
          <w:rFonts w:ascii="Times New Roman" w:eastAsia="Calibri" w:hAnsi="Times New Roman" w:cs="Times New Roman"/>
          <w:sz w:val="24"/>
          <w:szCs w:val="24"/>
          <w:lang w:val="ro-MD" w:eastAsia="en-GB"/>
        </w:rPr>
        <w:t xml:space="preserve">războiul din Ucraina, </w:t>
      </w:r>
      <w:r w:rsidRPr="003836D9">
        <w:rPr>
          <w:rFonts w:ascii="Times New Roman" w:eastAsia="Calibri" w:hAnsi="Times New Roman" w:cs="Times New Roman"/>
          <w:sz w:val="24"/>
          <w:szCs w:val="24"/>
          <w:lang w:val="ro-MD" w:eastAsia="en-GB"/>
        </w:rPr>
        <w:t xml:space="preserve">criza </w:t>
      </w:r>
      <w:r w:rsidR="00621B4D">
        <w:rPr>
          <w:rFonts w:ascii="Times New Roman" w:eastAsia="Calibri" w:hAnsi="Times New Roman" w:cs="Times New Roman"/>
          <w:sz w:val="24"/>
          <w:szCs w:val="24"/>
          <w:lang w:val="ro-MD" w:eastAsia="en-GB"/>
        </w:rPr>
        <w:t xml:space="preserve">energetică și prețurile la energie, inflația, criza </w:t>
      </w:r>
      <w:r w:rsidR="004F18E9" w:rsidRPr="003836D9">
        <w:rPr>
          <w:rFonts w:ascii="Times New Roman" w:eastAsia="Calibri" w:hAnsi="Times New Roman" w:cs="Times New Roman"/>
          <w:sz w:val="24"/>
          <w:szCs w:val="24"/>
          <w:lang w:val="ro-MD" w:eastAsia="en-GB"/>
        </w:rPr>
        <w:t>cauzată de pandemia</w:t>
      </w:r>
      <w:r w:rsidRPr="003836D9">
        <w:rPr>
          <w:rFonts w:ascii="Times New Roman" w:eastAsia="Calibri" w:hAnsi="Times New Roman" w:cs="Times New Roman"/>
          <w:sz w:val="24"/>
          <w:szCs w:val="24"/>
          <w:lang w:val="ro-MD" w:eastAsia="en-GB"/>
        </w:rPr>
        <w:t xml:space="preserve"> </w:t>
      </w:r>
      <w:r w:rsidR="00DF67F3">
        <w:rPr>
          <w:rFonts w:ascii="Times New Roman" w:eastAsia="Calibri" w:hAnsi="Times New Roman" w:cs="Times New Roman"/>
          <w:sz w:val="24"/>
          <w:szCs w:val="24"/>
          <w:lang w:val="ro-MD" w:eastAsia="en-GB"/>
        </w:rPr>
        <w:t>COVID</w:t>
      </w:r>
      <w:r w:rsidRPr="003836D9">
        <w:rPr>
          <w:rFonts w:ascii="Times New Roman" w:eastAsia="Calibri" w:hAnsi="Times New Roman" w:cs="Times New Roman"/>
          <w:sz w:val="24"/>
          <w:szCs w:val="24"/>
          <w:lang w:val="ro-MD" w:eastAsia="en-GB"/>
        </w:rPr>
        <w:t xml:space="preserve">-19, redresarea economică a principalilor parteneri comerciali și instabilității politice din regiune. </w:t>
      </w:r>
    </w:p>
    <w:p w14:paraId="7C14AF69" w14:textId="5E2525B5" w:rsidR="005573C4" w:rsidRPr="003836D9" w:rsidRDefault="008371AA" w:rsidP="00A81900">
      <w:pPr>
        <w:autoSpaceDE w:val="0"/>
        <w:autoSpaceDN w:val="0"/>
        <w:adjustRightInd w:val="0"/>
        <w:jc w:val="both"/>
        <w:rPr>
          <w:rFonts w:ascii="Times New Roman" w:hAnsi="Times New Roman" w:cs="Times New Roman"/>
          <w:sz w:val="24"/>
          <w:szCs w:val="24"/>
          <w:lang w:val="ro-MD" w:eastAsia="it-IT"/>
        </w:rPr>
      </w:pPr>
      <w:r w:rsidRPr="003836D9">
        <w:rPr>
          <w:rFonts w:ascii="Times New Roman" w:hAnsi="Times New Roman" w:cs="Times New Roman"/>
          <w:sz w:val="24"/>
          <w:szCs w:val="24"/>
          <w:lang w:val="ro-MD" w:eastAsia="it-IT"/>
        </w:rPr>
        <w:t xml:space="preserve">Prioritățile de politici pentru îmbunătățirea per ansamblu a ocupării forței de muncă </w:t>
      </w:r>
      <w:r w:rsidR="002D6CE8" w:rsidRPr="003836D9">
        <w:rPr>
          <w:rFonts w:ascii="Times New Roman" w:hAnsi="Times New Roman" w:cs="Times New Roman"/>
          <w:sz w:val="24"/>
          <w:szCs w:val="24"/>
          <w:lang w:val="ro-MD" w:eastAsia="it-IT"/>
        </w:rPr>
        <w:t>includ politici în domeniul</w:t>
      </w:r>
      <w:r w:rsidRPr="003836D9">
        <w:rPr>
          <w:rFonts w:ascii="Times New Roman" w:hAnsi="Times New Roman" w:cs="Times New Roman"/>
          <w:sz w:val="24"/>
          <w:szCs w:val="24"/>
          <w:lang w:val="ro-MD" w:eastAsia="it-IT"/>
        </w:rPr>
        <w:t xml:space="preserve"> educație</w:t>
      </w:r>
      <w:r w:rsidR="002D6CE8" w:rsidRPr="003836D9">
        <w:rPr>
          <w:rFonts w:ascii="Times New Roman" w:hAnsi="Times New Roman" w:cs="Times New Roman"/>
          <w:sz w:val="24"/>
          <w:szCs w:val="24"/>
          <w:lang w:val="ro-MD" w:eastAsia="it-IT"/>
        </w:rPr>
        <w:t>i</w:t>
      </w:r>
      <w:r w:rsidRPr="003836D9">
        <w:rPr>
          <w:rFonts w:ascii="Times New Roman" w:hAnsi="Times New Roman" w:cs="Times New Roman"/>
          <w:sz w:val="24"/>
          <w:szCs w:val="24"/>
          <w:lang w:val="ro-MD" w:eastAsia="it-IT"/>
        </w:rPr>
        <w:t xml:space="preserve"> și form</w:t>
      </w:r>
      <w:r w:rsidR="002D6CE8" w:rsidRPr="003836D9">
        <w:rPr>
          <w:rFonts w:ascii="Times New Roman" w:hAnsi="Times New Roman" w:cs="Times New Roman"/>
          <w:sz w:val="24"/>
          <w:szCs w:val="24"/>
          <w:lang w:val="ro-MD" w:eastAsia="it-IT"/>
        </w:rPr>
        <w:t>ării profesionale</w:t>
      </w:r>
      <w:r w:rsidRPr="003836D9">
        <w:rPr>
          <w:rFonts w:ascii="Times New Roman" w:hAnsi="Times New Roman" w:cs="Times New Roman"/>
          <w:sz w:val="24"/>
          <w:szCs w:val="24"/>
          <w:lang w:val="ro-MD" w:eastAsia="it-IT"/>
        </w:rPr>
        <w:t>, dezvolt</w:t>
      </w:r>
      <w:r w:rsidR="002D6CE8" w:rsidRPr="003836D9">
        <w:rPr>
          <w:rFonts w:ascii="Times New Roman" w:hAnsi="Times New Roman" w:cs="Times New Roman"/>
          <w:sz w:val="24"/>
          <w:szCs w:val="24"/>
          <w:lang w:val="ro-MD" w:eastAsia="it-IT"/>
        </w:rPr>
        <w:t>ării</w:t>
      </w:r>
      <w:r w:rsidRPr="003836D9">
        <w:rPr>
          <w:rFonts w:ascii="Times New Roman" w:hAnsi="Times New Roman" w:cs="Times New Roman"/>
          <w:sz w:val="24"/>
          <w:szCs w:val="24"/>
          <w:lang w:val="ro-MD" w:eastAsia="it-IT"/>
        </w:rPr>
        <w:t xml:space="preserve"> sectorului privat, pieței muncii și protecției sociale. </w:t>
      </w:r>
    </w:p>
    <w:p w14:paraId="5826DF91" w14:textId="799AD487" w:rsidR="002D6CE8" w:rsidRPr="003836D9" w:rsidRDefault="008371AA" w:rsidP="00CD1F2F">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lastRenderedPageBreak/>
        <w:t>Strategi</w:t>
      </w:r>
      <w:r w:rsidR="00CD1F2F" w:rsidRPr="003836D9">
        <w:rPr>
          <w:rFonts w:ascii="Times New Roman" w:hAnsi="Times New Roman" w:cs="Times New Roman"/>
          <w:sz w:val="24"/>
          <w:szCs w:val="24"/>
          <w:lang w:val="ro-MD"/>
        </w:rPr>
        <w:t>a</w:t>
      </w:r>
      <w:r w:rsidRPr="003836D9">
        <w:rPr>
          <w:rFonts w:ascii="Times New Roman" w:hAnsi="Times New Roman" w:cs="Times New Roman"/>
          <w:sz w:val="24"/>
          <w:szCs w:val="24"/>
          <w:lang w:val="ro-MD"/>
        </w:rPr>
        <w:t xml:space="preserve"> Național</w:t>
      </w:r>
      <w:r w:rsidR="00CD1F2F" w:rsidRPr="003836D9">
        <w:rPr>
          <w:rFonts w:ascii="Times New Roman" w:hAnsi="Times New Roman" w:cs="Times New Roman"/>
          <w:sz w:val="24"/>
          <w:szCs w:val="24"/>
          <w:lang w:val="ro-MD"/>
        </w:rPr>
        <w:t>ă</w:t>
      </w:r>
      <w:r w:rsidRPr="003836D9">
        <w:rPr>
          <w:rFonts w:ascii="Times New Roman" w:hAnsi="Times New Roman" w:cs="Times New Roman"/>
          <w:sz w:val="24"/>
          <w:szCs w:val="24"/>
          <w:lang w:val="ro-MD"/>
        </w:rPr>
        <w:t xml:space="preserve"> de Dezvoltare 2030</w:t>
      </w:r>
      <w:r w:rsidR="00CD1F2F" w:rsidRPr="003836D9">
        <w:rPr>
          <w:rFonts w:ascii="Times New Roman" w:hAnsi="Times New Roman" w:cs="Times New Roman"/>
          <w:sz w:val="24"/>
          <w:szCs w:val="24"/>
          <w:lang w:val="ro-MD"/>
        </w:rPr>
        <w:t xml:space="preserve"> prevede măsuri d</w:t>
      </w:r>
      <w:r w:rsidR="00BA7E45" w:rsidRPr="003836D9">
        <w:rPr>
          <w:rFonts w:ascii="Times New Roman" w:hAnsi="Times New Roman" w:cs="Times New Roman"/>
          <w:sz w:val="24"/>
          <w:szCs w:val="24"/>
          <w:lang w:val="ro-MD"/>
        </w:rPr>
        <w:t>e</w:t>
      </w:r>
      <w:r w:rsidR="001B6015"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eficientizare</w:t>
      </w:r>
      <w:r w:rsidR="00CD1F2F"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 xml:space="preserve">a sistemului de administrare fiscală la nivel central și local; dezvoltarea infrastructurii </w:t>
      </w:r>
      <w:r w:rsidR="00F570AE" w:rsidRPr="003836D9">
        <w:rPr>
          <w:rFonts w:ascii="Times New Roman" w:hAnsi="Times New Roman" w:cs="Times New Roman"/>
          <w:sz w:val="24"/>
          <w:szCs w:val="24"/>
          <w:lang w:val="ro-MD"/>
        </w:rPr>
        <w:t>la nivel local</w:t>
      </w:r>
      <w:r w:rsidR="002D6CE8" w:rsidRPr="003836D9">
        <w:rPr>
          <w:rFonts w:ascii="Times New Roman" w:hAnsi="Times New Roman" w:cs="Times New Roman"/>
          <w:sz w:val="24"/>
          <w:szCs w:val="24"/>
          <w:lang w:val="ro-MD"/>
        </w:rPr>
        <w:t xml:space="preserve">; </w:t>
      </w:r>
      <w:r w:rsidR="00CD1F2F" w:rsidRPr="003836D9">
        <w:rPr>
          <w:rFonts w:ascii="Times New Roman" w:hAnsi="Times New Roman" w:cs="Times New Roman"/>
          <w:sz w:val="24"/>
          <w:szCs w:val="24"/>
          <w:lang w:val="ro-MD"/>
        </w:rPr>
        <w:t xml:space="preserve">de </w:t>
      </w:r>
      <w:r w:rsidR="000524F6" w:rsidRPr="003836D9">
        <w:rPr>
          <w:rFonts w:ascii="Times New Roman" w:hAnsi="Times New Roman" w:cs="Times New Roman"/>
          <w:sz w:val="24"/>
          <w:szCs w:val="24"/>
          <w:lang w:val="ro-MD"/>
        </w:rPr>
        <w:t xml:space="preserve">asigurare </w:t>
      </w:r>
      <w:r w:rsidR="00CD1F2F" w:rsidRPr="003836D9">
        <w:rPr>
          <w:rFonts w:ascii="Times New Roman" w:hAnsi="Times New Roman" w:cs="Times New Roman"/>
          <w:sz w:val="24"/>
          <w:szCs w:val="24"/>
          <w:lang w:val="ro-MD"/>
        </w:rPr>
        <w:t>a</w:t>
      </w:r>
      <w:r w:rsidR="002D6CE8" w:rsidRPr="003836D9">
        <w:rPr>
          <w:rFonts w:ascii="Times New Roman" w:hAnsi="Times New Roman" w:cs="Times New Roman"/>
          <w:b/>
          <w:bCs/>
          <w:sz w:val="24"/>
          <w:szCs w:val="24"/>
          <w:lang w:val="ro-MD"/>
        </w:rPr>
        <w:t xml:space="preserve"> </w:t>
      </w:r>
      <w:r w:rsidR="000524F6" w:rsidRPr="003836D9">
        <w:rPr>
          <w:rFonts w:ascii="Times New Roman" w:hAnsi="Times New Roman" w:cs="Times New Roman"/>
          <w:bCs/>
          <w:sz w:val="24"/>
          <w:szCs w:val="24"/>
          <w:lang w:val="ro-MD"/>
        </w:rPr>
        <w:t>accesului universal</w:t>
      </w:r>
      <w:r w:rsidR="000524F6" w:rsidRPr="003836D9">
        <w:rPr>
          <w:rFonts w:ascii="Times New Roman" w:hAnsi="Times New Roman" w:cs="Times New Roman"/>
          <w:b/>
          <w:bCs/>
          <w:sz w:val="24"/>
          <w:szCs w:val="24"/>
          <w:lang w:val="ro-MD"/>
        </w:rPr>
        <w:t xml:space="preserve"> </w:t>
      </w:r>
      <w:r w:rsidR="000524F6" w:rsidRPr="003836D9">
        <w:rPr>
          <w:rFonts w:ascii="Times New Roman" w:hAnsi="Times New Roman" w:cs="Times New Roman"/>
          <w:sz w:val="24"/>
          <w:szCs w:val="24"/>
          <w:lang w:val="ro-MD"/>
        </w:rPr>
        <w:t>la internet și servicii electronice</w:t>
      </w:r>
      <w:r w:rsidRPr="003836D9">
        <w:rPr>
          <w:rFonts w:ascii="Times New Roman" w:hAnsi="Times New Roman" w:cs="Times New Roman"/>
          <w:sz w:val="24"/>
          <w:szCs w:val="24"/>
          <w:lang w:val="ro-MD"/>
        </w:rPr>
        <w:t xml:space="preserve">; </w:t>
      </w:r>
      <w:r w:rsidR="00CD1F2F" w:rsidRPr="003836D9">
        <w:rPr>
          <w:rFonts w:ascii="Times New Roman" w:hAnsi="Times New Roman" w:cs="Times New Roman"/>
          <w:sz w:val="24"/>
          <w:szCs w:val="24"/>
          <w:lang w:val="ro-MD"/>
        </w:rPr>
        <w:t xml:space="preserve">de </w:t>
      </w:r>
      <w:r w:rsidRPr="003836D9">
        <w:rPr>
          <w:rFonts w:ascii="Times New Roman" w:hAnsi="Times New Roman" w:cs="Times New Roman"/>
          <w:sz w:val="24"/>
          <w:szCs w:val="24"/>
          <w:lang w:val="ro-MD"/>
        </w:rPr>
        <w:t>favorizare</w:t>
      </w:r>
      <w:r w:rsidR="00CD1F2F"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a unei piețe competitive a energiei</w:t>
      </w:r>
      <w:r w:rsidR="00CD1F2F" w:rsidRPr="003836D9">
        <w:rPr>
          <w:rFonts w:ascii="Times New Roman" w:hAnsi="Times New Roman" w:cs="Times New Roman"/>
          <w:sz w:val="24"/>
          <w:szCs w:val="24"/>
          <w:lang w:val="ro-MD"/>
        </w:rPr>
        <w:t xml:space="preserve"> </w:t>
      </w:r>
      <w:r w:rsidRPr="003836D9">
        <w:rPr>
          <w:rFonts w:ascii="Times New Roman" w:hAnsi="Times New Roman" w:cs="Times New Roman"/>
          <w:sz w:val="24"/>
          <w:szCs w:val="24"/>
          <w:lang w:val="ro-MD"/>
        </w:rPr>
        <w:t>și dezvoltarea energiei verzi</w:t>
      </w:r>
      <w:r w:rsidR="00F570AE" w:rsidRPr="003836D9">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w:t>
      </w:r>
      <w:r w:rsidR="00F570AE" w:rsidRPr="003836D9">
        <w:rPr>
          <w:rFonts w:ascii="Times New Roman" w:hAnsi="Times New Roman" w:cs="Times New Roman"/>
          <w:sz w:val="24"/>
          <w:szCs w:val="24"/>
          <w:lang w:val="ro-MD"/>
        </w:rPr>
        <w:t xml:space="preserve">de reformare a </w:t>
      </w:r>
      <w:r w:rsidR="00F570AE" w:rsidRPr="003836D9">
        <w:rPr>
          <w:rFonts w:ascii="Times New Roman" w:hAnsi="Times New Roman" w:cs="Times New Roman"/>
          <w:bCs/>
          <w:sz w:val="24"/>
          <w:szCs w:val="24"/>
          <w:lang w:val="ro-MD"/>
        </w:rPr>
        <w:t>sistemului de educație și formare la</w:t>
      </w:r>
      <w:r w:rsidR="00F570AE" w:rsidRPr="003836D9">
        <w:rPr>
          <w:rFonts w:ascii="Times New Roman" w:hAnsi="Times New Roman" w:cs="Times New Roman"/>
          <w:sz w:val="24"/>
          <w:szCs w:val="24"/>
          <w:lang w:val="ro-MD"/>
        </w:rPr>
        <w:t xml:space="preserve"> toate nivelurile</w:t>
      </w:r>
      <w:r w:rsidR="006D79BB" w:rsidRPr="003836D9">
        <w:rPr>
          <w:rFonts w:ascii="Times New Roman" w:hAnsi="Times New Roman" w:cs="Times New Roman"/>
          <w:sz w:val="24"/>
          <w:szCs w:val="24"/>
          <w:lang w:val="ro-MD"/>
        </w:rPr>
        <w:t xml:space="preserve"> cu scopul garantării educației relevante și de calitate pentru toți</w:t>
      </w:r>
      <w:r w:rsidR="00F570AE" w:rsidRPr="003836D9">
        <w:rPr>
          <w:rFonts w:ascii="Times New Roman" w:hAnsi="Times New Roman" w:cs="Times New Roman"/>
          <w:sz w:val="24"/>
          <w:szCs w:val="24"/>
          <w:lang w:val="ro-MD"/>
        </w:rPr>
        <w:t xml:space="preserve">; de </w:t>
      </w:r>
      <w:r w:rsidR="00F570AE" w:rsidRPr="003836D9">
        <w:rPr>
          <w:rFonts w:ascii="Times New Roman" w:hAnsi="Times New Roman" w:cs="Times New Roman"/>
          <w:color w:val="000000"/>
          <w:sz w:val="24"/>
          <w:szCs w:val="24"/>
          <w:lang w:val="ro-MD"/>
        </w:rPr>
        <w:t>îmbunătățire a legislației privind protecția concurenței și a investițiilor; extinderea serviciilor de dezvoltare a întreprinderilor și accesul simplificat la fi</w:t>
      </w:r>
      <w:r w:rsidR="001F1D8E">
        <w:rPr>
          <w:rFonts w:ascii="Times New Roman" w:hAnsi="Times New Roman" w:cs="Times New Roman"/>
          <w:color w:val="000000"/>
          <w:sz w:val="24"/>
          <w:szCs w:val="24"/>
          <w:lang w:val="ro-MD"/>
        </w:rPr>
        <w:t>nanțare, sprijin pentru inovare,</w:t>
      </w:r>
      <w:r w:rsidR="001F1D8E" w:rsidRPr="001F1D8E">
        <w:t xml:space="preserve"> </w:t>
      </w:r>
      <w:r w:rsidR="001F1D8E" w:rsidRPr="001F1D8E">
        <w:rPr>
          <w:rFonts w:ascii="Times New Roman" w:hAnsi="Times New Roman" w:cs="Times New Roman"/>
          <w:sz w:val="24"/>
          <w:szCs w:val="24"/>
          <w:lang w:val="ro-RO"/>
        </w:rPr>
        <w:t>minimizarea impactului inflației asupra veniturilor reale ale populației, implementarea mecanismelor de diminuare a sărăciei energetice</w:t>
      </w:r>
      <w:r w:rsidR="001F1D8E">
        <w:t>.</w:t>
      </w:r>
      <w:r w:rsidR="00DE6CDA" w:rsidRPr="003836D9">
        <w:rPr>
          <w:rFonts w:ascii="Times New Roman" w:hAnsi="Times New Roman" w:cs="Times New Roman"/>
          <w:color w:val="000000"/>
          <w:sz w:val="24"/>
          <w:szCs w:val="24"/>
          <w:lang w:val="ro-MD"/>
        </w:rPr>
        <w:t xml:space="preserve"> Aceste măsuri de politici vor fi implementate de Ministerul Economiei, Ministerul Educației și Cercetării</w:t>
      </w:r>
      <w:r w:rsidR="00BB7C76">
        <w:rPr>
          <w:rFonts w:ascii="Times New Roman" w:hAnsi="Times New Roman" w:cs="Times New Roman"/>
          <w:color w:val="000000"/>
          <w:sz w:val="24"/>
          <w:szCs w:val="24"/>
          <w:lang w:val="ro-MD"/>
        </w:rPr>
        <w:t xml:space="preserve"> </w:t>
      </w:r>
      <w:r w:rsidR="00BB7C76">
        <w:rPr>
          <w:rFonts w:ascii="Times New Roman" w:hAnsi="Times New Roman" w:cs="Times New Roman"/>
          <w:color w:val="000000"/>
          <w:sz w:val="24"/>
          <w:szCs w:val="24"/>
          <w:lang w:val="ro-RO"/>
        </w:rPr>
        <w:t>și</w:t>
      </w:r>
      <w:r w:rsidR="00DE6CDA" w:rsidRPr="003836D9">
        <w:rPr>
          <w:rFonts w:ascii="Times New Roman" w:hAnsi="Times New Roman" w:cs="Times New Roman"/>
          <w:color w:val="000000"/>
          <w:sz w:val="24"/>
          <w:szCs w:val="24"/>
          <w:lang w:val="ro-MD"/>
        </w:rPr>
        <w:t xml:space="preserve"> Ministerul Infrastructurii și Dezvoltării Regionale.</w:t>
      </w:r>
    </w:p>
    <w:p w14:paraId="48A11417" w14:textId="6D60A324" w:rsidR="008371AA" w:rsidRPr="003836D9" w:rsidRDefault="00F570AE" w:rsidP="006427B2">
      <w:pPr>
        <w:autoSpaceDE w:val="0"/>
        <w:autoSpaceDN w:val="0"/>
        <w:adjustRightInd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P</w:t>
      </w:r>
      <w:r w:rsidR="008371AA" w:rsidRPr="003836D9">
        <w:rPr>
          <w:rFonts w:ascii="Times New Roman" w:hAnsi="Times New Roman" w:cs="Times New Roman"/>
          <w:sz w:val="24"/>
          <w:szCs w:val="24"/>
          <w:lang w:val="ro-MD"/>
        </w:rPr>
        <w:t>rogresele domenii</w:t>
      </w:r>
      <w:r w:rsidRPr="003836D9">
        <w:rPr>
          <w:rFonts w:ascii="Times New Roman" w:hAnsi="Times New Roman" w:cs="Times New Roman"/>
          <w:sz w:val="24"/>
          <w:szCs w:val="24"/>
          <w:lang w:val="ro-MD"/>
        </w:rPr>
        <w:t>lor</w:t>
      </w:r>
      <w:r w:rsidR="008371AA" w:rsidRPr="003836D9">
        <w:rPr>
          <w:rFonts w:ascii="Times New Roman" w:hAnsi="Times New Roman" w:cs="Times New Roman"/>
          <w:sz w:val="24"/>
          <w:szCs w:val="24"/>
          <w:lang w:val="ro-MD"/>
        </w:rPr>
        <w:t xml:space="preserve"> de politici </w:t>
      </w:r>
      <w:r w:rsidRPr="003836D9">
        <w:rPr>
          <w:rFonts w:ascii="Times New Roman" w:hAnsi="Times New Roman" w:cs="Times New Roman"/>
          <w:sz w:val="24"/>
          <w:szCs w:val="24"/>
          <w:lang w:val="ro-MD"/>
        </w:rPr>
        <w:t xml:space="preserve">menționate mai sus </w:t>
      </w:r>
      <w:r w:rsidR="008371AA" w:rsidRPr="003836D9">
        <w:rPr>
          <w:rFonts w:ascii="Times New Roman" w:hAnsi="Times New Roman" w:cs="Times New Roman"/>
          <w:sz w:val="24"/>
          <w:szCs w:val="24"/>
          <w:lang w:val="ro-MD"/>
        </w:rPr>
        <w:t xml:space="preserve">vor </w:t>
      </w:r>
      <w:r w:rsidR="00D17FA2" w:rsidRPr="003836D9">
        <w:rPr>
          <w:rFonts w:ascii="Times New Roman" w:hAnsi="Times New Roman" w:cs="Times New Roman"/>
          <w:sz w:val="24"/>
          <w:szCs w:val="24"/>
          <w:lang w:val="ro-MD"/>
        </w:rPr>
        <w:t xml:space="preserve">fi evaluate în baza indicatorilor: rata de ocupare a populației în </w:t>
      </w:r>
      <w:r w:rsidR="0051308F" w:rsidRPr="003836D9">
        <w:rPr>
          <w:rFonts w:ascii="Times New Roman" w:hAnsi="Times New Roman" w:cs="Times New Roman"/>
          <w:sz w:val="24"/>
          <w:szCs w:val="24"/>
          <w:lang w:val="ro-MD"/>
        </w:rPr>
        <w:t>vârstă</w:t>
      </w:r>
      <w:r w:rsidR="00D17FA2" w:rsidRPr="003836D9">
        <w:rPr>
          <w:rFonts w:ascii="Times New Roman" w:hAnsi="Times New Roman" w:cs="Times New Roman"/>
          <w:sz w:val="24"/>
          <w:szCs w:val="24"/>
          <w:lang w:val="ro-MD"/>
        </w:rPr>
        <w:t xml:space="preserve"> de 15 și peste; </w:t>
      </w:r>
      <w:r w:rsidR="008371AA" w:rsidRPr="003836D9">
        <w:rPr>
          <w:rFonts w:ascii="Times New Roman" w:hAnsi="Times New Roman" w:cs="Times New Roman"/>
          <w:sz w:val="24"/>
          <w:szCs w:val="24"/>
          <w:lang w:val="ro-MD"/>
        </w:rPr>
        <w:t>performanț</w:t>
      </w:r>
      <w:r w:rsidR="00D17FA2" w:rsidRPr="003836D9">
        <w:rPr>
          <w:rFonts w:ascii="Times New Roman" w:hAnsi="Times New Roman" w:cs="Times New Roman"/>
          <w:sz w:val="24"/>
          <w:szCs w:val="24"/>
          <w:lang w:val="ro-MD"/>
        </w:rPr>
        <w:t>a</w:t>
      </w:r>
      <w:r w:rsidR="008371AA" w:rsidRPr="003836D9">
        <w:rPr>
          <w:rFonts w:ascii="Times New Roman" w:hAnsi="Times New Roman" w:cs="Times New Roman"/>
          <w:sz w:val="24"/>
          <w:szCs w:val="24"/>
          <w:lang w:val="ro-MD"/>
        </w:rPr>
        <w:t xml:space="preserve"> Republicii Moldova conform Indicelui Global al Competitivității; numărului persoanelor angajate </w:t>
      </w:r>
      <w:r w:rsidR="00D17FA2" w:rsidRPr="003836D9">
        <w:rPr>
          <w:rFonts w:ascii="Times New Roman" w:hAnsi="Times New Roman" w:cs="Times New Roman"/>
          <w:sz w:val="24"/>
          <w:szCs w:val="24"/>
          <w:lang w:val="ro-MD"/>
        </w:rPr>
        <w:t xml:space="preserve">și valoarea adăugată de IMM-uri </w:t>
      </w:r>
      <w:r w:rsidR="008371AA" w:rsidRPr="003836D9">
        <w:rPr>
          <w:rFonts w:ascii="Times New Roman" w:hAnsi="Times New Roman" w:cs="Times New Roman"/>
          <w:sz w:val="24"/>
          <w:szCs w:val="24"/>
          <w:lang w:val="ro-MD"/>
        </w:rPr>
        <w:t>(SBA Moldova); pov</w:t>
      </w:r>
      <w:r w:rsidR="00D17FA2" w:rsidRPr="003836D9">
        <w:rPr>
          <w:rFonts w:ascii="Times New Roman" w:hAnsi="Times New Roman" w:cs="Times New Roman"/>
          <w:sz w:val="24"/>
          <w:szCs w:val="24"/>
          <w:lang w:val="ro-MD"/>
        </w:rPr>
        <w:t>ara</w:t>
      </w:r>
      <w:r w:rsidR="008371AA" w:rsidRPr="003836D9">
        <w:rPr>
          <w:rFonts w:ascii="Times New Roman" w:hAnsi="Times New Roman" w:cs="Times New Roman"/>
          <w:sz w:val="24"/>
          <w:szCs w:val="24"/>
          <w:lang w:val="ro-MD"/>
        </w:rPr>
        <w:t xml:space="preserve"> fiscal</w:t>
      </w:r>
      <w:r w:rsidR="00D17FA2" w:rsidRPr="003836D9">
        <w:rPr>
          <w:rFonts w:ascii="Times New Roman" w:hAnsi="Times New Roman" w:cs="Times New Roman"/>
          <w:sz w:val="24"/>
          <w:szCs w:val="24"/>
          <w:lang w:val="ro-MD"/>
        </w:rPr>
        <w:t>ă</w:t>
      </w:r>
      <w:r w:rsidR="008371AA" w:rsidRPr="003836D9">
        <w:rPr>
          <w:rFonts w:ascii="Times New Roman" w:hAnsi="Times New Roman" w:cs="Times New Roman"/>
          <w:sz w:val="24"/>
          <w:szCs w:val="24"/>
          <w:lang w:val="ro-MD"/>
        </w:rPr>
        <w:t xml:space="preserve"> și rat</w:t>
      </w:r>
      <w:r w:rsidR="00D17FA2" w:rsidRPr="003836D9">
        <w:rPr>
          <w:rFonts w:ascii="Times New Roman" w:hAnsi="Times New Roman" w:cs="Times New Roman"/>
          <w:sz w:val="24"/>
          <w:szCs w:val="24"/>
          <w:lang w:val="ro-MD"/>
        </w:rPr>
        <w:t>a</w:t>
      </w:r>
      <w:r w:rsidR="008371AA" w:rsidRPr="003836D9">
        <w:rPr>
          <w:rFonts w:ascii="Times New Roman" w:hAnsi="Times New Roman" w:cs="Times New Roman"/>
          <w:sz w:val="24"/>
          <w:szCs w:val="24"/>
          <w:lang w:val="ro-MD"/>
        </w:rPr>
        <w:t xml:space="preserve"> de ocupare a grupurilor vulnerabile susceptibile măsurilor de descurajare fiscală (lucrători cu venituri mici și </w:t>
      </w:r>
      <w:r w:rsidR="008A3AB8" w:rsidRPr="003836D9">
        <w:rPr>
          <w:rFonts w:ascii="Times New Roman" w:hAnsi="Times New Roman" w:cs="Times New Roman"/>
          <w:sz w:val="24"/>
          <w:szCs w:val="24"/>
          <w:lang w:val="ro-MD"/>
        </w:rPr>
        <w:t>al doilea câștigător de venituri</w:t>
      </w:r>
      <w:r w:rsidR="00D17FA2" w:rsidRPr="003836D9">
        <w:rPr>
          <w:rFonts w:ascii="Times New Roman" w:hAnsi="Times New Roman" w:cs="Times New Roman"/>
          <w:sz w:val="24"/>
          <w:szCs w:val="24"/>
          <w:lang w:val="ro-MD"/>
        </w:rPr>
        <w:t xml:space="preserve">); </w:t>
      </w:r>
      <w:r w:rsidR="008371AA" w:rsidRPr="003836D9">
        <w:rPr>
          <w:rFonts w:ascii="Times New Roman" w:hAnsi="Times New Roman" w:cs="Times New Roman"/>
          <w:sz w:val="24"/>
          <w:szCs w:val="24"/>
          <w:lang w:val="ro-MD"/>
        </w:rPr>
        <w:t>ponder</w:t>
      </w:r>
      <w:r w:rsidR="00D17FA2" w:rsidRPr="003836D9">
        <w:rPr>
          <w:rFonts w:ascii="Times New Roman" w:hAnsi="Times New Roman" w:cs="Times New Roman"/>
          <w:sz w:val="24"/>
          <w:szCs w:val="24"/>
          <w:lang w:val="ro-MD"/>
        </w:rPr>
        <w:t>ea</w:t>
      </w:r>
      <w:r w:rsidR="008371AA" w:rsidRPr="003836D9">
        <w:rPr>
          <w:rFonts w:ascii="Times New Roman" w:hAnsi="Times New Roman" w:cs="Times New Roman"/>
          <w:sz w:val="24"/>
          <w:szCs w:val="24"/>
          <w:lang w:val="ro-MD"/>
        </w:rPr>
        <w:t xml:space="preserve"> lucrătorilor care se confruntă cu nepo</w:t>
      </w:r>
      <w:r w:rsidR="00D17FA2" w:rsidRPr="003836D9">
        <w:rPr>
          <w:rFonts w:ascii="Times New Roman" w:hAnsi="Times New Roman" w:cs="Times New Roman"/>
          <w:sz w:val="24"/>
          <w:szCs w:val="24"/>
          <w:lang w:val="ro-MD"/>
        </w:rPr>
        <w:t>triviri verticale de competențe</w:t>
      </w:r>
      <w:r w:rsidR="008371AA" w:rsidRPr="003836D9">
        <w:rPr>
          <w:rFonts w:ascii="Times New Roman" w:hAnsi="Times New Roman" w:cs="Times New Roman"/>
          <w:sz w:val="24"/>
          <w:szCs w:val="24"/>
          <w:lang w:val="ro-MD"/>
        </w:rPr>
        <w:t>; scoruril</w:t>
      </w:r>
      <w:r w:rsidR="00D17FA2" w:rsidRPr="003836D9">
        <w:rPr>
          <w:rFonts w:ascii="Times New Roman" w:hAnsi="Times New Roman" w:cs="Times New Roman"/>
          <w:sz w:val="24"/>
          <w:szCs w:val="24"/>
          <w:lang w:val="ro-MD"/>
        </w:rPr>
        <w:t>e</w:t>
      </w:r>
      <w:r w:rsidR="008371AA" w:rsidRPr="003836D9">
        <w:rPr>
          <w:rFonts w:ascii="Times New Roman" w:hAnsi="Times New Roman" w:cs="Times New Roman"/>
          <w:sz w:val="24"/>
          <w:szCs w:val="24"/>
          <w:lang w:val="ro-MD"/>
        </w:rPr>
        <w:t xml:space="preserve"> PISA</w:t>
      </w:r>
      <w:r w:rsidR="0051308F" w:rsidRPr="003836D9">
        <w:rPr>
          <w:rFonts w:ascii="Times New Roman" w:hAnsi="Times New Roman" w:cs="Times New Roman"/>
          <w:sz w:val="24"/>
          <w:szCs w:val="24"/>
          <w:lang w:val="ro-MD"/>
        </w:rPr>
        <w:t xml:space="preserve"> pentru Republica Moldova</w:t>
      </w:r>
      <w:r w:rsidR="008371AA" w:rsidRPr="003836D9">
        <w:rPr>
          <w:rFonts w:ascii="Times New Roman" w:hAnsi="Times New Roman" w:cs="Times New Roman"/>
          <w:sz w:val="24"/>
          <w:szCs w:val="24"/>
          <w:lang w:val="ro-MD"/>
        </w:rPr>
        <w:t xml:space="preserve">; </w:t>
      </w:r>
      <w:r w:rsidR="00D17FA2" w:rsidRPr="003836D9">
        <w:rPr>
          <w:rFonts w:ascii="Times New Roman" w:hAnsi="Times New Roman" w:cs="Times New Roman"/>
          <w:sz w:val="24"/>
          <w:szCs w:val="24"/>
          <w:lang w:val="ro-MD"/>
        </w:rPr>
        <w:t>rata de ocupare după nivelul de studii pentru ti</w:t>
      </w:r>
      <w:r w:rsidR="008371AA" w:rsidRPr="003836D9">
        <w:rPr>
          <w:rFonts w:ascii="Times New Roman" w:hAnsi="Times New Roman" w:cs="Times New Roman"/>
          <w:sz w:val="24"/>
          <w:szCs w:val="24"/>
          <w:lang w:val="ro-MD"/>
        </w:rPr>
        <w:t xml:space="preserve">neri </w:t>
      </w:r>
      <w:r w:rsidR="00D17FA2" w:rsidRPr="003836D9">
        <w:rPr>
          <w:rFonts w:ascii="Times New Roman" w:hAnsi="Times New Roman" w:cs="Times New Roman"/>
          <w:sz w:val="24"/>
          <w:szCs w:val="24"/>
          <w:lang w:val="ro-MD"/>
        </w:rPr>
        <w:t xml:space="preserve">de </w:t>
      </w:r>
      <w:r w:rsidR="008371AA" w:rsidRPr="003836D9">
        <w:rPr>
          <w:rFonts w:ascii="Times New Roman" w:hAnsi="Times New Roman" w:cs="Times New Roman"/>
          <w:sz w:val="24"/>
          <w:szCs w:val="24"/>
          <w:lang w:val="ro-MD"/>
        </w:rPr>
        <w:t>15-24 ani și populația</w:t>
      </w:r>
      <w:r w:rsidR="00D17FA2" w:rsidRPr="003836D9">
        <w:rPr>
          <w:rFonts w:ascii="Times New Roman" w:hAnsi="Times New Roman" w:cs="Times New Roman"/>
          <w:sz w:val="24"/>
          <w:szCs w:val="24"/>
          <w:lang w:val="ro-MD"/>
        </w:rPr>
        <w:t xml:space="preserve"> generală în vârstă de 15 ani și peste.</w:t>
      </w:r>
      <w:r w:rsidR="008371AA" w:rsidRPr="003836D9">
        <w:rPr>
          <w:rFonts w:ascii="Times New Roman" w:hAnsi="Times New Roman" w:cs="Times New Roman"/>
          <w:sz w:val="24"/>
          <w:szCs w:val="24"/>
          <w:lang w:val="ro-MD"/>
        </w:rPr>
        <w:t xml:space="preserve"> </w:t>
      </w:r>
    </w:p>
    <w:p w14:paraId="0F41D263" w14:textId="16DB4C05" w:rsidR="005E3F44" w:rsidRPr="00354AEC" w:rsidRDefault="006F3D80" w:rsidP="006F3D80">
      <w:pPr>
        <w:pStyle w:val="ListParagraph"/>
        <w:shd w:val="clear" w:color="auto" w:fill="FFFFFF" w:themeFill="background1"/>
        <w:ind w:left="0"/>
        <w:contextualSpacing w:val="0"/>
        <w:jc w:val="both"/>
        <w:rPr>
          <w:rFonts w:ascii="Times New Roman" w:hAnsi="Times New Roman" w:cs="Times New Roman"/>
          <w:b/>
          <w:sz w:val="24"/>
          <w:szCs w:val="24"/>
          <w:lang w:val="ro-MD"/>
        </w:rPr>
      </w:pPr>
      <w:r w:rsidRPr="00354AEC">
        <w:rPr>
          <w:rFonts w:ascii="Times New Roman" w:hAnsi="Times New Roman" w:cs="Times New Roman"/>
          <w:sz w:val="24"/>
          <w:szCs w:val="24"/>
          <w:lang w:val="ro-MD"/>
        </w:rPr>
        <w:t xml:space="preserve">În context, </w:t>
      </w:r>
      <w:r w:rsidR="00B75812" w:rsidRPr="00354AEC">
        <w:rPr>
          <w:rFonts w:ascii="Times New Roman" w:hAnsi="Times New Roman" w:cs="Times New Roman"/>
          <w:b/>
          <w:sz w:val="24"/>
          <w:szCs w:val="24"/>
          <w:lang w:val="ro-MD"/>
        </w:rPr>
        <w:t>O</w:t>
      </w:r>
      <w:r w:rsidR="005E3F44" w:rsidRPr="00354AEC">
        <w:rPr>
          <w:rFonts w:ascii="Times New Roman" w:hAnsi="Times New Roman" w:cs="Times New Roman"/>
          <w:b/>
          <w:sz w:val="24"/>
          <w:szCs w:val="24"/>
          <w:lang w:val="ro-MD"/>
        </w:rPr>
        <w:t xml:space="preserve">biectivul general al Programului este </w:t>
      </w:r>
      <w:r w:rsidR="00AA0C4A" w:rsidRPr="00354AEC">
        <w:rPr>
          <w:rFonts w:ascii="Times New Roman" w:hAnsi="Times New Roman" w:cs="Times New Roman"/>
          <w:b/>
          <w:sz w:val="24"/>
          <w:szCs w:val="24"/>
          <w:lang w:val="ro-MD"/>
        </w:rPr>
        <w:t xml:space="preserve">creșterea </w:t>
      </w:r>
      <w:r w:rsidR="00E62863" w:rsidRPr="00354AEC">
        <w:rPr>
          <w:rFonts w:ascii="Times New Roman" w:hAnsi="Times New Roman" w:cs="Times New Roman"/>
          <w:b/>
          <w:sz w:val="24"/>
          <w:szCs w:val="24"/>
          <w:lang w:val="ro-MD"/>
        </w:rPr>
        <w:t xml:space="preserve">nivelului de </w:t>
      </w:r>
      <w:r w:rsidR="00AA0C4A" w:rsidRPr="00354AEC">
        <w:rPr>
          <w:rFonts w:ascii="Times New Roman" w:hAnsi="Times New Roman" w:cs="Times New Roman"/>
          <w:b/>
          <w:sz w:val="24"/>
          <w:szCs w:val="24"/>
          <w:lang w:val="ro-MD"/>
        </w:rPr>
        <w:t xml:space="preserve">ocupare </w:t>
      </w:r>
      <w:r w:rsidR="00E62863" w:rsidRPr="00354AEC">
        <w:rPr>
          <w:rFonts w:ascii="Times New Roman" w:hAnsi="Times New Roman" w:cs="Times New Roman"/>
          <w:b/>
          <w:sz w:val="24"/>
          <w:szCs w:val="24"/>
          <w:lang w:val="ro-MD"/>
        </w:rPr>
        <w:t>a forței de muncă</w:t>
      </w:r>
      <w:r w:rsidR="00C35CB0" w:rsidRPr="00354AEC">
        <w:rPr>
          <w:rFonts w:ascii="Times New Roman" w:hAnsi="Times New Roman" w:cs="Times New Roman"/>
          <w:b/>
          <w:sz w:val="24"/>
          <w:szCs w:val="24"/>
          <w:lang w:val="ro-MD"/>
        </w:rPr>
        <w:t xml:space="preserve"> și </w:t>
      </w:r>
      <w:r w:rsidR="009150F6" w:rsidRPr="00354AEC">
        <w:rPr>
          <w:rFonts w:ascii="Times New Roman" w:hAnsi="Times New Roman" w:cs="Times New Roman"/>
          <w:b/>
          <w:sz w:val="24"/>
          <w:szCs w:val="24"/>
          <w:lang w:val="ro-MD"/>
        </w:rPr>
        <w:t xml:space="preserve">a </w:t>
      </w:r>
      <w:r w:rsidR="00C35CB0" w:rsidRPr="00354AEC">
        <w:rPr>
          <w:rFonts w:ascii="Times New Roman" w:hAnsi="Times New Roman" w:cs="Times New Roman"/>
          <w:b/>
          <w:sz w:val="24"/>
          <w:szCs w:val="24"/>
          <w:lang w:val="ro-MD"/>
        </w:rPr>
        <w:t>accesului pe piața muncii</w:t>
      </w:r>
      <w:r w:rsidR="00B75812" w:rsidRPr="00354AEC">
        <w:rPr>
          <w:rFonts w:ascii="Times New Roman" w:hAnsi="Times New Roman" w:cs="Times New Roman"/>
          <w:b/>
          <w:sz w:val="24"/>
          <w:szCs w:val="24"/>
          <w:lang w:val="ro-MD"/>
        </w:rPr>
        <w:t xml:space="preserve"> pentru toți</w:t>
      </w:r>
      <w:r w:rsidR="005E3F44" w:rsidRPr="00354AEC">
        <w:rPr>
          <w:rFonts w:ascii="Times New Roman" w:hAnsi="Times New Roman" w:cs="Times New Roman"/>
          <w:b/>
          <w:sz w:val="24"/>
          <w:szCs w:val="24"/>
          <w:lang w:val="ro-MD"/>
        </w:rPr>
        <w:t xml:space="preserve">. </w:t>
      </w:r>
    </w:p>
    <w:p w14:paraId="5370EBFC" w14:textId="5CC6140C" w:rsidR="008371AA" w:rsidRPr="00354AEC" w:rsidRDefault="006F3D80" w:rsidP="00967B81">
      <w:pPr>
        <w:tabs>
          <w:tab w:val="center" w:pos="4513"/>
        </w:tabs>
        <w:jc w:val="both"/>
        <w:rPr>
          <w:rFonts w:ascii="Times New Roman" w:hAnsi="Times New Roman" w:cs="Times New Roman"/>
          <w:sz w:val="24"/>
          <w:szCs w:val="24"/>
          <w:lang w:val="ro-MD"/>
        </w:rPr>
      </w:pPr>
      <w:r w:rsidRPr="00354AEC">
        <w:rPr>
          <w:rFonts w:ascii="Times New Roman" w:hAnsi="Times New Roman" w:cs="Times New Roman"/>
          <w:b/>
          <w:sz w:val="24"/>
          <w:szCs w:val="24"/>
          <w:lang w:val="ro-MD"/>
        </w:rPr>
        <w:t>O</w:t>
      </w:r>
      <w:r w:rsidR="008371AA" w:rsidRPr="00354AEC">
        <w:rPr>
          <w:rFonts w:ascii="Times New Roman" w:hAnsi="Times New Roman" w:cs="Times New Roman"/>
          <w:b/>
          <w:sz w:val="24"/>
          <w:szCs w:val="24"/>
          <w:lang w:val="ro-MD"/>
        </w:rPr>
        <w:t>biective</w:t>
      </w:r>
      <w:r w:rsidRPr="00354AEC">
        <w:rPr>
          <w:rFonts w:ascii="Times New Roman" w:hAnsi="Times New Roman" w:cs="Times New Roman"/>
          <w:b/>
          <w:sz w:val="24"/>
          <w:szCs w:val="24"/>
          <w:lang w:val="ro-MD"/>
        </w:rPr>
        <w:t>le</w:t>
      </w:r>
      <w:r w:rsidR="008371AA" w:rsidRPr="00354AEC">
        <w:rPr>
          <w:rFonts w:ascii="Times New Roman" w:hAnsi="Times New Roman" w:cs="Times New Roman"/>
          <w:b/>
          <w:sz w:val="24"/>
          <w:szCs w:val="24"/>
          <w:lang w:val="ro-MD"/>
        </w:rPr>
        <w:t xml:space="preserve"> </w:t>
      </w:r>
      <w:r w:rsidR="00967B81" w:rsidRPr="00354AEC">
        <w:rPr>
          <w:rFonts w:ascii="Times New Roman" w:hAnsi="Times New Roman" w:cs="Times New Roman"/>
          <w:b/>
          <w:sz w:val="24"/>
          <w:szCs w:val="24"/>
          <w:lang w:val="ro-MD"/>
        </w:rPr>
        <w:t>specifice</w:t>
      </w:r>
      <w:r w:rsidR="00967B81" w:rsidRPr="00354AEC">
        <w:rPr>
          <w:rFonts w:ascii="Times New Roman" w:hAnsi="Times New Roman" w:cs="Times New Roman"/>
          <w:sz w:val="24"/>
          <w:szCs w:val="24"/>
          <w:lang w:val="ro-MD"/>
        </w:rPr>
        <w:t xml:space="preserve"> </w:t>
      </w:r>
      <w:r w:rsidR="008371AA" w:rsidRPr="00354AEC">
        <w:rPr>
          <w:rFonts w:ascii="Times New Roman" w:hAnsi="Times New Roman" w:cs="Times New Roman"/>
          <w:sz w:val="24"/>
          <w:szCs w:val="24"/>
          <w:lang w:val="ro-MD"/>
        </w:rPr>
        <w:t>ale p</w:t>
      </w:r>
      <w:r w:rsidRPr="00354AEC">
        <w:rPr>
          <w:rFonts w:ascii="Times New Roman" w:hAnsi="Times New Roman" w:cs="Times New Roman"/>
          <w:sz w:val="24"/>
          <w:szCs w:val="24"/>
          <w:lang w:val="ro-MD"/>
        </w:rPr>
        <w:t>rogramului sunt:</w:t>
      </w:r>
    </w:p>
    <w:p w14:paraId="418B5153" w14:textId="61437DF8" w:rsidR="004D70E0" w:rsidRPr="00354AEC" w:rsidRDefault="003A3AFA" w:rsidP="004D70E0">
      <w:pPr>
        <w:spacing w:after="0" w:line="240" w:lineRule="auto"/>
        <w:rPr>
          <w:rFonts w:ascii="Times New Roman" w:hAnsi="Times New Roman" w:cs="Times New Roman"/>
          <w:b/>
          <w:bCs/>
          <w:sz w:val="24"/>
          <w:szCs w:val="24"/>
          <w:lang w:val="ro-MD"/>
        </w:rPr>
      </w:pPr>
      <w:r w:rsidRPr="00354AEC">
        <w:rPr>
          <w:rFonts w:ascii="Times New Roman" w:hAnsi="Times New Roman" w:cs="Times New Roman"/>
          <w:b/>
          <w:bCs/>
          <w:sz w:val="24"/>
          <w:szCs w:val="24"/>
          <w:lang w:val="ro-MD"/>
        </w:rPr>
        <w:t xml:space="preserve">Obiectiv specific 1. </w:t>
      </w:r>
      <w:r w:rsidR="004D70E0" w:rsidRPr="00354AEC">
        <w:rPr>
          <w:rFonts w:ascii="Times New Roman" w:hAnsi="Times New Roman" w:cs="Times New Roman"/>
          <w:b/>
          <w:bCs/>
          <w:sz w:val="24"/>
          <w:szCs w:val="24"/>
          <w:lang w:val="ro-MD"/>
        </w:rPr>
        <w:t xml:space="preserve">Sporirea cu 3% și, respectiv, cu 4% a ratei de activitate și ratei de ocupare a femeilor către anul 2026. </w:t>
      </w:r>
    </w:p>
    <w:p w14:paraId="307872B1" w14:textId="77777777" w:rsidR="00F42D60" w:rsidRPr="00354AEC" w:rsidRDefault="00F42D60" w:rsidP="004D70E0">
      <w:pPr>
        <w:spacing w:after="0" w:line="240" w:lineRule="auto"/>
        <w:rPr>
          <w:rFonts w:ascii="Times New Roman" w:hAnsi="Times New Roman" w:cs="Times New Roman"/>
          <w:b/>
          <w:sz w:val="24"/>
          <w:szCs w:val="24"/>
          <w:lang w:val="ro-MD"/>
        </w:rPr>
      </w:pPr>
    </w:p>
    <w:p w14:paraId="3F0DD3B4" w14:textId="2998E495" w:rsidR="006538A0" w:rsidRPr="00354AEC" w:rsidRDefault="00F908CB" w:rsidP="00F908CB">
      <w:pPr>
        <w:pStyle w:val="ListParagraph"/>
        <w:ind w:left="0"/>
        <w:jc w:val="both"/>
        <w:rPr>
          <w:rFonts w:ascii="Times New Roman" w:hAnsi="Times New Roman" w:cs="Times New Roman"/>
          <w:sz w:val="24"/>
          <w:szCs w:val="24"/>
          <w:lang w:val="ro-MD"/>
        </w:rPr>
      </w:pPr>
      <w:r w:rsidRPr="00354AEC">
        <w:rPr>
          <w:rFonts w:ascii="Times New Roman" w:hAnsi="Times New Roman" w:cs="Times New Roman"/>
          <w:sz w:val="24"/>
          <w:szCs w:val="24"/>
          <w:lang w:val="ro-MD"/>
        </w:rPr>
        <w:t>Atingerea acestui</w:t>
      </w:r>
      <w:r w:rsidR="00FC4E84" w:rsidRPr="00354AEC">
        <w:rPr>
          <w:rFonts w:ascii="Times New Roman" w:hAnsi="Times New Roman" w:cs="Times New Roman"/>
          <w:sz w:val="24"/>
          <w:szCs w:val="24"/>
          <w:lang w:val="ro-MD"/>
        </w:rPr>
        <w:t xml:space="preserve"> obiectiv se va realiza prin: </w:t>
      </w:r>
    </w:p>
    <w:p w14:paraId="181D4FB2" w14:textId="1956D238" w:rsidR="00D66FF0" w:rsidRPr="00364132" w:rsidRDefault="00D66FF0" w:rsidP="00D66FF0">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364132">
        <w:rPr>
          <w:rFonts w:ascii="Times New Roman" w:hAnsi="Times New Roman" w:cs="Times New Roman"/>
          <w:sz w:val="24"/>
          <w:szCs w:val="24"/>
          <w:lang w:val="ro-MD"/>
        </w:rPr>
        <w:t xml:space="preserve">extinderea ofertei de servicii de îngrijire a copiilor la prețuri accesibile către toate zonele geografice ale țării și sprijinirea participării și ocupării forței de muncă, în special în rândul femeilor de vârstă de </w:t>
      </w:r>
      <w:r w:rsidRPr="00364132">
        <w:rPr>
          <w:rFonts w:ascii="Times New Roman" w:eastAsia="Times New Roman" w:hAnsi="Times New Roman" w:cs="Times New Roman"/>
          <w:sz w:val="24"/>
          <w:szCs w:val="24"/>
          <w:lang w:val="ro-MD"/>
        </w:rPr>
        <w:t>25-49 ani</w:t>
      </w:r>
      <w:r>
        <w:rPr>
          <w:rFonts w:ascii="Times New Roman" w:hAnsi="Times New Roman" w:cs="Times New Roman"/>
          <w:sz w:val="24"/>
          <w:szCs w:val="24"/>
          <w:lang w:val="ro-MD"/>
        </w:rPr>
        <w:t>;</w:t>
      </w:r>
    </w:p>
    <w:p w14:paraId="41E87B28" w14:textId="32CB741A" w:rsidR="006538A0" w:rsidRPr="00364132" w:rsidRDefault="00364132" w:rsidP="00364132">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F908CB" w:rsidRPr="00364132">
        <w:rPr>
          <w:rFonts w:ascii="Times New Roman" w:hAnsi="Times New Roman" w:cs="Times New Roman"/>
          <w:sz w:val="24"/>
          <w:szCs w:val="24"/>
          <w:lang w:val="ro-MD"/>
        </w:rPr>
        <w:t>revizuirea cadrului legal privind concediul pa</w:t>
      </w:r>
      <w:r w:rsidR="00264E18" w:rsidRPr="00364132">
        <w:rPr>
          <w:rFonts w:ascii="Times New Roman" w:hAnsi="Times New Roman" w:cs="Times New Roman"/>
          <w:sz w:val="24"/>
          <w:szCs w:val="24"/>
          <w:lang w:val="ro-MD"/>
        </w:rPr>
        <w:t>ternal</w:t>
      </w:r>
      <w:r w:rsidR="00F908CB" w:rsidRPr="00364132">
        <w:rPr>
          <w:rFonts w:ascii="Times New Roman" w:hAnsi="Times New Roman" w:cs="Times New Roman"/>
          <w:sz w:val="24"/>
          <w:szCs w:val="24"/>
          <w:lang w:val="ro-MD"/>
        </w:rPr>
        <w:t>, prestațiile de îngrijire a copiilor, protecția locului de muncă pentru a facilita angajarea părinților și a îmbunătăți echilib</w:t>
      </w:r>
      <w:r w:rsidR="00FC4E84" w:rsidRPr="00364132">
        <w:rPr>
          <w:rFonts w:ascii="Times New Roman" w:hAnsi="Times New Roman" w:cs="Times New Roman"/>
          <w:sz w:val="24"/>
          <w:szCs w:val="24"/>
          <w:lang w:val="ro-MD"/>
        </w:rPr>
        <w:t>rul dintre muncă și familie</w:t>
      </w:r>
      <w:r w:rsidR="00D66FF0">
        <w:rPr>
          <w:rFonts w:ascii="Times New Roman" w:hAnsi="Times New Roman" w:cs="Times New Roman"/>
          <w:sz w:val="24"/>
          <w:szCs w:val="24"/>
          <w:lang w:val="ro-MD"/>
        </w:rPr>
        <w:t>.</w:t>
      </w:r>
    </w:p>
    <w:p w14:paraId="7114C33F" w14:textId="6BDC9A9A" w:rsidR="007A03E8" w:rsidRDefault="007A03E8" w:rsidP="00364132">
      <w:pPr>
        <w:pStyle w:val="ListParagraph"/>
        <w:shd w:val="clear" w:color="auto" w:fill="FFFFFF" w:themeFill="background1"/>
        <w:spacing w:before="120" w:after="0"/>
        <w:ind w:left="0"/>
        <w:jc w:val="both"/>
        <w:rPr>
          <w:rFonts w:ascii="Times New Roman" w:hAnsi="Times New Roman" w:cs="Times New Roman"/>
          <w:sz w:val="24"/>
          <w:szCs w:val="24"/>
          <w:lang w:val="ro-MD"/>
        </w:rPr>
      </w:pPr>
      <w:r w:rsidRPr="00354AEC">
        <w:rPr>
          <w:rFonts w:ascii="Times New Roman" w:hAnsi="Times New Roman" w:cs="Times New Roman"/>
          <w:sz w:val="24"/>
          <w:szCs w:val="24"/>
          <w:lang w:val="ro-MD"/>
        </w:rPr>
        <w:t>Extinderea disponibilității serviciilor de îngrijire a copiilor la prețuri accesibile va crește participarea femeilor pe piața muncii. Extinderea serviciilor de îngrijire a copiilor se va baza pe o combinare de strategii. În primul rând, c</w:t>
      </w:r>
      <w:r>
        <w:rPr>
          <w:rFonts w:ascii="Times New Roman" w:hAnsi="Times New Roman" w:cs="Times New Roman"/>
          <w:sz w:val="24"/>
          <w:szCs w:val="24"/>
          <w:lang w:val="ro-MD"/>
        </w:rPr>
        <w:t>rearea</w:t>
      </w:r>
      <w:r w:rsidRPr="00354AEC">
        <w:rPr>
          <w:rFonts w:ascii="Times New Roman" w:hAnsi="Times New Roman" w:cs="Times New Roman"/>
          <w:sz w:val="24"/>
          <w:szCs w:val="24"/>
          <w:lang w:val="ro-MD"/>
        </w:rPr>
        <w:t xml:space="preserve"> unităților de îngrijire </w:t>
      </w:r>
      <w:r>
        <w:rPr>
          <w:rFonts w:ascii="Times New Roman" w:hAnsi="Times New Roman" w:cs="Times New Roman"/>
          <w:sz w:val="24"/>
          <w:szCs w:val="24"/>
          <w:lang w:val="ro-MD"/>
        </w:rPr>
        <w:t>alternativă pentru copii</w:t>
      </w:r>
      <w:r w:rsidRPr="00354AEC">
        <w:rPr>
          <w:rFonts w:ascii="Times New Roman" w:hAnsi="Times New Roman" w:cs="Times New Roman"/>
          <w:sz w:val="24"/>
          <w:szCs w:val="24"/>
          <w:lang w:val="ro-MD"/>
        </w:rPr>
        <w:t xml:space="preserve"> </w:t>
      </w:r>
      <w:r w:rsidR="00A14A18">
        <w:rPr>
          <w:rFonts w:ascii="Times New Roman" w:hAnsi="Times New Roman" w:cs="Times New Roman"/>
          <w:sz w:val="24"/>
          <w:szCs w:val="24"/>
          <w:lang w:val="ro-MD"/>
        </w:rPr>
        <w:t>în dependență de necesitățile locale</w:t>
      </w:r>
      <w:r w:rsidRPr="00354AEC">
        <w:rPr>
          <w:rFonts w:ascii="Times New Roman" w:hAnsi="Times New Roman" w:cs="Times New Roman"/>
          <w:sz w:val="24"/>
          <w:szCs w:val="24"/>
          <w:lang w:val="ro-MD"/>
        </w:rPr>
        <w:t xml:space="preserve">, pe de o parte, posibilitatea de transformare a clădirilor </w:t>
      </w:r>
      <w:r w:rsidR="00057DC1">
        <w:rPr>
          <w:rFonts w:ascii="Times New Roman" w:hAnsi="Times New Roman" w:cs="Times New Roman"/>
          <w:sz w:val="24"/>
          <w:szCs w:val="24"/>
          <w:lang w:val="ro-MD"/>
        </w:rPr>
        <w:t>existente în unități de îngrijire alternativă pentru copii</w:t>
      </w:r>
      <w:r w:rsidRPr="00354AEC">
        <w:rPr>
          <w:rFonts w:ascii="Times New Roman" w:hAnsi="Times New Roman" w:cs="Times New Roman"/>
          <w:sz w:val="24"/>
          <w:szCs w:val="24"/>
          <w:lang w:val="ro-MD"/>
        </w:rPr>
        <w:t>, pe de altă parte.</w:t>
      </w:r>
      <w:r w:rsidR="006427C6">
        <w:rPr>
          <w:rFonts w:ascii="Times New Roman" w:hAnsi="Times New Roman" w:cs="Times New Roman"/>
          <w:sz w:val="24"/>
          <w:szCs w:val="24"/>
          <w:lang w:val="ro-MD"/>
        </w:rPr>
        <w:t xml:space="preserve"> Angajatorii vor putea oferi salariaților o sumă care va acoperi o parte a cheltuielilor pentru serviciile de îngrijire a copilului.</w:t>
      </w:r>
      <w:r w:rsidRPr="00354AEC">
        <w:rPr>
          <w:rFonts w:ascii="Times New Roman" w:hAnsi="Times New Roman" w:cs="Times New Roman"/>
          <w:sz w:val="24"/>
          <w:szCs w:val="24"/>
          <w:lang w:val="ro-MD"/>
        </w:rPr>
        <w:t xml:space="preserve"> În al doilea rând, accesibilitatea serviciilor va fi abordată în baza dovezilor disponibile (</w:t>
      </w:r>
      <w:r w:rsidR="00A14A18">
        <w:rPr>
          <w:rFonts w:ascii="Times New Roman" w:hAnsi="Times New Roman" w:cs="Times New Roman"/>
          <w:sz w:val="24"/>
          <w:szCs w:val="24"/>
          <w:lang w:val="ro-MD"/>
        </w:rPr>
        <w:t>servicii de îngrijire de tip familial</w:t>
      </w:r>
      <w:r w:rsidR="00A1487A">
        <w:rPr>
          <w:rFonts w:ascii="Times New Roman" w:hAnsi="Times New Roman" w:cs="Times New Roman"/>
          <w:sz w:val="24"/>
          <w:szCs w:val="24"/>
          <w:lang w:val="ro-MD"/>
        </w:rPr>
        <w:t xml:space="preserve">, </w:t>
      </w:r>
      <w:r w:rsidR="00A14A18">
        <w:rPr>
          <w:rFonts w:ascii="Times New Roman" w:hAnsi="Times New Roman" w:cs="Times New Roman"/>
          <w:sz w:val="24"/>
          <w:szCs w:val="24"/>
          <w:lang w:val="ro-MD"/>
        </w:rPr>
        <w:t xml:space="preserve">servicii de îngrijire la domiciliu, </w:t>
      </w:r>
      <w:r w:rsidRPr="00354AEC">
        <w:rPr>
          <w:rFonts w:ascii="Times New Roman" w:hAnsi="Times New Roman" w:cs="Times New Roman"/>
          <w:sz w:val="24"/>
          <w:szCs w:val="24"/>
          <w:lang w:val="ro-MD"/>
        </w:rPr>
        <w:t xml:space="preserve">servicii de îngrijire </w:t>
      </w:r>
      <w:r w:rsidR="00A1487A">
        <w:rPr>
          <w:rFonts w:ascii="Times New Roman" w:hAnsi="Times New Roman" w:cs="Times New Roman"/>
          <w:sz w:val="24"/>
          <w:szCs w:val="24"/>
          <w:lang w:val="ro-MD"/>
        </w:rPr>
        <w:t xml:space="preserve">în cadrul </w:t>
      </w:r>
      <w:r w:rsidR="009933E9">
        <w:rPr>
          <w:rFonts w:ascii="Times New Roman" w:hAnsi="Times New Roman" w:cs="Times New Roman"/>
          <w:sz w:val="24"/>
          <w:szCs w:val="24"/>
          <w:lang w:val="ro-MD"/>
        </w:rPr>
        <w:t>entităților</w:t>
      </w:r>
      <w:r w:rsidRPr="00354AEC">
        <w:rPr>
          <w:rFonts w:ascii="Times New Roman" w:hAnsi="Times New Roman" w:cs="Times New Roman"/>
          <w:sz w:val="24"/>
          <w:szCs w:val="24"/>
          <w:lang w:val="ro-MD"/>
        </w:rPr>
        <w:t xml:space="preserve">, </w:t>
      </w:r>
      <w:r w:rsidR="00A14A18">
        <w:rPr>
          <w:rFonts w:ascii="Times New Roman" w:hAnsi="Times New Roman" w:cs="Times New Roman"/>
          <w:sz w:val="24"/>
          <w:szCs w:val="24"/>
          <w:lang w:val="ro-MD"/>
        </w:rPr>
        <w:t xml:space="preserve">creșe create de autorități publice locale, </w:t>
      </w:r>
      <w:r w:rsidR="009933E9">
        <w:rPr>
          <w:rFonts w:ascii="Times New Roman" w:hAnsi="Times New Roman" w:cs="Times New Roman"/>
          <w:sz w:val="24"/>
          <w:szCs w:val="24"/>
          <w:lang w:val="ro-MD"/>
        </w:rPr>
        <w:t xml:space="preserve">facilități fiscale </w:t>
      </w:r>
      <w:r w:rsidRPr="00354AEC">
        <w:rPr>
          <w:rFonts w:ascii="Times New Roman" w:hAnsi="Times New Roman" w:cs="Times New Roman"/>
          <w:sz w:val="24"/>
          <w:szCs w:val="24"/>
          <w:lang w:val="ro-MD"/>
        </w:rPr>
        <w:t>acordat</w:t>
      </w:r>
      <w:r w:rsidR="009933E9">
        <w:rPr>
          <w:rFonts w:ascii="Times New Roman" w:hAnsi="Times New Roman" w:cs="Times New Roman"/>
          <w:sz w:val="24"/>
          <w:szCs w:val="24"/>
          <w:lang w:val="ro-MD"/>
        </w:rPr>
        <w:t>e</w:t>
      </w:r>
      <w:r w:rsidRPr="00354AEC">
        <w:rPr>
          <w:rFonts w:ascii="Times New Roman" w:hAnsi="Times New Roman" w:cs="Times New Roman"/>
          <w:sz w:val="24"/>
          <w:szCs w:val="24"/>
          <w:lang w:val="ro-MD"/>
        </w:rPr>
        <w:t xml:space="preserve"> întreprinderilor care </w:t>
      </w:r>
      <w:r w:rsidR="009933E9">
        <w:rPr>
          <w:rFonts w:ascii="Times New Roman" w:hAnsi="Times New Roman" w:cs="Times New Roman"/>
          <w:sz w:val="24"/>
          <w:szCs w:val="24"/>
          <w:lang w:val="ro-MD"/>
        </w:rPr>
        <w:t>creează unități</w:t>
      </w:r>
      <w:r w:rsidRPr="00354AEC">
        <w:rPr>
          <w:rFonts w:ascii="Times New Roman" w:hAnsi="Times New Roman" w:cs="Times New Roman"/>
          <w:sz w:val="24"/>
          <w:szCs w:val="24"/>
          <w:lang w:val="ro-MD"/>
        </w:rPr>
        <w:t xml:space="preserve"> de îngrijire copiilor). În al treilea rând, dezvoltarea unei linii de servicii dedicate în cadrul </w:t>
      </w:r>
      <w:r>
        <w:rPr>
          <w:rFonts w:ascii="Times New Roman" w:hAnsi="Times New Roman" w:cs="Times New Roman"/>
          <w:sz w:val="24"/>
          <w:szCs w:val="24"/>
          <w:lang w:val="ro-MD"/>
        </w:rPr>
        <w:t>Agenției Naționale pentru Ocuparea Forței de Muncă</w:t>
      </w:r>
      <w:r w:rsidRPr="00354AEC">
        <w:rPr>
          <w:rFonts w:ascii="Times New Roman" w:hAnsi="Times New Roman" w:cs="Times New Roman"/>
          <w:sz w:val="24"/>
          <w:szCs w:val="24"/>
          <w:lang w:val="ro-MD"/>
        </w:rPr>
        <w:t xml:space="preserve"> pentru mamele care doresc să revină pe piața muncii (perfecționare și recalificare, granturi pentru îngrijirea copiilor în timpul participării la programe active pe piața muncii și subvenții pentru angajare).</w:t>
      </w:r>
      <w:r w:rsidR="006427C6">
        <w:rPr>
          <w:rFonts w:ascii="Times New Roman" w:hAnsi="Times New Roman" w:cs="Times New Roman"/>
          <w:sz w:val="24"/>
          <w:szCs w:val="24"/>
          <w:lang w:val="ro-MD"/>
        </w:rPr>
        <w:t xml:space="preserve"> </w:t>
      </w:r>
    </w:p>
    <w:p w14:paraId="1A0FAB87" w14:textId="4554B9D4" w:rsidR="00057DC1" w:rsidRPr="00354AEC" w:rsidRDefault="00057DC1" w:rsidP="00057DC1">
      <w:pPr>
        <w:pStyle w:val="ListParagraph"/>
        <w:shd w:val="clear" w:color="auto" w:fill="FFFFFF" w:themeFill="background1"/>
        <w:spacing w:before="160"/>
        <w:ind w:left="0"/>
        <w:contextualSpacing w:val="0"/>
        <w:jc w:val="both"/>
        <w:rPr>
          <w:rFonts w:ascii="Times New Roman" w:hAnsi="Times New Roman" w:cs="Times New Roman"/>
          <w:sz w:val="24"/>
          <w:szCs w:val="24"/>
          <w:lang w:val="ro-MD"/>
        </w:rPr>
      </w:pPr>
      <w:r w:rsidRPr="00354AEC">
        <w:rPr>
          <w:rFonts w:ascii="Times New Roman" w:hAnsi="Times New Roman" w:cs="Times New Roman"/>
          <w:sz w:val="24"/>
          <w:szCs w:val="24"/>
          <w:lang w:val="ro-MD"/>
        </w:rPr>
        <w:t xml:space="preserve">Prevederile privind menținerea locului de muncă în timpul concediului de maternitate vor fi evaluate pentru a asigura revenirea femeilor la muncă fără a-și pierde funcția, pe de o parte, și </w:t>
      </w:r>
      <w:r w:rsidRPr="00354AEC">
        <w:rPr>
          <w:rFonts w:ascii="Times New Roman" w:hAnsi="Times New Roman" w:cs="Times New Roman"/>
          <w:sz w:val="24"/>
          <w:szCs w:val="24"/>
          <w:lang w:val="ro-MD"/>
        </w:rPr>
        <w:lastRenderedPageBreak/>
        <w:t xml:space="preserve">pentru a minimiza „capcanele inactivității”, pe de altă parte. Același principiu se va aplica la </w:t>
      </w:r>
      <w:r w:rsidR="00A14A18">
        <w:rPr>
          <w:rFonts w:ascii="Times New Roman" w:hAnsi="Times New Roman" w:cs="Times New Roman"/>
          <w:sz w:val="24"/>
          <w:szCs w:val="24"/>
          <w:lang w:val="ro-MD"/>
        </w:rPr>
        <w:t>elaborarea regulamentului Ministerului Muncii și Protecției Sociale</w:t>
      </w:r>
      <w:r w:rsidRPr="00354AEC">
        <w:rPr>
          <w:rFonts w:ascii="Times New Roman" w:hAnsi="Times New Roman" w:cs="Times New Roman"/>
          <w:sz w:val="24"/>
          <w:szCs w:val="24"/>
          <w:lang w:val="ro-MD"/>
        </w:rPr>
        <w:t xml:space="preserve"> privind programul flexibil de muncă pentru a asigura că cadrul legal promovează ocuparea forței de muncă, fără a afecta calitatea locurilor de muncă. </w:t>
      </w:r>
    </w:p>
    <w:p w14:paraId="6A87B0B9" w14:textId="6E8661C3" w:rsidR="0057498B" w:rsidRPr="00354AEC" w:rsidRDefault="0057498B" w:rsidP="00AC2FE4">
      <w:pPr>
        <w:pStyle w:val="ListParagraph"/>
        <w:shd w:val="clear" w:color="auto" w:fill="FFFFFF" w:themeFill="background1"/>
        <w:spacing w:before="160"/>
        <w:ind w:left="0"/>
        <w:contextualSpacing w:val="0"/>
        <w:jc w:val="both"/>
        <w:rPr>
          <w:rFonts w:ascii="Times New Roman" w:hAnsi="Times New Roman" w:cs="Times New Roman"/>
          <w:sz w:val="24"/>
          <w:szCs w:val="24"/>
          <w:lang w:val="ro-MD"/>
        </w:rPr>
      </w:pPr>
      <w:r w:rsidRPr="00354AEC">
        <w:rPr>
          <w:rFonts w:ascii="Times New Roman" w:hAnsi="Times New Roman" w:cs="Times New Roman"/>
          <w:sz w:val="24"/>
          <w:szCs w:val="24"/>
          <w:lang w:val="ro-MD"/>
        </w:rPr>
        <w:t>Concediul pa</w:t>
      </w:r>
      <w:r w:rsidR="00264E18" w:rsidRPr="00354AEC">
        <w:rPr>
          <w:rFonts w:ascii="Times New Roman" w:hAnsi="Times New Roman" w:cs="Times New Roman"/>
          <w:sz w:val="24"/>
          <w:szCs w:val="24"/>
          <w:lang w:val="ro-MD"/>
        </w:rPr>
        <w:t>tern</w:t>
      </w:r>
      <w:r w:rsidRPr="00354AEC">
        <w:rPr>
          <w:rFonts w:ascii="Times New Roman" w:hAnsi="Times New Roman" w:cs="Times New Roman"/>
          <w:sz w:val="24"/>
          <w:szCs w:val="24"/>
          <w:lang w:val="ro-MD"/>
        </w:rPr>
        <w:t xml:space="preserve">al și </w:t>
      </w:r>
      <w:r w:rsidR="00364132">
        <w:rPr>
          <w:rFonts w:ascii="Times New Roman" w:hAnsi="Times New Roman" w:cs="Times New Roman"/>
          <w:sz w:val="24"/>
          <w:szCs w:val="24"/>
          <w:lang w:val="ro-MD"/>
        </w:rPr>
        <w:t xml:space="preserve">de </w:t>
      </w:r>
      <w:r w:rsidRPr="00354AEC">
        <w:rPr>
          <w:rFonts w:ascii="Times New Roman" w:hAnsi="Times New Roman" w:cs="Times New Roman"/>
          <w:sz w:val="24"/>
          <w:szCs w:val="24"/>
          <w:lang w:val="ro-MD"/>
        </w:rPr>
        <w:t>îngrijire</w:t>
      </w:r>
      <w:r w:rsidR="00364132">
        <w:rPr>
          <w:rFonts w:ascii="Times New Roman" w:hAnsi="Times New Roman" w:cs="Times New Roman"/>
          <w:sz w:val="24"/>
          <w:szCs w:val="24"/>
          <w:lang w:val="ro-MD"/>
        </w:rPr>
        <w:t xml:space="preserve"> </w:t>
      </w:r>
      <w:r w:rsidRPr="00354AEC">
        <w:rPr>
          <w:rFonts w:ascii="Times New Roman" w:hAnsi="Times New Roman" w:cs="Times New Roman"/>
          <w:sz w:val="24"/>
          <w:szCs w:val="24"/>
          <w:lang w:val="ro-MD"/>
        </w:rPr>
        <w:t>a copiilor sunt instrumente importante pentru îmbunătățirea echilibrului între viața de familie și activitatea profesională și reducerea disparităților de gen în ceea ce privește ocuparea forței de muncă. În acest sens, cadrul legal privind concediul pa</w:t>
      </w:r>
      <w:r w:rsidR="00264E18" w:rsidRPr="00354AEC">
        <w:rPr>
          <w:rFonts w:ascii="Times New Roman" w:hAnsi="Times New Roman" w:cs="Times New Roman"/>
          <w:sz w:val="24"/>
          <w:szCs w:val="24"/>
          <w:lang w:val="ro-MD"/>
        </w:rPr>
        <w:t>ternal</w:t>
      </w:r>
      <w:r w:rsidRPr="00354AEC">
        <w:rPr>
          <w:rFonts w:ascii="Times New Roman" w:hAnsi="Times New Roman" w:cs="Times New Roman"/>
          <w:sz w:val="24"/>
          <w:szCs w:val="24"/>
          <w:lang w:val="ro-MD"/>
        </w:rPr>
        <w:t xml:space="preserve"> va fi revizuit pentru a introduce un concediu netransferabil pentru tați, precum și va fi introdusă subvenția pentru îngrijire a copilului pentru a crește accesibilitatea acestor servicii. Durata concediului pentru tați (angajați) se va majora la 1 lună, cu o acoperire de 100 procente din bugetul asigurărilor sociale de stat și va fi utilizat în prim</w:t>
      </w:r>
      <w:r w:rsidR="00057DC1">
        <w:rPr>
          <w:rFonts w:ascii="Times New Roman" w:hAnsi="Times New Roman" w:cs="Times New Roman"/>
          <w:sz w:val="24"/>
          <w:szCs w:val="24"/>
          <w:lang w:val="ro-MD"/>
        </w:rPr>
        <w:t>ul an</w:t>
      </w:r>
      <w:r w:rsidRPr="00354AEC">
        <w:rPr>
          <w:rFonts w:ascii="Times New Roman" w:hAnsi="Times New Roman" w:cs="Times New Roman"/>
          <w:sz w:val="24"/>
          <w:szCs w:val="24"/>
          <w:lang w:val="ro-MD"/>
        </w:rPr>
        <w:t xml:space="preserve"> de la naștere (sau adopție). Subvenția pentru îngrijire a copilului va fi acordată familiilor cu copii, </w:t>
      </w:r>
      <w:r w:rsidR="007665B2">
        <w:rPr>
          <w:rFonts w:ascii="Times New Roman" w:hAnsi="Times New Roman" w:cs="Times New Roman"/>
          <w:sz w:val="24"/>
          <w:szCs w:val="24"/>
          <w:lang w:val="ro-MD"/>
        </w:rPr>
        <w:t xml:space="preserve">prioritar </w:t>
      </w:r>
      <w:r w:rsidRPr="00354AEC">
        <w:rPr>
          <w:rFonts w:ascii="Times New Roman" w:hAnsi="Times New Roman" w:cs="Times New Roman"/>
          <w:sz w:val="24"/>
          <w:szCs w:val="24"/>
          <w:lang w:val="ro-MD"/>
        </w:rPr>
        <w:t xml:space="preserve">cu venituri mici. </w:t>
      </w:r>
    </w:p>
    <w:p w14:paraId="79832118" w14:textId="77777777" w:rsidR="00F017C7" w:rsidRPr="00F017C7" w:rsidRDefault="003A3AFA" w:rsidP="00F017C7">
      <w:pPr>
        <w:spacing w:after="0" w:line="240" w:lineRule="auto"/>
        <w:rPr>
          <w:rFonts w:ascii="Times New Roman" w:hAnsi="Times New Roman" w:cs="Times New Roman"/>
          <w:b/>
          <w:bCs/>
          <w:sz w:val="24"/>
          <w:szCs w:val="24"/>
          <w:lang w:val="ro-MD"/>
        </w:rPr>
      </w:pPr>
      <w:r w:rsidRPr="003836D9">
        <w:rPr>
          <w:rFonts w:ascii="Times New Roman" w:hAnsi="Times New Roman" w:cs="Times New Roman"/>
          <w:b/>
          <w:bCs/>
          <w:color w:val="000000"/>
          <w:sz w:val="24"/>
          <w:szCs w:val="24"/>
          <w:lang w:val="ro-MD"/>
        </w:rPr>
        <w:t xml:space="preserve">Obiectiv specific 2. </w:t>
      </w:r>
      <w:r w:rsidR="00F017C7" w:rsidRPr="00F017C7">
        <w:rPr>
          <w:rFonts w:ascii="Times New Roman" w:hAnsi="Times New Roman" w:cs="Times New Roman"/>
          <w:b/>
          <w:bCs/>
          <w:sz w:val="24"/>
          <w:szCs w:val="24"/>
          <w:lang w:val="ro-MD"/>
        </w:rPr>
        <w:t xml:space="preserve">Reducerea până la 18 procente a ocupării informale către anul 2026. </w:t>
      </w:r>
    </w:p>
    <w:p w14:paraId="52C756E3" w14:textId="5E69D594" w:rsidR="004A308D" w:rsidRPr="004A308D" w:rsidRDefault="004A308D" w:rsidP="004A308D">
      <w:pPr>
        <w:spacing w:before="120" w:after="0"/>
        <w:jc w:val="both"/>
        <w:rPr>
          <w:rFonts w:ascii="Times New Roman" w:hAnsi="Times New Roman" w:cs="Times New Roman"/>
          <w:color w:val="000000"/>
          <w:sz w:val="24"/>
          <w:szCs w:val="24"/>
          <w:lang w:val="ro-MD"/>
        </w:rPr>
      </w:pPr>
      <w:r w:rsidRPr="004A308D">
        <w:rPr>
          <w:rFonts w:ascii="Times New Roman" w:hAnsi="Times New Roman" w:cs="Times New Roman"/>
          <w:color w:val="000000"/>
          <w:sz w:val="24"/>
          <w:szCs w:val="24"/>
          <w:lang w:val="ro-MD"/>
        </w:rPr>
        <w:t>Obiectivul dat se va realiza prin: (i)</w:t>
      </w:r>
      <w:r w:rsidR="00FC6BF0">
        <w:rPr>
          <w:rFonts w:ascii="Times New Roman" w:hAnsi="Times New Roman" w:cs="Times New Roman"/>
          <w:color w:val="000000"/>
          <w:sz w:val="24"/>
          <w:szCs w:val="24"/>
          <w:lang w:val="ro-MD"/>
        </w:rPr>
        <w:t xml:space="preserve"> </w:t>
      </w:r>
      <w:r w:rsidRPr="004A308D">
        <w:rPr>
          <w:rFonts w:ascii="Times New Roman" w:hAnsi="Times New Roman" w:cs="Times New Roman"/>
          <w:color w:val="000000"/>
          <w:sz w:val="24"/>
          <w:szCs w:val="24"/>
          <w:lang w:val="ro-MD"/>
        </w:rPr>
        <w:t>aplica</w:t>
      </w:r>
      <w:r w:rsidR="00FC6BF0">
        <w:rPr>
          <w:rFonts w:ascii="Times New Roman" w:hAnsi="Times New Roman" w:cs="Times New Roman"/>
          <w:color w:val="000000"/>
          <w:sz w:val="24"/>
          <w:szCs w:val="24"/>
          <w:lang w:val="ro-MD"/>
        </w:rPr>
        <w:t>rea</w:t>
      </w:r>
      <w:r w:rsidRPr="004A308D">
        <w:rPr>
          <w:rFonts w:ascii="Times New Roman" w:hAnsi="Times New Roman" w:cs="Times New Roman"/>
          <w:color w:val="000000"/>
          <w:sz w:val="24"/>
          <w:szCs w:val="24"/>
          <w:lang w:val="ro-MD"/>
        </w:rPr>
        <w:t xml:space="preserve"> legislați</w:t>
      </w:r>
      <w:r w:rsidR="00FC6BF0">
        <w:rPr>
          <w:rFonts w:ascii="Times New Roman" w:hAnsi="Times New Roman" w:cs="Times New Roman"/>
          <w:color w:val="000000"/>
          <w:sz w:val="24"/>
          <w:szCs w:val="24"/>
          <w:lang w:val="ro-MD"/>
        </w:rPr>
        <w:t>ei</w:t>
      </w:r>
      <w:r w:rsidRPr="004A308D">
        <w:rPr>
          <w:rFonts w:ascii="Times New Roman" w:hAnsi="Times New Roman" w:cs="Times New Roman"/>
          <w:color w:val="000000"/>
          <w:sz w:val="24"/>
          <w:szCs w:val="24"/>
          <w:lang w:val="ro-MD"/>
        </w:rPr>
        <w:t xml:space="preserve"> privind protecția ocupării forței de muncă și egalitatea pe piața muncii pentru a contribui efectiv l</w:t>
      </w:r>
      <w:r w:rsidR="0068062C">
        <w:rPr>
          <w:rFonts w:ascii="Times New Roman" w:hAnsi="Times New Roman" w:cs="Times New Roman"/>
          <w:color w:val="000000"/>
          <w:sz w:val="24"/>
          <w:szCs w:val="24"/>
          <w:lang w:val="ro-MD"/>
        </w:rPr>
        <w:t>a reducerea ocupării informale</w:t>
      </w:r>
      <w:r w:rsidRPr="004A308D">
        <w:rPr>
          <w:rFonts w:ascii="Times New Roman" w:hAnsi="Times New Roman" w:cs="Times New Roman"/>
          <w:color w:val="000000"/>
          <w:sz w:val="24"/>
          <w:szCs w:val="24"/>
          <w:lang w:val="ro-MD"/>
        </w:rPr>
        <w:t xml:space="preserve">; ii) </w:t>
      </w:r>
      <w:r w:rsidR="0068062C">
        <w:rPr>
          <w:rFonts w:ascii="Times New Roman" w:hAnsi="Times New Roman" w:cs="Times New Roman"/>
          <w:color w:val="000000"/>
          <w:sz w:val="24"/>
          <w:szCs w:val="24"/>
          <w:lang w:val="ro-MD"/>
        </w:rPr>
        <w:t xml:space="preserve">implementarea măsurilor stimulatorii pentru a facilita trecerea agenților economici din sectorul informal la cel formal; </w:t>
      </w:r>
      <w:r w:rsidR="00CC09DB">
        <w:rPr>
          <w:rFonts w:ascii="Times New Roman" w:hAnsi="Times New Roman" w:cs="Times New Roman"/>
          <w:color w:val="000000"/>
          <w:sz w:val="24"/>
          <w:szCs w:val="24"/>
          <w:lang w:val="ro-MD"/>
        </w:rPr>
        <w:t>(iii) reglementarea formelor de muncă non–standar</w:t>
      </w:r>
      <w:r w:rsidR="00A14A18">
        <w:rPr>
          <w:rFonts w:ascii="Times New Roman" w:hAnsi="Times New Roman" w:cs="Times New Roman"/>
          <w:color w:val="000000"/>
          <w:sz w:val="24"/>
          <w:szCs w:val="24"/>
          <w:lang w:val="ro-MD"/>
        </w:rPr>
        <w:t>d</w:t>
      </w:r>
      <w:r w:rsidR="00CC09DB">
        <w:rPr>
          <w:rFonts w:ascii="Times New Roman" w:hAnsi="Times New Roman" w:cs="Times New Roman"/>
          <w:color w:val="000000"/>
          <w:sz w:val="24"/>
          <w:szCs w:val="24"/>
          <w:lang w:val="ro-MD"/>
        </w:rPr>
        <w:t>, inclusiv a activităților ocazionale desfășurate de zilieri; (</w:t>
      </w:r>
      <w:r w:rsidR="0068062C">
        <w:rPr>
          <w:rFonts w:ascii="Times New Roman" w:hAnsi="Times New Roman" w:cs="Times New Roman"/>
          <w:color w:val="000000"/>
          <w:sz w:val="24"/>
          <w:szCs w:val="24"/>
          <w:lang w:val="ro-MD"/>
        </w:rPr>
        <w:t>i</w:t>
      </w:r>
      <w:r w:rsidR="00CC09DB">
        <w:rPr>
          <w:rFonts w:ascii="Times New Roman" w:hAnsi="Times New Roman" w:cs="Times New Roman"/>
          <w:color w:val="000000"/>
          <w:sz w:val="24"/>
          <w:szCs w:val="24"/>
          <w:lang w:val="ro-MD"/>
        </w:rPr>
        <w:t>v</w:t>
      </w:r>
      <w:r w:rsidR="0068062C">
        <w:rPr>
          <w:rFonts w:ascii="Times New Roman" w:hAnsi="Times New Roman" w:cs="Times New Roman"/>
          <w:color w:val="000000"/>
          <w:sz w:val="24"/>
          <w:szCs w:val="24"/>
          <w:lang w:val="ro-MD"/>
        </w:rPr>
        <w:t xml:space="preserve">) </w:t>
      </w:r>
      <w:r>
        <w:rPr>
          <w:rFonts w:ascii="Times New Roman" w:hAnsi="Times New Roman" w:cs="Times New Roman"/>
          <w:color w:val="000000"/>
          <w:sz w:val="24"/>
          <w:szCs w:val="24"/>
          <w:lang w:val="ro-MD"/>
        </w:rPr>
        <w:t>sporirea gradului de conștientizare în r</w:t>
      </w:r>
      <w:r w:rsidR="00FC3DD0">
        <w:rPr>
          <w:rFonts w:ascii="Times New Roman" w:hAnsi="Times New Roman" w:cs="Times New Roman"/>
          <w:color w:val="000000"/>
          <w:sz w:val="24"/>
          <w:szCs w:val="24"/>
          <w:lang w:val="ro-MD"/>
        </w:rPr>
        <w:t>â</w:t>
      </w:r>
      <w:r>
        <w:rPr>
          <w:rFonts w:ascii="Times New Roman" w:hAnsi="Times New Roman" w:cs="Times New Roman"/>
          <w:color w:val="000000"/>
          <w:sz w:val="24"/>
          <w:szCs w:val="24"/>
          <w:lang w:val="ro-MD"/>
        </w:rPr>
        <w:t>ndul populației privind efectele ocupării informale</w:t>
      </w:r>
      <w:r w:rsidR="0068062C">
        <w:rPr>
          <w:rFonts w:ascii="Times New Roman" w:hAnsi="Times New Roman" w:cs="Times New Roman"/>
          <w:color w:val="000000"/>
          <w:sz w:val="24"/>
          <w:szCs w:val="24"/>
          <w:lang w:val="ro-MD"/>
        </w:rPr>
        <w:t xml:space="preserve">; </w:t>
      </w:r>
      <w:r w:rsidR="00CC09DB">
        <w:rPr>
          <w:rFonts w:ascii="Times New Roman" w:hAnsi="Times New Roman" w:cs="Times New Roman"/>
          <w:color w:val="000000"/>
          <w:sz w:val="24"/>
          <w:szCs w:val="24"/>
          <w:lang w:val="ro-MD"/>
        </w:rPr>
        <w:t>(</w:t>
      </w:r>
      <w:r w:rsidR="0068062C">
        <w:rPr>
          <w:rFonts w:ascii="Times New Roman" w:hAnsi="Times New Roman" w:cs="Times New Roman"/>
          <w:color w:val="000000"/>
          <w:sz w:val="24"/>
          <w:szCs w:val="24"/>
          <w:lang w:val="ro-MD"/>
        </w:rPr>
        <w:t>v</w:t>
      </w:r>
      <w:r>
        <w:rPr>
          <w:rFonts w:ascii="Times New Roman" w:hAnsi="Times New Roman" w:cs="Times New Roman"/>
          <w:color w:val="000000"/>
          <w:sz w:val="24"/>
          <w:szCs w:val="24"/>
          <w:lang w:val="ro-MD"/>
        </w:rPr>
        <w:t xml:space="preserve">) </w:t>
      </w:r>
      <w:r w:rsidRPr="004A308D">
        <w:rPr>
          <w:rFonts w:ascii="Times New Roman" w:hAnsi="Times New Roman" w:cs="Times New Roman"/>
          <w:color w:val="000000"/>
          <w:sz w:val="24"/>
          <w:szCs w:val="24"/>
          <w:lang w:val="ro-MD"/>
        </w:rPr>
        <w:t>revizuirea poverii fiscale asupra forței de muncă pentru lucrătorii cu venituri mici pentru a încuraja ocuparea forței de muncă și pentru a reduce stimulentele individuale de a lucra informal</w:t>
      </w:r>
      <w:r w:rsidR="00BD6836">
        <w:rPr>
          <w:rFonts w:ascii="Times New Roman" w:hAnsi="Times New Roman" w:cs="Times New Roman"/>
          <w:color w:val="000000"/>
          <w:sz w:val="24"/>
          <w:szCs w:val="24"/>
          <w:lang w:val="ro-MD"/>
        </w:rPr>
        <w:t>;</w:t>
      </w:r>
      <w:r w:rsidRPr="004A308D">
        <w:rPr>
          <w:rFonts w:ascii="Times New Roman" w:hAnsi="Times New Roman" w:cs="Times New Roman"/>
          <w:color w:val="000000"/>
          <w:sz w:val="24"/>
          <w:szCs w:val="24"/>
          <w:lang w:val="ro-MD"/>
        </w:rPr>
        <w:t xml:space="preserve"> (</w:t>
      </w:r>
      <w:r w:rsidR="0068062C">
        <w:rPr>
          <w:rFonts w:ascii="Times New Roman" w:hAnsi="Times New Roman" w:cs="Times New Roman"/>
          <w:color w:val="000000"/>
          <w:sz w:val="24"/>
          <w:szCs w:val="24"/>
          <w:lang w:val="ro-MD"/>
        </w:rPr>
        <w:t>v</w:t>
      </w:r>
      <w:r w:rsidR="00CC09DB">
        <w:rPr>
          <w:rFonts w:ascii="Times New Roman" w:hAnsi="Times New Roman" w:cs="Times New Roman"/>
          <w:color w:val="000000"/>
          <w:sz w:val="24"/>
          <w:szCs w:val="24"/>
          <w:lang w:val="ro-MD"/>
        </w:rPr>
        <w:t>i</w:t>
      </w:r>
      <w:r w:rsidRPr="004A308D">
        <w:rPr>
          <w:rFonts w:ascii="Times New Roman" w:hAnsi="Times New Roman" w:cs="Times New Roman"/>
          <w:color w:val="000000"/>
          <w:sz w:val="24"/>
          <w:szCs w:val="24"/>
          <w:lang w:val="ro-MD"/>
        </w:rPr>
        <w:t xml:space="preserve">) consolidarea rolului instituțiilor de dialog social la nivel central și local </w:t>
      </w:r>
      <w:r w:rsidR="00A14A18" w:rsidRPr="00A14A18">
        <w:rPr>
          <w:rFonts w:ascii="Times New Roman" w:hAnsi="Times New Roman" w:cs="Times New Roman"/>
          <w:color w:val="000000"/>
          <w:sz w:val="24"/>
          <w:szCs w:val="24"/>
          <w:lang w:val="ro-MD"/>
        </w:rPr>
        <w:t>în dezvoltarea intervențiilor de reducere a ocupării informale</w:t>
      </w:r>
      <w:r w:rsidR="00A14A18">
        <w:rPr>
          <w:rFonts w:ascii="Times New Roman" w:hAnsi="Times New Roman" w:cs="Times New Roman"/>
          <w:color w:val="000000"/>
          <w:sz w:val="24"/>
          <w:szCs w:val="24"/>
          <w:lang w:val="ro-MD"/>
        </w:rPr>
        <w:t xml:space="preserve"> și </w:t>
      </w:r>
      <w:r w:rsidRPr="004A308D">
        <w:rPr>
          <w:rFonts w:ascii="Times New Roman" w:hAnsi="Times New Roman" w:cs="Times New Roman"/>
          <w:color w:val="000000"/>
          <w:sz w:val="24"/>
          <w:szCs w:val="24"/>
          <w:lang w:val="ro-MD"/>
        </w:rPr>
        <w:t>pentru asigurarea elaborării, monitorizării și evaluării politicilor de ocupare și protecție socială.</w:t>
      </w:r>
    </w:p>
    <w:p w14:paraId="7B0ABFCA" w14:textId="03EEEC30" w:rsidR="004A308D" w:rsidRPr="003836D9" w:rsidRDefault="004A308D" w:rsidP="0068062C">
      <w:pPr>
        <w:spacing w:before="120"/>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Numărul de inspecții anuale efectuate de Inspectoratul de Stat al Muncii, împreună cu rata de acoperire a întreprinderilor active și a lucrătorilor angajați – este un indicator cheie al eficienței acestui serviciu de a aplica în mod adecvat statul de drept și de a descuraja încălcările legislației muncii. Pentru a dota Inspectoratul de Stat al Muncii cu resurse, instrumente și proceduri necesare îndeplinirii adecvate a mandatului său, Ministerul Mu</w:t>
      </w:r>
      <w:r>
        <w:rPr>
          <w:rFonts w:ascii="Times New Roman" w:hAnsi="Times New Roman" w:cs="Times New Roman"/>
          <w:color w:val="000000"/>
          <w:sz w:val="24"/>
          <w:szCs w:val="24"/>
          <w:lang w:val="ro-MD"/>
        </w:rPr>
        <w:t>ncii și Protecției Sociale va</w:t>
      </w:r>
      <w:r w:rsidR="00BD6836">
        <w:rPr>
          <w:rFonts w:ascii="Times New Roman" w:hAnsi="Times New Roman" w:cs="Times New Roman"/>
          <w:color w:val="000000"/>
          <w:sz w:val="24"/>
          <w:szCs w:val="24"/>
          <w:lang w:val="ro-MD"/>
        </w:rPr>
        <w:t>:</w:t>
      </w:r>
      <w:r>
        <w:rPr>
          <w:rFonts w:ascii="Times New Roman" w:hAnsi="Times New Roman" w:cs="Times New Roman"/>
          <w:color w:val="000000"/>
          <w:sz w:val="24"/>
          <w:szCs w:val="24"/>
          <w:lang w:val="ro-MD"/>
        </w:rPr>
        <w:t xml:space="preserve"> (i)</w:t>
      </w:r>
      <w:r w:rsidRPr="003836D9">
        <w:rPr>
          <w:rFonts w:ascii="Times New Roman" w:hAnsi="Times New Roman" w:cs="Times New Roman"/>
          <w:color w:val="000000"/>
          <w:sz w:val="24"/>
          <w:szCs w:val="24"/>
          <w:lang w:val="ro-MD"/>
        </w:rPr>
        <w:t xml:space="preserve"> revizui legislația națională care reglementează funcționarea I</w:t>
      </w:r>
      <w:r w:rsidR="0066313D">
        <w:rPr>
          <w:rFonts w:ascii="Times New Roman" w:hAnsi="Times New Roman" w:cs="Times New Roman"/>
          <w:color w:val="000000"/>
          <w:sz w:val="24"/>
          <w:szCs w:val="24"/>
          <w:lang w:val="ro-MD"/>
        </w:rPr>
        <w:t xml:space="preserve">nspectoratului de Stat al Muncii </w:t>
      </w:r>
      <w:r w:rsidRPr="003836D9">
        <w:rPr>
          <w:rFonts w:ascii="Times New Roman" w:hAnsi="Times New Roman" w:cs="Times New Roman"/>
          <w:color w:val="000000"/>
          <w:sz w:val="24"/>
          <w:szCs w:val="24"/>
          <w:lang w:val="ro-MD"/>
        </w:rPr>
        <w:t>pentru a asigura un mandat mai larg de sancționare a încălcărilor și de protecție a lucrătorilor (ocuparea informală a forței de muncă, diferența de remunerare între femei și bărbați, întreruperea activității angajatorului, inspecții inopinate</w:t>
      </w:r>
      <w:r w:rsidR="00A14A18">
        <w:rPr>
          <w:rFonts w:ascii="Times New Roman" w:hAnsi="Times New Roman" w:cs="Times New Roman"/>
          <w:color w:val="000000"/>
          <w:sz w:val="24"/>
          <w:szCs w:val="24"/>
          <w:lang w:val="ro-MD"/>
        </w:rPr>
        <w:t xml:space="preserve"> pentru cazuri de muncă nedeclarată</w:t>
      </w:r>
      <w:r w:rsidRPr="003836D9">
        <w:rPr>
          <w:rFonts w:ascii="Times New Roman" w:hAnsi="Times New Roman" w:cs="Times New Roman"/>
          <w:color w:val="000000"/>
          <w:sz w:val="24"/>
          <w:szCs w:val="24"/>
          <w:lang w:val="ro-MD"/>
        </w:rPr>
        <w:t>, inspecții comune cu alte autorități, acces reciproc la date administrative pentru a ghida</w:t>
      </w:r>
      <w:r>
        <w:rPr>
          <w:rFonts w:ascii="Times New Roman" w:hAnsi="Times New Roman" w:cs="Times New Roman"/>
          <w:color w:val="000000"/>
          <w:sz w:val="24"/>
          <w:szCs w:val="24"/>
          <w:lang w:val="ro-MD"/>
        </w:rPr>
        <w:t xml:space="preserve"> activitățile de inspecție); (ii)</w:t>
      </w:r>
      <w:r w:rsidRPr="003836D9">
        <w:rPr>
          <w:rFonts w:ascii="Times New Roman" w:hAnsi="Times New Roman" w:cs="Times New Roman"/>
          <w:color w:val="000000"/>
          <w:sz w:val="24"/>
          <w:szCs w:val="24"/>
          <w:lang w:val="ro-MD"/>
        </w:rPr>
        <w:t xml:space="preserve"> asigura I</w:t>
      </w:r>
      <w:r w:rsidR="0066313D">
        <w:rPr>
          <w:rFonts w:ascii="Times New Roman" w:hAnsi="Times New Roman" w:cs="Times New Roman"/>
          <w:color w:val="000000"/>
          <w:sz w:val="24"/>
          <w:szCs w:val="24"/>
          <w:lang w:val="ro-MD"/>
        </w:rPr>
        <w:t xml:space="preserve">nspectoratul de Stat al Muncii </w:t>
      </w:r>
      <w:r w:rsidRPr="003836D9">
        <w:rPr>
          <w:rFonts w:ascii="Times New Roman" w:hAnsi="Times New Roman" w:cs="Times New Roman"/>
          <w:color w:val="000000"/>
          <w:sz w:val="24"/>
          <w:szCs w:val="24"/>
          <w:lang w:val="ro-MD"/>
        </w:rPr>
        <w:t xml:space="preserve">cu instrumente tehnice necesare îndeplinirii efective a mandatului său (platforma TIC, </w:t>
      </w:r>
      <w:r w:rsidR="00A14A18">
        <w:rPr>
          <w:rFonts w:ascii="Times New Roman" w:hAnsi="Times New Roman" w:cs="Times New Roman"/>
          <w:color w:val="000000"/>
          <w:sz w:val="24"/>
          <w:szCs w:val="24"/>
          <w:lang w:val="ro-MD"/>
        </w:rPr>
        <w:t>R</w:t>
      </w:r>
      <w:r w:rsidR="00A14A18" w:rsidRPr="003836D9">
        <w:rPr>
          <w:rFonts w:ascii="Times New Roman" w:hAnsi="Times New Roman" w:cs="Times New Roman"/>
          <w:color w:val="000000"/>
          <w:sz w:val="24"/>
          <w:szCs w:val="24"/>
          <w:lang w:val="ro-MD"/>
        </w:rPr>
        <w:t xml:space="preserve">egistrul </w:t>
      </w:r>
      <w:r w:rsidR="00A14A18">
        <w:rPr>
          <w:rFonts w:ascii="Times New Roman" w:hAnsi="Times New Roman" w:cs="Times New Roman"/>
          <w:color w:val="000000"/>
          <w:sz w:val="24"/>
          <w:szCs w:val="24"/>
          <w:lang w:val="ro-MD"/>
        </w:rPr>
        <w:t>Național Electronic</w:t>
      </w:r>
      <w:r w:rsidR="00A14A18" w:rsidRPr="003836D9">
        <w:rPr>
          <w:rFonts w:ascii="Times New Roman" w:hAnsi="Times New Roman" w:cs="Times New Roman"/>
          <w:color w:val="000000"/>
          <w:sz w:val="24"/>
          <w:szCs w:val="24"/>
          <w:lang w:val="ro-MD"/>
        </w:rPr>
        <w:t xml:space="preserve"> al salariaților</w:t>
      </w:r>
      <w:r w:rsidR="00A14A18">
        <w:rPr>
          <w:rFonts w:ascii="Times New Roman" w:hAnsi="Times New Roman" w:cs="Times New Roman"/>
          <w:color w:val="000000"/>
          <w:sz w:val="24"/>
          <w:szCs w:val="24"/>
          <w:lang w:val="ro-MD"/>
        </w:rPr>
        <w:t xml:space="preserve"> pentru sectorul bugetar și real, </w:t>
      </w:r>
      <w:r w:rsidRPr="003836D9">
        <w:rPr>
          <w:rFonts w:ascii="Times New Roman" w:hAnsi="Times New Roman" w:cs="Times New Roman"/>
          <w:color w:val="000000"/>
          <w:sz w:val="24"/>
          <w:szCs w:val="24"/>
          <w:lang w:val="ro-MD"/>
        </w:rPr>
        <w:t>registrul bolilor profesionale, vehicule, interope</w:t>
      </w:r>
      <w:r>
        <w:rPr>
          <w:rFonts w:ascii="Times New Roman" w:hAnsi="Times New Roman" w:cs="Times New Roman"/>
          <w:color w:val="000000"/>
          <w:sz w:val="24"/>
          <w:szCs w:val="24"/>
          <w:lang w:val="ro-MD"/>
        </w:rPr>
        <w:t>rabilitatea bazei de date); (iii)</w:t>
      </w:r>
      <w:r w:rsidRPr="003836D9">
        <w:rPr>
          <w:rFonts w:ascii="Times New Roman" w:hAnsi="Times New Roman" w:cs="Times New Roman"/>
          <w:color w:val="000000"/>
          <w:sz w:val="24"/>
          <w:szCs w:val="24"/>
          <w:lang w:val="ro-MD"/>
        </w:rPr>
        <w:t xml:space="preserve"> pentru a îmbunătăți eficacitatea activităților de inspecție și consiliere în domeniul agricol, </w:t>
      </w:r>
      <w:r>
        <w:rPr>
          <w:rFonts w:ascii="Times New Roman" w:hAnsi="Times New Roman" w:cs="Times New Roman"/>
          <w:color w:val="000000"/>
          <w:sz w:val="24"/>
          <w:szCs w:val="24"/>
          <w:lang w:val="ro-MD"/>
        </w:rPr>
        <w:t>construcții și producție; și (iv)</w:t>
      </w:r>
      <w:r w:rsidRPr="003836D9">
        <w:rPr>
          <w:rFonts w:ascii="Times New Roman" w:hAnsi="Times New Roman" w:cs="Times New Roman"/>
          <w:color w:val="000000"/>
          <w:sz w:val="24"/>
          <w:szCs w:val="24"/>
          <w:lang w:val="ro-MD"/>
        </w:rPr>
        <w:t xml:space="preserve"> stabili o strategie de dezvoltare a resurselor umane care să prevadă cursuri anuale de formare pentru tot personalul nou recrutat și programe de formare specializată pentru inspectori. </w:t>
      </w:r>
    </w:p>
    <w:p w14:paraId="21C6869C" w14:textId="77777777" w:rsidR="00F017C7" w:rsidRDefault="00F017C7" w:rsidP="007665B2">
      <w:pPr>
        <w:pStyle w:val="ListParagraph"/>
        <w:shd w:val="clear" w:color="auto" w:fill="FFFFFF" w:themeFill="background1"/>
        <w:spacing w:after="0" w:line="240" w:lineRule="auto"/>
        <w:ind w:left="0"/>
        <w:contextualSpacing w:val="0"/>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Sistemul de sancțiuni pentru încălcarea legislației mu</w:t>
      </w:r>
      <w:r>
        <w:rPr>
          <w:rFonts w:ascii="Times New Roman" w:hAnsi="Times New Roman" w:cs="Times New Roman"/>
          <w:color w:val="000000"/>
          <w:sz w:val="24"/>
          <w:szCs w:val="24"/>
          <w:lang w:val="ro-MD"/>
        </w:rPr>
        <w:t xml:space="preserve">ncii va fi revizuit pentru a: </w:t>
      </w:r>
    </w:p>
    <w:p w14:paraId="5826D255" w14:textId="4E68809F" w:rsidR="00F017C7" w:rsidRDefault="0066313D" w:rsidP="007665B2">
      <w:pPr>
        <w:shd w:val="clear" w:color="auto" w:fill="FFFFFF" w:themeFill="background1"/>
        <w:spacing w:after="0" w:line="240" w:lineRule="auto"/>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 xml:space="preserve">- </w:t>
      </w:r>
      <w:r w:rsidR="00F017C7" w:rsidRPr="0066313D">
        <w:rPr>
          <w:rFonts w:ascii="Times New Roman" w:hAnsi="Times New Roman" w:cs="Times New Roman"/>
          <w:color w:val="000000"/>
          <w:sz w:val="24"/>
          <w:szCs w:val="24"/>
          <w:lang w:val="ro-MD"/>
        </w:rPr>
        <w:t>permite controalele inopinate pentru depistarea muncii nedeclarate</w:t>
      </w:r>
      <w:r>
        <w:rPr>
          <w:rFonts w:ascii="Times New Roman" w:hAnsi="Times New Roman" w:cs="Times New Roman"/>
          <w:color w:val="000000"/>
          <w:sz w:val="24"/>
          <w:szCs w:val="24"/>
          <w:lang w:val="ro-MD"/>
        </w:rPr>
        <w:t>;</w:t>
      </w:r>
    </w:p>
    <w:p w14:paraId="609D9F56" w14:textId="77777777" w:rsidR="0066313D" w:rsidRDefault="0066313D" w:rsidP="0066313D">
      <w:pPr>
        <w:shd w:val="clear" w:color="auto" w:fill="FFFFFF" w:themeFill="background1"/>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 xml:space="preserve">- </w:t>
      </w:r>
      <w:r w:rsidR="00F017C7" w:rsidRPr="003836D9">
        <w:rPr>
          <w:rFonts w:ascii="Times New Roman" w:hAnsi="Times New Roman" w:cs="Times New Roman"/>
          <w:color w:val="000000"/>
          <w:sz w:val="24"/>
          <w:szCs w:val="24"/>
          <w:lang w:val="ro-MD"/>
        </w:rPr>
        <w:t>acorda Inspectoratului de Stat al Muncii mandat pentru stoparea imediată a proceselor/activităților angajatorilor, în cazul încălcărilor grave ale normelor de sănătate și securitate în muncă, inclusiv în cazul angajăr</w:t>
      </w:r>
      <w:r w:rsidR="00F017C7">
        <w:rPr>
          <w:rFonts w:ascii="Times New Roman" w:hAnsi="Times New Roman" w:cs="Times New Roman"/>
          <w:color w:val="000000"/>
          <w:sz w:val="24"/>
          <w:szCs w:val="24"/>
          <w:lang w:val="ro-MD"/>
        </w:rPr>
        <w:t xml:space="preserve">ii informale a lucrătorilor; </w:t>
      </w:r>
    </w:p>
    <w:p w14:paraId="544A4135" w14:textId="092694BB" w:rsidR="0066313D" w:rsidRDefault="0066313D" w:rsidP="0066313D">
      <w:pPr>
        <w:shd w:val="clear" w:color="auto" w:fill="FFFFFF" w:themeFill="background1"/>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 xml:space="preserve">- </w:t>
      </w:r>
      <w:r w:rsidR="00F017C7">
        <w:rPr>
          <w:rFonts w:ascii="Times New Roman" w:hAnsi="Times New Roman" w:cs="Times New Roman"/>
          <w:color w:val="000000"/>
          <w:sz w:val="24"/>
          <w:szCs w:val="24"/>
          <w:lang w:val="ro-MD"/>
        </w:rPr>
        <w:t>permite aplicarea directă de către Inspectoratul de Stat al Muncii a sancțiunilor pentru utilizarea muncii nedeclarate și sub</w:t>
      </w:r>
      <w:r w:rsidR="004A6F1E">
        <w:rPr>
          <w:rFonts w:ascii="Times New Roman" w:hAnsi="Times New Roman" w:cs="Times New Roman"/>
          <w:color w:val="000000"/>
          <w:sz w:val="24"/>
          <w:szCs w:val="24"/>
          <w:lang w:val="ro-MD"/>
        </w:rPr>
        <w:t>-</w:t>
      </w:r>
      <w:r w:rsidR="00F017C7">
        <w:rPr>
          <w:rFonts w:ascii="Times New Roman" w:hAnsi="Times New Roman" w:cs="Times New Roman"/>
          <w:color w:val="000000"/>
          <w:sz w:val="24"/>
          <w:szCs w:val="24"/>
          <w:lang w:val="ro-MD"/>
        </w:rPr>
        <w:t xml:space="preserve">declarate; </w:t>
      </w:r>
    </w:p>
    <w:p w14:paraId="2D006F0F" w14:textId="4CD75312" w:rsidR="0066313D" w:rsidRDefault="0066313D" w:rsidP="0066313D">
      <w:pPr>
        <w:shd w:val="clear" w:color="auto" w:fill="FFFFFF" w:themeFill="background1"/>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lastRenderedPageBreak/>
        <w:t xml:space="preserve">- </w:t>
      </w:r>
      <w:r w:rsidR="00F017C7">
        <w:rPr>
          <w:rFonts w:ascii="Times New Roman" w:hAnsi="Times New Roman" w:cs="Times New Roman"/>
          <w:color w:val="000000"/>
          <w:sz w:val="24"/>
          <w:szCs w:val="24"/>
          <w:lang w:val="ro-MD"/>
        </w:rPr>
        <w:t>oferi</w:t>
      </w:r>
      <w:r w:rsidR="00F017C7" w:rsidRPr="003836D9">
        <w:rPr>
          <w:rFonts w:ascii="Times New Roman" w:hAnsi="Times New Roman" w:cs="Times New Roman"/>
          <w:color w:val="000000"/>
          <w:sz w:val="24"/>
          <w:szCs w:val="24"/>
          <w:lang w:val="ro-MD"/>
        </w:rPr>
        <w:t xml:space="preserve"> servicii de consultanță oferite întreprinderilor pentru a favoriza respectarea reglementă</w:t>
      </w:r>
      <w:r w:rsidR="00F017C7">
        <w:rPr>
          <w:rFonts w:ascii="Times New Roman" w:hAnsi="Times New Roman" w:cs="Times New Roman"/>
          <w:color w:val="000000"/>
          <w:sz w:val="24"/>
          <w:szCs w:val="24"/>
          <w:lang w:val="ro-MD"/>
        </w:rPr>
        <w:t xml:space="preserve">rilor legislației muncii; </w:t>
      </w:r>
      <w:r w:rsidR="00F017C7" w:rsidRPr="003836D9">
        <w:rPr>
          <w:rFonts w:ascii="Times New Roman" w:hAnsi="Times New Roman" w:cs="Times New Roman"/>
          <w:color w:val="000000"/>
          <w:sz w:val="24"/>
          <w:szCs w:val="24"/>
          <w:lang w:val="ro-MD"/>
        </w:rPr>
        <w:t xml:space="preserve"> </w:t>
      </w:r>
    </w:p>
    <w:p w14:paraId="2F8BD16D" w14:textId="45AEFF07" w:rsidR="00F017C7" w:rsidRPr="00826DB0" w:rsidRDefault="0066313D" w:rsidP="0066313D">
      <w:pPr>
        <w:shd w:val="clear" w:color="auto" w:fill="FFFFFF" w:themeFill="background1"/>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 xml:space="preserve">- </w:t>
      </w:r>
      <w:r w:rsidR="00F017C7">
        <w:rPr>
          <w:rFonts w:ascii="Times New Roman" w:hAnsi="Times New Roman" w:cs="Times New Roman"/>
          <w:color w:val="000000"/>
          <w:sz w:val="24"/>
          <w:szCs w:val="24"/>
          <w:lang w:val="ro-MD"/>
        </w:rPr>
        <w:t>îmbunătăți procesul de analiză a riscurilor în bază de date la planificarea inspecțiilor.</w:t>
      </w:r>
    </w:p>
    <w:p w14:paraId="6694D62A" w14:textId="7FE7AC99" w:rsidR="0066313D" w:rsidRPr="003836D9" w:rsidRDefault="0066313D" w:rsidP="00C07268">
      <w:pPr>
        <w:shd w:val="clear" w:color="auto" w:fill="FFFFFF" w:themeFill="background1"/>
        <w:spacing w:before="120"/>
        <w:jc w:val="both"/>
        <w:rPr>
          <w:rFonts w:ascii="Times New Roman" w:hAnsi="Times New Roman" w:cs="Times New Roman"/>
          <w:color w:val="000000"/>
          <w:sz w:val="24"/>
          <w:szCs w:val="24"/>
          <w:lang w:val="ro-MD"/>
        </w:rPr>
      </w:pPr>
      <w:r w:rsidRPr="0066313D">
        <w:rPr>
          <w:rFonts w:ascii="Times New Roman" w:hAnsi="Times New Roman" w:cs="Times New Roman"/>
          <w:color w:val="000000"/>
          <w:sz w:val="24"/>
          <w:szCs w:val="24"/>
          <w:lang w:val="ro-MD"/>
        </w:rPr>
        <w:t>O povară fiscală relativ ridicată asupra forței de muncă, în special pentru lucrătorii cu venituri salariale la treptele inferioare, sporește stimulentele individuale de a accepta „salarii în plic”. Dovezile disponibile sugerează că reducerea poverii fiscale pentru lucrătorii cu venituri salariale la treptele inferioare pentru lucrătorii care câștigă sub pragul minim ar reduce stimulentele individuale de a accepta „salarii în plic” și, prin urmare, ar reduce ponderea lucrătorilor angajați informal. În acest scop, Ministerul Muncii și Protecției Sociale</w:t>
      </w:r>
      <w:r w:rsidR="00A61AB7">
        <w:rPr>
          <w:rFonts w:ascii="Times New Roman" w:hAnsi="Times New Roman" w:cs="Times New Roman"/>
          <w:color w:val="000000"/>
          <w:sz w:val="24"/>
          <w:szCs w:val="24"/>
          <w:lang w:val="ro-MD"/>
        </w:rPr>
        <w:t xml:space="preserve"> va implementa </w:t>
      </w:r>
      <w:r w:rsidR="00A14A18">
        <w:rPr>
          <w:rFonts w:ascii="Times New Roman" w:hAnsi="Times New Roman" w:cs="Times New Roman"/>
          <w:color w:val="000000"/>
          <w:sz w:val="24"/>
          <w:szCs w:val="24"/>
          <w:lang w:val="ro-MD"/>
        </w:rPr>
        <w:t xml:space="preserve">un </w:t>
      </w:r>
      <w:r w:rsidR="00A61AB7">
        <w:rPr>
          <w:rFonts w:ascii="Times New Roman" w:hAnsi="Times New Roman" w:cs="Times New Roman"/>
          <w:color w:val="000000"/>
          <w:sz w:val="24"/>
          <w:szCs w:val="24"/>
          <w:lang w:val="ro-MD"/>
        </w:rPr>
        <w:t>mecanism de subvenționare a costurilor aferente impozitelor salariale pentru agenții economcii care majorează salariile angaj</w:t>
      </w:r>
      <w:r w:rsidR="00A14A18">
        <w:rPr>
          <w:rFonts w:ascii="Times New Roman" w:hAnsi="Times New Roman" w:cs="Times New Roman"/>
          <w:color w:val="000000"/>
          <w:sz w:val="24"/>
          <w:szCs w:val="24"/>
          <w:lang w:val="ro-MD"/>
        </w:rPr>
        <w:t>a</w:t>
      </w:r>
      <w:r w:rsidR="00A61AB7">
        <w:rPr>
          <w:rFonts w:ascii="Times New Roman" w:hAnsi="Times New Roman" w:cs="Times New Roman"/>
          <w:color w:val="000000"/>
          <w:sz w:val="24"/>
          <w:szCs w:val="24"/>
          <w:lang w:val="ro-MD"/>
        </w:rPr>
        <w:t>ților</w:t>
      </w:r>
      <w:r w:rsidRPr="0066313D">
        <w:rPr>
          <w:rFonts w:ascii="Times New Roman" w:hAnsi="Times New Roman" w:cs="Times New Roman"/>
          <w:color w:val="000000"/>
          <w:sz w:val="24"/>
          <w:szCs w:val="24"/>
          <w:lang w:val="ro-MD"/>
        </w:rPr>
        <w:t xml:space="preserve">. Un alt domeniu de acțiuni este analiza sistemului fiscal pentru al doilea câștigător de venit, în vederea dezvoltării unor opțiuni de politici fiscale care să favorizeze ocuparea forței de muncă în rândul femeilor căsătorite. Implementarea registrului salariaților va contribui, de asemenea, la reducerea practicilor informale de recrutare și va ghida activitățile de control realizate de către Inspectoratul de Stat al Muncii. </w:t>
      </w:r>
      <w:r w:rsidRPr="003836D9">
        <w:rPr>
          <w:rFonts w:ascii="Times New Roman" w:hAnsi="Times New Roman" w:cs="Times New Roman"/>
          <w:color w:val="000000"/>
          <w:sz w:val="24"/>
          <w:szCs w:val="24"/>
          <w:lang w:val="ro-MD"/>
        </w:rPr>
        <w:t xml:space="preserve">Se presupune că reforma sistemului fiscal pentru lucrătorii cu venituri salariale mici și pentru al doilea câștigător de venituri, în combinație cu acțiunile de politici privind sistemul de sancțiuni, registrul angajaților salariați și consolidarea rolului și a mandatului de inspectare vor reduce fenomenul ocupării informale a forței de muncă. </w:t>
      </w:r>
    </w:p>
    <w:p w14:paraId="74811CD6" w14:textId="75D56E80" w:rsidR="0066313D" w:rsidRPr="003836D9" w:rsidRDefault="0066313D" w:rsidP="0066313D">
      <w:pPr>
        <w:pStyle w:val="ListParagraph"/>
        <w:shd w:val="clear" w:color="auto" w:fill="FFFFFF" w:themeFill="background1"/>
        <w:ind w:left="0"/>
        <w:contextualSpacing w:val="0"/>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Pentru dezvoltarea dialogului social accentul va fi pus pe consolid</w:t>
      </w:r>
      <w:r>
        <w:rPr>
          <w:rFonts w:ascii="Times New Roman" w:hAnsi="Times New Roman" w:cs="Times New Roman"/>
          <w:color w:val="000000"/>
          <w:sz w:val="24"/>
          <w:szCs w:val="24"/>
          <w:lang w:val="ro-MD"/>
        </w:rPr>
        <w:t>area Comisiei Naționale prin: (i)</w:t>
      </w:r>
      <w:r w:rsidRPr="003836D9">
        <w:rPr>
          <w:rFonts w:ascii="Times New Roman" w:hAnsi="Times New Roman" w:cs="Times New Roman"/>
          <w:color w:val="000000"/>
          <w:sz w:val="24"/>
          <w:szCs w:val="24"/>
          <w:lang w:val="ro-MD"/>
        </w:rPr>
        <w:t xml:space="preserve"> organizarea de reuniun</w:t>
      </w:r>
      <w:r>
        <w:rPr>
          <w:rFonts w:ascii="Times New Roman" w:hAnsi="Times New Roman" w:cs="Times New Roman"/>
          <w:color w:val="000000"/>
          <w:sz w:val="24"/>
          <w:szCs w:val="24"/>
          <w:lang w:val="ro-MD"/>
        </w:rPr>
        <w:t>i periodice ale Comisiei; (ii)</w:t>
      </w:r>
      <w:r w:rsidRPr="003836D9">
        <w:rPr>
          <w:rFonts w:ascii="Times New Roman" w:hAnsi="Times New Roman" w:cs="Times New Roman"/>
          <w:color w:val="000000"/>
          <w:sz w:val="24"/>
          <w:szCs w:val="24"/>
          <w:lang w:val="ro-MD"/>
        </w:rPr>
        <w:t xml:space="preserve"> </w:t>
      </w:r>
      <w:r w:rsidR="00A14A18" w:rsidRPr="004A308D">
        <w:rPr>
          <w:rFonts w:ascii="Times New Roman" w:hAnsi="Times New Roman" w:cs="Times New Roman"/>
          <w:color w:val="000000"/>
          <w:sz w:val="24"/>
          <w:szCs w:val="24"/>
          <w:lang w:val="ro-MD"/>
        </w:rPr>
        <w:t xml:space="preserve">consolidarea rolului </w:t>
      </w:r>
      <w:r w:rsidR="00A14A18">
        <w:rPr>
          <w:rFonts w:ascii="Times New Roman" w:hAnsi="Times New Roman" w:cs="Times New Roman"/>
          <w:color w:val="000000"/>
          <w:sz w:val="24"/>
          <w:szCs w:val="24"/>
          <w:lang w:val="ro-MD"/>
        </w:rPr>
        <w:t xml:space="preserve">comisiei </w:t>
      </w:r>
      <w:r w:rsidR="00A14A18" w:rsidRPr="00A14A18">
        <w:rPr>
          <w:rFonts w:ascii="Times New Roman" w:hAnsi="Times New Roman" w:cs="Times New Roman"/>
          <w:color w:val="000000"/>
          <w:sz w:val="24"/>
          <w:szCs w:val="24"/>
          <w:lang w:val="ro-MD"/>
        </w:rPr>
        <w:t>în dezvoltarea intervențiilor de reducere a ocupării informale</w:t>
      </w:r>
      <w:r w:rsidR="00A14A18">
        <w:rPr>
          <w:rFonts w:ascii="Times New Roman" w:hAnsi="Times New Roman" w:cs="Times New Roman"/>
          <w:color w:val="000000"/>
          <w:sz w:val="24"/>
          <w:szCs w:val="24"/>
          <w:lang w:val="ro-MD"/>
        </w:rPr>
        <w:t>; și (iii)</w:t>
      </w:r>
      <w:r w:rsidR="00A14A18" w:rsidRPr="003836D9">
        <w:rPr>
          <w:rFonts w:ascii="Times New Roman" w:hAnsi="Times New Roman" w:cs="Times New Roman"/>
          <w:color w:val="000000"/>
          <w:sz w:val="24"/>
          <w:szCs w:val="24"/>
          <w:lang w:val="ro-MD"/>
        </w:rPr>
        <w:t xml:space="preserve"> </w:t>
      </w:r>
      <w:r w:rsidRPr="003836D9">
        <w:rPr>
          <w:rFonts w:ascii="Times New Roman" w:hAnsi="Times New Roman" w:cs="Times New Roman"/>
          <w:color w:val="000000"/>
          <w:sz w:val="24"/>
          <w:szCs w:val="24"/>
          <w:lang w:val="ro-MD"/>
        </w:rPr>
        <w:t>dezvoltarea capacității membrilor de a oferi guvernului expertiză în domeniul economic, social, politicilor de ocupare a forței de muncă, precum și de a promova negocierile colective. Con</w:t>
      </w:r>
      <w:r>
        <w:rPr>
          <w:rFonts w:ascii="Times New Roman" w:hAnsi="Times New Roman" w:cs="Times New Roman"/>
          <w:color w:val="000000"/>
          <w:sz w:val="24"/>
          <w:szCs w:val="24"/>
          <w:lang w:val="ro-MD"/>
        </w:rPr>
        <w:t>vențiile</w:t>
      </w:r>
      <w:r w:rsidRPr="003836D9">
        <w:rPr>
          <w:rFonts w:ascii="Times New Roman" w:hAnsi="Times New Roman" w:cs="Times New Roman"/>
          <w:color w:val="000000"/>
          <w:sz w:val="24"/>
          <w:szCs w:val="24"/>
          <w:lang w:val="ro-MD"/>
        </w:rPr>
        <w:t xml:space="preserve"> colective la nivel național, care acoperă salariile și alte condiții de muncă, vor fi considerate ca având putere legislativă și vor fi utilizate pentru a ghida activitățile de control. Reprezentanții angajatorilor și lucrătorilor vor promova negocierea la nivel de întreprindere ca mijloc de îmbunătățire a condițiilor de muncă și a productivității.</w:t>
      </w:r>
      <w:r w:rsidR="00A14A18">
        <w:rPr>
          <w:rFonts w:ascii="Times New Roman" w:hAnsi="Times New Roman" w:cs="Times New Roman"/>
          <w:color w:val="000000"/>
          <w:sz w:val="24"/>
          <w:szCs w:val="24"/>
          <w:lang w:val="ro-MD"/>
        </w:rPr>
        <w:t xml:space="preserve"> </w:t>
      </w:r>
      <w:r w:rsidRPr="003836D9">
        <w:rPr>
          <w:rFonts w:ascii="Times New Roman" w:hAnsi="Times New Roman" w:cs="Times New Roman"/>
          <w:color w:val="000000"/>
          <w:sz w:val="24"/>
          <w:szCs w:val="24"/>
          <w:lang w:val="ro-MD"/>
        </w:rPr>
        <w:t xml:space="preserve"> </w:t>
      </w:r>
    </w:p>
    <w:p w14:paraId="104C493F" w14:textId="5C98BCFB" w:rsidR="008371AA" w:rsidRDefault="003A3AFA" w:rsidP="00C4778E">
      <w:pPr>
        <w:pStyle w:val="ListParagraph"/>
        <w:ind w:left="0"/>
        <w:jc w:val="both"/>
        <w:rPr>
          <w:rFonts w:ascii="Times New Roman" w:hAnsi="Times New Roman" w:cs="Times New Roman"/>
          <w:b/>
          <w:bCs/>
          <w:color w:val="000000"/>
          <w:sz w:val="24"/>
          <w:szCs w:val="24"/>
          <w:lang w:val="ro-MD"/>
        </w:rPr>
      </w:pPr>
      <w:r w:rsidRPr="003836D9">
        <w:rPr>
          <w:rFonts w:ascii="Times New Roman" w:hAnsi="Times New Roman" w:cs="Times New Roman"/>
          <w:b/>
          <w:bCs/>
          <w:color w:val="000000"/>
          <w:sz w:val="24"/>
          <w:szCs w:val="24"/>
          <w:lang w:val="ro-MD"/>
        </w:rPr>
        <w:t xml:space="preserve">Obiectiv specific 3. </w:t>
      </w:r>
      <w:r w:rsidR="00F017C7">
        <w:rPr>
          <w:rFonts w:ascii="Times New Roman" w:hAnsi="Times New Roman" w:cs="Times New Roman"/>
          <w:b/>
          <w:bCs/>
          <w:color w:val="000000"/>
          <w:sz w:val="24"/>
          <w:szCs w:val="24"/>
          <w:lang w:val="ro-MD"/>
        </w:rPr>
        <w:t>Creșterea cu 3% a ratei de ocupare a persoanelor cu dizabilități către anul 2026</w:t>
      </w:r>
      <w:r w:rsidR="00B6463D" w:rsidRPr="003836D9">
        <w:rPr>
          <w:rFonts w:ascii="Times New Roman" w:hAnsi="Times New Roman" w:cs="Times New Roman"/>
          <w:b/>
          <w:bCs/>
          <w:color w:val="000000"/>
          <w:sz w:val="24"/>
          <w:szCs w:val="24"/>
          <w:lang w:val="ro-MD"/>
        </w:rPr>
        <w:t xml:space="preserve"> </w:t>
      </w:r>
    </w:p>
    <w:p w14:paraId="77101C26" w14:textId="66CECF9E" w:rsidR="00F32BE5" w:rsidRPr="00F32BE5" w:rsidRDefault="00815B6A" w:rsidP="00F32BE5">
      <w:pPr>
        <w:pStyle w:val="ListParagraph"/>
        <w:shd w:val="clear" w:color="auto" w:fill="FFFFFF" w:themeFill="background1"/>
        <w:spacing w:before="240"/>
        <w:ind w:left="0"/>
        <w:contextualSpacing w:val="0"/>
        <w:jc w:val="both"/>
        <w:rPr>
          <w:rFonts w:ascii="Times New Roman" w:hAnsi="Times New Roman" w:cs="Times New Roman"/>
          <w:lang w:val="ro-MD"/>
        </w:rPr>
      </w:pPr>
      <w:r w:rsidRPr="00815B6A">
        <w:rPr>
          <w:rFonts w:ascii="Times New Roman" w:hAnsi="Times New Roman" w:cs="Times New Roman"/>
          <w:bCs/>
          <w:color w:val="000000"/>
          <w:sz w:val="24"/>
          <w:szCs w:val="24"/>
          <w:lang w:val="ro-MD"/>
        </w:rPr>
        <w:t>Ace</w:t>
      </w:r>
      <w:r>
        <w:rPr>
          <w:rFonts w:ascii="Times New Roman" w:hAnsi="Times New Roman" w:cs="Times New Roman"/>
          <w:bCs/>
          <w:color w:val="000000"/>
          <w:sz w:val="24"/>
          <w:szCs w:val="24"/>
          <w:lang w:val="ro-MD"/>
        </w:rPr>
        <w:t xml:space="preserve">st </w:t>
      </w:r>
      <w:r w:rsidR="002143AF">
        <w:rPr>
          <w:rFonts w:ascii="Times New Roman" w:hAnsi="Times New Roman" w:cs="Times New Roman"/>
          <w:bCs/>
          <w:color w:val="000000"/>
          <w:sz w:val="24"/>
          <w:szCs w:val="24"/>
          <w:lang w:val="ro-MD"/>
        </w:rPr>
        <w:t>o</w:t>
      </w:r>
      <w:r>
        <w:rPr>
          <w:rFonts w:ascii="Times New Roman" w:hAnsi="Times New Roman" w:cs="Times New Roman"/>
          <w:bCs/>
          <w:color w:val="000000"/>
          <w:sz w:val="24"/>
          <w:szCs w:val="24"/>
          <w:lang w:val="ro-MD"/>
        </w:rPr>
        <w:t xml:space="preserve">biectiv va fi realizat prin: i) </w:t>
      </w:r>
      <w:r w:rsidR="0030781A">
        <w:rPr>
          <w:rFonts w:ascii="Times New Roman" w:hAnsi="Times New Roman" w:cs="Times New Roman"/>
          <w:bCs/>
          <w:color w:val="000000"/>
          <w:sz w:val="24"/>
          <w:szCs w:val="24"/>
          <w:lang w:val="ro-MD"/>
        </w:rPr>
        <w:t>sporirea gradului de cuprindere a</w:t>
      </w:r>
      <w:r w:rsidR="00F32BE5" w:rsidRPr="003836D9">
        <w:rPr>
          <w:rFonts w:ascii="Times New Roman" w:hAnsi="Times New Roman" w:cs="Times New Roman"/>
          <w:sz w:val="24"/>
          <w:szCs w:val="24"/>
          <w:lang w:val="ro-MD"/>
        </w:rPr>
        <w:t xml:space="preserve"> programe</w:t>
      </w:r>
      <w:r w:rsidR="0030781A">
        <w:rPr>
          <w:rFonts w:ascii="Times New Roman" w:hAnsi="Times New Roman" w:cs="Times New Roman"/>
          <w:sz w:val="24"/>
          <w:szCs w:val="24"/>
          <w:lang w:val="ro-MD"/>
        </w:rPr>
        <w:t>lor de măsuri active</w:t>
      </w:r>
      <w:r w:rsidR="00F32BE5" w:rsidRPr="003836D9">
        <w:rPr>
          <w:rFonts w:ascii="Times New Roman" w:hAnsi="Times New Roman" w:cs="Times New Roman"/>
          <w:sz w:val="24"/>
          <w:szCs w:val="24"/>
          <w:lang w:val="ro-MD"/>
        </w:rPr>
        <w:t xml:space="preserve"> </w:t>
      </w:r>
      <w:r w:rsidR="0030781A">
        <w:rPr>
          <w:rFonts w:ascii="Times New Roman" w:hAnsi="Times New Roman" w:cs="Times New Roman"/>
          <w:sz w:val="24"/>
          <w:szCs w:val="24"/>
          <w:lang w:val="ro-MD"/>
        </w:rPr>
        <w:t xml:space="preserve">pentru persoanele cu dizabilități </w:t>
      </w:r>
      <w:r w:rsidR="00F32BE5" w:rsidRPr="003836D9">
        <w:rPr>
          <w:rFonts w:ascii="Times New Roman" w:hAnsi="Times New Roman" w:cs="Times New Roman"/>
          <w:sz w:val="24"/>
          <w:szCs w:val="24"/>
          <w:lang w:val="ro-MD"/>
        </w:rPr>
        <w:t xml:space="preserve">pentru a </w:t>
      </w:r>
      <w:r w:rsidR="0030781A">
        <w:rPr>
          <w:rFonts w:ascii="Times New Roman" w:hAnsi="Times New Roman" w:cs="Times New Roman"/>
          <w:sz w:val="24"/>
          <w:szCs w:val="24"/>
          <w:lang w:val="ro-MD"/>
        </w:rPr>
        <w:t xml:space="preserve">spori șansele acestora de a accesa </w:t>
      </w:r>
      <w:r w:rsidR="00F32BE5" w:rsidRPr="003836D9">
        <w:rPr>
          <w:rFonts w:ascii="Times New Roman" w:hAnsi="Times New Roman" w:cs="Times New Roman"/>
          <w:sz w:val="24"/>
          <w:szCs w:val="24"/>
          <w:lang w:val="ro-MD"/>
        </w:rPr>
        <w:t>oportunități de formare, perfecționare și recalificare; subvenții pentru facilitarea tranziției la locul de muncă pentru persoane</w:t>
      </w:r>
      <w:r w:rsidR="00F32BE5">
        <w:rPr>
          <w:rFonts w:ascii="Times New Roman" w:hAnsi="Times New Roman" w:cs="Times New Roman"/>
          <w:sz w:val="24"/>
          <w:szCs w:val="24"/>
          <w:lang w:val="ro-MD"/>
        </w:rPr>
        <w:t>le</w:t>
      </w:r>
      <w:r w:rsidR="00F32BE5" w:rsidRPr="003836D9">
        <w:rPr>
          <w:rFonts w:ascii="Times New Roman" w:hAnsi="Times New Roman" w:cs="Times New Roman"/>
          <w:sz w:val="24"/>
          <w:szCs w:val="24"/>
          <w:lang w:val="ro-MD"/>
        </w:rPr>
        <w:t xml:space="preserve"> cu dizabilități; și op</w:t>
      </w:r>
      <w:r w:rsidR="00F32BE5">
        <w:rPr>
          <w:rFonts w:ascii="Times New Roman" w:hAnsi="Times New Roman" w:cs="Times New Roman"/>
          <w:sz w:val="24"/>
          <w:szCs w:val="24"/>
          <w:lang w:val="ro-MD"/>
        </w:rPr>
        <w:t>ortunitățile de auto</w:t>
      </w:r>
      <w:r w:rsidR="004A6F1E">
        <w:rPr>
          <w:rFonts w:ascii="Times New Roman" w:hAnsi="Times New Roman" w:cs="Times New Roman"/>
          <w:sz w:val="24"/>
          <w:szCs w:val="24"/>
          <w:lang w:val="ro-MD"/>
        </w:rPr>
        <w:t>-</w:t>
      </w:r>
      <w:r w:rsidR="00F32BE5">
        <w:rPr>
          <w:rFonts w:ascii="Times New Roman" w:hAnsi="Times New Roman" w:cs="Times New Roman"/>
          <w:sz w:val="24"/>
          <w:szCs w:val="24"/>
          <w:lang w:val="ro-MD"/>
        </w:rPr>
        <w:t xml:space="preserve">ocupare; ii) </w:t>
      </w:r>
      <w:r w:rsidR="00F32BE5" w:rsidRPr="003836D9">
        <w:rPr>
          <w:rFonts w:ascii="Times New Roman" w:hAnsi="Times New Roman" w:cs="Times New Roman"/>
          <w:sz w:val="24"/>
          <w:szCs w:val="24"/>
          <w:lang w:val="ro-MD"/>
        </w:rPr>
        <w:t xml:space="preserve">îmbunătățirea țintirii politicilor active ale pieței muncii pentru a răspunde nevoilor </w:t>
      </w:r>
      <w:r w:rsidR="00F32BE5">
        <w:rPr>
          <w:rFonts w:ascii="Times New Roman" w:hAnsi="Times New Roman" w:cs="Times New Roman"/>
          <w:sz w:val="24"/>
          <w:szCs w:val="24"/>
          <w:lang w:val="ro-MD"/>
        </w:rPr>
        <w:t>persoanelor cu dizabilități; iii) sporirea accesibilității pentru persoanele cu dizabilități</w:t>
      </w:r>
      <w:r w:rsidR="0030781A">
        <w:rPr>
          <w:rFonts w:ascii="Times New Roman" w:hAnsi="Times New Roman" w:cs="Times New Roman"/>
          <w:sz w:val="24"/>
          <w:szCs w:val="24"/>
          <w:lang w:val="ro-MD"/>
        </w:rPr>
        <w:t xml:space="preserve"> </w:t>
      </w:r>
      <w:r w:rsidR="00F32BE5">
        <w:rPr>
          <w:rFonts w:ascii="Times New Roman" w:hAnsi="Times New Roman" w:cs="Times New Roman"/>
          <w:sz w:val="24"/>
          <w:szCs w:val="24"/>
          <w:lang w:val="ro-MD"/>
        </w:rPr>
        <w:t>la serviciile și măsurile active de ocupare a forței de muncă; iv) sporirea gradului de conștientizare a societății cu privire la importanța integrării în societate a persoanelo</w:t>
      </w:r>
      <w:r w:rsidR="004D2213">
        <w:rPr>
          <w:rFonts w:ascii="Times New Roman" w:hAnsi="Times New Roman" w:cs="Times New Roman"/>
          <w:sz w:val="24"/>
          <w:szCs w:val="24"/>
          <w:lang w:val="ro-MD"/>
        </w:rPr>
        <w:t>r</w:t>
      </w:r>
      <w:r w:rsidR="00F32BE5">
        <w:rPr>
          <w:rFonts w:ascii="Times New Roman" w:hAnsi="Times New Roman" w:cs="Times New Roman"/>
          <w:sz w:val="24"/>
          <w:szCs w:val="24"/>
          <w:lang w:val="ro-MD"/>
        </w:rPr>
        <w:t xml:space="preserve"> cu dizabilități.</w:t>
      </w:r>
    </w:p>
    <w:p w14:paraId="212492EC" w14:textId="647BBCA4" w:rsidR="004D2213" w:rsidRPr="005F6694" w:rsidRDefault="0079378D" w:rsidP="004D2213">
      <w:pPr>
        <w:pStyle w:val="ListParagraph"/>
        <w:shd w:val="clear" w:color="auto" w:fill="FFFFFF" w:themeFill="background1"/>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S</w:t>
      </w:r>
      <w:r w:rsidR="004D2213" w:rsidRPr="003836D9">
        <w:rPr>
          <w:rFonts w:ascii="Times New Roman" w:hAnsi="Times New Roman" w:cs="Times New Roman"/>
          <w:sz w:val="24"/>
          <w:szCs w:val="24"/>
          <w:lang w:val="ro-MD"/>
        </w:rPr>
        <w:t xml:space="preserve">pectrul de măsuri active ale pieței muncii </w:t>
      </w:r>
      <w:r>
        <w:rPr>
          <w:rFonts w:ascii="Times New Roman" w:hAnsi="Times New Roman" w:cs="Times New Roman"/>
          <w:sz w:val="24"/>
          <w:szCs w:val="24"/>
          <w:lang w:val="ro-MD"/>
        </w:rPr>
        <w:t xml:space="preserve">adresate persoanelor cu dizabilități </w:t>
      </w:r>
      <w:r w:rsidR="004D2213" w:rsidRPr="003836D9">
        <w:rPr>
          <w:rFonts w:ascii="Times New Roman" w:hAnsi="Times New Roman" w:cs="Times New Roman"/>
          <w:sz w:val="24"/>
          <w:szCs w:val="24"/>
          <w:lang w:val="ro-MD"/>
        </w:rPr>
        <w:t xml:space="preserve">a fost extins prin Legea </w:t>
      </w:r>
      <w:r w:rsidR="004D2213">
        <w:rPr>
          <w:rFonts w:ascii="Times New Roman" w:hAnsi="Times New Roman" w:cs="Times New Roman"/>
          <w:sz w:val="24"/>
          <w:szCs w:val="24"/>
          <w:lang w:val="ro-MD"/>
        </w:rPr>
        <w:t xml:space="preserve">nr. </w:t>
      </w:r>
      <w:r w:rsidR="004D2213" w:rsidRPr="003836D9">
        <w:rPr>
          <w:rFonts w:ascii="Times New Roman" w:hAnsi="Times New Roman" w:cs="Times New Roman"/>
          <w:sz w:val="24"/>
          <w:szCs w:val="24"/>
          <w:lang w:val="ro-MD"/>
        </w:rPr>
        <w:t xml:space="preserve">105/2018 pentru a include subvenții pentru </w:t>
      </w:r>
      <w:r w:rsidR="005F6694">
        <w:rPr>
          <w:rFonts w:ascii="Times New Roman" w:hAnsi="Times New Roman" w:cs="Times New Roman"/>
          <w:sz w:val="24"/>
          <w:szCs w:val="24"/>
          <w:lang w:val="ro-MD"/>
        </w:rPr>
        <w:t>angajarea persoanelor cu dizabilități, subvenții pentru creare</w:t>
      </w:r>
      <w:r w:rsidR="004A6F1E">
        <w:rPr>
          <w:rFonts w:ascii="Times New Roman" w:hAnsi="Times New Roman" w:cs="Times New Roman"/>
          <w:sz w:val="24"/>
          <w:szCs w:val="24"/>
          <w:lang w:val="ro-MD"/>
        </w:rPr>
        <w:t>a</w:t>
      </w:r>
      <w:r w:rsidR="005F6694">
        <w:rPr>
          <w:rFonts w:ascii="Times New Roman" w:hAnsi="Times New Roman" w:cs="Times New Roman"/>
          <w:sz w:val="24"/>
          <w:szCs w:val="24"/>
          <w:lang w:val="ro-MD"/>
        </w:rPr>
        <w:t xml:space="preserve"> sau </w:t>
      </w:r>
      <w:r w:rsidR="004D2213" w:rsidRPr="003836D9">
        <w:rPr>
          <w:rFonts w:ascii="Times New Roman" w:hAnsi="Times New Roman" w:cs="Times New Roman"/>
          <w:sz w:val="24"/>
          <w:szCs w:val="24"/>
          <w:lang w:val="ro-MD"/>
        </w:rPr>
        <w:t>adaptarea locului de muncă</w:t>
      </w:r>
      <w:r w:rsidR="005F6694">
        <w:rPr>
          <w:rFonts w:ascii="Times New Roman" w:hAnsi="Times New Roman" w:cs="Times New Roman"/>
          <w:sz w:val="24"/>
          <w:szCs w:val="24"/>
          <w:lang w:val="ro-MD"/>
        </w:rPr>
        <w:t xml:space="preserve"> nevoilor persoanelor cu dizabilități</w:t>
      </w:r>
      <w:r w:rsidR="004D2213" w:rsidRPr="003836D9">
        <w:rPr>
          <w:rFonts w:ascii="Times New Roman" w:hAnsi="Times New Roman" w:cs="Times New Roman"/>
          <w:sz w:val="24"/>
          <w:szCs w:val="24"/>
          <w:lang w:val="ro-MD"/>
        </w:rPr>
        <w:t xml:space="preserve">. Aceste programe necesită personal instruit care să gestioneze procesul atât la nivel central, cât și la nivel local (consilierea persoanelor </w:t>
      </w:r>
      <w:r w:rsidR="005F6694">
        <w:rPr>
          <w:rFonts w:ascii="Times New Roman" w:hAnsi="Times New Roman" w:cs="Times New Roman"/>
          <w:sz w:val="24"/>
          <w:szCs w:val="24"/>
          <w:lang w:val="ro-MD"/>
        </w:rPr>
        <w:t>cu dizabilități</w:t>
      </w:r>
      <w:r w:rsidR="004D2213" w:rsidRPr="003836D9">
        <w:rPr>
          <w:rFonts w:ascii="Times New Roman" w:hAnsi="Times New Roman" w:cs="Times New Roman"/>
          <w:sz w:val="24"/>
          <w:szCs w:val="24"/>
          <w:lang w:val="ro-MD"/>
        </w:rPr>
        <w:t>; contractarea furnizorilor</w:t>
      </w:r>
      <w:r w:rsidR="005F6694">
        <w:rPr>
          <w:rFonts w:ascii="Times New Roman" w:hAnsi="Times New Roman" w:cs="Times New Roman"/>
          <w:sz w:val="24"/>
          <w:szCs w:val="24"/>
          <w:lang w:val="ro-MD"/>
        </w:rPr>
        <w:t xml:space="preserve"> de servicii de angajare asistată pentru persoanele cu dizabilități</w:t>
      </w:r>
      <w:r w:rsidR="004D2213" w:rsidRPr="003836D9">
        <w:rPr>
          <w:rFonts w:ascii="Times New Roman" w:hAnsi="Times New Roman" w:cs="Times New Roman"/>
          <w:sz w:val="24"/>
          <w:szCs w:val="24"/>
          <w:lang w:val="ro-MD"/>
        </w:rPr>
        <w:t xml:space="preserve">). </w:t>
      </w:r>
      <w:r w:rsidR="005F6694">
        <w:rPr>
          <w:rFonts w:ascii="Times New Roman" w:hAnsi="Times New Roman" w:cs="Times New Roman"/>
          <w:sz w:val="24"/>
          <w:szCs w:val="24"/>
          <w:lang w:val="ro-MD"/>
        </w:rPr>
        <w:t>Asigurarea accesului, inclusiv fizic, la serviciile și măsurile active de ocupare a forței de muncă, este importantă în integrarea persoanelor cu dizabilități în c</w:t>
      </w:r>
      <w:r w:rsidR="004A6F1E">
        <w:rPr>
          <w:rFonts w:ascii="Times New Roman" w:hAnsi="Times New Roman" w:cs="Times New Roman"/>
          <w:sz w:val="24"/>
          <w:szCs w:val="24"/>
          <w:lang w:val="ro-MD"/>
        </w:rPr>
        <w:t>â</w:t>
      </w:r>
      <w:r w:rsidR="005F6694">
        <w:rPr>
          <w:rFonts w:ascii="Times New Roman" w:hAnsi="Times New Roman" w:cs="Times New Roman"/>
          <w:sz w:val="24"/>
          <w:szCs w:val="24"/>
          <w:lang w:val="ro-MD"/>
        </w:rPr>
        <w:t xml:space="preserve">mpul muncii.  </w:t>
      </w:r>
    </w:p>
    <w:p w14:paraId="03EE1B57" w14:textId="3D339557" w:rsidR="00E717B3" w:rsidRDefault="005F6694" w:rsidP="00E717B3">
      <w:pPr>
        <w:pStyle w:val="ListParagraph"/>
        <w:ind w:left="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Ministerul Muncii și Protecției Sociale</w:t>
      </w:r>
      <w:r w:rsidR="00A14A18">
        <w:rPr>
          <w:rFonts w:ascii="Times New Roman" w:hAnsi="Times New Roman" w:cs="Times New Roman"/>
          <w:color w:val="000000"/>
          <w:sz w:val="24"/>
          <w:szCs w:val="24"/>
          <w:lang w:val="ro-MD"/>
        </w:rPr>
        <w:t>,</w:t>
      </w:r>
      <w:r>
        <w:rPr>
          <w:rFonts w:ascii="Times New Roman" w:hAnsi="Times New Roman" w:cs="Times New Roman"/>
          <w:color w:val="000000"/>
          <w:sz w:val="24"/>
          <w:szCs w:val="24"/>
          <w:lang w:val="ro-MD"/>
        </w:rPr>
        <w:t xml:space="preserve"> Agenția </w:t>
      </w:r>
      <w:r w:rsidR="00A347E4">
        <w:rPr>
          <w:rFonts w:ascii="Times New Roman" w:hAnsi="Times New Roman" w:cs="Times New Roman"/>
          <w:color w:val="000000"/>
          <w:sz w:val="24"/>
          <w:szCs w:val="24"/>
          <w:lang w:val="ro-MD"/>
        </w:rPr>
        <w:t>N</w:t>
      </w:r>
      <w:r>
        <w:rPr>
          <w:rFonts w:ascii="Times New Roman" w:hAnsi="Times New Roman" w:cs="Times New Roman"/>
          <w:color w:val="000000"/>
          <w:sz w:val="24"/>
          <w:szCs w:val="24"/>
          <w:lang w:val="ro-MD"/>
        </w:rPr>
        <w:t xml:space="preserve">ațională pentru Ocuparea Forței de Muncă și alți parteneri cu competențe în domeniul angajării persoanelor cu dizabilități va implementa campanii </w:t>
      </w:r>
      <w:r>
        <w:rPr>
          <w:rFonts w:ascii="Times New Roman" w:hAnsi="Times New Roman" w:cs="Times New Roman"/>
          <w:color w:val="000000"/>
          <w:sz w:val="24"/>
          <w:szCs w:val="24"/>
          <w:lang w:val="ro-MD"/>
        </w:rPr>
        <w:lastRenderedPageBreak/>
        <w:t xml:space="preserve">de informare </w:t>
      </w:r>
      <w:r w:rsidR="00A14A18">
        <w:rPr>
          <w:rFonts w:ascii="Times New Roman" w:hAnsi="Times New Roman" w:cs="Times New Roman"/>
          <w:color w:val="000000"/>
          <w:sz w:val="24"/>
          <w:szCs w:val="24"/>
          <w:lang w:val="ro-MD"/>
        </w:rPr>
        <w:t>despre avantajele</w:t>
      </w:r>
      <w:r>
        <w:rPr>
          <w:rFonts w:ascii="Times New Roman" w:hAnsi="Times New Roman" w:cs="Times New Roman"/>
          <w:color w:val="000000"/>
          <w:sz w:val="24"/>
          <w:szCs w:val="24"/>
          <w:lang w:val="ro-MD"/>
        </w:rPr>
        <w:t xml:space="preserve"> angajării persoanelor cu dizabilități, </w:t>
      </w:r>
      <w:r w:rsidR="00A14A18">
        <w:rPr>
          <w:rFonts w:ascii="Times New Roman" w:hAnsi="Times New Roman" w:cs="Times New Roman"/>
          <w:color w:val="000000"/>
          <w:sz w:val="24"/>
          <w:szCs w:val="24"/>
          <w:lang w:val="ro-MD"/>
        </w:rPr>
        <w:t xml:space="preserve">va </w:t>
      </w:r>
      <w:r w:rsidR="002143AF">
        <w:rPr>
          <w:rFonts w:ascii="Times New Roman" w:hAnsi="Times New Roman" w:cs="Times New Roman"/>
          <w:color w:val="000000"/>
          <w:sz w:val="24"/>
          <w:szCs w:val="24"/>
          <w:lang w:val="ro-MD"/>
        </w:rPr>
        <w:t>dezvolta un</w:t>
      </w:r>
      <w:r>
        <w:rPr>
          <w:rFonts w:ascii="Times New Roman" w:hAnsi="Times New Roman" w:cs="Times New Roman"/>
          <w:color w:val="000000"/>
          <w:sz w:val="24"/>
          <w:szCs w:val="24"/>
          <w:lang w:val="ro-MD"/>
        </w:rPr>
        <w:t xml:space="preserve"> program de stagier</w:t>
      </w:r>
      <w:r w:rsidR="002143AF">
        <w:rPr>
          <w:rFonts w:ascii="Times New Roman" w:hAnsi="Times New Roman" w:cs="Times New Roman"/>
          <w:color w:val="000000"/>
          <w:sz w:val="24"/>
          <w:szCs w:val="24"/>
          <w:lang w:val="ro-MD"/>
        </w:rPr>
        <w:t>i</w:t>
      </w:r>
      <w:r>
        <w:rPr>
          <w:rFonts w:ascii="Times New Roman" w:hAnsi="Times New Roman" w:cs="Times New Roman"/>
          <w:color w:val="000000"/>
          <w:sz w:val="24"/>
          <w:szCs w:val="24"/>
          <w:lang w:val="ro-MD"/>
        </w:rPr>
        <w:t xml:space="preserve"> </w:t>
      </w:r>
      <w:r w:rsidR="002143AF">
        <w:rPr>
          <w:rFonts w:ascii="Times New Roman" w:hAnsi="Times New Roman" w:cs="Times New Roman"/>
          <w:color w:val="000000"/>
          <w:sz w:val="24"/>
          <w:szCs w:val="24"/>
          <w:lang w:val="ro-MD"/>
        </w:rPr>
        <w:t xml:space="preserve">și locuri de muncă </w:t>
      </w:r>
      <w:r>
        <w:rPr>
          <w:rFonts w:ascii="Times New Roman" w:hAnsi="Times New Roman" w:cs="Times New Roman"/>
          <w:color w:val="000000"/>
          <w:sz w:val="24"/>
          <w:szCs w:val="24"/>
          <w:lang w:val="ro-MD"/>
        </w:rPr>
        <w:t>pentru persoanele cu dizabilități</w:t>
      </w:r>
      <w:r w:rsidR="00E717B3">
        <w:rPr>
          <w:rFonts w:ascii="Times New Roman" w:hAnsi="Times New Roman" w:cs="Times New Roman"/>
          <w:color w:val="000000"/>
          <w:sz w:val="24"/>
          <w:szCs w:val="24"/>
          <w:lang w:val="ro-MD"/>
        </w:rPr>
        <w:t>, va implementa măsuri de facilitare a adaptării rezonabile a infrastructurii și programelor de instr</w:t>
      </w:r>
      <w:r w:rsidR="004A6F1E">
        <w:rPr>
          <w:rFonts w:ascii="Times New Roman" w:hAnsi="Times New Roman" w:cs="Times New Roman"/>
          <w:color w:val="000000"/>
          <w:sz w:val="24"/>
          <w:szCs w:val="24"/>
          <w:lang w:val="ro-MD"/>
        </w:rPr>
        <w:t>u</w:t>
      </w:r>
      <w:r w:rsidR="00E717B3">
        <w:rPr>
          <w:rFonts w:ascii="Times New Roman" w:hAnsi="Times New Roman" w:cs="Times New Roman"/>
          <w:color w:val="000000"/>
          <w:sz w:val="24"/>
          <w:szCs w:val="24"/>
          <w:lang w:val="ro-MD"/>
        </w:rPr>
        <w:t>ire o</w:t>
      </w:r>
      <w:r w:rsidR="004A6F1E">
        <w:rPr>
          <w:rFonts w:ascii="Times New Roman" w:hAnsi="Times New Roman" w:cs="Times New Roman"/>
          <w:color w:val="000000"/>
          <w:sz w:val="24"/>
          <w:szCs w:val="24"/>
          <w:lang w:val="ro-MD"/>
        </w:rPr>
        <w:t>f</w:t>
      </w:r>
      <w:r w:rsidR="00E717B3">
        <w:rPr>
          <w:rFonts w:ascii="Times New Roman" w:hAnsi="Times New Roman" w:cs="Times New Roman"/>
          <w:color w:val="000000"/>
          <w:sz w:val="24"/>
          <w:szCs w:val="24"/>
          <w:lang w:val="ro-MD"/>
        </w:rPr>
        <w:t xml:space="preserve">erite de prestatorii de servicii de formare profesională, va implementa măsuri de sprijin a angajării persoanelor cu dizabilități, inclusiv asigurarea accesului fizic la subdiviziunile teritoriale pentru ocuparea forței de muncă a persoanelor cu dizabilități. </w:t>
      </w:r>
    </w:p>
    <w:p w14:paraId="4BD5423B" w14:textId="77777777" w:rsidR="00E717B3" w:rsidRDefault="00E717B3" w:rsidP="00E717B3">
      <w:pPr>
        <w:pStyle w:val="ListParagraph"/>
        <w:ind w:left="0"/>
        <w:jc w:val="both"/>
        <w:rPr>
          <w:rFonts w:ascii="Times New Roman" w:hAnsi="Times New Roman" w:cs="Times New Roman"/>
          <w:color w:val="000000"/>
          <w:sz w:val="24"/>
          <w:szCs w:val="24"/>
          <w:lang w:val="ro-MD"/>
        </w:rPr>
      </w:pPr>
    </w:p>
    <w:p w14:paraId="622FABF1" w14:textId="68628D1F" w:rsidR="0079378D" w:rsidRPr="00815B6A" w:rsidRDefault="0079378D" w:rsidP="00E717B3">
      <w:pPr>
        <w:pStyle w:val="ListParagraph"/>
        <w:ind w:left="0"/>
        <w:jc w:val="both"/>
        <w:rPr>
          <w:rFonts w:ascii="Times New Roman" w:hAnsi="Times New Roman" w:cs="Times New Roman"/>
          <w:bCs/>
          <w:color w:val="000000"/>
          <w:sz w:val="24"/>
          <w:szCs w:val="24"/>
          <w:lang w:val="ro-MD"/>
        </w:rPr>
      </w:pPr>
      <w:r>
        <w:rPr>
          <w:rFonts w:ascii="Times New Roman" w:hAnsi="Times New Roman" w:cs="Times New Roman"/>
          <w:bCs/>
          <w:color w:val="000000"/>
          <w:sz w:val="24"/>
          <w:szCs w:val="24"/>
          <w:lang w:val="ro-MD"/>
        </w:rPr>
        <w:t>Integrarea în c</w:t>
      </w:r>
      <w:r w:rsidR="004A6F1E">
        <w:rPr>
          <w:rFonts w:ascii="Times New Roman" w:hAnsi="Times New Roman" w:cs="Times New Roman"/>
          <w:bCs/>
          <w:color w:val="000000"/>
          <w:sz w:val="24"/>
          <w:szCs w:val="24"/>
          <w:lang w:val="ro-MD"/>
        </w:rPr>
        <w:t>â</w:t>
      </w:r>
      <w:r>
        <w:rPr>
          <w:rFonts w:ascii="Times New Roman" w:hAnsi="Times New Roman" w:cs="Times New Roman"/>
          <w:bCs/>
          <w:color w:val="000000"/>
          <w:sz w:val="24"/>
          <w:szCs w:val="24"/>
          <w:lang w:val="ro-MD"/>
        </w:rPr>
        <w:t>mpul muncii a persoanelor cu dizabilități va contr</w:t>
      </w:r>
      <w:r w:rsidR="004A6F1E">
        <w:rPr>
          <w:rFonts w:ascii="Times New Roman" w:hAnsi="Times New Roman" w:cs="Times New Roman"/>
          <w:bCs/>
          <w:color w:val="000000"/>
          <w:sz w:val="24"/>
          <w:szCs w:val="24"/>
          <w:lang w:val="ro-MD"/>
        </w:rPr>
        <w:t>i</w:t>
      </w:r>
      <w:r>
        <w:rPr>
          <w:rFonts w:ascii="Times New Roman" w:hAnsi="Times New Roman" w:cs="Times New Roman"/>
          <w:bCs/>
          <w:color w:val="000000"/>
          <w:sz w:val="24"/>
          <w:szCs w:val="24"/>
          <w:lang w:val="ro-MD"/>
        </w:rPr>
        <w:t>bui la valorificarea resursei umane respective, sporirea gradului de conștientizare a societății cu privire la potențialul persoanelor cu dizabilități pentru economia țării, precum și creșterea gradului de toleranță față de persoanele cu dizabilități în Republica Moldova.</w:t>
      </w:r>
    </w:p>
    <w:p w14:paraId="5A8701C7" w14:textId="77777777" w:rsidR="00F42D60" w:rsidRDefault="00F42D60" w:rsidP="00C4778E">
      <w:pPr>
        <w:pStyle w:val="ListParagraph"/>
        <w:ind w:left="0"/>
        <w:jc w:val="both"/>
        <w:rPr>
          <w:rFonts w:ascii="Times New Roman" w:hAnsi="Times New Roman" w:cs="Times New Roman"/>
          <w:color w:val="000000"/>
          <w:sz w:val="24"/>
          <w:szCs w:val="24"/>
          <w:lang w:val="ro-MD"/>
        </w:rPr>
      </w:pPr>
    </w:p>
    <w:p w14:paraId="4F4DE1E2" w14:textId="7EF4F621" w:rsidR="008371AA" w:rsidRPr="009677FC" w:rsidRDefault="003A3AFA" w:rsidP="00C4778E">
      <w:pPr>
        <w:pStyle w:val="ListParagraph"/>
        <w:ind w:left="0"/>
        <w:jc w:val="both"/>
        <w:rPr>
          <w:rFonts w:ascii="Times New Roman" w:hAnsi="Times New Roman" w:cs="Times New Roman"/>
          <w:color w:val="000000"/>
          <w:sz w:val="24"/>
          <w:szCs w:val="24"/>
          <w:lang w:val="ro-MD"/>
        </w:rPr>
      </w:pPr>
      <w:r w:rsidRPr="003836D9">
        <w:rPr>
          <w:rFonts w:ascii="Times New Roman" w:eastAsia="Times New Roman" w:hAnsi="Times New Roman" w:cs="Times New Roman"/>
          <w:b/>
          <w:iCs/>
          <w:sz w:val="24"/>
          <w:szCs w:val="24"/>
          <w:lang w:val="ro-MD"/>
        </w:rPr>
        <w:t xml:space="preserve">Obiectiv specific 4. </w:t>
      </w:r>
      <w:r w:rsidR="009677FC">
        <w:rPr>
          <w:rFonts w:ascii="Times New Roman" w:eastAsia="Times New Roman" w:hAnsi="Times New Roman" w:cs="Times New Roman"/>
          <w:b/>
          <w:iCs/>
          <w:sz w:val="24"/>
          <w:szCs w:val="24"/>
          <w:lang w:val="ro-MD"/>
        </w:rPr>
        <w:t xml:space="preserve">Consolidarea </w:t>
      </w:r>
      <w:r w:rsidR="009677FC" w:rsidRPr="003836D9">
        <w:rPr>
          <w:rFonts w:ascii="Times New Roman" w:hAnsi="Times New Roman" w:cs="Times New Roman"/>
          <w:b/>
          <w:color w:val="000000"/>
          <w:sz w:val="24"/>
          <w:szCs w:val="24"/>
          <w:lang w:val="ro-MD"/>
        </w:rPr>
        <w:t xml:space="preserve">capacităților instituționale </w:t>
      </w:r>
      <w:r w:rsidR="009677FC">
        <w:rPr>
          <w:rFonts w:ascii="Times New Roman" w:hAnsi="Times New Roman" w:cs="Times New Roman"/>
          <w:b/>
          <w:color w:val="000000"/>
          <w:sz w:val="24"/>
          <w:szCs w:val="24"/>
          <w:lang w:val="ro-MD"/>
        </w:rPr>
        <w:t>A</w:t>
      </w:r>
      <w:r w:rsidR="009677FC" w:rsidRPr="003836D9">
        <w:rPr>
          <w:rFonts w:ascii="Times New Roman" w:hAnsi="Times New Roman" w:cs="Times New Roman"/>
          <w:b/>
          <w:color w:val="000000"/>
          <w:sz w:val="24"/>
          <w:szCs w:val="24"/>
          <w:lang w:val="ro-MD"/>
        </w:rPr>
        <w:t>genți</w:t>
      </w:r>
      <w:r w:rsidR="009677FC">
        <w:rPr>
          <w:rFonts w:ascii="Times New Roman" w:hAnsi="Times New Roman" w:cs="Times New Roman"/>
          <w:b/>
          <w:color w:val="000000"/>
          <w:sz w:val="24"/>
          <w:szCs w:val="24"/>
          <w:lang w:val="ro-MD"/>
        </w:rPr>
        <w:t>ei Naționale pentru</w:t>
      </w:r>
      <w:r w:rsidR="009677FC" w:rsidRPr="003836D9">
        <w:rPr>
          <w:rFonts w:ascii="Times New Roman" w:hAnsi="Times New Roman" w:cs="Times New Roman"/>
          <w:b/>
          <w:color w:val="000000"/>
          <w:sz w:val="24"/>
          <w:szCs w:val="24"/>
          <w:lang w:val="ro-MD"/>
        </w:rPr>
        <w:t xml:space="preserve"> </w:t>
      </w:r>
      <w:r w:rsidR="009677FC">
        <w:rPr>
          <w:rFonts w:ascii="Times New Roman" w:hAnsi="Times New Roman" w:cs="Times New Roman"/>
          <w:b/>
          <w:color w:val="000000"/>
          <w:sz w:val="24"/>
          <w:szCs w:val="24"/>
          <w:lang w:val="ro-MD"/>
        </w:rPr>
        <w:t>O</w:t>
      </w:r>
      <w:r w:rsidR="009677FC" w:rsidRPr="003836D9">
        <w:rPr>
          <w:rFonts w:ascii="Times New Roman" w:hAnsi="Times New Roman" w:cs="Times New Roman"/>
          <w:b/>
          <w:color w:val="000000"/>
          <w:sz w:val="24"/>
          <w:szCs w:val="24"/>
          <w:lang w:val="ro-MD"/>
        </w:rPr>
        <w:t xml:space="preserve">cuparea </w:t>
      </w:r>
      <w:r w:rsidR="009677FC">
        <w:rPr>
          <w:rFonts w:ascii="Times New Roman" w:hAnsi="Times New Roman" w:cs="Times New Roman"/>
          <w:b/>
          <w:color w:val="000000"/>
          <w:sz w:val="24"/>
          <w:szCs w:val="24"/>
          <w:lang w:val="ro-MD"/>
        </w:rPr>
        <w:t>F</w:t>
      </w:r>
      <w:r w:rsidR="009677FC" w:rsidRPr="003836D9">
        <w:rPr>
          <w:rFonts w:ascii="Times New Roman" w:hAnsi="Times New Roman" w:cs="Times New Roman"/>
          <w:b/>
          <w:color w:val="000000"/>
          <w:sz w:val="24"/>
          <w:szCs w:val="24"/>
          <w:lang w:val="ro-MD"/>
        </w:rPr>
        <w:t xml:space="preserve">orței de </w:t>
      </w:r>
      <w:r w:rsidR="009677FC">
        <w:rPr>
          <w:rFonts w:ascii="Times New Roman" w:hAnsi="Times New Roman" w:cs="Times New Roman"/>
          <w:b/>
          <w:color w:val="000000"/>
          <w:sz w:val="24"/>
          <w:szCs w:val="24"/>
          <w:lang w:val="ro-MD"/>
        </w:rPr>
        <w:t>M</w:t>
      </w:r>
      <w:r w:rsidR="009677FC" w:rsidRPr="003836D9">
        <w:rPr>
          <w:rFonts w:ascii="Times New Roman" w:hAnsi="Times New Roman" w:cs="Times New Roman"/>
          <w:b/>
          <w:color w:val="000000"/>
          <w:sz w:val="24"/>
          <w:szCs w:val="24"/>
          <w:lang w:val="ro-MD"/>
        </w:rPr>
        <w:t>uncă</w:t>
      </w:r>
      <w:r w:rsidR="009677FC">
        <w:rPr>
          <w:rFonts w:ascii="Times New Roman" w:hAnsi="Times New Roman" w:cs="Times New Roman"/>
          <w:b/>
          <w:color w:val="000000"/>
          <w:sz w:val="24"/>
          <w:szCs w:val="24"/>
          <w:lang w:val="ro-MD"/>
        </w:rPr>
        <w:t>, îmbunătățirea serviciilor și c</w:t>
      </w:r>
      <w:r w:rsidR="00B6463D" w:rsidRPr="003836D9">
        <w:rPr>
          <w:rFonts w:ascii="Times New Roman" w:eastAsia="Times New Roman" w:hAnsi="Times New Roman" w:cs="Times New Roman"/>
          <w:b/>
          <w:iCs/>
          <w:sz w:val="24"/>
          <w:szCs w:val="24"/>
          <w:lang w:val="ro-MD"/>
        </w:rPr>
        <w:t xml:space="preserve">reșterea finanțării pentru politica de măsuri active </w:t>
      </w:r>
      <w:r w:rsidR="009677FC" w:rsidRPr="003836D9">
        <w:rPr>
          <w:rFonts w:ascii="Times New Roman" w:eastAsia="Times New Roman" w:hAnsi="Times New Roman" w:cs="Times New Roman"/>
          <w:b/>
          <w:iCs/>
          <w:sz w:val="24"/>
          <w:szCs w:val="24"/>
          <w:lang w:val="ro-MD"/>
        </w:rPr>
        <w:t>către anul 2026</w:t>
      </w:r>
      <w:r w:rsidR="009677FC">
        <w:rPr>
          <w:rFonts w:ascii="Times New Roman" w:eastAsia="Times New Roman" w:hAnsi="Times New Roman" w:cs="Times New Roman"/>
          <w:b/>
          <w:iCs/>
          <w:sz w:val="24"/>
          <w:szCs w:val="24"/>
          <w:lang w:val="ro-MD"/>
        </w:rPr>
        <w:t>.</w:t>
      </w:r>
    </w:p>
    <w:p w14:paraId="52EA2831" w14:textId="22508EC2" w:rsidR="00F017C7" w:rsidRPr="00F32BE5" w:rsidRDefault="00F017C7" w:rsidP="00815B6A">
      <w:pPr>
        <w:pStyle w:val="ListParagraph"/>
        <w:shd w:val="clear" w:color="auto" w:fill="FFFFFF" w:themeFill="background1"/>
        <w:spacing w:before="240"/>
        <w:ind w:left="0"/>
        <w:contextualSpacing w:val="0"/>
        <w:jc w:val="both"/>
        <w:rPr>
          <w:rFonts w:ascii="Times New Roman" w:hAnsi="Times New Roman" w:cs="Times New Roman"/>
          <w:lang w:val="ro-MD"/>
        </w:rPr>
      </w:pPr>
      <w:r w:rsidRPr="003836D9">
        <w:rPr>
          <w:rFonts w:ascii="Times New Roman" w:hAnsi="Times New Roman" w:cs="Times New Roman"/>
          <w:sz w:val="24"/>
          <w:szCs w:val="24"/>
          <w:lang w:val="ro-MD"/>
        </w:rPr>
        <w:t>Atingerea obiecti</w:t>
      </w:r>
      <w:r>
        <w:rPr>
          <w:rFonts w:ascii="Times New Roman" w:hAnsi="Times New Roman" w:cs="Times New Roman"/>
          <w:sz w:val="24"/>
          <w:szCs w:val="24"/>
          <w:lang w:val="ro-MD"/>
        </w:rPr>
        <w:t>vului dat se va realiza prin: (i)</w:t>
      </w:r>
      <w:r w:rsidRPr="003836D9">
        <w:rPr>
          <w:rFonts w:ascii="Times New Roman" w:hAnsi="Times New Roman" w:cs="Times New Roman"/>
          <w:sz w:val="24"/>
          <w:szCs w:val="24"/>
          <w:lang w:val="ro-MD"/>
        </w:rPr>
        <w:t xml:space="preserve"> </w:t>
      </w:r>
      <w:r w:rsidR="00A14A18" w:rsidRPr="003836D9">
        <w:rPr>
          <w:rFonts w:ascii="Times New Roman" w:hAnsi="Times New Roman" w:cs="Times New Roman"/>
          <w:sz w:val="24"/>
          <w:szCs w:val="24"/>
          <w:lang w:val="ro-MD"/>
        </w:rPr>
        <w:t>îmbunătățirea servicii</w:t>
      </w:r>
      <w:r w:rsidR="00A14A18">
        <w:rPr>
          <w:rFonts w:ascii="Times New Roman" w:hAnsi="Times New Roman" w:cs="Times New Roman"/>
          <w:sz w:val="24"/>
          <w:szCs w:val="24"/>
          <w:lang w:val="ro-MD"/>
        </w:rPr>
        <w:t>lor</w:t>
      </w:r>
      <w:r w:rsidR="00A14A18" w:rsidRPr="003836D9">
        <w:rPr>
          <w:rFonts w:ascii="Times New Roman" w:hAnsi="Times New Roman" w:cs="Times New Roman"/>
          <w:sz w:val="24"/>
          <w:szCs w:val="24"/>
          <w:lang w:val="ro-MD"/>
        </w:rPr>
        <w:t xml:space="preserve"> de ocupare</w:t>
      </w:r>
      <w:r w:rsidR="00A14A18">
        <w:rPr>
          <w:rFonts w:ascii="Times New Roman" w:hAnsi="Times New Roman" w:cs="Times New Roman"/>
          <w:sz w:val="24"/>
          <w:szCs w:val="24"/>
          <w:lang w:val="ro-MD"/>
        </w:rPr>
        <w:t xml:space="preserve"> prin automatizarea procedurilor administrative interne și externe ale Agenției Naționale pentru Ocuparea Forței de Muncă și acordarea serviciilor online șomerilor și angajatorilor; </w:t>
      </w:r>
      <w:r w:rsidR="00A14A18">
        <w:rPr>
          <w:rFonts w:ascii="Times New Roman" w:hAnsi="Times New Roman" w:cs="Times New Roman"/>
          <w:color w:val="000000"/>
          <w:sz w:val="24"/>
          <w:szCs w:val="24"/>
          <w:lang w:val="ro-MD"/>
        </w:rPr>
        <w:t>(ii)</w:t>
      </w:r>
      <w:r w:rsidR="00A14A18" w:rsidRPr="003836D9">
        <w:rPr>
          <w:rFonts w:ascii="Times New Roman" w:hAnsi="Times New Roman" w:cs="Times New Roman"/>
          <w:color w:val="000000"/>
          <w:sz w:val="24"/>
          <w:szCs w:val="24"/>
          <w:lang w:val="ro-MD"/>
        </w:rPr>
        <w:t xml:space="preserve"> capacitarea A</w:t>
      </w:r>
      <w:r w:rsidR="00A14A18">
        <w:rPr>
          <w:rFonts w:ascii="Times New Roman" w:hAnsi="Times New Roman" w:cs="Times New Roman"/>
          <w:color w:val="000000"/>
          <w:sz w:val="24"/>
          <w:szCs w:val="24"/>
          <w:lang w:val="ro-MD"/>
        </w:rPr>
        <w:t>genției Naționale pentru Ocuparea Forței de Muncă c</w:t>
      </w:r>
      <w:r w:rsidR="00A14A18" w:rsidRPr="003836D9">
        <w:rPr>
          <w:rFonts w:ascii="Times New Roman" w:hAnsi="Times New Roman" w:cs="Times New Roman"/>
          <w:color w:val="000000"/>
          <w:sz w:val="24"/>
          <w:szCs w:val="24"/>
          <w:lang w:val="ro-MD"/>
        </w:rPr>
        <w:t>u resurse umane, financiare și tehnologice pentru a extinde furn</w:t>
      </w:r>
      <w:r w:rsidR="00A14A18">
        <w:rPr>
          <w:rFonts w:ascii="Times New Roman" w:hAnsi="Times New Roman" w:cs="Times New Roman"/>
          <w:color w:val="000000"/>
          <w:sz w:val="24"/>
          <w:szCs w:val="24"/>
          <w:lang w:val="ro-MD"/>
        </w:rPr>
        <w:t>izarea de servicii și programe</w:t>
      </w:r>
      <w:r w:rsidR="00A14A18" w:rsidRPr="003836D9">
        <w:rPr>
          <w:rFonts w:ascii="Times New Roman" w:hAnsi="Times New Roman" w:cs="Times New Roman"/>
          <w:color w:val="000000"/>
          <w:sz w:val="24"/>
          <w:szCs w:val="24"/>
          <w:lang w:val="ro-MD"/>
        </w:rPr>
        <w:t xml:space="preserve"> pentru a contribui la realizarea obiectivelor politicii de ocupare</w:t>
      </w:r>
      <w:r w:rsidR="00A14A18">
        <w:rPr>
          <w:rFonts w:ascii="Times New Roman" w:hAnsi="Times New Roman" w:cs="Times New Roman"/>
          <w:sz w:val="24"/>
          <w:szCs w:val="24"/>
          <w:lang w:val="ro-MD"/>
        </w:rPr>
        <w:t xml:space="preserve">; (iii) </w:t>
      </w:r>
      <w:r w:rsidRPr="003836D9">
        <w:rPr>
          <w:rFonts w:ascii="Times New Roman" w:hAnsi="Times New Roman" w:cs="Times New Roman"/>
          <w:sz w:val="24"/>
          <w:szCs w:val="24"/>
          <w:lang w:val="ro-MD"/>
        </w:rPr>
        <w:t xml:space="preserve">îmbunătățirea finanțării politicilor active ale pieței muncii pentru a răspunde nevoilor multiple ale </w:t>
      </w:r>
      <w:r w:rsidR="00F32BE5">
        <w:rPr>
          <w:rFonts w:ascii="Times New Roman" w:hAnsi="Times New Roman" w:cs="Times New Roman"/>
          <w:sz w:val="24"/>
          <w:szCs w:val="24"/>
          <w:lang w:val="ro-MD"/>
        </w:rPr>
        <w:t xml:space="preserve">diferitor categorii de </w:t>
      </w:r>
      <w:r>
        <w:rPr>
          <w:rFonts w:ascii="Times New Roman" w:hAnsi="Times New Roman" w:cs="Times New Roman"/>
          <w:sz w:val="24"/>
          <w:szCs w:val="24"/>
          <w:lang w:val="ro-MD"/>
        </w:rPr>
        <w:t>populație</w:t>
      </w:r>
      <w:r w:rsidR="00A14A18">
        <w:rPr>
          <w:rFonts w:ascii="Times New Roman" w:hAnsi="Times New Roman" w:cs="Times New Roman"/>
          <w:sz w:val="24"/>
          <w:szCs w:val="24"/>
          <w:lang w:val="ro-MD"/>
        </w:rPr>
        <w:t>,</w:t>
      </w:r>
      <w:r w:rsidR="00F32BE5">
        <w:rPr>
          <w:rFonts w:ascii="Times New Roman" w:hAnsi="Times New Roman" w:cs="Times New Roman"/>
          <w:sz w:val="24"/>
          <w:szCs w:val="24"/>
          <w:lang w:val="ro-MD"/>
        </w:rPr>
        <w:t>.</w:t>
      </w:r>
    </w:p>
    <w:p w14:paraId="13B66484" w14:textId="285982F9" w:rsidR="00A14A18" w:rsidRDefault="00A14A18" w:rsidP="00B87550">
      <w:pPr>
        <w:pStyle w:val="ListParagraph"/>
        <w:shd w:val="clear" w:color="auto" w:fill="FFFFFF" w:themeFill="background1"/>
        <w:spacing w:before="160"/>
        <w:ind w:left="0"/>
        <w:contextualSpacing w:val="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xml:space="preserve">Pentru a îmbunătăți serviciilor oferite de Agenția Națională pentru Ocuparea Forței de Muncă, </w:t>
      </w:r>
      <w:r>
        <w:rPr>
          <w:rFonts w:ascii="Times New Roman" w:hAnsi="Times New Roman" w:cs="Times New Roman"/>
          <w:sz w:val="24"/>
          <w:szCs w:val="24"/>
          <w:lang w:val="ro-MD"/>
        </w:rPr>
        <w:t>m</w:t>
      </w:r>
      <w:r w:rsidRPr="003836D9">
        <w:rPr>
          <w:rFonts w:ascii="Times New Roman" w:hAnsi="Times New Roman" w:cs="Times New Roman"/>
          <w:sz w:val="24"/>
          <w:szCs w:val="24"/>
          <w:lang w:val="ro-MD"/>
        </w:rPr>
        <w:t>odalitățile de furnizare a serviciilor de ocupare</w:t>
      </w:r>
      <w:r>
        <w:rPr>
          <w:rFonts w:ascii="Times New Roman" w:hAnsi="Times New Roman" w:cs="Times New Roman"/>
          <w:sz w:val="24"/>
          <w:szCs w:val="24"/>
          <w:lang w:val="ro-MD"/>
        </w:rPr>
        <w:t xml:space="preserve"> vor fi revizuite, procedurile de a accesa serviciile agenției vor fi simplificate, mai multe servicii vor fi oferite online și un modul de instruiri online pentru personalul agenție va fi creat.</w:t>
      </w:r>
      <w:r w:rsidRPr="003836D9">
        <w:rPr>
          <w:rFonts w:ascii="Times New Roman" w:hAnsi="Times New Roman" w:cs="Times New Roman"/>
          <w:sz w:val="24"/>
          <w:szCs w:val="24"/>
          <w:lang w:val="ro-MD" w:eastAsia="en-GB"/>
        </w:rPr>
        <w:t>Modernizarea platformei TIC a A</w:t>
      </w:r>
      <w:r>
        <w:rPr>
          <w:rFonts w:ascii="Times New Roman" w:hAnsi="Times New Roman" w:cs="Times New Roman"/>
          <w:sz w:val="24"/>
          <w:szCs w:val="24"/>
          <w:lang w:val="ro-MD" w:eastAsia="en-GB"/>
        </w:rPr>
        <w:t xml:space="preserve">genției Naționale pentru Ocuparea Forței de Muncă este o acțiune cheie, care va permite: </w:t>
      </w:r>
    </w:p>
    <w:p w14:paraId="573AD3EC" w14:textId="06CCE093" w:rsidR="00A14A18" w:rsidRDefault="00A14A18" w:rsidP="00A14A18">
      <w:pPr>
        <w:shd w:val="clear" w:color="auto" w:fill="FFFFFF" w:themeFill="background1"/>
        <w:spacing w:after="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automatizarea procedurilor administrative interne și externe ale agenției;</w:t>
      </w:r>
    </w:p>
    <w:p w14:paraId="51D9C0B7" w14:textId="63E304A8" w:rsidR="00A14A18" w:rsidRDefault="00A14A18" w:rsidP="00A14A18">
      <w:pPr>
        <w:shd w:val="clear" w:color="auto" w:fill="FFFFFF" w:themeFill="background1"/>
        <w:spacing w:after="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oferirea serviciilor online șomerilor și angajatorilor (ghidare în carieră, aplicații pentru subvenții, cursuri de calificare, recalificare, perfecționare și specializare, stagii profesionale, instruiri la locul de muncă, etc.);</w:t>
      </w:r>
    </w:p>
    <w:p w14:paraId="06E0F8E1" w14:textId="4FF8E517" w:rsidR="00A14A18" w:rsidRDefault="00A14A18" w:rsidP="00A14A18">
      <w:pPr>
        <w:shd w:val="clear" w:color="auto" w:fill="FFFFFF" w:themeFill="background1"/>
        <w:spacing w:after="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xml:space="preserve">- </w:t>
      </w:r>
      <w:r w:rsidRPr="00F32BE5">
        <w:rPr>
          <w:rFonts w:ascii="Times New Roman" w:hAnsi="Times New Roman" w:cs="Times New Roman"/>
          <w:sz w:val="24"/>
          <w:szCs w:val="24"/>
          <w:lang w:val="ro-MD" w:eastAsia="en-GB"/>
        </w:rPr>
        <w:t xml:space="preserve">instituirea unei proceduri online de înregistrare și revendicare; </w:t>
      </w:r>
    </w:p>
    <w:p w14:paraId="1A7978DA" w14:textId="557E3473" w:rsidR="00A14A18" w:rsidRDefault="00A14A18" w:rsidP="00A14A18">
      <w:pPr>
        <w:shd w:val="clear" w:color="auto" w:fill="FFFFFF" w:themeFill="background1"/>
        <w:spacing w:after="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xml:space="preserve">- </w:t>
      </w:r>
      <w:r w:rsidRPr="00F32BE5">
        <w:rPr>
          <w:rFonts w:ascii="Times New Roman" w:hAnsi="Times New Roman" w:cs="Times New Roman"/>
          <w:sz w:val="24"/>
          <w:szCs w:val="24"/>
          <w:lang w:val="ro-MD" w:eastAsia="en-GB"/>
        </w:rPr>
        <w:t>adoptarea unui sistem automat de corelare a persoanelor aflate în căutarea unui loc de muncă cu locurile de muncă vacante disponibile;</w:t>
      </w:r>
    </w:p>
    <w:p w14:paraId="65AEF51E" w14:textId="21F374E6" w:rsidR="00A14A18" w:rsidRPr="00F32BE5" w:rsidRDefault="00A14A18" w:rsidP="00A14A18">
      <w:pPr>
        <w:shd w:val="clear" w:color="auto" w:fill="FFFFFF" w:themeFill="background1"/>
        <w:spacing w:after="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xml:space="preserve">- </w:t>
      </w:r>
      <w:r w:rsidRPr="00F32BE5">
        <w:rPr>
          <w:rFonts w:ascii="Times New Roman" w:hAnsi="Times New Roman" w:cs="Times New Roman"/>
          <w:sz w:val="24"/>
          <w:szCs w:val="24"/>
          <w:lang w:val="ro-MD" w:eastAsia="en-GB"/>
        </w:rPr>
        <w:t>colectarea și gestionarea informațiilor despre clienții individuali, locurile de muncă vacante și angajatorii, servicii și programe</w:t>
      </w:r>
      <w:r>
        <w:rPr>
          <w:rFonts w:ascii="Times New Roman" w:hAnsi="Times New Roman" w:cs="Times New Roman"/>
          <w:sz w:val="24"/>
          <w:szCs w:val="24"/>
          <w:lang w:val="ro-MD" w:eastAsia="en-GB"/>
        </w:rPr>
        <w:t>;</w:t>
      </w:r>
    </w:p>
    <w:p w14:paraId="7FB871AD" w14:textId="741B1FFB" w:rsidR="00A14A18" w:rsidRPr="00F32BE5" w:rsidRDefault="00A14A18" w:rsidP="00A14A18">
      <w:pPr>
        <w:shd w:val="clear" w:color="auto" w:fill="FFFFFF" w:themeFill="background1"/>
        <w:spacing w:after="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xml:space="preserve">- </w:t>
      </w:r>
      <w:r w:rsidRPr="00F32BE5">
        <w:rPr>
          <w:rFonts w:ascii="Times New Roman" w:hAnsi="Times New Roman" w:cs="Times New Roman"/>
          <w:sz w:val="24"/>
          <w:szCs w:val="24"/>
          <w:lang w:val="ro-MD" w:eastAsia="en-GB"/>
        </w:rPr>
        <w:t xml:space="preserve">punerea în aplicare a unui sistem de profilare statistică în baza informațiilor colectate la înregistrare pentru a segmenta persoanele cu risc de excluziune în vederea acordării suportului imediat și a furnizării de servicii; </w:t>
      </w:r>
    </w:p>
    <w:p w14:paraId="0884A630" w14:textId="77777777" w:rsidR="00A14A18" w:rsidRDefault="00A14A18" w:rsidP="00A14A18">
      <w:pPr>
        <w:shd w:val="clear" w:color="auto" w:fill="FFFFFF" w:themeFill="background1"/>
        <w:spacing w:after="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xml:space="preserve">- </w:t>
      </w:r>
      <w:r w:rsidRPr="00F32BE5">
        <w:rPr>
          <w:rFonts w:ascii="Times New Roman" w:hAnsi="Times New Roman" w:cs="Times New Roman"/>
          <w:sz w:val="24"/>
          <w:szCs w:val="24"/>
          <w:lang w:val="ro-MD" w:eastAsia="en-GB"/>
        </w:rPr>
        <w:t>punerea în aplicare a unui sistem de monitorizare bazat pe fluxul de intrări și ieșiri și colectarea informațiilor de monitorizare obținute prin disponibilitatea reciprocă a datelor administrative</w:t>
      </w:r>
      <w:r>
        <w:rPr>
          <w:rFonts w:ascii="Times New Roman" w:hAnsi="Times New Roman" w:cs="Times New Roman"/>
          <w:sz w:val="24"/>
          <w:szCs w:val="24"/>
          <w:lang w:val="ro-MD" w:eastAsia="en-GB"/>
        </w:rPr>
        <w:t>;</w:t>
      </w:r>
    </w:p>
    <w:p w14:paraId="61EE04EA" w14:textId="57239E3A" w:rsidR="00A14A18" w:rsidRPr="00F32BE5" w:rsidRDefault="00A14A18" w:rsidP="00A14A18">
      <w:pPr>
        <w:shd w:val="clear" w:color="auto" w:fill="FFFFFF" w:themeFill="background1"/>
        <w:spacing w:after="0"/>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crearea unor dashboards care vor include performanța fiecărui angajat și subdiviziunilor teritoriale ale ocupării forței de muncă.</w:t>
      </w:r>
    </w:p>
    <w:p w14:paraId="54F855A1" w14:textId="4106E36F" w:rsidR="00F017C7" w:rsidRPr="00F32BE5" w:rsidRDefault="00F017C7" w:rsidP="00B87550">
      <w:pPr>
        <w:pStyle w:val="ListParagraph"/>
        <w:shd w:val="clear" w:color="auto" w:fill="FFFFFF" w:themeFill="background1"/>
        <w:spacing w:after="0"/>
        <w:ind w:left="0"/>
        <w:contextualSpacing w:val="0"/>
        <w:jc w:val="both"/>
        <w:rPr>
          <w:rFonts w:ascii="Times New Roman" w:hAnsi="Times New Roman" w:cs="Times New Roman"/>
          <w:sz w:val="24"/>
          <w:szCs w:val="24"/>
          <w:lang w:val="ro-MD" w:eastAsia="en-GB"/>
        </w:rPr>
      </w:pPr>
      <w:r w:rsidRPr="003836D9">
        <w:rPr>
          <w:rFonts w:ascii="Times New Roman" w:hAnsi="Times New Roman" w:cs="Times New Roman"/>
          <w:sz w:val="24"/>
          <w:szCs w:val="24"/>
          <w:lang w:val="ro-MD" w:eastAsia="en-GB"/>
        </w:rPr>
        <w:t xml:space="preserve">O precondiție esențială pentru ca politicile active ale pieței muncii să îmbunătățească funcționarea pieței muncii este să fie finanțate în mod adecvat și să fie direcționate către grupurile cel mai mult expuse riscului de excluziune. O creștere a pachetului general de finanțare ar permite creșterea numărului de persoane care participă la servicii și programe, pe de o parte, și creșterea eficienței și eficacității mecanismului de furnizare (personal, infrastructură și platformă TIC). Țintirea necesită o </w:t>
      </w:r>
      <w:r w:rsidRPr="003836D9">
        <w:rPr>
          <w:rFonts w:ascii="Times New Roman" w:hAnsi="Times New Roman" w:cs="Times New Roman"/>
          <w:sz w:val="24"/>
          <w:szCs w:val="24"/>
          <w:lang w:val="ro-MD" w:eastAsia="en-GB"/>
        </w:rPr>
        <w:lastRenderedPageBreak/>
        <w:t xml:space="preserve">abordare bazată de profilare solidă, implementată la înregistrare, susținută de o platformă TIC adecvată, o revizuire a proceselor de lucru și a procedurilor administrative pentru a facilita tranziția persoanelor prin diferitele procese (de la primul interviu până la înscrierea la programe), precum și spații accesibile și funcționale pentru a maximiza furnizarea serviciilor și a minimiza timpul de așteptare. </w:t>
      </w:r>
    </w:p>
    <w:p w14:paraId="55F9F1CE" w14:textId="58E06023" w:rsidR="00F017C7" w:rsidRPr="003836D9" w:rsidRDefault="00F017C7" w:rsidP="00F017C7">
      <w:pPr>
        <w:pStyle w:val="ListParagraph"/>
        <w:shd w:val="clear" w:color="auto" w:fill="FFFFFF" w:themeFill="background1"/>
        <w:spacing w:before="160"/>
        <w:ind w:left="0"/>
        <w:contextualSpacing w:val="0"/>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Oferta de servicii a A</w:t>
      </w:r>
      <w:r w:rsidR="004D2213">
        <w:rPr>
          <w:rFonts w:ascii="Times New Roman" w:hAnsi="Times New Roman" w:cs="Times New Roman"/>
          <w:sz w:val="24"/>
          <w:szCs w:val="24"/>
          <w:lang w:val="ro-MD"/>
        </w:rPr>
        <w:t xml:space="preserve">genției Naționale pentru Ocuparea Forței de Muncă </w:t>
      </w:r>
      <w:r w:rsidRPr="003836D9">
        <w:rPr>
          <w:rFonts w:ascii="Times New Roman" w:hAnsi="Times New Roman" w:cs="Times New Roman"/>
          <w:sz w:val="24"/>
          <w:szCs w:val="24"/>
          <w:lang w:val="ro-MD"/>
        </w:rPr>
        <w:t>este destul de dezvoltată, dar resursele umane</w:t>
      </w:r>
      <w:r w:rsidR="00A14A18">
        <w:rPr>
          <w:rFonts w:ascii="Times New Roman" w:hAnsi="Times New Roman" w:cs="Times New Roman"/>
          <w:sz w:val="24"/>
          <w:szCs w:val="24"/>
          <w:lang w:val="ro-MD"/>
        </w:rPr>
        <w:t>, tehnice și</w:t>
      </w:r>
      <w:r w:rsidRPr="003836D9">
        <w:rPr>
          <w:rFonts w:ascii="Times New Roman" w:hAnsi="Times New Roman" w:cs="Times New Roman"/>
          <w:sz w:val="24"/>
          <w:szCs w:val="24"/>
          <w:lang w:val="ro-MD"/>
        </w:rPr>
        <w:t xml:space="preserve"> financiare limitate restrâng aria de aplicare în ceea ce privește numărul de șomeri antrenați în măsuri active. Reforma pachetului de finanțare disponibil pentru A</w:t>
      </w:r>
      <w:r w:rsidR="00F32BE5">
        <w:rPr>
          <w:rFonts w:ascii="Times New Roman" w:hAnsi="Times New Roman" w:cs="Times New Roman"/>
          <w:sz w:val="24"/>
          <w:szCs w:val="24"/>
          <w:lang w:val="ro-MD"/>
        </w:rPr>
        <w:t xml:space="preserve">genția Națională pentru Ocuparea Forței de Muncă </w:t>
      </w:r>
      <w:r w:rsidRPr="003836D9">
        <w:rPr>
          <w:rFonts w:ascii="Times New Roman" w:hAnsi="Times New Roman" w:cs="Times New Roman"/>
          <w:sz w:val="24"/>
          <w:szCs w:val="24"/>
          <w:lang w:val="ro-MD"/>
        </w:rPr>
        <w:t xml:space="preserve">va permite extinderea ariei și a spectrului de servicii și măsuri de ocupare, precum și dezvoltarea activităților de identificare a persoanelor inactive și a tinerilor NEET. Oferta de servicii de ocupare a forței de muncă va fi remodelată pentru a include consiliere de grup și individuală (informații despre piața muncii, referirea locurilor vacante, drepturile la locul de muncă și principiile de bază ale legislației muncii), ghidare în carieră, asistență pentru căutarea unui loc de muncă, mediere în vederea găsirii unui loc de muncă, programe de pregătire pentru muncă și alte programe de formare de bază, planificare individuală a ocupării forței de muncă, acces la validarea învățării și referirea la măsurile active ale pieței muncii. </w:t>
      </w:r>
    </w:p>
    <w:p w14:paraId="5CA0C508" w14:textId="5929B77C" w:rsidR="006F1506" w:rsidRPr="003836D9" w:rsidRDefault="006F1506" w:rsidP="006F1506">
      <w:pPr>
        <w:pStyle w:val="ListParagraph"/>
        <w:shd w:val="clear" w:color="auto" w:fill="FFFFFF" w:themeFill="background1"/>
        <w:ind w:left="0"/>
        <w:contextualSpacing w:val="0"/>
        <w:jc w:val="both"/>
        <w:rPr>
          <w:rFonts w:ascii="Times New Roman" w:hAnsi="Times New Roman" w:cs="Times New Roman"/>
          <w:color w:val="000000"/>
          <w:sz w:val="24"/>
          <w:szCs w:val="24"/>
          <w:lang w:val="ro-MD"/>
        </w:rPr>
      </w:pPr>
      <w:r w:rsidRPr="00815B6A">
        <w:rPr>
          <w:rFonts w:ascii="Times New Roman" w:hAnsi="Times New Roman" w:cs="Times New Roman"/>
          <w:color w:val="000000"/>
          <w:sz w:val="24"/>
          <w:szCs w:val="24"/>
          <w:lang w:val="ro-MD"/>
        </w:rPr>
        <w:t>Revizuirea abordărilor de țintire și a volumului de finanțare, modernizarea serviciilor de ocupare a forței de muncă și extinderea programelor active pe piața muncii vor fi însoțite de o consolidare a capacităților administrative a A</w:t>
      </w:r>
      <w:r w:rsidR="004D2213">
        <w:rPr>
          <w:rFonts w:ascii="Times New Roman" w:hAnsi="Times New Roman" w:cs="Times New Roman"/>
          <w:color w:val="000000"/>
          <w:sz w:val="24"/>
          <w:szCs w:val="24"/>
          <w:lang w:val="ro-MD"/>
        </w:rPr>
        <w:t xml:space="preserve">genției Naționale pentru Ocuparea Forței de Muncă </w:t>
      </w:r>
      <w:r w:rsidRPr="00815B6A">
        <w:rPr>
          <w:rFonts w:ascii="Times New Roman" w:hAnsi="Times New Roman" w:cs="Times New Roman"/>
          <w:color w:val="000000"/>
          <w:sz w:val="24"/>
          <w:szCs w:val="24"/>
          <w:lang w:val="ro-MD"/>
        </w:rPr>
        <w:t>pentru a gestiona furnizarea de servicii către un grup mai diversificat de clienți (șomeri de scurtă și lungă durată, tineri care nu sunt ocupați, nu urmează nici o formă de educație sau formare, migranți reîntorși, beneficiari de asistență socială, persoane cu dizabilități, femei care revin pe piața muncii după ce și-au crescut numărul de membri ai familiei, refugiați).</w:t>
      </w:r>
    </w:p>
    <w:p w14:paraId="1EB39C8C" w14:textId="73950094" w:rsidR="006F1506" w:rsidRPr="003836D9" w:rsidRDefault="006F1506" w:rsidP="006F1506">
      <w:pPr>
        <w:pStyle w:val="ListParagraph"/>
        <w:shd w:val="clear" w:color="auto" w:fill="FFFFFF" w:themeFill="background1"/>
        <w:ind w:left="0"/>
        <w:contextualSpacing w:val="0"/>
        <w:jc w:val="both"/>
        <w:rPr>
          <w:rFonts w:ascii="Times New Roman" w:hAnsi="Times New Roman" w:cs="Times New Roman"/>
          <w:sz w:val="24"/>
          <w:szCs w:val="24"/>
          <w:lang w:val="ro-MD" w:eastAsia="en-GB"/>
        </w:rPr>
      </w:pPr>
      <w:r w:rsidRPr="003836D9">
        <w:rPr>
          <w:rFonts w:ascii="Times New Roman" w:hAnsi="Times New Roman" w:cs="Times New Roman"/>
          <w:sz w:val="24"/>
          <w:szCs w:val="24"/>
          <w:lang w:val="ro-MD" w:eastAsia="en-GB"/>
        </w:rPr>
        <w:t>Acțiunea se va concentra pe recrutarea de personal suplimentar (în special personal cu pregătire psihologică pentru ghidare în carieră); implementarea unui program de formare continuă pentru a îmbunătăți prestarea serviciilor de angajare și pentru a asigura furnizarea de servicii de calitate în toată țara; modernizarea platformei TIC pentru automatizarea proceselor și procedurilor și consolidare</w:t>
      </w:r>
      <w:r w:rsidR="006B26AD">
        <w:rPr>
          <w:rFonts w:ascii="Times New Roman" w:hAnsi="Times New Roman" w:cs="Times New Roman"/>
          <w:sz w:val="24"/>
          <w:szCs w:val="24"/>
          <w:lang w:val="ro-MD" w:eastAsia="en-GB"/>
        </w:rPr>
        <w:t xml:space="preserve"> </w:t>
      </w:r>
      <w:r w:rsidRPr="003836D9">
        <w:rPr>
          <w:rFonts w:ascii="Times New Roman" w:hAnsi="Times New Roman" w:cs="Times New Roman"/>
          <w:sz w:val="24"/>
          <w:szCs w:val="24"/>
          <w:lang w:val="ro-MD" w:eastAsia="en-GB"/>
        </w:rPr>
        <w:t xml:space="preserve">a sistemului de monitorizare și evaluare; și renovarea subdiviziunilor teritoriale de ocupare a forței de muncă. </w:t>
      </w:r>
    </w:p>
    <w:p w14:paraId="48A2E021" w14:textId="2ABA8225" w:rsidR="008371AA" w:rsidRPr="003836D9" w:rsidRDefault="00EF7D9A" w:rsidP="00AC0719">
      <w:pPr>
        <w:pStyle w:val="Heading2"/>
        <w:spacing w:before="0" w:after="160" w:line="259" w:lineRule="auto"/>
        <w:ind w:left="1080"/>
        <w:jc w:val="center"/>
        <w:rPr>
          <w:rFonts w:ascii="Times New Roman" w:hAnsi="Times New Roman"/>
          <w:color w:val="auto"/>
          <w:sz w:val="24"/>
          <w:szCs w:val="24"/>
          <w:lang w:val="ro-MD"/>
        </w:rPr>
      </w:pPr>
      <w:r w:rsidRPr="003836D9">
        <w:rPr>
          <w:rFonts w:ascii="Times New Roman" w:hAnsi="Times New Roman"/>
          <w:color w:val="auto"/>
          <w:sz w:val="24"/>
          <w:szCs w:val="24"/>
          <w:lang w:val="ro-MD"/>
        </w:rPr>
        <w:t>Capitolul I</w:t>
      </w:r>
      <w:r w:rsidR="0022504A" w:rsidRPr="003836D9">
        <w:rPr>
          <w:rFonts w:ascii="Times New Roman" w:hAnsi="Times New Roman"/>
          <w:color w:val="auto"/>
          <w:sz w:val="24"/>
          <w:szCs w:val="24"/>
          <w:lang w:val="ro-MD"/>
        </w:rPr>
        <w:t>V</w:t>
      </w:r>
      <w:r w:rsidRPr="003836D9">
        <w:rPr>
          <w:rFonts w:ascii="Times New Roman" w:hAnsi="Times New Roman"/>
          <w:color w:val="auto"/>
          <w:sz w:val="24"/>
          <w:szCs w:val="24"/>
          <w:lang w:val="ro-MD"/>
        </w:rPr>
        <w:t xml:space="preserve">. </w:t>
      </w:r>
      <w:r w:rsidR="0055585E" w:rsidRPr="003836D9">
        <w:rPr>
          <w:rFonts w:ascii="Times New Roman" w:hAnsi="Times New Roman"/>
          <w:color w:val="auto"/>
          <w:sz w:val="24"/>
          <w:szCs w:val="24"/>
          <w:lang w:val="ro-MD"/>
        </w:rPr>
        <w:t xml:space="preserve">Impactul </w:t>
      </w:r>
      <w:r w:rsidR="007152F1" w:rsidRPr="003836D9">
        <w:rPr>
          <w:rFonts w:ascii="Times New Roman" w:hAnsi="Times New Roman"/>
          <w:color w:val="auto"/>
          <w:sz w:val="24"/>
          <w:szCs w:val="24"/>
          <w:lang w:val="ro-MD"/>
        </w:rPr>
        <w:t>P</w:t>
      </w:r>
      <w:r w:rsidR="0055585E" w:rsidRPr="003836D9">
        <w:rPr>
          <w:rFonts w:ascii="Times New Roman" w:hAnsi="Times New Roman"/>
          <w:color w:val="auto"/>
          <w:sz w:val="24"/>
          <w:szCs w:val="24"/>
          <w:lang w:val="ro-MD"/>
        </w:rPr>
        <w:t>rogramului</w:t>
      </w:r>
    </w:p>
    <w:p w14:paraId="635496B2" w14:textId="77777777" w:rsidR="00AC0719" w:rsidRPr="003836D9" w:rsidRDefault="00B24EDB" w:rsidP="00AC2FE4">
      <w:pPr>
        <w:pStyle w:val="ListParagraph"/>
        <w:spacing w:before="160"/>
        <w:ind w:left="0"/>
        <w:contextualSpacing w:val="0"/>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Implementarea Programul</w:t>
      </w:r>
      <w:r w:rsidR="00AC0719" w:rsidRPr="003836D9">
        <w:rPr>
          <w:rFonts w:ascii="Times New Roman" w:hAnsi="Times New Roman" w:cs="Times New Roman"/>
          <w:color w:val="000000"/>
          <w:sz w:val="24"/>
          <w:szCs w:val="24"/>
          <w:lang w:val="ro-MD"/>
        </w:rPr>
        <w:t>ui</w:t>
      </w:r>
      <w:r w:rsidRPr="003836D9">
        <w:rPr>
          <w:rFonts w:ascii="Times New Roman" w:hAnsi="Times New Roman" w:cs="Times New Roman"/>
          <w:color w:val="000000"/>
          <w:sz w:val="24"/>
          <w:szCs w:val="24"/>
          <w:lang w:val="ro-MD"/>
        </w:rPr>
        <w:t xml:space="preserve"> va contribui la îmbunătățirea funcționării pieței muncii. Măsurile implementate în cadrul Programului vor contribui la creșterea nivelului de ocupare a forței de muncă, scăderea ratei de inactivitate și reducere</w:t>
      </w:r>
      <w:r w:rsidR="00D729C5" w:rsidRPr="003836D9">
        <w:rPr>
          <w:rFonts w:ascii="Times New Roman" w:hAnsi="Times New Roman" w:cs="Times New Roman"/>
          <w:color w:val="000000"/>
          <w:sz w:val="24"/>
          <w:szCs w:val="24"/>
          <w:lang w:val="ro-MD"/>
        </w:rPr>
        <w:t xml:space="preserve"> </w:t>
      </w:r>
      <w:r w:rsidRPr="003836D9">
        <w:rPr>
          <w:rFonts w:ascii="Times New Roman" w:hAnsi="Times New Roman" w:cs="Times New Roman"/>
          <w:color w:val="000000"/>
          <w:sz w:val="24"/>
          <w:szCs w:val="24"/>
          <w:lang w:val="ro-MD"/>
        </w:rPr>
        <w:t xml:space="preserve">a sărăciei în </w:t>
      </w:r>
      <w:r w:rsidR="00D729C5" w:rsidRPr="003836D9">
        <w:rPr>
          <w:rFonts w:ascii="Times New Roman" w:hAnsi="Times New Roman" w:cs="Times New Roman"/>
          <w:color w:val="000000"/>
          <w:sz w:val="24"/>
          <w:szCs w:val="24"/>
          <w:lang w:val="ro-MD"/>
        </w:rPr>
        <w:t>rândul</w:t>
      </w:r>
      <w:r w:rsidRPr="003836D9">
        <w:rPr>
          <w:rFonts w:ascii="Times New Roman" w:hAnsi="Times New Roman" w:cs="Times New Roman"/>
          <w:color w:val="000000"/>
          <w:sz w:val="24"/>
          <w:szCs w:val="24"/>
          <w:lang w:val="ro-MD"/>
        </w:rPr>
        <w:t xml:space="preserve"> beneficiarilor de asistență socială și persoanelor cu responsabilități familiale, precum și la reducerea ocupării informale și </w:t>
      </w:r>
      <w:r w:rsidR="00D729C5" w:rsidRPr="003836D9">
        <w:rPr>
          <w:rFonts w:ascii="Times New Roman" w:hAnsi="Times New Roman" w:cs="Times New Roman"/>
          <w:color w:val="000000"/>
          <w:sz w:val="24"/>
          <w:szCs w:val="24"/>
          <w:lang w:val="ro-MD"/>
        </w:rPr>
        <w:t>ecartului ocupării de gen.</w:t>
      </w:r>
      <w:r w:rsidRPr="003836D9">
        <w:rPr>
          <w:rFonts w:ascii="Times New Roman" w:hAnsi="Times New Roman" w:cs="Times New Roman"/>
          <w:color w:val="000000"/>
          <w:sz w:val="24"/>
          <w:szCs w:val="24"/>
          <w:lang w:val="ro-MD"/>
        </w:rPr>
        <w:t xml:space="preserve"> </w:t>
      </w:r>
    </w:p>
    <w:p w14:paraId="6C822FF9" w14:textId="5F67CA34" w:rsidR="006138E2" w:rsidRPr="003836D9" w:rsidRDefault="00D729C5" w:rsidP="00AC2FE4">
      <w:pPr>
        <w:pStyle w:val="ListParagraph"/>
        <w:spacing w:before="160"/>
        <w:ind w:left="0"/>
        <w:contextualSpacing w:val="0"/>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 xml:space="preserve">Grupurile țintă a programului sunt </w:t>
      </w:r>
      <w:r w:rsidR="00A14A18" w:rsidRPr="003836D9">
        <w:rPr>
          <w:rFonts w:ascii="Times New Roman" w:hAnsi="Times New Roman" w:cs="Times New Roman"/>
          <w:color w:val="000000"/>
          <w:sz w:val="24"/>
          <w:szCs w:val="24"/>
          <w:lang w:val="ro-MD"/>
        </w:rPr>
        <w:t>femei</w:t>
      </w:r>
      <w:r w:rsidR="00A14A18">
        <w:rPr>
          <w:rFonts w:ascii="Times New Roman" w:hAnsi="Times New Roman" w:cs="Times New Roman"/>
          <w:color w:val="000000"/>
          <w:sz w:val="24"/>
          <w:szCs w:val="24"/>
          <w:lang w:val="ro-MD"/>
        </w:rPr>
        <w:t>le</w:t>
      </w:r>
      <w:r w:rsidR="00A14A18" w:rsidRPr="003836D9">
        <w:rPr>
          <w:rFonts w:ascii="Times New Roman" w:hAnsi="Times New Roman" w:cs="Times New Roman"/>
          <w:color w:val="000000"/>
          <w:sz w:val="24"/>
          <w:szCs w:val="24"/>
          <w:lang w:val="ro-MD"/>
        </w:rPr>
        <w:t xml:space="preserve"> cu responsabilități familiale</w:t>
      </w:r>
      <w:r w:rsidR="00A14A18">
        <w:rPr>
          <w:rFonts w:ascii="Times New Roman" w:hAnsi="Times New Roman" w:cs="Times New Roman"/>
          <w:color w:val="000000"/>
          <w:sz w:val="24"/>
          <w:szCs w:val="24"/>
          <w:lang w:val="ro-MD"/>
        </w:rPr>
        <w:t xml:space="preserve">, persoanele cu dizabilități, </w:t>
      </w:r>
      <w:r w:rsidR="00A14A18" w:rsidRPr="003836D9">
        <w:rPr>
          <w:rFonts w:ascii="Times New Roman" w:hAnsi="Times New Roman" w:cs="Times New Roman"/>
          <w:color w:val="000000"/>
          <w:sz w:val="24"/>
          <w:szCs w:val="24"/>
          <w:lang w:val="ro-MD"/>
        </w:rPr>
        <w:t>lucrătorii ocupați în sectorul informal</w:t>
      </w:r>
      <w:r w:rsidR="00A14A18">
        <w:rPr>
          <w:rFonts w:ascii="Times New Roman" w:hAnsi="Times New Roman" w:cs="Times New Roman"/>
          <w:color w:val="000000"/>
          <w:sz w:val="24"/>
          <w:szCs w:val="24"/>
          <w:lang w:val="ro-MD"/>
        </w:rPr>
        <w:t xml:space="preserve">, tinerii NEETs, </w:t>
      </w:r>
      <w:r w:rsidR="00A14A18" w:rsidRPr="003836D9">
        <w:rPr>
          <w:rFonts w:ascii="Times New Roman" w:hAnsi="Times New Roman" w:cs="Times New Roman"/>
          <w:color w:val="000000"/>
          <w:sz w:val="24"/>
          <w:szCs w:val="24"/>
          <w:lang w:val="ro-MD"/>
        </w:rPr>
        <w:t>angajatorii</w:t>
      </w:r>
      <w:r w:rsidR="00A14A18">
        <w:rPr>
          <w:rFonts w:ascii="Times New Roman" w:hAnsi="Times New Roman" w:cs="Times New Roman"/>
          <w:color w:val="000000"/>
          <w:sz w:val="24"/>
          <w:szCs w:val="24"/>
          <w:lang w:val="ro-MD"/>
        </w:rPr>
        <w:t xml:space="preserve">, copiii care nu beneficiază de servicii de îngrijire alternativă, </w:t>
      </w:r>
      <w:r w:rsidR="00A14A18" w:rsidRPr="003836D9">
        <w:rPr>
          <w:rFonts w:ascii="Times New Roman" w:hAnsi="Times New Roman" w:cs="Times New Roman"/>
          <w:color w:val="000000"/>
          <w:sz w:val="24"/>
          <w:szCs w:val="24"/>
          <w:lang w:val="ro-MD"/>
        </w:rPr>
        <w:t>beneficiarii de asistență socială</w:t>
      </w:r>
      <w:r w:rsidR="00A14A18">
        <w:rPr>
          <w:rFonts w:ascii="Times New Roman" w:hAnsi="Times New Roman" w:cs="Times New Roman"/>
          <w:color w:val="000000"/>
          <w:sz w:val="24"/>
          <w:szCs w:val="24"/>
          <w:lang w:val="ro-MD"/>
        </w:rPr>
        <w:t xml:space="preserve"> și </w:t>
      </w:r>
      <w:r w:rsidRPr="003836D9">
        <w:rPr>
          <w:rFonts w:ascii="Times New Roman" w:hAnsi="Times New Roman" w:cs="Times New Roman"/>
          <w:color w:val="000000"/>
          <w:sz w:val="24"/>
          <w:szCs w:val="24"/>
          <w:lang w:val="ro-MD"/>
        </w:rPr>
        <w:t xml:space="preserve"> și instituțiile responsabile de implementarea politicilor de ocupare a forței de muncă.</w:t>
      </w:r>
    </w:p>
    <w:p w14:paraId="05359318" w14:textId="6165CCAA" w:rsidR="009D5ECC" w:rsidRPr="003836D9" w:rsidRDefault="009D5ECC" w:rsidP="0055585E">
      <w:pPr>
        <w:pStyle w:val="ListParagraph"/>
        <w:ind w:left="0"/>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Indicatorii de impact și datele de referință pe obiective sunt redate în tabelul de mai jos:</w:t>
      </w:r>
    </w:p>
    <w:p w14:paraId="0817B84D" w14:textId="77777777" w:rsidR="008556E0" w:rsidRPr="003836D9" w:rsidRDefault="008556E0" w:rsidP="0055585E">
      <w:pPr>
        <w:pStyle w:val="ListParagraph"/>
        <w:ind w:left="0"/>
        <w:jc w:val="both"/>
        <w:rPr>
          <w:rFonts w:ascii="Times New Roman" w:hAnsi="Times New Roman" w:cs="Times New Roman"/>
          <w:color w:val="000000"/>
          <w:sz w:val="24"/>
          <w:szCs w:val="24"/>
          <w:lang w:val="ro-MD"/>
        </w:rPr>
      </w:pPr>
    </w:p>
    <w:p w14:paraId="3B9FA956" w14:textId="77777777" w:rsidR="00FA040C" w:rsidRDefault="00FA040C" w:rsidP="00763326">
      <w:pPr>
        <w:pStyle w:val="ListParagraph"/>
        <w:ind w:left="0"/>
        <w:jc w:val="center"/>
        <w:rPr>
          <w:rFonts w:ascii="Times New Roman" w:hAnsi="Times New Roman" w:cs="Times New Roman"/>
          <w:b/>
          <w:color w:val="000000"/>
          <w:sz w:val="24"/>
          <w:szCs w:val="24"/>
          <w:lang w:val="ro-MD"/>
        </w:rPr>
      </w:pPr>
    </w:p>
    <w:p w14:paraId="12D3C629" w14:textId="4112893C" w:rsidR="009D5ECC" w:rsidRPr="003836D9" w:rsidRDefault="009D5ECC" w:rsidP="00763326">
      <w:pPr>
        <w:pStyle w:val="ListParagraph"/>
        <w:ind w:left="0"/>
        <w:jc w:val="center"/>
        <w:rPr>
          <w:rFonts w:ascii="Times New Roman" w:hAnsi="Times New Roman" w:cs="Times New Roman"/>
          <w:b/>
          <w:color w:val="000000"/>
          <w:sz w:val="24"/>
          <w:szCs w:val="24"/>
          <w:lang w:val="ro-MD"/>
        </w:rPr>
      </w:pPr>
      <w:r w:rsidRPr="003836D9">
        <w:rPr>
          <w:rFonts w:ascii="Times New Roman" w:hAnsi="Times New Roman" w:cs="Times New Roman"/>
          <w:b/>
          <w:color w:val="000000"/>
          <w:sz w:val="24"/>
          <w:szCs w:val="24"/>
          <w:lang w:val="ro-MD"/>
        </w:rPr>
        <w:t>Tabel 1</w:t>
      </w:r>
      <w:r w:rsidR="00FA040C">
        <w:rPr>
          <w:rFonts w:ascii="Times New Roman" w:hAnsi="Times New Roman" w:cs="Times New Roman"/>
          <w:b/>
          <w:color w:val="000000"/>
          <w:sz w:val="24"/>
          <w:szCs w:val="24"/>
          <w:lang w:val="ro-MD"/>
        </w:rPr>
        <w:t>2</w:t>
      </w:r>
      <w:r w:rsidR="005F2AA2">
        <w:rPr>
          <w:rFonts w:ascii="Times New Roman" w:hAnsi="Times New Roman" w:cs="Times New Roman"/>
          <w:b/>
          <w:color w:val="000000"/>
          <w:sz w:val="24"/>
          <w:szCs w:val="24"/>
          <w:lang w:val="ro-MD"/>
        </w:rPr>
        <w:t>.</w:t>
      </w:r>
      <w:r w:rsidR="008D4481" w:rsidRPr="003836D9">
        <w:rPr>
          <w:rFonts w:ascii="Times New Roman" w:hAnsi="Times New Roman" w:cs="Times New Roman"/>
          <w:b/>
          <w:color w:val="000000"/>
          <w:sz w:val="24"/>
          <w:szCs w:val="24"/>
          <w:lang w:val="ro-MD"/>
        </w:rPr>
        <w:t xml:space="preserve"> </w:t>
      </w:r>
      <w:r w:rsidR="00AC0719" w:rsidRPr="003836D9">
        <w:rPr>
          <w:rFonts w:ascii="Times New Roman" w:hAnsi="Times New Roman" w:cs="Times New Roman"/>
          <w:b/>
          <w:color w:val="000000"/>
          <w:sz w:val="24"/>
          <w:szCs w:val="24"/>
          <w:lang w:val="ro-MD"/>
        </w:rPr>
        <w:t>Indicatorii de impac</w:t>
      </w:r>
      <w:r w:rsidR="008D4481" w:rsidRPr="003836D9">
        <w:rPr>
          <w:rFonts w:ascii="Times New Roman" w:hAnsi="Times New Roman" w:cs="Times New Roman"/>
          <w:b/>
          <w:color w:val="000000"/>
          <w:sz w:val="24"/>
          <w:szCs w:val="24"/>
          <w:lang w:val="ro-MD"/>
        </w:rPr>
        <w:t>t</w:t>
      </w:r>
    </w:p>
    <w:p w14:paraId="32CC406A" w14:textId="77777777" w:rsidR="00AC0719" w:rsidRPr="003836D9" w:rsidRDefault="00AC0719" w:rsidP="00763326">
      <w:pPr>
        <w:pStyle w:val="ListParagraph"/>
        <w:ind w:left="0"/>
        <w:jc w:val="center"/>
        <w:rPr>
          <w:rFonts w:ascii="Times New Roman" w:hAnsi="Times New Roman" w:cs="Times New Roman"/>
          <w:color w:val="000000"/>
          <w:sz w:val="24"/>
          <w:szCs w:val="24"/>
          <w:lang w:val="ro-MD"/>
        </w:rPr>
      </w:pPr>
    </w:p>
    <w:tbl>
      <w:tblPr>
        <w:tblStyle w:val="TableGrid"/>
        <w:tblW w:w="10773" w:type="dxa"/>
        <w:tblInd w:w="-459" w:type="dxa"/>
        <w:tblLook w:val="04A0" w:firstRow="1" w:lastRow="0" w:firstColumn="1" w:lastColumn="0" w:noHBand="0" w:noVBand="1"/>
      </w:tblPr>
      <w:tblGrid>
        <w:gridCol w:w="2268"/>
        <w:gridCol w:w="4111"/>
        <w:gridCol w:w="4394"/>
      </w:tblGrid>
      <w:tr w:rsidR="009D5ECC" w:rsidRPr="003836D9" w14:paraId="7C3B5984" w14:textId="77777777" w:rsidTr="007A1F06">
        <w:tc>
          <w:tcPr>
            <w:tcW w:w="2268" w:type="dxa"/>
          </w:tcPr>
          <w:p w14:paraId="472581D0" w14:textId="27EF3EC5" w:rsidR="009D5ECC" w:rsidRPr="003836D9" w:rsidRDefault="009D5ECC" w:rsidP="00AC0719">
            <w:pPr>
              <w:pStyle w:val="ListParagraph"/>
              <w:spacing w:after="160" w:line="259" w:lineRule="auto"/>
              <w:ind w:left="0"/>
              <w:jc w:val="center"/>
              <w:rPr>
                <w:rFonts w:ascii="Times New Roman" w:hAnsi="Times New Roman" w:cs="Times New Roman"/>
                <w:b/>
                <w:color w:val="000000"/>
                <w:sz w:val="20"/>
                <w:szCs w:val="20"/>
                <w:lang w:val="ro-MD"/>
              </w:rPr>
            </w:pPr>
            <w:r w:rsidRPr="003836D9">
              <w:rPr>
                <w:rFonts w:ascii="Times New Roman" w:hAnsi="Times New Roman" w:cs="Times New Roman"/>
                <w:b/>
                <w:color w:val="000000"/>
                <w:sz w:val="20"/>
                <w:szCs w:val="20"/>
                <w:lang w:val="ro-MD"/>
              </w:rPr>
              <w:t>Obiectivul specific</w:t>
            </w:r>
          </w:p>
        </w:tc>
        <w:tc>
          <w:tcPr>
            <w:tcW w:w="4111" w:type="dxa"/>
          </w:tcPr>
          <w:p w14:paraId="04F1F510" w14:textId="2047C62A" w:rsidR="009D5ECC" w:rsidRPr="003836D9" w:rsidRDefault="009D5ECC" w:rsidP="00AC0719">
            <w:pPr>
              <w:pStyle w:val="ListParagraph"/>
              <w:spacing w:after="160" w:line="259" w:lineRule="auto"/>
              <w:ind w:left="0"/>
              <w:jc w:val="center"/>
              <w:rPr>
                <w:rFonts w:ascii="Times New Roman" w:hAnsi="Times New Roman" w:cs="Times New Roman"/>
                <w:b/>
                <w:color w:val="000000"/>
                <w:sz w:val="20"/>
                <w:szCs w:val="20"/>
                <w:lang w:val="ro-MD"/>
              </w:rPr>
            </w:pPr>
            <w:r w:rsidRPr="003836D9">
              <w:rPr>
                <w:rFonts w:ascii="Times New Roman" w:hAnsi="Times New Roman" w:cs="Times New Roman"/>
                <w:b/>
                <w:color w:val="000000"/>
                <w:sz w:val="20"/>
                <w:szCs w:val="20"/>
                <w:lang w:val="ro-MD"/>
              </w:rPr>
              <w:t>Indicatorii de impact</w:t>
            </w:r>
          </w:p>
        </w:tc>
        <w:tc>
          <w:tcPr>
            <w:tcW w:w="4394" w:type="dxa"/>
          </w:tcPr>
          <w:p w14:paraId="51531AE3" w14:textId="3D549FBC" w:rsidR="009D5ECC" w:rsidRPr="003836D9" w:rsidRDefault="009D5ECC" w:rsidP="00AC0719">
            <w:pPr>
              <w:pStyle w:val="ListParagraph"/>
              <w:spacing w:after="160" w:line="259" w:lineRule="auto"/>
              <w:ind w:left="0"/>
              <w:jc w:val="center"/>
              <w:rPr>
                <w:rFonts w:ascii="Times New Roman" w:hAnsi="Times New Roman" w:cs="Times New Roman"/>
                <w:b/>
                <w:color w:val="000000"/>
                <w:sz w:val="20"/>
                <w:szCs w:val="20"/>
                <w:lang w:val="ro-MD"/>
              </w:rPr>
            </w:pPr>
            <w:r w:rsidRPr="003836D9">
              <w:rPr>
                <w:rFonts w:ascii="Times New Roman" w:hAnsi="Times New Roman" w:cs="Times New Roman"/>
                <w:b/>
                <w:color w:val="000000"/>
                <w:sz w:val="20"/>
                <w:szCs w:val="20"/>
                <w:lang w:val="ro-MD"/>
              </w:rPr>
              <w:t>Date de referință</w:t>
            </w:r>
          </w:p>
        </w:tc>
      </w:tr>
      <w:tr w:rsidR="009D5ECC" w:rsidRPr="003836D9" w14:paraId="085E24A9" w14:textId="77777777" w:rsidTr="007A1F06">
        <w:tc>
          <w:tcPr>
            <w:tcW w:w="2268" w:type="dxa"/>
          </w:tcPr>
          <w:p w14:paraId="21E4B72A" w14:textId="1BA2D38B" w:rsidR="0099132A" w:rsidRPr="0099132A" w:rsidRDefault="0099132A" w:rsidP="0099132A">
            <w:pPr>
              <w:jc w:val="both"/>
              <w:rPr>
                <w:rFonts w:ascii="Times New Roman" w:hAnsi="Times New Roman" w:cs="Times New Roman"/>
                <w:b/>
                <w:bCs/>
                <w:sz w:val="20"/>
                <w:szCs w:val="20"/>
                <w:lang w:val="ro-MD"/>
              </w:rPr>
            </w:pPr>
            <w:r w:rsidRPr="0099132A">
              <w:rPr>
                <w:rFonts w:ascii="Times New Roman" w:hAnsi="Times New Roman" w:cs="Times New Roman"/>
                <w:b/>
                <w:bCs/>
                <w:sz w:val="20"/>
                <w:szCs w:val="20"/>
                <w:lang w:val="ro-MD"/>
              </w:rPr>
              <w:lastRenderedPageBreak/>
              <w:t>Obiectiv specific 1</w:t>
            </w:r>
            <w:r>
              <w:rPr>
                <w:rFonts w:ascii="Times New Roman" w:hAnsi="Times New Roman" w:cs="Times New Roman"/>
                <w:b/>
                <w:bCs/>
                <w:sz w:val="20"/>
                <w:szCs w:val="20"/>
                <w:lang w:val="ro-MD"/>
              </w:rPr>
              <w:t>:</w:t>
            </w:r>
            <w:r w:rsidRPr="0099132A">
              <w:rPr>
                <w:rFonts w:ascii="Times New Roman" w:hAnsi="Times New Roman" w:cs="Times New Roman"/>
                <w:b/>
                <w:bCs/>
                <w:sz w:val="20"/>
                <w:szCs w:val="20"/>
                <w:lang w:val="ro-MD"/>
              </w:rPr>
              <w:t xml:space="preserve"> Sporirea cu 3% și, respectiv, cu 4% a ratei de activitate și ratei de ocupare a femeilor către anul 2026. </w:t>
            </w:r>
          </w:p>
          <w:p w14:paraId="0BE6221B" w14:textId="7D61897F" w:rsidR="009D5ECC" w:rsidRPr="0099132A" w:rsidRDefault="009D5ECC" w:rsidP="005F2AA2">
            <w:pPr>
              <w:pStyle w:val="ListParagraph"/>
              <w:spacing w:after="160" w:line="259" w:lineRule="auto"/>
              <w:ind w:left="0"/>
              <w:rPr>
                <w:rFonts w:ascii="Times New Roman" w:hAnsi="Times New Roman" w:cs="Times New Roman"/>
                <w:color w:val="000000"/>
                <w:sz w:val="20"/>
                <w:szCs w:val="20"/>
                <w:lang w:val="ro-MD"/>
              </w:rPr>
            </w:pPr>
          </w:p>
        </w:tc>
        <w:tc>
          <w:tcPr>
            <w:tcW w:w="4111" w:type="dxa"/>
          </w:tcPr>
          <w:p w14:paraId="4333BE71" w14:textId="02686556" w:rsidR="0057498B" w:rsidRPr="003836D9" w:rsidRDefault="008233C3" w:rsidP="0057498B">
            <w:pPr>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 xml:space="preserve">- </w:t>
            </w:r>
            <w:r w:rsidR="0057498B" w:rsidRPr="003836D9">
              <w:rPr>
                <w:rFonts w:ascii="Times New Roman" w:hAnsi="Times New Roman" w:cs="Times New Roman"/>
                <w:color w:val="000000"/>
                <w:sz w:val="20"/>
                <w:szCs w:val="20"/>
                <w:lang w:val="ro-MD"/>
              </w:rPr>
              <w:t xml:space="preserve">Până în 2026, ponderea persoanelor inactive între 25 și 34 de ani datorită responsabilităților familiale </w:t>
            </w:r>
            <w:r w:rsidR="00E601C5">
              <w:rPr>
                <w:rFonts w:ascii="Times New Roman" w:hAnsi="Times New Roman" w:cs="Times New Roman"/>
                <w:color w:val="000000"/>
                <w:sz w:val="20"/>
                <w:szCs w:val="20"/>
                <w:lang w:val="ro-MD"/>
              </w:rPr>
              <w:t>în râ</w:t>
            </w:r>
            <w:r w:rsidR="00037F0B" w:rsidRPr="003836D9">
              <w:rPr>
                <w:rFonts w:ascii="Times New Roman" w:hAnsi="Times New Roman" w:cs="Times New Roman"/>
                <w:color w:val="000000"/>
                <w:sz w:val="20"/>
                <w:szCs w:val="20"/>
                <w:lang w:val="ro-MD"/>
              </w:rPr>
              <w:t xml:space="preserve">ndul femeilor </w:t>
            </w:r>
            <w:r w:rsidR="0057498B" w:rsidRPr="003836D9">
              <w:rPr>
                <w:rFonts w:ascii="Times New Roman" w:hAnsi="Times New Roman" w:cs="Times New Roman"/>
                <w:color w:val="000000"/>
                <w:sz w:val="20"/>
                <w:szCs w:val="20"/>
                <w:lang w:val="ro-MD"/>
              </w:rPr>
              <w:t>este redusă cu 15</w:t>
            </w:r>
            <w:r w:rsidR="006E5F0F" w:rsidRPr="003836D9">
              <w:rPr>
                <w:rFonts w:ascii="Times New Roman" w:hAnsi="Times New Roman" w:cs="Times New Roman"/>
                <w:color w:val="000000"/>
                <w:sz w:val="20"/>
                <w:szCs w:val="20"/>
                <w:lang w:val="ro-MD"/>
              </w:rPr>
              <w:t>%</w:t>
            </w:r>
            <w:r w:rsidR="0057498B" w:rsidRPr="003836D9">
              <w:rPr>
                <w:rFonts w:ascii="Times New Roman" w:hAnsi="Times New Roman" w:cs="Times New Roman"/>
                <w:color w:val="000000"/>
                <w:sz w:val="20"/>
                <w:szCs w:val="20"/>
                <w:lang w:val="ro-MD"/>
              </w:rPr>
              <w:t xml:space="preserve"> (la 7</w:t>
            </w:r>
            <w:r w:rsidR="00037F0B" w:rsidRPr="003836D9">
              <w:rPr>
                <w:rFonts w:ascii="Times New Roman" w:hAnsi="Times New Roman" w:cs="Times New Roman"/>
                <w:color w:val="000000"/>
                <w:sz w:val="20"/>
                <w:szCs w:val="20"/>
                <w:lang w:val="ro-MD"/>
              </w:rPr>
              <w:t>0</w:t>
            </w:r>
            <w:r w:rsidR="0057498B" w:rsidRPr="003836D9">
              <w:rPr>
                <w:rFonts w:ascii="Times New Roman" w:hAnsi="Times New Roman" w:cs="Times New Roman"/>
                <w:color w:val="000000"/>
                <w:sz w:val="20"/>
                <w:szCs w:val="20"/>
                <w:lang w:val="ro-MD"/>
              </w:rPr>
              <w:t>.000 de persoane)</w:t>
            </w:r>
            <w:r w:rsidR="00AC0719" w:rsidRPr="003836D9">
              <w:rPr>
                <w:rFonts w:ascii="Times New Roman" w:hAnsi="Times New Roman" w:cs="Times New Roman"/>
                <w:color w:val="000000"/>
                <w:sz w:val="20"/>
                <w:szCs w:val="20"/>
                <w:lang w:val="ro-MD"/>
              </w:rPr>
              <w:t>;</w:t>
            </w:r>
          </w:p>
          <w:p w14:paraId="08A0E2E8" w14:textId="77777777" w:rsidR="008233C3" w:rsidRPr="003836D9" w:rsidRDefault="008233C3" w:rsidP="0057498B">
            <w:pPr>
              <w:spacing w:after="160" w:line="259" w:lineRule="auto"/>
              <w:jc w:val="both"/>
              <w:rPr>
                <w:rFonts w:ascii="Times New Roman" w:hAnsi="Times New Roman" w:cs="Times New Roman"/>
                <w:color w:val="000000"/>
                <w:sz w:val="20"/>
                <w:szCs w:val="20"/>
                <w:lang w:val="ro-MD"/>
              </w:rPr>
            </w:pPr>
          </w:p>
          <w:p w14:paraId="331DDCD4" w14:textId="0785BD53" w:rsidR="0057498B" w:rsidRPr="003836D9" w:rsidRDefault="0057498B" w:rsidP="0057498B">
            <w:pPr>
              <w:spacing w:after="160" w:line="259" w:lineRule="auto"/>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 În 2026, ponderea copiilor cu vârsta de până la trei ani incluși în educația timpurie este de 30</w:t>
            </w:r>
            <w:r w:rsidR="0088595A">
              <w:rPr>
                <w:rFonts w:ascii="Times New Roman" w:hAnsi="Times New Roman" w:cs="Times New Roman"/>
                <w:color w:val="000000"/>
                <w:sz w:val="20"/>
                <w:szCs w:val="20"/>
                <w:lang w:val="ro-MD"/>
              </w:rPr>
              <w:t>%</w:t>
            </w:r>
            <w:r w:rsidR="00314230" w:rsidRPr="003836D9">
              <w:rPr>
                <w:rFonts w:ascii="Times New Roman" w:hAnsi="Times New Roman" w:cs="Times New Roman"/>
                <w:color w:val="000000"/>
                <w:sz w:val="20"/>
                <w:szCs w:val="20"/>
                <w:lang w:val="ro-MD"/>
              </w:rPr>
              <w:t>;</w:t>
            </w:r>
          </w:p>
          <w:p w14:paraId="16B710BF" w14:textId="52DBE2CC" w:rsidR="009564BC" w:rsidRPr="00695527" w:rsidRDefault="00224E14" w:rsidP="009564BC">
            <w:pPr>
              <w:spacing w:after="160" w:line="259" w:lineRule="auto"/>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 xml:space="preserve">- </w:t>
            </w:r>
            <w:r w:rsidR="008233C3" w:rsidRPr="003836D9">
              <w:rPr>
                <w:rFonts w:ascii="Times New Roman" w:hAnsi="Times New Roman" w:cs="Times New Roman"/>
                <w:color w:val="000000"/>
                <w:sz w:val="20"/>
                <w:szCs w:val="20"/>
                <w:lang w:val="ro-MD"/>
              </w:rPr>
              <w:t>Până în 2026, rata de ocupare în rândul femeilor cu vârsta cuprinsă între 25 și 34 de ani este de 47</w:t>
            </w:r>
            <w:r w:rsidR="0088595A">
              <w:rPr>
                <w:rFonts w:ascii="Times New Roman" w:hAnsi="Times New Roman" w:cs="Times New Roman"/>
                <w:color w:val="000000"/>
                <w:sz w:val="20"/>
                <w:szCs w:val="20"/>
                <w:lang w:val="ro-MD"/>
              </w:rPr>
              <w:t>%</w:t>
            </w:r>
            <w:r w:rsidR="00314230" w:rsidRPr="003836D9">
              <w:rPr>
                <w:rFonts w:ascii="Times New Roman" w:hAnsi="Times New Roman" w:cs="Times New Roman"/>
                <w:color w:val="000000"/>
                <w:sz w:val="20"/>
                <w:szCs w:val="20"/>
                <w:lang w:val="ro-MD"/>
              </w:rPr>
              <w:t>;</w:t>
            </w:r>
          </w:p>
        </w:tc>
        <w:tc>
          <w:tcPr>
            <w:tcW w:w="4394" w:type="dxa"/>
          </w:tcPr>
          <w:p w14:paraId="44ACD0B5" w14:textId="3B80CEAB" w:rsidR="0057498B" w:rsidRPr="003836D9" w:rsidRDefault="0057498B" w:rsidP="00314230">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În 202</w:t>
            </w:r>
            <w:r w:rsidR="0043029B" w:rsidRPr="003836D9">
              <w:rPr>
                <w:rFonts w:ascii="Times New Roman" w:hAnsi="Times New Roman" w:cs="Times New Roman"/>
                <w:color w:val="000000"/>
                <w:sz w:val="20"/>
                <w:szCs w:val="20"/>
                <w:lang w:val="ro-MD"/>
              </w:rPr>
              <w:t>1</w:t>
            </w:r>
            <w:r w:rsidRPr="003836D9">
              <w:rPr>
                <w:rFonts w:ascii="Times New Roman" w:hAnsi="Times New Roman" w:cs="Times New Roman"/>
                <w:color w:val="000000"/>
                <w:sz w:val="20"/>
                <w:szCs w:val="20"/>
                <w:lang w:val="ro-MD"/>
              </w:rPr>
              <w:t>, ponderea persoanelor inactive din cauza responsabilităților familiale, cu vârste cuprinse între 25 și 34 ani, a fost de 5</w:t>
            </w:r>
            <w:r w:rsidR="0043029B" w:rsidRPr="003836D9">
              <w:rPr>
                <w:rFonts w:ascii="Times New Roman" w:hAnsi="Times New Roman" w:cs="Times New Roman"/>
                <w:color w:val="000000"/>
                <w:sz w:val="20"/>
                <w:szCs w:val="20"/>
                <w:lang w:val="ro-MD"/>
              </w:rPr>
              <w:t>5</w:t>
            </w:r>
            <w:r w:rsidRPr="003836D9">
              <w:rPr>
                <w:rFonts w:ascii="Times New Roman" w:hAnsi="Times New Roman" w:cs="Times New Roman"/>
                <w:color w:val="000000"/>
                <w:sz w:val="20"/>
                <w:szCs w:val="20"/>
                <w:lang w:val="ro-MD"/>
              </w:rPr>
              <w:t>,</w:t>
            </w:r>
            <w:r w:rsidR="0043029B" w:rsidRPr="003836D9">
              <w:rPr>
                <w:rFonts w:ascii="Times New Roman" w:hAnsi="Times New Roman" w:cs="Times New Roman"/>
                <w:color w:val="000000"/>
                <w:sz w:val="20"/>
                <w:szCs w:val="20"/>
                <w:lang w:val="ro-MD"/>
              </w:rPr>
              <w:t>4</w:t>
            </w:r>
            <w:r w:rsidR="006E5F0F" w:rsidRPr="003836D9">
              <w:rPr>
                <w:rFonts w:ascii="Times New Roman" w:hAnsi="Times New Roman" w:cs="Times New Roman"/>
                <w:color w:val="000000"/>
                <w:sz w:val="20"/>
                <w:szCs w:val="20"/>
                <w:lang w:val="ro-MD"/>
              </w:rPr>
              <w:t>%</w:t>
            </w:r>
            <w:r w:rsidRPr="003836D9">
              <w:rPr>
                <w:rFonts w:ascii="Times New Roman" w:hAnsi="Times New Roman" w:cs="Times New Roman"/>
                <w:color w:val="000000"/>
                <w:sz w:val="20"/>
                <w:szCs w:val="20"/>
                <w:lang w:val="ro-MD"/>
              </w:rPr>
              <w:t>, majoritatea femei (echivalentul a 8</w:t>
            </w:r>
            <w:r w:rsidR="0043029B" w:rsidRPr="003836D9">
              <w:rPr>
                <w:rFonts w:ascii="Times New Roman" w:hAnsi="Times New Roman" w:cs="Times New Roman"/>
                <w:color w:val="000000"/>
                <w:sz w:val="20"/>
                <w:szCs w:val="20"/>
                <w:lang w:val="ro-MD"/>
              </w:rPr>
              <w:t>2</w:t>
            </w:r>
            <w:r w:rsidRPr="003836D9">
              <w:rPr>
                <w:rFonts w:ascii="Times New Roman" w:hAnsi="Times New Roman" w:cs="Times New Roman"/>
                <w:color w:val="000000"/>
                <w:sz w:val="20"/>
                <w:szCs w:val="20"/>
                <w:lang w:val="ro-MD"/>
              </w:rPr>
              <w:t>.</w:t>
            </w:r>
            <w:r w:rsidR="0043029B" w:rsidRPr="003836D9">
              <w:rPr>
                <w:rFonts w:ascii="Times New Roman" w:hAnsi="Times New Roman" w:cs="Times New Roman"/>
                <w:color w:val="000000"/>
                <w:sz w:val="20"/>
                <w:szCs w:val="20"/>
                <w:lang w:val="ro-MD"/>
              </w:rPr>
              <w:t>0</w:t>
            </w:r>
            <w:r w:rsidRPr="003836D9">
              <w:rPr>
                <w:rFonts w:ascii="Times New Roman" w:hAnsi="Times New Roman" w:cs="Times New Roman"/>
                <w:color w:val="000000"/>
                <w:sz w:val="20"/>
                <w:szCs w:val="20"/>
                <w:lang w:val="ro-MD"/>
              </w:rPr>
              <w:t xml:space="preserve">00 de femei inactive din cauza </w:t>
            </w:r>
            <w:r w:rsidR="00314230" w:rsidRPr="003836D9">
              <w:rPr>
                <w:rFonts w:ascii="Times New Roman" w:hAnsi="Times New Roman" w:cs="Times New Roman"/>
                <w:color w:val="000000"/>
                <w:sz w:val="20"/>
                <w:szCs w:val="20"/>
                <w:lang w:val="ro-MD"/>
              </w:rPr>
              <w:t>responsabilităților familiale);</w:t>
            </w:r>
          </w:p>
          <w:p w14:paraId="7D55501E" w14:textId="77777777" w:rsidR="00314230" w:rsidRPr="003836D9" w:rsidRDefault="00314230" w:rsidP="00314230">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p>
          <w:p w14:paraId="7EF8C1E8" w14:textId="6B31EE7B" w:rsidR="008233C3" w:rsidRPr="003836D9" w:rsidRDefault="0057498B" w:rsidP="0057498B">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 xml:space="preserve">În </w:t>
            </w:r>
            <w:r w:rsidR="008233C3" w:rsidRPr="003836D9">
              <w:rPr>
                <w:rFonts w:ascii="Times New Roman" w:hAnsi="Times New Roman" w:cs="Times New Roman"/>
                <w:color w:val="000000"/>
                <w:sz w:val="20"/>
                <w:szCs w:val="20"/>
                <w:lang w:val="ro-MD"/>
              </w:rPr>
              <w:t xml:space="preserve">2020 </w:t>
            </w:r>
            <w:r w:rsidRPr="003836D9">
              <w:rPr>
                <w:rFonts w:ascii="Times New Roman" w:hAnsi="Times New Roman" w:cs="Times New Roman"/>
                <w:color w:val="000000"/>
                <w:sz w:val="20"/>
                <w:szCs w:val="20"/>
                <w:lang w:val="ro-MD"/>
              </w:rPr>
              <w:t xml:space="preserve">doar </w:t>
            </w:r>
            <w:r w:rsidR="00B502BE">
              <w:rPr>
                <w:rFonts w:ascii="Times New Roman" w:hAnsi="Times New Roman" w:cs="Times New Roman"/>
                <w:color w:val="000000"/>
                <w:sz w:val="20"/>
                <w:szCs w:val="20"/>
                <w:lang w:val="ro-MD"/>
              </w:rPr>
              <w:t>9,9%</w:t>
            </w:r>
            <w:r w:rsidR="00204F06">
              <w:rPr>
                <w:rFonts w:ascii="Times New Roman" w:hAnsi="Times New Roman" w:cs="Times New Roman"/>
                <w:color w:val="000000"/>
                <w:sz w:val="20"/>
                <w:szCs w:val="20"/>
                <w:lang w:val="ro-MD"/>
              </w:rPr>
              <w:t xml:space="preserve"> </w:t>
            </w:r>
            <w:r w:rsidRPr="003836D9">
              <w:rPr>
                <w:rFonts w:ascii="Times New Roman" w:hAnsi="Times New Roman" w:cs="Times New Roman"/>
                <w:color w:val="000000"/>
                <w:sz w:val="20"/>
                <w:szCs w:val="20"/>
                <w:lang w:val="ro-MD"/>
              </w:rPr>
              <w:t>dintre copiii cu vârsta mai mică de trei ani erau încadrați în învățământul preșcolar</w:t>
            </w:r>
            <w:r w:rsidR="00314230" w:rsidRPr="003836D9">
              <w:rPr>
                <w:rFonts w:ascii="Times New Roman" w:hAnsi="Times New Roman" w:cs="Times New Roman"/>
                <w:color w:val="000000"/>
                <w:sz w:val="20"/>
                <w:szCs w:val="20"/>
                <w:lang w:val="ro-MD"/>
              </w:rPr>
              <w:t xml:space="preserve"> (aproximativ </w:t>
            </w:r>
            <w:r w:rsidR="00F3785C">
              <w:rPr>
                <w:rFonts w:ascii="Times New Roman" w:hAnsi="Times New Roman" w:cs="Times New Roman"/>
                <w:color w:val="000000"/>
                <w:sz w:val="20"/>
                <w:szCs w:val="20"/>
                <w:lang w:val="ro-MD"/>
              </w:rPr>
              <w:t xml:space="preserve">13316 </w:t>
            </w:r>
            <w:r w:rsidR="00314230" w:rsidRPr="003836D9">
              <w:rPr>
                <w:rFonts w:ascii="Times New Roman" w:hAnsi="Times New Roman" w:cs="Times New Roman"/>
                <w:color w:val="000000"/>
                <w:sz w:val="20"/>
                <w:szCs w:val="20"/>
                <w:lang w:val="ro-MD"/>
              </w:rPr>
              <w:t>de copii);</w:t>
            </w:r>
          </w:p>
          <w:p w14:paraId="3FBFD807" w14:textId="77777777" w:rsidR="00314230" w:rsidRPr="003836D9" w:rsidRDefault="00314230" w:rsidP="0057498B">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p>
          <w:p w14:paraId="080A25F0" w14:textId="72055D5E" w:rsidR="009564BC" w:rsidRPr="009564BC" w:rsidRDefault="0057498B" w:rsidP="009564BC">
            <w:pPr>
              <w:pStyle w:val="ListParagraph"/>
              <w:shd w:val="clear" w:color="auto" w:fill="FFFFFF" w:themeFill="background1"/>
              <w:spacing w:after="160" w:line="259" w:lineRule="auto"/>
              <w:ind w:left="0"/>
              <w:contextualSpacing w:val="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În 202</w:t>
            </w:r>
            <w:r w:rsidR="00FA040C">
              <w:rPr>
                <w:rFonts w:ascii="Times New Roman" w:hAnsi="Times New Roman" w:cs="Times New Roman"/>
                <w:color w:val="000000"/>
                <w:sz w:val="20"/>
                <w:szCs w:val="20"/>
                <w:lang w:val="ro-MD"/>
              </w:rPr>
              <w:t>1</w:t>
            </w:r>
            <w:r w:rsidRPr="003836D9">
              <w:rPr>
                <w:rFonts w:ascii="Times New Roman" w:hAnsi="Times New Roman" w:cs="Times New Roman"/>
                <w:color w:val="000000"/>
                <w:sz w:val="20"/>
                <w:szCs w:val="20"/>
                <w:lang w:val="ro-MD"/>
              </w:rPr>
              <w:t xml:space="preserve">, ponderea femeilor angajate din cohorta de 25-34 </w:t>
            </w:r>
            <w:r w:rsidR="00314230" w:rsidRPr="003836D9">
              <w:rPr>
                <w:rFonts w:ascii="Times New Roman" w:hAnsi="Times New Roman" w:cs="Times New Roman"/>
                <w:color w:val="000000"/>
                <w:sz w:val="20"/>
                <w:szCs w:val="20"/>
                <w:lang w:val="ro-MD"/>
              </w:rPr>
              <w:t>de ani a fost de 4</w:t>
            </w:r>
            <w:r w:rsidR="002E1EC8" w:rsidRPr="003836D9">
              <w:rPr>
                <w:rFonts w:ascii="Times New Roman" w:hAnsi="Times New Roman" w:cs="Times New Roman"/>
                <w:color w:val="000000"/>
                <w:sz w:val="20"/>
                <w:szCs w:val="20"/>
                <w:lang w:val="ro-MD"/>
              </w:rPr>
              <w:t>3</w:t>
            </w:r>
            <w:r w:rsidR="00314230" w:rsidRPr="003836D9">
              <w:rPr>
                <w:rFonts w:ascii="Times New Roman" w:hAnsi="Times New Roman" w:cs="Times New Roman"/>
                <w:color w:val="000000"/>
                <w:sz w:val="20"/>
                <w:szCs w:val="20"/>
                <w:lang w:val="ro-MD"/>
              </w:rPr>
              <w:t>,</w:t>
            </w:r>
            <w:r w:rsidR="002E1EC8" w:rsidRPr="003836D9">
              <w:rPr>
                <w:rFonts w:ascii="Times New Roman" w:hAnsi="Times New Roman" w:cs="Times New Roman"/>
                <w:color w:val="000000"/>
                <w:sz w:val="20"/>
                <w:szCs w:val="20"/>
                <w:lang w:val="ro-MD"/>
              </w:rPr>
              <w:t>2</w:t>
            </w:r>
            <w:r w:rsidR="006E5F0F" w:rsidRPr="003836D9">
              <w:rPr>
                <w:rFonts w:ascii="Times New Roman" w:hAnsi="Times New Roman" w:cs="Times New Roman"/>
                <w:color w:val="000000"/>
                <w:sz w:val="20"/>
                <w:szCs w:val="20"/>
                <w:lang w:val="ro-MD"/>
              </w:rPr>
              <w:t>%</w:t>
            </w:r>
            <w:r w:rsidR="00314230" w:rsidRPr="003836D9">
              <w:rPr>
                <w:rFonts w:ascii="Times New Roman" w:hAnsi="Times New Roman" w:cs="Times New Roman"/>
                <w:color w:val="000000"/>
                <w:sz w:val="20"/>
                <w:szCs w:val="20"/>
                <w:lang w:val="ro-MD"/>
              </w:rPr>
              <w:t>;</w:t>
            </w:r>
          </w:p>
        </w:tc>
      </w:tr>
      <w:tr w:rsidR="0057498B" w:rsidRPr="003836D9" w14:paraId="6B6B4BDA" w14:textId="77777777" w:rsidTr="007A1F06">
        <w:tc>
          <w:tcPr>
            <w:tcW w:w="2268" w:type="dxa"/>
          </w:tcPr>
          <w:p w14:paraId="1C9B79CA" w14:textId="5F4F7E8D" w:rsidR="00695527" w:rsidRPr="00695527" w:rsidRDefault="00695527" w:rsidP="00695527">
            <w:pPr>
              <w:jc w:val="both"/>
              <w:rPr>
                <w:rFonts w:ascii="Times New Roman" w:hAnsi="Times New Roman" w:cs="Times New Roman"/>
                <w:b/>
                <w:bCs/>
                <w:sz w:val="20"/>
                <w:szCs w:val="20"/>
                <w:lang w:val="ro-MD"/>
              </w:rPr>
            </w:pPr>
            <w:r w:rsidRPr="00695527">
              <w:rPr>
                <w:rFonts w:ascii="Times New Roman" w:hAnsi="Times New Roman" w:cs="Times New Roman"/>
                <w:b/>
                <w:bCs/>
                <w:color w:val="000000"/>
                <w:sz w:val="20"/>
                <w:szCs w:val="20"/>
                <w:lang w:val="ro-MD"/>
              </w:rPr>
              <w:t>Obiectiv specific 2</w:t>
            </w:r>
            <w:r>
              <w:rPr>
                <w:rFonts w:ascii="Times New Roman" w:hAnsi="Times New Roman" w:cs="Times New Roman"/>
                <w:b/>
                <w:bCs/>
                <w:color w:val="000000"/>
                <w:sz w:val="20"/>
                <w:szCs w:val="20"/>
                <w:lang w:val="ro-MD"/>
              </w:rPr>
              <w:t xml:space="preserve">: </w:t>
            </w:r>
            <w:r w:rsidRPr="00695527">
              <w:rPr>
                <w:rFonts w:ascii="Times New Roman" w:hAnsi="Times New Roman" w:cs="Times New Roman"/>
                <w:b/>
                <w:bCs/>
                <w:sz w:val="20"/>
                <w:szCs w:val="20"/>
                <w:lang w:val="ro-MD"/>
              </w:rPr>
              <w:t>Reducerea până la 18 procente a ocupării informale către anul 2026</w:t>
            </w:r>
          </w:p>
          <w:p w14:paraId="34122765" w14:textId="44A4059E" w:rsidR="00224E14" w:rsidRPr="00695527" w:rsidRDefault="00224E14" w:rsidP="005F2AA2">
            <w:pPr>
              <w:pStyle w:val="ListParagraph"/>
              <w:spacing w:after="160" w:line="259" w:lineRule="auto"/>
              <w:ind w:left="0"/>
              <w:rPr>
                <w:rFonts w:ascii="Times New Roman" w:hAnsi="Times New Roman" w:cs="Times New Roman"/>
                <w:sz w:val="20"/>
                <w:szCs w:val="20"/>
                <w:lang w:val="ro-MD"/>
              </w:rPr>
            </w:pPr>
          </w:p>
          <w:p w14:paraId="38264C62" w14:textId="51BC9923" w:rsidR="0057498B" w:rsidRPr="005F2AA2" w:rsidRDefault="0057498B" w:rsidP="005F2AA2">
            <w:pPr>
              <w:pStyle w:val="ListParagraph"/>
              <w:ind w:left="0"/>
              <w:rPr>
                <w:rFonts w:ascii="Times New Roman" w:hAnsi="Times New Roman" w:cs="Times New Roman"/>
                <w:color w:val="000000"/>
                <w:sz w:val="20"/>
                <w:szCs w:val="20"/>
                <w:lang w:val="ro-MD"/>
              </w:rPr>
            </w:pPr>
          </w:p>
        </w:tc>
        <w:tc>
          <w:tcPr>
            <w:tcW w:w="4111" w:type="dxa"/>
          </w:tcPr>
          <w:p w14:paraId="739C58B7" w14:textId="77777777" w:rsidR="00695527" w:rsidRPr="000F2EA3" w:rsidRDefault="00695527" w:rsidP="00695527">
            <w:pPr>
              <w:spacing w:after="160" w:line="259" w:lineRule="auto"/>
              <w:jc w:val="both"/>
              <w:rPr>
                <w:rFonts w:ascii="Times New Roman" w:hAnsi="Times New Roman" w:cs="Times New Roman"/>
                <w:sz w:val="20"/>
                <w:szCs w:val="20"/>
                <w:lang w:val="ro-MD"/>
              </w:rPr>
            </w:pPr>
            <w:r w:rsidRPr="000F2EA3">
              <w:rPr>
                <w:rFonts w:ascii="Times New Roman" w:hAnsi="Times New Roman" w:cs="Times New Roman"/>
                <w:sz w:val="20"/>
                <w:szCs w:val="20"/>
                <w:lang w:val="ro-MD"/>
              </w:rPr>
              <w:t>Până în 2026, povara fiscală generală asupra forței de muncă este de 35%;</w:t>
            </w:r>
          </w:p>
          <w:p w14:paraId="50046548" w14:textId="77777777" w:rsidR="00695527" w:rsidRPr="000F2EA3" w:rsidRDefault="00695527" w:rsidP="00695527">
            <w:pPr>
              <w:spacing w:after="160" w:line="259" w:lineRule="auto"/>
              <w:jc w:val="both"/>
              <w:rPr>
                <w:rFonts w:ascii="Times New Roman" w:hAnsi="Times New Roman" w:cs="Times New Roman"/>
                <w:sz w:val="20"/>
                <w:szCs w:val="20"/>
                <w:lang w:val="ro-MD"/>
              </w:rPr>
            </w:pPr>
            <w:r w:rsidRPr="000F2EA3">
              <w:rPr>
                <w:rFonts w:ascii="Times New Roman" w:hAnsi="Times New Roman" w:cs="Times New Roman"/>
                <w:sz w:val="20"/>
                <w:szCs w:val="20"/>
                <w:lang w:val="ro-MD"/>
              </w:rPr>
              <w:t>- În 2026, rata locurilor de muncă informale scade la 18% și 22% în rândul tinerilor (15-24);</w:t>
            </w:r>
          </w:p>
          <w:p w14:paraId="3445D55F" w14:textId="798A0E8F" w:rsidR="00695527" w:rsidRPr="000F2EA3" w:rsidRDefault="00695527" w:rsidP="00695527">
            <w:pPr>
              <w:spacing w:after="160" w:line="259" w:lineRule="auto"/>
              <w:jc w:val="both"/>
              <w:rPr>
                <w:rFonts w:ascii="Times New Roman" w:hAnsi="Times New Roman" w:cs="Times New Roman"/>
                <w:sz w:val="20"/>
                <w:szCs w:val="20"/>
                <w:lang w:val="ro-MD"/>
              </w:rPr>
            </w:pPr>
            <w:r w:rsidRPr="000F2EA3">
              <w:rPr>
                <w:rFonts w:ascii="Times New Roman" w:hAnsi="Times New Roman" w:cs="Times New Roman"/>
                <w:sz w:val="20"/>
                <w:szCs w:val="20"/>
                <w:lang w:val="ro-MD"/>
              </w:rPr>
              <w:t>- Ocuparea informală în sectorul agricol și al construcțiilor se reduce la 30% și 10%, respectiv, până în 2026;</w:t>
            </w:r>
          </w:p>
          <w:p w14:paraId="7F4A58BA" w14:textId="77777777" w:rsidR="0057498B" w:rsidRDefault="00695527" w:rsidP="00C22DE1">
            <w:pPr>
              <w:jc w:val="both"/>
              <w:rPr>
                <w:rFonts w:ascii="Times New Roman" w:hAnsi="Times New Roman" w:cs="Times New Roman"/>
                <w:sz w:val="20"/>
                <w:szCs w:val="20"/>
                <w:lang w:val="ro-MD"/>
              </w:rPr>
            </w:pPr>
            <w:r w:rsidRPr="000F2EA3">
              <w:rPr>
                <w:rFonts w:ascii="Times New Roman" w:hAnsi="Times New Roman" w:cs="Times New Roman"/>
                <w:sz w:val="20"/>
                <w:szCs w:val="20"/>
                <w:lang w:val="ro-MD"/>
              </w:rPr>
              <w:t>- Până în 2026, ponderea persoanelor inactive din cauza muncii agricole în afara sezonului scade cu 20%;</w:t>
            </w:r>
          </w:p>
          <w:p w14:paraId="623AC7D0" w14:textId="77777777" w:rsidR="006A683D" w:rsidRDefault="006A683D" w:rsidP="00C22DE1">
            <w:pPr>
              <w:jc w:val="both"/>
              <w:rPr>
                <w:rFonts w:ascii="Times New Roman" w:hAnsi="Times New Roman" w:cs="Times New Roman"/>
                <w:sz w:val="20"/>
                <w:szCs w:val="20"/>
                <w:lang w:val="ro-MD"/>
              </w:rPr>
            </w:pPr>
          </w:p>
          <w:p w14:paraId="0410544D" w14:textId="77777777" w:rsidR="006A683D" w:rsidRDefault="006A683D" w:rsidP="006A683D">
            <w:pPr>
              <w:pStyle w:val="ListParagraph"/>
              <w:shd w:val="clear" w:color="auto" w:fill="FFFFFF" w:themeFill="background1"/>
              <w:ind w:left="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Până în 2026, con</w:t>
            </w:r>
            <w:r>
              <w:rPr>
                <w:rFonts w:ascii="Times New Roman" w:hAnsi="Times New Roman" w:cs="Times New Roman"/>
                <w:color w:val="000000"/>
                <w:sz w:val="20"/>
                <w:szCs w:val="20"/>
                <w:lang w:val="ro-MD"/>
              </w:rPr>
              <w:t>vențiile</w:t>
            </w:r>
            <w:r w:rsidRPr="003836D9">
              <w:rPr>
                <w:rFonts w:ascii="Times New Roman" w:hAnsi="Times New Roman" w:cs="Times New Roman"/>
                <w:color w:val="000000"/>
                <w:sz w:val="20"/>
                <w:szCs w:val="20"/>
                <w:lang w:val="ro-MD"/>
              </w:rPr>
              <w:t xml:space="preserve"> colective semnate la nivel național pentru a stabili nivelurile salariale și condițiile de muncă sunt aplicate de angajatori și determină sfera de aplicare a controalelor;</w:t>
            </w:r>
          </w:p>
          <w:p w14:paraId="78263B0E" w14:textId="77777777" w:rsidR="006A683D" w:rsidRDefault="006A683D" w:rsidP="006A683D">
            <w:pPr>
              <w:pStyle w:val="ListParagraph"/>
              <w:shd w:val="clear" w:color="auto" w:fill="FFFFFF" w:themeFill="background1"/>
              <w:ind w:left="0"/>
              <w:jc w:val="both"/>
              <w:rPr>
                <w:rFonts w:ascii="Times New Roman" w:hAnsi="Times New Roman" w:cs="Times New Roman"/>
                <w:color w:val="000000"/>
                <w:sz w:val="20"/>
                <w:szCs w:val="20"/>
                <w:lang w:val="ro-MD"/>
              </w:rPr>
            </w:pPr>
          </w:p>
          <w:p w14:paraId="430B2E84" w14:textId="77777777" w:rsidR="006A683D" w:rsidRDefault="006A683D" w:rsidP="006A683D">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 În 2026, con</w:t>
            </w:r>
            <w:r>
              <w:rPr>
                <w:rFonts w:ascii="Times New Roman" w:hAnsi="Times New Roman" w:cs="Times New Roman"/>
                <w:color w:val="000000"/>
                <w:sz w:val="20"/>
                <w:szCs w:val="20"/>
                <w:lang w:val="ro-MD"/>
              </w:rPr>
              <w:t xml:space="preserve">vențiile </w:t>
            </w:r>
            <w:r w:rsidRPr="003836D9">
              <w:rPr>
                <w:rFonts w:ascii="Times New Roman" w:hAnsi="Times New Roman" w:cs="Times New Roman"/>
                <w:color w:val="000000"/>
                <w:sz w:val="20"/>
                <w:szCs w:val="20"/>
                <w:lang w:val="ro-MD"/>
              </w:rPr>
              <w:t xml:space="preserve">colective semnate la nivel de întreprindere în sectorul privat reprezintă 35% din totalul </w:t>
            </w:r>
            <w:r>
              <w:rPr>
                <w:rFonts w:ascii="Times New Roman" w:hAnsi="Times New Roman" w:cs="Times New Roman"/>
                <w:color w:val="000000"/>
                <w:sz w:val="20"/>
                <w:szCs w:val="20"/>
                <w:lang w:val="ro-MD"/>
              </w:rPr>
              <w:t xml:space="preserve">contractelor </w:t>
            </w:r>
            <w:r w:rsidRPr="003836D9">
              <w:rPr>
                <w:rFonts w:ascii="Times New Roman" w:hAnsi="Times New Roman" w:cs="Times New Roman"/>
                <w:color w:val="000000"/>
                <w:sz w:val="20"/>
                <w:szCs w:val="20"/>
                <w:lang w:val="ro-MD"/>
              </w:rPr>
              <w:t>la nivel de întreprindere;</w:t>
            </w:r>
          </w:p>
          <w:p w14:paraId="6DB49028" w14:textId="77777777" w:rsidR="006A683D" w:rsidRPr="006A683D" w:rsidRDefault="006A683D" w:rsidP="006A683D">
            <w:pPr>
              <w:pStyle w:val="ListParagraph"/>
              <w:shd w:val="clear" w:color="auto" w:fill="FFFFFF" w:themeFill="background1"/>
              <w:ind w:left="0"/>
              <w:jc w:val="both"/>
              <w:rPr>
                <w:rFonts w:ascii="Times New Roman" w:hAnsi="Times New Roman" w:cs="Times New Roman"/>
                <w:color w:val="000000"/>
                <w:sz w:val="20"/>
                <w:szCs w:val="20"/>
                <w:lang w:val="ro-MD"/>
              </w:rPr>
            </w:pPr>
          </w:p>
          <w:p w14:paraId="304D18EE" w14:textId="4C215888" w:rsidR="006A683D" w:rsidRPr="006A683D" w:rsidRDefault="006A683D" w:rsidP="00C22DE1">
            <w:pPr>
              <w:jc w:val="both"/>
              <w:rPr>
                <w:rFonts w:ascii="Times New Roman" w:hAnsi="Times New Roman" w:cs="Times New Roman"/>
                <w:color w:val="000000"/>
                <w:sz w:val="20"/>
                <w:szCs w:val="20"/>
                <w:lang w:val="ro-MD"/>
              </w:rPr>
            </w:pPr>
          </w:p>
        </w:tc>
        <w:tc>
          <w:tcPr>
            <w:tcW w:w="4394" w:type="dxa"/>
          </w:tcPr>
          <w:p w14:paraId="53229DA3" w14:textId="77777777" w:rsidR="00695527" w:rsidRPr="000F2EA3" w:rsidRDefault="00695527" w:rsidP="00695527">
            <w:pPr>
              <w:pStyle w:val="ListParagraph"/>
              <w:shd w:val="clear" w:color="auto" w:fill="FFFFFF" w:themeFill="background1"/>
              <w:spacing w:before="120" w:after="120" w:line="259" w:lineRule="auto"/>
              <w:ind w:left="0"/>
              <w:contextualSpacing w:val="0"/>
              <w:jc w:val="both"/>
              <w:rPr>
                <w:rFonts w:ascii="Times New Roman" w:hAnsi="Times New Roman" w:cs="Times New Roman"/>
                <w:sz w:val="20"/>
                <w:szCs w:val="20"/>
                <w:lang w:val="ro-MD"/>
              </w:rPr>
            </w:pPr>
            <w:r w:rsidRPr="000F2EA3">
              <w:rPr>
                <w:rFonts w:ascii="Times New Roman" w:hAnsi="Times New Roman" w:cs="Times New Roman"/>
                <w:sz w:val="20"/>
                <w:szCs w:val="20"/>
                <w:lang w:val="ro-MD"/>
              </w:rPr>
              <w:t>În 2019, povara fiscală generală asupra muncii a fost de 38%, mai mare decât media țărilor OCDE;</w:t>
            </w:r>
          </w:p>
          <w:p w14:paraId="7206517A" w14:textId="77777777" w:rsidR="00695527" w:rsidRPr="000F2EA3" w:rsidRDefault="00695527" w:rsidP="00695527">
            <w:pPr>
              <w:pStyle w:val="ListParagraph"/>
              <w:shd w:val="clear" w:color="auto" w:fill="FFFFFF" w:themeFill="background1"/>
              <w:spacing w:before="120" w:after="120" w:line="259" w:lineRule="auto"/>
              <w:ind w:left="0"/>
              <w:contextualSpacing w:val="0"/>
              <w:jc w:val="both"/>
              <w:rPr>
                <w:rFonts w:ascii="Times New Roman" w:eastAsia="Calibri" w:hAnsi="Times New Roman" w:cs="Times New Roman"/>
                <w:iCs/>
                <w:sz w:val="20"/>
                <w:szCs w:val="20"/>
                <w:lang w:val="ro-MD"/>
              </w:rPr>
            </w:pPr>
            <w:r w:rsidRPr="000F2EA3">
              <w:rPr>
                <w:rFonts w:ascii="Times New Roman" w:hAnsi="Times New Roman" w:cs="Times New Roman"/>
                <w:sz w:val="20"/>
                <w:szCs w:val="20"/>
                <w:lang w:val="ro-MD"/>
              </w:rPr>
              <w:t>În 2021, rata locurilor de muncă informale a fost de 22,9% pentru lucrătorii cu vârsta de 15 ani și peste și 32,2% în rândul tinerilor (15-24</w:t>
            </w:r>
            <w:r w:rsidRPr="000F2EA3">
              <w:rPr>
                <w:rFonts w:ascii="Times New Roman" w:eastAsia="Calibri" w:hAnsi="Times New Roman" w:cs="Times New Roman"/>
                <w:sz w:val="20"/>
                <w:szCs w:val="20"/>
                <w:lang w:val="ro-MD"/>
              </w:rPr>
              <w:t>);</w:t>
            </w:r>
          </w:p>
          <w:p w14:paraId="7770984C" w14:textId="6E4C52F7" w:rsidR="00695527" w:rsidRPr="000F2EA3" w:rsidRDefault="00695527" w:rsidP="00695527">
            <w:pPr>
              <w:autoSpaceDE w:val="0"/>
              <w:autoSpaceDN w:val="0"/>
              <w:adjustRightInd w:val="0"/>
              <w:spacing w:before="120" w:after="120" w:line="259" w:lineRule="auto"/>
              <w:jc w:val="both"/>
              <w:rPr>
                <w:rFonts w:ascii="Times New Roman" w:eastAsia="Calibri" w:hAnsi="Times New Roman" w:cs="Times New Roman"/>
                <w:iCs/>
                <w:sz w:val="20"/>
                <w:szCs w:val="20"/>
                <w:lang w:val="ro-MD"/>
              </w:rPr>
            </w:pPr>
            <w:r w:rsidRPr="000F2EA3">
              <w:rPr>
                <w:rFonts w:ascii="Times New Roman" w:hAnsi="Times New Roman" w:cs="Times New Roman"/>
                <w:sz w:val="20"/>
                <w:szCs w:val="20"/>
                <w:lang w:val="ro-MD"/>
              </w:rPr>
              <w:t>În 2021 ocuparea informală în sectoarele agricol și cel al construcțiilor a constituit 57,8% și, respectiv, 29%</w:t>
            </w:r>
            <w:r w:rsidR="000F2EA3">
              <w:rPr>
                <w:rFonts w:ascii="Times New Roman" w:hAnsi="Times New Roman" w:cs="Times New Roman"/>
                <w:sz w:val="20"/>
                <w:szCs w:val="20"/>
                <w:lang w:val="ro-MD"/>
              </w:rPr>
              <w:t>;</w:t>
            </w:r>
          </w:p>
          <w:p w14:paraId="1FDFC9B9" w14:textId="1C513271" w:rsidR="00695527" w:rsidRDefault="00695527" w:rsidP="00C22DE1">
            <w:pPr>
              <w:pStyle w:val="ListParagraph"/>
              <w:shd w:val="clear" w:color="auto" w:fill="FFFFFF" w:themeFill="background1"/>
              <w:spacing w:before="120"/>
              <w:ind w:left="0"/>
              <w:contextualSpacing w:val="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În 2021, numărul persoanelor inactive din cauza muncii agricole în afara sezonului, a fost de 39.200 (3,3</w:t>
            </w:r>
            <w:r>
              <w:rPr>
                <w:rFonts w:ascii="Times New Roman" w:hAnsi="Times New Roman" w:cs="Times New Roman"/>
                <w:color w:val="000000"/>
                <w:sz w:val="20"/>
                <w:szCs w:val="20"/>
                <w:lang w:val="ro-MD"/>
              </w:rPr>
              <w:t>%</w:t>
            </w:r>
            <w:r w:rsidRPr="003836D9">
              <w:rPr>
                <w:rFonts w:ascii="Times New Roman" w:hAnsi="Times New Roman" w:cs="Times New Roman"/>
                <w:color w:val="000000"/>
                <w:sz w:val="20"/>
                <w:szCs w:val="20"/>
                <w:lang w:val="ro-MD"/>
              </w:rPr>
              <w:t xml:space="preserve"> din numărul total de persoane inactive);</w:t>
            </w:r>
          </w:p>
          <w:p w14:paraId="674A75A7" w14:textId="77777777" w:rsidR="006A683D" w:rsidRDefault="006A683D" w:rsidP="00C22DE1">
            <w:pPr>
              <w:pStyle w:val="ListParagraph"/>
              <w:shd w:val="clear" w:color="auto" w:fill="FFFFFF" w:themeFill="background1"/>
              <w:spacing w:before="120"/>
              <w:ind w:left="0"/>
              <w:contextualSpacing w:val="0"/>
              <w:jc w:val="both"/>
              <w:rPr>
                <w:rFonts w:ascii="Times New Roman" w:hAnsi="Times New Roman" w:cs="Times New Roman"/>
                <w:color w:val="000000"/>
                <w:sz w:val="20"/>
                <w:szCs w:val="20"/>
                <w:lang w:val="ro-MD"/>
              </w:rPr>
            </w:pPr>
          </w:p>
          <w:p w14:paraId="2E907165" w14:textId="77777777" w:rsidR="006A683D" w:rsidRPr="003836D9" w:rsidRDefault="006A683D" w:rsidP="006A683D">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Partenerii sociali la nivel național au încheiat trei con</w:t>
            </w:r>
            <w:r>
              <w:rPr>
                <w:rFonts w:ascii="Times New Roman" w:hAnsi="Times New Roman" w:cs="Times New Roman"/>
                <w:color w:val="000000"/>
                <w:sz w:val="20"/>
                <w:szCs w:val="20"/>
                <w:lang w:val="ro-MD"/>
              </w:rPr>
              <w:t xml:space="preserve">venții </w:t>
            </w:r>
            <w:r w:rsidRPr="003836D9">
              <w:rPr>
                <w:rFonts w:ascii="Times New Roman" w:hAnsi="Times New Roman" w:cs="Times New Roman"/>
                <w:color w:val="000000"/>
                <w:sz w:val="20"/>
                <w:szCs w:val="20"/>
                <w:lang w:val="ro-MD"/>
              </w:rPr>
              <w:t>colective privind modelul de înregistrare a timpului de muncă, modelul con</w:t>
            </w:r>
            <w:r>
              <w:rPr>
                <w:rFonts w:ascii="Times New Roman" w:hAnsi="Times New Roman" w:cs="Times New Roman"/>
                <w:color w:val="000000"/>
                <w:sz w:val="20"/>
                <w:szCs w:val="20"/>
                <w:lang w:val="ro-MD"/>
              </w:rPr>
              <w:t xml:space="preserve">vențiilor </w:t>
            </w:r>
            <w:r w:rsidRPr="003836D9">
              <w:rPr>
                <w:rFonts w:ascii="Times New Roman" w:hAnsi="Times New Roman" w:cs="Times New Roman"/>
                <w:color w:val="000000"/>
                <w:sz w:val="20"/>
                <w:szCs w:val="20"/>
                <w:lang w:val="ro-MD"/>
              </w:rPr>
              <w:t>individuale de muncă și modelul pentru programarea concediilor anuale</w:t>
            </w:r>
          </w:p>
          <w:p w14:paraId="765AEE7A" w14:textId="77777777" w:rsidR="006A683D" w:rsidRPr="003836D9" w:rsidRDefault="006A683D" w:rsidP="006A683D">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p>
          <w:p w14:paraId="197BC6C4" w14:textId="77777777" w:rsidR="006A683D" w:rsidRDefault="006A683D" w:rsidP="006A683D">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În perioada 2017-2018 au fost încheiate peste o mie de contracte colective de muncă la nivel de întreprindere (o scădere de 44% față de cele peste 2.100 de contracte semnate în 2015-2016). Peste 80% sunt semnate în sectorul public.</w:t>
            </w:r>
          </w:p>
          <w:p w14:paraId="18C22753" w14:textId="364E3FD6" w:rsidR="006A683D" w:rsidRPr="006A683D" w:rsidRDefault="006A683D" w:rsidP="00C22DE1">
            <w:pPr>
              <w:pStyle w:val="ListParagraph"/>
              <w:shd w:val="clear" w:color="auto" w:fill="FFFFFF" w:themeFill="background1"/>
              <w:spacing w:before="120"/>
              <w:ind w:left="0"/>
              <w:contextualSpacing w:val="0"/>
              <w:jc w:val="both"/>
              <w:rPr>
                <w:rFonts w:ascii="Times New Roman" w:hAnsi="Times New Roman" w:cs="Times New Roman"/>
                <w:color w:val="000000"/>
                <w:sz w:val="20"/>
                <w:szCs w:val="20"/>
                <w:lang w:val="ro-MD"/>
              </w:rPr>
            </w:pPr>
          </w:p>
        </w:tc>
      </w:tr>
      <w:tr w:rsidR="0057498B" w:rsidRPr="003836D9" w14:paraId="4FA39470" w14:textId="77777777" w:rsidTr="007A1F06">
        <w:tc>
          <w:tcPr>
            <w:tcW w:w="2268" w:type="dxa"/>
          </w:tcPr>
          <w:p w14:paraId="046A5372" w14:textId="42031710" w:rsidR="000F2EA3" w:rsidRPr="000F2EA3" w:rsidRDefault="000F2EA3" w:rsidP="000F2EA3">
            <w:pPr>
              <w:pStyle w:val="ListParagraph"/>
              <w:ind w:left="0"/>
              <w:jc w:val="both"/>
              <w:rPr>
                <w:rFonts w:ascii="Times New Roman" w:hAnsi="Times New Roman" w:cs="Times New Roman"/>
                <w:b/>
                <w:bCs/>
                <w:color w:val="000000"/>
                <w:sz w:val="20"/>
                <w:szCs w:val="20"/>
                <w:lang w:val="ro-MD"/>
              </w:rPr>
            </w:pPr>
            <w:r w:rsidRPr="000F2EA3">
              <w:rPr>
                <w:rFonts w:ascii="Times New Roman" w:hAnsi="Times New Roman" w:cs="Times New Roman"/>
                <w:b/>
                <w:bCs/>
                <w:color w:val="000000"/>
                <w:sz w:val="20"/>
                <w:szCs w:val="20"/>
                <w:lang w:val="ro-MD"/>
              </w:rPr>
              <w:t xml:space="preserve">Obiectiv specific 3: Creșterea cu 3% a ratei de ocupare a persoanelor cu dizabilități către anul 2026 </w:t>
            </w:r>
          </w:p>
          <w:p w14:paraId="35399061" w14:textId="58CD4204" w:rsidR="0057498B" w:rsidRPr="000F2EA3" w:rsidRDefault="0057498B" w:rsidP="005F2AA2">
            <w:pPr>
              <w:pStyle w:val="ListParagraph"/>
              <w:ind w:left="0"/>
              <w:rPr>
                <w:rFonts w:ascii="Times New Roman" w:hAnsi="Times New Roman" w:cs="Times New Roman"/>
                <w:color w:val="000000"/>
                <w:sz w:val="20"/>
                <w:szCs w:val="20"/>
                <w:lang w:val="ro-MD"/>
              </w:rPr>
            </w:pPr>
          </w:p>
        </w:tc>
        <w:tc>
          <w:tcPr>
            <w:tcW w:w="4111" w:type="dxa"/>
          </w:tcPr>
          <w:p w14:paraId="40F58C9D" w14:textId="2AFA17B9" w:rsidR="000F2EA3" w:rsidRDefault="00803FF9" w:rsidP="000F2EA3">
            <w:pPr>
              <w:jc w:val="both"/>
              <w:rPr>
                <w:rFonts w:ascii="Times New Roman" w:hAnsi="Times New Roman" w:cs="Times New Roman"/>
                <w:sz w:val="20"/>
                <w:szCs w:val="20"/>
                <w:lang w:val="ro-MD"/>
              </w:rPr>
            </w:pPr>
            <w:r w:rsidRPr="003836D9">
              <w:rPr>
                <w:rFonts w:ascii="Times New Roman" w:hAnsi="Times New Roman" w:cs="Times New Roman"/>
                <w:color w:val="000000"/>
                <w:sz w:val="20"/>
                <w:szCs w:val="20"/>
                <w:lang w:val="ro-MD"/>
              </w:rPr>
              <w:t xml:space="preserve">- </w:t>
            </w:r>
            <w:r w:rsidR="000F2EA3" w:rsidRPr="000F2EA3">
              <w:rPr>
                <w:rFonts w:ascii="Times New Roman" w:hAnsi="Times New Roman" w:cs="Times New Roman"/>
                <w:sz w:val="20"/>
                <w:szCs w:val="20"/>
                <w:lang w:val="ro-MD"/>
              </w:rPr>
              <w:t>Până în 2026 rata de ocupare în r</w:t>
            </w:r>
            <w:r w:rsidR="0036554E">
              <w:rPr>
                <w:rFonts w:ascii="Times New Roman" w:hAnsi="Times New Roman" w:cs="Times New Roman"/>
                <w:sz w:val="20"/>
                <w:szCs w:val="20"/>
                <w:lang w:val="ro-MD"/>
              </w:rPr>
              <w:t>â</w:t>
            </w:r>
            <w:r w:rsidR="000F2EA3" w:rsidRPr="000F2EA3">
              <w:rPr>
                <w:rFonts w:ascii="Times New Roman" w:hAnsi="Times New Roman" w:cs="Times New Roman"/>
                <w:sz w:val="20"/>
                <w:szCs w:val="20"/>
                <w:lang w:val="ro-MD"/>
              </w:rPr>
              <w:t>ndul persoanelor cu dizabilități constituie cel puțin 16,5%;</w:t>
            </w:r>
          </w:p>
          <w:p w14:paraId="76DDE2DB" w14:textId="77777777" w:rsidR="0036554E" w:rsidRPr="000F2EA3" w:rsidRDefault="0036554E" w:rsidP="000F2EA3">
            <w:pPr>
              <w:jc w:val="both"/>
              <w:rPr>
                <w:rFonts w:ascii="Times New Roman" w:hAnsi="Times New Roman" w:cs="Times New Roman"/>
                <w:sz w:val="20"/>
                <w:szCs w:val="20"/>
                <w:lang w:val="ro-MD"/>
              </w:rPr>
            </w:pPr>
          </w:p>
          <w:p w14:paraId="7C64A0B7" w14:textId="19458F52" w:rsidR="0057498B" w:rsidRPr="003836D9" w:rsidRDefault="000F2EA3" w:rsidP="000F2EA3">
            <w:pPr>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 Anual numărul persoanelor cu dizabilități angajate prin intermediul măsurilor active de ocupare crește cu 20%;</w:t>
            </w:r>
            <w:r w:rsidR="008E2C94" w:rsidRPr="003836D9">
              <w:rPr>
                <w:rFonts w:ascii="Times New Roman" w:hAnsi="Times New Roman" w:cs="Times New Roman"/>
                <w:color w:val="000000"/>
                <w:sz w:val="24"/>
                <w:szCs w:val="24"/>
                <w:lang w:val="ro-MD"/>
              </w:rPr>
              <w:t xml:space="preserve"> </w:t>
            </w:r>
          </w:p>
        </w:tc>
        <w:tc>
          <w:tcPr>
            <w:tcW w:w="4394" w:type="dxa"/>
          </w:tcPr>
          <w:p w14:paraId="429758DC" w14:textId="0609B5A9" w:rsidR="000F2EA3" w:rsidRPr="000F2EA3" w:rsidRDefault="000F2EA3" w:rsidP="000F2EA3">
            <w:pPr>
              <w:pStyle w:val="ListParagraph"/>
              <w:ind w:left="0"/>
              <w:jc w:val="both"/>
              <w:rPr>
                <w:rFonts w:ascii="Times New Roman" w:hAnsi="Times New Roman" w:cs="Times New Roman"/>
                <w:sz w:val="20"/>
                <w:szCs w:val="20"/>
                <w:lang w:val="ro-MD"/>
              </w:rPr>
            </w:pPr>
            <w:r w:rsidRPr="000F2EA3">
              <w:rPr>
                <w:rFonts w:ascii="Times New Roman" w:hAnsi="Times New Roman" w:cs="Times New Roman"/>
                <w:sz w:val="20"/>
                <w:szCs w:val="20"/>
                <w:lang w:val="ro-MD"/>
              </w:rPr>
              <w:t>În 2021 rata de ocupare în rândul persoanel</w:t>
            </w:r>
            <w:r>
              <w:rPr>
                <w:rFonts w:ascii="Times New Roman" w:hAnsi="Times New Roman" w:cs="Times New Roman"/>
                <w:sz w:val="20"/>
                <w:szCs w:val="20"/>
                <w:lang w:val="ro-MD"/>
              </w:rPr>
              <w:t>or cu dizabilități a fost 13,5%;</w:t>
            </w:r>
          </w:p>
          <w:p w14:paraId="70FB8CF6" w14:textId="002EBE8F" w:rsidR="003E5204" w:rsidRPr="00275BEE" w:rsidRDefault="00275BEE" w:rsidP="008E2C94">
            <w:pPr>
              <w:pStyle w:val="ListParagraph"/>
              <w:shd w:val="clear" w:color="auto" w:fill="FFFFFF" w:themeFill="background1"/>
              <w:spacing w:before="120"/>
              <w:ind w:left="0"/>
              <w:contextualSpacing w:val="0"/>
              <w:jc w:val="both"/>
              <w:rPr>
                <w:rFonts w:ascii="Times New Roman" w:hAnsi="Times New Roman" w:cs="Times New Roman"/>
                <w:sz w:val="20"/>
                <w:szCs w:val="20"/>
                <w:lang w:val="ro-MD"/>
              </w:rPr>
            </w:pPr>
            <w:r>
              <w:rPr>
                <w:rFonts w:ascii="Times New Roman" w:hAnsi="Times New Roman" w:cs="Times New Roman"/>
                <w:sz w:val="20"/>
                <w:szCs w:val="20"/>
                <w:lang w:val="ro-MD"/>
              </w:rPr>
              <w:t xml:space="preserve">În 2021, prin intermediul </w:t>
            </w:r>
            <w:r w:rsidR="003A0F0D">
              <w:rPr>
                <w:rFonts w:ascii="Times New Roman" w:hAnsi="Times New Roman" w:cs="Times New Roman"/>
                <w:sz w:val="20"/>
                <w:szCs w:val="20"/>
                <w:lang w:val="ro-MD"/>
              </w:rPr>
              <w:t xml:space="preserve">serviciilor și </w:t>
            </w:r>
            <w:r>
              <w:rPr>
                <w:rFonts w:ascii="Times New Roman" w:hAnsi="Times New Roman" w:cs="Times New Roman"/>
                <w:sz w:val="20"/>
                <w:szCs w:val="20"/>
                <w:lang w:val="ro-MD"/>
              </w:rPr>
              <w:t>măsurilor active de ocupare a forței de muncă au fost angaj</w:t>
            </w:r>
            <w:r w:rsidR="0002510A">
              <w:rPr>
                <w:rFonts w:ascii="Times New Roman" w:hAnsi="Times New Roman" w:cs="Times New Roman"/>
                <w:sz w:val="20"/>
                <w:szCs w:val="20"/>
                <w:lang w:val="ro-MD"/>
              </w:rPr>
              <w:t>a</w:t>
            </w:r>
            <w:r>
              <w:rPr>
                <w:rFonts w:ascii="Times New Roman" w:hAnsi="Times New Roman" w:cs="Times New Roman"/>
                <w:sz w:val="20"/>
                <w:szCs w:val="20"/>
                <w:lang w:val="ro-MD"/>
              </w:rPr>
              <w:t xml:space="preserve">te </w:t>
            </w:r>
            <w:r w:rsidR="003A0F0D">
              <w:rPr>
                <w:rFonts w:ascii="Times New Roman" w:hAnsi="Times New Roman" w:cs="Times New Roman"/>
                <w:sz w:val="20"/>
                <w:szCs w:val="20"/>
                <w:lang w:val="ro-MD"/>
              </w:rPr>
              <w:t>23% din persoanele  cu dizabilități înregistrate la Agenția Națională pentru Ocuparea Forței de Muncă</w:t>
            </w:r>
            <w:r w:rsidR="00576725">
              <w:rPr>
                <w:rFonts w:ascii="Times New Roman" w:hAnsi="Times New Roman" w:cs="Times New Roman"/>
                <w:sz w:val="20"/>
                <w:szCs w:val="20"/>
                <w:lang w:val="ro-MD"/>
              </w:rPr>
              <w:t>.</w:t>
            </w:r>
          </w:p>
          <w:p w14:paraId="3B76979F" w14:textId="7696D08B" w:rsidR="006F1506" w:rsidRPr="000F2EA3" w:rsidRDefault="006F1506" w:rsidP="00695527">
            <w:pPr>
              <w:pStyle w:val="ListParagraph"/>
              <w:shd w:val="clear" w:color="auto" w:fill="FFFFFF" w:themeFill="background1"/>
              <w:spacing w:before="120"/>
              <w:ind w:left="0"/>
              <w:contextualSpacing w:val="0"/>
              <w:jc w:val="both"/>
              <w:rPr>
                <w:rFonts w:ascii="Times New Roman" w:hAnsi="Times New Roman" w:cs="Times New Roman"/>
                <w:sz w:val="20"/>
                <w:szCs w:val="20"/>
                <w:lang w:val="ro-MD"/>
              </w:rPr>
            </w:pPr>
          </w:p>
        </w:tc>
      </w:tr>
      <w:tr w:rsidR="0057498B" w:rsidRPr="003836D9" w14:paraId="12750BC8" w14:textId="77777777" w:rsidTr="007A1F06">
        <w:tc>
          <w:tcPr>
            <w:tcW w:w="2268" w:type="dxa"/>
          </w:tcPr>
          <w:p w14:paraId="71762B52" w14:textId="77777777" w:rsidR="006B26AD" w:rsidRPr="006B26AD" w:rsidRDefault="006A683D" w:rsidP="006B26AD">
            <w:pPr>
              <w:pStyle w:val="ListParagraph"/>
              <w:ind w:left="0"/>
              <w:jc w:val="both"/>
              <w:rPr>
                <w:rFonts w:ascii="Times New Roman" w:hAnsi="Times New Roman" w:cs="Times New Roman"/>
                <w:color w:val="000000"/>
                <w:sz w:val="20"/>
                <w:szCs w:val="20"/>
                <w:lang w:val="ro-MD"/>
              </w:rPr>
            </w:pPr>
            <w:r w:rsidRPr="006A683D">
              <w:rPr>
                <w:rFonts w:ascii="Times New Roman" w:eastAsia="Times New Roman" w:hAnsi="Times New Roman" w:cs="Times New Roman"/>
                <w:b/>
                <w:iCs/>
                <w:sz w:val="20"/>
                <w:szCs w:val="20"/>
                <w:lang w:val="ro-MD"/>
              </w:rPr>
              <w:t xml:space="preserve">Obiectiv specific 4: </w:t>
            </w:r>
            <w:r w:rsidR="006B26AD" w:rsidRPr="006B26AD">
              <w:rPr>
                <w:rFonts w:ascii="Times New Roman" w:eastAsia="Times New Roman" w:hAnsi="Times New Roman" w:cs="Times New Roman"/>
                <w:b/>
                <w:iCs/>
                <w:sz w:val="20"/>
                <w:szCs w:val="20"/>
                <w:lang w:val="ro-MD"/>
              </w:rPr>
              <w:t xml:space="preserve">Consolidarea </w:t>
            </w:r>
            <w:r w:rsidR="006B26AD" w:rsidRPr="006B26AD">
              <w:rPr>
                <w:rFonts w:ascii="Times New Roman" w:hAnsi="Times New Roman" w:cs="Times New Roman"/>
                <w:b/>
                <w:color w:val="000000"/>
                <w:sz w:val="20"/>
                <w:szCs w:val="20"/>
                <w:lang w:val="ro-MD"/>
              </w:rPr>
              <w:t>capacităților instituționale Agenției Naționale pentru Ocuparea Forței de Muncă, îmbunătățirea serviciilor și c</w:t>
            </w:r>
            <w:r w:rsidR="006B26AD" w:rsidRPr="006B26AD">
              <w:rPr>
                <w:rFonts w:ascii="Times New Roman" w:eastAsia="Times New Roman" w:hAnsi="Times New Roman" w:cs="Times New Roman"/>
                <w:b/>
                <w:iCs/>
                <w:sz w:val="20"/>
                <w:szCs w:val="20"/>
                <w:lang w:val="ro-MD"/>
              </w:rPr>
              <w:t>reșterea finanțării pentru politica de măsuri active, către anul 2026.</w:t>
            </w:r>
          </w:p>
          <w:p w14:paraId="5851B6B9" w14:textId="36443370" w:rsidR="0057498B" w:rsidRPr="006B26AD" w:rsidRDefault="0057498B" w:rsidP="00C22DE1">
            <w:pPr>
              <w:pStyle w:val="ListParagraph"/>
              <w:ind w:left="0"/>
              <w:rPr>
                <w:rFonts w:ascii="Times New Roman" w:hAnsi="Times New Roman" w:cs="Times New Roman"/>
                <w:color w:val="000000"/>
                <w:sz w:val="20"/>
                <w:szCs w:val="20"/>
                <w:lang w:val="ro-MD"/>
              </w:rPr>
            </w:pPr>
          </w:p>
        </w:tc>
        <w:tc>
          <w:tcPr>
            <w:tcW w:w="4111" w:type="dxa"/>
          </w:tcPr>
          <w:p w14:paraId="78E4426C" w14:textId="5A68BA7D" w:rsidR="00123004" w:rsidRPr="003836D9" w:rsidRDefault="009269E1" w:rsidP="003E5204">
            <w:pPr>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 xml:space="preserve">- </w:t>
            </w:r>
            <w:r w:rsidR="00123004" w:rsidRPr="003836D9">
              <w:rPr>
                <w:rFonts w:ascii="Times New Roman" w:hAnsi="Times New Roman" w:cs="Times New Roman"/>
                <w:color w:val="000000"/>
                <w:sz w:val="20"/>
                <w:szCs w:val="20"/>
                <w:lang w:val="ro-MD"/>
              </w:rPr>
              <w:t xml:space="preserve">În 2026, raportul personal </w:t>
            </w:r>
            <w:r w:rsidR="006D713B" w:rsidRPr="003836D9">
              <w:rPr>
                <w:rFonts w:ascii="Times New Roman" w:hAnsi="Times New Roman" w:cs="Times New Roman"/>
                <w:color w:val="000000"/>
                <w:sz w:val="20"/>
                <w:szCs w:val="20"/>
                <w:lang w:val="ro-MD"/>
              </w:rPr>
              <w:t xml:space="preserve">al Agenției Naționale pentru Ocuparea Forței de Muncă </w:t>
            </w:r>
            <w:r w:rsidR="00123004" w:rsidRPr="003836D9">
              <w:rPr>
                <w:rFonts w:ascii="Times New Roman" w:hAnsi="Times New Roman" w:cs="Times New Roman"/>
                <w:color w:val="000000"/>
                <w:sz w:val="20"/>
                <w:szCs w:val="20"/>
                <w:lang w:val="ro-MD"/>
              </w:rPr>
              <w:t>-</w:t>
            </w:r>
            <w:r w:rsidR="007D4BB9">
              <w:rPr>
                <w:rFonts w:ascii="Times New Roman" w:hAnsi="Times New Roman" w:cs="Times New Roman"/>
                <w:color w:val="000000"/>
                <w:sz w:val="20"/>
                <w:szCs w:val="20"/>
                <w:lang w:val="ro-MD"/>
              </w:rPr>
              <w:t xml:space="preserve"> </w:t>
            </w:r>
            <w:r w:rsidR="00123004" w:rsidRPr="003836D9">
              <w:rPr>
                <w:rFonts w:ascii="Times New Roman" w:hAnsi="Times New Roman" w:cs="Times New Roman"/>
                <w:color w:val="000000"/>
                <w:sz w:val="20"/>
                <w:szCs w:val="20"/>
                <w:lang w:val="ro-MD"/>
              </w:rPr>
              <w:t>șomeri este de 1:</w:t>
            </w:r>
            <w:r w:rsidR="003C2B29">
              <w:rPr>
                <w:rFonts w:ascii="Times New Roman" w:hAnsi="Times New Roman" w:cs="Times New Roman"/>
                <w:color w:val="000000"/>
                <w:sz w:val="20"/>
                <w:szCs w:val="20"/>
                <w:lang w:val="ro-MD"/>
              </w:rPr>
              <w:t>300</w:t>
            </w:r>
            <w:r w:rsidR="00123004" w:rsidRPr="003836D9">
              <w:rPr>
                <w:rFonts w:ascii="Times New Roman" w:hAnsi="Times New Roman" w:cs="Times New Roman"/>
                <w:color w:val="000000"/>
                <w:sz w:val="20"/>
                <w:szCs w:val="20"/>
                <w:lang w:val="ro-MD"/>
              </w:rPr>
              <w:t>;</w:t>
            </w:r>
          </w:p>
          <w:p w14:paraId="53528BC0" w14:textId="77777777" w:rsidR="006A683D" w:rsidRPr="006A683D" w:rsidRDefault="006A683D" w:rsidP="003E5204">
            <w:pPr>
              <w:jc w:val="both"/>
              <w:rPr>
                <w:rFonts w:ascii="Times New Roman" w:hAnsi="Times New Roman" w:cs="Times New Roman"/>
                <w:color w:val="000000"/>
                <w:sz w:val="20"/>
                <w:szCs w:val="20"/>
                <w:lang w:val="ro-MD"/>
              </w:rPr>
            </w:pPr>
          </w:p>
          <w:p w14:paraId="4C39BF8B" w14:textId="3D3E4B1A" w:rsidR="003E5204" w:rsidRPr="003836D9" w:rsidRDefault="00123004" w:rsidP="003E5204">
            <w:pPr>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 xml:space="preserve">- </w:t>
            </w:r>
            <w:r w:rsidR="003E5204" w:rsidRPr="003836D9">
              <w:rPr>
                <w:rFonts w:ascii="Times New Roman" w:hAnsi="Times New Roman" w:cs="Times New Roman"/>
                <w:color w:val="000000"/>
                <w:sz w:val="20"/>
                <w:szCs w:val="20"/>
                <w:lang w:val="ro-MD"/>
              </w:rPr>
              <w:t>Până în 2026, 70% dintre persoanele înregistrate la ANOFM primesc servicii de</w:t>
            </w:r>
            <w:r w:rsidR="009269E1" w:rsidRPr="003836D9">
              <w:rPr>
                <w:rFonts w:ascii="Times New Roman" w:hAnsi="Times New Roman" w:cs="Times New Roman"/>
                <w:color w:val="000000"/>
                <w:sz w:val="20"/>
                <w:szCs w:val="20"/>
                <w:lang w:val="ro-MD"/>
              </w:rPr>
              <w:t xml:space="preserve"> angajare adaptate nevoilor lor;</w:t>
            </w:r>
          </w:p>
          <w:p w14:paraId="6CC89578" w14:textId="77777777" w:rsidR="00123004" w:rsidRPr="003836D9" w:rsidRDefault="00123004" w:rsidP="003E5204">
            <w:pPr>
              <w:jc w:val="both"/>
              <w:rPr>
                <w:rFonts w:ascii="Times New Roman" w:hAnsi="Times New Roman" w:cs="Times New Roman"/>
                <w:color w:val="000000"/>
                <w:sz w:val="20"/>
                <w:szCs w:val="20"/>
                <w:lang w:val="ro-MD"/>
              </w:rPr>
            </w:pPr>
          </w:p>
          <w:p w14:paraId="6EBC850F" w14:textId="77777777" w:rsidR="006D713B" w:rsidRPr="003836D9" w:rsidRDefault="006D713B" w:rsidP="003E5204">
            <w:pPr>
              <w:jc w:val="both"/>
              <w:rPr>
                <w:rFonts w:ascii="Times New Roman" w:hAnsi="Times New Roman" w:cs="Times New Roman"/>
                <w:color w:val="000000"/>
                <w:sz w:val="20"/>
                <w:szCs w:val="20"/>
                <w:lang w:val="ro-MD"/>
              </w:rPr>
            </w:pPr>
          </w:p>
          <w:p w14:paraId="5E3CA17E" w14:textId="21536F97" w:rsidR="009269E1" w:rsidRPr="003836D9" w:rsidRDefault="00123004" w:rsidP="003E5204">
            <w:pPr>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 Până în anul 2026</w:t>
            </w:r>
            <w:r w:rsidR="007D4BB9">
              <w:rPr>
                <w:rFonts w:ascii="Times New Roman" w:hAnsi="Times New Roman" w:cs="Times New Roman"/>
                <w:color w:val="000000"/>
                <w:sz w:val="20"/>
                <w:szCs w:val="20"/>
                <w:lang w:val="ro-MD"/>
              </w:rPr>
              <w:t>,</w:t>
            </w:r>
            <w:r w:rsidRPr="003836D9">
              <w:rPr>
                <w:rFonts w:ascii="Times New Roman" w:hAnsi="Times New Roman" w:cs="Times New Roman"/>
                <w:color w:val="000000"/>
                <w:sz w:val="20"/>
                <w:szCs w:val="20"/>
                <w:lang w:val="ro-MD"/>
              </w:rPr>
              <w:t xml:space="preserve"> 15% din șomerii înregistrați la Agenția Națională pentru Ocuparea Forței de Muncă au acces la programe active de ocupare a forței de muncă adaptate nevoilor lor;</w:t>
            </w:r>
          </w:p>
          <w:p w14:paraId="6FDE4734" w14:textId="77777777" w:rsidR="00123004" w:rsidRDefault="00123004" w:rsidP="003E5204">
            <w:pPr>
              <w:jc w:val="both"/>
              <w:rPr>
                <w:rFonts w:ascii="Times New Roman" w:hAnsi="Times New Roman" w:cs="Times New Roman"/>
                <w:color w:val="000000"/>
                <w:sz w:val="20"/>
                <w:szCs w:val="20"/>
                <w:lang w:val="ro-MD"/>
              </w:rPr>
            </w:pPr>
          </w:p>
          <w:p w14:paraId="51DBCEDE" w14:textId="467275B2" w:rsidR="00C22DE1" w:rsidRPr="001D4F1F" w:rsidRDefault="006A683D" w:rsidP="00652995">
            <w:pPr>
              <w:pStyle w:val="ListParagraph"/>
              <w:shd w:val="clear" w:color="auto" w:fill="FFFFFF" w:themeFill="background1"/>
              <w:spacing w:before="120"/>
              <w:ind w:left="0"/>
              <w:jc w:val="both"/>
              <w:rPr>
                <w:rFonts w:ascii="Times New Roman" w:hAnsi="Times New Roman" w:cs="Times New Roman"/>
                <w:color w:val="000000"/>
                <w:sz w:val="20"/>
                <w:szCs w:val="20"/>
              </w:rPr>
            </w:pPr>
            <w:r>
              <w:rPr>
                <w:rFonts w:ascii="Times New Roman" w:hAnsi="Times New Roman" w:cs="Times New Roman"/>
                <w:color w:val="000000"/>
                <w:sz w:val="20"/>
                <w:szCs w:val="20"/>
                <w:lang w:val="ro-MD"/>
              </w:rPr>
              <w:lastRenderedPageBreak/>
              <w:t>-</w:t>
            </w:r>
            <w:r w:rsidR="00C22DE1" w:rsidRPr="003836D9">
              <w:rPr>
                <w:rFonts w:ascii="Times New Roman" w:hAnsi="Times New Roman" w:cs="Times New Roman"/>
                <w:color w:val="000000"/>
                <w:sz w:val="20"/>
                <w:szCs w:val="20"/>
                <w:lang w:val="ro-MD"/>
              </w:rPr>
              <w:t xml:space="preserve"> În 2026, investițiile anuale în politici active ale pieței muncii </w:t>
            </w:r>
            <w:r>
              <w:rPr>
                <w:rFonts w:ascii="Times New Roman" w:hAnsi="Times New Roman" w:cs="Times New Roman"/>
                <w:color w:val="000000"/>
                <w:sz w:val="20"/>
                <w:szCs w:val="20"/>
                <w:lang w:val="ro-MD"/>
              </w:rPr>
              <w:t>au crescut</w:t>
            </w:r>
            <w:r w:rsidR="00576725">
              <w:rPr>
                <w:rFonts w:ascii="Times New Roman" w:hAnsi="Times New Roman" w:cs="Times New Roman"/>
                <w:color w:val="000000"/>
                <w:sz w:val="20"/>
                <w:szCs w:val="20"/>
                <w:lang w:val="ro-MD"/>
              </w:rPr>
              <w:t xml:space="preserve"> cu </w:t>
            </w:r>
            <w:r w:rsidR="00AC2FE4">
              <w:rPr>
                <w:rFonts w:ascii="Times New Roman" w:hAnsi="Times New Roman" w:cs="Times New Roman"/>
                <w:color w:val="000000"/>
                <w:sz w:val="20"/>
                <w:szCs w:val="20"/>
                <w:lang w:val="ro-MD"/>
              </w:rPr>
              <w:t>70</w:t>
            </w:r>
            <w:r w:rsidR="00576725">
              <w:rPr>
                <w:rFonts w:ascii="Times New Roman" w:hAnsi="Times New Roman" w:cs="Times New Roman"/>
                <w:color w:val="000000"/>
                <w:sz w:val="20"/>
                <w:szCs w:val="20"/>
                <w:lang w:val="ro-MD"/>
              </w:rPr>
              <w:t>%</w:t>
            </w:r>
            <w:r w:rsidR="00095E13">
              <w:rPr>
                <w:rFonts w:ascii="Times New Roman" w:hAnsi="Times New Roman" w:cs="Times New Roman"/>
                <w:color w:val="000000"/>
                <w:sz w:val="20"/>
                <w:szCs w:val="20"/>
                <w:lang w:val="ro-MD"/>
              </w:rPr>
              <w:t>.</w:t>
            </w:r>
            <w:r w:rsidR="00576725">
              <w:rPr>
                <w:rFonts w:ascii="Times New Roman" w:hAnsi="Times New Roman" w:cs="Times New Roman"/>
                <w:color w:val="000000"/>
                <w:sz w:val="20"/>
                <w:szCs w:val="20"/>
                <w:lang w:val="ro-MD"/>
              </w:rPr>
              <w:t xml:space="preserve"> </w:t>
            </w:r>
          </w:p>
        </w:tc>
        <w:tc>
          <w:tcPr>
            <w:tcW w:w="4394" w:type="dxa"/>
          </w:tcPr>
          <w:p w14:paraId="071943E0" w14:textId="23CD7C6B" w:rsidR="003E5204" w:rsidRPr="003836D9" w:rsidRDefault="003E5204" w:rsidP="003E5204">
            <w:pPr>
              <w:pStyle w:val="ListParagraph"/>
              <w:shd w:val="clear" w:color="auto" w:fill="FFFFFF" w:themeFill="background1"/>
              <w:ind w:left="0"/>
              <w:contextualSpacing w:val="0"/>
              <w:jc w:val="both"/>
              <w:rPr>
                <w:rFonts w:ascii="Times New Roman" w:eastAsia="Calibri" w:hAnsi="Times New Roman" w:cs="Times New Roman"/>
                <w:iCs/>
                <w:sz w:val="20"/>
                <w:szCs w:val="20"/>
                <w:lang w:val="ro-MD"/>
              </w:rPr>
            </w:pPr>
            <w:r w:rsidRPr="003836D9">
              <w:rPr>
                <w:rFonts w:ascii="Times New Roman" w:eastAsia="Calibri" w:hAnsi="Times New Roman" w:cs="Times New Roman"/>
                <w:iCs/>
                <w:sz w:val="20"/>
                <w:szCs w:val="20"/>
                <w:lang w:val="ro-MD"/>
              </w:rPr>
              <w:lastRenderedPageBreak/>
              <w:t>Raportul dintre personal</w:t>
            </w:r>
            <w:r w:rsidR="00123004" w:rsidRPr="003836D9">
              <w:rPr>
                <w:rFonts w:ascii="Times New Roman" w:eastAsia="Calibri" w:hAnsi="Times New Roman" w:cs="Times New Roman"/>
                <w:iCs/>
                <w:sz w:val="20"/>
                <w:szCs w:val="20"/>
                <w:lang w:val="ro-MD"/>
              </w:rPr>
              <w:t xml:space="preserve">ul Agenției Naționale pentru Ocuparea Forței de Muncă </w:t>
            </w:r>
            <w:r w:rsidRPr="003836D9">
              <w:rPr>
                <w:rFonts w:ascii="Times New Roman" w:eastAsia="Calibri" w:hAnsi="Times New Roman" w:cs="Times New Roman"/>
                <w:iCs/>
                <w:sz w:val="20"/>
                <w:szCs w:val="20"/>
                <w:lang w:val="ro-MD"/>
              </w:rPr>
              <w:t>și șomeri a fost de 1:339 (de trei ori mai mic decât standardul internațional pentru furnizarea ser</w:t>
            </w:r>
            <w:r w:rsidR="00123004" w:rsidRPr="003836D9">
              <w:rPr>
                <w:rFonts w:ascii="Times New Roman" w:eastAsia="Calibri" w:hAnsi="Times New Roman" w:cs="Times New Roman"/>
                <w:iCs/>
                <w:sz w:val="20"/>
                <w:szCs w:val="20"/>
                <w:lang w:val="ro-MD"/>
              </w:rPr>
              <w:t>viciilor de ocupare calitative);</w:t>
            </w:r>
          </w:p>
          <w:p w14:paraId="62A6E6EB" w14:textId="77777777" w:rsidR="006D713B" w:rsidRPr="003836D9" w:rsidRDefault="006D713B" w:rsidP="003E5204">
            <w:pPr>
              <w:pStyle w:val="ListParagraph"/>
              <w:shd w:val="clear" w:color="auto" w:fill="FFFFFF" w:themeFill="background1"/>
              <w:ind w:left="0"/>
              <w:contextualSpacing w:val="0"/>
              <w:jc w:val="both"/>
              <w:rPr>
                <w:rFonts w:ascii="Times New Roman" w:eastAsia="Calibri" w:hAnsi="Times New Roman" w:cs="Times New Roman"/>
                <w:iCs/>
                <w:sz w:val="20"/>
                <w:szCs w:val="20"/>
                <w:lang w:val="ro-MD"/>
              </w:rPr>
            </w:pPr>
          </w:p>
          <w:p w14:paraId="76B006A7" w14:textId="0EB3C73C" w:rsidR="006D713B" w:rsidRPr="003836D9" w:rsidRDefault="006D713B" w:rsidP="006D713B">
            <w:pPr>
              <w:pStyle w:val="ListParagraph"/>
              <w:shd w:val="clear" w:color="auto" w:fill="FFFFFF" w:themeFill="background1"/>
              <w:ind w:left="0"/>
              <w:contextualSpacing w:val="0"/>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0"/>
                <w:szCs w:val="20"/>
                <w:lang w:val="ro-MD"/>
              </w:rPr>
              <w:t>În 202</w:t>
            </w:r>
            <w:r w:rsidR="0025104D">
              <w:rPr>
                <w:rFonts w:ascii="Times New Roman" w:hAnsi="Times New Roman" w:cs="Times New Roman"/>
                <w:color w:val="000000"/>
                <w:sz w:val="20"/>
                <w:szCs w:val="20"/>
                <w:lang w:val="ro-MD"/>
              </w:rPr>
              <w:t>1</w:t>
            </w:r>
            <w:r w:rsidRPr="003836D9">
              <w:rPr>
                <w:rFonts w:ascii="Times New Roman" w:hAnsi="Times New Roman" w:cs="Times New Roman"/>
                <w:color w:val="000000"/>
                <w:sz w:val="20"/>
                <w:szCs w:val="20"/>
                <w:lang w:val="ro-MD"/>
              </w:rPr>
              <w:t xml:space="preserve">, ANOFM a oferit servicii de ghidare în carieră pentru </w:t>
            </w:r>
            <w:r w:rsidR="00EE2AF1" w:rsidRPr="003836D9">
              <w:rPr>
                <w:rFonts w:ascii="Times New Roman" w:hAnsi="Times New Roman" w:cs="Times New Roman"/>
                <w:color w:val="000000"/>
                <w:sz w:val="20"/>
                <w:szCs w:val="20"/>
                <w:lang w:val="ro-MD"/>
              </w:rPr>
              <w:t>2</w:t>
            </w:r>
            <w:r w:rsidRPr="003836D9">
              <w:rPr>
                <w:rFonts w:ascii="Times New Roman" w:hAnsi="Times New Roman" w:cs="Times New Roman"/>
                <w:color w:val="000000"/>
                <w:sz w:val="20"/>
                <w:szCs w:val="20"/>
                <w:lang w:val="ro-MD"/>
              </w:rPr>
              <w:t>1</w:t>
            </w:r>
            <w:r w:rsidR="0088595A">
              <w:rPr>
                <w:rFonts w:ascii="Times New Roman" w:hAnsi="Times New Roman" w:cs="Times New Roman"/>
                <w:color w:val="000000"/>
                <w:sz w:val="20"/>
                <w:szCs w:val="20"/>
                <w:lang w:val="ro-MD"/>
              </w:rPr>
              <w:t>%</w:t>
            </w:r>
            <w:r w:rsidRPr="003836D9">
              <w:rPr>
                <w:rFonts w:ascii="Times New Roman" w:hAnsi="Times New Roman" w:cs="Times New Roman"/>
                <w:color w:val="000000"/>
                <w:sz w:val="20"/>
                <w:szCs w:val="20"/>
                <w:lang w:val="ro-MD"/>
              </w:rPr>
              <w:t xml:space="preserve"> din numărul persoanelor înregistrate, în timp ce 3</w:t>
            </w:r>
            <w:r w:rsidR="00EE2AF1" w:rsidRPr="003836D9">
              <w:rPr>
                <w:rFonts w:ascii="Times New Roman" w:hAnsi="Times New Roman" w:cs="Times New Roman"/>
                <w:color w:val="000000"/>
                <w:sz w:val="20"/>
                <w:szCs w:val="20"/>
                <w:lang w:val="ro-MD"/>
              </w:rPr>
              <w:t>3</w:t>
            </w:r>
            <w:r w:rsidRPr="003836D9">
              <w:rPr>
                <w:rFonts w:ascii="Times New Roman" w:hAnsi="Times New Roman" w:cs="Times New Roman"/>
                <w:color w:val="000000"/>
                <w:sz w:val="20"/>
                <w:szCs w:val="20"/>
                <w:lang w:val="ro-MD"/>
              </w:rPr>
              <w:t>,</w:t>
            </w:r>
            <w:r w:rsidR="00EE2AF1" w:rsidRPr="003836D9">
              <w:rPr>
                <w:rFonts w:ascii="Times New Roman" w:hAnsi="Times New Roman" w:cs="Times New Roman"/>
                <w:color w:val="000000"/>
                <w:sz w:val="20"/>
                <w:szCs w:val="20"/>
                <w:lang w:val="ro-MD"/>
              </w:rPr>
              <w:t>8</w:t>
            </w:r>
            <w:r w:rsidRPr="003836D9">
              <w:rPr>
                <w:rFonts w:ascii="Times New Roman" w:hAnsi="Times New Roman" w:cs="Times New Roman"/>
                <w:color w:val="000000"/>
                <w:sz w:val="20"/>
                <w:szCs w:val="20"/>
                <w:lang w:val="ro-MD"/>
              </w:rPr>
              <w:t>% au beneficiat de servicii de intermediere</w:t>
            </w:r>
            <w:r w:rsidRPr="003836D9">
              <w:rPr>
                <w:rFonts w:ascii="Times New Roman" w:hAnsi="Times New Roman" w:cs="Times New Roman"/>
                <w:color w:val="000000"/>
                <w:sz w:val="24"/>
                <w:szCs w:val="24"/>
                <w:lang w:val="ro-MD"/>
              </w:rPr>
              <w:t>;</w:t>
            </w:r>
          </w:p>
          <w:p w14:paraId="59FC28E1" w14:textId="77777777" w:rsidR="006D713B" w:rsidRPr="003836D9" w:rsidRDefault="006D713B" w:rsidP="006D713B">
            <w:pPr>
              <w:pStyle w:val="ListParagraph"/>
              <w:shd w:val="clear" w:color="auto" w:fill="FFFFFF" w:themeFill="background1"/>
              <w:ind w:left="0"/>
              <w:contextualSpacing w:val="0"/>
              <w:jc w:val="both"/>
              <w:rPr>
                <w:rFonts w:ascii="Times New Roman" w:hAnsi="Times New Roman" w:cs="Times New Roman"/>
                <w:color w:val="000000"/>
                <w:sz w:val="24"/>
                <w:szCs w:val="24"/>
                <w:lang w:val="ro-MD"/>
              </w:rPr>
            </w:pPr>
          </w:p>
          <w:p w14:paraId="3104A73A" w14:textId="744E13E9" w:rsidR="006A683D" w:rsidRDefault="006D713B" w:rsidP="003E5204">
            <w:pPr>
              <w:pStyle w:val="ListParagraph"/>
              <w:shd w:val="clear" w:color="auto" w:fill="FFFFFF" w:themeFill="background1"/>
              <w:ind w:left="0"/>
              <w:contextualSpacing w:val="0"/>
              <w:jc w:val="both"/>
              <w:rPr>
                <w:rFonts w:ascii="Times New Roman" w:eastAsia="Calibri" w:hAnsi="Times New Roman" w:cs="Times New Roman"/>
                <w:iCs/>
                <w:sz w:val="20"/>
                <w:szCs w:val="20"/>
                <w:lang w:val="ro-MD"/>
              </w:rPr>
            </w:pPr>
            <w:r w:rsidRPr="003836D9">
              <w:rPr>
                <w:rFonts w:ascii="Times New Roman" w:eastAsia="Calibri" w:hAnsi="Times New Roman" w:cs="Times New Roman"/>
                <w:iCs/>
                <w:sz w:val="20"/>
                <w:szCs w:val="20"/>
                <w:lang w:val="ro-MD"/>
              </w:rPr>
              <w:t>În 202</w:t>
            </w:r>
            <w:r w:rsidR="00EE2AF1" w:rsidRPr="003836D9">
              <w:rPr>
                <w:rFonts w:ascii="Times New Roman" w:eastAsia="Calibri" w:hAnsi="Times New Roman" w:cs="Times New Roman"/>
                <w:iCs/>
                <w:sz w:val="20"/>
                <w:szCs w:val="20"/>
                <w:lang w:val="ro-MD"/>
              </w:rPr>
              <w:t>1</w:t>
            </w:r>
            <w:r w:rsidRPr="003836D9">
              <w:rPr>
                <w:rFonts w:ascii="Times New Roman" w:eastAsia="Calibri" w:hAnsi="Times New Roman" w:cs="Times New Roman"/>
                <w:iCs/>
                <w:sz w:val="20"/>
                <w:szCs w:val="20"/>
                <w:lang w:val="ro-MD"/>
              </w:rPr>
              <w:t xml:space="preserve">, mai puțin de 900 de persoane au avut acces la programe active ale pieței muncii, egal cu </w:t>
            </w:r>
            <w:r w:rsidRPr="003836D9">
              <w:rPr>
                <w:rFonts w:ascii="Times New Roman" w:eastAsia="Calibri" w:hAnsi="Times New Roman" w:cs="Times New Roman"/>
                <w:iCs/>
                <w:sz w:val="20"/>
                <w:szCs w:val="20"/>
                <w:lang w:val="ro-MD"/>
              </w:rPr>
              <w:lastRenderedPageBreak/>
              <w:t>1,5</w:t>
            </w:r>
            <w:r w:rsidR="0088595A">
              <w:rPr>
                <w:rFonts w:ascii="Times New Roman" w:eastAsia="Calibri" w:hAnsi="Times New Roman" w:cs="Times New Roman"/>
                <w:iCs/>
                <w:sz w:val="20"/>
                <w:szCs w:val="20"/>
                <w:lang w:val="ro-MD"/>
              </w:rPr>
              <w:t>%</w:t>
            </w:r>
            <w:r w:rsidRPr="003836D9">
              <w:rPr>
                <w:rFonts w:ascii="Times New Roman" w:eastAsia="Calibri" w:hAnsi="Times New Roman" w:cs="Times New Roman"/>
                <w:iCs/>
                <w:sz w:val="20"/>
                <w:szCs w:val="20"/>
                <w:lang w:val="ro-MD"/>
              </w:rPr>
              <w:t xml:space="preserve"> din numărul de persoane înregistrate;</w:t>
            </w:r>
          </w:p>
          <w:p w14:paraId="725EC747" w14:textId="77777777" w:rsidR="00A14A18" w:rsidRDefault="00A14A18" w:rsidP="003E5204">
            <w:pPr>
              <w:pStyle w:val="ListParagraph"/>
              <w:shd w:val="clear" w:color="auto" w:fill="FFFFFF" w:themeFill="background1"/>
              <w:ind w:left="0"/>
              <w:contextualSpacing w:val="0"/>
              <w:jc w:val="both"/>
              <w:rPr>
                <w:rFonts w:ascii="Times New Roman" w:eastAsia="Calibri" w:hAnsi="Times New Roman" w:cs="Times New Roman"/>
                <w:iCs/>
                <w:sz w:val="20"/>
                <w:szCs w:val="20"/>
                <w:lang w:val="ro-MD"/>
              </w:rPr>
            </w:pPr>
          </w:p>
          <w:p w14:paraId="789BF78E" w14:textId="2BC5217B" w:rsidR="00C22DE1" w:rsidRPr="00C22DE1" w:rsidRDefault="00C22DE1" w:rsidP="006A683D">
            <w:pPr>
              <w:pStyle w:val="ListParagraph"/>
              <w:shd w:val="clear" w:color="auto" w:fill="FFFFFF" w:themeFill="background1"/>
              <w:ind w:left="0"/>
              <w:contextualSpacing w:val="0"/>
              <w:jc w:val="both"/>
              <w:rPr>
                <w:rFonts w:ascii="Times New Roman" w:hAnsi="Times New Roman" w:cs="Times New Roman"/>
                <w:color w:val="000000"/>
                <w:sz w:val="20"/>
                <w:szCs w:val="20"/>
                <w:lang w:val="ro-MD"/>
              </w:rPr>
            </w:pPr>
            <w:r w:rsidRPr="003836D9">
              <w:rPr>
                <w:rFonts w:ascii="Times New Roman" w:hAnsi="Times New Roman" w:cs="Times New Roman"/>
                <w:color w:val="000000"/>
                <w:sz w:val="20"/>
                <w:szCs w:val="20"/>
                <w:lang w:val="ro-MD"/>
              </w:rPr>
              <w:t>În 2020, Guvernul a investit doar 0,03</w:t>
            </w:r>
            <w:r>
              <w:rPr>
                <w:rFonts w:ascii="Times New Roman" w:hAnsi="Times New Roman" w:cs="Times New Roman"/>
                <w:color w:val="000000"/>
                <w:sz w:val="20"/>
                <w:szCs w:val="20"/>
                <w:lang w:val="ro-MD"/>
              </w:rPr>
              <w:t>%</w:t>
            </w:r>
            <w:r w:rsidRPr="003836D9">
              <w:rPr>
                <w:rFonts w:ascii="Times New Roman" w:hAnsi="Times New Roman" w:cs="Times New Roman"/>
                <w:color w:val="000000"/>
                <w:sz w:val="20"/>
                <w:szCs w:val="20"/>
                <w:lang w:val="ro-MD"/>
              </w:rPr>
              <w:t xml:space="preserve"> din PIB în politicile active ale pieței muncii, de cinci ori mai puțin decât țările Europei de Sud</w:t>
            </w:r>
            <w:r w:rsidR="00A14A18">
              <w:rPr>
                <w:rFonts w:ascii="Times New Roman" w:hAnsi="Times New Roman" w:cs="Times New Roman"/>
                <w:color w:val="000000"/>
                <w:sz w:val="20"/>
                <w:szCs w:val="20"/>
                <w:lang w:val="ro-MD"/>
              </w:rPr>
              <w:t>-</w:t>
            </w:r>
            <w:r w:rsidRPr="003836D9">
              <w:rPr>
                <w:rFonts w:ascii="Times New Roman" w:hAnsi="Times New Roman" w:cs="Times New Roman"/>
                <w:color w:val="000000"/>
                <w:sz w:val="20"/>
                <w:szCs w:val="20"/>
                <w:lang w:val="ro-MD"/>
              </w:rPr>
              <w:t>Est</w:t>
            </w:r>
            <w:r w:rsidR="00576725">
              <w:rPr>
                <w:rFonts w:ascii="Times New Roman" w:hAnsi="Times New Roman" w:cs="Times New Roman"/>
                <w:sz w:val="20"/>
                <w:szCs w:val="20"/>
                <w:lang w:val="ro-MD" w:eastAsia="en-GB"/>
              </w:rPr>
              <w:t>.</w:t>
            </w:r>
          </w:p>
        </w:tc>
      </w:tr>
    </w:tbl>
    <w:p w14:paraId="19697153" w14:textId="77777777" w:rsidR="009D5ECC" w:rsidRPr="003836D9" w:rsidRDefault="009D5ECC" w:rsidP="0055585E">
      <w:pPr>
        <w:pStyle w:val="ListParagraph"/>
        <w:ind w:left="0"/>
        <w:jc w:val="both"/>
        <w:rPr>
          <w:rFonts w:ascii="Times New Roman" w:hAnsi="Times New Roman" w:cs="Times New Roman"/>
          <w:color w:val="000000"/>
          <w:sz w:val="24"/>
          <w:szCs w:val="24"/>
          <w:lang w:val="ro-MD"/>
        </w:rPr>
      </w:pPr>
    </w:p>
    <w:p w14:paraId="1E0F644C" w14:textId="7826928F" w:rsidR="008371AA" w:rsidRPr="003836D9" w:rsidRDefault="0022504A" w:rsidP="0022504A">
      <w:pPr>
        <w:pStyle w:val="Heading2"/>
        <w:spacing w:before="0" w:after="160" w:line="259" w:lineRule="auto"/>
        <w:ind w:left="1080"/>
        <w:jc w:val="center"/>
        <w:rPr>
          <w:rFonts w:ascii="Times New Roman" w:hAnsi="Times New Roman"/>
          <w:color w:val="auto"/>
          <w:sz w:val="24"/>
          <w:szCs w:val="24"/>
          <w:lang w:val="ro-MD"/>
        </w:rPr>
      </w:pPr>
      <w:r w:rsidRPr="003836D9">
        <w:rPr>
          <w:rFonts w:ascii="Times New Roman" w:hAnsi="Times New Roman"/>
          <w:color w:val="auto"/>
          <w:sz w:val="24"/>
          <w:szCs w:val="24"/>
          <w:lang w:val="ro-MD"/>
        </w:rPr>
        <w:t>Capitolul V. Costuri de implementare</w:t>
      </w:r>
    </w:p>
    <w:p w14:paraId="4F877DF7" w14:textId="6B034EB4" w:rsidR="008371AA" w:rsidRPr="003836D9" w:rsidRDefault="008371AA" w:rsidP="001B02B7">
      <w:pPr>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 xml:space="preserve">Resursele financiare estimate a fi necesare pentru implementarea </w:t>
      </w:r>
      <w:r w:rsidR="00B227A0" w:rsidRPr="003836D9">
        <w:rPr>
          <w:rFonts w:ascii="Times New Roman" w:hAnsi="Times New Roman" w:cs="Times New Roman"/>
          <w:color w:val="000000"/>
          <w:sz w:val="24"/>
          <w:szCs w:val="24"/>
          <w:lang w:val="ro-MD"/>
        </w:rPr>
        <w:t>prezentului Program constituie</w:t>
      </w:r>
      <w:r w:rsidR="00577F4C" w:rsidRPr="003836D9">
        <w:rPr>
          <w:rFonts w:ascii="Times New Roman" w:hAnsi="Times New Roman" w:cs="Times New Roman"/>
          <w:color w:val="000000"/>
          <w:sz w:val="24"/>
          <w:szCs w:val="24"/>
          <w:lang w:val="ro-MD"/>
        </w:rPr>
        <w:t xml:space="preserve"> </w:t>
      </w:r>
      <w:r w:rsidR="00DE549C">
        <w:rPr>
          <w:rFonts w:ascii="Times New Roman" w:hAnsi="Times New Roman" w:cs="Times New Roman"/>
          <w:color w:val="000000"/>
          <w:sz w:val="24"/>
          <w:szCs w:val="24"/>
          <w:lang w:val="ro-MD"/>
        </w:rPr>
        <w:t>3</w:t>
      </w:r>
      <w:r w:rsidR="00576725">
        <w:rPr>
          <w:rFonts w:ascii="Times New Roman" w:hAnsi="Times New Roman" w:cs="Times New Roman"/>
          <w:color w:val="000000"/>
          <w:sz w:val="24"/>
          <w:szCs w:val="24"/>
          <w:lang w:val="ro-MD"/>
        </w:rPr>
        <w:t>.</w:t>
      </w:r>
      <w:r w:rsidR="00DE549C">
        <w:rPr>
          <w:rFonts w:ascii="Times New Roman" w:hAnsi="Times New Roman" w:cs="Times New Roman"/>
          <w:color w:val="000000"/>
          <w:sz w:val="24"/>
          <w:szCs w:val="24"/>
          <w:lang w:val="ro-MD"/>
        </w:rPr>
        <w:t>2</w:t>
      </w:r>
      <w:r w:rsidR="00E47B66">
        <w:rPr>
          <w:rFonts w:ascii="Times New Roman" w:hAnsi="Times New Roman" w:cs="Times New Roman"/>
          <w:color w:val="000000"/>
          <w:sz w:val="24"/>
          <w:szCs w:val="24"/>
          <w:lang w:val="ro-MD"/>
        </w:rPr>
        <w:t>3</w:t>
      </w:r>
      <w:r w:rsidR="007C3BE0">
        <w:rPr>
          <w:rFonts w:ascii="Times New Roman" w:hAnsi="Times New Roman" w:cs="Times New Roman"/>
          <w:color w:val="000000"/>
          <w:sz w:val="24"/>
          <w:szCs w:val="24"/>
          <w:lang w:val="ro-MD"/>
        </w:rPr>
        <w:t>8</w:t>
      </w:r>
      <w:r w:rsidR="00DE549C">
        <w:rPr>
          <w:rFonts w:ascii="Times New Roman" w:hAnsi="Times New Roman" w:cs="Times New Roman"/>
          <w:color w:val="000000"/>
          <w:sz w:val="24"/>
          <w:szCs w:val="24"/>
          <w:lang w:val="ro-MD"/>
        </w:rPr>
        <w:t>,</w:t>
      </w:r>
      <w:r w:rsidR="003C2B29">
        <w:rPr>
          <w:rFonts w:ascii="Times New Roman" w:hAnsi="Times New Roman" w:cs="Times New Roman"/>
          <w:color w:val="000000"/>
          <w:sz w:val="24"/>
          <w:szCs w:val="24"/>
          <w:lang w:val="ro-MD"/>
        </w:rPr>
        <w:t>1</w:t>
      </w:r>
      <w:r w:rsidR="0011008A" w:rsidRPr="00967F33">
        <w:rPr>
          <w:rFonts w:ascii="Times New Roman" w:hAnsi="Times New Roman" w:cs="Times New Roman"/>
          <w:color w:val="000000"/>
          <w:sz w:val="24"/>
          <w:szCs w:val="24"/>
          <w:lang w:val="ro-MD"/>
        </w:rPr>
        <w:t xml:space="preserve"> mi</w:t>
      </w:r>
      <w:r w:rsidR="0008611A" w:rsidRPr="00967F33">
        <w:rPr>
          <w:rFonts w:ascii="Times New Roman" w:hAnsi="Times New Roman" w:cs="Times New Roman"/>
          <w:color w:val="000000"/>
          <w:sz w:val="24"/>
          <w:szCs w:val="24"/>
          <w:lang w:val="ro-MD"/>
        </w:rPr>
        <w:t>l.</w:t>
      </w:r>
      <w:r w:rsidR="0011008A" w:rsidRPr="00967F33">
        <w:rPr>
          <w:rFonts w:ascii="Times New Roman" w:hAnsi="Times New Roman" w:cs="Times New Roman"/>
          <w:color w:val="000000"/>
          <w:sz w:val="24"/>
          <w:szCs w:val="24"/>
          <w:lang w:val="ro-MD"/>
        </w:rPr>
        <w:t xml:space="preserve"> lei</w:t>
      </w:r>
      <w:r w:rsidRPr="00967F33">
        <w:rPr>
          <w:rFonts w:ascii="Times New Roman" w:hAnsi="Times New Roman" w:cs="Times New Roman"/>
          <w:color w:val="000000"/>
          <w:sz w:val="24"/>
          <w:szCs w:val="24"/>
          <w:lang w:val="ro-MD"/>
        </w:rPr>
        <w:t>.</w:t>
      </w:r>
      <w:r w:rsidR="002F1E34" w:rsidRPr="003836D9">
        <w:rPr>
          <w:rFonts w:ascii="Times New Roman" w:hAnsi="Times New Roman" w:cs="Times New Roman"/>
          <w:color w:val="000000"/>
          <w:sz w:val="24"/>
          <w:szCs w:val="24"/>
          <w:lang w:val="ro-MD"/>
        </w:rPr>
        <w:t xml:space="preserve"> Resursele financiare necesare vor fi acoperite din bugetul de stat și partenerii externi de dezvoltare, precum: Organizația Internațională a Muncii, Fondul Națiunilor Unite pentru Dezvoltare, Banca Mondială.</w:t>
      </w:r>
      <w:r w:rsidR="00974615" w:rsidRPr="003836D9">
        <w:rPr>
          <w:rFonts w:ascii="Times New Roman" w:hAnsi="Times New Roman" w:cs="Times New Roman"/>
          <w:color w:val="000000"/>
          <w:sz w:val="24"/>
          <w:szCs w:val="24"/>
          <w:lang w:val="ro-MD"/>
        </w:rPr>
        <w:t xml:space="preserve"> În CBTM 2023-2025 au fost planificate</w:t>
      </w:r>
      <w:r w:rsidR="0018412B" w:rsidRPr="003836D9">
        <w:rPr>
          <w:rFonts w:ascii="Times New Roman" w:hAnsi="Times New Roman" w:cs="Times New Roman"/>
          <w:color w:val="000000"/>
          <w:sz w:val="24"/>
          <w:szCs w:val="24"/>
          <w:lang w:val="ro-MD"/>
        </w:rPr>
        <w:t xml:space="preserve"> la programul 9008 </w:t>
      </w:r>
      <w:r w:rsidR="00974615" w:rsidRPr="003836D9">
        <w:rPr>
          <w:rFonts w:ascii="Times New Roman" w:hAnsi="Times New Roman" w:cs="Times New Roman"/>
          <w:color w:val="000000"/>
          <w:sz w:val="24"/>
          <w:szCs w:val="24"/>
          <w:lang w:val="ro-MD"/>
        </w:rPr>
        <w:t xml:space="preserve">mijloace financiare în volum de </w:t>
      </w:r>
      <w:r w:rsidR="002D5B08" w:rsidRPr="003836D9">
        <w:rPr>
          <w:rFonts w:ascii="Times New Roman" w:hAnsi="Times New Roman" w:cs="Times New Roman"/>
          <w:color w:val="000000"/>
          <w:sz w:val="24"/>
          <w:szCs w:val="24"/>
          <w:lang w:val="ro-MD"/>
        </w:rPr>
        <w:t>70</w:t>
      </w:r>
      <w:r w:rsidR="00DE549C">
        <w:rPr>
          <w:rFonts w:ascii="Times New Roman" w:hAnsi="Times New Roman" w:cs="Times New Roman"/>
          <w:color w:val="000000"/>
          <w:sz w:val="24"/>
          <w:szCs w:val="24"/>
          <w:lang w:val="ro-MD"/>
        </w:rPr>
        <w:t>,</w:t>
      </w:r>
      <w:r w:rsidR="002D5B08" w:rsidRPr="003836D9">
        <w:rPr>
          <w:rFonts w:ascii="Times New Roman" w:hAnsi="Times New Roman" w:cs="Times New Roman"/>
          <w:color w:val="000000"/>
          <w:sz w:val="24"/>
          <w:szCs w:val="24"/>
          <w:lang w:val="ro-MD"/>
        </w:rPr>
        <w:t>2 mi</w:t>
      </w:r>
      <w:r w:rsidR="00DE549C">
        <w:rPr>
          <w:rFonts w:ascii="Times New Roman" w:hAnsi="Times New Roman" w:cs="Times New Roman"/>
          <w:color w:val="000000"/>
          <w:sz w:val="24"/>
          <w:szCs w:val="24"/>
          <w:lang w:val="ro-MD"/>
        </w:rPr>
        <w:t>l</w:t>
      </w:r>
      <w:r w:rsidR="00576725">
        <w:rPr>
          <w:rFonts w:ascii="Times New Roman" w:hAnsi="Times New Roman" w:cs="Times New Roman"/>
          <w:color w:val="000000"/>
          <w:sz w:val="24"/>
          <w:szCs w:val="24"/>
          <w:lang w:val="ro-MD"/>
        </w:rPr>
        <w:t>.</w:t>
      </w:r>
      <w:r w:rsidR="002D5B08" w:rsidRPr="003836D9">
        <w:rPr>
          <w:rFonts w:ascii="Times New Roman" w:hAnsi="Times New Roman" w:cs="Times New Roman"/>
          <w:color w:val="000000"/>
          <w:sz w:val="24"/>
          <w:szCs w:val="24"/>
          <w:lang w:val="ro-MD"/>
        </w:rPr>
        <w:t xml:space="preserve"> lei pentru anul 2023, 78</w:t>
      </w:r>
      <w:r w:rsidR="00DE549C">
        <w:rPr>
          <w:rFonts w:ascii="Times New Roman" w:hAnsi="Times New Roman" w:cs="Times New Roman"/>
          <w:color w:val="000000"/>
          <w:sz w:val="24"/>
          <w:szCs w:val="24"/>
          <w:lang w:val="ro-MD"/>
        </w:rPr>
        <w:t>,1</w:t>
      </w:r>
      <w:r w:rsidR="002D5B08" w:rsidRPr="003836D9">
        <w:rPr>
          <w:rFonts w:ascii="Times New Roman" w:hAnsi="Times New Roman" w:cs="Times New Roman"/>
          <w:color w:val="000000"/>
          <w:sz w:val="24"/>
          <w:szCs w:val="24"/>
          <w:lang w:val="ro-MD"/>
        </w:rPr>
        <w:t xml:space="preserve"> mi</w:t>
      </w:r>
      <w:r w:rsidR="00DE549C">
        <w:rPr>
          <w:rFonts w:ascii="Times New Roman" w:hAnsi="Times New Roman" w:cs="Times New Roman"/>
          <w:color w:val="000000"/>
          <w:sz w:val="24"/>
          <w:szCs w:val="24"/>
          <w:lang w:val="ro-MD"/>
        </w:rPr>
        <w:t>l</w:t>
      </w:r>
      <w:r w:rsidR="00576725">
        <w:rPr>
          <w:rFonts w:ascii="Times New Roman" w:hAnsi="Times New Roman" w:cs="Times New Roman"/>
          <w:color w:val="000000"/>
          <w:sz w:val="24"/>
          <w:szCs w:val="24"/>
          <w:lang w:val="ro-MD"/>
        </w:rPr>
        <w:t>.</w:t>
      </w:r>
      <w:r w:rsidR="002D5B08" w:rsidRPr="003836D9">
        <w:rPr>
          <w:rFonts w:ascii="Times New Roman" w:hAnsi="Times New Roman" w:cs="Times New Roman"/>
          <w:color w:val="000000"/>
          <w:sz w:val="24"/>
          <w:szCs w:val="24"/>
          <w:lang w:val="ro-MD"/>
        </w:rPr>
        <w:t xml:space="preserve"> lei pentru anul 2024 și 86</w:t>
      </w:r>
      <w:r w:rsidR="00DE549C">
        <w:rPr>
          <w:rFonts w:ascii="Times New Roman" w:hAnsi="Times New Roman" w:cs="Times New Roman"/>
          <w:color w:val="000000"/>
          <w:sz w:val="24"/>
          <w:szCs w:val="24"/>
          <w:lang w:val="ro-MD"/>
        </w:rPr>
        <w:t>,1</w:t>
      </w:r>
      <w:r w:rsidR="002D5B08" w:rsidRPr="003836D9">
        <w:rPr>
          <w:rFonts w:ascii="Times New Roman" w:hAnsi="Times New Roman" w:cs="Times New Roman"/>
          <w:color w:val="000000"/>
          <w:sz w:val="24"/>
          <w:szCs w:val="24"/>
          <w:lang w:val="ro-MD"/>
        </w:rPr>
        <w:t xml:space="preserve"> mi</w:t>
      </w:r>
      <w:r w:rsidR="00DE549C">
        <w:rPr>
          <w:rFonts w:ascii="Times New Roman" w:hAnsi="Times New Roman" w:cs="Times New Roman"/>
          <w:color w:val="000000"/>
          <w:sz w:val="24"/>
          <w:szCs w:val="24"/>
          <w:lang w:val="ro-MD"/>
        </w:rPr>
        <w:t>l</w:t>
      </w:r>
      <w:r w:rsidR="00576725">
        <w:rPr>
          <w:rFonts w:ascii="Times New Roman" w:hAnsi="Times New Roman" w:cs="Times New Roman"/>
          <w:color w:val="000000"/>
          <w:sz w:val="24"/>
          <w:szCs w:val="24"/>
          <w:lang w:val="ro-MD"/>
        </w:rPr>
        <w:t>.</w:t>
      </w:r>
      <w:r w:rsidR="002D5B08" w:rsidRPr="003836D9">
        <w:rPr>
          <w:rFonts w:ascii="Times New Roman" w:hAnsi="Times New Roman" w:cs="Times New Roman"/>
          <w:color w:val="000000"/>
          <w:sz w:val="24"/>
          <w:szCs w:val="24"/>
          <w:lang w:val="ro-MD"/>
        </w:rPr>
        <w:t xml:space="preserve"> lei pentru 2025. La programul 5003 au fost planificate </w:t>
      </w:r>
      <w:r w:rsidR="001023CA" w:rsidRPr="003836D9">
        <w:rPr>
          <w:rFonts w:ascii="Times New Roman" w:hAnsi="Times New Roman" w:cs="Times New Roman"/>
          <w:color w:val="000000"/>
          <w:sz w:val="24"/>
          <w:szCs w:val="24"/>
          <w:lang w:val="ro-MD"/>
        </w:rPr>
        <w:t>mijloace financiare în volum de circa 70 mil</w:t>
      </w:r>
      <w:r w:rsidR="007D4BB9">
        <w:rPr>
          <w:rFonts w:ascii="Times New Roman" w:hAnsi="Times New Roman" w:cs="Times New Roman"/>
          <w:color w:val="000000"/>
          <w:sz w:val="24"/>
          <w:szCs w:val="24"/>
          <w:lang w:val="ro-MD"/>
        </w:rPr>
        <w:t>.</w:t>
      </w:r>
      <w:r w:rsidR="001023CA" w:rsidRPr="003836D9">
        <w:rPr>
          <w:rFonts w:ascii="Times New Roman" w:hAnsi="Times New Roman" w:cs="Times New Roman"/>
          <w:color w:val="000000"/>
          <w:sz w:val="24"/>
          <w:szCs w:val="24"/>
          <w:lang w:val="ro-MD"/>
        </w:rPr>
        <w:t xml:space="preserve"> lei, inclusiv la politici noi</w:t>
      </w:r>
      <w:r w:rsidR="00962000" w:rsidRPr="003836D9">
        <w:rPr>
          <w:rFonts w:ascii="Times New Roman" w:hAnsi="Times New Roman" w:cs="Times New Roman"/>
          <w:color w:val="000000"/>
          <w:sz w:val="24"/>
          <w:szCs w:val="24"/>
          <w:lang w:val="ro-MD"/>
        </w:rPr>
        <w:t>, circa 30 mil</w:t>
      </w:r>
      <w:r w:rsidR="00F57E74">
        <w:rPr>
          <w:rFonts w:ascii="Times New Roman" w:hAnsi="Times New Roman" w:cs="Times New Roman"/>
          <w:color w:val="000000"/>
          <w:sz w:val="24"/>
          <w:szCs w:val="24"/>
          <w:lang w:val="ro-MD"/>
        </w:rPr>
        <w:t>.</w:t>
      </w:r>
      <w:r w:rsidR="00962000" w:rsidRPr="003836D9">
        <w:rPr>
          <w:rFonts w:ascii="Times New Roman" w:hAnsi="Times New Roman" w:cs="Times New Roman"/>
          <w:color w:val="000000"/>
          <w:sz w:val="24"/>
          <w:szCs w:val="24"/>
          <w:lang w:val="ro-MD"/>
        </w:rPr>
        <w:t xml:space="preserve"> lei, planificate în sume egale pentru fiecare an separat.</w:t>
      </w:r>
    </w:p>
    <w:p w14:paraId="552F51EB" w14:textId="4D46AC97" w:rsidR="00B85371" w:rsidRPr="003836D9" w:rsidRDefault="00B85371" w:rsidP="005F2AA2">
      <w:pPr>
        <w:pStyle w:val="Heading2"/>
        <w:numPr>
          <w:ilvl w:val="0"/>
          <w:numId w:val="50"/>
        </w:numPr>
        <w:spacing w:before="0" w:after="160" w:line="259" w:lineRule="auto"/>
        <w:ind w:left="720"/>
        <w:jc w:val="center"/>
        <w:rPr>
          <w:rFonts w:ascii="Times New Roman" w:hAnsi="Times New Roman"/>
          <w:color w:val="auto"/>
          <w:sz w:val="24"/>
          <w:szCs w:val="24"/>
          <w:lang w:val="ro-MD"/>
        </w:rPr>
      </w:pPr>
      <w:bookmarkStart w:id="144" w:name="_Toc72745862"/>
      <w:r w:rsidRPr="003836D9">
        <w:rPr>
          <w:rFonts w:ascii="Times New Roman" w:hAnsi="Times New Roman"/>
          <w:color w:val="auto"/>
          <w:sz w:val="24"/>
          <w:szCs w:val="24"/>
          <w:lang w:val="ro-MD"/>
        </w:rPr>
        <w:t>Riscuri de implem</w:t>
      </w:r>
      <w:r w:rsidR="00D76D77" w:rsidRPr="003836D9">
        <w:rPr>
          <w:rFonts w:ascii="Times New Roman" w:hAnsi="Times New Roman"/>
          <w:color w:val="auto"/>
          <w:sz w:val="24"/>
          <w:szCs w:val="24"/>
          <w:lang w:val="ro-MD"/>
        </w:rPr>
        <w:t>e</w:t>
      </w:r>
      <w:r w:rsidRPr="003836D9">
        <w:rPr>
          <w:rFonts w:ascii="Times New Roman" w:hAnsi="Times New Roman"/>
          <w:color w:val="auto"/>
          <w:sz w:val="24"/>
          <w:szCs w:val="24"/>
          <w:lang w:val="ro-MD"/>
        </w:rPr>
        <w:t>ntare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1683"/>
        <w:gridCol w:w="4989"/>
      </w:tblGrid>
      <w:tr w:rsidR="003E4D88" w:rsidRPr="003836D9" w14:paraId="73455249" w14:textId="77777777" w:rsidTr="009F0852">
        <w:tc>
          <w:tcPr>
            <w:tcW w:w="3359" w:type="dxa"/>
          </w:tcPr>
          <w:p w14:paraId="681A2B67" w14:textId="77777777" w:rsidR="003E4D88" w:rsidRPr="003836D9" w:rsidRDefault="003E4D88" w:rsidP="009F0852">
            <w:pPr>
              <w:spacing w:after="0" w:line="276" w:lineRule="auto"/>
              <w:jc w:val="center"/>
              <w:rPr>
                <w:rFonts w:ascii="Times New Roman" w:hAnsi="Times New Roman" w:cs="Times New Roman"/>
                <w:b/>
                <w:bCs/>
                <w:sz w:val="18"/>
                <w:szCs w:val="18"/>
                <w:lang w:val="ro-MD"/>
              </w:rPr>
            </w:pPr>
            <w:r w:rsidRPr="003836D9">
              <w:rPr>
                <w:rFonts w:ascii="Times New Roman" w:hAnsi="Times New Roman" w:cs="Times New Roman"/>
                <w:b/>
                <w:bCs/>
                <w:sz w:val="18"/>
                <w:szCs w:val="18"/>
                <w:lang w:val="ro-MD"/>
              </w:rPr>
              <w:t>Identificarea și descrierea riscului</w:t>
            </w:r>
          </w:p>
        </w:tc>
        <w:tc>
          <w:tcPr>
            <w:tcW w:w="1683" w:type="dxa"/>
            <w:vAlign w:val="center"/>
          </w:tcPr>
          <w:p w14:paraId="4F000ACC" w14:textId="77777777" w:rsidR="003E4D88" w:rsidRPr="003836D9" w:rsidRDefault="003E4D88" w:rsidP="009F0852">
            <w:pPr>
              <w:spacing w:after="0" w:line="276" w:lineRule="auto"/>
              <w:jc w:val="center"/>
              <w:rPr>
                <w:rFonts w:ascii="Times New Roman" w:hAnsi="Times New Roman" w:cs="Times New Roman"/>
                <w:b/>
                <w:bCs/>
                <w:sz w:val="18"/>
                <w:szCs w:val="18"/>
                <w:lang w:val="ro-MD"/>
              </w:rPr>
            </w:pPr>
            <w:r w:rsidRPr="003836D9">
              <w:rPr>
                <w:rFonts w:ascii="Times New Roman" w:hAnsi="Times New Roman" w:cs="Times New Roman"/>
                <w:b/>
                <w:bCs/>
                <w:sz w:val="18"/>
                <w:szCs w:val="18"/>
                <w:lang w:val="ro-MD"/>
              </w:rPr>
              <w:t>Evaluarea probabilității materializării și impactului riscului (Scăzută, Medie, Înaltă)</w:t>
            </w:r>
          </w:p>
        </w:tc>
        <w:tc>
          <w:tcPr>
            <w:tcW w:w="4989" w:type="dxa"/>
          </w:tcPr>
          <w:p w14:paraId="4FAB2207" w14:textId="77777777" w:rsidR="003E4D88" w:rsidRPr="003836D9" w:rsidRDefault="003E4D88" w:rsidP="009F0852">
            <w:pPr>
              <w:spacing w:after="0" w:line="276" w:lineRule="auto"/>
              <w:jc w:val="center"/>
              <w:rPr>
                <w:rFonts w:ascii="Times New Roman" w:hAnsi="Times New Roman" w:cs="Times New Roman"/>
                <w:b/>
                <w:sz w:val="18"/>
                <w:szCs w:val="18"/>
                <w:lang w:val="ro-MD"/>
              </w:rPr>
            </w:pPr>
            <w:r w:rsidRPr="003836D9">
              <w:rPr>
                <w:rFonts w:ascii="Times New Roman" w:hAnsi="Times New Roman" w:cs="Times New Roman"/>
                <w:b/>
                <w:sz w:val="18"/>
                <w:szCs w:val="18"/>
                <w:lang w:val="ro-MD"/>
              </w:rPr>
              <w:t>Măsuri de diminuare/</w:t>
            </w:r>
            <w:r w:rsidRPr="003836D9">
              <w:rPr>
                <w:rFonts w:ascii="Times New Roman" w:hAnsi="Times New Roman" w:cs="Times New Roman"/>
                <w:b/>
                <w:sz w:val="18"/>
                <w:szCs w:val="18"/>
                <w:lang w:val="ro-MD"/>
              </w:rPr>
              <w:br/>
              <w:t>înlăturare a riscurilor</w:t>
            </w:r>
          </w:p>
        </w:tc>
      </w:tr>
      <w:tr w:rsidR="003E4D88" w:rsidRPr="003836D9" w14:paraId="5ACBD0DD" w14:textId="77777777" w:rsidTr="009F0852">
        <w:tc>
          <w:tcPr>
            <w:tcW w:w="3359" w:type="dxa"/>
          </w:tcPr>
          <w:p w14:paraId="4572C25D" w14:textId="77777777" w:rsidR="003E4D88" w:rsidRPr="003836D9" w:rsidRDefault="003E4D88" w:rsidP="009F0852">
            <w:pPr>
              <w:spacing w:after="0" w:line="276" w:lineRule="auto"/>
              <w:rPr>
                <w:rFonts w:ascii="Times New Roman" w:hAnsi="Times New Roman" w:cs="Times New Roman"/>
                <w:b/>
                <w:bCs/>
                <w:sz w:val="18"/>
                <w:szCs w:val="18"/>
                <w:lang w:val="ro-MD"/>
              </w:rPr>
            </w:pPr>
          </w:p>
          <w:p w14:paraId="5E974FC3"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b/>
                <w:bCs/>
                <w:sz w:val="18"/>
                <w:szCs w:val="18"/>
                <w:lang w:val="ro-MD"/>
              </w:rPr>
              <w:t>1. Riscul financiar:</w:t>
            </w:r>
            <w:r w:rsidRPr="003836D9">
              <w:rPr>
                <w:rFonts w:ascii="Times New Roman" w:hAnsi="Times New Roman" w:cs="Times New Roman"/>
                <w:sz w:val="18"/>
                <w:szCs w:val="18"/>
                <w:lang w:val="ro-MD"/>
              </w:rPr>
              <w:t xml:space="preserve"> performanță redusă în realizarea acțiunilor din Planul de acțiuni din cauza incoerenței dintre planificarea strategică și planificarea bugetară</w:t>
            </w:r>
          </w:p>
        </w:tc>
        <w:tc>
          <w:tcPr>
            <w:tcW w:w="1683" w:type="dxa"/>
            <w:vAlign w:val="center"/>
          </w:tcPr>
          <w:p w14:paraId="6DDBCDD8" w14:textId="77777777" w:rsidR="003E4D88" w:rsidRPr="003836D9" w:rsidRDefault="003E4D88" w:rsidP="009F0852">
            <w:pPr>
              <w:spacing w:after="0" w:line="276" w:lineRule="auto"/>
              <w:jc w:val="center"/>
              <w:rPr>
                <w:rFonts w:ascii="Times New Roman" w:hAnsi="Times New Roman" w:cs="Times New Roman"/>
                <w:sz w:val="18"/>
                <w:szCs w:val="18"/>
                <w:lang w:val="ro-MD"/>
              </w:rPr>
            </w:pPr>
            <w:r w:rsidRPr="003836D9">
              <w:rPr>
                <w:rFonts w:ascii="Times New Roman" w:hAnsi="Times New Roman" w:cs="Times New Roman"/>
                <w:sz w:val="18"/>
                <w:szCs w:val="18"/>
                <w:lang w:val="ro-MD"/>
              </w:rPr>
              <w:t>Înalt</w:t>
            </w:r>
          </w:p>
        </w:tc>
        <w:tc>
          <w:tcPr>
            <w:tcW w:w="4989" w:type="dxa"/>
          </w:tcPr>
          <w:p w14:paraId="2474C7CA" w14:textId="4A6B44A9" w:rsidR="003E4D88" w:rsidRPr="003836D9" w:rsidRDefault="003E4D88"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1. Planificarea acțiunilor în Cadrul Bugetar pe Termen Mediu</w:t>
            </w:r>
            <w:r w:rsidR="009F0852" w:rsidRPr="003836D9">
              <w:rPr>
                <w:rFonts w:ascii="Times New Roman" w:hAnsi="Times New Roman" w:cs="Times New Roman"/>
                <w:sz w:val="18"/>
                <w:szCs w:val="18"/>
                <w:lang w:val="ro-MD"/>
              </w:rPr>
              <w:t>, cu prezentarea argumentelor necesare</w:t>
            </w:r>
          </w:p>
          <w:p w14:paraId="2F214EA6" w14:textId="1035D4A6" w:rsidR="003E4D88" w:rsidRPr="003836D9" w:rsidRDefault="003E4D88"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 xml:space="preserve">2. Atragerea asistenței externe din partea partenerilor </w:t>
            </w:r>
            <w:r w:rsidR="009F0852" w:rsidRPr="003836D9">
              <w:rPr>
                <w:rFonts w:ascii="Times New Roman" w:hAnsi="Times New Roman" w:cs="Times New Roman"/>
                <w:sz w:val="18"/>
                <w:szCs w:val="18"/>
                <w:lang w:val="ro-MD"/>
              </w:rPr>
              <w:t xml:space="preserve">externi </w:t>
            </w:r>
            <w:r w:rsidRPr="003836D9">
              <w:rPr>
                <w:rFonts w:ascii="Times New Roman" w:hAnsi="Times New Roman" w:cs="Times New Roman"/>
                <w:sz w:val="18"/>
                <w:szCs w:val="18"/>
                <w:lang w:val="ro-MD"/>
              </w:rPr>
              <w:t>de dezvoltare</w:t>
            </w:r>
          </w:p>
          <w:p w14:paraId="2BD30DF9" w14:textId="19F0FD5D" w:rsidR="003E4D88" w:rsidRPr="003836D9" w:rsidRDefault="003E4D88" w:rsidP="00826DB0">
            <w:pPr>
              <w:spacing w:after="0" w:line="276" w:lineRule="auto"/>
              <w:rPr>
                <w:rFonts w:ascii="Times New Roman" w:hAnsi="Times New Roman" w:cs="Times New Roman"/>
                <w:sz w:val="18"/>
                <w:szCs w:val="18"/>
                <w:lang w:val="ro-MD"/>
              </w:rPr>
            </w:pPr>
          </w:p>
        </w:tc>
      </w:tr>
      <w:tr w:rsidR="003E4D88" w:rsidRPr="003836D9" w14:paraId="40CD217F" w14:textId="77777777" w:rsidTr="009F0852">
        <w:tc>
          <w:tcPr>
            <w:tcW w:w="3359" w:type="dxa"/>
          </w:tcPr>
          <w:p w14:paraId="220AFA35" w14:textId="77777777" w:rsidR="003E4D88" w:rsidRPr="003836D9" w:rsidRDefault="003E4D88" w:rsidP="009F0852">
            <w:pPr>
              <w:spacing w:after="0" w:line="276" w:lineRule="auto"/>
              <w:rPr>
                <w:rFonts w:ascii="Times New Roman" w:hAnsi="Times New Roman" w:cs="Times New Roman"/>
                <w:b/>
                <w:sz w:val="18"/>
                <w:szCs w:val="18"/>
                <w:lang w:val="ro-MD"/>
              </w:rPr>
            </w:pPr>
          </w:p>
          <w:p w14:paraId="1A2D7EF9"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b/>
                <w:bCs/>
                <w:sz w:val="18"/>
                <w:szCs w:val="18"/>
                <w:lang w:val="ro-MD"/>
              </w:rPr>
              <w:t>2. Riscul social</w:t>
            </w:r>
            <w:r w:rsidRPr="003836D9">
              <w:rPr>
                <w:rFonts w:ascii="Times New Roman" w:hAnsi="Times New Roman" w:cs="Times New Roman"/>
                <w:sz w:val="18"/>
                <w:szCs w:val="18"/>
                <w:lang w:val="ro-MD"/>
              </w:rPr>
              <w:t>: adâncirea nivelului sărăciei și, ca consecință, scăderea calității vieții populației</w:t>
            </w:r>
          </w:p>
        </w:tc>
        <w:tc>
          <w:tcPr>
            <w:tcW w:w="1683" w:type="dxa"/>
            <w:vAlign w:val="center"/>
          </w:tcPr>
          <w:p w14:paraId="5E6CE761" w14:textId="77777777" w:rsidR="003E4D88" w:rsidRPr="003836D9" w:rsidRDefault="003E4D88" w:rsidP="009F0852">
            <w:pPr>
              <w:spacing w:after="0" w:line="276" w:lineRule="auto"/>
              <w:jc w:val="center"/>
              <w:rPr>
                <w:rFonts w:ascii="Times New Roman" w:hAnsi="Times New Roman" w:cs="Times New Roman"/>
                <w:sz w:val="18"/>
                <w:szCs w:val="18"/>
                <w:lang w:val="ro-MD"/>
              </w:rPr>
            </w:pPr>
            <w:r w:rsidRPr="003836D9">
              <w:rPr>
                <w:rFonts w:ascii="Times New Roman" w:hAnsi="Times New Roman" w:cs="Times New Roman"/>
                <w:sz w:val="18"/>
                <w:szCs w:val="18"/>
                <w:lang w:val="ro-MD"/>
              </w:rPr>
              <w:t>Înalt</w:t>
            </w:r>
          </w:p>
        </w:tc>
        <w:tc>
          <w:tcPr>
            <w:tcW w:w="4989" w:type="dxa"/>
          </w:tcPr>
          <w:p w14:paraId="12F554AD" w14:textId="77777777" w:rsidR="003E4D88" w:rsidRPr="003836D9" w:rsidRDefault="003E4D88"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1. Prioritizarea politicilor și măsurilor în domeniul social la nivel de Guvern</w:t>
            </w:r>
          </w:p>
          <w:p w14:paraId="603404F4" w14:textId="309E36D2" w:rsidR="003E4D88" w:rsidRPr="003836D9" w:rsidRDefault="003E4D88"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2. Conjugarea eforturilor tuturor instituțiilor de stat și partenerilor sociali în vederea relansării economiei cu impact direct asupra pieței muncii</w:t>
            </w:r>
          </w:p>
          <w:p w14:paraId="46AEF3D6" w14:textId="51F818F6" w:rsidR="003E4D88" w:rsidRPr="003836D9" w:rsidRDefault="003037CD"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3</w:t>
            </w:r>
            <w:r w:rsidR="003E4D88" w:rsidRPr="003836D9">
              <w:rPr>
                <w:rFonts w:ascii="Times New Roman" w:hAnsi="Times New Roman" w:cs="Times New Roman"/>
                <w:sz w:val="18"/>
                <w:szCs w:val="18"/>
                <w:lang w:val="ro-MD"/>
              </w:rPr>
              <w:t>. Lansarea unor noi programe de protecție socială combinate cu măsuri de activare</w:t>
            </w:r>
          </w:p>
        </w:tc>
      </w:tr>
      <w:tr w:rsidR="003E4D88" w:rsidRPr="003836D9" w14:paraId="06EADFFF" w14:textId="77777777" w:rsidTr="009F0852">
        <w:tc>
          <w:tcPr>
            <w:tcW w:w="3359" w:type="dxa"/>
          </w:tcPr>
          <w:p w14:paraId="1DE3E595" w14:textId="77777777" w:rsidR="003E4D88" w:rsidRPr="003836D9" w:rsidRDefault="003E4D88" w:rsidP="009F0852">
            <w:pPr>
              <w:spacing w:after="0" w:line="276" w:lineRule="auto"/>
              <w:rPr>
                <w:rFonts w:ascii="Times New Roman" w:hAnsi="Times New Roman" w:cs="Times New Roman"/>
                <w:b/>
                <w:sz w:val="18"/>
                <w:szCs w:val="18"/>
                <w:lang w:val="ro-MD"/>
              </w:rPr>
            </w:pPr>
          </w:p>
          <w:p w14:paraId="4AEB4C29" w14:textId="77777777" w:rsidR="003E4D88" w:rsidRPr="003836D9" w:rsidRDefault="003E4D88" w:rsidP="009F0852">
            <w:pPr>
              <w:spacing w:after="0" w:line="276" w:lineRule="auto"/>
              <w:rPr>
                <w:rFonts w:ascii="Times New Roman" w:hAnsi="Times New Roman" w:cs="Times New Roman"/>
                <w:b/>
                <w:bCs/>
                <w:sz w:val="18"/>
                <w:szCs w:val="18"/>
                <w:lang w:val="ro-MD"/>
              </w:rPr>
            </w:pPr>
            <w:r w:rsidRPr="003836D9">
              <w:rPr>
                <w:rFonts w:ascii="Times New Roman" w:hAnsi="Times New Roman" w:cs="Times New Roman"/>
                <w:b/>
                <w:bCs/>
                <w:sz w:val="18"/>
                <w:szCs w:val="18"/>
                <w:lang w:val="ro-MD"/>
              </w:rPr>
              <w:t xml:space="preserve">3. Riscul legat de forța de muncă: </w:t>
            </w:r>
            <w:r w:rsidRPr="003836D9">
              <w:rPr>
                <w:rFonts w:ascii="Times New Roman" w:hAnsi="Times New Roman" w:cs="Times New Roman"/>
                <w:sz w:val="18"/>
                <w:szCs w:val="18"/>
                <w:lang w:val="ro-MD"/>
              </w:rPr>
              <w:t>erodarea potențialului demografic al țării și reducerea ratei de ocupare</w:t>
            </w:r>
          </w:p>
        </w:tc>
        <w:tc>
          <w:tcPr>
            <w:tcW w:w="1683" w:type="dxa"/>
            <w:vAlign w:val="center"/>
          </w:tcPr>
          <w:p w14:paraId="3FD5A23A" w14:textId="77777777" w:rsidR="003E4D88" w:rsidRPr="003836D9" w:rsidRDefault="003E4D88" w:rsidP="009F0852">
            <w:pPr>
              <w:spacing w:after="0" w:line="276" w:lineRule="auto"/>
              <w:jc w:val="center"/>
              <w:rPr>
                <w:rFonts w:ascii="Times New Roman" w:hAnsi="Times New Roman" w:cs="Times New Roman"/>
                <w:sz w:val="18"/>
                <w:szCs w:val="18"/>
                <w:lang w:val="ro-MD"/>
              </w:rPr>
            </w:pPr>
            <w:r w:rsidRPr="003836D9">
              <w:rPr>
                <w:rFonts w:ascii="Times New Roman" w:hAnsi="Times New Roman" w:cs="Times New Roman"/>
                <w:sz w:val="18"/>
                <w:szCs w:val="18"/>
                <w:lang w:val="ro-MD"/>
              </w:rPr>
              <w:t>Înalt</w:t>
            </w:r>
          </w:p>
        </w:tc>
        <w:tc>
          <w:tcPr>
            <w:tcW w:w="4989" w:type="dxa"/>
          </w:tcPr>
          <w:p w14:paraId="01BD630A" w14:textId="77777777" w:rsidR="003E4D88" w:rsidRPr="003836D9" w:rsidRDefault="003E4D88"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1. Prioritizarea subiectului legat de ocuparea forței de muncă</w:t>
            </w:r>
            <w:r w:rsidRPr="003836D9" w:rsidDel="00BD6299">
              <w:rPr>
                <w:rFonts w:ascii="Times New Roman" w:hAnsi="Times New Roman" w:cs="Times New Roman"/>
                <w:sz w:val="18"/>
                <w:szCs w:val="18"/>
                <w:lang w:val="ro-MD"/>
              </w:rPr>
              <w:t xml:space="preserve"> </w:t>
            </w:r>
            <w:r w:rsidRPr="003836D9">
              <w:rPr>
                <w:rFonts w:ascii="Times New Roman" w:hAnsi="Times New Roman" w:cs="Times New Roman"/>
                <w:sz w:val="18"/>
                <w:szCs w:val="18"/>
                <w:lang w:val="ro-MD"/>
              </w:rPr>
              <w:t xml:space="preserve"> în documentele de planificare și politici publice ale Guvernului </w:t>
            </w:r>
          </w:p>
          <w:p w14:paraId="598D338C" w14:textId="77777777" w:rsidR="003E4D88" w:rsidRPr="003836D9" w:rsidRDefault="003E4D88"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2. Mobilizarea și implicarea plenară a tuturor actorilor interesați (autorităţile publice centrale şi locale, partenerii sociali, societatea civilă, mediul de afaceri, instituțiile de cercetare etc.) în soluționarea problemelor pieței muncii</w:t>
            </w:r>
          </w:p>
          <w:p w14:paraId="18FF758E" w14:textId="77777777" w:rsidR="003E4D88" w:rsidRPr="003836D9" w:rsidRDefault="003E4D88"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 xml:space="preserve">3. Aprobarea unui nou document de politici în domeniul demografic pentru Republica Moldova </w:t>
            </w:r>
          </w:p>
          <w:p w14:paraId="1B4D7E16" w14:textId="2C121898" w:rsidR="003E4D88" w:rsidRPr="003836D9" w:rsidRDefault="003E4D88" w:rsidP="00826DB0">
            <w:pPr>
              <w:spacing w:after="0" w:line="276" w:lineRule="auto"/>
              <w:rPr>
                <w:rFonts w:ascii="Times New Roman" w:hAnsi="Times New Roman" w:cs="Times New Roman"/>
                <w:sz w:val="18"/>
                <w:szCs w:val="18"/>
                <w:lang w:val="ro-MD"/>
              </w:rPr>
            </w:pPr>
          </w:p>
        </w:tc>
      </w:tr>
      <w:tr w:rsidR="003E4D88" w:rsidRPr="003836D9" w14:paraId="0687D7D9" w14:textId="77777777" w:rsidTr="009F0852">
        <w:tc>
          <w:tcPr>
            <w:tcW w:w="3359" w:type="dxa"/>
          </w:tcPr>
          <w:p w14:paraId="7B9FF07B" w14:textId="77777777" w:rsidR="003E4D88" w:rsidRPr="003836D9" w:rsidRDefault="003E4D88" w:rsidP="009F0852">
            <w:pPr>
              <w:spacing w:after="0" w:line="276" w:lineRule="auto"/>
              <w:rPr>
                <w:rFonts w:ascii="Times New Roman" w:hAnsi="Times New Roman" w:cs="Times New Roman"/>
                <w:b/>
                <w:bCs/>
                <w:sz w:val="18"/>
                <w:szCs w:val="18"/>
                <w:lang w:val="ro-MD"/>
              </w:rPr>
            </w:pPr>
          </w:p>
          <w:p w14:paraId="41D99D63" w14:textId="332E80C5" w:rsidR="003E4D88" w:rsidRPr="003836D9" w:rsidRDefault="003E4D88" w:rsidP="009F0852">
            <w:pPr>
              <w:spacing w:after="0" w:line="276" w:lineRule="auto"/>
              <w:rPr>
                <w:rFonts w:ascii="Times New Roman" w:hAnsi="Times New Roman" w:cs="Times New Roman"/>
                <w:b/>
                <w:bCs/>
                <w:sz w:val="18"/>
                <w:szCs w:val="18"/>
                <w:lang w:val="ro-MD"/>
              </w:rPr>
            </w:pPr>
            <w:r w:rsidRPr="003836D9">
              <w:rPr>
                <w:rFonts w:ascii="Times New Roman" w:hAnsi="Times New Roman" w:cs="Times New Roman"/>
                <w:b/>
                <w:bCs/>
                <w:sz w:val="18"/>
                <w:szCs w:val="18"/>
                <w:lang w:val="ro-MD"/>
              </w:rPr>
              <w:t xml:space="preserve">4. Riscul economic: </w:t>
            </w:r>
            <w:r w:rsidRPr="003836D9">
              <w:rPr>
                <w:rFonts w:ascii="Times New Roman" w:hAnsi="Times New Roman" w:cs="Times New Roman"/>
                <w:sz w:val="18"/>
                <w:szCs w:val="18"/>
                <w:lang w:val="ro-MD"/>
              </w:rPr>
              <w:t>obiectivele  Programului compromise din cauza situației economice nefavorabile</w:t>
            </w:r>
            <w:r w:rsidR="009F0852" w:rsidRPr="003836D9">
              <w:rPr>
                <w:rFonts w:ascii="Times New Roman" w:hAnsi="Times New Roman" w:cs="Times New Roman"/>
                <w:sz w:val="18"/>
                <w:szCs w:val="18"/>
                <w:lang w:val="ro-MD"/>
              </w:rPr>
              <w:t xml:space="preserve">, inclusiv </w:t>
            </w:r>
            <w:r w:rsidRPr="003836D9">
              <w:rPr>
                <w:rFonts w:ascii="Times New Roman" w:hAnsi="Times New Roman" w:cs="Times New Roman"/>
                <w:sz w:val="18"/>
                <w:szCs w:val="18"/>
                <w:lang w:val="ro-MD"/>
              </w:rPr>
              <w:t xml:space="preserve">urmare crizei pandemice legate de </w:t>
            </w:r>
            <w:r w:rsidR="00DF67F3">
              <w:rPr>
                <w:rFonts w:ascii="Times New Roman" w:hAnsi="Times New Roman" w:cs="Times New Roman"/>
                <w:sz w:val="18"/>
                <w:szCs w:val="18"/>
                <w:lang w:val="ro-MD"/>
              </w:rPr>
              <w:t>COVID</w:t>
            </w:r>
            <w:r w:rsidRPr="003836D9">
              <w:rPr>
                <w:rFonts w:ascii="Times New Roman" w:hAnsi="Times New Roman" w:cs="Times New Roman"/>
                <w:sz w:val="18"/>
                <w:szCs w:val="18"/>
                <w:lang w:val="ro-MD"/>
              </w:rPr>
              <w:t xml:space="preserve">-19 </w:t>
            </w:r>
          </w:p>
        </w:tc>
        <w:tc>
          <w:tcPr>
            <w:tcW w:w="1683" w:type="dxa"/>
            <w:vAlign w:val="center"/>
          </w:tcPr>
          <w:p w14:paraId="5477BECC" w14:textId="77777777" w:rsidR="003E4D88" w:rsidRPr="003836D9" w:rsidRDefault="003E4D88" w:rsidP="009F0852">
            <w:pPr>
              <w:spacing w:after="0" w:line="276" w:lineRule="auto"/>
              <w:jc w:val="center"/>
              <w:rPr>
                <w:rFonts w:ascii="Times New Roman" w:hAnsi="Times New Roman" w:cs="Times New Roman"/>
                <w:sz w:val="18"/>
                <w:szCs w:val="18"/>
                <w:lang w:val="ro-MD"/>
              </w:rPr>
            </w:pPr>
            <w:r w:rsidRPr="003836D9">
              <w:rPr>
                <w:rFonts w:ascii="Times New Roman" w:hAnsi="Times New Roman" w:cs="Times New Roman"/>
                <w:sz w:val="18"/>
                <w:szCs w:val="18"/>
                <w:lang w:val="ro-MD"/>
              </w:rPr>
              <w:t>Înalt</w:t>
            </w:r>
          </w:p>
        </w:tc>
        <w:tc>
          <w:tcPr>
            <w:tcW w:w="4989" w:type="dxa"/>
          </w:tcPr>
          <w:p w14:paraId="10DF7E2A" w14:textId="05476F59" w:rsidR="003E4D88" w:rsidRPr="003836D9" w:rsidRDefault="003E4D88" w:rsidP="009F0852">
            <w:pPr>
              <w:spacing w:after="0" w:line="276" w:lineRule="auto"/>
              <w:jc w:val="both"/>
              <w:rPr>
                <w:rFonts w:ascii="Times New Roman" w:hAnsi="Times New Roman" w:cs="Times New Roman"/>
                <w:sz w:val="18"/>
                <w:szCs w:val="18"/>
                <w:lang w:val="ro-MD"/>
              </w:rPr>
            </w:pPr>
          </w:p>
          <w:p w14:paraId="68F7D3DE" w14:textId="7D3C767D" w:rsidR="003E4D88" w:rsidRPr="003836D9" w:rsidRDefault="009F0852" w:rsidP="00826DB0">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1</w:t>
            </w:r>
            <w:r w:rsidR="003E4D88" w:rsidRPr="003836D9">
              <w:rPr>
                <w:rFonts w:ascii="Times New Roman" w:hAnsi="Times New Roman" w:cs="Times New Roman"/>
                <w:sz w:val="18"/>
                <w:szCs w:val="18"/>
                <w:lang w:val="ro-MD"/>
              </w:rPr>
              <w:t xml:space="preserve">. Dezvoltarea unui parteneriat autentic, bazat pe încredere și solidaritate între toți actorii interesați, pentru a sprijini relansarea economică și a limita costurile sociale, inclusiv generate de pandemia </w:t>
            </w:r>
            <w:r w:rsidR="00DF67F3">
              <w:rPr>
                <w:rFonts w:ascii="Times New Roman" w:hAnsi="Times New Roman" w:cs="Times New Roman"/>
                <w:sz w:val="18"/>
                <w:szCs w:val="18"/>
                <w:lang w:val="ro-MD"/>
              </w:rPr>
              <w:t>COVID</w:t>
            </w:r>
            <w:r w:rsidR="003E4D88" w:rsidRPr="003836D9">
              <w:rPr>
                <w:rFonts w:ascii="Times New Roman" w:hAnsi="Times New Roman" w:cs="Times New Roman"/>
                <w:sz w:val="18"/>
                <w:szCs w:val="18"/>
                <w:lang w:val="ro-MD"/>
              </w:rPr>
              <w:t>-19</w:t>
            </w:r>
          </w:p>
        </w:tc>
      </w:tr>
      <w:tr w:rsidR="003E4D88" w:rsidRPr="003836D9" w14:paraId="5FE99DCE" w14:textId="77777777" w:rsidTr="009F0852">
        <w:tc>
          <w:tcPr>
            <w:tcW w:w="3359" w:type="dxa"/>
          </w:tcPr>
          <w:p w14:paraId="745FDF50" w14:textId="77777777" w:rsidR="00041413" w:rsidRDefault="00041413" w:rsidP="009F0852">
            <w:pPr>
              <w:spacing w:after="0" w:line="276" w:lineRule="auto"/>
              <w:rPr>
                <w:rFonts w:ascii="Times New Roman" w:hAnsi="Times New Roman" w:cs="Times New Roman"/>
                <w:b/>
                <w:bCs/>
                <w:sz w:val="18"/>
                <w:szCs w:val="18"/>
                <w:lang w:val="ro-MD"/>
              </w:rPr>
            </w:pPr>
          </w:p>
          <w:p w14:paraId="24705E66" w14:textId="6A7A641F" w:rsidR="003E4D88" w:rsidRPr="003836D9" w:rsidRDefault="003E4D88" w:rsidP="009F0852">
            <w:pPr>
              <w:spacing w:after="0" w:line="276" w:lineRule="auto"/>
              <w:rPr>
                <w:rFonts w:ascii="Times New Roman" w:hAnsi="Times New Roman" w:cs="Times New Roman"/>
                <w:b/>
                <w:bCs/>
                <w:sz w:val="18"/>
                <w:szCs w:val="18"/>
                <w:lang w:val="ro-MD"/>
              </w:rPr>
            </w:pPr>
            <w:r w:rsidRPr="003836D9">
              <w:rPr>
                <w:rFonts w:ascii="Times New Roman" w:hAnsi="Times New Roman" w:cs="Times New Roman"/>
                <w:b/>
                <w:bCs/>
                <w:sz w:val="18"/>
                <w:szCs w:val="18"/>
                <w:lang w:val="ro-MD"/>
              </w:rPr>
              <w:t>5.</w:t>
            </w:r>
            <w:r w:rsidRPr="003836D9">
              <w:rPr>
                <w:rFonts w:ascii="Times New Roman" w:hAnsi="Times New Roman" w:cs="Times New Roman"/>
                <w:sz w:val="18"/>
                <w:szCs w:val="18"/>
                <w:lang w:val="ro-MD"/>
              </w:rPr>
              <w:t xml:space="preserve"> </w:t>
            </w:r>
            <w:r w:rsidRPr="003836D9">
              <w:rPr>
                <w:rFonts w:ascii="Times New Roman" w:hAnsi="Times New Roman" w:cs="Times New Roman"/>
                <w:b/>
                <w:bCs/>
                <w:sz w:val="18"/>
                <w:szCs w:val="18"/>
                <w:lang w:val="ro-MD"/>
              </w:rPr>
              <w:t xml:space="preserve">Riscul legat de grupurile vulnerabile: </w:t>
            </w:r>
            <w:r w:rsidRPr="003836D9">
              <w:rPr>
                <w:rFonts w:ascii="Times New Roman" w:hAnsi="Times New Roman" w:cs="Times New Roman"/>
                <w:sz w:val="18"/>
                <w:szCs w:val="18"/>
                <w:lang w:val="ro-MD"/>
              </w:rPr>
              <w:t>gradul redus de receptivitate și adaptabilitate a grupurilor vulnerabile la obiectivele și acțiunile propuse în Program</w:t>
            </w:r>
          </w:p>
        </w:tc>
        <w:tc>
          <w:tcPr>
            <w:tcW w:w="1683" w:type="dxa"/>
            <w:vAlign w:val="center"/>
          </w:tcPr>
          <w:p w14:paraId="05E23C3C" w14:textId="77777777" w:rsidR="003E4D88" w:rsidRPr="003836D9" w:rsidRDefault="003E4D88" w:rsidP="009F0852">
            <w:pPr>
              <w:spacing w:after="0" w:line="276" w:lineRule="auto"/>
              <w:jc w:val="center"/>
              <w:rPr>
                <w:rFonts w:ascii="Times New Roman" w:hAnsi="Times New Roman" w:cs="Times New Roman"/>
                <w:sz w:val="18"/>
                <w:szCs w:val="18"/>
                <w:lang w:val="ro-MD"/>
              </w:rPr>
            </w:pPr>
            <w:r w:rsidRPr="003836D9">
              <w:rPr>
                <w:rFonts w:ascii="Times New Roman" w:hAnsi="Times New Roman" w:cs="Times New Roman"/>
                <w:sz w:val="18"/>
                <w:szCs w:val="18"/>
                <w:lang w:val="ro-MD"/>
              </w:rPr>
              <w:t>Înalt</w:t>
            </w:r>
          </w:p>
        </w:tc>
        <w:tc>
          <w:tcPr>
            <w:tcW w:w="4989" w:type="dxa"/>
          </w:tcPr>
          <w:p w14:paraId="532D80B8"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1. Prioritizarea subiectului legat de susținerea grupurilor vulnerabile în politicile Guvernului</w:t>
            </w:r>
          </w:p>
          <w:p w14:paraId="13AFF228"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2. Asigurarea unui nivel sporit de informare și asistare a grupurilor vulnerabile privind oportunitățile de angajare și cooperării cu potențialii angajatori</w:t>
            </w:r>
          </w:p>
        </w:tc>
      </w:tr>
      <w:tr w:rsidR="003E4D88" w:rsidRPr="003836D9" w14:paraId="0760E827" w14:textId="77777777" w:rsidTr="009F0852">
        <w:tc>
          <w:tcPr>
            <w:tcW w:w="3359" w:type="dxa"/>
          </w:tcPr>
          <w:p w14:paraId="2057C74C" w14:textId="77777777" w:rsidR="003E4D88" w:rsidRPr="003836D9" w:rsidRDefault="003E4D88" w:rsidP="009F0852">
            <w:pPr>
              <w:spacing w:after="0" w:line="276" w:lineRule="auto"/>
              <w:rPr>
                <w:rFonts w:ascii="Times New Roman" w:hAnsi="Times New Roman" w:cs="Times New Roman"/>
                <w:b/>
                <w:bCs/>
                <w:sz w:val="18"/>
                <w:szCs w:val="18"/>
                <w:lang w:val="ro-MD"/>
              </w:rPr>
            </w:pPr>
          </w:p>
          <w:p w14:paraId="628571D1" w14:textId="77777777" w:rsidR="003E4D88" w:rsidRPr="003836D9" w:rsidRDefault="003E4D88" w:rsidP="009F0852">
            <w:pPr>
              <w:spacing w:after="0" w:line="276" w:lineRule="auto"/>
              <w:rPr>
                <w:rFonts w:ascii="Times New Roman" w:hAnsi="Times New Roman" w:cs="Times New Roman"/>
                <w:b/>
                <w:bCs/>
                <w:sz w:val="18"/>
                <w:szCs w:val="18"/>
                <w:lang w:val="ro-MD"/>
              </w:rPr>
            </w:pPr>
            <w:r w:rsidRPr="003836D9">
              <w:rPr>
                <w:rFonts w:ascii="Times New Roman" w:hAnsi="Times New Roman" w:cs="Times New Roman"/>
                <w:b/>
                <w:bCs/>
                <w:sz w:val="18"/>
                <w:szCs w:val="18"/>
                <w:lang w:val="ro-MD"/>
              </w:rPr>
              <w:t>6. Riscul legat de evoluțiile tehnologice</w:t>
            </w:r>
            <w:r w:rsidRPr="003836D9">
              <w:rPr>
                <w:rFonts w:ascii="Times New Roman" w:hAnsi="Times New Roman" w:cs="Times New Roman"/>
                <w:sz w:val="18"/>
                <w:szCs w:val="18"/>
                <w:lang w:val="ro-MD"/>
              </w:rPr>
              <w:t xml:space="preserve">: automatizarea și robotizarea business </w:t>
            </w:r>
            <w:r w:rsidRPr="003836D9">
              <w:rPr>
                <w:rFonts w:ascii="Times New Roman" w:hAnsi="Times New Roman" w:cs="Times New Roman"/>
                <w:sz w:val="18"/>
                <w:szCs w:val="18"/>
                <w:lang w:val="ro-MD"/>
              </w:rPr>
              <w:lastRenderedPageBreak/>
              <w:t>proceselor care pot afecta viitorul muncii</w:t>
            </w:r>
          </w:p>
        </w:tc>
        <w:tc>
          <w:tcPr>
            <w:tcW w:w="1683" w:type="dxa"/>
          </w:tcPr>
          <w:p w14:paraId="346C5C82" w14:textId="77777777" w:rsidR="003E4D88" w:rsidRPr="003836D9" w:rsidRDefault="003E4D88" w:rsidP="009F0852">
            <w:pPr>
              <w:spacing w:after="0" w:line="276" w:lineRule="auto"/>
              <w:jc w:val="center"/>
              <w:rPr>
                <w:rFonts w:ascii="Times New Roman" w:hAnsi="Times New Roman" w:cs="Times New Roman"/>
                <w:sz w:val="18"/>
                <w:szCs w:val="18"/>
                <w:lang w:val="ro-MD"/>
              </w:rPr>
            </w:pPr>
            <w:r w:rsidRPr="003836D9">
              <w:rPr>
                <w:rFonts w:ascii="Times New Roman" w:hAnsi="Times New Roman" w:cs="Times New Roman"/>
                <w:sz w:val="18"/>
                <w:szCs w:val="18"/>
                <w:lang w:val="ro-MD"/>
              </w:rPr>
              <w:lastRenderedPageBreak/>
              <w:t>Înalt</w:t>
            </w:r>
          </w:p>
        </w:tc>
        <w:tc>
          <w:tcPr>
            <w:tcW w:w="4989" w:type="dxa"/>
          </w:tcPr>
          <w:p w14:paraId="3C25AB30"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1. Asigurarea de către Guvern a unei tranziții echilibrate spre economia digitală, concentrate asupra securității competențelor</w:t>
            </w:r>
          </w:p>
          <w:p w14:paraId="0C25209D"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 xml:space="preserve">2. </w:t>
            </w:r>
            <w:r w:rsidRPr="003836D9">
              <w:rPr>
                <w:rStyle w:val="A1"/>
                <w:rFonts w:ascii="Times New Roman" w:hAnsi="Times New Roman" w:cs="Times New Roman"/>
                <w:bCs/>
                <w:color w:val="auto"/>
                <w:sz w:val="18"/>
                <w:szCs w:val="18"/>
                <w:lang w:val="ro-MD"/>
              </w:rPr>
              <w:t xml:space="preserve">Conjugarea eforturilor tuturor actorilor interesați în vederea </w:t>
            </w:r>
            <w:r w:rsidRPr="003836D9">
              <w:rPr>
                <w:rStyle w:val="A1"/>
                <w:rFonts w:ascii="Times New Roman" w:hAnsi="Times New Roman" w:cs="Times New Roman"/>
                <w:bCs/>
                <w:color w:val="auto"/>
                <w:sz w:val="18"/>
                <w:szCs w:val="18"/>
                <w:lang w:val="ro-MD"/>
              </w:rPr>
              <w:lastRenderedPageBreak/>
              <w:t>asigurării unei previzibilități legate de evoluțiile economice și ale pieței muncii</w:t>
            </w:r>
          </w:p>
        </w:tc>
      </w:tr>
      <w:tr w:rsidR="003E4D88" w:rsidRPr="003836D9" w14:paraId="71F57727" w14:textId="77777777" w:rsidTr="009F0852">
        <w:tc>
          <w:tcPr>
            <w:tcW w:w="3359" w:type="dxa"/>
          </w:tcPr>
          <w:p w14:paraId="2BB6CDBA" w14:textId="77777777" w:rsidR="003E4D88" w:rsidRPr="003836D9" w:rsidRDefault="003E4D88" w:rsidP="009F0852">
            <w:pPr>
              <w:spacing w:after="0" w:line="276" w:lineRule="auto"/>
              <w:rPr>
                <w:rFonts w:ascii="Times New Roman" w:hAnsi="Times New Roman" w:cs="Times New Roman"/>
                <w:b/>
                <w:bCs/>
                <w:sz w:val="18"/>
                <w:szCs w:val="18"/>
                <w:lang w:val="ro-MD"/>
              </w:rPr>
            </w:pPr>
          </w:p>
          <w:p w14:paraId="1EFF1CD5" w14:textId="77777777" w:rsidR="003E4D88" w:rsidRPr="003836D9" w:rsidRDefault="003E4D88" w:rsidP="009F0852">
            <w:pPr>
              <w:spacing w:after="0" w:line="276" w:lineRule="auto"/>
              <w:rPr>
                <w:rFonts w:ascii="Times New Roman" w:hAnsi="Times New Roman" w:cs="Times New Roman"/>
                <w:b/>
                <w:bCs/>
                <w:sz w:val="18"/>
                <w:szCs w:val="18"/>
                <w:lang w:val="ro-MD"/>
              </w:rPr>
            </w:pPr>
            <w:r w:rsidRPr="003836D9">
              <w:rPr>
                <w:rFonts w:ascii="Times New Roman" w:hAnsi="Times New Roman" w:cs="Times New Roman"/>
                <w:b/>
                <w:bCs/>
                <w:sz w:val="18"/>
                <w:szCs w:val="18"/>
                <w:lang w:val="ro-MD"/>
              </w:rPr>
              <w:t xml:space="preserve">7. Riscul operațional: </w:t>
            </w:r>
            <w:r w:rsidRPr="003836D9">
              <w:rPr>
                <w:rFonts w:ascii="Times New Roman" w:hAnsi="Times New Roman" w:cs="Times New Roman"/>
                <w:sz w:val="18"/>
                <w:szCs w:val="18"/>
                <w:lang w:val="ro-MD"/>
              </w:rPr>
              <w:t>implementarea Programului afectată de imperfecțiunea cadrului instituțional și legal</w:t>
            </w:r>
          </w:p>
        </w:tc>
        <w:tc>
          <w:tcPr>
            <w:tcW w:w="1683" w:type="dxa"/>
            <w:vAlign w:val="center"/>
          </w:tcPr>
          <w:p w14:paraId="3C01DD10" w14:textId="77777777" w:rsidR="003E4D88" w:rsidRPr="003836D9" w:rsidRDefault="003E4D88" w:rsidP="009F0852">
            <w:pPr>
              <w:spacing w:after="0" w:line="276" w:lineRule="auto"/>
              <w:jc w:val="center"/>
              <w:rPr>
                <w:rFonts w:ascii="Times New Roman" w:hAnsi="Times New Roman" w:cs="Times New Roman"/>
                <w:sz w:val="18"/>
                <w:szCs w:val="18"/>
                <w:lang w:val="ro-MD"/>
              </w:rPr>
            </w:pPr>
            <w:r w:rsidRPr="003836D9">
              <w:rPr>
                <w:rFonts w:ascii="Times New Roman" w:hAnsi="Times New Roman" w:cs="Times New Roman"/>
                <w:sz w:val="18"/>
                <w:szCs w:val="18"/>
                <w:lang w:val="ro-MD"/>
              </w:rPr>
              <w:t xml:space="preserve">Mediu </w:t>
            </w:r>
          </w:p>
        </w:tc>
        <w:tc>
          <w:tcPr>
            <w:tcW w:w="4989" w:type="dxa"/>
          </w:tcPr>
          <w:p w14:paraId="2E8A85CE"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1. Consolidarea cadrului instituțional și legal ce are tangență cu domeniul muncii</w:t>
            </w:r>
          </w:p>
          <w:p w14:paraId="133C0542" w14:textId="77777777" w:rsidR="003E4D88" w:rsidRPr="003836D9" w:rsidRDefault="003E4D88" w:rsidP="009F0852">
            <w:pPr>
              <w:spacing w:after="0" w:line="276" w:lineRule="auto"/>
              <w:rPr>
                <w:rFonts w:ascii="Times New Roman" w:hAnsi="Times New Roman" w:cs="Times New Roman"/>
                <w:color w:val="000000" w:themeColor="text1"/>
                <w:sz w:val="18"/>
                <w:szCs w:val="18"/>
                <w:lang w:val="ro-MD"/>
              </w:rPr>
            </w:pPr>
            <w:r w:rsidRPr="003836D9">
              <w:rPr>
                <w:rFonts w:ascii="Times New Roman" w:hAnsi="Times New Roman" w:cs="Times New Roman"/>
                <w:sz w:val="18"/>
                <w:szCs w:val="18"/>
                <w:lang w:val="ro-MD"/>
              </w:rPr>
              <w:t>2. Î</w:t>
            </w:r>
            <w:r w:rsidRPr="003836D9">
              <w:rPr>
                <w:rFonts w:ascii="Times New Roman" w:hAnsi="Times New Roman" w:cs="Times New Roman"/>
                <w:color w:val="000000" w:themeColor="text1"/>
                <w:sz w:val="18"/>
                <w:szCs w:val="18"/>
                <w:lang w:val="ro-MD"/>
              </w:rPr>
              <w:t>mbunătățirea procesului de planificare strategică la nivel național</w:t>
            </w:r>
          </w:p>
          <w:p w14:paraId="00A26B27"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color w:val="000000" w:themeColor="text1"/>
                <w:sz w:val="18"/>
                <w:szCs w:val="18"/>
                <w:lang w:val="ro-MD"/>
              </w:rPr>
              <w:t xml:space="preserve">3. </w:t>
            </w:r>
            <w:r w:rsidRPr="003836D9">
              <w:rPr>
                <w:rFonts w:ascii="Times New Roman" w:hAnsi="Times New Roman" w:cs="Times New Roman"/>
                <w:sz w:val="18"/>
                <w:szCs w:val="18"/>
                <w:lang w:val="ro-MD"/>
              </w:rPr>
              <w:t>Monitorizarea strictă a implementării Planului de Acțiuni al Programului</w:t>
            </w:r>
          </w:p>
        </w:tc>
      </w:tr>
      <w:tr w:rsidR="003E4D88" w:rsidRPr="003836D9" w14:paraId="6C4B9147" w14:textId="77777777" w:rsidTr="009F0852">
        <w:tc>
          <w:tcPr>
            <w:tcW w:w="3359" w:type="dxa"/>
          </w:tcPr>
          <w:p w14:paraId="44982D3E" w14:textId="77777777" w:rsidR="00DF67F3" w:rsidRDefault="00DF67F3" w:rsidP="009F0852">
            <w:pPr>
              <w:spacing w:after="0" w:line="276" w:lineRule="auto"/>
              <w:rPr>
                <w:rFonts w:ascii="Times New Roman" w:hAnsi="Times New Roman" w:cs="Times New Roman"/>
                <w:b/>
                <w:bCs/>
                <w:sz w:val="18"/>
                <w:szCs w:val="18"/>
                <w:lang w:val="ro-MD"/>
              </w:rPr>
            </w:pPr>
          </w:p>
          <w:p w14:paraId="15CE16B8" w14:textId="1A0ECB41"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b/>
                <w:bCs/>
                <w:sz w:val="18"/>
                <w:szCs w:val="18"/>
                <w:lang w:val="ro-MD"/>
              </w:rPr>
              <w:t xml:space="preserve">8. Riscul statistic: </w:t>
            </w:r>
            <w:r w:rsidRPr="003836D9">
              <w:rPr>
                <w:rFonts w:ascii="Times New Roman" w:hAnsi="Times New Roman" w:cs="Times New Roman"/>
                <w:sz w:val="18"/>
                <w:szCs w:val="18"/>
                <w:lang w:val="ro-MD"/>
              </w:rPr>
              <w:t>schimbări în metodologiile din statistica pieței muncii și incomparabilitatea datelor statistice în serii lungi de timp, discrepanța dintre date de la diferite instituții</w:t>
            </w:r>
          </w:p>
        </w:tc>
        <w:tc>
          <w:tcPr>
            <w:tcW w:w="1683" w:type="dxa"/>
            <w:vAlign w:val="center"/>
          </w:tcPr>
          <w:p w14:paraId="1E4A3DF4" w14:textId="77777777" w:rsidR="003E4D88" w:rsidRPr="003836D9" w:rsidRDefault="003E4D88" w:rsidP="009F0852">
            <w:pPr>
              <w:spacing w:after="0" w:line="276" w:lineRule="auto"/>
              <w:jc w:val="center"/>
              <w:rPr>
                <w:rFonts w:ascii="Times New Roman" w:hAnsi="Times New Roman" w:cs="Times New Roman"/>
                <w:sz w:val="18"/>
                <w:szCs w:val="18"/>
                <w:lang w:val="ro-MD"/>
              </w:rPr>
            </w:pPr>
            <w:r w:rsidRPr="003836D9">
              <w:rPr>
                <w:rFonts w:ascii="Times New Roman" w:hAnsi="Times New Roman" w:cs="Times New Roman"/>
                <w:sz w:val="18"/>
                <w:szCs w:val="18"/>
                <w:lang w:val="ro-MD"/>
              </w:rPr>
              <w:t>Mediu</w:t>
            </w:r>
          </w:p>
        </w:tc>
        <w:tc>
          <w:tcPr>
            <w:tcW w:w="4989" w:type="dxa"/>
          </w:tcPr>
          <w:p w14:paraId="21377A75"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1. Î</w:t>
            </w:r>
            <w:r w:rsidRPr="003836D9">
              <w:rPr>
                <w:rFonts w:ascii="Times New Roman" w:hAnsi="Times New Roman" w:cs="Times New Roman"/>
                <w:color w:val="000000" w:themeColor="text1"/>
                <w:sz w:val="18"/>
                <w:szCs w:val="18"/>
                <w:lang w:val="ro-MD"/>
              </w:rPr>
              <w:t xml:space="preserve">mbunătățirea calității informației și lichidarea discrepanțelor </w:t>
            </w:r>
            <w:r w:rsidRPr="003836D9">
              <w:rPr>
                <w:rFonts w:ascii="Times New Roman" w:hAnsi="Times New Roman" w:cs="Times New Roman"/>
                <w:sz w:val="18"/>
                <w:szCs w:val="18"/>
                <w:lang w:val="ro-MD"/>
              </w:rPr>
              <w:t xml:space="preserve">dintre date de la diferite instituții cu competențe în domeniul muncii </w:t>
            </w:r>
          </w:p>
          <w:p w14:paraId="6861928C"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color w:val="000000" w:themeColor="text1"/>
                <w:sz w:val="18"/>
                <w:szCs w:val="18"/>
                <w:lang w:val="ro-MD"/>
              </w:rPr>
              <w:t xml:space="preserve">2.  </w:t>
            </w:r>
            <w:r w:rsidRPr="003836D9">
              <w:rPr>
                <w:rFonts w:ascii="Times New Roman" w:hAnsi="Times New Roman" w:cs="Times New Roman"/>
                <w:sz w:val="18"/>
                <w:szCs w:val="18"/>
                <w:lang w:val="ro-MD"/>
              </w:rPr>
              <w:t>Armonizarea de către Biroul Național de Statistică a metodologiilor din statistica pieței muncii cu cele internaționale în scopul evitării incomparabilității datelor statistice pe viitor</w:t>
            </w:r>
          </w:p>
          <w:p w14:paraId="023FFFF8" w14:textId="77777777" w:rsidR="003E4D88" w:rsidRPr="003836D9" w:rsidRDefault="003E4D88" w:rsidP="009F0852">
            <w:pPr>
              <w:spacing w:after="0" w:line="276" w:lineRule="auto"/>
              <w:rPr>
                <w:rFonts w:ascii="Times New Roman" w:hAnsi="Times New Roman" w:cs="Times New Roman"/>
                <w:sz w:val="18"/>
                <w:szCs w:val="18"/>
                <w:lang w:val="ro-MD"/>
              </w:rPr>
            </w:pPr>
            <w:r w:rsidRPr="003836D9">
              <w:rPr>
                <w:rFonts w:ascii="Times New Roman" w:hAnsi="Times New Roman" w:cs="Times New Roman"/>
                <w:sz w:val="18"/>
                <w:szCs w:val="18"/>
                <w:lang w:val="ro-MD"/>
              </w:rPr>
              <w:t xml:space="preserve">3. Perfecționarea sistemului de colectare a datelor statistice/administrative </w:t>
            </w:r>
          </w:p>
        </w:tc>
      </w:tr>
    </w:tbl>
    <w:p w14:paraId="5FCF0E0D" w14:textId="77777777" w:rsidR="00D76D77" w:rsidRPr="003836D9" w:rsidRDefault="00D76D77" w:rsidP="00D76D77">
      <w:pPr>
        <w:rPr>
          <w:rFonts w:ascii="Times New Roman" w:hAnsi="Times New Roman" w:cs="Times New Roman"/>
          <w:lang w:val="ro-MD"/>
        </w:rPr>
      </w:pPr>
    </w:p>
    <w:p w14:paraId="187BCE0A" w14:textId="75FF0569" w:rsidR="008371AA" w:rsidRPr="003836D9" w:rsidRDefault="00A15170" w:rsidP="005F2AA2">
      <w:pPr>
        <w:pStyle w:val="Heading2"/>
        <w:numPr>
          <w:ilvl w:val="0"/>
          <w:numId w:val="50"/>
        </w:numPr>
        <w:spacing w:before="0" w:after="160" w:line="259" w:lineRule="auto"/>
        <w:ind w:left="720"/>
        <w:jc w:val="center"/>
        <w:rPr>
          <w:rFonts w:ascii="Times New Roman" w:hAnsi="Times New Roman"/>
          <w:color w:val="auto"/>
          <w:sz w:val="24"/>
          <w:szCs w:val="24"/>
          <w:lang w:val="ro-MD"/>
        </w:rPr>
      </w:pPr>
      <w:r w:rsidRPr="003836D9">
        <w:rPr>
          <w:rFonts w:ascii="Times New Roman" w:hAnsi="Times New Roman"/>
          <w:color w:val="auto"/>
          <w:sz w:val="24"/>
          <w:szCs w:val="24"/>
          <w:lang w:val="ro-MD"/>
        </w:rPr>
        <w:t xml:space="preserve">Implementarea </w:t>
      </w:r>
      <w:bookmarkEnd w:id="144"/>
      <w:r w:rsidRPr="003836D9">
        <w:rPr>
          <w:rFonts w:ascii="Times New Roman" w:hAnsi="Times New Roman"/>
          <w:color w:val="auto"/>
          <w:sz w:val="24"/>
          <w:szCs w:val="24"/>
          <w:lang w:val="ro-MD"/>
        </w:rPr>
        <w:t>Programului</w:t>
      </w:r>
    </w:p>
    <w:p w14:paraId="609C0177" w14:textId="1732E0D5" w:rsidR="008371AA" w:rsidRPr="003836D9" w:rsidRDefault="008371AA" w:rsidP="00577F4C">
      <w:pPr>
        <w:tabs>
          <w:tab w:val="num" w:pos="142"/>
        </w:tabs>
        <w:spacing w:before="120" w:after="120" w:line="280" w:lineRule="exact"/>
        <w:jc w:val="both"/>
        <w:rPr>
          <w:rFonts w:ascii="Times New Roman" w:hAnsi="Times New Roman" w:cs="Times New Roman"/>
          <w:iCs/>
          <w:color w:val="000000"/>
          <w:sz w:val="24"/>
          <w:szCs w:val="24"/>
          <w:lang w:val="ro-MD"/>
        </w:rPr>
      </w:pPr>
      <w:r w:rsidRPr="003836D9">
        <w:rPr>
          <w:rFonts w:ascii="Times New Roman" w:hAnsi="Times New Roman" w:cs="Times New Roman"/>
          <w:iCs/>
          <w:color w:val="000000"/>
          <w:sz w:val="24"/>
          <w:szCs w:val="24"/>
          <w:lang w:val="ro-MD"/>
        </w:rPr>
        <w:t xml:space="preserve">Ministerul Muncii și Protecției Sociale </w:t>
      </w:r>
      <w:r w:rsidR="00704FEA" w:rsidRPr="003836D9">
        <w:rPr>
          <w:rFonts w:ascii="Times New Roman" w:hAnsi="Times New Roman" w:cs="Times New Roman"/>
          <w:iCs/>
          <w:color w:val="000000"/>
          <w:sz w:val="24"/>
          <w:szCs w:val="24"/>
          <w:lang w:val="ro-MD"/>
        </w:rPr>
        <w:t xml:space="preserve">este responsabilul principal pentru implementarea Programului </w:t>
      </w:r>
      <w:r w:rsidRPr="003836D9">
        <w:rPr>
          <w:rFonts w:ascii="Times New Roman" w:hAnsi="Times New Roman" w:cs="Times New Roman"/>
          <w:iCs/>
          <w:color w:val="000000"/>
          <w:sz w:val="24"/>
          <w:szCs w:val="24"/>
          <w:lang w:val="ro-MD"/>
        </w:rPr>
        <w:t xml:space="preserve">și </w:t>
      </w:r>
      <w:r w:rsidR="00704FEA" w:rsidRPr="003836D9">
        <w:rPr>
          <w:rFonts w:ascii="Times New Roman" w:hAnsi="Times New Roman" w:cs="Times New Roman"/>
          <w:iCs/>
          <w:color w:val="000000"/>
          <w:sz w:val="24"/>
          <w:szCs w:val="24"/>
          <w:lang w:val="ro-MD"/>
        </w:rPr>
        <w:t xml:space="preserve">elaborarea </w:t>
      </w:r>
      <w:r w:rsidRPr="003836D9">
        <w:rPr>
          <w:rFonts w:ascii="Times New Roman" w:hAnsi="Times New Roman" w:cs="Times New Roman"/>
          <w:iCs/>
          <w:color w:val="000000"/>
          <w:sz w:val="24"/>
          <w:szCs w:val="24"/>
          <w:lang w:val="ro-MD"/>
        </w:rPr>
        <w:t xml:space="preserve">rapoartelor de progres către Guvern. </w:t>
      </w:r>
      <w:r w:rsidR="00704FEA" w:rsidRPr="003836D9">
        <w:rPr>
          <w:rFonts w:ascii="Times New Roman" w:hAnsi="Times New Roman" w:cs="Times New Roman"/>
          <w:iCs/>
          <w:color w:val="000000"/>
          <w:sz w:val="24"/>
          <w:szCs w:val="24"/>
          <w:lang w:val="ro-MD"/>
        </w:rPr>
        <w:t xml:space="preserve">Ministerul Economiei, Ministerul Educației și Cercetării și Ministerului Finanțelor sunt indirect responsabili de implementarea </w:t>
      </w:r>
      <w:r w:rsidR="00151C08">
        <w:rPr>
          <w:rFonts w:ascii="Times New Roman" w:hAnsi="Times New Roman" w:cs="Times New Roman"/>
          <w:iCs/>
          <w:color w:val="000000"/>
          <w:sz w:val="24"/>
          <w:szCs w:val="24"/>
          <w:lang w:val="ro-MD"/>
        </w:rPr>
        <w:t>P</w:t>
      </w:r>
      <w:r w:rsidR="00704FEA" w:rsidRPr="003836D9">
        <w:rPr>
          <w:rFonts w:ascii="Times New Roman" w:hAnsi="Times New Roman" w:cs="Times New Roman"/>
          <w:iCs/>
          <w:color w:val="000000"/>
          <w:sz w:val="24"/>
          <w:szCs w:val="24"/>
          <w:lang w:val="ro-MD"/>
        </w:rPr>
        <w:t>rogramului la capitolul ce ține de măsurile din domeniul formării profesionale, îmbunăt</w:t>
      </w:r>
      <w:r w:rsidR="00D84365" w:rsidRPr="003836D9">
        <w:rPr>
          <w:rFonts w:ascii="Times New Roman" w:hAnsi="Times New Roman" w:cs="Times New Roman"/>
          <w:iCs/>
          <w:color w:val="000000"/>
          <w:sz w:val="24"/>
          <w:szCs w:val="24"/>
          <w:lang w:val="ro-MD"/>
        </w:rPr>
        <w:t xml:space="preserve">ățirea climatului investițional, protecției concurenței, dezvoltarea serviciilor de susținere a ÎMM și inovării. </w:t>
      </w:r>
      <w:r w:rsidR="00D06D9D" w:rsidRPr="003836D9">
        <w:rPr>
          <w:rFonts w:ascii="Times New Roman" w:hAnsi="Times New Roman" w:cs="Times New Roman"/>
          <w:iCs/>
          <w:color w:val="000000"/>
          <w:sz w:val="24"/>
          <w:szCs w:val="24"/>
          <w:lang w:val="ro-MD"/>
        </w:rPr>
        <w:t>M</w:t>
      </w:r>
      <w:r w:rsidR="00F30424" w:rsidRPr="003836D9">
        <w:rPr>
          <w:rFonts w:ascii="Times New Roman" w:hAnsi="Times New Roman" w:cs="Times New Roman"/>
          <w:iCs/>
          <w:color w:val="000000"/>
          <w:sz w:val="24"/>
          <w:szCs w:val="24"/>
          <w:lang w:val="ro-MD"/>
        </w:rPr>
        <w:t xml:space="preserve">inisterul Muncii și Protecției Sociale </w:t>
      </w:r>
      <w:r w:rsidR="00D06D9D" w:rsidRPr="003836D9">
        <w:rPr>
          <w:rFonts w:ascii="Times New Roman" w:hAnsi="Times New Roman" w:cs="Times New Roman"/>
          <w:iCs/>
          <w:color w:val="000000"/>
          <w:sz w:val="24"/>
          <w:szCs w:val="24"/>
          <w:lang w:val="ro-MD"/>
        </w:rPr>
        <w:t xml:space="preserve">va utiliza grupele sectoriale de lucru pentru elaborarea Cadrului Bugetar pe Termen Mediu, grupurile de lucru pentru elaborarea documentelor de politici sectoriale, platforme de colaborare precum este Comisia Națională pentru Consultări și Negocieri Colective sau Consiliul Economic pe lângă prim-ministru pentru planificarea </w:t>
      </w:r>
      <w:r w:rsidR="008303C3" w:rsidRPr="003836D9">
        <w:rPr>
          <w:rFonts w:ascii="Times New Roman" w:hAnsi="Times New Roman" w:cs="Times New Roman"/>
          <w:iCs/>
          <w:color w:val="000000"/>
          <w:sz w:val="24"/>
          <w:szCs w:val="24"/>
          <w:lang w:val="ro-MD"/>
        </w:rPr>
        <w:t>măsurilor de politici</w:t>
      </w:r>
      <w:r w:rsidR="001D2224" w:rsidRPr="003836D9">
        <w:rPr>
          <w:rFonts w:ascii="Times New Roman" w:hAnsi="Times New Roman" w:cs="Times New Roman"/>
          <w:iCs/>
          <w:color w:val="000000"/>
          <w:sz w:val="24"/>
          <w:szCs w:val="24"/>
          <w:lang w:val="ro-MD"/>
        </w:rPr>
        <w:t xml:space="preserve"> din domeniul economic, fiscal, educației, dezvoltării ÎMM,</w:t>
      </w:r>
      <w:r w:rsidR="008303C3" w:rsidRPr="003836D9">
        <w:rPr>
          <w:rFonts w:ascii="Times New Roman" w:hAnsi="Times New Roman" w:cs="Times New Roman"/>
          <w:iCs/>
          <w:color w:val="000000"/>
          <w:sz w:val="24"/>
          <w:szCs w:val="24"/>
          <w:lang w:val="ro-MD"/>
        </w:rPr>
        <w:t xml:space="preserve"> </w:t>
      </w:r>
      <w:r w:rsidR="00D06D9D" w:rsidRPr="003836D9">
        <w:rPr>
          <w:rFonts w:ascii="Times New Roman" w:hAnsi="Times New Roman" w:cs="Times New Roman"/>
          <w:iCs/>
          <w:color w:val="000000"/>
          <w:sz w:val="24"/>
          <w:szCs w:val="24"/>
          <w:lang w:val="ro-MD"/>
        </w:rPr>
        <w:t>pieței muncii și social</w:t>
      </w:r>
      <w:r w:rsidR="00812224" w:rsidRPr="003836D9">
        <w:rPr>
          <w:rFonts w:ascii="Times New Roman" w:hAnsi="Times New Roman" w:cs="Times New Roman"/>
          <w:iCs/>
          <w:color w:val="000000"/>
          <w:sz w:val="24"/>
          <w:szCs w:val="24"/>
          <w:lang w:val="ro-MD"/>
        </w:rPr>
        <w:t>,</w:t>
      </w:r>
      <w:r w:rsidR="008303C3" w:rsidRPr="003836D9">
        <w:rPr>
          <w:rFonts w:ascii="Times New Roman" w:hAnsi="Times New Roman" w:cs="Times New Roman"/>
          <w:iCs/>
          <w:color w:val="000000"/>
          <w:sz w:val="24"/>
          <w:szCs w:val="24"/>
          <w:lang w:val="ro-MD"/>
        </w:rPr>
        <w:t xml:space="preserve"> </w:t>
      </w:r>
      <w:r w:rsidR="00812224" w:rsidRPr="003836D9">
        <w:rPr>
          <w:rFonts w:ascii="Times New Roman" w:hAnsi="Times New Roman" w:cs="Times New Roman"/>
          <w:iCs/>
          <w:color w:val="000000"/>
          <w:sz w:val="24"/>
          <w:szCs w:val="24"/>
          <w:lang w:val="ro-MD"/>
        </w:rPr>
        <w:t>necesare pentru obținerea progresului și, respectiv, impactului asupra pieței muncii descris în prezentul Program</w:t>
      </w:r>
      <w:r w:rsidR="007301B3" w:rsidRPr="003836D9">
        <w:rPr>
          <w:rFonts w:ascii="Times New Roman" w:hAnsi="Times New Roman" w:cs="Times New Roman"/>
          <w:iCs/>
          <w:color w:val="000000"/>
          <w:sz w:val="24"/>
          <w:szCs w:val="24"/>
          <w:lang w:val="ro-MD"/>
        </w:rPr>
        <w:t>.</w:t>
      </w:r>
      <w:r w:rsidR="001A69F6" w:rsidRPr="003836D9">
        <w:rPr>
          <w:rFonts w:ascii="Times New Roman" w:hAnsi="Times New Roman" w:cs="Times New Roman"/>
          <w:iCs/>
          <w:color w:val="000000"/>
          <w:sz w:val="24"/>
          <w:szCs w:val="24"/>
          <w:lang w:val="ro-MD"/>
        </w:rPr>
        <w:t xml:space="preserve">  </w:t>
      </w:r>
    </w:p>
    <w:p w14:paraId="4E81DBC7" w14:textId="76326D6F" w:rsidR="00EF0B33" w:rsidRPr="003836D9" w:rsidRDefault="00EF0B33" w:rsidP="00577F4C">
      <w:pPr>
        <w:tabs>
          <w:tab w:val="num" w:pos="142"/>
        </w:tabs>
        <w:spacing w:before="120" w:after="120" w:line="280" w:lineRule="exact"/>
        <w:jc w:val="both"/>
        <w:rPr>
          <w:rFonts w:ascii="Times New Roman" w:hAnsi="Times New Roman" w:cs="Times New Roman"/>
          <w:iCs/>
          <w:color w:val="000000"/>
          <w:sz w:val="24"/>
          <w:szCs w:val="24"/>
          <w:lang w:val="ro-MD"/>
        </w:rPr>
      </w:pPr>
      <w:r w:rsidRPr="003836D9">
        <w:rPr>
          <w:rFonts w:ascii="Times New Roman" w:hAnsi="Times New Roman" w:cs="Times New Roman"/>
          <w:iCs/>
          <w:color w:val="000000"/>
          <w:sz w:val="24"/>
          <w:szCs w:val="24"/>
          <w:lang w:val="ro-MD"/>
        </w:rPr>
        <w:t>Un rol major în implementarea acțiunilor Planului de Acțiuni îl vor avea autoritățile publice centrale din subordinea M</w:t>
      </w:r>
      <w:r w:rsidR="00050DF5">
        <w:rPr>
          <w:rFonts w:ascii="Times New Roman" w:hAnsi="Times New Roman" w:cs="Times New Roman"/>
          <w:iCs/>
          <w:color w:val="000000"/>
          <w:sz w:val="24"/>
          <w:szCs w:val="24"/>
          <w:lang w:val="ro-MD"/>
        </w:rPr>
        <w:t>inisterului Muncii și Protecției Sociale</w:t>
      </w:r>
      <w:r w:rsidRPr="003836D9">
        <w:rPr>
          <w:rFonts w:ascii="Times New Roman" w:hAnsi="Times New Roman" w:cs="Times New Roman"/>
          <w:iCs/>
          <w:color w:val="000000"/>
          <w:sz w:val="24"/>
          <w:szCs w:val="24"/>
          <w:lang w:val="ro-MD"/>
        </w:rPr>
        <w:t>, precum sunt: A</w:t>
      </w:r>
      <w:r w:rsidR="007665B2">
        <w:rPr>
          <w:rFonts w:ascii="Times New Roman" w:hAnsi="Times New Roman" w:cs="Times New Roman"/>
          <w:iCs/>
          <w:color w:val="000000"/>
          <w:sz w:val="24"/>
          <w:szCs w:val="24"/>
          <w:lang w:val="ro-MD"/>
        </w:rPr>
        <w:t>genția Națională pentru Ocuparea Forței de Muncă</w:t>
      </w:r>
      <w:r w:rsidRPr="003836D9">
        <w:rPr>
          <w:rFonts w:ascii="Times New Roman" w:hAnsi="Times New Roman" w:cs="Times New Roman"/>
          <w:iCs/>
          <w:color w:val="000000"/>
          <w:sz w:val="24"/>
          <w:szCs w:val="24"/>
          <w:lang w:val="ro-MD"/>
        </w:rPr>
        <w:t>, I</w:t>
      </w:r>
      <w:r w:rsidR="007665B2">
        <w:rPr>
          <w:rFonts w:ascii="Times New Roman" w:hAnsi="Times New Roman" w:cs="Times New Roman"/>
          <w:iCs/>
          <w:color w:val="000000"/>
          <w:sz w:val="24"/>
          <w:szCs w:val="24"/>
          <w:lang w:val="ro-MD"/>
        </w:rPr>
        <w:t>nspectoratul de Stat al Muncii</w:t>
      </w:r>
      <w:r w:rsidRPr="003836D9">
        <w:rPr>
          <w:rFonts w:ascii="Times New Roman" w:hAnsi="Times New Roman" w:cs="Times New Roman"/>
          <w:iCs/>
          <w:color w:val="000000"/>
          <w:sz w:val="24"/>
          <w:szCs w:val="24"/>
          <w:lang w:val="ro-MD"/>
        </w:rPr>
        <w:t>. Acțiunile vor fi planificate anual în Planurile de activitate a acestor instituții, iar implementarea acestora va fi coordonată de M</w:t>
      </w:r>
      <w:r w:rsidR="00050DF5">
        <w:rPr>
          <w:rFonts w:ascii="Times New Roman" w:hAnsi="Times New Roman" w:cs="Times New Roman"/>
          <w:iCs/>
          <w:color w:val="000000"/>
          <w:sz w:val="24"/>
          <w:szCs w:val="24"/>
          <w:lang w:val="ro-MD"/>
        </w:rPr>
        <w:t>inisterul Muncii și Protecției Sociale</w:t>
      </w:r>
      <w:r w:rsidRPr="003836D9">
        <w:rPr>
          <w:rFonts w:ascii="Times New Roman" w:hAnsi="Times New Roman" w:cs="Times New Roman"/>
          <w:iCs/>
          <w:color w:val="000000"/>
          <w:sz w:val="24"/>
          <w:szCs w:val="24"/>
          <w:lang w:val="ro-MD"/>
        </w:rPr>
        <w:t>.</w:t>
      </w:r>
    </w:p>
    <w:p w14:paraId="4D67DD21" w14:textId="362685E6" w:rsidR="008371AA" w:rsidRPr="000926B3" w:rsidRDefault="008371AA" w:rsidP="005F2AA2">
      <w:pPr>
        <w:pStyle w:val="Heading2"/>
        <w:numPr>
          <w:ilvl w:val="0"/>
          <w:numId w:val="50"/>
        </w:numPr>
        <w:spacing w:before="0" w:after="160" w:line="259" w:lineRule="auto"/>
        <w:ind w:left="720"/>
        <w:jc w:val="center"/>
        <w:rPr>
          <w:rFonts w:ascii="Times New Roman" w:hAnsi="Times New Roman"/>
          <w:color w:val="auto"/>
          <w:sz w:val="24"/>
          <w:szCs w:val="24"/>
          <w:lang w:val="ro-MD"/>
        </w:rPr>
      </w:pPr>
      <w:r w:rsidRPr="000926B3">
        <w:rPr>
          <w:rFonts w:ascii="Times New Roman" w:hAnsi="Times New Roman"/>
          <w:color w:val="auto"/>
          <w:sz w:val="24"/>
          <w:szCs w:val="24"/>
          <w:lang w:val="ro-MD"/>
        </w:rPr>
        <w:t>Monitorizare și evaluare</w:t>
      </w:r>
    </w:p>
    <w:p w14:paraId="54F4A249" w14:textId="25C5BBF5" w:rsidR="00AF69E7" w:rsidRPr="003836D9" w:rsidRDefault="008371AA" w:rsidP="008857C7">
      <w:pPr>
        <w:spacing w:before="120" w:after="120" w:line="280" w:lineRule="exact"/>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Monitorizarea </w:t>
      </w:r>
      <w:r w:rsidR="00120F6F" w:rsidRPr="003836D9">
        <w:rPr>
          <w:rFonts w:ascii="Times New Roman" w:hAnsi="Times New Roman" w:cs="Times New Roman"/>
          <w:sz w:val="24"/>
          <w:szCs w:val="24"/>
          <w:lang w:val="ro-MD"/>
        </w:rPr>
        <w:t>Programului de ocupare 2022-2026</w:t>
      </w:r>
      <w:r w:rsidRPr="003836D9">
        <w:rPr>
          <w:rFonts w:ascii="Times New Roman" w:hAnsi="Times New Roman" w:cs="Times New Roman"/>
          <w:sz w:val="24"/>
          <w:szCs w:val="24"/>
          <w:lang w:val="ro-MD"/>
        </w:rPr>
        <w:t xml:space="preserve"> va </w:t>
      </w:r>
      <w:r w:rsidR="00120F6F" w:rsidRPr="003836D9">
        <w:rPr>
          <w:rFonts w:ascii="Times New Roman" w:hAnsi="Times New Roman" w:cs="Times New Roman"/>
          <w:sz w:val="24"/>
          <w:szCs w:val="24"/>
          <w:lang w:val="ro-MD"/>
        </w:rPr>
        <w:t xml:space="preserve">include </w:t>
      </w:r>
      <w:r w:rsidR="0020186F" w:rsidRPr="003836D9">
        <w:rPr>
          <w:rFonts w:ascii="Times New Roman" w:hAnsi="Times New Roman" w:cs="Times New Roman"/>
          <w:sz w:val="24"/>
          <w:szCs w:val="24"/>
          <w:lang w:val="ro-MD"/>
        </w:rPr>
        <w:t>elaborarea și prezentarea rapoart</w:t>
      </w:r>
      <w:r w:rsidR="00AF69E7" w:rsidRPr="003836D9">
        <w:rPr>
          <w:rFonts w:ascii="Times New Roman" w:hAnsi="Times New Roman" w:cs="Times New Roman"/>
          <w:sz w:val="24"/>
          <w:szCs w:val="24"/>
          <w:lang w:val="ro-MD"/>
        </w:rPr>
        <w:t>elor anuale de monitorizare a activităților planificate. Se va urmări gradul de realizare a activităților, resursele utilizate și produsele obținute, prin compararea acțiunilor planificate și cele realizate</w:t>
      </w:r>
      <w:r w:rsidR="00DD7935">
        <w:rPr>
          <w:rFonts w:ascii="Times New Roman" w:hAnsi="Times New Roman" w:cs="Times New Roman"/>
          <w:sz w:val="24"/>
          <w:szCs w:val="24"/>
          <w:lang w:val="ro-MD"/>
        </w:rPr>
        <w:t>.</w:t>
      </w:r>
      <w:r w:rsidRPr="003836D9">
        <w:rPr>
          <w:rFonts w:ascii="Times New Roman" w:hAnsi="Times New Roman" w:cs="Times New Roman"/>
          <w:sz w:val="24"/>
          <w:szCs w:val="24"/>
          <w:lang w:val="ro-MD"/>
        </w:rPr>
        <w:t xml:space="preserve"> </w:t>
      </w:r>
    </w:p>
    <w:p w14:paraId="0DB371F7" w14:textId="1B757E6B" w:rsidR="00AF69E7" w:rsidRPr="003836D9" w:rsidRDefault="00EC220C" w:rsidP="00371D6A">
      <w:pPr>
        <w:spacing w:before="120" w:after="120" w:line="280" w:lineRule="exact"/>
        <w:jc w:val="both"/>
        <w:rPr>
          <w:rFonts w:ascii="Times New Roman" w:hAnsi="Times New Roman" w:cs="Times New Roman"/>
          <w:sz w:val="24"/>
          <w:szCs w:val="24"/>
          <w:lang w:val="ro-MD"/>
        </w:rPr>
      </w:pPr>
      <w:r>
        <w:rPr>
          <w:rFonts w:ascii="Times New Roman" w:hAnsi="Times New Roman" w:cs="Times New Roman"/>
          <w:sz w:val="24"/>
          <w:szCs w:val="24"/>
          <w:lang w:val="ro-MD"/>
        </w:rPr>
        <w:t>Ministerul Muncii și Protecției Sociale</w:t>
      </w:r>
      <w:r w:rsidR="008371AA" w:rsidRPr="003836D9">
        <w:rPr>
          <w:rFonts w:ascii="Times New Roman" w:hAnsi="Times New Roman" w:cs="Times New Roman"/>
          <w:sz w:val="24"/>
          <w:szCs w:val="24"/>
          <w:lang w:val="ro-MD"/>
        </w:rPr>
        <w:t xml:space="preserve"> va fi responsabil de </w:t>
      </w:r>
      <w:r w:rsidR="00AF69E7" w:rsidRPr="003836D9">
        <w:rPr>
          <w:rFonts w:ascii="Times New Roman" w:hAnsi="Times New Roman" w:cs="Times New Roman"/>
          <w:sz w:val="24"/>
          <w:szCs w:val="24"/>
          <w:lang w:val="ro-MD"/>
        </w:rPr>
        <w:t xml:space="preserve">colectarea și sistematizarea informațiilor privind </w:t>
      </w:r>
      <w:r w:rsidR="008371AA" w:rsidRPr="003836D9">
        <w:rPr>
          <w:rFonts w:ascii="Times New Roman" w:hAnsi="Times New Roman" w:cs="Times New Roman"/>
          <w:sz w:val="24"/>
          <w:szCs w:val="24"/>
          <w:lang w:val="ro-MD"/>
        </w:rPr>
        <w:t>implement</w:t>
      </w:r>
      <w:r w:rsidR="00AF69E7" w:rsidRPr="003836D9">
        <w:rPr>
          <w:rFonts w:ascii="Times New Roman" w:hAnsi="Times New Roman" w:cs="Times New Roman"/>
          <w:sz w:val="24"/>
          <w:szCs w:val="24"/>
          <w:lang w:val="ro-MD"/>
        </w:rPr>
        <w:t xml:space="preserve">area </w:t>
      </w:r>
      <w:r w:rsidR="00FD0F9E" w:rsidRPr="003836D9">
        <w:rPr>
          <w:rFonts w:ascii="Times New Roman" w:hAnsi="Times New Roman" w:cs="Times New Roman"/>
          <w:sz w:val="24"/>
          <w:szCs w:val="24"/>
          <w:lang w:val="ro-MD"/>
        </w:rPr>
        <w:t>Programului</w:t>
      </w:r>
      <w:r w:rsidR="00AF69E7" w:rsidRPr="003836D9">
        <w:rPr>
          <w:rFonts w:ascii="Times New Roman" w:hAnsi="Times New Roman" w:cs="Times New Roman"/>
          <w:sz w:val="24"/>
          <w:szCs w:val="24"/>
          <w:lang w:val="ro-MD"/>
        </w:rPr>
        <w:t>,</w:t>
      </w:r>
      <w:r w:rsidR="00FD0F9E" w:rsidRPr="003836D9">
        <w:rPr>
          <w:rFonts w:ascii="Times New Roman" w:hAnsi="Times New Roman" w:cs="Times New Roman"/>
          <w:sz w:val="24"/>
          <w:szCs w:val="24"/>
          <w:lang w:val="ro-MD"/>
        </w:rPr>
        <w:t xml:space="preserve"> </w:t>
      </w:r>
      <w:r w:rsidR="008371AA" w:rsidRPr="003836D9">
        <w:rPr>
          <w:rFonts w:ascii="Times New Roman" w:hAnsi="Times New Roman" w:cs="Times New Roman"/>
          <w:sz w:val="24"/>
          <w:szCs w:val="24"/>
          <w:lang w:val="ro-MD"/>
        </w:rPr>
        <w:t xml:space="preserve">pentru a fi prezentate Guvernului. </w:t>
      </w:r>
    </w:p>
    <w:p w14:paraId="02360596" w14:textId="77777777" w:rsidR="008857C7" w:rsidRDefault="00200B78" w:rsidP="008857C7">
      <w:pPr>
        <w:pStyle w:val="ListParagraph"/>
        <w:shd w:val="clear" w:color="auto" w:fill="FFFFFF" w:themeFill="background1"/>
        <w:spacing w:after="0"/>
        <w:ind w:left="1276" w:right="57" w:hanging="1276"/>
        <w:contextualSpacing w:val="0"/>
        <w:jc w:val="both"/>
        <w:rPr>
          <w:rFonts w:ascii="Times New Roman" w:hAnsi="Times New Roman" w:cs="Times New Roman"/>
          <w:bCs/>
          <w:iCs/>
          <w:color w:val="000000"/>
          <w:sz w:val="24"/>
          <w:szCs w:val="24"/>
          <w:lang w:val="ro-MD"/>
        </w:rPr>
      </w:pPr>
      <w:r w:rsidRPr="003836D9">
        <w:rPr>
          <w:rFonts w:ascii="Times New Roman" w:hAnsi="Times New Roman" w:cs="Times New Roman"/>
          <w:bCs/>
          <w:iCs/>
          <w:color w:val="000000"/>
          <w:sz w:val="24"/>
          <w:szCs w:val="24"/>
          <w:lang w:val="ro-MD"/>
        </w:rPr>
        <w:t xml:space="preserve">În procesul de monitorizare a </w:t>
      </w:r>
      <w:r w:rsidR="00B602D2" w:rsidRPr="003836D9">
        <w:rPr>
          <w:rFonts w:ascii="Times New Roman" w:hAnsi="Times New Roman" w:cs="Times New Roman"/>
          <w:b/>
          <w:bCs/>
          <w:iCs/>
          <w:color w:val="000000"/>
          <w:sz w:val="24"/>
          <w:szCs w:val="24"/>
          <w:lang w:val="ro-MD"/>
        </w:rPr>
        <w:t>O</w:t>
      </w:r>
      <w:r w:rsidR="009150F6" w:rsidRPr="003836D9">
        <w:rPr>
          <w:rFonts w:ascii="Times New Roman" w:hAnsi="Times New Roman" w:cs="Times New Roman"/>
          <w:b/>
          <w:bCs/>
          <w:iCs/>
          <w:color w:val="000000"/>
          <w:sz w:val="24"/>
          <w:szCs w:val="24"/>
          <w:lang w:val="ro-MD"/>
        </w:rPr>
        <w:t>biectiv</w:t>
      </w:r>
      <w:r w:rsidR="00122D65" w:rsidRPr="003836D9">
        <w:rPr>
          <w:rFonts w:ascii="Times New Roman" w:hAnsi="Times New Roman" w:cs="Times New Roman"/>
          <w:b/>
          <w:bCs/>
          <w:iCs/>
          <w:color w:val="000000"/>
          <w:sz w:val="24"/>
          <w:szCs w:val="24"/>
          <w:lang w:val="ro-MD"/>
        </w:rPr>
        <w:t>ului</w:t>
      </w:r>
      <w:r w:rsidR="009150F6" w:rsidRPr="003836D9">
        <w:rPr>
          <w:rFonts w:ascii="Times New Roman" w:hAnsi="Times New Roman" w:cs="Times New Roman"/>
          <w:b/>
          <w:bCs/>
          <w:iCs/>
          <w:color w:val="000000"/>
          <w:sz w:val="24"/>
          <w:szCs w:val="24"/>
          <w:lang w:val="ro-MD"/>
        </w:rPr>
        <w:t xml:space="preserve"> specific 1</w:t>
      </w:r>
      <w:r w:rsidR="00122D65" w:rsidRPr="003836D9">
        <w:rPr>
          <w:rFonts w:ascii="Times New Roman" w:hAnsi="Times New Roman" w:cs="Times New Roman"/>
          <w:bCs/>
          <w:iCs/>
          <w:color w:val="000000"/>
          <w:sz w:val="24"/>
          <w:szCs w:val="24"/>
          <w:lang w:val="ro-MD"/>
        </w:rPr>
        <w:t xml:space="preserve"> </w:t>
      </w:r>
      <w:r w:rsidR="009150F6" w:rsidRPr="003836D9">
        <w:rPr>
          <w:rFonts w:ascii="Times New Roman" w:hAnsi="Times New Roman" w:cs="Times New Roman"/>
          <w:bCs/>
          <w:iCs/>
          <w:color w:val="000000"/>
          <w:sz w:val="24"/>
          <w:szCs w:val="24"/>
          <w:lang w:val="ro-MD"/>
        </w:rPr>
        <w:t xml:space="preserve">se va </w:t>
      </w:r>
      <w:r w:rsidRPr="003836D9">
        <w:rPr>
          <w:rFonts w:ascii="Times New Roman" w:hAnsi="Times New Roman" w:cs="Times New Roman"/>
          <w:bCs/>
          <w:iCs/>
          <w:color w:val="000000"/>
          <w:sz w:val="24"/>
          <w:szCs w:val="24"/>
          <w:lang w:val="ro-MD"/>
        </w:rPr>
        <w:t>urmări</w:t>
      </w:r>
      <w:r w:rsidR="00BD2E3C">
        <w:rPr>
          <w:rFonts w:ascii="Times New Roman" w:hAnsi="Times New Roman" w:cs="Times New Roman"/>
          <w:bCs/>
          <w:iCs/>
          <w:color w:val="000000"/>
          <w:sz w:val="24"/>
          <w:szCs w:val="24"/>
          <w:lang w:val="ro-MD"/>
        </w:rPr>
        <w:t xml:space="preserve"> daca</w:t>
      </w:r>
      <w:r w:rsidR="008857C7">
        <w:rPr>
          <w:rFonts w:ascii="Times New Roman" w:hAnsi="Times New Roman" w:cs="Times New Roman"/>
          <w:bCs/>
          <w:iCs/>
          <w:color w:val="000000"/>
          <w:sz w:val="24"/>
          <w:szCs w:val="24"/>
          <w:lang w:val="ro-MD"/>
        </w:rPr>
        <w:t>:</w:t>
      </w:r>
    </w:p>
    <w:p w14:paraId="36D84D5D" w14:textId="057F8F3D" w:rsidR="0051732B" w:rsidRDefault="008857C7" w:rsidP="008857C7">
      <w:pPr>
        <w:shd w:val="clear" w:color="auto" w:fill="FFFFFF" w:themeFill="background1"/>
        <w:spacing w:after="0"/>
        <w:ind w:right="5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8857C7">
        <w:rPr>
          <w:rFonts w:ascii="Times New Roman" w:hAnsi="Times New Roman" w:cs="Times New Roman"/>
          <w:sz w:val="24"/>
          <w:szCs w:val="24"/>
          <w:lang w:val="ro-MD"/>
        </w:rPr>
        <w:t xml:space="preserve">există </w:t>
      </w:r>
      <w:r w:rsidR="00BD2E3C" w:rsidRPr="008857C7">
        <w:rPr>
          <w:rFonts w:ascii="Times New Roman" w:hAnsi="Times New Roman" w:cs="Times New Roman"/>
          <w:sz w:val="24"/>
          <w:szCs w:val="24"/>
          <w:lang w:val="ro-MD"/>
        </w:rPr>
        <w:t>ofert</w:t>
      </w:r>
      <w:r w:rsidRPr="008857C7">
        <w:rPr>
          <w:rFonts w:ascii="Times New Roman" w:hAnsi="Times New Roman" w:cs="Times New Roman"/>
          <w:sz w:val="24"/>
          <w:szCs w:val="24"/>
          <w:lang w:val="ro-MD"/>
        </w:rPr>
        <w:t xml:space="preserve">a de </w:t>
      </w:r>
      <w:r w:rsidR="00BD2E3C" w:rsidRPr="008857C7">
        <w:rPr>
          <w:rFonts w:ascii="Times New Roman" w:hAnsi="Times New Roman" w:cs="Times New Roman"/>
          <w:sz w:val="24"/>
          <w:szCs w:val="24"/>
          <w:lang w:val="ro-MD"/>
        </w:rPr>
        <w:t xml:space="preserve">servicii </w:t>
      </w:r>
      <w:r w:rsidR="0051732B">
        <w:rPr>
          <w:rFonts w:ascii="Times New Roman" w:hAnsi="Times New Roman" w:cs="Times New Roman"/>
          <w:sz w:val="24"/>
          <w:szCs w:val="24"/>
          <w:lang w:val="ro-MD"/>
        </w:rPr>
        <w:t xml:space="preserve">alternative </w:t>
      </w:r>
      <w:r w:rsidR="00BD2E3C" w:rsidRPr="008857C7">
        <w:rPr>
          <w:rFonts w:ascii="Times New Roman" w:hAnsi="Times New Roman" w:cs="Times New Roman"/>
          <w:sz w:val="24"/>
          <w:szCs w:val="24"/>
          <w:lang w:val="ro-MD"/>
        </w:rPr>
        <w:t xml:space="preserve">de îngrijire a copiilor la prețuri accesibile </w:t>
      </w:r>
      <w:r w:rsidRPr="008857C7">
        <w:rPr>
          <w:rFonts w:ascii="Times New Roman" w:hAnsi="Times New Roman" w:cs="Times New Roman"/>
          <w:sz w:val="24"/>
          <w:szCs w:val="24"/>
          <w:lang w:val="ro-MD"/>
        </w:rPr>
        <w:t xml:space="preserve">în </w:t>
      </w:r>
      <w:r w:rsidR="00BD2E3C" w:rsidRPr="008857C7">
        <w:rPr>
          <w:rFonts w:ascii="Times New Roman" w:hAnsi="Times New Roman" w:cs="Times New Roman"/>
          <w:sz w:val="24"/>
          <w:szCs w:val="24"/>
          <w:lang w:val="ro-MD"/>
        </w:rPr>
        <w:t>toate zonele geog</w:t>
      </w:r>
      <w:r w:rsidRPr="008857C7">
        <w:rPr>
          <w:rFonts w:ascii="Times New Roman" w:hAnsi="Times New Roman" w:cs="Times New Roman"/>
          <w:sz w:val="24"/>
          <w:szCs w:val="24"/>
          <w:lang w:val="ro-MD"/>
        </w:rPr>
        <w:t>rafice ale țării și s</w:t>
      </w:r>
      <w:r w:rsidR="0051732B">
        <w:rPr>
          <w:rFonts w:ascii="Times New Roman" w:hAnsi="Times New Roman" w:cs="Times New Roman"/>
          <w:sz w:val="24"/>
          <w:szCs w:val="24"/>
          <w:lang w:val="ro-MD"/>
        </w:rPr>
        <w:t>u</w:t>
      </w:r>
      <w:r w:rsidRPr="008857C7">
        <w:rPr>
          <w:rFonts w:ascii="Times New Roman" w:hAnsi="Times New Roman" w:cs="Times New Roman"/>
          <w:sz w:val="24"/>
          <w:szCs w:val="24"/>
          <w:lang w:val="ro-MD"/>
        </w:rPr>
        <w:t xml:space="preserve">nt implementate măsuri de sprijinire a </w:t>
      </w:r>
      <w:r w:rsidR="00BD2E3C" w:rsidRPr="008857C7">
        <w:rPr>
          <w:rFonts w:ascii="Times New Roman" w:hAnsi="Times New Roman" w:cs="Times New Roman"/>
          <w:sz w:val="24"/>
          <w:szCs w:val="24"/>
          <w:lang w:val="ro-MD"/>
        </w:rPr>
        <w:t>participării și ocupării forței</w:t>
      </w:r>
      <w:r w:rsidRPr="008857C7">
        <w:rPr>
          <w:rFonts w:ascii="Times New Roman" w:hAnsi="Times New Roman" w:cs="Times New Roman"/>
          <w:sz w:val="24"/>
          <w:szCs w:val="24"/>
          <w:lang w:val="ro-MD"/>
        </w:rPr>
        <w:t xml:space="preserve"> de muncă, în special în rândul </w:t>
      </w:r>
      <w:r w:rsidR="00BD2E3C" w:rsidRPr="008857C7">
        <w:rPr>
          <w:rFonts w:ascii="Times New Roman" w:hAnsi="Times New Roman" w:cs="Times New Roman"/>
          <w:sz w:val="24"/>
          <w:szCs w:val="24"/>
          <w:lang w:val="ro-MD"/>
        </w:rPr>
        <w:t xml:space="preserve">femeilor de vârstă de </w:t>
      </w:r>
      <w:r w:rsidR="00BD2E3C" w:rsidRPr="008857C7">
        <w:rPr>
          <w:rFonts w:ascii="Times New Roman" w:eastAsia="Times New Roman" w:hAnsi="Times New Roman" w:cs="Times New Roman"/>
          <w:sz w:val="24"/>
          <w:szCs w:val="24"/>
          <w:lang w:val="ro-MD"/>
        </w:rPr>
        <w:t>25-49 ani</w:t>
      </w:r>
      <w:r w:rsidR="0051732B">
        <w:rPr>
          <w:rFonts w:ascii="Times New Roman" w:hAnsi="Times New Roman" w:cs="Times New Roman"/>
          <w:sz w:val="24"/>
          <w:szCs w:val="24"/>
          <w:lang w:val="ro-MD"/>
        </w:rPr>
        <w:t>;</w:t>
      </w:r>
    </w:p>
    <w:p w14:paraId="7E9AAFDC" w14:textId="62213236" w:rsidR="00BD2E3C" w:rsidRPr="008857C7" w:rsidRDefault="0051732B" w:rsidP="008857C7">
      <w:pPr>
        <w:shd w:val="clear" w:color="auto" w:fill="FFFFFF" w:themeFill="background1"/>
        <w:spacing w:after="0"/>
        <w:ind w:right="57"/>
        <w:jc w:val="both"/>
        <w:rPr>
          <w:rFonts w:ascii="Times New Roman" w:hAnsi="Times New Roman" w:cs="Times New Roman"/>
          <w:sz w:val="24"/>
          <w:szCs w:val="24"/>
          <w:lang w:val="ro-MD"/>
        </w:rPr>
      </w:pPr>
      <w:r>
        <w:rPr>
          <w:rFonts w:ascii="Times New Roman" w:hAnsi="Times New Roman" w:cs="Times New Roman"/>
          <w:bCs/>
          <w:iCs/>
          <w:color w:val="000000"/>
          <w:sz w:val="24"/>
          <w:szCs w:val="24"/>
          <w:lang w:val="ro-MD"/>
        </w:rPr>
        <w:t>-</w:t>
      </w:r>
      <w:r w:rsidRPr="008857C7">
        <w:rPr>
          <w:rFonts w:ascii="Times New Roman" w:hAnsi="Times New Roman" w:cs="Times New Roman"/>
          <w:bCs/>
          <w:iCs/>
          <w:color w:val="000000"/>
          <w:sz w:val="24"/>
          <w:szCs w:val="24"/>
          <w:lang w:val="ro-MD"/>
        </w:rPr>
        <w:t xml:space="preserve"> </w:t>
      </w:r>
      <w:r w:rsidRPr="008857C7">
        <w:rPr>
          <w:rFonts w:ascii="Times New Roman" w:hAnsi="Times New Roman" w:cs="Times New Roman"/>
          <w:sz w:val="24"/>
          <w:szCs w:val="24"/>
          <w:lang w:val="ro-MD"/>
        </w:rPr>
        <w:t>cadrul legal privind concediul paternal, prestațiile de îngrijire a copiilor, protecția locului de muncă a fost revizuit</w:t>
      </w:r>
      <w:r>
        <w:rPr>
          <w:rFonts w:ascii="Times New Roman" w:hAnsi="Times New Roman" w:cs="Times New Roman"/>
          <w:sz w:val="24"/>
          <w:szCs w:val="24"/>
          <w:lang w:val="ro-MD"/>
        </w:rPr>
        <w:t xml:space="preserve"> și </w:t>
      </w:r>
      <w:r w:rsidRPr="008857C7">
        <w:rPr>
          <w:rFonts w:ascii="Times New Roman" w:hAnsi="Times New Roman" w:cs="Times New Roman"/>
          <w:sz w:val="24"/>
          <w:szCs w:val="24"/>
          <w:lang w:val="ro-MD"/>
        </w:rPr>
        <w:t>facilit</w:t>
      </w:r>
      <w:r>
        <w:rPr>
          <w:rFonts w:ascii="Times New Roman" w:hAnsi="Times New Roman" w:cs="Times New Roman"/>
          <w:sz w:val="24"/>
          <w:szCs w:val="24"/>
          <w:lang w:val="ro-MD"/>
        </w:rPr>
        <w:t>ează</w:t>
      </w:r>
      <w:r w:rsidRPr="008857C7">
        <w:rPr>
          <w:rFonts w:ascii="Times New Roman" w:hAnsi="Times New Roman" w:cs="Times New Roman"/>
          <w:sz w:val="24"/>
          <w:szCs w:val="24"/>
          <w:lang w:val="ro-MD"/>
        </w:rPr>
        <w:t xml:space="preserve"> angajarea părinților și a îmbunătăți echilibrul dintre muncă și familie</w:t>
      </w:r>
      <w:r>
        <w:rPr>
          <w:rFonts w:ascii="Times New Roman" w:hAnsi="Times New Roman" w:cs="Times New Roman"/>
          <w:sz w:val="24"/>
          <w:szCs w:val="24"/>
          <w:lang w:val="ro-MD"/>
        </w:rPr>
        <w:t>.</w:t>
      </w:r>
    </w:p>
    <w:p w14:paraId="40CFD92D" w14:textId="6B691824" w:rsidR="00BD2E3C" w:rsidRDefault="00094FEE" w:rsidP="00DD7935">
      <w:pPr>
        <w:pStyle w:val="ListParagraph"/>
        <w:shd w:val="clear" w:color="auto" w:fill="FFFFFF" w:themeFill="background1"/>
        <w:spacing w:before="120" w:after="0"/>
        <w:ind w:left="1276" w:hanging="1276"/>
        <w:contextualSpacing w:val="0"/>
        <w:jc w:val="both"/>
        <w:rPr>
          <w:rFonts w:ascii="Times New Roman" w:hAnsi="Times New Roman" w:cs="Times New Roman"/>
          <w:bCs/>
          <w:iCs/>
          <w:color w:val="000000"/>
          <w:sz w:val="24"/>
          <w:szCs w:val="24"/>
          <w:lang w:val="ro-MD"/>
        </w:rPr>
      </w:pPr>
      <w:r w:rsidRPr="003836D9">
        <w:rPr>
          <w:rFonts w:ascii="Times New Roman" w:hAnsi="Times New Roman" w:cs="Times New Roman"/>
          <w:bCs/>
          <w:iCs/>
          <w:color w:val="000000"/>
          <w:sz w:val="24"/>
          <w:szCs w:val="24"/>
          <w:lang w:val="ro-MD"/>
        </w:rPr>
        <w:t xml:space="preserve">În procesul de monitorizare a </w:t>
      </w:r>
      <w:r w:rsidRPr="003836D9">
        <w:rPr>
          <w:rFonts w:ascii="Times New Roman" w:hAnsi="Times New Roman" w:cs="Times New Roman"/>
          <w:b/>
          <w:bCs/>
          <w:iCs/>
          <w:color w:val="000000"/>
          <w:sz w:val="24"/>
          <w:szCs w:val="24"/>
          <w:lang w:val="ro-MD"/>
        </w:rPr>
        <w:t>Obiectivului specific 2</w:t>
      </w:r>
      <w:r w:rsidRPr="003836D9">
        <w:rPr>
          <w:rFonts w:ascii="Times New Roman" w:hAnsi="Times New Roman" w:cs="Times New Roman"/>
          <w:bCs/>
          <w:iCs/>
          <w:color w:val="000000"/>
          <w:sz w:val="24"/>
          <w:szCs w:val="24"/>
          <w:lang w:val="ro-MD"/>
        </w:rPr>
        <w:t xml:space="preserve"> se va urmări</w:t>
      </w:r>
      <w:r w:rsidR="00D43729">
        <w:rPr>
          <w:rFonts w:ascii="Times New Roman" w:hAnsi="Times New Roman" w:cs="Times New Roman"/>
          <w:bCs/>
          <w:iCs/>
          <w:color w:val="000000"/>
          <w:sz w:val="24"/>
          <w:szCs w:val="24"/>
          <w:lang w:val="ro-MD"/>
        </w:rPr>
        <w:t xml:space="preserve"> dacă</w:t>
      </w:r>
      <w:r w:rsidRPr="003836D9">
        <w:rPr>
          <w:rFonts w:ascii="Times New Roman" w:hAnsi="Times New Roman" w:cs="Times New Roman"/>
          <w:bCs/>
          <w:iCs/>
          <w:color w:val="000000"/>
          <w:sz w:val="24"/>
          <w:szCs w:val="24"/>
          <w:lang w:val="ro-MD"/>
        </w:rPr>
        <w:t xml:space="preserve">: </w:t>
      </w:r>
    </w:p>
    <w:p w14:paraId="61E58E7D" w14:textId="340D0E4B" w:rsidR="00D43729" w:rsidRPr="00D43729" w:rsidRDefault="00D43729" w:rsidP="00D43729">
      <w:pPr>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lastRenderedPageBreak/>
        <w:t xml:space="preserve">- </w:t>
      </w:r>
      <w:r w:rsidR="009F30DC">
        <w:rPr>
          <w:rFonts w:ascii="Times New Roman" w:hAnsi="Times New Roman" w:cs="Times New Roman"/>
          <w:color w:val="000000"/>
          <w:sz w:val="24"/>
          <w:szCs w:val="24"/>
          <w:lang w:val="ro-MD"/>
        </w:rPr>
        <w:t xml:space="preserve">Inspectoratul de Stat al Muncii a fost reorganizat </w:t>
      </w:r>
      <w:r w:rsidRPr="00D43729">
        <w:rPr>
          <w:rFonts w:ascii="Times New Roman" w:hAnsi="Times New Roman" w:cs="Times New Roman"/>
          <w:color w:val="000000"/>
          <w:sz w:val="24"/>
          <w:szCs w:val="24"/>
          <w:lang w:val="ro-MD"/>
        </w:rPr>
        <w:t>și capacitățile acestuia au fost consolidate pentru a</w:t>
      </w:r>
      <w:r w:rsidR="00FD108A" w:rsidRPr="00D43729">
        <w:rPr>
          <w:rFonts w:ascii="Times New Roman" w:hAnsi="Times New Roman" w:cs="Times New Roman"/>
          <w:color w:val="000000"/>
          <w:sz w:val="24"/>
          <w:szCs w:val="24"/>
          <w:lang w:val="ro-MD"/>
        </w:rPr>
        <w:t xml:space="preserve"> aplica legislația privind protecția ocupării forței de muncă și egalitatea pe piața muncii pentru a contribui efectiv la reducerea ocupării informale; </w:t>
      </w:r>
    </w:p>
    <w:p w14:paraId="1672E061" w14:textId="63122316" w:rsidR="00D43729" w:rsidRPr="00D43729" w:rsidRDefault="00D43729" w:rsidP="00D43729">
      <w:pPr>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 xml:space="preserve">- </w:t>
      </w:r>
      <w:r w:rsidRPr="00D43729">
        <w:rPr>
          <w:rFonts w:ascii="Times New Roman" w:hAnsi="Times New Roman" w:cs="Times New Roman"/>
          <w:color w:val="000000"/>
          <w:sz w:val="24"/>
          <w:szCs w:val="24"/>
          <w:lang w:val="ro-MD"/>
        </w:rPr>
        <w:t xml:space="preserve">au fost implementate </w:t>
      </w:r>
      <w:r w:rsidR="00FD108A" w:rsidRPr="00D43729">
        <w:rPr>
          <w:rFonts w:ascii="Times New Roman" w:hAnsi="Times New Roman" w:cs="Times New Roman"/>
          <w:color w:val="000000"/>
          <w:sz w:val="24"/>
          <w:szCs w:val="24"/>
          <w:lang w:val="ro-MD"/>
        </w:rPr>
        <w:t xml:space="preserve">măsuri stimulatorii pentru a facilita trecerea agenților economici din sectorul informal la cel formal; </w:t>
      </w:r>
    </w:p>
    <w:p w14:paraId="7AF273D6" w14:textId="381C0D33" w:rsidR="00D43729" w:rsidRPr="00D43729" w:rsidRDefault="00D43729" w:rsidP="00D43729">
      <w:pPr>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 xml:space="preserve">- </w:t>
      </w:r>
      <w:r w:rsidRPr="00D43729">
        <w:rPr>
          <w:rFonts w:ascii="Times New Roman" w:hAnsi="Times New Roman" w:cs="Times New Roman"/>
          <w:color w:val="000000"/>
          <w:sz w:val="24"/>
          <w:szCs w:val="24"/>
          <w:lang w:val="ro-MD"/>
        </w:rPr>
        <w:t xml:space="preserve">au fost realizate măsuri pentru a </w:t>
      </w:r>
      <w:r w:rsidR="00FD108A" w:rsidRPr="00D43729">
        <w:rPr>
          <w:rFonts w:ascii="Times New Roman" w:hAnsi="Times New Roman" w:cs="Times New Roman"/>
          <w:color w:val="000000"/>
          <w:sz w:val="24"/>
          <w:szCs w:val="24"/>
          <w:lang w:val="ro-MD"/>
        </w:rPr>
        <w:t>spori gradul de conștientizare în r</w:t>
      </w:r>
      <w:r w:rsidR="0051732B">
        <w:rPr>
          <w:rFonts w:ascii="Times New Roman" w:hAnsi="Times New Roman" w:cs="Times New Roman"/>
          <w:color w:val="000000"/>
          <w:sz w:val="24"/>
          <w:szCs w:val="24"/>
          <w:lang w:val="ro-MD"/>
        </w:rPr>
        <w:t>â</w:t>
      </w:r>
      <w:r w:rsidR="00FD108A" w:rsidRPr="00D43729">
        <w:rPr>
          <w:rFonts w:ascii="Times New Roman" w:hAnsi="Times New Roman" w:cs="Times New Roman"/>
          <w:color w:val="000000"/>
          <w:sz w:val="24"/>
          <w:szCs w:val="24"/>
          <w:lang w:val="ro-MD"/>
        </w:rPr>
        <w:t>ndul populației privind efectele ocupării informale;</w:t>
      </w:r>
    </w:p>
    <w:p w14:paraId="37D15F86" w14:textId="1069EFEA" w:rsidR="00D43729" w:rsidRPr="00D43729" w:rsidRDefault="00D43729" w:rsidP="00D43729">
      <w:pPr>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 xml:space="preserve">- </w:t>
      </w:r>
      <w:r w:rsidRPr="00D43729">
        <w:rPr>
          <w:rFonts w:ascii="Times New Roman" w:hAnsi="Times New Roman" w:cs="Times New Roman"/>
          <w:color w:val="000000"/>
          <w:sz w:val="24"/>
          <w:szCs w:val="24"/>
          <w:lang w:val="ro-MD"/>
        </w:rPr>
        <w:t xml:space="preserve">a fost </w:t>
      </w:r>
      <w:r w:rsidR="00FD108A" w:rsidRPr="00D43729">
        <w:rPr>
          <w:rFonts w:ascii="Times New Roman" w:hAnsi="Times New Roman" w:cs="Times New Roman"/>
          <w:color w:val="000000"/>
          <w:sz w:val="24"/>
          <w:szCs w:val="24"/>
          <w:lang w:val="ro-MD"/>
        </w:rPr>
        <w:t>revizui</w:t>
      </w:r>
      <w:r w:rsidRPr="00D43729">
        <w:rPr>
          <w:rFonts w:ascii="Times New Roman" w:hAnsi="Times New Roman" w:cs="Times New Roman"/>
          <w:color w:val="000000"/>
          <w:sz w:val="24"/>
          <w:szCs w:val="24"/>
          <w:lang w:val="ro-MD"/>
        </w:rPr>
        <w:t>tă</w:t>
      </w:r>
      <w:r w:rsidR="00FD108A" w:rsidRPr="00D43729">
        <w:rPr>
          <w:rFonts w:ascii="Times New Roman" w:hAnsi="Times New Roman" w:cs="Times New Roman"/>
          <w:color w:val="000000"/>
          <w:sz w:val="24"/>
          <w:szCs w:val="24"/>
          <w:lang w:val="ro-MD"/>
        </w:rPr>
        <w:t xml:space="preserve"> pov</w:t>
      </w:r>
      <w:r w:rsidRPr="00D43729">
        <w:rPr>
          <w:rFonts w:ascii="Times New Roman" w:hAnsi="Times New Roman" w:cs="Times New Roman"/>
          <w:color w:val="000000"/>
          <w:sz w:val="24"/>
          <w:szCs w:val="24"/>
          <w:lang w:val="ro-MD"/>
        </w:rPr>
        <w:t>ară</w:t>
      </w:r>
      <w:r w:rsidR="00FD108A" w:rsidRPr="00D43729">
        <w:rPr>
          <w:rFonts w:ascii="Times New Roman" w:hAnsi="Times New Roman" w:cs="Times New Roman"/>
          <w:color w:val="000000"/>
          <w:sz w:val="24"/>
          <w:szCs w:val="24"/>
          <w:lang w:val="ro-MD"/>
        </w:rPr>
        <w:t xml:space="preserve"> fiscal</w:t>
      </w:r>
      <w:r w:rsidRPr="00D43729">
        <w:rPr>
          <w:rFonts w:ascii="Times New Roman" w:hAnsi="Times New Roman" w:cs="Times New Roman"/>
          <w:color w:val="000000"/>
          <w:sz w:val="24"/>
          <w:szCs w:val="24"/>
          <w:lang w:val="ro-MD"/>
        </w:rPr>
        <w:t>ă</w:t>
      </w:r>
      <w:r w:rsidR="00FD108A" w:rsidRPr="00D43729">
        <w:rPr>
          <w:rFonts w:ascii="Times New Roman" w:hAnsi="Times New Roman" w:cs="Times New Roman"/>
          <w:color w:val="000000"/>
          <w:sz w:val="24"/>
          <w:szCs w:val="24"/>
          <w:lang w:val="ro-MD"/>
        </w:rPr>
        <w:t xml:space="preserve"> asupra forței de muncă pentru lucrătorii cu venituri mici pentru a încuraja ocuparea forței de muncă și pentru a reduce stimulentele individuale de a lucra informal</w:t>
      </w:r>
      <w:r w:rsidRPr="00D43729">
        <w:rPr>
          <w:rFonts w:ascii="Times New Roman" w:hAnsi="Times New Roman" w:cs="Times New Roman"/>
          <w:color w:val="000000"/>
          <w:sz w:val="24"/>
          <w:szCs w:val="24"/>
          <w:lang w:val="ro-MD"/>
        </w:rPr>
        <w:t>;</w:t>
      </w:r>
    </w:p>
    <w:p w14:paraId="1DBFBB4D" w14:textId="1AA4BE0D" w:rsidR="009150F6" w:rsidRDefault="00B602D2" w:rsidP="00D4658C">
      <w:pPr>
        <w:pStyle w:val="ListParagraph"/>
        <w:shd w:val="clear" w:color="auto" w:fill="FFFFFF" w:themeFill="background1"/>
        <w:tabs>
          <w:tab w:val="left" w:pos="9498"/>
        </w:tabs>
        <w:spacing w:before="120" w:after="0"/>
        <w:ind w:left="1276" w:hanging="1276"/>
        <w:contextualSpacing w:val="0"/>
        <w:jc w:val="both"/>
        <w:rPr>
          <w:rFonts w:ascii="Times New Roman" w:hAnsi="Times New Roman" w:cs="Times New Roman"/>
          <w:color w:val="000000"/>
          <w:sz w:val="24"/>
          <w:szCs w:val="24"/>
          <w:lang w:val="ro-MD"/>
        </w:rPr>
      </w:pPr>
      <w:r w:rsidRPr="003836D9">
        <w:rPr>
          <w:rFonts w:ascii="Times New Roman" w:hAnsi="Times New Roman" w:cs="Times New Roman"/>
          <w:color w:val="000000"/>
          <w:sz w:val="24"/>
          <w:szCs w:val="24"/>
          <w:lang w:val="ro-MD"/>
        </w:rPr>
        <w:t xml:space="preserve">În procesul de monitorizare a </w:t>
      </w:r>
      <w:r w:rsidRPr="003836D9">
        <w:rPr>
          <w:rFonts w:ascii="Times New Roman" w:hAnsi="Times New Roman" w:cs="Times New Roman"/>
          <w:b/>
          <w:color w:val="000000"/>
          <w:sz w:val="24"/>
          <w:szCs w:val="24"/>
          <w:lang w:val="ro-MD"/>
        </w:rPr>
        <w:t xml:space="preserve">Obiectivului specific </w:t>
      </w:r>
      <w:r w:rsidR="00094FEE" w:rsidRPr="003836D9">
        <w:rPr>
          <w:rFonts w:ascii="Times New Roman" w:hAnsi="Times New Roman" w:cs="Times New Roman"/>
          <w:b/>
          <w:color w:val="000000"/>
          <w:sz w:val="24"/>
          <w:szCs w:val="24"/>
          <w:lang w:val="ro-MD"/>
        </w:rPr>
        <w:t>3</w:t>
      </w:r>
      <w:r w:rsidR="00FE386E">
        <w:rPr>
          <w:rFonts w:ascii="Times New Roman" w:hAnsi="Times New Roman" w:cs="Times New Roman"/>
          <w:color w:val="000000"/>
          <w:sz w:val="24"/>
          <w:szCs w:val="24"/>
          <w:lang w:val="ro-MD"/>
        </w:rPr>
        <w:t xml:space="preserve"> se va urmări</w:t>
      </w:r>
      <w:r w:rsidR="00C455C7">
        <w:rPr>
          <w:rFonts w:ascii="Times New Roman" w:hAnsi="Times New Roman" w:cs="Times New Roman"/>
          <w:color w:val="000000"/>
          <w:sz w:val="24"/>
          <w:szCs w:val="24"/>
          <w:lang w:val="ro-MD"/>
        </w:rPr>
        <w:t xml:space="preserve"> dacă</w:t>
      </w:r>
      <w:r w:rsidR="00FE386E">
        <w:rPr>
          <w:rFonts w:ascii="Times New Roman" w:hAnsi="Times New Roman" w:cs="Times New Roman"/>
          <w:color w:val="000000"/>
          <w:sz w:val="24"/>
          <w:szCs w:val="24"/>
          <w:lang w:val="ro-MD"/>
        </w:rPr>
        <w:t xml:space="preserve">: </w:t>
      </w:r>
    </w:p>
    <w:p w14:paraId="16447C1D" w14:textId="54B54BBC" w:rsidR="00C455C7" w:rsidRPr="00C455C7" w:rsidRDefault="00C455C7" w:rsidP="00C455C7">
      <w:pPr>
        <w:shd w:val="clear" w:color="auto" w:fill="FFFFFF" w:themeFill="background1"/>
        <w:spacing w:after="0"/>
        <w:jc w:val="both"/>
        <w:rPr>
          <w:rFonts w:ascii="Times New Roman" w:hAnsi="Times New Roman" w:cs="Times New Roman"/>
          <w:sz w:val="24"/>
          <w:szCs w:val="24"/>
          <w:lang w:val="ro-MD"/>
        </w:rPr>
      </w:pPr>
      <w:r>
        <w:rPr>
          <w:rFonts w:ascii="Times New Roman" w:hAnsi="Times New Roman" w:cs="Times New Roman"/>
          <w:bCs/>
          <w:color w:val="000000"/>
          <w:sz w:val="24"/>
          <w:szCs w:val="24"/>
          <w:lang w:val="ro-MD"/>
        </w:rPr>
        <w:t xml:space="preserve">- </w:t>
      </w:r>
      <w:r w:rsidR="00416C27">
        <w:rPr>
          <w:rFonts w:ascii="Times New Roman" w:hAnsi="Times New Roman" w:cs="Times New Roman"/>
          <w:bCs/>
          <w:color w:val="000000"/>
          <w:sz w:val="24"/>
          <w:szCs w:val="24"/>
          <w:lang w:val="ro-MD"/>
        </w:rPr>
        <w:t xml:space="preserve">mai multe persoane cu dizabilități sînt cuprinse în </w:t>
      </w:r>
      <w:r w:rsidR="00416C27" w:rsidRPr="003836D9">
        <w:rPr>
          <w:rFonts w:ascii="Times New Roman" w:hAnsi="Times New Roman" w:cs="Times New Roman"/>
          <w:sz w:val="24"/>
          <w:szCs w:val="24"/>
          <w:lang w:val="ro-MD"/>
        </w:rPr>
        <w:t>programe</w:t>
      </w:r>
      <w:r w:rsidR="00416C27">
        <w:rPr>
          <w:rFonts w:ascii="Times New Roman" w:hAnsi="Times New Roman" w:cs="Times New Roman"/>
          <w:sz w:val="24"/>
          <w:szCs w:val="24"/>
          <w:lang w:val="ro-MD"/>
        </w:rPr>
        <w:t xml:space="preserve"> de măsuri active</w:t>
      </w:r>
      <w:r w:rsidR="00416C27" w:rsidRPr="003836D9">
        <w:rPr>
          <w:rFonts w:ascii="Times New Roman" w:hAnsi="Times New Roman" w:cs="Times New Roman"/>
          <w:sz w:val="24"/>
          <w:szCs w:val="24"/>
          <w:lang w:val="ro-MD"/>
        </w:rPr>
        <w:t xml:space="preserve"> </w:t>
      </w:r>
      <w:r w:rsidR="00416C27">
        <w:rPr>
          <w:rFonts w:ascii="Times New Roman" w:hAnsi="Times New Roman" w:cs="Times New Roman"/>
          <w:sz w:val="24"/>
          <w:szCs w:val="24"/>
          <w:lang w:val="ro-MD"/>
        </w:rPr>
        <w:t xml:space="preserve">pentru persoanele cu dizabilități </w:t>
      </w:r>
      <w:r w:rsidR="00416C27" w:rsidRPr="003836D9">
        <w:rPr>
          <w:rFonts w:ascii="Times New Roman" w:hAnsi="Times New Roman" w:cs="Times New Roman"/>
          <w:sz w:val="24"/>
          <w:szCs w:val="24"/>
          <w:lang w:val="ro-MD"/>
        </w:rPr>
        <w:t xml:space="preserve">pentru a </w:t>
      </w:r>
      <w:r w:rsidR="00416C27">
        <w:rPr>
          <w:rFonts w:ascii="Times New Roman" w:hAnsi="Times New Roman" w:cs="Times New Roman"/>
          <w:sz w:val="24"/>
          <w:szCs w:val="24"/>
          <w:lang w:val="ro-MD"/>
        </w:rPr>
        <w:t xml:space="preserve">spori șansele acestora de a accesa </w:t>
      </w:r>
      <w:r w:rsidR="00416C27" w:rsidRPr="003836D9">
        <w:rPr>
          <w:rFonts w:ascii="Times New Roman" w:hAnsi="Times New Roman" w:cs="Times New Roman"/>
          <w:sz w:val="24"/>
          <w:szCs w:val="24"/>
          <w:lang w:val="ro-MD"/>
        </w:rPr>
        <w:t>oportunități de formare, perfecționare și recalificare; subvenții pentru facilitarea tranziției la locul de muncă pentru persoane</w:t>
      </w:r>
      <w:r w:rsidR="00416C27">
        <w:rPr>
          <w:rFonts w:ascii="Times New Roman" w:hAnsi="Times New Roman" w:cs="Times New Roman"/>
          <w:sz w:val="24"/>
          <w:szCs w:val="24"/>
          <w:lang w:val="ro-MD"/>
        </w:rPr>
        <w:t>le</w:t>
      </w:r>
      <w:r w:rsidR="00416C27" w:rsidRPr="003836D9">
        <w:rPr>
          <w:rFonts w:ascii="Times New Roman" w:hAnsi="Times New Roman" w:cs="Times New Roman"/>
          <w:sz w:val="24"/>
          <w:szCs w:val="24"/>
          <w:lang w:val="ro-MD"/>
        </w:rPr>
        <w:t xml:space="preserve"> cu dizabilități; și op</w:t>
      </w:r>
      <w:r w:rsidR="00416C27">
        <w:rPr>
          <w:rFonts w:ascii="Times New Roman" w:hAnsi="Times New Roman" w:cs="Times New Roman"/>
          <w:sz w:val="24"/>
          <w:szCs w:val="24"/>
          <w:lang w:val="ro-MD"/>
        </w:rPr>
        <w:t>ortunitățile de auto-ocupare</w:t>
      </w:r>
      <w:r w:rsidRPr="00C455C7">
        <w:rPr>
          <w:rFonts w:ascii="Times New Roman" w:hAnsi="Times New Roman" w:cs="Times New Roman"/>
          <w:sz w:val="24"/>
          <w:szCs w:val="24"/>
          <w:lang w:val="ro-MD"/>
        </w:rPr>
        <w:t xml:space="preserve">; </w:t>
      </w:r>
    </w:p>
    <w:p w14:paraId="25B8F874" w14:textId="38068157" w:rsidR="00C455C7" w:rsidRPr="00C455C7" w:rsidRDefault="00C455C7" w:rsidP="00C455C7">
      <w:pPr>
        <w:shd w:val="clear" w:color="auto" w:fill="FFFFFF" w:themeFill="background1"/>
        <w:spacing w:after="0"/>
        <w:jc w:val="both"/>
        <w:rPr>
          <w:rFonts w:ascii="Times New Roman" w:hAnsi="Times New Roman" w:cs="Times New Roman"/>
          <w:lang w:val="ro-MD"/>
        </w:rPr>
      </w:pPr>
      <w:r>
        <w:rPr>
          <w:rFonts w:ascii="Times New Roman" w:hAnsi="Times New Roman" w:cs="Times New Roman"/>
          <w:sz w:val="24"/>
          <w:szCs w:val="24"/>
          <w:lang w:val="ro-MD"/>
        </w:rPr>
        <w:t xml:space="preserve">- </w:t>
      </w:r>
      <w:r w:rsidRPr="00C455C7">
        <w:rPr>
          <w:rFonts w:ascii="Times New Roman" w:hAnsi="Times New Roman" w:cs="Times New Roman"/>
          <w:sz w:val="24"/>
          <w:szCs w:val="24"/>
          <w:lang w:val="ro-MD"/>
        </w:rPr>
        <w:t xml:space="preserve">a fost îmbunătățită țintirea politicilor active ale pieței muncii pentru a răspunde nevoilor persoanelor cu dizabilități; </w:t>
      </w:r>
    </w:p>
    <w:p w14:paraId="53D91B57" w14:textId="6CA352A2" w:rsidR="00C455C7" w:rsidRPr="00C455C7" w:rsidRDefault="00C455C7" w:rsidP="00C455C7">
      <w:pPr>
        <w:shd w:val="clear" w:color="auto" w:fill="FFFFFF" w:themeFill="background1"/>
        <w:spacing w:after="0"/>
        <w:jc w:val="both"/>
        <w:rPr>
          <w:rFonts w:ascii="Times New Roman" w:hAnsi="Times New Roman" w:cs="Times New Roman"/>
          <w:lang w:val="ro-MD"/>
        </w:rPr>
      </w:pPr>
      <w:r>
        <w:rPr>
          <w:rFonts w:ascii="Times New Roman" w:hAnsi="Times New Roman" w:cs="Times New Roman"/>
          <w:sz w:val="24"/>
          <w:szCs w:val="24"/>
          <w:lang w:val="ro-MD"/>
        </w:rPr>
        <w:t xml:space="preserve">- </w:t>
      </w:r>
      <w:r w:rsidRPr="00C455C7">
        <w:rPr>
          <w:rFonts w:ascii="Times New Roman" w:hAnsi="Times New Roman" w:cs="Times New Roman"/>
          <w:sz w:val="24"/>
          <w:szCs w:val="24"/>
          <w:lang w:val="ro-MD"/>
        </w:rPr>
        <w:t xml:space="preserve">este asigurată accesibilitatea pentru persoanele cu dizabilități la serviciile și măsurile active de ocupare a forței de muncă; </w:t>
      </w:r>
    </w:p>
    <w:p w14:paraId="2EF98F0B" w14:textId="77EBB087" w:rsidR="00C455C7" w:rsidRDefault="00C455C7" w:rsidP="00C455C7">
      <w:pPr>
        <w:shd w:val="clear" w:color="auto" w:fill="FFFFFF" w:themeFill="background1"/>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C455C7">
        <w:rPr>
          <w:rFonts w:ascii="Times New Roman" w:hAnsi="Times New Roman" w:cs="Times New Roman"/>
          <w:sz w:val="24"/>
          <w:szCs w:val="24"/>
          <w:lang w:val="ro-MD"/>
        </w:rPr>
        <w:t>a sporit gradul de conștientizare a societății cu privire la importanța integrării în societate a persoanelor cu dizabilități.</w:t>
      </w:r>
    </w:p>
    <w:p w14:paraId="1D80CB7C" w14:textId="15C98953" w:rsidR="00DD7935" w:rsidRDefault="00094FEE" w:rsidP="000926B3">
      <w:pPr>
        <w:pStyle w:val="ListParagraph"/>
        <w:shd w:val="clear" w:color="auto" w:fill="FFFFFF" w:themeFill="background1"/>
        <w:spacing w:before="120" w:after="0"/>
        <w:ind w:left="1134" w:hanging="1134"/>
        <w:contextualSpacing w:val="0"/>
        <w:jc w:val="both"/>
        <w:rPr>
          <w:rFonts w:ascii="Times New Roman" w:hAnsi="Times New Roman" w:cs="Times New Roman"/>
          <w:bCs/>
          <w:iCs/>
          <w:color w:val="000000"/>
          <w:sz w:val="24"/>
          <w:szCs w:val="24"/>
          <w:lang w:val="ro-MD"/>
        </w:rPr>
      </w:pPr>
      <w:r w:rsidRPr="003836D9">
        <w:rPr>
          <w:rFonts w:ascii="Times New Roman" w:hAnsi="Times New Roman" w:cs="Times New Roman"/>
          <w:bCs/>
          <w:iCs/>
          <w:color w:val="000000"/>
          <w:sz w:val="24"/>
          <w:szCs w:val="24"/>
          <w:lang w:val="ro-MD"/>
        </w:rPr>
        <w:t>În procesul de monitorizare a</w:t>
      </w:r>
      <w:r w:rsidRPr="003836D9">
        <w:rPr>
          <w:rFonts w:ascii="Times New Roman" w:hAnsi="Times New Roman" w:cs="Times New Roman"/>
          <w:b/>
          <w:bCs/>
          <w:iCs/>
          <w:color w:val="000000"/>
          <w:sz w:val="24"/>
          <w:szCs w:val="24"/>
          <w:lang w:val="ro-MD"/>
        </w:rPr>
        <w:t xml:space="preserve"> Obiectivului specific 4 </w:t>
      </w:r>
      <w:r w:rsidRPr="003836D9">
        <w:rPr>
          <w:rFonts w:ascii="Times New Roman" w:hAnsi="Times New Roman" w:cs="Times New Roman"/>
          <w:bCs/>
          <w:iCs/>
          <w:color w:val="000000"/>
          <w:sz w:val="24"/>
          <w:szCs w:val="24"/>
          <w:lang w:val="ro-MD"/>
        </w:rPr>
        <w:t>se va urmări dacă</w:t>
      </w:r>
      <w:r w:rsidR="00FE386E">
        <w:rPr>
          <w:rFonts w:ascii="Times New Roman" w:hAnsi="Times New Roman" w:cs="Times New Roman"/>
          <w:b/>
          <w:bCs/>
          <w:iCs/>
          <w:color w:val="000000"/>
          <w:sz w:val="24"/>
          <w:szCs w:val="24"/>
          <w:lang w:val="ro-MD"/>
        </w:rPr>
        <w:t xml:space="preserve">: </w:t>
      </w:r>
    </w:p>
    <w:p w14:paraId="2B5980AB" w14:textId="3C30FF8C" w:rsidR="00BF3DF2" w:rsidRDefault="00BF3DF2" w:rsidP="00BF3DF2">
      <w:pPr>
        <w:pStyle w:val="ListParagraph"/>
        <w:shd w:val="clear" w:color="auto" w:fill="FFFFFF" w:themeFill="background1"/>
        <w:spacing w:after="0"/>
        <w:ind w:left="0"/>
        <w:contextualSpacing w:val="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 xml:space="preserve">- </w:t>
      </w:r>
      <w:r w:rsidRPr="003836D9">
        <w:rPr>
          <w:rFonts w:ascii="Times New Roman" w:hAnsi="Times New Roman" w:cs="Times New Roman"/>
          <w:color w:val="000000"/>
          <w:sz w:val="24"/>
          <w:szCs w:val="24"/>
          <w:lang w:val="ro-MD"/>
        </w:rPr>
        <w:t>A</w:t>
      </w:r>
      <w:r>
        <w:rPr>
          <w:rFonts w:ascii="Times New Roman" w:hAnsi="Times New Roman" w:cs="Times New Roman"/>
          <w:color w:val="000000"/>
          <w:sz w:val="24"/>
          <w:szCs w:val="24"/>
          <w:lang w:val="ro-MD"/>
        </w:rPr>
        <w:t>genția Națională pentru Ocuparea Forței de Muncă a fost capacitată c</w:t>
      </w:r>
      <w:r w:rsidRPr="003836D9">
        <w:rPr>
          <w:rFonts w:ascii="Times New Roman" w:hAnsi="Times New Roman" w:cs="Times New Roman"/>
          <w:color w:val="000000"/>
          <w:sz w:val="24"/>
          <w:szCs w:val="24"/>
          <w:lang w:val="ro-MD"/>
        </w:rPr>
        <w:t xml:space="preserve">u resurse umane, financiare și tehnologice </w:t>
      </w:r>
      <w:r>
        <w:rPr>
          <w:rFonts w:ascii="Times New Roman" w:hAnsi="Times New Roman" w:cs="Times New Roman"/>
          <w:color w:val="000000"/>
          <w:sz w:val="24"/>
          <w:szCs w:val="24"/>
          <w:lang w:val="ro-MD"/>
        </w:rPr>
        <w:t xml:space="preserve">suficiente </w:t>
      </w:r>
      <w:r w:rsidRPr="003836D9">
        <w:rPr>
          <w:rFonts w:ascii="Times New Roman" w:hAnsi="Times New Roman" w:cs="Times New Roman"/>
          <w:color w:val="000000"/>
          <w:sz w:val="24"/>
          <w:szCs w:val="24"/>
          <w:lang w:val="ro-MD"/>
        </w:rPr>
        <w:t>pentru a extinde furn</w:t>
      </w:r>
      <w:r>
        <w:rPr>
          <w:rFonts w:ascii="Times New Roman" w:hAnsi="Times New Roman" w:cs="Times New Roman"/>
          <w:color w:val="000000"/>
          <w:sz w:val="24"/>
          <w:szCs w:val="24"/>
          <w:lang w:val="ro-MD"/>
        </w:rPr>
        <w:t>izarea de servicii și programe</w:t>
      </w:r>
      <w:r w:rsidRPr="003836D9">
        <w:rPr>
          <w:rFonts w:ascii="Times New Roman" w:hAnsi="Times New Roman" w:cs="Times New Roman"/>
          <w:color w:val="000000"/>
          <w:sz w:val="24"/>
          <w:szCs w:val="24"/>
          <w:lang w:val="ro-MD"/>
        </w:rPr>
        <w:t xml:space="preserve"> pentru a contribui la realizarea obiectivelor politicii de ocupare</w:t>
      </w:r>
      <w:r>
        <w:rPr>
          <w:rFonts w:ascii="Times New Roman" w:hAnsi="Times New Roman" w:cs="Times New Roman"/>
          <w:color w:val="000000"/>
          <w:sz w:val="24"/>
          <w:szCs w:val="24"/>
          <w:lang w:val="ro-MD"/>
        </w:rPr>
        <w:t xml:space="preserve">; </w:t>
      </w:r>
    </w:p>
    <w:p w14:paraId="5AF12943" w14:textId="5C52C41B" w:rsidR="00247A44" w:rsidRPr="00247A44" w:rsidRDefault="00247A44" w:rsidP="00BF3DF2">
      <w:pPr>
        <w:pStyle w:val="ListParagraph"/>
        <w:shd w:val="clear" w:color="auto" w:fill="FFFFFF" w:themeFill="background1"/>
        <w:spacing w:after="0"/>
        <w:ind w:left="0"/>
        <w:contextualSpacing w:val="0"/>
        <w:jc w:val="both"/>
        <w:rPr>
          <w:rFonts w:ascii="Times New Roman" w:hAnsi="Times New Roman" w:cs="Times New Roman"/>
          <w:color w:val="000000"/>
          <w:sz w:val="24"/>
          <w:szCs w:val="24"/>
          <w:lang w:val="ro-MD"/>
        </w:rPr>
      </w:pPr>
      <w:r>
        <w:rPr>
          <w:rFonts w:ascii="Times New Roman" w:hAnsi="Times New Roman" w:cs="Times New Roman"/>
          <w:sz w:val="24"/>
          <w:szCs w:val="24"/>
          <w:lang w:val="ro-MD"/>
        </w:rPr>
        <w:t xml:space="preserve">- a fost </w:t>
      </w:r>
      <w:r w:rsidRPr="003836D9">
        <w:rPr>
          <w:rFonts w:ascii="Times New Roman" w:hAnsi="Times New Roman" w:cs="Times New Roman"/>
          <w:sz w:val="24"/>
          <w:szCs w:val="24"/>
          <w:lang w:val="ro-MD"/>
        </w:rPr>
        <w:t>îmbunătăți</w:t>
      </w:r>
      <w:r>
        <w:rPr>
          <w:rFonts w:ascii="Times New Roman" w:hAnsi="Times New Roman" w:cs="Times New Roman"/>
          <w:sz w:val="24"/>
          <w:szCs w:val="24"/>
          <w:lang w:val="ro-MD"/>
        </w:rPr>
        <w:t>tă</w:t>
      </w:r>
      <w:r w:rsidRPr="003836D9">
        <w:rPr>
          <w:rFonts w:ascii="Times New Roman" w:hAnsi="Times New Roman" w:cs="Times New Roman"/>
          <w:sz w:val="24"/>
          <w:szCs w:val="24"/>
          <w:lang w:val="ro-MD"/>
        </w:rPr>
        <w:t xml:space="preserve"> finanț</w:t>
      </w:r>
      <w:r>
        <w:rPr>
          <w:rFonts w:ascii="Times New Roman" w:hAnsi="Times New Roman" w:cs="Times New Roman"/>
          <w:sz w:val="24"/>
          <w:szCs w:val="24"/>
          <w:lang w:val="ro-MD"/>
        </w:rPr>
        <w:t>area</w:t>
      </w:r>
      <w:r w:rsidRPr="003836D9">
        <w:rPr>
          <w:rFonts w:ascii="Times New Roman" w:hAnsi="Times New Roman" w:cs="Times New Roman"/>
          <w:sz w:val="24"/>
          <w:szCs w:val="24"/>
          <w:lang w:val="ro-MD"/>
        </w:rPr>
        <w:t xml:space="preserve"> politici</w:t>
      </w:r>
      <w:r>
        <w:rPr>
          <w:rFonts w:ascii="Times New Roman" w:hAnsi="Times New Roman" w:cs="Times New Roman"/>
          <w:sz w:val="24"/>
          <w:szCs w:val="24"/>
          <w:lang w:val="ro-MD"/>
        </w:rPr>
        <w:t>i</w:t>
      </w:r>
      <w:r w:rsidRPr="003836D9">
        <w:rPr>
          <w:rFonts w:ascii="Times New Roman" w:hAnsi="Times New Roman" w:cs="Times New Roman"/>
          <w:sz w:val="24"/>
          <w:szCs w:val="24"/>
          <w:lang w:val="ro-MD"/>
        </w:rPr>
        <w:t xml:space="preserve"> active ale pieței muncii pentru a răspunde nevoilor multiple ale </w:t>
      </w:r>
      <w:r>
        <w:rPr>
          <w:rFonts w:ascii="Times New Roman" w:hAnsi="Times New Roman" w:cs="Times New Roman"/>
          <w:sz w:val="24"/>
          <w:szCs w:val="24"/>
          <w:lang w:val="ro-MD"/>
        </w:rPr>
        <w:t>diferitor categorii de populație;</w:t>
      </w:r>
    </w:p>
    <w:p w14:paraId="0FAB3425" w14:textId="3D61B1B2" w:rsidR="00BF3DF2" w:rsidRPr="00F32BE5" w:rsidRDefault="00BF3DF2" w:rsidP="00BF3DF2">
      <w:pPr>
        <w:pStyle w:val="ListParagraph"/>
        <w:shd w:val="clear" w:color="auto" w:fill="FFFFFF" w:themeFill="background1"/>
        <w:spacing w:after="0"/>
        <w:ind w:left="0"/>
        <w:contextualSpacing w:val="0"/>
        <w:jc w:val="both"/>
        <w:rPr>
          <w:rFonts w:ascii="Times New Roman" w:hAnsi="Times New Roman" w:cs="Times New Roman"/>
          <w:lang w:val="ro-MD"/>
        </w:rPr>
      </w:pPr>
      <w:r>
        <w:rPr>
          <w:rFonts w:ascii="Times New Roman" w:hAnsi="Times New Roman" w:cs="Times New Roman"/>
          <w:sz w:val="24"/>
          <w:szCs w:val="24"/>
          <w:lang w:val="ro-MD"/>
        </w:rPr>
        <w:t xml:space="preserve">- </w:t>
      </w:r>
      <w:r w:rsidR="00211907">
        <w:rPr>
          <w:rFonts w:ascii="Times New Roman" w:hAnsi="Times New Roman" w:cs="Times New Roman"/>
          <w:sz w:val="24"/>
          <w:szCs w:val="24"/>
          <w:lang w:val="ro-MD"/>
        </w:rPr>
        <w:t>a</w:t>
      </w:r>
      <w:r w:rsidR="003949CA">
        <w:rPr>
          <w:rFonts w:ascii="Times New Roman" w:hAnsi="Times New Roman" w:cs="Times New Roman"/>
          <w:sz w:val="24"/>
          <w:szCs w:val="24"/>
          <w:lang w:val="ro-MD"/>
        </w:rPr>
        <w:t>u</w:t>
      </w:r>
      <w:r w:rsidR="00211907">
        <w:rPr>
          <w:rFonts w:ascii="Times New Roman" w:hAnsi="Times New Roman" w:cs="Times New Roman"/>
          <w:sz w:val="24"/>
          <w:szCs w:val="24"/>
          <w:lang w:val="ro-MD"/>
        </w:rPr>
        <w:t xml:space="preserve"> fost </w:t>
      </w:r>
      <w:r w:rsidRPr="003836D9">
        <w:rPr>
          <w:rFonts w:ascii="Times New Roman" w:hAnsi="Times New Roman" w:cs="Times New Roman"/>
          <w:sz w:val="24"/>
          <w:szCs w:val="24"/>
          <w:lang w:val="ro-MD"/>
        </w:rPr>
        <w:t>îmbunătăți</w:t>
      </w:r>
      <w:r w:rsidR="00211907">
        <w:rPr>
          <w:rFonts w:ascii="Times New Roman" w:hAnsi="Times New Roman" w:cs="Times New Roman"/>
          <w:sz w:val="24"/>
          <w:szCs w:val="24"/>
          <w:lang w:val="ro-MD"/>
        </w:rPr>
        <w:t>t</w:t>
      </w:r>
      <w:r w:rsidR="003949CA">
        <w:rPr>
          <w:rFonts w:ascii="Times New Roman" w:hAnsi="Times New Roman" w:cs="Times New Roman"/>
          <w:sz w:val="24"/>
          <w:szCs w:val="24"/>
          <w:lang w:val="ro-MD"/>
        </w:rPr>
        <w:t>e</w:t>
      </w:r>
      <w:r w:rsidRPr="003836D9">
        <w:rPr>
          <w:rFonts w:ascii="Times New Roman" w:hAnsi="Times New Roman" w:cs="Times New Roman"/>
          <w:sz w:val="24"/>
          <w:szCs w:val="24"/>
          <w:lang w:val="ro-MD"/>
        </w:rPr>
        <w:t xml:space="preserve"> servicii</w:t>
      </w:r>
      <w:r w:rsidR="00211907">
        <w:rPr>
          <w:rFonts w:ascii="Times New Roman" w:hAnsi="Times New Roman" w:cs="Times New Roman"/>
          <w:sz w:val="24"/>
          <w:szCs w:val="24"/>
          <w:lang w:val="ro-MD"/>
        </w:rPr>
        <w:t>l</w:t>
      </w:r>
      <w:r w:rsidR="003949CA">
        <w:rPr>
          <w:rFonts w:ascii="Times New Roman" w:hAnsi="Times New Roman" w:cs="Times New Roman"/>
          <w:sz w:val="24"/>
          <w:szCs w:val="24"/>
          <w:lang w:val="ro-MD"/>
        </w:rPr>
        <w:t>e</w:t>
      </w:r>
      <w:r w:rsidRPr="003836D9">
        <w:rPr>
          <w:rFonts w:ascii="Times New Roman" w:hAnsi="Times New Roman" w:cs="Times New Roman"/>
          <w:sz w:val="24"/>
          <w:szCs w:val="24"/>
          <w:lang w:val="ro-MD"/>
        </w:rPr>
        <w:t xml:space="preserve"> de ocupare a forței de muncă pentru a include informații fiabile și actualizate despre piața muncii și informații privind drepturile la locul de muncă; servicii de validare a învățării informale și non-formale; servicii de ghidare în carieră pentru instruirea pe tot parcursul vieții; suport individualizat pentru gestionarea tranzițiilor pe p</w:t>
      </w:r>
      <w:r>
        <w:rPr>
          <w:rFonts w:ascii="Times New Roman" w:hAnsi="Times New Roman" w:cs="Times New Roman"/>
          <w:sz w:val="24"/>
          <w:szCs w:val="24"/>
          <w:lang w:val="ro-MD"/>
        </w:rPr>
        <w:t>iața muncii.</w:t>
      </w:r>
    </w:p>
    <w:p w14:paraId="249B2876" w14:textId="4D50FAF6" w:rsidR="008371AA" w:rsidRPr="003836D9" w:rsidRDefault="008371AA" w:rsidP="00120F6F">
      <w:pPr>
        <w:spacing w:before="120" w:after="120" w:line="280" w:lineRule="exact"/>
        <w:jc w:val="both"/>
        <w:rPr>
          <w:rFonts w:ascii="Times New Roman" w:hAnsi="Times New Roman" w:cs="Times New Roman"/>
          <w:sz w:val="24"/>
          <w:szCs w:val="24"/>
          <w:lang w:val="ro-MD"/>
        </w:rPr>
      </w:pPr>
      <w:r w:rsidRPr="003836D9">
        <w:rPr>
          <w:rFonts w:ascii="Times New Roman" w:hAnsi="Times New Roman" w:cs="Times New Roman"/>
          <w:b/>
          <w:sz w:val="24"/>
          <w:szCs w:val="24"/>
          <w:lang w:val="ro-MD"/>
        </w:rPr>
        <w:t>Sistemul de evaluare</w:t>
      </w:r>
      <w:r w:rsidRPr="003836D9">
        <w:rPr>
          <w:rFonts w:ascii="Times New Roman" w:hAnsi="Times New Roman" w:cs="Times New Roman"/>
          <w:sz w:val="24"/>
          <w:szCs w:val="24"/>
          <w:lang w:val="ro-MD"/>
        </w:rPr>
        <w:t xml:space="preserve"> va fi integrat în ciclul de politici/program și va cuprinde două exerciții de evaluare, unul la finalul primei faze a </w:t>
      </w:r>
      <w:r w:rsidR="00FD0F9E" w:rsidRPr="003836D9">
        <w:rPr>
          <w:rFonts w:ascii="Times New Roman" w:hAnsi="Times New Roman" w:cs="Times New Roman"/>
          <w:sz w:val="24"/>
          <w:szCs w:val="24"/>
          <w:lang w:val="ro-MD"/>
        </w:rPr>
        <w:t xml:space="preserve">Programului </w:t>
      </w:r>
      <w:r w:rsidRPr="003836D9">
        <w:rPr>
          <w:rFonts w:ascii="Times New Roman" w:hAnsi="Times New Roman" w:cs="Times New Roman"/>
          <w:sz w:val="24"/>
          <w:szCs w:val="24"/>
          <w:lang w:val="ro-MD"/>
        </w:rPr>
        <w:t>(2022-2024)</w:t>
      </w:r>
      <w:r w:rsidR="009D5594" w:rsidRPr="003836D9">
        <w:rPr>
          <w:rFonts w:ascii="Times New Roman" w:hAnsi="Times New Roman" w:cs="Times New Roman"/>
          <w:sz w:val="24"/>
          <w:szCs w:val="24"/>
          <w:lang w:val="ro-MD"/>
        </w:rPr>
        <w:t xml:space="preserve"> – până la data de 1 aprilie 2025</w:t>
      </w:r>
      <w:r w:rsidRPr="003836D9">
        <w:rPr>
          <w:rFonts w:ascii="Times New Roman" w:hAnsi="Times New Roman" w:cs="Times New Roman"/>
          <w:sz w:val="24"/>
          <w:szCs w:val="24"/>
          <w:lang w:val="ro-MD"/>
        </w:rPr>
        <w:t xml:space="preserve"> și unul la finalizarea acesteia (2026)</w:t>
      </w:r>
      <w:r w:rsidR="009D5594" w:rsidRPr="003836D9">
        <w:rPr>
          <w:rFonts w:ascii="Times New Roman" w:hAnsi="Times New Roman" w:cs="Times New Roman"/>
          <w:sz w:val="24"/>
          <w:szCs w:val="24"/>
          <w:lang w:val="ro-MD"/>
        </w:rPr>
        <w:t xml:space="preserve"> – 1 aprilie 2027</w:t>
      </w:r>
      <w:r w:rsidRPr="003836D9">
        <w:rPr>
          <w:rFonts w:ascii="Times New Roman" w:hAnsi="Times New Roman" w:cs="Times New Roman"/>
          <w:sz w:val="24"/>
          <w:szCs w:val="24"/>
          <w:lang w:val="ro-MD"/>
        </w:rPr>
        <w:t xml:space="preserve">. </w:t>
      </w:r>
      <w:r w:rsidR="00EC220C">
        <w:rPr>
          <w:rFonts w:ascii="Times New Roman" w:hAnsi="Times New Roman" w:cs="Times New Roman"/>
          <w:sz w:val="24"/>
          <w:szCs w:val="24"/>
          <w:lang w:val="ro-MD"/>
        </w:rPr>
        <w:t>Ministerul Muncii și Protecției Sociale</w:t>
      </w:r>
      <w:r w:rsidRPr="003836D9">
        <w:rPr>
          <w:rFonts w:ascii="Times New Roman" w:hAnsi="Times New Roman" w:cs="Times New Roman"/>
          <w:sz w:val="24"/>
          <w:szCs w:val="24"/>
          <w:lang w:val="ro-MD"/>
        </w:rPr>
        <w:t xml:space="preserve"> va fi responsabil pentru coordonarea atât a evaluărilor intermediare, cât și a evaluăr</w:t>
      </w:r>
      <w:r w:rsidR="009D5594" w:rsidRPr="003836D9">
        <w:rPr>
          <w:rFonts w:ascii="Times New Roman" w:hAnsi="Times New Roman" w:cs="Times New Roman"/>
          <w:sz w:val="24"/>
          <w:szCs w:val="24"/>
          <w:lang w:val="ro-MD"/>
        </w:rPr>
        <w:t>i</w:t>
      </w:r>
      <w:r w:rsidRPr="003836D9">
        <w:rPr>
          <w:rFonts w:ascii="Times New Roman" w:hAnsi="Times New Roman" w:cs="Times New Roman"/>
          <w:sz w:val="24"/>
          <w:szCs w:val="24"/>
          <w:lang w:val="ro-MD"/>
        </w:rPr>
        <w:t>i finale.</w:t>
      </w:r>
    </w:p>
    <w:p w14:paraId="6F6BF8CD" w14:textId="3988D7D2" w:rsidR="008371AA" w:rsidRPr="003836D9" w:rsidRDefault="008371AA" w:rsidP="00120F6F">
      <w:pPr>
        <w:spacing w:before="120" w:after="120" w:line="280" w:lineRule="exact"/>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Primul exercițiu de evaluare va analiza </w:t>
      </w:r>
      <w:r w:rsidR="00AF69E7" w:rsidRPr="003836D9">
        <w:rPr>
          <w:rFonts w:ascii="Times New Roman" w:hAnsi="Times New Roman" w:cs="Times New Roman"/>
          <w:sz w:val="24"/>
          <w:szCs w:val="24"/>
          <w:lang w:val="ro-MD"/>
        </w:rPr>
        <w:t>gradul de realizare a obiectivelor și schimbările produse</w:t>
      </w:r>
      <w:r w:rsidR="00FE386E">
        <w:rPr>
          <w:rFonts w:ascii="Times New Roman" w:hAnsi="Times New Roman" w:cs="Times New Roman"/>
          <w:sz w:val="24"/>
          <w:szCs w:val="24"/>
          <w:lang w:val="ro-MD"/>
        </w:rPr>
        <w:t xml:space="preserve">, ca </w:t>
      </w:r>
      <w:r w:rsidR="00AF69E7" w:rsidRPr="003836D9">
        <w:rPr>
          <w:rFonts w:ascii="Times New Roman" w:hAnsi="Times New Roman" w:cs="Times New Roman"/>
          <w:sz w:val="24"/>
          <w:szCs w:val="24"/>
          <w:lang w:val="ro-MD"/>
        </w:rPr>
        <w:t xml:space="preserve"> urmare a </w:t>
      </w:r>
      <w:r w:rsidRPr="003836D9">
        <w:rPr>
          <w:rFonts w:ascii="Times New Roman" w:hAnsi="Times New Roman" w:cs="Times New Roman"/>
          <w:sz w:val="24"/>
          <w:szCs w:val="24"/>
          <w:lang w:val="ro-MD"/>
        </w:rPr>
        <w:t xml:space="preserve">intervențiilor de politici. Prin comparare cu datele de referință, </w:t>
      </w:r>
      <w:r w:rsidR="00405406" w:rsidRPr="003836D9">
        <w:rPr>
          <w:rFonts w:ascii="Times New Roman" w:hAnsi="Times New Roman" w:cs="Times New Roman"/>
          <w:sz w:val="24"/>
          <w:szCs w:val="24"/>
          <w:lang w:val="ro-MD"/>
        </w:rPr>
        <w:t>se vor</w:t>
      </w:r>
      <w:r w:rsidRPr="003836D9">
        <w:rPr>
          <w:rFonts w:ascii="Times New Roman" w:hAnsi="Times New Roman" w:cs="Times New Roman"/>
          <w:sz w:val="24"/>
          <w:szCs w:val="24"/>
          <w:lang w:val="ro-MD"/>
        </w:rPr>
        <w:t xml:space="preserve"> evidenția schimbările în contextul general și va evalua dacă obiectivele </w:t>
      </w:r>
      <w:r w:rsidR="00405406" w:rsidRPr="003836D9">
        <w:rPr>
          <w:rFonts w:ascii="Times New Roman" w:hAnsi="Times New Roman" w:cs="Times New Roman"/>
          <w:sz w:val="24"/>
          <w:szCs w:val="24"/>
          <w:lang w:val="ro-MD"/>
        </w:rPr>
        <w:t xml:space="preserve">specifice </w:t>
      </w:r>
      <w:r w:rsidRPr="003836D9">
        <w:rPr>
          <w:rFonts w:ascii="Times New Roman" w:hAnsi="Times New Roman" w:cs="Times New Roman"/>
          <w:sz w:val="24"/>
          <w:szCs w:val="24"/>
          <w:lang w:val="ro-MD"/>
        </w:rPr>
        <w:t xml:space="preserve">rămân relevante înainte de lansarea celei de-a doua etape a </w:t>
      </w:r>
      <w:r w:rsidR="000F2D2A" w:rsidRPr="003836D9">
        <w:rPr>
          <w:rFonts w:ascii="Times New Roman" w:hAnsi="Times New Roman" w:cs="Times New Roman"/>
          <w:sz w:val="24"/>
          <w:szCs w:val="24"/>
          <w:lang w:val="ro-MD"/>
        </w:rPr>
        <w:t xml:space="preserve">Programului </w:t>
      </w:r>
      <w:r w:rsidRPr="003836D9">
        <w:rPr>
          <w:rFonts w:ascii="Times New Roman" w:hAnsi="Times New Roman" w:cs="Times New Roman"/>
          <w:sz w:val="24"/>
          <w:szCs w:val="24"/>
          <w:lang w:val="ro-MD"/>
        </w:rPr>
        <w:t xml:space="preserve">(2024-2026). De asemenea, această evaluare va </w:t>
      </w:r>
      <w:r w:rsidR="00405406" w:rsidRPr="003836D9">
        <w:rPr>
          <w:rFonts w:ascii="Times New Roman" w:hAnsi="Times New Roman" w:cs="Times New Roman"/>
          <w:sz w:val="24"/>
          <w:szCs w:val="24"/>
          <w:lang w:val="ro-MD"/>
        </w:rPr>
        <w:t xml:space="preserve">constata </w:t>
      </w:r>
      <w:r w:rsidRPr="003836D9">
        <w:rPr>
          <w:rFonts w:ascii="Times New Roman" w:hAnsi="Times New Roman" w:cs="Times New Roman"/>
          <w:sz w:val="24"/>
          <w:szCs w:val="24"/>
          <w:lang w:val="ro-MD"/>
        </w:rPr>
        <w:t xml:space="preserve">dacă evoluția priorităților și politicilor naționale </w:t>
      </w:r>
      <w:r w:rsidR="00405406" w:rsidRPr="003836D9">
        <w:rPr>
          <w:rFonts w:ascii="Times New Roman" w:hAnsi="Times New Roman" w:cs="Times New Roman"/>
          <w:sz w:val="24"/>
          <w:szCs w:val="24"/>
          <w:lang w:val="ro-MD"/>
        </w:rPr>
        <w:t xml:space="preserve">reprezintă </w:t>
      </w:r>
      <w:r w:rsidRPr="003836D9">
        <w:rPr>
          <w:rFonts w:ascii="Times New Roman" w:hAnsi="Times New Roman" w:cs="Times New Roman"/>
          <w:sz w:val="24"/>
          <w:szCs w:val="24"/>
          <w:lang w:val="ro-MD"/>
        </w:rPr>
        <w:t xml:space="preserve">o problemă de coerență. Evaluarea intermediară se va baza pe informațiile extrase din sistemul de monitorizare </w:t>
      </w:r>
      <w:r w:rsidR="00405406" w:rsidRPr="003836D9">
        <w:rPr>
          <w:rFonts w:ascii="Times New Roman" w:hAnsi="Times New Roman" w:cs="Times New Roman"/>
          <w:sz w:val="24"/>
          <w:szCs w:val="24"/>
          <w:lang w:val="ro-MD"/>
        </w:rPr>
        <w:t>a pieței muncii,</w:t>
      </w:r>
      <w:r w:rsidRPr="003836D9">
        <w:rPr>
          <w:rFonts w:ascii="Times New Roman" w:hAnsi="Times New Roman" w:cs="Times New Roman"/>
          <w:sz w:val="24"/>
          <w:szCs w:val="24"/>
          <w:lang w:val="ro-MD"/>
        </w:rPr>
        <w:t xml:space="preserve"> din contextul general și </w:t>
      </w:r>
      <w:r w:rsidR="00405406" w:rsidRPr="003836D9">
        <w:rPr>
          <w:rFonts w:ascii="Times New Roman" w:hAnsi="Times New Roman" w:cs="Times New Roman"/>
          <w:sz w:val="24"/>
          <w:szCs w:val="24"/>
          <w:lang w:val="ro-MD"/>
        </w:rPr>
        <w:t xml:space="preserve">reflectarea </w:t>
      </w:r>
      <w:r w:rsidRPr="003836D9">
        <w:rPr>
          <w:rFonts w:ascii="Times New Roman" w:hAnsi="Times New Roman" w:cs="Times New Roman"/>
          <w:sz w:val="24"/>
          <w:szCs w:val="24"/>
          <w:lang w:val="ro-MD"/>
        </w:rPr>
        <w:t>acestuia</w:t>
      </w:r>
      <w:r w:rsidR="00405406" w:rsidRPr="003836D9">
        <w:rPr>
          <w:rFonts w:ascii="Times New Roman" w:hAnsi="Times New Roman" w:cs="Times New Roman"/>
          <w:sz w:val="24"/>
          <w:szCs w:val="24"/>
          <w:lang w:val="ro-MD"/>
        </w:rPr>
        <w:t xml:space="preserve"> în </w:t>
      </w:r>
      <w:r w:rsidRPr="003836D9">
        <w:rPr>
          <w:rFonts w:ascii="Times New Roman" w:hAnsi="Times New Roman" w:cs="Times New Roman"/>
          <w:sz w:val="24"/>
          <w:szCs w:val="24"/>
          <w:lang w:val="ro-MD"/>
        </w:rPr>
        <w:t>managementul planificării acțiunilor</w:t>
      </w:r>
      <w:r w:rsidR="00405406" w:rsidRPr="003836D9">
        <w:rPr>
          <w:rFonts w:ascii="Times New Roman" w:hAnsi="Times New Roman" w:cs="Times New Roman"/>
          <w:sz w:val="24"/>
          <w:szCs w:val="24"/>
          <w:lang w:val="ro-MD"/>
        </w:rPr>
        <w:t xml:space="preserve"> de politică</w:t>
      </w:r>
      <w:r w:rsidRPr="003836D9">
        <w:rPr>
          <w:rFonts w:ascii="Times New Roman" w:hAnsi="Times New Roman" w:cs="Times New Roman"/>
          <w:sz w:val="24"/>
          <w:szCs w:val="24"/>
          <w:lang w:val="ro-MD"/>
        </w:rPr>
        <w:t xml:space="preserve">. </w:t>
      </w:r>
    </w:p>
    <w:p w14:paraId="1C34CAAF" w14:textId="1AB12108" w:rsidR="008371AA" w:rsidRPr="003836D9" w:rsidRDefault="008371AA" w:rsidP="000F2D2A">
      <w:pPr>
        <w:spacing w:before="120" w:after="120" w:line="280" w:lineRule="exact"/>
        <w:jc w:val="both"/>
        <w:rPr>
          <w:rFonts w:ascii="Times New Roman" w:hAnsi="Times New Roman" w:cs="Times New Roman"/>
          <w:sz w:val="24"/>
          <w:szCs w:val="24"/>
          <w:lang w:val="ro-MD"/>
        </w:rPr>
      </w:pPr>
      <w:r w:rsidRPr="003836D9">
        <w:rPr>
          <w:rFonts w:ascii="Times New Roman" w:hAnsi="Times New Roman" w:cs="Times New Roman"/>
          <w:sz w:val="24"/>
          <w:szCs w:val="24"/>
          <w:lang w:val="ro-MD"/>
        </w:rPr>
        <w:t xml:space="preserve">Evaluarea </w:t>
      </w:r>
      <w:r w:rsidR="00405406" w:rsidRPr="003836D9">
        <w:rPr>
          <w:rFonts w:ascii="Times New Roman" w:hAnsi="Times New Roman" w:cs="Times New Roman"/>
          <w:sz w:val="24"/>
          <w:szCs w:val="24"/>
          <w:lang w:val="ro-MD"/>
        </w:rPr>
        <w:t>finală</w:t>
      </w:r>
      <w:r w:rsidRPr="003836D9">
        <w:rPr>
          <w:rFonts w:ascii="Times New Roman" w:hAnsi="Times New Roman" w:cs="Times New Roman"/>
          <w:sz w:val="24"/>
          <w:szCs w:val="24"/>
          <w:lang w:val="ro-MD"/>
        </w:rPr>
        <w:t xml:space="preserve">, care va fi realizată în 2026, va </w:t>
      </w:r>
      <w:r w:rsidR="00405406" w:rsidRPr="003836D9">
        <w:rPr>
          <w:rFonts w:ascii="Times New Roman" w:hAnsi="Times New Roman" w:cs="Times New Roman"/>
          <w:sz w:val="24"/>
          <w:szCs w:val="24"/>
          <w:lang w:val="ro-MD"/>
        </w:rPr>
        <w:t>reflecta</w:t>
      </w:r>
      <w:r w:rsidRPr="003836D9">
        <w:rPr>
          <w:rFonts w:ascii="Times New Roman" w:hAnsi="Times New Roman" w:cs="Times New Roman"/>
          <w:sz w:val="24"/>
          <w:szCs w:val="24"/>
          <w:lang w:val="ro-MD"/>
        </w:rPr>
        <w:t xml:space="preserve"> performanța întreg</w:t>
      </w:r>
      <w:r w:rsidR="00405406" w:rsidRPr="003836D9">
        <w:rPr>
          <w:rFonts w:ascii="Times New Roman" w:hAnsi="Times New Roman" w:cs="Times New Roman"/>
          <w:sz w:val="24"/>
          <w:szCs w:val="24"/>
          <w:lang w:val="ro-MD"/>
        </w:rPr>
        <w:t>ului Program</w:t>
      </w:r>
      <w:r w:rsidRPr="003836D9">
        <w:rPr>
          <w:rFonts w:ascii="Times New Roman" w:hAnsi="Times New Roman" w:cs="Times New Roman"/>
          <w:sz w:val="24"/>
          <w:szCs w:val="24"/>
          <w:lang w:val="ro-MD"/>
        </w:rPr>
        <w:t>. Ace</w:t>
      </w:r>
      <w:r w:rsidR="00405406" w:rsidRPr="003836D9">
        <w:rPr>
          <w:rFonts w:ascii="Times New Roman" w:hAnsi="Times New Roman" w:cs="Times New Roman"/>
          <w:sz w:val="24"/>
          <w:szCs w:val="24"/>
          <w:lang w:val="ro-MD"/>
        </w:rPr>
        <w:t>a</w:t>
      </w:r>
      <w:r w:rsidRPr="003836D9">
        <w:rPr>
          <w:rFonts w:ascii="Times New Roman" w:hAnsi="Times New Roman" w:cs="Times New Roman"/>
          <w:sz w:val="24"/>
          <w:szCs w:val="24"/>
          <w:lang w:val="ro-MD"/>
        </w:rPr>
        <w:t>sta va raporta asupra eficacității și eficienței intervențiilor și măsura în care rezultatele așteptate au fost atinse. Întrebările de evaluare și de cercetare primare se vor axa pe:</w:t>
      </w:r>
    </w:p>
    <w:p w14:paraId="305058F1" w14:textId="77777777" w:rsidR="008371AA" w:rsidRPr="003836D9" w:rsidRDefault="008371AA" w:rsidP="00DD7935">
      <w:pPr>
        <w:pStyle w:val="Paragrafoelenco1"/>
        <w:spacing w:after="0" w:line="280" w:lineRule="exact"/>
        <w:ind w:left="0"/>
        <w:jc w:val="both"/>
        <w:rPr>
          <w:rFonts w:ascii="Times New Roman" w:hAnsi="Times New Roman"/>
          <w:sz w:val="24"/>
          <w:szCs w:val="24"/>
          <w:lang w:val="ro-MD"/>
        </w:rPr>
      </w:pPr>
      <w:r w:rsidRPr="003836D9">
        <w:rPr>
          <w:rFonts w:ascii="Times New Roman" w:hAnsi="Times New Roman"/>
          <w:i/>
          <w:iCs/>
          <w:sz w:val="24"/>
          <w:szCs w:val="24"/>
          <w:lang w:val="ro-MD"/>
        </w:rPr>
        <w:t xml:space="preserve">Relevanță: </w:t>
      </w:r>
      <w:r w:rsidRPr="003836D9">
        <w:rPr>
          <w:rFonts w:ascii="Times New Roman" w:hAnsi="Times New Roman"/>
          <w:iCs/>
          <w:sz w:val="24"/>
          <w:szCs w:val="24"/>
          <w:lang w:val="ro-MD"/>
        </w:rPr>
        <w:t>măsura în care obiectivele politicii de ocupare au răspuns nevoilor și priorităților naționale;</w:t>
      </w:r>
    </w:p>
    <w:p w14:paraId="1570E654" w14:textId="77777777" w:rsidR="008371AA" w:rsidRPr="003836D9" w:rsidRDefault="008371AA" w:rsidP="00DD7935">
      <w:pPr>
        <w:pStyle w:val="Paragrafoelenco1"/>
        <w:spacing w:after="0" w:line="280" w:lineRule="exact"/>
        <w:ind w:left="0"/>
        <w:jc w:val="both"/>
        <w:rPr>
          <w:rFonts w:ascii="Times New Roman" w:hAnsi="Times New Roman"/>
          <w:sz w:val="24"/>
          <w:szCs w:val="24"/>
          <w:lang w:val="ro-MD"/>
        </w:rPr>
      </w:pPr>
      <w:r w:rsidRPr="003836D9">
        <w:rPr>
          <w:rFonts w:ascii="Times New Roman" w:hAnsi="Times New Roman"/>
          <w:i/>
          <w:iCs/>
          <w:sz w:val="24"/>
          <w:szCs w:val="24"/>
          <w:lang w:val="ro-MD"/>
        </w:rPr>
        <w:lastRenderedPageBreak/>
        <w:t xml:space="preserve">Eficacitate: </w:t>
      </w:r>
      <w:r w:rsidRPr="003836D9">
        <w:rPr>
          <w:rFonts w:ascii="Times New Roman" w:hAnsi="Times New Roman"/>
          <w:iCs/>
          <w:sz w:val="24"/>
          <w:szCs w:val="24"/>
          <w:lang w:val="ro-MD"/>
        </w:rPr>
        <w:t>măsura în care obiectivele au fost atinse; dacă intervențiile și mijloacele utilizate au atins rezultatele așteptate; și dacă utilizând diferite</w:t>
      </w:r>
      <w:r w:rsidRPr="003836D9">
        <w:rPr>
          <w:rFonts w:ascii="Times New Roman" w:hAnsi="Times New Roman"/>
          <w:sz w:val="24"/>
          <w:szCs w:val="24"/>
          <w:lang w:val="ro-MD"/>
        </w:rPr>
        <w:t xml:space="preserve"> </w:t>
      </w:r>
      <w:r w:rsidRPr="003836D9">
        <w:rPr>
          <w:rFonts w:ascii="Times New Roman" w:hAnsi="Times New Roman"/>
          <w:iCs/>
          <w:sz w:val="24"/>
          <w:szCs w:val="24"/>
          <w:lang w:val="ro-MD"/>
        </w:rPr>
        <w:t>mijloace s-ar fi putut obține mai mult;</w:t>
      </w:r>
    </w:p>
    <w:p w14:paraId="7143EEF9" w14:textId="77777777" w:rsidR="00E8557F" w:rsidRDefault="008371AA" w:rsidP="00DD7935">
      <w:pPr>
        <w:pStyle w:val="Paragrafoelenco1"/>
        <w:spacing w:after="0" w:line="280" w:lineRule="exact"/>
        <w:ind w:left="0"/>
        <w:jc w:val="both"/>
        <w:rPr>
          <w:rFonts w:ascii="Times New Roman" w:hAnsi="Times New Roman"/>
          <w:iCs/>
          <w:sz w:val="24"/>
          <w:szCs w:val="24"/>
          <w:lang w:val="ro-MD"/>
        </w:rPr>
      </w:pPr>
      <w:r w:rsidRPr="003836D9">
        <w:rPr>
          <w:rFonts w:ascii="Times New Roman" w:hAnsi="Times New Roman"/>
          <w:i/>
          <w:iCs/>
          <w:sz w:val="24"/>
          <w:szCs w:val="24"/>
          <w:lang w:val="ro-MD"/>
        </w:rPr>
        <w:t xml:space="preserve">Eficiență: </w:t>
      </w:r>
      <w:r w:rsidRPr="003836D9">
        <w:rPr>
          <w:rFonts w:ascii="Times New Roman" w:hAnsi="Times New Roman"/>
          <w:iCs/>
          <w:sz w:val="24"/>
          <w:szCs w:val="24"/>
          <w:lang w:val="ro-MD"/>
        </w:rPr>
        <w:t xml:space="preserve">dacă obiectivele au fost atinse la cel mai mic cost posibil; </w:t>
      </w:r>
    </w:p>
    <w:p w14:paraId="7C91499E" w14:textId="5633B32D" w:rsidR="008371AA" w:rsidRPr="003836D9" w:rsidRDefault="008371AA" w:rsidP="00DD7935">
      <w:pPr>
        <w:pStyle w:val="Paragrafoelenco1"/>
        <w:spacing w:after="0" w:line="280" w:lineRule="exact"/>
        <w:ind w:left="0"/>
        <w:jc w:val="both"/>
        <w:rPr>
          <w:rFonts w:ascii="Times New Roman" w:hAnsi="Times New Roman"/>
          <w:sz w:val="24"/>
          <w:szCs w:val="24"/>
          <w:lang w:val="ro-MD"/>
        </w:rPr>
      </w:pPr>
      <w:r w:rsidRPr="003836D9">
        <w:rPr>
          <w:rFonts w:ascii="Times New Roman" w:hAnsi="Times New Roman"/>
          <w:i/>
          <w:iCs/>
          <w:sz w:val="24"/>
          <w:szCs w:val="24"/>
          <w:lang w:val="ro-MD"/>
        </w:rPr>
        <w:t>Sustenabilitate:</w:t>
      </w:r>
      <w:r w:rsidRPr="003836D9">
        <w:rPr>
          <w:rFonts w:ascii="Times New Roman" w:hAnsi="Times New Roman"/>
          <w:sz w:val="24"/>
          <w:szCs w:val="24"/>
          <w:lang w:val="ro-MD"/>
        </w:rPr>
        <w:t xml:space="preserve"> măsura în care rezultatele, inclusiv schimbările instituționale, sunt durabile în timp. </w:t>
      </w:r>
    </w:p>
    <w:p w14:paraId="6CC22004" w14:textId="41E019F7" w:rsidR="008371AA" w:rsidRPr="003836D9" w:rsidRDefault="00B77F29" w:rsidP="008371AA">
      <w:pPr>
        <w:pStyle w:val="ListParagraph"/>
        <w:shd w:val="clear" w:color="auto" w:fill="FFFFFF" w:themeFill="background1"/>
        <w:ind w:left="1134" w:hanging="1134"/>
        <w:contextualSpacing w:val="0"/>
        <w:jc w:val="both"/>
        <w:rPr>
          <w:rFonts w:ascii="Times New Roman" w:hAnsi="Times New Roman" w:cs="Times New Roman"/>
          <w:bCs/>
          <w:iCs/>
          <w:color w:val="000000"/>
          <w:lang w:val="ro-MD"/>
        </w:rPr>
      </w:pPr>
      <w:r w:rsidRPr="003836D9">
        <w:rPr>
          <w:rFonts w:ascii="Times New Roman" w:hAnsi="Times New Roman" w:cs="Times New Roman"/>
          <w:bCs/>
          <w:iCs/>
          <w:color w:val="000000"/>
          <w:lang w:val="ro-MD"/>
        </w:rPr>
        <w:t xml:space="preserve">Rapoartele de evaluare vor fi publicate pe pagina </w:t>
      </w:r>
      <w:hyperlink r:id="rId42" w:history="1">
        <w:r w:rsidRPr="00EC220C">
          <w:rPr>
            <w:rStyle w:val="Hyperlink"/>
            <w:rFonts w:ascii="Times New Roman" w:hAnsi="Times New Roman" w:cs="Times New Roman"/>
            <w:bCs/>
            <w:iCs/>
            <w:lang w:val="ro-MD"/>
          </w:rPr>
          <w:t>web</w:t>
        </w:r>
      </w:hyperlink>
      <w:r w:rsidRPr="003836D9">
        <w:rPr>
          <w:rFonts w:ascii="Times New Roman" w:hAnsi="Times New Roman" w:cs="Times New Roman"/>
          <w:bCs/>
          <w:iCs/>
          <w:color w:val="000000"/>
          <w:lang w:val="ro-MD"/>
        </w:rPr>
        <w:t xml:space="preserve"> a M</w:t>
      </w:r>
      <w:r w:rsidR="00EC220C">
        <w:rPr>
          <w:rFonts w:ascii="Times New Roman" w:hAnsi="Times New Roman" w:cs="Times New Roman"/>
          <w:bCs/>
          <w:iCs/>
          <w:color w:val="000000"/>
          <w:lang w:val="ro-MD"/>
        </w:rPr>
        <w:t>inisterului Muncii și Protecției Sociale</w:t>
      </w:r>
      <w:r w:rsidRPr="003836D9">
        <w:rPr>
          <w:rFonts w:ascii="Times New Roman" w:hAnsi="Times New Roman" w:cs="Times New Roman"/>
          <w:bCs/>
          <w:iCs/>
          <w:color w:val="000000"/>
          <w:lang w:val="ro-MD"/>
        </w:rPr>
        <w:t>.</w:t>
      </w:r>
    </w:p>
    <w:p w14:paraId="1EAFDECB" w14:textId="77777777" w:rsidR="00C1482E" w:rsidRPr="003836D9" w:rsidRDefault="00C1482E" w:rsidP="008371AA">
      <w:pPr>
        <w:pStyle w:val="ListParagraph"/>
        <w:shd w:val="clear" w:color="auto" w:fill="FFFFFF" w:themeFill="background1"/>
        <w:ind w:left="1134" w:hanging="1134"/>
        <w:contextualSpacing w:val="0"/>
        <w:jc w:val="both"/>
        <w:rPr>
          <w:rFonts w:ascii="Times New Roman" w:hAnsi="Times New Roman" w:cs="Times New Roman"/>
          <w:bCs/>
          <w:iCs/>
          <w:color w:val="000000"/>
          <w:lang w:val="ro-MD"/>
        </w:rPr>
      </w:pPr>
    </w:p>
    <w:p w14:paraId="7D5BE813" w14:textId="77777777" w:rsidR="001A19B8" w:rsidRDefault="001A19B8" w:rsidP="00C1482E">
      <w:pPr>
        <w:pBdr>
          <w:top w:val="nil"/>
          <w:left w:val="nil"/>
          <w:bottom w:val="nil"/>
          <w:right w:val="nil"/>
          <w:between w:val="nil"/>
        </w:pBdr>
        <w:spacing w:after="0" w:line="240" w:lineRule="auto"/>
        <w:ind w:left="720"/>
        <w:jc w:val="right"/>
        <w:rPr>
          <w:rFonts w:ascii="Times New Roman" w:eastAsia="Times New Roman" w:hAnsi="Times New Roman" w:cs="Times New Roman"/>
          <w:b/>
          <w:color w:val="000000"/>
          <w:lang w:val="ro-MD"/>
        </w:rPr>
        <w:sectPr w:rsidR="001A19B8" w:rsidSect="00243AFB">
          <w:headerReference w:type="default" r:id="rId43"/>
          <w:footerReference w:type="default" r:id="rId44"/>
          <w:pgSz w:w="11906" w:h="16838"/>
          <w:pgMar w:top="142" w:right="1134" w:bottom="1134" w:left="1134" w:header="708" w:footer="708" w:gutter="0"/>
          <w:pgNumType w:start="1"/>
          <w:cols w:space="708"/>
          <w:docGrid w:linePitch="360"/>
        </w:sectPr>
      </w:pPr>
    </w:p>
    <w:p w14:paraId="6023E251" w14:textId="51BDF371" w:rsidR="007B3B21" w:rsidRPr="003836D9" w:rsidRDefault="00C1482E" w:rsidP="00C1482E">
      <w:pPr>
        <w:pBdr>
          <w:top w:val="nil"/>
          <w:left w:val="nil"/>
          <w:bottom w:val="nil"/>
          <w:right w:val="nil"/>
          <w:between w:val="nil"/>
        </w:pBdr>
        <w:spacing w:after="0" w:line="240" w:lineRule="auto"/>
        <w:ind w:left="720"/>
        <w:jc w:val="right"/>
        <w:rPr>
          <w:rFonts w:ascii="Times New Roman" w:eastAsia="Times New Roman" w:hAnsi="Times New Roman" w:cs="Times New Roman"/>
          <w:b/>
          <w:color w:val="000000"/>
          <w:lang w:val="ro-MD"/>
        </w:rPr>
      </w:pPr>
      <w:r w:rsidRPr="003836D9">
        <w:rPr>
          <w:rFonts w:ascii="Times New Roman" w:eastAsia="Times New Roman" w:hAnsi="Times New Roman" w:cs="Times New Roman"/>
          <w:b/>
          <w:color w:val="000000"/>
          <w:lang w:val="ro-MD"/>
        </w:rPr>
        <w:lastRenderedPageBreak/>
        <w:t>Anexa</w:t>
      </w:r>
      <w:r w:rsidR="007B3B21" w:rsidRPr="003836D9">
        <w:rPr>
          <w:rFonts w:ascii="Times New Roman" w:eastAsia="Times New Roman" w:hAnsi="Times New Roman" w:cs="Times New Roman"/>
          <w:b/>
          <w:color w:val="000000"/>
          <w:lang w:val="ro-MD"/>
        </w:rPr>
        <w:t xml:space="preserve"> nr.2</w:t>
      </w:r>
    </w:p>
    <w:p w14:paraId="12827B23" w14:textId="3941B320" w:rsidR="00C1482E" w:rsidRPr="003836D9" w:rsidRDefault="00C1482E" w:rsidP="00C1482E">
      <w:pPr>
        <w:pBdr>
          <w:top w:val="nil"/>
          <w:left w:val="nil"/>
          <w:bottom w:val="nil"/>
          <w:right w:val="nil"/>
          <w:between w:val="nil"/>
        </w:pBdr>
        <w:spacing w:after="0" w:line="240" w:lineRule="auto"/>
        <w:ind w:left="720"/>
        <w:jc w:val="right"/>
        <w:rPr>
          <w:rFonts w:ascii="Times New Roman" w:eastAsia="Times New Roman" w:hAnsi="Times New Roman" w:cs="Times New Roman"/>
          <w:b/>
          <w:color w:val="000000"/>
          <w:lang w:val="ro-MD"/>
        </w:rPr>
      </w:pPr>
      <w:r w:rsidRPr="003836D9">
        <w:rPr>
          <w:rFonts w:ascii="Times New Roman" w:eastAsia="Times New Roman" w:hAnsi="Times New Roman" w:cs="Times New Roman"/>
          <w:b/>
          <w:color w:val="000000"/>
          <w:lang w:val="ro-MD"/>
        </w:rPr>
        <w:t xml:space="preserve"> la </w:t>
      </w:r>
      <w:r w:rsidR="004C3B25" w:rsidRPr="003836D9">
        <w:rPr>
          <w:rFonts w:ascii="Times New Roman" w:eastAsia="Times New Roman" w:hAnsi="Times New Roman" w:cs="Times New Roman"/>
          <w:b/>
          <w:color w:val="000000"/>
          <w:lang w:val="ro-MD"/>
        </w:rPr>
        <w:t>Hotărârea</w:t>
      </w:r>
      <w:r w:rsidRPr="003836D9">
        <w:rPr>
          <w:rFonts w:ascii="Times New Roman" w:eastAsia="Times New Roman" w:hAnsi="Times New Roman" w:cs="Times New Roman"/>
          <w:b/>
          <w:color w:val="000000"/>
          <w:lang w:val="ro-MD"/>
        </w:rPr>
        <w:t xml:space="preserve"> Guvernului </w:t>
      </w:r>
      <w:r w:rsidR="007B3B21" w:rsidRPr="003836D9">
        <w:rPr>
          <w:rFonts w:ascii="Times New Roman" w:eastAsia="Times New Roman" w:hAnsi="Times New Roman" w:cs="Times New Roman"/>
          <w:b/>
          <w:color w:val="000000"/>
          <w:lang w:val="ro-MD"/>
        </w:rPr>
        <w:t xml:space="preserve">nr._____ /2022.  </w:t>
      </w:r>
    </w:p>
    <w:p w14:paraId="4041C9E2" w14:textId="77777777" w:rsidR="00C1482E" w:rsidRPr="003836D9" w:rsidRDefault="00C1482E" w:rsidP="00C1482E">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lang w:val="ro-MD"/>
        </w:rPr>
      </w:pPr>
    </w:p>
    <w:p w14:paraId="36EABF9A" w14:textId="77777777" w:rsidR="00C1482E" w:rsidRPr="00004D3E" w:rsidRDefault="00C1482E" w:rsidP="00C1482E">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0"/>
          <w:szCs w:val="20"/>
          <w:lang w:val="ro-MD"/>
        </w:rPr>
      </w:pPr>
      <w:bookmarkStart w:id="145" w:name="_Hlk113266830"/>
      <w:r w:rsidRPr="00004D3E">
        <w:rPr>
          <w:rFonts w:ascii="Times New Roman" w:eastAsia="Times New Roman" w:hAnsi="Times New Roman" w:cs="Times New Roman"/>
          <w:b/>
          <w:color w:val="000000"/>
          <w:sz w:val="20"/>
          <w:szCs w:val="20"/>
          <w:lang w:val="ro-MD"/>
        </w:rPr>
        <w:t>PLAN DE ACȚIUNI</w:t>
      </w:r>
    </w:p>
    <w:p w14:paraId="66C546AB" w14:textId="4160F0EA" w:rsidR="00C1482E" w:rsidRPr="00004D3E" w:rsidRDefault="00C1482E" w:rsidP="00C1482E">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0"/>
          <w:szCs w:val="20"/>
          <w:lang w:val="ro-MD"/>
        </w:rPr>
      </w:pPr>
      <w:r w:rsidRPr="00004D3E">
        <w:rPr>
          <w:rFonts w:ascii="Times New Roman" w:eastAsia="Times New Roman" w:hAnsi="Times New Roman" w:cs="Times New Roman"/>
          <w:b/>
          <w:color w:val="000000"/>
          <w:sz w:val="20"/>
          <w:szCs w:val="20"/>
          <w:lang w:val="ro-MD"/>
        </w:rPr>
        <w:t xml:space="preserve">pentru implementarea programului </w:t>
      </w:r>
      <w:r w:rsidR="007545C7" w:rsidRPr="00004D3E">
        <w:rPr>
          <w:rFonts w:ascii="Times New Roman" w:eastAsia="Times New Roman" w:hAnsi="Times New Roman" w:cs="Times New Roman"/>
          <w:b/>
          <w:color w:val="000000"/>
          <w:sz w:val="20"/>
          <w:szCs w:val="20"/>
          <w:lang w:val="ro-MD"/>
        </w:rPr>
        <w:t>pentru</w:t>
      </w:r>
      <w:r w:rsidRPr="00004D3E">
        <w:rPr>
          <w:rFonts w:ascii="Times New Roman" w:eastAsia="Times New Roman" w:hAnsi="Times New Roman" w:cs="Times New Roman"/>
          <w:b/>
          <w:color w:val="000000"/>
          <w:sz w:val="20"/>
          <w:szCs w:val="20"/>
          <w:lang w:val="ro-MD"/>
        </w:rPr>
        <w:t xml:space="preserve"> ocupare a forței de muncă pe</w:t>
      </w:r>
      <w:r w:rsidR="00ED1375" w:rsidRPr="00004D3E">
        <w:rPr>
          <w:rFonts w:ascii="Times New Roman" w:eastAsia="Times New Roman" w:hAnsi="Times New Roman" w:cs="Times New Roman"/>
          <w:b/>
          <w:color w:val="000000"/>
          <w:sz w:val="20"/>
          <w:szCs w:val="20"/>
          <w:lang w:val="ro-MD"/>
        </w:rPr>
        <w:t>ntru</w:t>
      </w:r>
      <w:r w:rsidRPr="00004D3E">
        <w:rPr>
          <w:rFonts w:ascii="Times New Roman" w:eastAsia="Times New Roman" w:hAnsi="Times New Roman" w:cs="Times New Roman"/>
          <w:b/>
          <w:color w:val="000000"/>
          <w:sz w:val="20"/>
          <w:szCs w:val="20"/>
          <w:lang w:val="ro-MD"/>
        </w:rPr>
        <w:t xml:space="preserve"> anii 2022-2026</w:t>
      </w:r>
    </w:p>
    <w:p w14:paraId="0EE9BAA2" w14:textId="6206BB9C" w:rsidR="009A3229" w:rsidRPr="003836D9" w:rsidRDefault="009A3229" w:rsidP="009A3229">
      <w:pPr>
        <w:pBdr>
          <w:top w:val="nil"/>
          <w:left w:val="nil"/>
          <w:bottom w:val="nil"/>
          <w:right w:val="nil"/>
          <w:between w:val="nil"/>
        </w:pBdr>
        <w:spacing w:after="0" w:line="240" w:lineRule="auto"/>
        <w:ind w:left="720"/>
        <w:jc w:val="center"/>
        <w:rPr>
          <w:rFonts w:ascii="Times New Roman" w:eastAsia="Times New Roman" w:hAnsi="Times New Roman" w:cs="Times New Roman"/>
          <w:bCs/>
          <w:color w:val="000000"/>
          <w:sz w:val="20"/>
          <w:szCs w:val="20"/>
          <w:lang w:val="ro-MD"/>
        </w:rPr>
      </w:pPr>
    </w:p>
    <w:tbl>
      <w:tblPr>
        <w:tblW w:w="575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105"/>
        <w:gridCol w:w="147"/>
        <w:gridCol w:w="34"/>
        <w:gridCol w:w="785"/>
        <w:gridCol w:w="27"/>
        <w:gridCol w:w="994"/>
        <w:gridCol w:w="27"/>
        <w:gridCol w:w="1191"/>
        <w:gridCol w:w="61"/>
        <w:gridCol w:w="20"/>
        <w:gridCol w:w="1361"/>
        <w:gridCol w:w="182"/>
        <w:gridCol w:w="141"/>
        <w:gridCol w:w="1418"/>
        <w:gridCol w:w="16"/>
        <w:gridCol w:w="2387"/>
      </w:tblGrid>
      <w:tr w:rsidR="009A3229" w:rsidRPr="003836D9" w14:paraId="36A089F4"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9971E"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Nrd/o</w:t>
            </w:r>
          </w:p>
        </w:tc>
        <w:tc>
          <w:tcPr>
            <w:tcW w:w="10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0173192"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Acțiuni</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D54F16"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Termen de implementare</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7B671"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Costuri estimative, mil. lei</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2EDE12"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Sursa </w:t>
            </w:r>
          </w:p>
          <w:p w14:paraId="590A11B5"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de finanțare</w:t>
            </w:r>
          </w:p>
        </w:tc>
        <w:tc>
          <w:tcPr>
            <w:tcW w:w="636"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63D4B"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Instituții responsabile</w:t>
            </w:r>
          </w:p>
        </w:tc>
        <w:tc>
          <w:tcPr>
            <w:tcW w:w="77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17A5FB4"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Parteneri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7EB66729"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Indicatori de monitorizare</w:t>
            </w:r>
          </w:p>
        </w:tc>
      </w:tr>
      <w:tr w:rsidR="009A3229" w:rsidRPr="003836D9" w14:paraId="09998AD2" w14:textId="77777777" w:rsidTr="009A3229">
        <w:trPr>
          <w:tblHeader/>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47D92B6F" w14:textId="77777777" w:rsidR="009A3229" w:rsidRPr="003836D9" w:rsidRDefault="009A3229" w:rsidP="00E705A8">
            <w:pPr>
              <w:spacing w:after="0" w:line="240" w:lineRule="auto"/>
              <w:rPr>
                <w:rFonts w:ascii="Times New Roman" w:hAnsi="Times New Roman" w:cs="Times New Roman"/>
                <w:b/>
                <w:sz w:val="16"/>
                <w:szCs w:val="16"/>
                <w:lang w:val="ro-MD"/>
              </w:rPr>
            </w:pPr>
            <w:r w:rsidRPr="003836D9">
              <w:rPr>
                <w:rFonts w:ascii="Times New Roman" w:hAnsi="Times New Roman" w:cs="Times New Roman"/>
                <w:b/>
                <w:bCs/>
                <w:color w:val="000000"/>
                <w:sz w:val="16"/>
                <w:szCs w:val="16"/>
                <w:lang w:val="ro-MD"/>
              </w:rPr>
              <w:t>Obiectiv</w:t>
            </w:r>
            <w:r>
              <w:rPr>
                <w:rFonts w:ascii="Times New Roman" w:hAnsi="Times New Roman" w:cs="Times New Roman"/>
                <w:b/>
                <w:bCs/>
                <w:color w:val="000000"/>
                <w:sz w:val="16"/>
                <w:szCs w:val="16"/>
                <w:lang w:val="ro-MD"/>
              </w:rPr>
              <w:t>ul nr.</w:t>
            </w:r>
            <w:r w:rsidRPr="003836D9">
              <w:rPr>
                <w:rFonts w:ascii="Times New Roman" w:hAnsi="Times New Roman" w:cs="Times New Roman"/>
                <w:b/>
                <w:bCs/>
                <w:color w:val="000000"/>
                <w:sz w:val="16"/>
                <w:szCs w:val="16"/>
                <w:lang w:val="ro-MD"/>
              </w:rPr>
              <w:t xml:space="preserve"> 1. Sporirea cu 3% și, respectiv, cu 4% a ratei de activitate și ratei de ocupare a </w:t>
            </w:r>
            <w:r w:rsidRPr="00181018">
              <w:rPr>
                <w:rFonts w:ascii="Times New Roman" w:hAnsi="Times New Roman" w:cs="Times New Roman"/>
                <w:b/>
                <w:bCs/>
                <w:color w:val="000000"/>
                <w:sz w:val="16"/>
                <w:szCs w:val="16"/>
                <w:lang w:val="ro-MD"/>
              </w:rPr>
              <w:t xml:space="preserve">femeilor cu responsabilități familiale </w:t>
            </w:r>
            <w:r w:rsidRPr="003836D9">
              <w:rPr>
                <w:rFonts w:ascii="Times New Roman" w:hAnsi="Times New Roman" w:cs="Times New Roman"/>
                <w:b/>
                <w:bCs/>
                <w:sz w:val="16"/>
                <w:szCs w:val="16"/>
                <w:lang w:val="ro-MD"/>
              </w:rPr>
              <w:t>către anul 2026</w:t>
            </w:r>
            <w:r>
              <w:rPr>
                <w:rFonts w:ascii="Times New Roman" w:hAnsi="Times New Roman" w:cs="Times New Roman"/>
                <w:b/>
                <w:bCs/>
                <w:sz w:val="16"/>
                <w:szCs w:val="16"/>
                <w:lang w:val="ro-MD"/>
              </w:rPr>
              <w:t>.</w:t>
            </w:r>
            <w:r w:rsidRPr="003836D9">
              <w:rPr>
                <w:rFonts w:ascii="Times New Roman" w:hAnsi="Times New Roman" w:cs="Times New Roman"/>
                <w:b/>
                <w:bCs/>
                <w:sz w:val="24"/>
                <w:szCs w:val="24"/>
                <w:lang w:val="ro-MD"/>
              </w:rPr>
              <w:t xml:space="preserve"> </w:t>
            </w:r>
          </w:p>
          <w:p w14:paraId="71641A56" w14:textId="77777777" w:rsidR="009A3229" w:rsidRPr="003836D9" w:rsidRDefault="009A3229" w:rsidP="00E705A8">
            <w:pPr>
              <w:spacing w:after="0"/>
              <w:rPr>
                <w:rFonts w:ascii="Times New Roman" w:hAnsi="Times New Roman" w:cs="Times New Roman"/>
                <w:sz w:val="16"/>
                <w:szCs w:val="16"/>
                <w:lang w:val="ro-MD"/>
              </w:rPr>
            </w:pPr>
            <w:r w:rsidRPr="003836D9">
              <w:rPr>
                <w:rFonts w:ascii="Times New Roman" w:hAnsi="Times New Roman" w:cs="Times New Roman"/>
                <w:b/>
                <w:sz w:val="16"/>
                <w:szCs w:val="16"/>
                <w:lang w:val="ro-MD"/>
              </w:rPr>
              <w:t>Indicatori de impact</w:t>
            </w:r>
            <w:r w:rsidRPr="003836D9">
              <w:rPr>
                <w:rFonts w:ascii="Times New Roman" w:hAnsi="Times New Roman" w:cs="Times New Roman"/>
                <w:sz w:val="16"/>
                <w:szCs w:val="16"/>
                <w:lang w:val="ro-MD"/>
              </w:rPr>
              <w:t xml:space="preserve">: </w:t>
            </w:r>
          </w:p>
          <w:p w14:paraId="28534D5B" w14:textId="750ACD92" w:rsidR="009A3229" w:rsidRPr="003836D9" w:rsidRDefault="009A3229" w:rsidP="009A3229">
            <w:pPr>
              <w:pStyle w:val="ListParagraph"/>
              <w:numPr>
                <w:ilvl w:val="0"/>
                <w:numId w:val="41"/>
              </w:numPr>
              <w:spacing w:after="0"/>
              <w:rPr>
                <w:rFonts w:ascii="Times New Roman" w:hAnsi="Times New Roman" w:cs="Times New Roman"/>
                <w:b/>
                <w:sz w:val="16"/>
                <w:szCs w:val="16"/>
                <w:lang w:val="ro-MD"/>
              </w:rPr>
            </w:pPr>
            <w:r w:rsidRPr="003836D9">
              <w:rPr>
                <w:rFonts w:ascii="Times New Roman" w:hAnsi="Times New Roman" w:cs="Times New Roman"/>
                <w:sz w:val="16"/>
                <w:szCs w:val="16"/>
                <w:lang w:val="ro-MD"/>
              </w:rPr>
              <w:t>Rata de ocupare a femeilor în vârstă cuprinsă între 25-34 ani</w:t>
            </w:r>
            <w:r>
              <w:rPr>
                <w:rFonts w:ascii="Times New Roman" w:hAnsi="Times New Roman" w:cs="Times New Roman"/>
                <w:sz w:val="16"/>
                <w:szCs w:val="16"/>
                <w:lang w:val="ro-MD"/>
              </w:rPr>
              <w:t xml:space="preserve">, inclusiv a femeilor refugiate din Ucraina, </w:t>
            </w:r>
            <w:r w:rsidRPr="003836D9">
              <w:rPr>
                <w:rFonts w:ascii="Times New Roman" w:hAnsi="Times New Roman" w:cs="Times New Roman"/>
                <w:sz w:val="16"/>
                <w:szCs w:val="16"/>
                <w:lang w:val="ro-MD"/>
              </w:rPr>
              <w:t>este 47% către anul 2026</w:t>
            </w:r>
            <w:r w:rsidR="005102B0">
              <w:rPr>
                <w:rFonts w:ascii="Times New Roman" w:hAnsi="Times New Roman" w:cs="Times New Roman"/>
                <w:sz w:val="16"/>
                <w:szCs w:val="16"/>
                <w:lang w:val="ro-MD"/>
              </w:rPr>
              <w:t>.</w:t>
            </w:r>
          </w:p>
          <w:p w14:paraId="1ECB5621" w14:textId="7DAEC170" w:rsidR="009A3229" w:rsidRPr="003836D9" w:rsidRDefault="009A3229" w:rsidP="009A3229">
            <w:pPr>
              <w:pStyle w:val="ListParagraph"/>
              <w:numPr>
                <w:ilvl w:val="0"/>
                <w:numId w:val="41"/>
              </w:numPr>
              <w:spacing w:after="0"/>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Ponderea persoanelor </w:t>
            </w:r>
            <w:r>
              <w:rPr>
                <w:rFonts w:ascii="Times New Roman" w:hAnsi="Times New Roman" w:cs="Times New Roman"/>
                <w:sz w:val="16"/>
                <w:szCs w:val="16"/>
                <w:lang w:val="ro-MD"/>
              </w:rPr>
              <w:t>cu</w:t>
            </w:r>
            <w:r w:rsidRPr="003836D9">
              <w:rPr>
                <w:rFonts w:ascii="Times New Roman" w:hAnsi="Times New Roman" w:cs="Times New Roman"/>
                <w:sz w:val="16"/>
                <w:szCs w:val="16"/>
                <w:lang w:val="ro-MD"/>
              </w:rPr>
              <w:t xml:space="preserve"> vârstă cuprinsă între 25-34 ani inactive datorită responsabilităților familiale este redusă până la 15% (7</w:t>
            </w:r>
            <w:r>
              <w:rPr>
                <w:rFonts w:ascii="Times New Roman" w:hAnsi="Times New Roman" w:cs="Times New Roman"/>
                <w:sz w:val="16"/>
                <w:szCs w:val="16"/>
                <w:lang w:val="ro-MD"/>
              </w:rPr>
              <w:t>0</w:t>
            </w:r>
            <w:r w:rsidRPr="003836D9">
              <w:rPr>
                <w:rFonts w:ascii="Times New Roman" w:hAnsi="Times New Roman" w:cs="Times New Roman"/>
                <w:sz w:val="16"/>
                <w:szCs w:val="16"/>
                <w:lang w:val="ro-MD"/>
              </w:rPr>
              <w:t xml:space="preserve"> 000 pers</w:t>
            </w:r>
            <w:r>
              <w:rPr>
                <w:rFonts w:ascii="Times New Roman" w:hAnsi="Times New Roman" w:cs="Times New Roman"/>
                <w:sz w:val="16"/>
                <w:szCs w:val="16"/>
                <w:lang w:val="ro-MD"/>
              </w:rPr>
              <w:t>oane</w:t>
            </w:r>
            <w:r w:rsidRPr="003836D9">
              <w:rPr>
                <w:rFonts w:ascii="Times New Roman" w:hAnsi="Times New Roman" w:cs="Times New Roman"/>
                <w:sz w:val="16"/>
                <w:szCs w:val="16"/>
                <w:lang w:val="ro-MD"/>
              </w:rPr>
              <w:t>) către 2026</w:t>
            </w:r>
            <w:r w:rsidR="005102B0">
              <w:rPr>
                <w:rFonts w:ascii="Times New Roman" w:hAnsi="Times New Roman" w:cs="Times New Roman"/>
                <w:sz w:val="16"/>
                <w:szCs w:val="16"/>
                <w:lang w:val="ro-MD"/>
              </w:rPr>
              <w:t>.</w:t>
            </w:r>
          </w:p>
          <w:p w14:paraId="79B4010F" w14:textId="3D1BC945" w:rsidR="009A3229" w:rsidRPr="003836D9" w:rsidRDefault="009A3229" w:rsidP="009A3229">
            <w:pPr>
              <w:pStyle w:val="ListParagraph"/>
              <w:numPr>
                <w:ilvl w:val="0"/>
                <w:numId w:val="41"/>
              </w:numPr>
              <w:spacing w:after="0"/>
              <w:rPr>
                <w:rFonts w:ascii="Times New Roman" w:hAnsi="Times New Roman" w:cs="Times New Roman"/>
                <w:b/>
                <w:bCs/>
                <w:color w:val="000000"/>
                <w:sz w:val="16"/>
                <w:szCs w:val="16"/>
                <w:lang w:val="ro-MD"/>
              </w:rPr>
            </w:pPr>
            <w:r w:rsidRPr="003836D9">
              <w:rPr>
                <w:rFonts w:ascii="Times New Roman" w:hAnsi="Times New Roman" w:cs="Times New Roman"/>
                <w:sz w:val="16"/>
                <w:szCs w:val="16"/>
                <w:lang w:val="ro-MD"/>
              </w:rPr>
              <w:t>Ponderea copiilor până la 3 ani</w:t>
            </w:r>
            <w:r>
              <w:rPr>
                <w:rFonts w:ascii="Times New Roman" w:hAnsi="Times New Roman" w:cs="Times New Roman"/>
                <w:sz w:val="16"/>
                <w:szCs w:val="16"/>
                <w:lang w:val="ro-MD"/>
              </w:rPr>
              <w:t>, inclusiv a copiilor refugiați din Ucraina, a</w:t>
            </w:r>
            <w:r w:rsidRPr="003836D9">
              <w:rPr>
                <w:rFonts w:ascii="Times New Roman" w:hAnsi="Times New Roman" w:cs="Times New Roman"/>
                <w:sz w:val="16"/>
                <w:szCs w:val="16"/>
                <w:lang w:val="ro-MD"/>
              </w:rPr>
              <w:t>ntr</w:t>
            </w:r>
            <w:r>
              <w:rPr>
                <w:rFonts w:ascii="Times New Roman" w:hAnsi="Times New Roman" w:cs="Times New Roman"/>
                <w:sz w:val="16"/>
                <w:szCs w:val="16"/>
                <w:lang w:val="ro-MD"/>
              </w:rPr>
              <w:t>en</w:t>
            </w:r>
            <w:r w:rsidRPr="003836D9">
              <w:rPr>
                <w:rFonts w:ascii="Times New Roman" w:hAnsi="Times New Roman" w:cs="Times New Roman"/>
                <w:sz w:val="16"/>
                <w:szCs w:val="16"/>
                <w:lang w:val="ro-MD"/>
              </w:rPr>
              <w:t xml:space="preserve">ați în servicii de îngrijire constituie </w:t>
            </w:r>
            <w:r w:rsidR="005102B0">
              <w:rPr>
                <w:rFonts w:ascii="Times New Roman" w:hAnsi="Times New Roman" w:cs="Times New Roman"/>
                <w:sz w:val="16"/>
                <w:szCs w:val="16"/>
                <w:lang w:val="ro-MD"/>
              </w:rPr>
              <w:t>2</w:t>
            </w:r>
            <w:r w:rsidRPr="003836D9">
              <w:rPr>
                <w:rFonts w:ascii="Times New Roman" w:hAnsi="Times New Roman" w:cs="Times New Roman"/>
                <w:sz w:val="16"/>
                <w:szCs w:val="16"/>
                <w:lang w:val="ro-MD"/>
              </w:rPr>
              <w:t>0%, către anul 2026</w:t>
            </w:r>
            <w:r w:rsidR="005102B0">
              <w:rPr>
                <w:rFonts w:ascii="Times New Roman" w:hAnsi="Times New Roman" w:cs="Times New Roman"/>
                <w:sz w:val="16"/>
                <w:szCs w:val="16"/>
                <w:lang w:val="ro-MD"/>
              </w:rPr>
              <w:t>.</w:t>
            </w:r>
          </w:p>
        </w:tc>
      </w:tr>
      <w:tr w:rsidR="009A3229" w:rsidRPr="003836D9" w14:paraId="63E5D596"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26F6331" w14:textId="77777777" w:rsidR="009A3229" w:rsidRPr="003836D9" w:rsidRDefault="009A3229" w:rsidP="00E705A8">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1.</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3D44E3" w14:textId="77777777" w:rsidR="009A322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Elaborarea și aprobarea reglementărilor privind funcționarea </w:t>
            </w:r>
            <w:r>
              <w:rPr>
                <w:rFonts w:ascii="Times New Roman" w:hAnsi="Times New Roman" w:cs="Times New Roman"/>
                <w:sz w:val="16"/>
                <w:szCs w:val="16"/>
                <w:lang w:val="ro-MD"/>
              </w:rPr>
              <w:t xml:space="preserve">serviciilor de </w:t>
            </w:r>
            <w:r>
              <w:rPr>
                <w:rFonts w:ascii="Times New Roman" w:hAnsi="Times New Roman" w:cs="Times New Roman"/>
                <w:sz w:val="16"/>
                <w:szCs w:val="16"/>
                <w:lang w:val="ro-RO"/>
              </w:rPr>
              <w:t>îngrijire alternative</w:t>
            </w:r>
            <w:r w:rsidRPr="003836D9">
              <w:rPr>
                <w:rFonts w:ascii="Times New Roman" w:hAnsi="Times New Roman" w:cs="Times New Roman"/>
                <w:sz w:val="16"/>
                <w:szCs w:val="16"/>
                <w:lang w:val="ro-MD"/>
              </w:rPr>
              <w:t xml:space="preserve"> </w:t>
            </w:r>
            <w:r>
              <w:rPr>
                <w:rFonts w:ascii="Times New Roman" w:hAnsi="Times New Roman" w:cs="Times New Roman"/>
                <w:sz w:val="16"/>
                <w:szCs w:val="16"/>
                <w:lang w:val="ro-MD"/>
              </w:rPr>
              <w:t>(servicii de îngrijire la domiciliu, creșe la angajatori, îngrijitori de copii)</w:t>
            </w:r>
          </w:p>
          <w:p w14:paraId="57889C7E" w14:textId="77777777" w:rsidR="009A3229" w:rsidRPr="003836D9" w:rsidRDefault="009A3229" w:rsidP="00E705A8">
            <w:pPr>
              <w:rPr>
                <w:rFonts w:ascii="Times New Roman" w:hAnsi="Times New Roman" w:cs="Times New Roman"/>
                <w:sz w:val="16"/>
                <w:szCs w:val="16"/>
                <w:lang w:val="ro-MD"/>
              </w:rPr>
            </w:pP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E87A6C" w14:textId="77777777" w:rsidR="009A3229" w:rsidRPr="003836D9" w:rsidRDefault="009A3229" w:rsidP="005102B0">
            <w:pPr>
              <w:rPr>
                <w:rFonts w:ascii="Times New Roman" w:hAnsi="Times New Roman" w:cs="Times New Roman"/>
                <w:sz w:val="16"/>
                <w:szCs w:val="16"/>
                <w:lang w:val="ro-MD"/>
              </w:rPr>
            </w:pPr>
            <w:r w:rsidRPr="003836D9">
              <w:rPr>
                <w:rFonts w:ascii="Times New Roman" w:hAnsi="Times New Roman" w:cs="Times New Roman"/>
                <w:sz w:val="16"/>
                <w:szCs w:val="16"/>
                <w:lang w:val="ro-MD"/>
              </w:rPr>
              <w:t>2022</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AD433F" w14:textId="77777777" w:rsidR="009A3229" w:rsidRPr="003836D9" w:rsidRDefault="009A3229" w:rsidP="005102B0">
            <w:pPr>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3CF9A2B3" w14:textId="77777777" w:rsidR="009A3229" w:rsidRPr="003836D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E38C8F" w14:textId="77777777" w:rsidR="009A3229" w:rsidRPr="003836D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67943A7D" w14:textId="77777777" w:rsidR="009A3229" w:rsidRPr="003836D9" w:rsidRDefault="009A3229" w:rsidP="00E705A8">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94C6DF" w14:textId="77777777" w:rsidR="009A322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Fondul Națiunilor Unite pentru Populație</w:t>
            </w:r>
          </w:p>
          <w:p w14:paraId="329E1D59" w14:textId="77777777"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Organizația Națiunilor Unite pentru femei</w:t>
            </w:r>
          </w:p>
          <w:p w14:paraId="76D8ABFB" w14:textId="77777777" w:rsidR="009A3229" w:rsidRPr="003836D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Agenția Germană pentru Dezvoltare și Cooperare</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714AB56A" w14:textId="77777777" w:rsidR="009A3229" w:rsidRPr="003836D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Proiectul de </w:t>
            </w:r>
            <w:r>
              <w:rPr>
                <w:rFonts w:ascii="Times New Roman" w:hAnsi="Times New Roman" w:cs="Times New Roman"/>
                <w:sz w:val="16"/>
                <w:szCs w:val="16"/>
                <w:lang w:val="ro-MD"/>
              </w:rPr>
              <w:t xml:space="preserve">Hotărâre de Guvern cu privire la serviciile de îngrijire alternativă </w:t>
            </w:r>
            <w:r w:rsidRPr="003836D9">
              <w:rPr>
                <w:rFonts w:ascii="Times New Roman" w:hAnsi="Times New Roman" w:cs="Times New Roman"/>
                <w:sz w:val="16"/>
                <w:szCs w:val="16"/>
                <w:lang w:val="ro-MD"/>
              </w:rPr>
              <w:t xml:space="preserve">elaborat și aprobat </w:t>
            </w:r>
          </w:p>
          <w:p w14:paraId="5A1E9FD0" w14:textId="77777777" w:rsidR="009A3229" w:rsidRPr="003836D9" w:rsidRDefault="009A3229" w:rsidP="00E705A8">
            <w:pPr>
              <w:jc w:val="both"/>
              <w:rPr>
                <w:rFonts w:ascii="Times New Roman" w:hAnsi="Times New Roman" w:cs="Times New Roman"/>
                <w:sz w:val="16"/>
                <w:szCs w:val="16"/>
                <w:lang w:val="ro-MD"/>
              </w:rPr>
            </w:pPr>
          </w:p>
        </w:tc>
      </w:tr>
      <w:tr w:rsidR="009A3229" w:rsidRPr="003836D9" w14:paraId="15A147B2"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033FD255" w14:textId="77777777" w:rsidR="009A3229" w:rsidRDefault="009A3229" w:rsidP="00E705A8">
            <w:pPr>
              <w:jc w:val="center"/>
              <w:rPr>
                <w:rFonts w:ascii="Times New Roman" w:hAnsi="Times New Roman" w:cs="Times New Roman"/>
                <w:sz w:val="16"/>
                <w:szCs w:val="16"/>
                <w:lang w:val="ro-MD"/>
              </w:rPr>
            </w:pPr>
            <w:r>
              <w:rPr>
                <w:rFonts w:ascii="Times New Roman" w:hAnsi="Times New Roman" w:cs="Times New Roman"/>
                <w:sz w:val="16"/>
                <w:szCs w:val="16"/>
                <w:lang w:val="ro-MD"/>
              </w:rPr>
              <w:t>2.</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74BD80" w14:textId="77777777"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Realizarea campaniei de informare despre serviciile de îngrijire alternativă a copiilor</w:t>
            </w: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96C14E" w14:textId="77777777" w:rsidR="009A3229" w:rsidRDefault="009A3229" w:rsidP="005102B0">
            <w:pPr>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8283BD" w14:textId="77777777" w:rsidR="009A3229" w:rsidRDefault="009A3229" w:rsidP="005102B0">
            <w:pPr>
              <w:rPr>
                <w:rFonts w:ascii="Times New Roman" w:hAnsi="Times New Roman" w:cs="Times New Roman"/>
                <w:sz w:val="16"/>
                <w:szCs w:val="16"/>
                <w:lang w:val="ro-MD"/>
              </w:rPr>
            </w:pPr>
            <w:r>
              <w:rPr>
                <w:rFonts w:ascii="Times New Roman" w:hAnsi="Times New Roman" w:cs="Times New Roman"/>
                <w:sz w:val="16"/>
                <w:szCs w:val="16"/>
                <w:lang w:val="ro-MD"/>
              </w:rPr>
              <w:t>0,1</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3F049831" w14:textId="77777777" w:rsidR="009A322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4F61EC" w14:textId="77777777" w:rsidR="009A3229" w:rsidRPr="003836D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366C7792" w14:textId="77777777" w:rsidR="009A3229" w:rsidRDefault="009A3229" w:rsidP="00E705A8">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33F7E6" w14:textId="77777777" w:rsidR="009A322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36BA26EB" w14:textId="77777777" w:rsidR="009A3229" w:rsidRDefault="009A3229" w:rsidP="00E705A8">
            <w:pPr>
              <w:spacing w:after="0" w:line="240" w:lineRule="auto"/>
              <w:jc w:val="both"/>
              <w:rPr>
                <w:rFonts w:ascii="Times New Roman" w:hAnsi="Times New Roman" w:cs="Times New Roman"/>
                <w:sz w:val="16"/>
                <w:szCs w:val="16"/>
                <w:lang w:val="ro-MD"/>
              </w:rPr>
            </w:pPr>
            <w:r>
              <w:rPr>
                <w:rFonts w:ascii="Times New Roman" w:hAnsi="Times New Roman" w:cs="Times New Roman"/>
                <w:sz w:val="16"/>
                <w:szCs w:val="16"/>
                <w:lang w:val="ro-MD"/>
              </w:rPr>
              <w:t>Număr de prezentări efectuate asociațiilor de afaceri, angajatorilor, îngrijitorilor de copii etc.</w:t>
            </w:r>
          </w:p>
          <w:p w14:paraId="1E73E2A9" w14:textId="77777777" w:rsidR="009A3229" w:rsidRDefault="009A3229" w:rsidP="00E705A8">
            <w:pPr>
              <w:spacing w:after="0" w:line="240" w:lineRule="auto"/>
              <w:jc w:val="both"/>
              <w:rPr>
                <w:rFonts w:ascii="Times New Roman" w:hAnsi="Times New Roman" w:cs="Times New Roman"/>
                <w:sz w:val="16"/>
                <w:szCs w:val="16"/>
                <w:lang w:val="ro-MD"/>
              </w:rPr>
            </w:pPr>
          </w:p>
          <w:p w14:paraId="5ECB2657" w14:textId="77777777" w:rsidR="009A3229" w:rsidRDefault="009A3229" w:rsidP="00E705A8">
            <w:pPr>
              <w:spacing w:after="0" w:line="240" w:lineRule="auto"/>
              <w:jc w:val="both"/>
              <w:rPr>
                <w:rFonts w:ascii="Times New Roman" w:hAnsi="Times New Roman" w:cs="Times New Roman"/>
                <w:sz w:val="16"/>
                <w:szCs w:val="16"/>
                <w:lang w:val="ro-MD"/>
              </w:rPr>
            </w:pPr>
            <w:r>
              <w:rPr>
                <w:rFonts w:ascii="Times New Roman" w:hAnsi="Times New Roman" w:cs="Times New Roman"/>
                <w:sz w:val="16"/>
                <w:szCs w:val="16"/>
                <w:lang w:val="ro-MD"/>
              </w:rPr>
              <w:t>Număr de video-uri realizate pentru televiziunile locale și articole scrise pentru presa locală</w:t>
            </w:r>
          </w:p>
          <w:p w14:paraId="328AB33E" w14:textId="77777777" w:rsidR="009A3229" w:rsidRDefault="009A3229" w:rsidP="00E705A8">
            <w:pPr>
              <w:spacing w:after="0" w:line="240" w:lineRule="auto"/>
              <w:jc w:val="both"/>
              <w:rPr>
                <w:rFonts w:ascii="Times New Roman" w:hAnsi="Times New Roman" w:cs="Times New Roman"/>
                <w:sz w:val="16"/>
                <w:szCs w:val="16"/>
                <w:lang w:val="ro-MD"/>
              </w:rPr>
            </w:pPr>
          </w:p>
          <w:p w14:paraId="0E0B30FC" w14:textId="77777777" w:rsidR="009A3229" w:rsidRDefault="009A3229" w:rsidP="00E705A8">
            <w:pPr>
              <w:spacing w:after="0" w:line="240" w:lineRule="auto"/>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Număr de participări la emisiuni </w:t>
            </w:r>
          </w:p>
          <w:p w14:paraId="5E62F6C2" w14:textId="77777777" w:rsidR="009A3229" w:rsidRDefault="009A3229" w:rsidP="00E705A8">
            <w:pPr>
              <w:spacing w:after="0" w:line="240" w:lineRule="auto"/>
              <w:jc w:val="both"/>
              <w:rPr>
                <w:rFonts w:ascii="Times New Roman" w:hAnsi="Times New Roman" w:cs="Times New Roman"/>
                <w:sz w:val="16"/>
                <w:szCs w:val="16"/>
                <w:lang w:val="ro-MD"/>
              </w:rPr>
            </w:pPr>
          </w:p>
        </w:tc>
      </w:tr>
      <w:tr w:rsidR="009A3229" w:rsidRPr="003836D9" w14:paraId="00687DEC"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7483B9F" w14:textId="77777777" w:rsidR="009A3229" w:rsidRDefault="009A3229" w:rsidP="00E705A8">
            <w:pPr>
              <w:jc w:val="center"/>
              <w:rPr>
                <w:rFonts w:ascii="Times New Roman" w:hAnsi="Times New Roman" w:cs="Times New Roman"/>
                <w:sz w:val="16"/>
                <w:szCs w:val="16"/>
                <w:lang w:val="ro-MD"/>
              </w:rPr>
            </w:pPr>
            <w:r>
              <w:rPr>
                <w:rFonts w:ascii="Times New Roman" w:hAnsi="Times New Roman" w:cs="Times New Roman"/>
                <w:sz w:val="16"/>
                <w:szCs w:val="16"/>
                <w:lang w:val="ro-MD"/>
              </w:rPr>
              <w:t>3.</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24394C" w14:textId="77777777"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Elaborarea unui ghid informațional despre serviciile de îngrijire alternative a copiilor pentru potențialii prestatori de servicii</w:t>
            </w: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B70015" w14:textId="77777777" w:rsidR="009A3229" w:rsidRDefault="009A3229" w:rsidP="005102B0">
            <w:pPr>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8B1FE9" w14:textId="77777777" w:rsidR="009A3229" w:rsidRDefault="009A3229" w:rsidP="005102B0">
            <w:pPr>
              <w:rPr>
                <w:rFonts w:ascii="Times New Roman" w:hAnsi="Times New Roman" w:cs="Times New Roman"/>
                <w:sz w:val="16"/>
                <w:szCs w:val="16"/>
                <w:lang w:val="ro-MD"/>
              </w:rPr>
            </w:pPr>
            <w:r>
              <w:rPr>
                <w:rFonts w:ascii="Times New Roman" w:hAnsi="Times New Roman" w:cs="Times New Roman"/>
                <w:sz w:val="16"/>
                <w:szCs w:val="16"/>
                <w:lang w:val="ro-MD"/>
              </w:rPr>
              <w:t>0,03</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04541845" w14:textId="77777777" w:rsidR="009A322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933D4C0" w14:textId="77777777" w:rsidR="009A3229" w:rsidRPr="003836D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4475A0BE" w14:textId="77777777" w:rsidR="009A3229" w:rsidRDefault="009A3229" w:rsidP="00E705A8">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A46E70" w14:textId="77777777" w:rsidR="009A3229" w:rsidRDefault="009A3229" w:rsidP="00E705A8">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122DC197" w14:textId="77777777"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Ghid elaborat și publicat</w:t>
            </w:r>
          </w:p>
        </w:tc>
      </w:tr>
      <w:tr w:rsidR="009A3229" w:rsidRPr="003836D9" w14:paraId="5116FB0D"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3B385D3" w14:textId="77777777" w:rsidR="009A3229" w:rsidRDefault="009A3229" w:rsidP="00E705A8">
            <w:pPr>
              <w:jc w:val="center"/>
              <w:rPr>
                <w:rFonts w:ascii="Times New Roman" w:hAnsi="Times New Roman" w:cs="Times New Roman"/>
                <w:sz w:val="16"/>
                <w:szCs w:val="16"/>
                <w:lang w:val="ro-MD"/>
              </w:rPr>
            </w:pPr>
            <w:r>
              <w:rPr>
                <w:rFonts w:ascii="Times New Roman" w:hAnsi="Times New Roman" w:cs="Times New Roman"/>
                <w:sz w:val="16"/>
                <w:szCs w:val="16"/>
                <w:lang w:val="ro-MD"/>
              </w:rPr>
              <w:t>4.</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21C73E" w14:textId="77777777"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Acordarea facilităților fiscale pentru angajatori care acoperă cheltuielile pentru prestatorii de servicii de îngrijire alternativă a copiilor pentru salariați</w:t>
            </w: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E58AB5" w14:textId="77777777" w:rsidR="009A3229" w:rsidRDefault="009A3229" w:rsidP="005102B0">
            <w:pPr>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074541" w14:textId="77777777" w:rsidR="009A3229" w:rsidRDefault="009A3229" w:rsidP="005102B0">
            <w:pPr>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45F8A00F" w14:textId="77777777" w:rsidR="009A3229" w:rsidRPr="003836D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214A4B" w14:textId="77777777"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Protecției Sociale</w:t>
            </w:r>
          </w:p>
          <w:p w14:paraId="0E2C2033" w14:textId="77777777" w:rsidR="009A3229" w:rsidRPr="003836D9" w:rsidRDefault="009A3229" w:rsidP="00E705A8">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DC0F3B" w14:textId="045B4450"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Fina</w:t>
            </w:r>
            <w:r w:rsidR="0036554E">
              <w:rPr>
                <w:rFonts w:ascii="Times New Roman" w:hAnsi="Times New Roman" w:cs="Times New Roman"/>
                <w:sz w:val="16"/>
                <w:szCs w:val="16"/>
                <w:lang w:val="ro-MD"/>
              </w:rPr>
              <w:t>n</w:t>
            </w:r>
            <w:r>
              <w:rPr>
                <w:rFonts w:ascii="Times New Roman" w:hAnsi="Times New Roman" w:cs="Times New Roman"/>
                <w:sz w:val="16"/>
                <w:szCs w:val="16"/>
                <w:lang w:val="ro-MD"/>
              </w:rPr>
              <w:t>țelor</w:t>
            </w:r>
          </w:p>
          <w:p w14:paraId="0E4127F3" w14:textId="77777777" w:rsidR="009A3229" w:rsidRPr="003836D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Inspectoratul Fiscal de Stat</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74A63CC3" w14:textId="77777777"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Propuneri de modificare a Codului Fiscal elaborate și aprobate </w:t>
            </w:r>
          </w:p>
          <w:p w14:paraId="2875FA7B" w14:textId="77777777" w:rsidR="009A3229" w:rsidRDefault="009A3229" w:rsidP="00E705A8">
            <w:pPr>
              <w:jc w:val="both"/>
              <w:rPr>
                <w:rFonts w:ascii="Times New Roman" w:hAnsi="Times New Roman" w:cs="Times New Roman"/>
                <w:sz w:val="16"/>
                <w:szCs w:val="16"/>
                <w:lang w:val="ro-MD"/>
              </w:rPr>
            </w:pPr>
            <w:r>
              <w:rPr>
                <w:rFonts w:ascii="Times New Roman" w:hAnsi="Times New Roman" w:cs="Times New Roman"/>
                <w:sz w:val="16"/>
                <w:szCs w:val="16"/>
                <w:lang w:val="ro-MD"/>
              </w:rPr>
              <w:t>750 salariați beneficiază de acoperirea cheltuielilor pentru prestatorii de servicii de îngrijire alternativă a copiilor</w:t>
            </w:r>
          </w:p>
        </w:tc>
      </w:tr>
      <w:tr w:rsidR="00B21F63" w:rsidRPr="003836D9" w14:paraId="77ED5E8A"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9AA0EAA"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5.</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019402"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Instituirea Fondului de Creșă pentru stimularea creării creșelor</w:t>
            </w:r>
          </w:p>
          <w:p w14:paraId="3397DB22" w14:textId="77777777" w:rsidR="00B21F63" w:rsidRPr="003836D9" w:rsidRDefault="00B21F63" w:rsidP="00B21F63">
            <w:pPr>
              <w:jc w:val="both"/>
              <w:rPr>
                <w:rFonts w:ascii="Times New Roman" w:hAnsi="Times New Roman" w:cs="Times New Roman"/>
                <w:sz w:val="16"/>
                <w:szCs w:val="16"/>
                <w:lang w:val="ro-MD"/>
              </w:rPr>
            </w:pP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EDD810" w14:textId="4AD8C5BC" w:rsidR="00B21F63" w:rsidRPr="00E51364" w:rsidRDefault="00B21F63" w:rsidP="00B21F63">
            <w:pPr>
              <w:spacing w:after="0" w:line="240" w:lineRule="auto"/>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86C285" w14:textId="2D053C3C"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02E12C0E"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Bugetul de Stat </w:t>
            </w:r>
          </w:p>
          <w:p w14:paraId="1363D05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3D0089"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Protecției Sociale</w:t>
            </w:r>
          </w:p>
          <w:p w14:paraId="7A4A7191"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F3B3CD"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Ministerul Finanțelor </w:t>
            </w:r>
          </w:p>
          <w:p w14:paraId="6445772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57F89EB5"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Fond de creșe instituit</w:t>
            </w:r>
          </w:p>
        </w:tc>
      </w:tr>
      <w:tr w:rsidR="00B21F63" w:rsidRPr="003836D9" w14:paraId="1FE15183"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850DDB3" w14:textId="77777777" w:rsidR="00B21F63" w:rsidRPr="003836D9"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 xml:space="preserve">6. </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5608C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Elaborarea și difuzarea informațiilor privind reglementările Codului Muncii privind modalitățile de angajare cu timp parțial/flexibil/la domiciliu/distanță pentru femeile aflate în concediu de îngrijire a copilului care nu doresc întreruperea carierei profesionale</w:t>
            </w: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9A76BB"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C9BAA1"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0,1</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5209777F"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3A282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6222C139"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5B80DF"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Organizația Internațională a Muncii </w:t>
            </w:r>
          </w:p>
          <w:p w14:paraId="536BCAB2"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694BE6C7"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Comunicate elaborate și difuzate</w:t>
            </w:r>
          </w:p>
        </w:tc>
      </w:tr>
      <w:tr w:rsidR="00B21F63" w:rsidRPr="003836D9" w14:paraId="5B5A5FEC"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200D3AD" w14:textId="77777777" w:rsidR="00B21F63" w:rsidRPr="003836D9"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lastRenderedPageBreak/>
              <w:t>7</w:t>
            </w:r>
            <w:r w:rsidRPr="003836D9">
              <w:rPr>
                <w:rFonts w:ascii="Times New Roman" w:hAnsi="Times New Roman" w:cs="Times New Roman"/>
                <w:sz w:val="16"/>
                <w:szCs w:val="16"/>
                <w:lang w:val="ro-MD"/>
              </w:rPr>
              <w:t>.</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C55976"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Identificarea și pilotarea măsurilor de sprijin a tranziției spre piața muncii a femeilor aflate în concediu de îngrijire a copilului</w:t>
            </w: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05AD86"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4</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DEED95"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0,2</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294D495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50465A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64BB9A1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1364F0"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Organizația Internațională a Muncii</w:t>
            </w:r>
          </w:p>
          <w:p w14:paraId="5F13F2F9" w14:textId="77777777" w:rsidR="00B21F63" w:rsidRPr="003836D9" w:rsidRDefault="00B21F63" w:rsidP="00B21F63">
            <w:pPr>
              <w:spacing w:after="0" w:line="240" w:lineRule="auto"/>
              <w:jc w:val="both"/>
              <w:rPr>
                <w:rFonts w:ascii="Times New Roman" w:hAnsi="Times New Roman" w:cs="Times New Roman"/>
                <w:sz w:val="16"/>
                <w:szCs w:val="16"/>
                <w:lang w:val="ro-MD"/>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1B5D259B"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Concept elaborat</w:t>
            </w:r>
          </w:p>
          <w:p w14:paraId="5F787B68"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Pilot realizat</w:t>
            </w:r>
          </w:p>
          <w:p w14:paraId="2C23254A" w14:textId="77777777" w:rsidR="00B21F63" w:rsidRPr="003836D9" w:rsidRDefault="00B21F63" w:rsidP="00B21F63">
            <w:pPr>
              <w:spacing w:after="0" w:line="240" w:lineRule="auto"/>
              <w:jc w:val="both"/>
              <w:rPr>
                <w:rFonts w:ascii="Times New Roman" w:hAnsi="Times New Roman" w:cs="Times New Roman"/>
                <w:sz w:val="16"/>
                <w:szCs w:val="16"/>
                <w:lang w:val="ro-MD"/>
              </w:rPr>
            </w:pPr>
          </w:p>
        </w:tc>
      </w:tr>
      <w:tr w:rsidR="00B21F63" w:rsidRPr="003836D9" w14:paraId="3821BBDC"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51ECAFC"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8.</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5DEEC0"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Acordarea facilităților fiscale entităților care creează creșe proprii</w:t>
            </w: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9D2759" w14:textId="77777777"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2024</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FB54E0" w14:textId="77777777"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6AF40384"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37DF9B"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Protecției Sociale</w:t>
            </w:r>
          </w:p>
          <w:p w14:paraId="308A1281"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F4A67F"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Finațelor</w:t>
            </w:r>
          </w:p>
          <w:p w14:paraId="33A4227D"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Inspectoratul Fiscal de Stat</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3ACBF2C5" w14:textId="77777777" w:rsidR="00B21F63" w:rsidRDefault="00B21F63" w:rsidP="00B21F63">
            <w:pPr>
              <w:spacing w:after="0" w:line="240" w:lineRule="auto"/>
              <w:jc w:val="both"/>
              <w:rPr>
                <w:rFonts w:ascii="Times New Roman" w:hAnsi="Times New Roman" w:cs="Times New Roman"/>
                <w:sz w:val="16"/>
                <w:szCs w:val="16"/>
                <w:lang w:val="ro-MD"/>
              </w:rPr>
            </w:pPr>
            <w:r>
              <w:rPr>
                <w:rFonts w:ascii="Times New Roman" w:hAnsi="Times New Roman" w:cs="Times New Roman"/>
                <w:sz w:val="16"/>
                <w:szCs w:val="16"/>
                <w:lang w:val="ro-MD"/>
              </w:rPr>
              <w:t>Propuneri de modificare a Codului Fiscal elaborate și aprobate</w:t>
            </w:r>
          </w:p>
          <w:p w14:paraId="3D2D55D8" w14:textId="77777777" w:rsidR="00B21F63" w:rsidRDefault="00B21F63" w:rsidP="00B21F63">
            <w:pPr>
              <w:spacing w:after="0" w:line="240" w:lineRule="auto"/>
              <w:jc w:val="both"/>
              <w:rPr>
                <w:rFonts w:ascii="Times New Roman" w:hAnsi="Times New Roman" w:cs="Times New Roman"/>
                <w:sz w:val="16"/>
                <w:szCs w:val="16"/>
                <w:lang w:val="ro-MD"/>
              </w:rPr>
            </w:pPr>
          </w:p>
          <w:p w14:paraId="0F4316FD"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Cel puțin 40 angajatori care creează creșe beneficiază de facilități fiscale </w:t>
            </w:r>
          </w:p>
          <w:p w14:paraId="1BD5A162" w14:textId="64AF120F" w:rsidR="00B21F63" w:rsidRDefault="00B21F63" w:rsidP="00B21F63">
            <w:pPr>
              <w:spacing w:after="0" w:line="240" w:lineRule="auto"/>
              <w:jc w:val="both"/>
              <w:rPr>
                <w:rFonts w:ascii="Times New Roman" w:hAnsi="Times New Roman" w:cs="Times New Roman"/>
                <w:sz w:val="16"/>
                <w:szCs w:val="16"/>
                <w:lang w:val="ro-MD"/>
              </w:rPr>
            </w:pPr>
            <w:r>
              <w:rPr>
                <w:rFonts w:ascii="Times New Roman" w:hAnsi="Times New Roman" w:cs="Times New Roman"/>
                <w:sz w:val="16"/>
                <w:szCs w:val="16"/>
                <w:lang w:val="ro-MD"/>
              </w:rPr>
              <w:t>400 copii sunt încadrați în servicii de îngrijire la întreprinderi</w:t>
            </w:r>
          </w:p>
          <w:p w14:paraId="6D9CEC4A" w14:textId="77777777" w:rsidR="00B21F63" w:rsidRPr="00F951F6" w:rsidRDefault="00B21F63" w:rsidP="00B21F63">
            <w:pPr>
              <w:jc w:val="both"/>
              <w:rPr>
                <w:rFonts w:ascii="Times New Roman" w:hAnsi="Times New Roman" w:cs="Times New Roman"/>
                <w:sz w:val="16"/>
                <w:szCs w:val="16"/>
                <w:lang w:val="ro-MD"/>
              </w:rPr>
            </w:pPr>
          </w:p>
        </w:tc>
      </w:tr>
      <w:tr w:rsidR="00B21F63" w:rsidRPr="003836D9" w14:paraId="08AB5136"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0130ACD6"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9.</w:t>
            </w:r>
          </w:p>
        </w:tc>
        <w:tc>
          <w:tcPr>
            <w:tcW w:w="9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632CEA"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Revizuirea și aplicarea cadrului legal nou cu privire la concediul paternal pentru a spori gradul de implicare a bărbaților în activități de îngrijire a copiilor</w:t>
            </w:r>
          </w:p>
          <w:p w14:paraId="4EBED610" w14:textId="77777777" w:rsidR="00B21F63" w:rsidRPr="003836D9" w:rsidRDefault="00B21F63" w:rsidP="00B21F63">
            <w:pPr>
              <w:jc w:val="both"/>
              <w:rPr>
                <w:rFonts w:ascii="Times New Roman" w:hAnsi="Times New Roman" w:cs="Times New Roman"/>
                <w:sz w:val="16"/>
                <w:szCs w:val="16"/>
                <w:lang w:val="ro-MD"/>
              </w:rPr>
            </w:pP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270CF1" w14:textId="77777777" w:rsidR="00B21F63" w:rsidRPr="0055006B"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5- 69,0</w:t>
            </w:r>
          </w:p>
          <w:p w14:paraId="172826F6" w14:textId="77777777" w:rsidR="00B21F63" w:rsidRPr="0055006B"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2026- 69,0</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6B61B0" w14:textId="77777777"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138</w:t>
            </w:r>
            <w:r w:rsidRPr="003836D9">
              <w:rPr>
                <w:rFonts w:ascii="Times New Roman" w:hAnsi="Times New Roman" w:cs="Times New Roman"/>
                <w:sz w:val="16"/>
                <w:szCs w:val="16"/>
                <w:lang w:val="ro-MD"/>
              </w:rPr>
              <w:t>,00</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048F913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asigurărilor sociale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C3345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BABD86"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Fondul Națiunilor Unite pentru Populație</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48059D10" w14:textId="77777777" w:rsidR="00B21F63" w:rsidRPr="00F951F6" w:rsidRDefault="00B21F63" w:rsidP="00B21F63">
            <w:pPr>
              <w:jc w:val="both"/>
              <w:rPr>
                <w:rFonts w:ascii="Times New Roman" w:eastAsia="Times New Roman" w:hAnsi="Times New Roman" w:cs="Times New Roman"/>
                <w:sz w:val="16"/>
                <w:szCs w:val="16"/>
                <w:lang w:val="ro-MD" w:eastAsia="ru-RU"/>
              </w:rPr>
            </w:pPr>
            <w:r w:rsidRPr="00F951F6">
              <w:rPr>
                <w:rFonts w:ascii="Times New Roman" w:hAnsi="Times New Roman" w:cs="Times New Roman"/>
                <w:sz w:val="16"/>
                <w:szCs w:val="16"/>
                <w:lang w:val="ro-MD"/>
              </w:rPr>
              <w:t xml:space="preserve">Regulamentul </w:t>
            </w:r>
            <w:r w:rsidRPr="00F951F6">
              <w:rPr>
                <w:rFonts w:ascii="Times New Roman" w:eastAsia="Times New Roman" w:hAnsi="Times New Roman" w:cs="Times New Roman"/>
                <w:sz w:val="16"/>
                <w:szCs w:val="16"/>
                <w:lang w:val="ro-MD" w:eastAsia="ru-RU"/>
              </w:rPr>
              <w:t>cu privire la condiţiile de stabilire, modul de calcul şi de plată a indemnizaţiei paternale revizuit</w:t>
            </w:r>
          </w:p>
          <w:p w14:paraId="1A67516C"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Cel puțin 7 mii b</w:t>
            </w:r>
            <w:r>
              <w:rPr>
                <w:rFonts w:ascii="Times New Roman" w:hAnsi="Times New Roman" w:cs="Times New Roman"/>
                <w:sz w:val="16"/>
                <w:szCs w:val="16"/>
                <w:lang w:val="ro-MD"/>
              </w:rPr>
              <w:t>ă</w:t>
            </w:r>
            <w:r w:rsidRPr="003836D9">
              <w:rPr>
                <w:rFonts w:ascii="Times New Roman" w:hAnsi="Times New Roman" w:cs="Times New Roman"/>
                <w:sz w:val="16"/>
                <w:szCs w:val="16"/>
                <w:lang w:val="ro-MD"/>
              </w:rPr>
              <w:t>rba</w:t>
            </w:r>
            <w:r>
              <w:rPr>
                <w:rFonts w:ascii="Times New Roman" w:hAnsi="Times New Roman" w:cs="Times New Roman"/>
                <w:sz w:val="16"/>
                <w:szCs w:val="16"/>
                <w:lang w:val="ro-MD"/>
              </w:rPr>
              <w:t>ț</w:t>
            </w:r>
            <w:r w:rsidRPr="003836D9">
              <w:rPr>
                <w:rFonts w:ascii="Times New Roman" w:hAnsi="Times New Roman" w:cs="Times New Roman"/>
                <w:sz w:val="16"/>
                <w:szCs w:val="16"/>
                <w:lang w:val="ro-MD"/>
              </w:rPr>
              <w:t>i au aplicat pentru concediul paternal și beneficiază de indemnizație paternală</w:t>
            </w:r>
          </w:p>
        </w:tc>
      </w:tr>
      <w:tr w:rsidR="00B21F63" w:rsidRPr="003836D9" w14:paraId="149169D8" w14:textId="77777777" w:rsidTr="00B3756A">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F574834" w14:textId="77777777" w:rsidR="00B21F63" w:rsidRPr="00866AA7" w:rsidRDefault="00B21F63" w:rsidP="00B21F63">
            <w:pPr>
              <w:jc w:val="center"/>
              <w:rPr>
                <w:rFonts w:ascii="Times New Roman" w:hAnsi="Times New Roman" w:cs="Times New Roman"/>
                <w:b/>
                <w:bCs/>
                <w:sz w:val="16"/>
                <w:szCs w:val="16"/>
                <w:lang w:val="ro-MD"/>
              </w:rPr>
            </w:pPr>
          </w:p>
        </w:tc>
        <w:tc>
          <w:tcPr>
            <w:tcW w:w="4803" w:type="pct"/>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279C696" w14:textId="77777777" w:rsidR="00B21F63" w:rsidRPr="003836D9" w:rsidRDefault="00B21F63" w:rsidP="00B21F63">
            <w:pPr>
              <w:spacing w:after="0" w:line="240" w:lineRule="auto"/>
              <w:rPr>
                <w:rFonts w:ascii="Times New Roman" w:hAnsi="Times New Roman" w:cs="Times New Roman"/>
                <w:b/>
                <w:sz w:val="16"/>
                <w:szCs w:val="16"/>
                <w:lang w:val="ro-MD"/>
              </w:rPr>
            </w:pPr>
            <w:r w:rsidRPr="00866AA7">
              <w:rPr>
                <w:rFonts w:ascii="Times New Roman" w:hAnsi="Times New Roman" w:cs="Times New Roman"/>
                <w:b/>
                <w:bCs/>
                <w:sz w:val="16"/>
                <w:szCs w:val="16"/>
                <w:lang w:val="ro-MD"/>
              </w:rPr>
              <w:t xml:space="preserve">Obiectiv </w:t>
            </w:r>
            <w:r>
              <w:rPr>
                <w:rFonts w:ascii="Times New Roman" w:hAnsi="Times New Roman" w:cs="Times New Roman"/>
                <w:b/>
                <w:bCs/>
                <w:sz w:val="16"/>
                <w:szCs w:val="16"/>
                <w:lang w:val="ro-MD"/>
              </w:rPr>
              <w:t>specific nr. 2. R</w:t>
            </w:r>
            <w:r w:rsidRPr="003836D9">
              <w:rPr>
                <w:rFonts w:ascii="Times New Roman" w:hAnsi="Times New Roman" w:cs="Times New Roman"/>
                <w:b/>
                <w:bCs/>
                <w:sz w:val="16"/>
                <w:szCs w:val="16"/>
                <w:lang w:val="ro-MD"/>
              </w:rPr>
              <w:t xml:space="preserve">educerea până la 18 procente a </w:t>
            </w:r>
            <w:r w:rsidRPr="00A50993">
              <w:rPr>
                <w:rFonts w:ascii="Times New Roman" w:hAnsi="Times New Roman" w:cs="Times New Roman"/>
                <w:b/>
                <w:bCs/>
                <w:sz w:val="16"/>
                <w:szCs w:val="16"/>
                <w:lang w:val="ro-MD"/>
              </w:rPr>
              <w:t>ocupării informale către</w:t>
            </w:r>
            <w:r w:rsidRPr="003836D9">
              <w:rPr>
                <w:rFonts w:ascii="Times New Roman" w:hAnsi="Times New Roman" w:cs="Times New Roman"/>
                <w:b/>
                <w:bCs/>
                <w:sz w:val="16"/>
                <w:szCs w:val="16"/>
                <w:lang w:val="ro-MD"/>
              </w:rPr>
              <w:t xml:space="preserve"> anul 2026</w:t>
            </w:r>
            <w:r>
              <w:rPr>
                <w:rFonts w:ascii="Times New Roman" w:hAnsi="Times New Roman" w:cs="Times New Roman"/>
                <w:b/>
                <w:bCs/>
                <w:sz w:val="16"/>
                <w:szCs w:val="16"/>
                <w:lang w:val="ro-MD"/>
              </w:rPr>
              <w:t>.</w:t>
            </w:r>
            <w:r w:rsidRPr="003836D9">
              <w:rPr>
                <w:rFonts w:ascii="Times New Roman" w:hAnsi="Times New Roman" w:cs="Times New Roman"/>
                <w:b/>
                <w:bCs/>
                <w:sz w:val="24"/>
                <w:szCs w:val="24"/>
                <w:lang w:val="ro-MD"/>
              </w:rPr>
              <w:t xml:space="preserve"> </w:t>
            </w:r>
          </w:p>
          <w:p w14:paraId="54C43E36" w14:textId="230C6982" w:rsidR="00B21F63" w:rsidRPr="003836D9" w:rsidRDefault="00B21F63" w:rsidP="00B21F63">
            <w:pPr>
              <w:pStyle w:val="ListParagraph"/>
              <w:numPr>
                <w:ilvl w:val="0"/>
                <w:numId w:val="41"/>
              </w:numPr>
              <w:spacing w:after="0"/>
              <w:jc w:val="both"/>
              <w:rPr>
                <w:rFonts w:ascii="Times New Roman" w:hAnsi="Times New Roman" w:cs="Times New Roman"/>
                <w:b/>
                <w:bCs/>
                <w:color w:val="000000"/>
                <w:sz w:val="16"/>
                <w:szCs w:val="16"/>
                <w:lang w:val="ro-MD"/>
              </w:rPr>
            </w:pPr>
            <w:r w:rsidRPr="003836D9">
              <w:rPr>
                <w:rFonts w:ascii="Times New Roman" w:hAnsi="Times New Roman" w:cs="Times New Roman"/>
                <w:sz w:val="16"/>
                <w:szCs w:val="16"/>
                <w:lang w:val="ro-MD"/>
              </w:rPr>
              <w:t>Rata ocupării informale a scăzut la 18%, iar în rândul tinerilor (15-24 ani) la 22% către anul 2026</w:t>
            </w:r>
            <w:r>
              <w:rPr>
                <w:rFonts w:ascii="Times New Roman" w:hAnsi="Times New Roman" w:cs="Times New Roman"/>
                <w:sz w:val="16"/>
                <w:szCs w:val="16"/>
                <w:lang w:val="ro-MD"/>
              </w:rPr>
              <w:t>.</w:t>
            </w:r>
          </w:p>
          <w:p w14:paraId="07936FAB" w14:textId="69AFF483" w:rsidR="00B21F63" w:rsidRPr="00A50993" w:rsidRDefault="00B21F63" w:rsidP="00B21F63">
            <w:pPr>
              <w:pStyle w:val="ListParagraph"/>
              <w:numPr>
                <w:ilvl w:val="0"/>
                <w:numId w:val="41"/>
              </w:numPr>
              <w:spacing w:after="0"/>
              <w:jc w:val="both"/>
              <w:rPr>
                <w:rFonts w:ascii="Times New Roman" w:hAnsi="Times New Roman" w:cs="Times New Roman"/>
                <w:sz w:val="16"/>
                <w:szCs w:val="16"/>
                <w:lang w:val="ro-MD"/>
              </w:rPr>
            </w:pPr>
            <w:r w:rsidRPr="003836D9">
              <w:rPr>
                <w:rFonts w:ascii="Times New Roman" w:hAnsi="Times New Roman" w:cs="Times New Roman"/>
                <w:color w:val="000000"/>
                <w:sz w:val="16"/>
                <w:szCs w:val="16"/>
                <w:lang w:val="ro-MD"/>
              </w:rPr>
              <w:t>Către anul 2026, povara fiscală generală asupra forței de muncă este de 35%</w:t>
            </w:r>
            <w:r>
              <w:rPr>
                <w:rFonts w:ascii="Times New Roman" w:hAnsi="Times New Roman" w:cs="Times New Roman"/>
                <w:color w:val="000000"/>
                <w:sz w:val="16"/>
                <w:szCs w:val="16"/>
                <w:lang w:val="ro-MD"/>
              </w:rPr>
              <w:t>.</w:t>
            </w:r>
          </w:p>
          <w:p w14:paraId="3E2FA2A0" w14:textId="4B80F79E" w:rsidR="00B21F63" w:rsidRPr="00E16026" w:rsidRDefault="00B21F63" w:rsidP="00B21F63">
            <w:pPr>
              <w:pStyle w:val="ListParagraph"/>
              <w:numPr>
                <w:ilvl w:val="0"/>
                <w:numId w:val="41"/>
              </w:numPr>
              <w:spacing w:after="0"/>
              <w:jc w:val="both"/>
              <w:rPr>
                <w:rFonts w:ascii="Times New Roman" w:hAnsi="Times New Roman" w:cs="Times New Roman"/>
                <w:sz w:val="16"/>
                <w:szCs w:val="16"/>
                <w:lang w:val="ro-MD"/>
              </w:rPr>
            </w:pPr>
            <w:r w:rsidRPr="003836D9">
              <w:rPr>
                <w:rFonts w:ascii="Times New Roman" w:hAnsi="Times New Roman" w:cs="Times New Roman"/>
                <w:color w:val="000000"/>
                <w:sz w:val="16"/>
                <w:szCs w:val="16"/>
                <w:lang w:val="ro-MD"/>
              </w:rPr>
              <w:t xml:space="preserve">Ocuparea </w:t>
            </w:r>
            <w:r>
              <w:rPr>
                <w:rFonts w:ascii="Times New Roman" w:hAnsi="Times New Roman" w:cs="Times New Roman"/>
                <w:color w:val="000000"/>
                <w:sz w:val="16"/>
                <w:szCs w:val="16"/>
                <w:lang w:val="ro-MD"/>
              </w:rPr>
              <w:t>in</w:t>
            </w:r>
            <w:r w:rsidRPr="003836D9">
              <w:rPr>
                <w:rFonts w:ascii="Times New Roman" w:hAnsi="Times New Roman" w:cs="Times New Roman"/>
                <w:color w:val="000000"/>
                <w:sz w:val="16"/>
                <w:szCs w:val="16"/>
                <w:lang w:val="ro-MD"/>
              </w:rPr>
              <w:t xml:space="preserve">formală în sectorul agricol este redus la </w:t>
            </w:r>
            <w:r>
              <w:rPr>
                <w:rFonts w:ascii="Times New Roman" w:hAnsi="Times New Roman" w:cs="Times New Roman"/>
                <w:color w:val="000000"/>
                <w:sz w:val="16"/>
                <w:szCs w:val="16"/>
                <w:lang w:val="ro-MD"/>
              </w:rPr>
              <w:t>3</w:t>
            </w:r>
            <w:r w:rsidRPr="003836D9">
              <w:rPr>
                <w:rFonts w:ascii="Times New Roman" w:hAnsi="Times New Roman" w:cs="Times New Roman"/>
                <w:color w:val="000000"/>
                <w:sz w:val="16"/>
                <w:szCs w:val="16"/>
                <w:lang w:val="ro-MD"/>
              </w:rPr>
              <w:t>0%</w:t>
            </w:r>
            <w:r>
              <w:rPr>
                <w:rFonts w:ascii="Times New Roman" w:hAnsi="Times New Roman" w:cs="Times New Roman"/>
                <w:color w:val="000000"/>
                <w:sz w:val="16"/>
                <w:szCs w:val="16"/>
                <w:lang w:val="ro-MD"/>
              </w:rPr>
              <w:t xml:space="preserve">, iar în sectorul construcțiilor la 10% </w:t>
            </w:r>
            <w:r w:rsidRPr="003836D9">
              <w:rPr>
                <w:rFonts w:ascii="Times New Roman" w:hAnsi="Times New Roman" w:cs="Times New Roman"/>
                <w:color w:val="000000"/>
                <w:sz w:val="16"/>
                <w:szCs w:val="16"/>
                <w:lang w:val="ro-MD"/>
              </w:rPr>
              <w:t>către anul 2026</w:t>
            </w:r>
            <w:r>
              <w:rPr>
                <w:rFonts w:ascii="Times New Roman" w:hAnsi="Times New Roman" w:cs="Times New Roman"/>
                <w:color w:val="000000"/>
                <w:sz w:val="16"/>
                <w:szCs w:val="16"/>
                <w:lang w:val="ro-MD"/>
              </w:rPr>
              <w:t>.</w:t>
            </w:r>
          </w:p>
          <w:p w14:paraId="4BD063CC" w14:textId="0D6AFA95" w:rsidR="00B21F63" w:rsidRPr="003701CA" w:rsidRDefault="00B21F63" w:rsidP="00B21F63">
            <w:pPr>
              <w:pStyle w:val="ListParagraph"/>
              <w:numPr>
                <w:ilvl w:val="0"/>
                <w:numId w:val="41"/>
              </w:numPr>
              <w:spacing w:after="0"/>
              <w:jc w:val="both"/>
              <w:rPr>
                <w:rFonts w:ascii="Times New Roman" w:hAnsi="Times New Roman" w:cs="Times New Roman"/>
                <w:sz w:val="16"/>
                <w:szCs w:val="16"/>
                <w:lang w:val="ro-MD"/>
              </w:rPr>
            </w:pPr>
            <w:r w:rsidRPr="00E16026">
              <w:rPr>
                <w:rFonts w:ascii="Times New Roman" w:hAnsi="Times New Roman" w:cs="Times New Roman"/>
                <w:color w:val="000000"/>
                <w:sz w:val="16"/>
                <w:szCs w:val="16"/>
                <w:lang w:val="ro-MD"/>
              </w:rPr>
              <w:t>Până în 2026, ponderea persoanelor inactive din cauza muncii agricole în afara sezonului scade cu 20%</w:t>
            </w:r>
            <w:r>
              <w:rPr>
                <w:rFonts w:ascii="Times New Roman" w:hAnsi="Times New Roman" w:cs="Times New Roman"/>
                <w:color w:val="000000"/>
                <w:sz w:val="16"/>
                <w:szCs w:val="16"/>
                <w:lang w:val="ro-MD"/>
              </w:rPr>
              <w:t>.</w:t>
            </w:r>
          </w:p>
        </w:tc>
      </w:tr>
      <w:tr w:rsidR="00B21F63" w:rsidRPr="003836D9" w14:paraId="0A7790A4"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9964A0E" w14:textId="77777777" w:rsidR="00B21F63" w:rsidRPr="0098633A"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10.</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05A3B29D" w14:textId="77777777" w:rsidR="00B21F63" w:rsidRPr="002868B8"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Organizarea Conferinței cu tematica ”Combaterea muncii nedeclarate în Republica Moldova”</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07D4FF" w14:textId="77777777" w:rsidR="00B21F63" w:rsidRPr="002868B8"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2022</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834208"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25890F70"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6221022"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D1B707" w14:textId="77777777" w:rsidR="00B21F63" w:rsidRPr="002868B8"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Parteneri externi de dezvoltare</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0F6756BF" w14:textId="77777777" w:rsidR="00B21F63" w:rsidRPr="002868B8"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Conferința organizată în luna noiembrie, 2022</w:t>
            </w:r>
          </w:p>
        </w:tc>
      </w:tr>
      <w:tr w:rsidR="00B21F63" w:rsidRPr="003836D9" w14:paraId="26F82169"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9E2319E" w14:textId="309ACECF" w:rsidR="00B21F63" w:rsidRPr="00267404"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11.</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65965343" w14:textId="44A23770" w:rsidR="00B21F63" w:rsidRPr="0002755C"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Realizarea a 20 de filme informative privind efectele </w:t>
            </w:r>
            <w:r w:rsidR="00A14A18">
              <w:rPr>
                <w:rFonts w:ascii="Times New Roman" w:hAnsi="Times New Roman" w:cs="Times New Roman"/>
                <w:sz w:val="16"/>
                <w:szCs w:val="16"/>
                <w:lang w:val="ro-MD"/>
              </w:rPr>
              <w:t>ocup</w:t>
            </w:r>
            <w:proofErr w:type="spellStart"/>
            <w:r w:rsidR="00A14A18">
              <w:rPr>
                <w:rFonts w:ascii="Times New Roman" w:hAnsi="Times New Roman" w:cs="Times New Roman"/>
                <w:sz w:val="16"/>
                <w:szCs w:val="16"/>
                <w:lang w:val="ro-RO"/>
              </w:rPr>
              <w:t>ării</w:t>
            </w:r>
            <w:proofErr w:type="spellEnd"/>
            <w:r>
              <w:rPr>
                <w:rFonts w:ascii="Times New Roman" w:hAnsi="Times New Roman" w:cs="Times New Roman"/>
                <w:sz w:val="16"/>
                <w:szCs w:val="16"/>
                <w:lang w:val="ro-MD"/>
              </w:rPr>
              <w:t xml:space="preserve"> informale</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051B83" w14:textId="77777777" w:rsidR="00B21F63" w:rsidRPr="0002755C"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2022</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FD5932" w14:textId="77777777" w:rsidR="00B21F63" w:rsidRPr="0002755C"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0,5</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63537627"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E8AFB4"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A957B1" w14:textId="77777777" w:rsidR="00B21F63" w:rsidRPr="00267404"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Organizația Internațională a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5B961031" w14:textId="77777777" w:rsidR="00B21F63" w:rsidRPr="00267404"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Filme dezvoltate și realizate</w:t>
            </w:r>
          </w:p>
        </w:tc>
      </w:tr>
      <w:tr w:rsidR="00B21F63" w:rsidRPr="003836D9" w14:paraId="5A276AD2"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18268B6B" w14:textId="237D8983"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12.</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19BF4C49"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Elaborarea și implementarea mecanismului de subvenționare a angajatorilor pentru creșterea salariilor angajaților</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DE39C6" w14:textId="77777777" w:rsidR="00B21F63" w:rsidRPr="002868B8"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2022</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5B560C"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3D00BA2A"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F2B2C0"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C05340"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Casa Națională de Asigurări Sociale</w:t>
            </w:r>
          </w:p>
          <w:p w14:paraId="7946C6D7"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p w14:paraId="2B472B68"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Finanțelor</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6458EDA6"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Mecanism elaborat</w:t>
            </w:r>
          </w:p>
          <w:p w14:paraId="42A1F456"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300 companii primesc subvenții în 2023</w:t>
            </w:r>
          </w:p>
        </w:tc>
      </w:tr>
      <w:tr w:rsidR="00B21F63" w:rsidRPr="003836D9" w14:paraId="72B34F85"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539E37D" w14:textId="417456F4"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13.</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08D90D27"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Revizuirea sistemului de sancțiuni pecuniare pentru încălcările muncii </w:t>
            </w:r>
            <w:r>
              <w:rPr>
                <w:rFonts w:ascii="Times New Roman" w:hAnsi="Times New Roman" w:cs="Times New Roman"/>
                <w:sz w:val="16"/>
                <w:szCs w:val="16"/>
                <w:lang w:val="ro-MD"/>
              </w:rPr>
              <w:t>nedeclarate</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DA4360"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2</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5761D1"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54503B4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FF276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6B966F21" w14:textId="77777777" w:rsidR="00B21F63"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323C5A" w14:textId="77777777" w:rsidR="00B21F63" w:rsidRPr="003836D9" w:rsidRDefault="00B21F63" w:rsidP="00B21F63">
            <w:pPr>
              <w:spacing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Justiției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734209C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Codul Contravențional revizuit </w:t>
            </w:r>
          </w:p>
          <w:p w14:paraId="477F1E1E" w14:textId="77777777" w:rsidR="00B21F63" w:rsidRDefault="00B21F63" w:rsidP="00B21F63">
            <w:pPr>
              <w:jc w:val="both"/>
              <w:rPr>
                <w:rFonts w:ascii="Times New Roman" w:hAnsi="Times New Roman" w:cs="Times New Roman"/>
                <w:sz w:val="16"/>
                <w:szCs w:val="16"/>
                <w:lang w:val="ro-MD"/>
              </w:rPr>
            </w:pPr>
          </w:p>
        </w:tc>
      </w:tr>
      <w:tr w:rsidR="00B21F63" w:rsidRPr="003836D9" w14:paraId="05C9B92F"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3FE8D5C" w14:textId="444DE0BA"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14.</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3781FFED"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Reorganizarea Inspectoratului de Stat al Muncii</w:t>
            </w:r>
          </w:p>
          <w:p w14:paraId="11440A75" w14:textId="77777777" w:rsidR="00B21F63" w:rsidRDefault="00B21F63" w:rsidP="00B21F63">
            <w:pPr>
              <w:jc w:val="both"/>
              <w:rPr>
                <w:rFonts w:ascii="Times New Roman" w:hAnsi="Times New Roman" w:cs="Times New Roman"/>
                <w:sz w:val="16"/>
                <w:szCs w:val="16"/>
                <w:lang w:val="ro-MD"/>
              </w:rPr>
            </w:pP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51D86F"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2022</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E9016D"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0,3</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75E88A0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047A7F"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47DC4476" w14:textId="77777777" w:rsidR="00B21F63"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3B331D"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p w14:paraId="4224CDFB" w14:textId="77777777" w:rsidR="00B21F63" w:rsidRPr="003836D9" w:rsidRDefault="00B21F63" w:rsidP="00B21F63">
            <w:pPr>
              <w:spacing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Organizația Internațională a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18FEE5FC"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Lege nr. 140/2001 modificată cu atribuții noi pentru Inspectoratul de Stat al Muncii, inclusiv atribuții de realizarea controalelor inopinate pentru cazuri de muncă nedeclarată</w:t>
            </w:r>
          </w:p>
        </w:tc>
      </w:tr>
      <w:tr w:rsidR="00B21F63" w:rsidRPr="003836D9" w14:paraId="4E0B35BF"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9538F23" w14:textId="7AB30BFE" w:rsidR="00B21F63" w:rsidRPr="009F30DC"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15.</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5A70DCE" w14:textId="4CAB572B"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 Elaborarea Planului Național de combatere a muncii nedeclarate</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C95462" w14:textId="643BF18C"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B6DE17" w14:textId="6AAE7B66"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2472CB75" w14:textId="42C0D55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F41CB2" w14:textId="7AC549E9"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FDC6A9" w14:textId="7DB171A4"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1B61A67A"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Grup de lucru instituit</w:t>
            </w:r>
          </w:p>
          <w:p w14:paraId="27BB0DC0" w14:textId="0C3C6094"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Plan Național de combatere a muncii nedeclarate elaborat</w:t>
            </w:r>
          </w:p>
        </w:tc>
      </w:tr>
      <w:tr w:rsidR="00B21F63" w:rsidRPr="003836D9" w14:paraId="670528AD"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6D2023D" w14:textId="77777777" w:rsidR="00B21F63" w:rsidRPr="0098633A"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16.</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61ACA08B"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Asigurarea evidenței electronice a zilierilor </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97F227"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318D18"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4DFEC422"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B73447"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5D5F29" w14:textId="77777777" w:rsidR="00B21F63" w:rsidRPr="003836D9" w:rsidRDefault="00B21F63" w:rsidP="00B21F63">
            <w:pPr>
              <w:spacing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792602FA"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Registru electronic al zilierilor dezvoltat </w:t>
            </w:r>
          </w:p>
          <w:p w14:paraId="151879CB" w14:textId="0A10CB48" w:rsidR="00A14A18" w:rsidRPr="003836D9" w:rsidRDefault="00A14A18"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Numărul de zilieri înregistrat în Registrul Electronic al Zilierilor atinge 20,000 către 2026</w:t>
            </w:r>
          </w:p>
        </w:tc>
      </w:tr>
      <w:tr w:rsidR="00B21F63" w:rsidRPr="003836D9" w14:paraId="40604226"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BF65D13"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lastRenderedPageBreak/>
              <w:t>17.</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55D6EC7"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Elaborarea și punerea în aplicare a mecanismului de desfășurare a muncii ocazionale de către zilieri pe baza de vouchere</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6FB012"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C26BF8"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64B4E33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A7E3BF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27CFD517" w14:textId="77777777" w:rsidR="00B21F63"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2EA31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p w14:paraId="77331A4B" w14:textId="77777777" w:rsidR="00B21F63" w:rsidRDefault="00B21F63" w:rsidP="00B21F63">
            <w:pPr>
              <w:spacing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Finanțelor</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0060D7DB"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Mecanism elaborat, aprobat și pus în aplicare prin lege</w:t>
            </w:r>
          </w:p>
          <w:p w14:paraId="7E849BF7" w14:textId="41ED42AF" w:rsidR="00A14A18" w:rsidRPr="003836D9" w:rsidRDefault="00A14A18"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Numărul zilierulilor la evidența Casei Naționale de Asigurări Sociale crește de 5 ori către 2026.</w:t>
            </w:r>
          </w:p>
        </w:tc>
      </w:tr>
      <w:tr w:rsidR="00B21F63" w:rsidRPr="003836D9" w14:paraId="45265D71"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7D6898A"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18.</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0C6755E4"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Revizuirea cadrului legal privind imigrarea în scop de muncă, inclusiv a mecanismului de corelare a cererii și ofertei de forță de muncă străină</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56CEBC" w14:textId="77777777" w:rsidR="00B21F63" w:rsidRPr="0098633A"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460A5D"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6E088C97"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90671E4"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Afacerilor Interne</w:t>
            </w:r>
          </w:p>
          <w:p w14:paraId="674C2D8A"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7BEEAE" w14:textId="77777777" w:rsidR="00B21F63" w:rsidRPr="003836D9" w:rsidRDefault="00B21F63" w:rsidP="00B21F63">
            <w:pPr>
              <w:spacing w:line="240" w:lineRule="auto"/>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Agenția Națională pentru Ocuparea Forței de Muncă </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5D808A76"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Cadrul normativ elaborat/revizuit</w:t>
            </w:r>
          </w:p>
          <w:p w14:paraId="274CB772" w14:textId="77777777" w:rsidR="00B21F63" w:rsidRDefault="00B21F63" w:rsidP="00B21F63">
            <w:pPr>
              <w:jc w:val="both"/>
              <w:rPr>
                <w:rFonts w:ascii="Times New Roman" w:hAnsi="Times New Roman" w:cs="Times New Roman"/>
                <w:sz w:val="16"/>
                <w:szCs w:val="16"/>
                <w:lang w:val="ro-MD"/>
              </w:rPr>
            </w:pPr>
          </w:p>
        </w:tc>
      </w:tr>
      <w:tr w:rsidR="00B21F63" w:rsidRPr="003836D9" w14:paraId="6484BC1B"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BDB8766"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19.</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FE63B9B"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Consolidarea mecanismului de prevenire a încălcărilor legislației muncii prin elaborarea și stabilirea unei proceduri de consiliere/suport metodologic pentru asigurarea respectării legislației muncii</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898459"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A7186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516031F6"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2697E95"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542A20A0" w14:textId="77777777" w:rsidR="00B21F63"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3275C2" w14:textId="77777777" w:rsidR="00B21F63" w:rsidRDefault="00B21F63" w:rsidP="00B21F63">
            <w:pPr>
              <w:spacing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7DDC994C"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Procedura elaborată și aprobată </w:t>
            </w:r>
          </w:p>
          <w:p w14:paraId="12F1E256" w14:textId="77777777" w:rsidR="00B21F63" w:rsidRPr="003836D9" w:rsidRDefault="00B21F63" w:rsidP="00B21F63">
            <w:pPr>
              <w:jc w:val="both"/>
              <w:rPr>
                <w:rFonts w:ascii="Times New Roman" w:hAnsi="Times New Roman" w:cs="Times New Roman"/>
                <w:sz w:val="16"/>
                <w:szCs w:val="16"/>
                <w:lang w:val="ro-MD"/>
              </w:rPr>
            </w:pPr>
          </w:p>
        </w:tc>
      </w:tr>
      <w:tr w:rsidR="00B21F63" w:rsidRPr="003836D9" w14:paraId="699C3DB1"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33140DB"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20.</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39204BA"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Dezvoltarea Sistemului informațional automatizat al I</w:t>
            </w:r>
            <w:r>
              <w:rPr>
                <w:rFonts w:ascii="Times New Roman" w:hAnsi="Times New Roman" w:cs="Times New Roman"/>
                <w:sz w:val="16"/>
                <w:szCs w:val="16"/>
                <w:lang w:val="ro-MD"/>
              </w:rPr>
              <w:t>nspectoratului de Stat al Muncii</w:t>
            </w:r>
          </w:p>
          <w:p w14:paraId="33CC0E04" w14:textId="77777777" w:rsidR="00B21F63" w:rsidRPr="003836D9" w:rsidRDefault="00B21F63" w:rsidP="00B21F63">
            <w:pPr>
              <w:jc w:val="both"/>
              <w:rPr>
                <w:rFonts w:ascii="Times New Roman" w:hAnsi="Times New Roman" w:cs="Times New Roman"/>
                <w:sz w:val="16"/>
                <w:szCs w:val="16"/>
                <w:lang w:val="ro-MD"/>
              </w:rPr>
            </w:pP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427D0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C2692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0,86</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7E1B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AA20CF"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49B9996A"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3F46D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p w14:paraId="468E271C" w14:textId="77777777" w:rsidR="00B21F63" w:rsidRPr="003836D9" w:rsidRDefault="00B21F63" w:rsidP="00B21F63">
            <w:pPr>
              <w:spacing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de Guvernare Electronică</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567F3835"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S</w:t>
            </w:r>
            <w:r>
              <w:rPr>
                <w:rFonts w:ascii="Times New Roman" w:hAnsi="Times New Roman" w:cs="Times New Roman"/>
                <w:sz w:val="16"/>
                <w:szCs w:val="16"/>
                <w:lang w:val="ro-MD"/>
              </w:rPr>
              <w:t>istem informațional</w:t>
            </w:r>
            <w:r w:rsidRPr="003836D9">
              <w:rPr>
                <w:rFonts w:ascii="Times New Roman" w:hAnsi="Times New Roman" w:cs="Times New Roman"/>
                <w:sz w:val="16"/>
                <w:szCs w:val="16"/>
                <w:lang w:val="ro-MD"/>
              </w:rPr>
              <w:t xml:space="preserve"> dezvoltat</w:t>
            </w:r>
          </w:p>
        </w:tc>
      </w:tr>
      <w:tr w:rsidR="00B21F63" w:rsidRPr="003836D9" w14:paraId="005CF7B2"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9F7937B"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21.</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19E1A9E8"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Elaborarea și implementarea mecanismului de subvenționare a angajatorilor pentru creșterea salariilor angajaților</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3FE30E"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F6454A"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24CCDA0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D477EC"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2F097E3A"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3C3F0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p w14:paraId="1449CB3A"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Finanțelor</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2A47872A"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Mecanism elaborat, aprobat și pus în aplicare</w:t>
            </w:r>
          </w:p>
          <w:p w14:paraId="6E063CF2" w14:textId="3EA10A5F" w:rsidR="00A14A18" w:rsidRPr="00A14A18" w:rsidRDefault="00A14A18" w:rsidP="00B87550">
            <w:pPr>
              <w:rPr>
                <w:rFonts w:ascii="Times New Roman" w:hAnsi="Times New Roman" w:cs="Times New Roman"/>
                <w:sz w:val="16"/>
                <w:szCs w:val="16"/>
                <w:lang w:val="ro-MD"/>
              </w:rPr>
            </w:pPr>
            <w:r>
              <w:rPr>
                <w:rFonts w:ascii="Times New Roman" w:hAnsi="Times New Roman" w:cs="Times New Roman"/>
                <w:sz w:val="16"/>
                <w:szCs w:val="16"/>
                <w:lang w:val="ro-MD"/>
              </w:rPr>
              <w:t>300 de angajatori beneficiază de subvenții pentru creșteri salariale către 2025</w:t>
            </w:r>
          </w:p>
        </w:tc>
      </w:tr>
      <w:tr w:rsidR="00B21F63" w:rsidRPr="002A0B24" w14:paraId="36438BD8"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09970ACF" w14:textId="77777777" w:rsidR="00B21F63" w:rsidRPr="002A0B24" w:rsidRDefault="00B21F63" w:rsidP="00B21F63">
            <w:pPr>
              <w:jc w:val="center"/>
              <w:rPr>
                <w:rFonts w:ascii="Times New Roman" w:hAnsi="Times New Roman" w:cs="Times New Roman"/>
                <w:sz w:val="16"/>
                <w:szCs w:val="16"/>
                <w:lang w:val="ro-MD"/>
              </w:rPr>
            </w:pPr>
            <w:r w:rsidRPr="002A0B24">
              <w:rPr>
                <w:rFonts w:ascii="Times New Roman" w:hAnsi="Times New Roman" w:cs="Times New Roman"/>
                <w:sz w:val="16"/>
                <w:szCs w:val="16"/>
                <w:lang w:val="ro-MD"/>
              </w:rPr>
              <w:t>2</w:t>
            </w:r>
            <w:r>
              <w:rPr>
                <w:rFonts w:ascii="Times New Roman" w:hAnsi="Times New Roman" w:cs="Times New Roman"/>
                <w:sz w:val="16"/>
                <w:szCs w:val="16"/>
                <w:lang w:val="ro-MD"/>
              </w:rPr>
              <w:t>2</w:t>
            </w:r>
            <w:r w:rsidRPr="002A0B24">
              <w:rPr>
                <w:rFonts w:ascii="Times New Roman" w:hAnsi="Times New Roman" w:cs="Times New Roman"/>
                <w:sz w:val="16"/>
                <w:szCs w:val="16"/>
                <w:lang w:val="ro-MD"/>
              </w:rPr>
              <w:t>.</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028661F3" w14:textId="77777777" w:rsidR="00B21F63" w:rsidRPr="002A0B24" w:rsidRDefault="00B21F63" w:rsidP="00B21F63">
            <w:pPr>
              <w:jc w:val="both"/>
              <w:rPr>
                <w:rFonts w:ascii="Times New Roman" w:hAnsi="Times New Roman" w:cs="Times New Roman"/>
                <w:sz w:val="16"/>
                <w:szCs w:val="16"/>
                <w:lang w:val="ro-MD"/>
              </w:rPr>
            </w:pPr>
            <w:r w:rsidRPr="002A0B24">
              <w:rPr>
                <w:rFonts w:ascii="Times New Roman" w:hAnsi="Times New Roman" w:cs="Times New Roman"/>
                <w:sz w:val="16"/>
                <w:szCs w:val="16"/>
                <w:lang w:val="ro-MD"/>
              </w:rPr>
              <w:t xml:space="preserve">Creșterea salariului minim pe țară </w:t>
            </w:r>
            <w:r>
              <w:rPr>
                <w:rFonts w:ascii="Times New Roman" w:hAnsi="Times New Roman" w:cs="Times New Roman"/>
                <w:sz w:val="16"/>
                <w:szCs w:val="16"/>
                <w:lang w:val="ro-MD"/>
              </w:rPr>
              <w:t>până la nivelul de 50% din salariul mediu pe economie</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685259" w14:textId="77777777" w:rsidR="00B21F63" w:rsidRDefault="00B21F63" w:rsidP="00B21F63">
            <w:pPr>
              <w:spacing w:after="0"/>
              <w:jc w:val="both"/>
              <w:rPr>
                <w:rFonts w:ascii="Times New Roman" w:hAnsi="Times New Roman" w:cs="Times New Roman"/>
                <w:sz w:val="16"/>
                <w:szCs w:val="16"/>
                <w:lang w:val="ro-MD"/>
              </w:rPr>
            </w:pPr>
            <w:r w:rsidRPr="002A0B24">
              <w:rPr>
                <w:rFonts w:ascii="Times New Roman" w:hAnsi="Times New Roman" w:cs="Times New Roman"/>
                <w:sz w:val="16"/>
                <w:szCs w:val="16"/>
                <w:lang w:val="ro-MD"/>
              </w:rPr>
              <w:t>2023</w:t>
            </w:r>
            <w:r>
              <w:rPr>
                <w:rFonts w:ascii="Times New Roman" w:hAnsi="Times New Roman" w:cs="Times New Roman"/>
                <w:sz w:val="16"/>
                <w:szCs w:val="16"/>
                <w:lang w:val="ro-MD"/>
              </w:rPr>
              <w:t>-644,0</w:t>
            </w:r>
          </w:p>
          <w:p w14:paraId="552C224A" w14:textId="77777777" w:rsidR="00B21F63"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2024-644,0</w:t>
            </w:r>
          </w:p>
          <w:p w14:paraId="192C416F" w14:textId="77777777" w:rsidR="00B21F63"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2025-644,0</w:t>
            </w:r>
          </w:p>
          <w:p w14:paraId="51D6FCEA" w14:textId="77777777" w:rsidR="00B21F63" w:rsidRPr="00BD5961"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2025-644,0</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B182B0" w14:textId="634EFED2" w:rsidR="00B21F63" w:rsidRPr="00BD5961"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2.576,0</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17EF6013" w14:textId="77777777" w:rsidR="00B21F63" w:rsidRPr="002A0B24" w:rsidRDefault="00B21F63" w:rsidP="00B21F63">
            <w:pPr>
              <w:jc w:val="both"/>
              <w:rPr>
                <w:rFonts w:ascii="Times New Roman" w:hAnsi="Times New Roman" w:cs="Times New Roman"/>
                <w:sz w:val="16"/>
                <w:szCs w:val="16"/>
                <w:lang w:val="ro-MD"/>
              </w:rPr>
            </w:pPr>
            <w:r w:rsidRPr="002A0B24">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5456CFA" w14:textId="77777777" w:rsidR="00B21F63" w:rsidRPr="002A0B24" w:rsidRDefault="00B21F63" w:rsidP="00B21F63">
            <w:pPr>
              <w:jc w:val="both"/>
              <w:rPr>
                <w:rFonts w:ascii="Times New Roman" w:hAnsi="Times New Roman" w:cs="Times New Roman"/>
                <w:sz w:val="16"/>
                <w:szCs w:val="16"/>
                <w:lang w:val="ro-MD"/>
              </w:rPr>
            </w:pPr>
            <w:r w:rsidRPr="002A0B24">
              <w:rPr>
                <w:rFonts w:ascii="Times New Roman" w:hAnsi="Times New Roman" w:cs="Times New Roman"/>
                <w:sz w:val="16"/>
                <w:szCs w:val="16"/>
                <w:lang w:val="ro-MD"/>
              </w:rPr>
              <w:t>Ministerul Muncii și Protecției Sociale</w:t>
            </w:r>
          </w:p>
          <w:p w14:paraId="637295E0" w14:textId="77777777" w:rsidR="00B21F63" w:rsidRPr="002A0B24"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EC9129" w14:textId="77777777" w:rsidR="00B21F63" w:rsidRPr="002A0B24" w:rsidRDefault="00B21F63" w:rsidP="00B21F63">
            <w:pPr>
              <w:jc w:val="both"/>
              <w:rPr>
                <w:rFonts w:ascii="Times New Roman" w:hAnsi="Times New Roman" w:cs="Times New Roman"/>
                <w:sz w:val="16"/>
                <w:szCs w:val="16"/>
                <w:lang w:val="ro-MD"/>
              </w:rPr>
            </w:pPr>
            <w:r w:rsidRPr="002A0B24">
              <w:rPr>
                <w:rFonts w:ascii="Times New Roman" w:hAnsi="Times New Roman" w:cs="Times New Roman"/>
                <w:sz w:val="16"/>
                <w:szCs w:val="16"/>
                <w:lang w:val="ro-MD"/>
              </w:rPr>
              <w:t>Ministerul Finanțelor</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3789A31E" w14:textId="77777777" w:rsidR="00B21F63" w:rsidRPr="002A0B24" w:rsidRDefault="00B21F63" w:rsidP="00B21F63">
            <w:pPr>
              <w:jc w:val="both"/>
              <w:rPr>
                <w:rFonts w:ascii="Times New Roman" w:hAnsi="Times New Roman" w:cs="Times New Roman"/>
                <w:sz w:val="16"/>
                <w:szCs w:val="16"/>
                <w:lang w:val="ro-MD"/>
              </w:rPr>
            </w:pPr>
            <w:r w:rsidRPr="002A0B24">
              <w:rPr>
                <w:rFonts w:ascii="Times New Roman" w:hAnsi="Times New Roman" w:cs="Times New Roman"/>
                <w:sz w:val="16"/>
                <w:szCs w:val="16"/>
                <w:lang w:val="ro-MD"/>
              </w:rPr>
              <w:t xml:space="preserve">Salariul minim pe țară constituie </w:t>
            </w:r>
            <w:r>
              <w:rPr>
                <w:rFonts w:ascii="Times New Roman" w:hAnsi="Times New Roman" w:cs="Times New Roman"/>
                <w:sz w:val="16"/>
                <w:szCs w:val="16"/>
                <w:lang w:val="ro-MD"/>
              </w:rPr>
              <w:t>50% din salariul mediu pe economie</w:t>
            </w:r>
            <w:r w:rsidRPr="002A0B24">
              <w:rPr>
                <w:rFonts w:ascii="Times New Roman" w:hAnsi="Times New Roman" w:cs="Times New Roman"/>
                <w:sz w:val="16"/>
                <w:szCs w:val="16"/>
                <w:lang w:val="ro-MD"/>
              </w:rPr>
              <w:t xml:space="preserve"> începând cu 1 ianuarie 2023</w:t>
            </w:r>
          </w:p>
        </w:tc>
      </w:tr>
      <w:tr w:rsidR="00B21F63" w:rsidRPr="003836D9" w14:paraId="1DDAF4A5"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8589E0E"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23.</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AB46EF4" w14:textId="1C649DE5" w:rsidR="00B21F63" w:rsidRDefault="00B21F63" w:rsidP="00B21F63">
            <w:pPr>
              <w:jc w:val="both"/>
              <w:rPr>
                <w:rFonts w:ascii="Times New Roman" w:hAnsi="Times New Roman" w:cs="Times New Roman"/>
                <w:sz w:val="16"/>
                <w:szCs w:val="16"/>
                <w:lang w:val="ro-MD"/>
              </w:rPr>
            </w:pPr>
            <w:r w:rsidRPr="00826DB0">
              <w:rPr>
                <w:rFonts w:ascii="Times New Roman" w:hAnsi="Times New Roman" w:cs="Times New Roman"/>
                <w:sz w:val="16"/>
                <w:szCs w:val="16"/>
                <w:lang w:val="ro-MD"/>
              </w:rPr>
              <w:t>Majorarea salariului angajaților I</w:t>
            </w:r>
            <w:r>
              <w:rPr>
                <w:rFonts w:ascii="Times New Roman" w:hAnsi="Times New Roman" w:cs="Times New Roman"/>
                <w:sz w:val="16"/>
                <w:szCs w:val="16"/>
                <w:lang w:val="ro-MD"/>
              </w:rPr>
              <w:t xml:space="preserve">nspectoratului de Stat al Muncii </w:t>
            </w:r>
            <w:r w:rsidRPr="00826DB0">
              <w:rPr>
                <w:rFonts w:ascii="Times New Roman" w:hAnsi="Times New Roman" w:cs="Times New Roman"/>
                <w:sz w:val="16"/>
                <w:szCs w:val="16"/>
                <w:lang w:val="ro-MD"/>
              </w:rPr>
              <w:t xml:space="preserve">cu </w:t>
            </w:r>
            <w:r>
              <w:rPr>
                <w:rFonts w:ascii="Times New Roman" w:hAnsi="Times New Roman" w:cs="Times New Roman"/>
                <w:sz w:val="16"/>
                <w:szCs w:val="16"/>
                <w:lang w:val="ro-MD"/>
              </w:rPr>
              <w:t>5</w:t>
            </w:r>
            <w:r w:rsidRPr="00826DB0">
              <w:rPr>
                <w:rFonts w:ascii="Times New Roman" w:hAnsi="Times New Roman" w:cs="Times New Roman"/>
                <w:sz w:val="16"/>
                <w:szCs w:val="16"/>
                <w:lang w:val="ro-MD"/>
              </w:rPr>
              <w:t>0%</w:t>
            </w:r>
          </w:p>
          <w:p w14:paraId="571167BF" w14:textId="77777777" w:rsidR="00B21F63" w:rsidRPr="003836D9" w:rsidRDefault="00B21F63" w:rsidP="00B21F63">
            <w:pPr>
              <w:jc w:val="both"/>
              <w:rPr>
                <w:rFonts w:ascii="Times New Roman" w:hAnsi="Times New Roman" w:cs="Times New Roman"/>
                <w:sz w:val="16"/>
                <w:szCs w:val="16"/>
                <w:lang w:val="ro-MD"/>
              </w:rPr>
            </w:pP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C5F3CF" w14:textId="3D38D282" w:rsidR="00B21F63" w:rsidRPr="00D65266" w:rsidRDefault="00B21F63" w:rsidP="00B21F63">
            <w:pPr>
              <w:spacing w:after="0"/>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2024</w:t>
            </w:r>
            <w:r>
              <w:rPr>
                <w:rFonts w:ascii="Times New Roman" w:hAnsi="Times New Roman" w:cs="Times New Roman"/>
                <w:sz w:val="16"/>
                <w:szCs w:val="16"/>
                <w:lang w:val="ro-MD"/>
              </w:rPr>
              <w:t>-22,5</w:t>
            </w:r>
          </w:p>
          <w:p w14:paraId="32273BD8" w14:textId="40E35138" w:rsidR="00B21F63" w:rsidRPr="00D65266"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2025-22,5</w:t>
            </w:r>
          </w:p>
          <w:p w14:paraId="262F99AC" w14:textId="4C7DC8A9" w:rsidR="00B21F63" w:rsidRPr="00D65266"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2025-22,5</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272AE9" w14:textId="20C3A956" w:rsidR="00B21F63" w:rsidRPr="00D65266"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67,5</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78A5F4CC"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1AD333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3C939230"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5C0BEA"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p w14:paraId="5A41C6A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Finanțelor</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286DF84A" w14:textId="2E366E3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Salariile angajaților I</w:t>
            </w:r>
            <w:r>
              <w:rPr>
                <w:rFonts w:ascii="Times New Roman" w:hAnsi="Times New Roman" w:cs="Times New Roman"/>
                <w:sz w:val="16"/>
                <w:szCs w:val="16"/>
                <w:lang w:val="ro-MD"/>
              </w:rPr>
              <w:t xml:space="preserve">nspectoratului de Stat al Muncii </w:t>
            </w:r>
            <w:r w:rsidRPr="003836D9">
              <w:rPr>
                <w:rFonts w:ascii="Times New Roman" w:hAnsi="Times New Roman" w:cs="Times New Roman"/>
                <w:sz w:val="16"/>
                <w:szCs w:val="16"/>
                <w:lang w:val="ro-MD"/>
              </w:rPr>
              <w:t xml:space="preserve">majorate cu </w:t>
            </w:r>
            <w:r>
              <w:rPr>
                <w:rFonts w:ascii="Times New Roman" w:hAnsi="Times New Roman" w:cs="Times New Roman"/>
                <w:sz w:val="16"/>
                <w:szCs w:val="16"/>
                <w:lang w:val="ro-MD"/>
              </w:rPr>
              <w:t>5</w:t>
            </w:r>
            <w:r w:rsidRPr="003836D9">
              <w:rPr>
                <w:rFonts w:ascii="Times New Roman" w:hAnsi="Times New Roman" w:cs="Times New Roman"/>
                <w:sz w:val="16"/>
                <w:szCs w:val="16"/>
                <w:lang w:val="ro-MD"/>
              </w:rPr>
              <w:t>0%</w:t>
            </w:r>
          </w:p>
        </w:tc>
      </w:tr>
      <w:tr w:rsidR="00B21F63" w:rsidRPr="003836D9" w14:paraId="7960FA19"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3E81589"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24.</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98F206F"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 xml:space="preserve">Implementarea </w:t>
            </w:r>
            <w:r w:rsidRPr="003836D9">
              <w:rPr>
                <w:rFonts w:ascii="Times New Roman" w:hAnsi="Times New Roman" w:cs="Times New Roman"/>
                <w:sz w:val="16"/>
                <w:szCs w:val="16"/>
                <w:lang w:val="ro-MD"/>
              </w:rPr>
              <w:t xml:space="preserve">Registrului </w:t>
            </w:r>
            <w:r>
              <w:rPr>
                <w:rFonts w:ascii="Times New Roman" w:hAnsi="Times New Roman" w:cs="Times New Roman"/>
                <w:sz w:val="16"/>
                <w:szCs w:val="16"/>
                <w:lang w:val="ro-MD"/>
              </w:rPr>
              <w:t>Național E</w:t>
            </w:r>
            <w:r w:rsidRPr="003836D9">
              <w:rPr>
                <w:rFonts w:ascii="Times New Roman" w:hAnsi="Times New Roman" w:cs="Times New Roman"/>
                <w:sz w:val="16"/>
                <w:szCs w:val="16"/>
                <w:lang w:val="ro-MD"/>
              </w:rPr>
              <w:t xml:space="preserve">lectronic al angajaților </w:t>
            </w:r>
            <w:r>
              <w:rPr>
                <w:rFonts w:ascii="Times New Roman" w:hAnsi="Times New Roman" w:cs="Times New Roman"/>
                <w:sz w:val="16"/>
                <w:szCs w:val="16"/>
                <w:lang w:val="ro-MD"/>
              </w:rPr>
              <w:t>în sectorul real și bugetar</w:t>
            </w:r>
          </w:p>
          <w:p w14:paraId="72DBF8F2" w14:textId="77777777" w:rsidR="00B21F63" w:rsidRDefault="00B21F63" w:rsidP="00B21F63">
            <w:pPr>
              <w:jc w:val="both"/>
              <w:rPr>
                <w:rFonts w:ascii="Times New Roman" w:hAnsi="Times New Roman" w:cs="Times New Roman"/>
                <w:sz w:val="16"/>
                <w:szCs w:val="16"/>
                <w:lang w:val="ro-MD"/>
              </w:rPr>
            </w:pP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EA45B6" w14:textId="77777777" w:rsidR="00B21F63" w:rsidRPr="0098633A"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2024</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81433D" w14:textId="77777777" w:rsidR="00B21F63"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r>
              <w:rPr>
                <w:rFonts w:ascii="Times New Roman" w:hAnsi="Times New Roman" w:cs="Times New Roman"/>
                <w:sz w:val="16"/>
                <w:szCs w:val="16"/>
                <w:lang w:val="ro-MD"/>
              </w:rPr>
              <w:t xml:space="preserve"> și surse externe de finanțare</w:t>
            </w:r>
          </w:p>
          <w:p w14:paraId="2AFD5932" w14:textId="77777777" w:rsidR="00B21F63" w:rsidRDefault="00B21F63" w:rsidP="00B21F63">
            <w:pPr>
              <w:jc w:val="both"/>
              <w:rPr>
                <w:rFonts w:ascii="Times New Roman" w:hAnsi="Times New Roman" w:cs="Times New Roman"/>
                <w:sz w:val="16"/>
                <w:szCs w:val="16"/>
                <w:lang w:val="ro-MD"/>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5453AB6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8E473C1"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Ministerul Muncii și Protecției Sociale și </w:t>
            </w:r>
            <w:r w:rsidRPr="003836D9">
              <w:rPr>
                <w:rFonts w:ascii="Times New Roman" w:hAnsi="Times New Roman" w:cs="Times New Roman"/>
                <w:sz w:val="16"/>
                <w:szCs w:val="16"/>
                <w:lang w:val="ro-MD"/>
              </w:rPr>
              <w:t>Serviciul Fiscal de Stat</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396FF4" w14:textId="77777777" w:rsidR="00B21F63" w:rsidRPr="003836D9" w:rsidRDefault="00B21F63" w:rsidP="00B21F63">
            <w:pPr>
              <w:spacing w:line="240" w:lineRule="auto"/>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p w14:paraId="3988D05D" w14:textId="77777777" w:rsidR="00B21F63" w:rsidRPr="003836D9" w:rsidRDefault="00B21F63" w:rsidP="00B21F63">
            <w:pPr>
              <w:spacing w:line="240" w:lineRule="auto"/>
              <w:rPr>
                <w:rFonts w:ascii="Times New Roman" w:hAnsi="Times New Roman" w:cs="Times New Roman"/>
                <w:sz w:val="16"/>
                <w:szCs w:val="16"/>
                <w:lang w:val="ro-MD"/>
              </w:rPr>
            </w:pPr>
            <w:r w:rsidRPr="003836D9">
              <w:rPr>
                <w:rFonts w:ascii="Times New Roman" w:hAnsi="Times New Roman" w:cs="Times New Roman"/>
                <w:sz w:val="16"/>
                <w:szCs w:val="16"/>
                <w:lang w:val="ro-MD"/>
              </w:rPr>
              <w:t>Casa Națională de Asigurări Sociale</w:t>
            </w:r>
          </w:p>
          <w:p w14:paraId="50AE48C4" w14:textId="77777777" w:rsidR="00B21F63" w:rsidRPr="003836D9" w:rsidRDefault="00B21F63" w:rsidP="00B21F63">
            <w:pPr>
              <w:spacing w:line="240" w:lineRule="auto"/>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492A5DE5"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Registru național electronic dezvoltat și utilizat de angajatori</w:t>
            </w:r>
          </w:p>
        </w:tc>
      </w:tr>
      <w:tr w:rsidR="00B21F63" w:rsidRPr="003836D9" w14:paraId="2ABD988E"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18677E1B" w14:textId="77777777" w:rsidR="00B21F63" w:rsidRPr="003836D9"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25</w:t>
            </w:r>
            <w:r w:rsidRPr="003836D9">
              <w:rPr>
                <w:rFonts w:ascii="Times New Roman" w:hAnsi="Times New Roman" w:cs="Times New Roman"/>
                <w:sz w:val="16"/>
                <w:szCs w:val="16"/>
                <w:lang w:val="ro-MD"/>
              </w:rPr>
              <w:t>.</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55D905F"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Realizarea studiului privind oportunitatea reducerii impozitelor pe veniturile salariale anumitor categorii vulnerabile ale populației (persoanele cu venituri reduse sau persoanele care sunt cea de a doua sursă de venit a familiei)</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78800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4</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D5500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0,4</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406B3C0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EB0C6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1047DFE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Finanțelor</w:t>
            </w:r>
          </w:p>
          <w:p w14:paraId="3066618A"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B8A7D3"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Organizația Internațională a Muncii </w:t>
            </w:r>
          </w:p>
          <w:p w14:paraId="610B286F"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Serviciul Fiscal de Stat</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041B21EA" w14:textId="77777777" w:rsidR="00B21F63" w:rsidRPr="003836D9" w:rsidRDefault="00B21F63" w:rsidP="00B21F63">
            <w:pPr>
              <w:spacing w:after="0"/>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Studiu realizat</w:t>
            </w:r>
          </w:p>
          <w:p w14:paraId="1FF0BD97" w14:textId="77777777" w:rsidR="00B21F63" w:rsidRDefault="00B21F63" w:rsidP="00B21F63">
            <w:pPr>
              <w:spacing w:after="0"/>
              <w:jc w:val="both"/>
              <w:rPr>
                <w:rFonts w:ascii="Times New Roman" w:hAnsi="Times New Roman" w:cs="Times New Roman"/>
                <w:sz w:val="16"/>
                <w:szCs w:val="16"/>
                <w:lang w:val="ro-MD"/>
              </w:rPr>
            </w:pPr>
          </w:p>
          <w:p w14:paraId="71A60A71" w14:textId="77777777" w:rsidR="00B21F63" w:rsidRPr="003836D9" w:rsidRDefault="00B21F63" w:rsidP="00B21F63">
            <w:pPr>
              <w:spacing w:after="0"/>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Recomandări </w:t>
            </w:r>
            <w:r>
              <w:rPr>
                <w:rFonts w:ascii="Times New Roman" w:hAnsi="Times New Roman" w:cs="Times New Roman"/>
                <w:sz w:val="16"/>
                <w:szCs w:val="16"/>
                <w:lang w:val="ro-MD"/>
              </w:rPr>
              <w:t xml:space="preserve">elaborate și </w:t>
            </w:r>
            <w:r w:rsidRPr="003836D9">
              <w:rPr>
                <w:rFonts w:ascii="Times New Roman" w:hAnsi="Times New Roman" w:cs="Times New Roman"/>
                <w:sz w:val="16"/>
                <w:szCs w:val="16"/>
                <w:lang w:val="ro-MD"/>
              </w:rPr>
              <w:t>considerate</w:t>
            </w:r>
            <w:r>
              <w:rPr>
                <w:rFonts w:ascii="Times New Roman" w:hAnsi="Times New Roman" w:cs="Times New Roman"/>
                <w:sz w:val="16"/>
                <w:szCs w:val="16"/>
                <w:lang w:val="ro-MD"/>
              </w:rPr>
              <w:t xml:space="preserve"> privind oportunitatea reducerii impozitelor pe veniturile salariale </w:t>
            </w:r>
            <w:r w:rsidRPr="003836D9">
              <w:rPr>
                <w:rFonts w:ascii="Times New Roman" w:hAnsi="Times New Roman" w:cs="Times New Roman"/>
                <w:sz w:val="16"/>
                <w:szCs w:val="16"/>
                <w:lang w:val="ro-MD"/>
              </w:rPr>
              <w:t>Cota impozitelor aferente salariului</w:t>
            </w:r>
          </w:p>
          <w:p w14:paraId="09EB80EC" w14:textId="77777777" w:rsidR="00B21F63" w:rsidRPr="003836D9" w:rsidRDefault="00B21F63" w:rsidP="00B21F63">
            <w:pPr>
              <w:jc w:val="both"/>
              <w:rPr>
                <w:rFonts w:ascii="Times New Roman" w:hAnsi="Times New Roman" w:cs="Times New Roman"/>
                <w:sz w:val="16"/>
                <w:szCs w:val="16"/>
                <w:lang w:val="ro-MD"/>
              </w:rPr>
            </w:pPr>
          </w:p>
        </w:tc>
      </w:tr>
      <w:tr w:rsidR="00B21F63" w:rsidRPr="003836D9" w14:paraId="04116D19"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692499D" w14:textId="77777777" w:rsidR="00B21F63" w:rsidRPr="003836D9"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26</w:t>
            </w:r>
            <w:r w:rsidRPr="003836D9">
              <w:rPr>
                <w:rFonts w:ascii="Times New Roman" w:hAnsi="Times New Roman" w:cs="Times New Roman"/>
                <w:sz w:val="16"/>
                <w:szCs w:val="16"/>
                <w:lang w:val="ro-MD"/>
              </w:rPr>
              <w:t>.</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751EF78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Elaborarea și aprobarea cadrului normativ necesar reglementării formelor de muncă non standard</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0BF587"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2024</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D7081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455E6892"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DE7970"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5EE593B4"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604E50"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Organizația Internațională a Muncii </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11A9187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Cadrul normativ elaborat/revizuit</w:t>
            </w:r>
          </w:p>
          <w:p w14:paraId="1F1BAEE6" w14:textId="77777777" w:rsidR="00B21F63" w:rsidRPr="003836D9" w:rsidRDefault="00B21F63" w:rsidP="00B21F63">
            <w:pPr>
              <w:jc w:val="both"/>
              <w:rPr>
                <w:rFonts w:ascii="Times New Roman" w:hAnsi="Times New Roman" w:cs="Times New Roman"/>
                <w:sz w:val="16"/>
                <w:szCs w:val="16"/>
                <w:lang w:val="ro-MD"/>
              </w:rPr>
            </w:pPr>
          </w:p>
        </w:tc>
      </w:tr>
      <w:tr w:rsidR="00B21F63" w:rsidRPr="003836D9" w14:paraId="4F2A0D0B"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B930CC2" w14:textId="77777777" w:rsidR="00B21F63" w:rsidRPr="003836D9"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lastRenderedPageBreak/>
              <w:t>27</w:t>
            </w:r>
            <w:r w:rsidRPr="003836D9">
              <w:rPr>
                <w:rFonts w:ascii="Times New Roman" w:hAnsi="Times New Roman" w:cs="Times New Roman"/>
                <w:sz w:val="16"/>
                <w:szCs w:val="16"/>
                <w:lang w:val="ro-MD"/>
              </w:rPr>
              <w:t>.</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35D3C8D"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Revizuirea procedurii de control a încălcării legislației muncii și securității și sănătății a muncii și acordarea I</w:t>
            </w:r>
            <w:r>
              <w:rPr>
                <w:rFonts w:ascii="Times New Roman" w:hAnsi="Times New Roman" w:cs="Times New Roman"/>
                <w:sz w:val="16"/>
                <w:szCs w:val="16"/>
                <w:lang w:val="ro-MD"/>
              </w:rPr>
              <w:t>nspectoratului de Stat al Muncii</w:t>
            </w:r>
            <w:r w:rsidRPr="003836D9">
              <w:rPr>
                <w:rFonts w:ascii="Times New Roman" w:hAnsi="Times New Roman" w:cs="Times New Roman"/>
                <w:sz w:val="16"/>
                <w:szCs w:val="16"/>
                <w:lang w:val="ro-MD"/>
              </w:rPr>
              <w:t xml:space="preserve"> mandatului de stopare a anumitor activități în cazul încălcărilor grave ale normelor de sănătate și securitate în muncă</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E8D166"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2025</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B630A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6874BD5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90DAE5"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0D2A6726" w14:textId="77777777" w:rsidR="00B21F63" w:rsidRPr="003836D9"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C3DC1F"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Inspectoratul de Stat al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2AE05765"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Legea </w:t>
            </w:r>
            <w:r>
              <w:rPr>
                <w:rFonts w:ascii="Times New Roman" w:hAnsi="Times New Roman" w:cs="Times New Roman"/>
                <w:sz w:val="16"/>
                <w:szCs w:val="16"/>
                <w:lang w:val="ro-MD"/>
              </w:rPr>
              <w:t xml:space="preserve">nr. </w:t>
            </w:r>
            <w:r w:rsidRPr="003836D9">
              <w:rPr>
                <w:rFonts w:ascii="Times New Roman" w:hAnsi="Times New Roman" w:cs="Times New Roman"/>
                <w:sz w:val="16"/>
                <w:szCs w:val="16"/>
                <w:lang w:val="ro-MD"/>
              </w:rPr>
              <w:t>131/2012 modificată</w:t>
            </w:r>
          </w:p>
          <w:p w14:paraId="7B859820"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Legea </w:t>
            </w:r>
            <w:r>
              <w:rPr>
                <w:rFonts w:ascii="Times New Roman" w:hAnsi="Times New Roman" w:cs="Times New Roman"/>
                <w:sz w:val="16"/>
                <w:szCs w:val="16"/>
                <w:lang w:val="ro-MD"/>
              </w:rPr>
              <w:t xml:space="preserve">nr. </w:t>
            </w:r>
            <w:r w:rsidRPr="003836D9">
              <w:rPr>
                <w:rFonts w:ascii="Times New Roman" w:hAnsi="Times New Roman" w:cs="Times New Roman"/>
                <w:sz w:val="16"/>
                <w:szCs w:val="16"/>
                <w:lang w:val="ro-MD"/>
              </w:rPr>
              <w:t>140/2001 modificată</w:t>
            </w:r>
          </w:p>
        </w:tc>
      </w:tr>
      <w:tr w:rsidR="00B21F63" w:rsidRPr="003836D9" w14:paraId="5FC6DC21"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C4BA7C4" w14:textId="22645817" w:rsidR="00B21F63" w:rsidRPr="00B3756A"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28.</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D6FEA90" w14:textId="0CAE51CC"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Consolidarea </w:t>
            </w:r>
            <w:r w:rsidRPr="003836D9">
              <w:rPr>
                <w:rFonts w:ascii="Times New Roman" w:hAnsi="Times New Roman" w:cs="Times New Roman"/>
                <w:sz w:val="16"/>
                <w:szCs w:val="16"/>
                <w:lang w:val="ro-MD"/>
              </w:rPr>
              <w:t>capacităților Comisiei Naționale pentru Consultări și Negocieri Colective</w:t>
            </w:r>
            <w:r>
              <w:rPr>
                <w:rFonts w:ascii="Times New Roman" w:hAnsi="Times New Roman" w:cs="Times New Roman"/>
                <w:sz w:val="16"/>
                <w:szCs w:val="16"/>
                <w:lang w:val="ro-MD"/>
              </w:rPr>
              <w:t xml:space="preserve"> </w:t>
            </w:r>
            <w:r w:rsidRPr="00613823">
              <w:rPr>
                <w:rFonts w:ascii="Times New Roman" w:hAnsi="Times New Roman" w:cs="Times New Roman"/>
                <w:sz w:val="16"/>
                <w:szCs w:val="16"/>
                <w:lang w:val="ro-MD"/>
              </w:rPr>
              <w:t>în dezvoltarea intervențiilor de reducere a ocupării informale</w:t>
            </w:r>
          </w:p>
        </w:tc>
        <w:tc>
          <w:tcPr>
            <w:tcW w:w="4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866091" w14:textId="1684B6EF"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6</w:t>
            </w:r>
          </w:p>
        </w:tc>
        <w:tc>
          <w:tcPr>
            <w:tcW w:w="46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3374BD" w14:textId="7C6AAEA9"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0,1</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25D3D" w14:textId="23BB804F"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36145D" w14:textId="77777777" w:rsidR="00B21F63" w:rsidRPr="003836D9" w:rsidRDefault="00B21F63" w:rsidP="00B21F63">
            <w:pPr>
              <w:spacing w:after="120" w:line="240" w:lineRule="auto"/>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14B8206F" w14:textId="77777777" w:rsidR="00B21F63" w:rsidRDefault="00B21F63" w:rsidP="00B21F63">
            <w:pPr>
              <w:spacing w:after="120" w:line="240" w:lineRule="auto"/>
              <w:rPr>
                <w:rFonts w:ascii="Times New Roman" w:hAnsi="Times New Roman" w:cs="Times New Roman"/>
                <w:sz w:val="16"/>
                <w:szCs w:val="16"/>
                <w:lang w:val="ro-MD"/>
              </w:rPr>
            </w:pPr>
            <w:r>
              <w:rPr>
                <w:rFonts w:ascii="Times New Roman" w:hAnsi="Times New Roman" w:cs="Times New Roman"/>
                <w:sz w:val="16"/>
                <w:szCs w:val="16"/>
                <w:lang w:val="ro-MD"/>
              </w:rPr>
              <w:t>Confederația Națională a Sindicatelor din Moldova</w:t>
            </w:r>
          </w:p>
          <w:p w14:paraId="138FBA44" w14:textId="76C1047C"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Confederația Națională a Patronatului din Moldova</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D5F1CB"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Organizația Internațională a Muncii</w:t>
            </w:r>
          </w:p>
          <w:p w14:paraId="0BE972A9" w14:textId="77777777" w:rsidR="00B21F63" w:rsidRPr="003836D9" w:rsidRDefault="00B21F63" w:rsidP="00B21F63">
            <w:pPr>
              <w:jc w:val="both"/>
              <w:rPr>
                <w:rFonts w:ascii="Times New Roman" w:hAnsi="Times New Roman" w:cs="Times New Roman"/>
                <w:sz w:val="16"/>
                <w:szCs w:val="16"/>
                <w:lang w:val="ro-MD"/>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5BA9F68D"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Membri Comisiei Naționale pentru Consultări și Negocieri Colective instruiți</w:t>
            </w:r>
          </w:p>
          <w:p w14:paraId="15E07A77" w14:textId="77777777" w:rsidR="00B21F63" w:rsidRPr="003836D9" w:rsidRDefault="00B21F63" w:rsidP="00B21F63">
            <w:pPr>
              <w:jc w:val="both"/>
              <w:rPr>
                <w:rFonts w:ascii="Times New Roman" w:hAnsi="Times New Roman" w:cs="Times New Roman"/>
                <w:sz w:val="16"/>
                <w:szCs w:val="16"/>
                <w:lang w:val="ro-MD"/>
              </w:rPr>
            </w:pPr>
          </w:p>
        </w:tc>
      </w:tr>
      <w:tr w:rsidR="00B21F63" w:rsidRPr="003836D9" w14:paraId="468FE45F" w14:textId="77777777" w:rsidTr="009A3229">
        <w:trPr>
          <w:tblHeader/>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1B433DEF" w14:textId="39B26EFE" w:rsidR="00B21F63" w:rsidRPr="003836D9" w:rsidRDefault="00B21F63" w:rsidP="00B21F63">
            <w:pPr>
              <w:pStyle w:val="ListParagraph"/>
              <w:ind w:left="0"/>
              <w:jc w:val="both"/>
              <w:rPr>
                <w:rFonts w:ascii="Times New Roman" w:hAnsi="Times New Roman" w:cs="Times New Roman"/>
                <w:b/>
                <w:sz w:val="16"/>
                <w:szCs w:val="16"/>
                <w:lang w:val="ro-MD"/>
              </w:rPr>
            </w:pPr>
            <w:r w:rsidRPr="003836D9">
              <w:rPr>
                <w:rFonts w:ascii="Times New Roman" w:hAnsi="Times New Roman" w:cs="Times New Roman"/>
                <w:b/>
                <w:bCs/>
                <w:color w:val="000000"/>
                <w:sz w:val="16"/>
                <w:szCs w:val="16"/>
                <w:lang w:val="ro-MD"/>
              </w:rPr>
              <w:t>Obiectiv</w:t>
            </w:r>
            <w:r>
              <w:rPr>
                <w:rFonts w:ascii="Times New Roman" w:hAnsi="Times New Roman" w:cs="Times New Roman"/>
                <w:b/>
                <w:bCs/>
                <w:color w:val="000000"/>
                <w:sz w:val="16"/>
                <w:szCs w:val="16"/>
                <w:lang w:val="ro-MD"/>
              </w:rPr>
              <w:t>ul</w:t>
            </w:r>
            <w:r w:rsidRPr="003836D9">
              <w:rPr>
                <w:rFonts w:ascii="Times New Roman" w:hAnsi="Times New Roman" w:cs="Times New Roman"/>
                <w:b/>
                <w:bCs/>
                <w:color w:val="000000"/>
                <w:sz w:val="16"/>
                <w:szCs w:val="16"/>
                <w:lang w:val="ro-MD"/>
              </w:rPr>
              <w:t xml:space="preserve"> nr. </w:t>
            </w:r>
            <w:r>
              <w:rPr>
                <w:rFonts w:ascii="Times New Roman" w:hAnsi="Times New Roman" w:cs="Times New Roman"/>
                <w:b/>
                <w:bCs/>
                <w:color w:val="000000"/>
                <w:sz w:val="16"/>
                <w:szCs w:val="16"/>
                <w:lang w:val="ro-MD"/>
              </w:rPr>
              <w:t>3.</w:t>
            </w:r>
            <w:r w:rsidRPr="003836D9">
              <w:rPr>
                <w:rFonts w:ascii="Times New Roman" w:hAnsi="Times New Roman" w:cs="Times New Roman"/>
                <w:bCs/>
                <w:color w:val="000000"/>
                <w:sz w:val="16"/>
                <w:szCs w:val="16"/>
                <w:lang w:val="ro-MD"/>
              </w:rPr>
              <w:t xml:space="preserve"> </w:t>
            </w:r>
            <w:r>
              <w:rPr>
                <w:rFonts w:ascii="Times New Roman" w:hAnsi="Times New Roman" w:cs="Times New Roman"/>
                <w:bCs/>
                <w:color w:val="000000"/>
                <w:sz w:val="16"/>
                <w:szCs w:val="16"/>
                <w:lang w:val="ro-MD"/>
              </w:rPr>
              <w:t>C</w:t>
            </w:r>
            <w:r w:rsidRPr="003836D9">
              <w:rPr>
                <w:rFonts w:ascii="Times New Roman" w:hAnsi="Times New Roman" w:cs="Times New Roman"/>
                <w:b/>
                <w:sz w:val="16"/>
                <w:szCs w:val="16"/>
                <w:lang w:val="ro-MD"/>
              </w:rPr>
              <w:t>reșterea cu 3</w:t>
            </w:r>
            <w:r>
              <w:rPr>
                <w:rFonts w:ascii="Times New Roman" w:hAnsi="Times New Roman" w:cs="Times New Roman"/>
                <w:b/>
                <w:sz w:val="16"/>
                <w:szCs w:val="16"/>
                <w:lang w:val="ro-MD"/>
              </w:rPr>
              <w:t>%</w:t>
            </w:r>
            <w:r w:rsidRPr="003836D9">
              <w:rPr>
                <w:rFonts w:ascii="Times New Roman" w:hAnsi="Times New Roman" w:cs="Times New Roman"/>
                <w:b/>
                <w:sz w:val="16"/>
                <w:szCs w:val="16"/>
                <w:lang w:val="ro-MD"/>
              </w:rPr>
              <w:t xml:space="preserve"> </w:t>
            </w:r>
            <w:r>
              <w:rPr>
                <w:rFonts w:ascii="Times New Roman" w:hAnsi="Times New Roman" w:cs="Times New Roman"/>
                <w:b/>
                <w:sz w:val="16"/>
                <w:szCs w:val="16"/>
                <w:lang w:val="ro-MD"/>
              </w:rPr>
              <w:t xml:space="preserve">a </w:t>
            </w:r>
            <w:r w:rsidRPr="003836D9">
              <w:rPr>
                <w:rFonts w:ascii="Times New Roman" w:hAnsi="Times New Roman" w:cs="Times New Roman"/>
                <w:b/>
                <w:sz w:val="16"/>
                <w:szCs w:val="16"/>
                <w:lang w:val="ro-MD"/>
              </w:rPr>
              <w:t xml:space="preserve">ratei de ocupare a </w:t>
            </w:r>
            <w:r w:rsidRPr="008D3D54">
              <w:rPr>
                <w:rFonts w:ascii="Times New Roman" w:hAnsi="Times New Roman" w:cs="Times New Roman"/>
                <w:b/>
                <w:sz w:val="16"/>
                <w:szCs w:val="16"/>
                <w:lang w:val="ro-MD"/>
              </w:rPr>
              <w:t>persoanelor cu dizabilități către</w:t>
            </w:r>
            <w:r w:rsidRPr="003836D9">
              <w:rPr>
                <w:rFonts w:ascii="Times New Roman" w:hAnsi="Times New Roman" w:cs="Times New Roman"/>
                <w:b/>
                <w:sz w:val="16"/>
                <w:szCs w:val="16"/>
                <w:lang w:val="ro-MD"/>
              </w:rPr>
              <w:t xml:space="preserve"> anul 2026.</w:t>
            </w:r>
          </w:p>
          <w:p w14:paraId="7DABB29E" w14:textId="77777777" w:rsidR="00B21F63" w:rsidRPr="003836D9" w:rsidRDefault="00B21F63" w:rsidP="00B21F63">
            <w:pPr>
              <w:pStyle w:val="ListParagraph"/>
              <w:shd w:val="clear" w:color="auto" w:fill="FFFFFF" w:themeFill="background1"/>
              <w:spacing w:after="0"/>
              <w:ind w:left="0"/>
              <w:jc w:val="both"/>
              <w:rPr>
                <w:rFonts w:ascii="Times New Roman" w:hAnsi="Times New Roman" w:cs="Times New Roman"/>
                <w:b/>
                <w:color w:val="000000"/>
                <w:sz w:val="16"/>
                <w:szCs w:val="16"/>
                <w:lang w:val="ro-MD"/>
              </w:rPr>
            </w:pPr>
            <w:r w:rsidRPr="003836D9">
              <w:rPr>
                <w:rFonts w:ascii="Times New Roman" w:hAnsi="Times New Roman" w:cs="Times New Roman"/>
                <w:b/>
                <w:color w:val="000000"/>
                <w:sz w:val="16"/>
                <w:szCs w:val="16"/>
                <w:lang w:val="ro-MD"/>
              </w:rPr>
              <w:t>Indicatorii de impact:</w:t>
            </w:r>
          </w:p>
          <w:p w14:paraId="3EF04B76" w14:textId="35E397B9" w:rsidR="00B21F63" w:rsidRPr="0043682E" w:rsidRDefault="00B21F63" w:rsidP="00B21F63">
            <w:pPr>
              <w:pStyle w:val="ListParagraph"/>
              <w:numPr>
                <w:ilvl w:val="0"/>
                <w:numId w:val="41"/>
              </w:numPr>
              <w:shd w:val="clear" w:color="auto" w:fill="FFFFFF" w:themeFill="background1"/>
              <w:spacing w:after="0"/>
              <w:ind w:left="0"/>
              <w:contextualSpacing w:val="0"/>
              <w:jc w:val="both"/>
              <w:rPr>
                <w:rFonts w:ascii="Times New Roman" w:hAnsi="Times New Roman" w:cs="Times New Roman"/>
                <w:b/>
                <w:bCs/>
                <w:color w:val="000000"/>
                <w:sz w:val="16"/>
                <w:szCs w:val="16"/>
                <w:lang w:val="ro-MD"/>
              </w:rPr>
            </w:pPr>
            <w:r w:rsidRPr="00FF13DD">
              <w:rPr>
                <w:rFonts w:ascii="Times New Roman" w:hAnsi="Times New Roman" w:cs="Times New Roman"/>
                <w:color w:val="000000"/>
                <w:sz w:val="16"/>
                <w:szCs w:val="16"/>
                <w:lang w:val="ro-MD"/>
              </w:rPr>
              <w:t xml:space="preserve">- </w:t>
            </w:r>
            <w:r w:rsidRPr="0067279A">
              <w:rPr>
                <w:rFonts w:ascii="Times New Roman" w:hAnsi="Times New Roman" w:cs="Times New Roman"/>
                <w:color w:val="000000"/>
                <w:sz w:val="16"/>
                <w:szCs w:val="16"/>
                <w:lang w:val="ro-MD"/>
              </w:rPr>
              <w:t xml:space="preserve">Până în 2026 rata de ocupare în rândul persoanelor cu dizabilități </w:t>
            </w:r>
            <w:r>
              <w:rPr>
                <w:rFonts w:ascii="Times New Roman" w:hAnsi="Times New Roman" w:cs="Times New Roman"/>
                <w:color w:val="000000"/>
                <w:sz w:val="16"/>
                <w:szCs w:val="16"/>
                <w:lang w:val="ro-MD"/>
              </w:rPr>
              <w:t>constituie cel puțin 16,5%.</w:t>
            </w:r>
          </w:p>
          <w:p w14:paraId="238BD5A5" w14:textId="459773D3" w:rsidR="00B21F63" w:rsidRPr="003836D9" w:rsidRDefault="00B21F63" w:rsidP="00B21F63">
            <w:pPr>
              <w:pStyle w:val="ListParagraph"/>
              <w:numPr>
                <w:ilvl w:val="0"/>
                <w:numId w:val="41"/>
              </w:numPr>
              <w:shd w:val="clear" w:color="auto" w:fill="FFFFFF" w:themeFill="background1"/>
              <w:spacing w:after="0"/>
              <w:ind w:left="0"/>
              <w:contextualSpacing w:val="0"/>
              <w:jc w:val="both"/>
              <w:rPr>
                <w:rFonts w:ascii="Times New Roman" w:hAnsi="Times New Roman" w:cs="Times New Roman"/>
                <w:b/>
                <w:bCs/>
                <w:color w:val="000000"/>
                <w:sz w:val="16"/>
                <w:szCs w:val="16"/>
                <w:lang w:val="ro-MD"/>
              </w:rPr>
            </w:pPr>
            <w:r>
              <w:rPr>
                <w:rFonts w:ascii="Times New Roman" w:hAnsi="Times New Roman" w:cs="Times New Roman"/>
                <w:color w:val="000000"/>
                <w:sz w:val="16"/>
                <w:szCs w:val="16"/>
                <w:lang w:val="ro-MD"/>
              </w:rPr>
              <w:t>- Anual numărul persoanelor cu dizabilități angajate prin intermediul măsurilor active de ocupare crește cu 20%.</w:t>
            </w:r>
          </w:p>
        </w:tc>
      </w:tr>
      <w:tr w:rsidR="00B21F63" w:rsidRPr="003836D9" w14:paraId="2AAABE24"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1938EAA7"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28.</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378ECFDA" w14:textId="1D10611A"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Implementarea unei campanii </w:t>
            </w:r>
            <w:bookmarkStart w:id="146" w:name="_Hlk113835768"/>
            <w:r w:rsidRPr="003836D9">
              <w:rPr>
                <w:rFonts w:ascii="Times New Roman" w:hAnsi="Times New Roman" w:cs="Times New Roman"/>
                <w:sz w:val="16"/>
                <w:szCs w:val="16"/>
                <w:lang w:val="ro-MD"/>
              </w:rPr>
              <w:t>de informare pentru angajatori cu privire la practicile de recrutare incluzive, măsurile de adaptare rezonabil</w:t>
            </w:r>
            <w:r>
              <w:rPr>
                <w:rFonts w:ascii="Times New Roman" w:hAnsi="Times New Roman" w:cs="Times New Roman"/>
                <w:sz w:val="16"/>
                <w:szCs w:val="16"/>
                <w:lang w:val="ro-MD"/>
              </w:rPr>
              <w:t xml:space="preserve">ă a locului de muncă și </w:t>
            </w:r>
            <w:r w:rsidR="00A14A18">
              <w:rPr>
                <w:rFonts w:ascii="Times New Roman" w:hAnsi="Times New Roman" w:cs="Times New Roman"/>
                <w:sz w:val="16"/>
                <w:szCs w:val="16"/>
                <w:lang w:val="ro-MD"/>
              </w:rPr>
              <w:t>avantajele</w:t>
            </w:r>
            <w:r w:rsidRPr="003836D9">
              <w:rPr>
                <w:rFonts w:ascii="Times New Roman" w:hAnsi="Times New Roman" w:cs="Times New Roman"/>
                <w:sz w:val="16"/>
                <w:szCs w:val="16"/>
                <w:lang w:val="ro-MD"/>
              </w:rPr>
              <w:t xml:space="preserve"> angajării persoanelor cu dizabilități</w:t>
            </w:r>
            <w:bookmarkEnd w:id="146"/>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CC8A719"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2</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BF602B"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0,3</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20D935A7"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7EC0DF3" w14:textId="77777777" w:rsidR="00B21F63"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Alianța Organizațiilor pentru persoane cu Dizabilități din Republica Moldova</w:t>
            </w:r>
          </w:p>
          <w:p w14:paraId="45E00BA7" w14:textId="77777777" w:rsidR="00B21F63"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2BE07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114FAE38" w14:textId="77777777" w:rsidR="00B21F63" w:rsidRDefault="00B21F63" w:rsidP="00B21F63">
            <w:pPr>
              <w:jc w:val="both"/>
              <w:rPr>
                <w:rFonts w:ascii="Times New Roman" w:hAnsi="Times New Roman" w:cs="Times New Roman"/>
                <w:sz w:val="16"/>
                <w:szCs w:val="16"/>
                <w:lang w:val="ro-MD"/>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38DB6486" w14:textId="77777777" w:rsidR="00B21F63"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Campanie de informare implementată</w:t>
            </w:r>
          </w:p>
          <w:p w14:paraId="53AC3BC6" w14:textId="77777777" w:rsidR="00B21F63" w:rsidRDefault="00B21F63" w:rsidP="00B21F63">
            <w:pPr>
              <w:rPr>
                <w:rFonts w:ascii="Times New Roman" w:hAnsi="Times New Roman" w:cs="Times New Roman"/>
                <w:sz w:val="16"/>
                <w:szCs w:val="16"/>
                <w:lang w:val="ro-MD"/>
              </w:rPr>
            </w:pPr>
            <w:bookmarkStart w:id="147" w:name="_Hlk113835925"/>
            <w:r>
              <w:rPr>
                <w:rFonts w:ascii="Times New Roman" w:hAnsi="Times New Roman" w:cs="Times New Roman"/>
                <w:sz w:val="16"/>
                <w:szCs w:val="16"/>
                <w:lang w:val="ro-MD"/>
              </w:rPr>
              <w:t>Număr de video-uri realizate și publicate în presa locală</w:t>
            </w:r>
          </w:p>
          <w:p w14:paraId="117E05A1"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Număr de articole scrise și publicate în presa locală</w:t>
            </w:r>
            <w:bookmarkEnd w:id="147"/>
          </w:p>
        </w:tc>
      </w:tr>
      <w:tr w:rsidR="00B21F63" w:rsidRPr="003836D9" w14:paraId="196E34AD"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34D3DF2" w14:textId="77777777" w:rsidR="00B21F63" w:rsidRPr="00BB7DC0"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29.</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754E6911"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Elaborarea unui program de stagii și locuri de muncă pentru persoanele cu dizabilități în instituțiile de stat și sectorul privat</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21B0A1"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81E948"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79DF2BFF"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1A7C25D"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D80C7B"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Instituțiile de stat</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4A6381FB"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Program elaborat</w:t>
            </w:r>
          </w:p>
          <w:p w14:paraId="667E6178" w14:textId="3D58437A" w:rsidR="00B21F63" w:rsidRPr="00BB7DC0"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Cel puțin 50 de persoane cu dizabilități participă la stagii de practică sau sunt angajați anual </w:t>
            </w:r>
          </w:p>
        </w:tc>
      </w:tr>
      <w:tr w:rsidR="00B21F63" w:rsidRPr="003836D9" w14:paraId="466845F2"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3E7A2E5"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30.</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861010F"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Sporirea conștientizării în rândul prestatorilor de servicii educaționale privind necesitatea adaptării rezonabile a infrastructurii și programelor de instruire pentru persoanele cu dizabilități</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727C6F"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1C7BF3"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32CBFA03" w14:textId="77777777" w:rsidR="00B21F63" w:rsidRPr="00AF285C"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6430BBF"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Ministerul Muncii și Protecției Sociale</w:t>
            </w:r>
          </w:p>
          <w:p w14:paraId="6526833D" w14:textId="77777777" w:rsidR="00B21F63" w:rsidRPr="00BB7DC0"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Agenția Națională pentru Ocuparea Forței de Muncă</w:t>
            </w:r>
          </w:p>
          <w:p w14:paraId="1185A7BC" w14:textId="77777777" w:rsidR="00B21F63" w:rsidRDefault="00B21F63" w:rsidP="00B21F63">
            <w:pPr>
              <w:jc w:val="both"/>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809257"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Alianța Organizațiilor persoanelor cu dizabilități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127AF28B"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Număr de prestatori de servicii educaționale cu acces pentru persoane cu dizabilități</w:t>
            </w:r>
          </w:p>
          <w:p w14:paraId="11B7774B"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Număr de programe de instruire adaptate nevoilor persoanelor cu dizabilități</w:t>
            </w:r>
          </w:p>
        </w:tc>
      </w:tr>
      <w:tr w:rsidR="00B21F63" w:rsidRPr="003836D9" w14:paraId="5550D7D3"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03C9E"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31.</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06323BDD"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Facilitarea implementării măsurii de angajare asistată în rândul persoanelor cu dizabilități</w:t>
            </w:r>
          </w:p>
          <w:p w14:paraId="502F452E" w14:textId="77777777" w:rsidR="00B21F63" w:rsidRDefault="00B21F63" w:rsidP="00B21F63">
            <w:pPr>
              <w:rPr>
                <w:rFonts w:ascii="Times New Roman" w:hAnsi="Times New Roman" w:cs="Times New Roman"/>
                <w:sz w:val="16"/>
                <w:szCs w:val="16"/>
                <w:lang w:val="ro-MD"/>
              </w:rPr>
            </w:pPr>
          </w:p>
          <w:p w14:paraId="407DE2E2" w14:textId="77777777" w:rsidR="00B21F63" w:rsidRDefault="00B21F63" w:rsidP="00B21F63">
            <w:pPr>
              <w:jc w:val="both"/>
              <w:rPr>
                <w:rFonts w:ascii="Times New Roman" w:hAnsi="Times New Roman" w:cs="Times New Roman"/>
                <w:sz w:val="16"/>
                <w:szCs w:val="16"/>
                <w:lang w:val="ro-MD"/>
              </w:rPr>
            </w:pP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875C487"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2023</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015360" w14:textId="77777777" w:rsidR="00B21F63"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p w14:paraId="62E845AA" w14:textId="77777777" w:rsidR="00B21F63" w:rsidRPr="0026451E" w:rsidRDefault="00B21F63" w:rsidP="00B21F63">
            <w:pPr>
              <w:rPr>
                <w:rFonts w:ascii="Times New Roman" w:hAnsi="Times New Roman" w:cs="Times New Roman"/>
                <w:sz w:val="16"/>
                <w:szCs w:val="16"/>
                <w:lang w:val="ro-MD"/>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03C58904"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261467"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789AFD21" w14:textId="77777777" w:rsidR="00B21F63" w:rsidRDefault="00B21F63" w:rsidP="00B21F63">
            <w:pPr>
              <w:rPr>
                <w:rFonts w:ascii="Times New Roman" w:hAnsi="Times New Roman" w:cs="Times New Roman"/>
                <w:sz w:val="16"/>
                <w:szCs w:val="16"/>
                <w:lang w:val="ro-MD"/>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C31E63"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6CEDDC16" w14:textId="6E054005" w:rsidR="00B21F63" w:rsidRDefault="00B21F63" w:rsidP="00B21F63">
            <w:pPr>
              <w:jc w:val="both"/>
              <w:rPr>
                <w:rFonts w:ascii="Times New Roman" w:hAnsi="Times New Roman" w:cs="Times New Roman"/>
                <w:sz w:val="16"/>
                <w:szCs w:val="16"/>
                <w:lang w:val="ro-MD"/>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7C2136FE"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Consultații acordate prestatorilor potențiali de servicii de angajare asistată pentru persoanele cu dizabilități privind modalitatea de acreditare și implementare a serviciului de angajare asistată</w:t>
            </w:r>
          </w:p>
          <w:p w14:paraId="2147A9FB"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Cel puțin 5 prestatori potențiali de servicii de angajare asistată acreditați în perioada implementării programului</w:t>
            </w:r>
          </w:p>
        </w:tc>
      </w:tr>
      <w:tr w:rsidR="00B21F63" w:rsidRPr="003836D9" w14:paraId="0689C1E6"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1974AB19"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32.</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BD491B6"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Revizuirea eficacității și eficienței serviciilor Agenției Naționale pentru Ocuparea Forței de Muncă cu scopul evaluării corespunderii necesităților persoanelor cu dizabilități</w:t>
            </w:r>
            <w:r>
              <w:rPr>
                <w:rFonts w:ascii="Times New Roman" w:hAnsi="Times New Roman" w:cs="Times New Roman"/>
                <w:sz w:val="16"/>
                <w:szCs w:val="16"/>
                <w:lang w:val="ro-MD"/>
              </w:rPr>
              <w:t xml:space="preserve"> </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E6AC5E"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3</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6F3CE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0,3</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76816BCC"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115C55"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5B100005"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DDA32D" w14:textId="77777777" w:rsidR="00B21F63"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Centrul pentru Drepturile Persoanelor cu Dizabilități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44C9A347"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Accesibilitatea sediilor a Subdiviziunilor teritoriale evaluată, conform </w:t>
            </w:r>
            <w:r>
              <w:rPr>
                <w:rFonts w:ascii="Times New Roman" w:hAnsi="Times New Roman" w:cs="Times New Roman"/>
                <w:sz w:val="16"/>
                <w:szCs w:val="16"/>
                <w:lang w:val="ro-MD"/>
              </w:rPr>
              <w:t>O</w:t>
            </w:r>
            <w:r w:rsidRPr="003836D9">
              <w:rPr>
                <w:rFonts w:ascii="Times New Roman" w:hAnsi="Times New Roman" w:cs="Times New Roman"/>
                <w:sz w:val="16"/>
                <w:szCs w:val="16"/>
                <w:lang w:val="ro-MD"/>
              </w:rPr>
              <w:t>rdinului Ministerului Infrastructurii și Dezvoltării Regionale nr.</w:t>
            </w:r>
            <w:r>
              <w:rPr>
                <w:rFonts w:ascii="Times New Roman" w:hAnsi="Times New Roman" w:cs="Times New Roman"/>
                <w:sz w:val="16"/>
                <w:szCs w:val="16"/>
                <w:lang w:val="ro-MD"/>
              </w:rPr>
              <w:t xml:space="preserve"> </w:t>
            </w:r>
            <w:r w:rsidRPr="003836D9">
              <w:rPr>
                <w:rFonts w:ascii="Times New Roman" w:hAnsi="Times New Roman" w:cs="Times New Roman"/>
                <w:sz w:val="16"/>
                <w:szCs w:val="16"/>
                <w:lang w:val="ro-MD"/>
              </w:rPr>
              <w:t>64/2022</w:t>
            </w:r>
          </w:p>
        </w:tc>
      </w:tr>
      <w:tr w:rsidR="00B21F63" w:rsidRPr="003836D9" w14:paraId="3D453439"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DE045A1"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lastRenderedPageBreak/>
              <w:t>33.</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FDC30B7" w14:textId="77777777" w:rsidR="00B21F63" w:rsidRDefault="00B21F63" w:rsidP="00B21F63">
            <w:pPr>
              <w:jc w:val="both"/>
              <w:rPr>
                <w:rFonts w:ascii="Times New Roman" w:hAnsi="Times New Roman" w:cs="Times New Roman"/>
                <w:sz w:val="16"/>
                <w:szCs w:val="16"/>
                <w:lang w:val="ro-MD"/>
              </w:rPr>
            </w:pPr>
            <w:r w:rsidRPr="001A19B8">
              <w:rPr>
                <w:rFonts w:ascii="Times New Roman" w:hAnsi="Times New Roman" w:cs="Times New Roman"/>
                <w:sz w:val="16"/>
                <w:szCs w:val="16"/>
                <w:lang w:val="ro-MD"/>
              </w:rPr>
              <w:t xml:space="preserve">Implementarea programului de </w:t>
            </w:r>
            <w:r>
              <w:rPr>
                <w:rFonts w:ascii="Times New Roman" w:hAnsi="Times New Roman" w:cs="Times New Roman"/>
                <w:sz w:val="16"/>
                <w:szCs w:val="16"/>
                <w:lang w:val="ro-MD"/>
              </w:rPr>
              <w:t xml:space="preserve">granturi și creditare pentru </w:t>
            </w:r>
            <w:r w:rsidRPr="001A19B8">
              <w:rPr>
                <w:rFonts w:ascii="Times New Roman" w:hAnsi="Times New Roman" w:cs="Times New Roman"/>
                <w:sz w:val="16"/>
                <w:szCs w:val="16"/>
                <w:lang w:val="ro-MD"/>
              </w:rPr>
              <w:t>d</w:t>
            </w:r>
            <w:r>
              <w:rPr>
                <w:rFonts w:ascii="Times New Roman" w:hAnsi="Times New Roman" w:cs="Times New Roman"/>
                <w:sz w:val="16"/>
                <w:szCs w:val="16"/>
                <w:lang w:val="ro-MD"/>
              </w:rPr>
              <w:t>ezvoltarea antreprenorialului s</w:t>
            </w:r>
            <w:r w:rsidRPr="001A19B8">
              <w:rPr>
                <w:rFonts w:ascii="Times New Roman" w:hAnsi="Times New Roman" w:cs="Times New Roman"/>
                <w:sz w:val="16"/>
                <w:szCs w:val="16"/>
                <w:lang w:val="ro-MD"/>
              </w:rPr>
              <w:t>ocial</w:t>
            </w:r>
          </w:p>
          <w:p w14:paraId="4D45C6CE" w14:textId="77777777" w:rsidR="00B21F63" w:rsidRPr="003836D9" w:rsidRDefault="00B21F63" w:rsidP="00B21F63">
            <w:pPr>
              <w:jc w:val="both"/>
              <w:rPr>
                <w:rFonts w:ascii="Times New Roman" w:hAnsi="Times New Roman" w:cs="Times New Roman"/>
                <w:sz w:val="16"/>
                <w:szCs w:val="16"/>
                <w:lang w:val="ro-MD"/>
              </w:rPr>
            </w:pP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E89D03" w14:textId="77777777" w:rsidR="00B21F63"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2023 - 1,0</w:t>
            </w:r>
          </w:p>
          <w:p w14:paraId="5EDC3D33" w14:textId="77777777" w:rsidR="00B21F63"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2024 - 1,2 </w:t>
            </w:r>
          </w:p>
          <w:p w14:paraId="4224C7CF" w14:textId="77777777" w:rsidR="00B21F63"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2025 - 1,2</w:t>
            </w:r>
          </w:p>
          <w:p w14:paraId="18123AD3" w14:textId="77777777" w:rsidR="00B21F63" w:rsidRPr="008A7D61"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2026 - 1,2</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677657" w14:textId="77777777" w:rsidR="00B21F63" w:rsidRPr="008A7D61"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4,6</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3233983C" w14:textId="77777777" w:rsidR="00B21F63" w:rsidRPr="008A7D61"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Bugetul de Stat </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640B3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0F1985" w14:textId="77777777" w:rsidR="00B21F63" w:rsidRDefault="00B21F63" w:rsidP="00B21F63">
            <w:pPr>
              <w:jc w:val="both"/>
              <w:rPr>
                <w:rFonts w:ascii="Times New Roman" w:hAnsi="Times New Roman" w:cs="Times New Roman"/>
                <w:sz w:val="16"/>
                <w:szCs w:val="16"/>
                <w:lang w:val="ro-MD"/>
              </w:rPr>
            </w:pPr>
            <w:r w:rsidRPr="001A19B8">
              <w:rPr>
                <w:rFonts w:ascii="Times New Roman" w:hAnsi="Times New Roman" w:cs="Times New Roman"/>
                <w:sz w:val="16"/>
                <w:szCs w:val="16"/>
                <w:lang w:val="ro-MD"/>
              </w:rPr>
              <w:t xml:space="preserve">Ministerul Economiei </w:t>
            </w:r>
          </w:p>
          <w:p w14:paraId="7352C34E" w14:textId="77777777" w:rsidR="00B21F63" w:rsidRPr="003836D9" w:rsidRDefault="00B21F63" w:rsidP="00B21F63">
            <w:pPr>
              <w:jc w:val="both"/>
              <w:rPr>
                <w:rFonts w:ascii="Times New Roman" w:hAnsi="Times New Roman" w:cs="Times New Roman"/>
                <w:sz w:val="16"/>
                <w:szCs w:val="16"/>
                <w:lang w:val="ro-MD"/>
              </w:rPr>
            </w:pPr>
            <w:r w:rsidRPr="001A19B8">
              <w:rPr>
                <w:rFonts w:ascii="Times New Roman" w:hAnsi="Times New Roman" w:cs="Times New Roman"/>
                <w:sz w:val="16"/>
                <w:szCs w:val="16"/>
                <w:lang w:val="ro-MD"/>
              </w:rPr>
              <w:t>Organizația pentru Dezvoltarea Antreprenoriatului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491B7430" w14:textId="77777777" w:rsidR="00B21F63" w:rsidRPr="00552385"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Număr de întreprinderi sociale noi create ca urmare a implementării Programului</w:t>
            </w:r>
          </w:p>
        </w:tc>
      </w:tr>
      <w:tr w:rsidR="00B21F63" w:rsidRPr="003836D9" w14:paraId="4485F48D"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2F13FEE"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34.</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1C2E6368"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Identificarea necesităților de formare profesională a persoanelor cu dizabilități</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AA84D5F"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2024</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ACFF04"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0,3</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38C01D90"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3AE060"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Alianța Organizațiilor persoanelor cu dizabilități</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BE8C28"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 xml:space="preserve">Ministerul Muncii și Protecției Sociale </w:t>
            </w:r>
          </w:p>
          <w:p w14:paraId="2713A6BC" w14:textId="77777777" w:rsidR="00B21F63" w:rsidRPr="00BB7DC0"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Agenția Națională pentru Ocuparea Forței de Muncă</w:t>
            </w:r>
          </w:p>
          <w:p w14:paraId="37F049B9" w14:textId="77777777" w:rsidR="00B21F63" w:rsidRDefault="00B21F63" w:rsidP="00B21F63">
            <w:pPr>
              <w:rPr>
                <w:rFonts w:ascii="Times New Roman" w:hAnsi="Times New Roman" w:cs="Times New Roman"/>
                <w:sz w:val="16"/>
                <w:szCs w:val="16"/>
                <w:lang w:val="ro-MD"/>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1849065E"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Studiu privind necesitățile de formare profesională a persoanelor cu dizabilități realizat</w:t>
            </w:r>
          </w:p>
        </w:tc>
      </w:tr>
      <w:tr w:rsidR="00B21F63" w:rsidRPr="003836D9" w14:paraId="41697A36"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203AC19" w14:textId="77777777" w:rsidR="00B21F63" w:rsidRPr="00BB7DC0"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35.</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1EE23FB"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D</w:t>
            </w:r>
            <w:r w:rsidRPr="009E2AEA">
              <w:rPr>
                <w:rFonts w:ascii="Times New Roman" w:hAnsi="Times New Roman" w:cs="Times New Roman"/>
                <w:sz w:val="16"/>
                <w:szCs w:val="16"/>
                <w:lang w:val="ro-MD"/>
              </w:rPr>
              <w:t xml:space="preserve">ezvoltarea și implementarea </w:t>
            </w:r>
            <w:r>
              <w:rPr>
                <w:rFonts w:ascii="Times New Roman" w:hAnsi="Times New Roman" w:cs="Times New Roman"/>
                <w:sz w:val="16"/>
                <w:szCs w:val="16"/>
                <w:lang w:val="ro-MD"/>
              </w:rPr>
              <w:t xml:space="preserve">procedurii de identificare a persoanelor </w:t>
            </w:r>
            <w:r w:rsidRPr="009E2AEA">
              <w:rPr>
                <w:rFonts w:ascii="Times New Roman" w:hAnsi="Times New Roman" w:cs="Times New Roman"/>
                <w:sz w:val="16"/>
                <w:szCs w:val="16"/>
                <w:lang w:val="ro-MD"/>
              </w:rPr>
              <w:t>cu dizabilități</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E73969"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2024</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925A32"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0,3</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059AFCF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E7708A"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 xml:space="preserve">Ministerul Muncii și Protecției Sociale </w:t>
            </w:r>
          </w:p>
          <w:p w14:paraId="3AD52BAF" w14:textId="77777777" w:rsidR="00B21F63" w:rsidRPr="00EC77C4"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Agenția Națională pentru Ocuparea Forței de Muncă</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F9B257" w14:textId="77777777"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Alianța Organizațiilor persoanelor cu dizabilități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6C3B7E4E" w14:textId="77777777" w:rsidR="00B21F63" w:rsidRPr="00EC77C4"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Procedura elaborată și aprobată de Guvern</w:t>
            </w:r>
          </w:p>
        </w:tc>
      </w:tr>
      <w:tr w:rsidR="00B21F63" w:rsidRPr="003836D9" w14:paraId="552DFF20"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06823779" w14:textId="77777777" w:rsidR="00B21F63" w:rsidRPr="00811884"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36.</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C96C5D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Îmbunătățirea procedurilor de subvenționare a creării și adaptării locurilor de muncă pentru persoanele cu dizabilități, inclusiv examinarea oportunităților subvenționării </w:t>
            </w:r>
            <w:r>
              <w:rPr>
                <w:rFonts w:ascii="Times New Roman" w:hAnsi="Times New Roman" w:cs="Times New Roman"/>
                <w:sz w:val="16"/>
                <w:szCs w:val="16"/>
                <w:lang w:val="ro-MD"/>
              </w:rPr>
              <w:t xml:space="preserve">și </w:t>
            </w:r>
            <w:r w:rsidRPr="003836D9">
              <w:rPr>
                <w:rFonts w:ascii="Times New Roman" w:hAnsi="Times New Roman" w:cs="Times New Roman"/>
                <w:sz w:val="16"/>
                <w:szCs w:val="16"/>
                <w:lang w:val="ro-MD"/>
              </w:rPr>
              <w:t>adaptării l</w:t>
            </w:r>
            <w:r>
              <w:rPr>
                <w:rFonts w:ascii="Times New Roman" w:hAnsi="Times New Roman" w:cs="Times New Roman"/>
                <w:sz w:val="16"/>
                <w:szCs w:val="16"/>
                <w:lang w:val="ro-MD"/>
              </w:rPr>
              <w:t>ocurilor de muncă la distanță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31B63B" w14:textId="77777777" w:rsidR="00B21F63" w:rsidRPr="00811884"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2024</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28D47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tcPr>
          <w:p w14:paraId="566AD92D"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1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1A834A"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tc>
        <w:tc>
          <w:tcPr>
            <w:tcW w:w="69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2B95F6"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2324BD4F" w14:textId="77777777" w:rsidR="00B21F63" w:rsidRPr="003836D9" w:rsidRDefault="00B21F63" w:rsidP="00B21F63">
            <w:pPr>
              <w:rPr>
                <w:rFonts w:ascii="Times New Roman" w:hAnsi="Times New Roman" w:cs="Times New Roman"/>
                <w:sz w:val="16"/>
                <w:szCs w:val="16"/>
                <w:lang w:val="ro-MD"/>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537F495B" w14:textId="77777777" w:rsidR="00B21F63" w:rsidRPr="00811884"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Elaborarea și aprobarea proiectului Hotărârii de Guvern pentru modificarea Hotarîrii Guvernului nr.1276/2018</w:t>
            </w:r>
          </w:p>
        </w:tc>
      </w:tr>
      <w:tr w:rsidR="00B21F63" w:rsidRPr="003836D9" w14:paraId="0F403571" w14:textId="77777777" w:rsidTr="00B3756A">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9DE64B6" w14:textId="77777777" w:rsidR="00B21F63" w:rsidRPr="003836D9" w:rsidRDefault="00B21F63" w:rsidP="00B21F63">
            <w:pPr>
              <w:jc w:val="center"/>
              <w:rPr>
                <w:rFonts w:ascii="Times New Roman" w:hAnsi="Times New Roman" w:cs="Times New Roman"/>
                <w:sz w:val="16"/>
                <w:szCs w:val="16"/>
                <w:lang w:val="ro-MD"/>
              </w:rPr>
            </w:pPr>
          </w:p>
        </w:tc>
        <w:tc>
          <w:tcPr>
            <w:tcW w:w="4803" w:type="pct"/>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07178E1" w14:textId="77777777" w:rsidR="00B21F63" w:rsidRPr="006B26AD" w:rsidRDefault="00B21F63" w:rsidP="00B21F63">
            <w:pPr>
              <w:pStyle w:val="ListParagraph"/>
              <w:ind w:left="0"/>
              <w:jc w:val="both"/>
              <w:rPr>
                <w:rFonts w:ascii="Times New Roman" w:hAnsi="Times New Roman" w:cs="Times New Roman"/>
                <w:color w:val="000000"/>
                <w:sz w:val="16"/>
                <w:szCs w:val="16"/>
                <w:lang w:val="ro-MD"/>
              </w:rPr>
            </w:pPr>
            <w:r w:rsidRPr="00F519AC">
              <w:rPr>
                <w:rFonts w:ascii="Times New Roman" w:hAnsi="Times New Roman" w:cs="Times New Roman"/>
                <w:b/>
                <w:sz w:val="16"/>
                <w:szCs w:val="16"/>
                <w:lang w:val="ro-MD"/>
              </w:rPr>
              <w:t>Obiectivul specific nr.</w:t>
            </w:r>
            <w:r>
              <w:rPr>
                <w:rFonts w:ascii="Times New Roman" w:hAnsi="Times New Roman" w:cs="Times New Roman"/>
                <w:b/>
                <w:sz w:val="16"/>
                <w:szCs w:val="16"/>
                <w:lang w:val="ro-MD"/>
              </w:rPr>
              <w:t xml:space="preserve"> </w:t>
            </w:r>
            <w:r w:rsidRPr="00F519AC">
              <w:rPr>
                <w:rFonts w:ascii="Times New Roman" w:hAnsi="Times New Roman" w:cs="Times New Roman"/>
                <w:b/>
                <w:sz w:val="16"/>
                <w:szCs w:val="16"/>
                <w:lang w:val="ro-MD"/>
              </w:rPr>
              <w:t xml:space="preserve">4. </w:t>
            </w:r>
            <w:r w:rsidRPr="006B26AD">
              <w:rPr>
                <w:rFonts w:ascii="Times New Roman" w:eastAsia="Times New Roman" w:hAnsi="Times New Roman" w:cs="Times New Roman"/>
                <w:b/>
                <w:iCs/>
                <w:sz w:val="16"/>
                <w:szCs w:val="16"/>
                <w:lang w:val="ro-MD"/>
              </w:rPr>
              <w:t xml:space="preserve">Consolidarea </w:t>
            </w:r>
            <w:r w:rsidRPr="006B26AD">
              <w:rPr>
                <w:rFonts w:ascii="Times New Roman" w:hAnsi="Times New Roman" w:cs="Times New Roman"/>
                <w:b/>
                <w:color w:val="000000"/>
                <w:sz w:val="16"/>
                <w:szCs w:val="16"/>
                <w:lang w:val="ro-MD"/>
              </w:rPr>
              <w:t>capacităților instituționale Agenției Naționale pentru Ocuparea Forței de Muncă, îmbunătățirea serviciilor și c</w:t>
            </w:r>
            <w:r w:rsidRPr="006B26AD">
              <w:rPr>
                <w:rFonts w:ascii="Times New Roman" w:eastAsia="Times New Roman" w:hAnsi="Times New Roman" w:cs="Times New Roman"/>
                <w:b/>
                <w:iCs/>
                <w:sz w:val="16"/>
                <w:szCs w:val="16"/>
                <w:lang w:val="ro-MD"/>
              </w:rPr>
              <w:t>reșterea finanțării pentru politica de măsuri active, către anul 2026.</w:t>
            </w:r>
          </w:p>
          <w:p w14:paraId="6FC57F91" w14:textId="2DC32832" w:rsidR="00B21F63" w:rsidRPr="006E56D9" w:rsidRDefault="00B21F63" w:rsidP="00B21F63">
            <w:pPr>
              <w:spacing w:after="0" w:line="240" w:lineRule="auto"/>
              <w:jc w:val="both"/>
              <w:rPr>
                <w:rFonts w:ascii="Times New Roman" w:hAnsi="Times New Roman" w:cs="Times New Roman"/>
                <w:color w:val="000000"/>
                <w:sz w:val="16"/>
                <w:szCs w:val="16"/>
                <w:lang w:val="ro-MD"/>
              </w:rPr>
            </w:pPr>
            <w:r>
              <w:rPr>
                <w:rFonts w:ascii="Times New Roman" w:hAnsi="Times New Roman" w:cs="Times New Roman"/>
                <w:color w:val="000000"/>
                <w:sz w:val="16"/>
                <w:szCs w:val="16"/>
                <w:lang w:val="ro-MD"/>
              </w:rPr>
              <w:t xml:space="preserve">- </w:t>
            </w:r>
            <w:r w:rsidRPr="003836D9">
              <w:rPr>
                <w:rFonts w:ascii="Times New Roman" w:hAnsi="Times New Roman" w:cs="Times New Roman"/>
                <w:color w:val="000000"/>
                <w:sz w:val="16"/>
                <w:szCs w:val="16"/>
                <w:lang w:val="ro-MD"/>
              </w:rPr>
              <w:t xml:space="preserve">În 2026, raportul personal al Agenției Naționale pentru Ocuparea Forței de Muncă </w:t>
            </w:r>
            <w:r>
              <w:rPr>
                <w:rFonts w:ascii="Times New Roman" w:hAnsi="Times New Roman" w:cs="Times New Roman"/>
                <w:color w:val="000000"/>
                <w:sz w:val="16"/>
                <w:szCs w:val="16"/>
                <w:lang w:val="ro-MD"/>
              </w:rPr>
              <w:t xml:space="preserve">– </w:t>
            </w:r>
            <w:r w:rsidRPr="003836D9">
              <w:rPr>
                <w:rFonts w:ascii="Times New Roman" w:hAnsi="Times New Roman" w:cs="Times New Roman"/>
                <w:color w:val="000000"/>
                <w:sz w:val="16"/>
                <w:szCs w:val="16"/>
                <w:lang w:val="ro-MD"/>
              </w:rPr>
              <w:t>șomeri</w:t>
            </w:r>
            <w:r>
              <w:rPr>
                <w:rFonts w:ascii="Times New Roman" w:hAnsi="Times New Roman" w:cs="Times New Roman"/>
                <w:color w:val="000000"/>
                <w:sz w:val="16"/>
                <w:szCs w:val="16"/>
                <w:lang w:val="ro-MD"/>
              </w:rPr>
              <w:t xml:space="preserve"> </w:t>
            </w:r>
            <w:r w:rsidRPr="003836D9">
              <w:rPr>
                <w:rFonts w:ascii="Times New Roman" w:hAnsi="Times New Roman" w:cs="Times New Roman"/>
                <w:color w:val="000000"/>
                <w:sz w:val="16"/>
                <w:szCs w:val="16"/>
                <w:lang w:val="ro-MD"/>
              </w:rPr>
              <w:t>este de 1:</w:t>
            </w:r>
            <w:r>
              <w:rPr>
                <w:rFonts w:ascii="Times New Roman" w:hAnsi="Times New Roman" w:cs="Times New Roman"/>
                <w:color w:val="000000"/>
                <w:sz w:val="16"/>
                <w:szCs w:val="16"/>
                <w:lang w:val="ro-MD"/>
              </w:rPr>
              <w:t>300.</w:t>
            </w:r>
          </w:p>
          <w:p w14:paraId="06BBCD53" w14:textId="6298EB2F" w:rsidR="00B21F63" w:rsidRPr="00153019" w:rsidRDefault="00B21F63" w:rsidP="00B21F63">
            <w:pPr>
              <w:pStyle w:val="ListParagraph"/>
              <w:numPr>
                <w:ilvl w:val="0"/>
                <w:numId w:val="41"/>
              </w:numPr>
              <w:shd w:val="clear" w:color="auto" w:fill="FFFFFF" w:themeFill="background1"/>
              <w:spacing w:after="0"/>
              <w:ind w:left="0"/>
              <w:contextualSpacing w:val="0"/>
              <w:jc w:val="both"/>
              <w:rPr>
                <w:rFonts w:ascii="Times New Roman" w:hAnsi="Times New Roman" w:cs="Times New Roman"/>
                <w:color w:val="000000"/>
                <w:sz w:val="16"/>
                <w:szCs w:val="16"/>
                <w:lang w:val="ro-MD"/>
              </w:rPr>
            </w:pPr>
            <w:r w:rsidRPr="003836D9">
              <w:rPr>
                <w:rFonts w:ascii="Times New Roman" w:hAnsi="Times New Roman" w:cs="Times New Roman"/>
                <w:color w:val="000000"/>
                <w:sz w:val="16"/>
                <w:szCs w:val="16"/>
                <w:lang w:val="ro-MD"/>
              </w:rPr>
              <w:t>- Până în 2026, 70% dintre persoanele înregistrate la Agenția Națională pentru Ocuparea Forței de Muncă primesc servicii de</w:t>
            </w:r>
            <w:r>
              <w:rPr>
                <w:rFonts w:ascii="Times New Roman" w:hAnsi="Times New Roman" w:cs="Times New Roman"/>
                <w:color w:val="000000"/>
                <w:sz w:val="16"/>
                <w:szCs w:val="16"/>
                <w:lang w:val="ro-MD"/>
              </w:rPr>
              <w:t xml:space="preserve"> angajare adaptate nevoilor lor.</w:t>
            </w:r>
          </w:p>
          <w:p w14:paraId="6DC08F23" w14:textId="6AC00F99" w:rsidR="00B21F63" w:rsidRPr="006E56D9" w:rsidRDefault="00B21F63" w:rsidP="00B21F63">
            <w:pPr>
              <w:spacing w:after="0" w:line="240" w:lineRule="auto"/>
              <w:jc w:val="both"/>
              <w:rPr>
                <w:rFonts w:ascii="Times New Roman" w:hAnsi="Times New Roman" w:cs="Times New Roman"/>
                <w:b/>
                <w:sz w:val="16"/>
                <w:szCs w:val="16"/>
                <w:lang w:val="ro-MD"/>
              </w:rPr>
            </w:pPr>
            <w:r w:rsidRPr="003836D9">
              <w:rPr>
                <w:rFonts w:ascii="Times New Roman" w:hAnsi="Times New Roman" w:cs="Times New Roman"/>
                <w:color w:val="000000"/>
                <w:sz w:val="16"/>
                <w:szCs w:val="16"/>
                <w:lang w:val="ro-MD"/>
              </w:rPr>
              <w:t>- Până în 2026</w:t>
            </w:r>
            <w:r>
              <w:rPr>
                <w:rFonts w:ascii="Times New Roman" w:hAnsi="Times New Roman" w:cs="Times New Roman"/>
                <w:color w:val="000000"/>
                <w:sz w:val="16"/>
                <w:szCs w:val="16"/>
                <w:lang w:val="ro-MD"/>
              </w:rPr>
              <w:t>,</w:t>
            </w:r>
            <w:r w:rsidRPr="003836D9">
              <w:rPr>
                <w:rFonts w:ascii="Times New Roman" w:hAnsi="Times New Roman" w:cs="Times New Roman"/>
                <w:color w:val="000000"/>
                <w:sz w:val="16"/>
                <w:szCs w:val="16"/>
                <w:lang w:val="ro-MD"/>
              </w:rPr>
              <w:t xml:space="preserve"> 15% din șomerii înregistrați la Agenția Națională pentru Ocuparea Forței de Muncă au acces la programe active de ocupare a forței</w:t>
            </w:r>
            <w:r>
              <w:rPr>
                <w:rFonts w:ascii="Times New Roman" w:hAnsi="Times New Roman" w:cs="Times New Roman"/>
                <w:color w:val="000000"/>
                <w:sz w:val="16"/>
                <w:szCs w:val="16"/>
                <w:lang w:val="ro-MD"/>
              </w:rPr>
              <w:t xml:space="preserve"> de muncă adaptate nevoilor lor.</w:t>
            </w:r>
          </w:p>
        </w:tc>
      </w:tr>
      <w:tr w:rsidR="00B21F63" w:rsidRPr="003836D9" w14:paraId="72E613FC"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D4EF01E" w14:textId="77777777" w:rsidR="00B21F63" w:rsidRDefault="00B21F63" w:rsidP="00B21F63">
            <w:pPr>
              <w:jc w:val="center"/>
              <w:rPr>
                <w:rFonts w:ascii="Times New Roman" w:hAnsi="Times New Roman" w:cs="Times New Roman"/>
                <w:sz w:val="16"/>
                <w:szCs w:val="16"/>
                <w:lang w:val="ro-MD"/>
              </w:rPr>
            </w:pPr>
            <w:bookmarkStart w:id="148" w:name="_Hlk113835380"/>
            <w:r>
              <w:rPr>
                <w:rFonts w:ascii="Times New Roman" w:hAnsi="Times New Roman" w:cs="Times New Roman"/>
                <w:sz w:val="16"/>
                <w:szCs w:val="16"/>
                <w:lang w:val="ro-MD"/>
              </w:rPr>
              <w:t>38.</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85E6DFD"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Realizarea campaniei de informare cu privire la măsurile  active de ocupare a forței de muncă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AE5A80"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2022</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60D2C74D"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0,1</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34B6E8"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În limita bugetului de stat</w:t>
            </w:r>
          </w:p>
          <w:p w14:paraId="2E59A545"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Parteneri externi de dezvoltare</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0260A6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0E68FB91" w14:textId="77777777" w:rsidR="00B21F63" w:rsidRPr="003836D9" w:rsidRDefault="00B21F63" w:rsidP="00B21F63">
            <w:pPr>
              <w:jc w:val="both"/>
              <w:rPr>
                <w:rFonts w:ascii="Times New Roman" w:hAnsi="Times New Roman" w:cs="Times New Roman"/>
                <w:sz w:val="16"/>
                <w:szCs w:val="16"/>
                <w:lang w:val="ro-MD"/>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87925C"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2806C577"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Organizația Internațională a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26D22B64"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Număr de sesiuni informative cu angajatorii, asociații de afaceri, șomeri</w:t>
            </w:r>
          </w:p>
          <w:p w14:paraId="67D767E7"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Număr de articole publicate în presa locală</w:t>
            </w:r>
          </w:p>
          <w:p w14:paraId="4DB9FB2F"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Număr de video-uri realizate despre beneficiari de măsuri active</w:t>
            </w:r>
          </w:p>
        </w:tc>
      </w:tr>
      <w:bookmarkEnd w:id="148"/>
      <w:tr w:rsidR="00B21F63" w:rsidRPr="003836D9" w14:paraId="05787F9E"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F99A98C"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39.</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50A5B91"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Realizarea unui studiu referitor la eficiența Agenției Naționale de Ocupare a Forței de Muncă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679F52"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2022</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5757D7DE"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0,1</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0139A3"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Parteneneri de dezvoltare</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0D01D3"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Ministerul Muncii și Protecției Sociale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0BCCCD" w14:textId="77777777" w:rsidR="00B21F63"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Partneri de dezvoltare</w:t>
            </w:r>
          </w:p>
          <w:p w14:paraId="6FBCA372"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Agenția Națională pentru Ocuparea Forței de Muncă</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32D7377D" w14:textId="77777777"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Studiu realizat cu recomandări de a eficientiza și îmbunătăți serviciile</w:t>
            </w:r>
          </w:p>
        </w:tc>
      </w:tr>
      <w:tr w:rsidR="00B21F63" w:rsidRPr="003836D9" w14:paraId="03339440"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AC495A1"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40.</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62AD3B65"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Elaborarea, aprobarea mecanismului de acordare a voucherilor pentru formare profesională a șomerilor </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CC7FEA"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2022</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0253EEE8"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00E4EA" w14:textId="77777777" w:rsidR="00B21F63" w:rsidRPr="003836D9" w:rsidRDefault="00B21F63" w:rsidP="00B21F63">
            <w:pPr>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Bugetul de stat</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5ACC6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5060BC19" w14:textId="77777777" w:rsidR="00B21F63" w:rsidRPr="003836D9" w:rsidRDefault="00B21F63" w:rsidP="00B21F63">
            <w:pPr>
              <w:jc w:val="both"/>
              <w:rPr>
                <w:rFonts w:ascii="Times New Roman" w:hAnsi="Times New Roman" w:cs="Times New Roman"/>
                <w:sz w:val="16"/>
                <w:szCs w:val="16"/>
                <w:lang w:val="ro-MD"/>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1CF0C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334D2EF9" w14:textId="77777777" w:rsidR="00B21F63" w:rsidRPr="003836D9" w:rsidRDefault="00B21F63" w:rsidP="00B21F63">
            <w:pPr>
              <w:jc w:val="both"/>
              <w:rPr>
                <w:rFonts w:ascii="Times New Roman" w:hAnsi="Times New Roman" w:cs="Times New Roman"/>
                <w:sz w:val="16"/>
                <w:szCs w:val="16"/>
                <w:lang w:val="ro-MD"/>
              </w:rPr>
            </w:pP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330FE0E6"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Proiect de Hotarîre a Guvernului pentru modificarea Hotarîrii Guvernului nr. 1276/2018 elaborat și aprobat</w:t>
            </w:r>
          </w:p>
        </w:tc>
      </w:tr>
      <w:tr w:rsidR="00B21F63" w:rsidRPr="003836D9" w14:paraId="2FC065A2"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CCB13AB"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41.</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5BE7EB5"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 xml:space="preserve">Extinderea cursurilor de instruire non-formală </w:t>
            </w:r>
            <w:r w:rsidRPr="003836D9">
              <w:rPr>
                <w:rFonts w:ascii="Times New Roman" w:hAnsi="Times New Roman" w:cs="Times New Roman"/>
                <w:sz w:val="16"/>
                <w:szCs w:val="16"/>
                <w:lang w:val="ro-MD"/>
              </w:rPr>
              <w:t>cu scopul diversificării ofertei de formare profesională a șomerilor</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80FD2C6"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2</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5215DAC8"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77173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C2ED7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1D404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0C36DCC7"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Elaborarea criteriilor pentru prestatorii de cursuri de instruire non-formală</w:t>
            </w:r>
          </w:p>
        </w:tc>
      </w:tr>
      <w:tr w:rsidR="00B21F63" w:rsidRPr="003836D9" w14:paraId="08BEBF7E"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0307B931"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42.</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A584F4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Revizuirea condițiilor de subvenționare a activității de antreprenoriat în rândul șomerilor cu scopul sporirii accesului șomerilor la această măsură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8F40C1"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2023 – 1,8</w:t>
            </w:r>
          </w:p>
          <w:p w14:paraId="71B415D6"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2024 – 1,8</w:t>
            </w:r>
          </w:p>
          <w:p w14:paraId="24B697F9"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2025 – 1,8</w:t>
            </w:r>
          </w:p>
          <w:p w14:paraId="0BF0EE3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2026 – 1,8</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34EFAE1D" w14:textId="507D10B8"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7,2</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F76B3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D937A2"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4F381818" w14:textId="77777777" w:rsidR="00B21F63" w:rsidRPr="003836D9" w:rsidRDefault="00B21F63" w:rsidP="00B21F63">
            <w:pPr>
              <w:jc w:val="both"/>
              <w:rPr>
                <w:rFonts w:ascii="Times New Roman" w:hAnsi="Times New Roman" w:cs="Times New Roman"/>
                <w:sz w:val="16"/>
                <w:szCs w:val="16"/>
                <w:lang w:val="ro-MD"/>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012D2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662F1D1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Legea nr.</w:t>
            </w:r>
            <w:r>
              <w:rPr>
                <w:rFonts w:ascii="Times New Roman" w:hAnsi="Times New Roman" w:cs="Times New Roman"/>
                <w:sz w:val="16"/>
                <w:szCs w:val="16"/>
                <w:lang w:val="ro-MD"/>
              </w:rPr>
              <w:t xml:space="preserve"> </w:t>
            </w:r>
            <w:r w:rsidRPr="003836D9">
              <w:rPr>
                <w:rFonts w:ascii="Times New Roman" w:hAnsi="Times New Roman" w:cs="Times New Roman"/>
                <w:sz w:val="16"/>
                <w:szCs w:val="16"/>
                <w:lang w:val="ro-MD"/>
              </w:rPr>
              <w:t>105/2018 modificată</w:t>
            </w:r>
          </w:p>
          <w:p w14:paraId="387C045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Hotărârea Guvernului nr. 1276/2018 revizuită</w:t>
            </w:r>
          </w:p>
        </w:tc>
      </w:tr>
      <w:tr w:rsidR="00B21F63" w:rsidRPr="003836D9" w14:paraId="720D2602"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18C5085D" w14:textId="77777777" w:rsidR="00B21F63" w:rsidRPr="00826DB0"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lastRenderedPageBreak/>
              <w:t>43.</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9DE851E" w14:textId="77777777" w:rsidR="00B21F63" w:rsidRPr="003D7BF5" w:rsidRDefault="00B21F63" w:rsidP="00B21F63">
            <w:pPr>
              <w:jc w:val="both"/>
              <w:rPr>
                <w:rFonts w:ascii="Times New Roman" w:hAnsi="Times New Roman" w:cs="Times New Roman"/>
                <w:b/>
                <w:i/>
                <w:color w:val="FF0000"/>
                <w:sz w:val="16"/>
                <w:szCs w:val="16"/>
                <w:lang w:val="ro-MD"/>
              </w:rPr>
            </w:pPr>
            <w:r w:rsidRPr="003836D9">
              <w:rPr>
                <w:rFonts w:ascii="Times New Roman" w:hAnsi="Times New Roman" w:cs="Times New Roman"/>
                <w:sz w:val="16"/>
                <w:szCs w:val="16"/>
                <w:lang w:val="ro-MD"/>
              </w:rPr>
              <w:t xml:space="preserve">Elaborarea metodologiei de evaluare a impactului măsurilor </w:t>
            </w:r>
            <w:r>
              <w:rPr>
                <w:rFonts w:ascii="Times New Roman" w:hAnsi="Times New Roman" w:cs="Times New Roman"/>
                <w:sz w:val="16"/>
                <w:szCs w:val="16"/>
                <w:lang w:val="ro-MD"/>
              </w:rPr>
              <w:t xml:space="preserve">active </w:t>
            </w:r>
            <w:r w:rsidRPr="003836D9">
              <w:rPr>
                <w:rFonts w:ascii="Times New Roman" w:hAnsi="Times New Roman" w:cs="Times New Roman"/>
                <w:sz w:val="16"/>
                <w:szCs w:val="16"/>
                <w:lang w:val="ro-MD"/>
              </w:rPr>
              <w:t>de ocupare a forței de muncă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8A5A59E" w14:textId="77777777" w:rsidR="00B21F63" w:rsidRPr="00F73C6D"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3</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15CF707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0,3</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199B48"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66F92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7870A7B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DE8520"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Organizația Internațională a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37A5E34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Metodologie elaborată </w:t>
            </w:r>
          </w:p>
        </w:tc>
      </w:tr>
      <w:tr w:rsidR="00B21F63" w:rsidRPr="003836D9" w14:paraId="344E4758"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D78074B"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44.</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00BCD018"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Elaborarea </w:t>
            </w:r>
            <w:r>
              <w:rPr>
                <w:rFonts w:ascii="Times New Roman" w:hAnsi="Times New Roman" w:cs="Times New Roman"/>
                <w:sz w:val="16"/>
                <w:szCs w:val="16"/>
                <w:lang w:val="ro-MD"/>
              </w:rPr>
              <w:t xml:space="preserve">cursurilor </w:t>
            </w:r>
            <w:r w:rsidRPr="003836D9">
              <w:rPr>
                <w:rFonts w:ascii="Times New Roman" w:hAnsi="Times New Roman" w:cs="Times New Roman"/>
                <w:sz w:val="16"/>
                <w:szCs w:val="16"/>
                <w:lang w:val="ro-MD"/>
              </w:rPr>
              <w:t xml:space="preserve"> de formare continue a resurselor umane din cadrul Agenției Naționale pentru Ocuparea Forței de Muncă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87E855"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2023</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06E8E6E4"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1,0</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EE67E2"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1425A3" w14:textId="77777777" w:rsidR="00B21F63" w:rsidRPr="003836D9" w:rsidRDefault="00B21F63" w:rsidP="00B21F63">
            <w:pPr>
              <w:jc w:val="center"/>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67F4C491" w14:textId="77777777" w:rsidR="00B21F63" w:rsidRPr="003836D9" w:rsidRDefault="00B21F63" w:rsidP="00B21F63">
            <w:pPr>
              <w:jc w:val="both"/>
              <w:rPr>
                <w:rFonts w:ascii="Times New Roman" w:hAnsi="Times New Roman" w:cs="Times New Roman"/>
                <w:sz w:val="16"/>
                <w:szCs w:val="16"/>
                <w:lang w:val="ro-MD"/>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25CD29"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293C799C"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Organizația Internațională a Muncii</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101215BD" w14:textId="77777777"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Module online elaborate</w:t>
            </w:r>
          </w:p>
          <w:p w14:paraId="20D8B2C1" w14:textId="77777777" w:rsidR="00B21F63" w:rsidRDefault="00B21F63" w:rsidP="00B21F63">
            <w:pPr>
              <w:jc w:val="both"/>
              <w:rPr>
                <w:rFonts w:ascii="Times New Roman" w:hAnsi="Times New Roman" w:cs="Times New Roman"/>
                <w:sz w:val="16"/>
                <w:szCs w:val="16"/>
                <w:lang w:val="ro-MD"/>
              </w:rPr>
            </w:pPr>
          </w:p>
        </w:tc>
      </w:tr>
      <w:tr w:rsidR="00B21F63" w:rsidRPr="003836D9" w14:paraId="7A04F537"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A13BB68"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45.</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20966B7"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Implementarea Sistemului Informațional </w:t>
            </w:r>
            <w:r>
              <w:rPr>
                <w:rFonts w:ascii="Times New Roman" w:hAnsi="Times New Roman" w:cs="Times New Roman"/>
                <w:sz w:val="16"/>
                <w:szCs w:val="16"/>
                <w:lang w:val="en-US"/>
              </w:rPr>
              <w:t>“</w:t>
            </w:r>
            <w:r w:rsidRPr="003836D9">
              <w:rPr>
                <w:rFonts w:ascii="Times New Roman" w:hAnsi="Times New Roman" w:cs="Times New Roman"/>
                <w:sz w:val="16"/>
                <w:szCs w:val="16"/>
                <w:lang w:val="ro-MD"/>
              </w:rPr>
              <w:t>Înregistrare cu Statut de Șomer”</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DB63D77" w14:textId="77777777" w:rsidR="00B21F63"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3</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3360E6E8"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87229B"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647635D"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BB8C19"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de Guvernare Electronică</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64FA8674"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Număr de șomeri înregistrați prin intermediul </w:t>
            </w:r>
            <w:r>
              <w:rPr>
                <w:rFonts w:ascii="Times New Roman" w:hAnsi="Times New Roman" w:cs="Times New Roman"/>
                <w:sz w:val="16"/>
                <w:szCs w:val="16"/>
                <w:lang w:val="ro-MD"/>
              </w:rPr>
              <w:t>sistemului informațional</w:t>
            </w:r>
            <w:r w:rsidRPr="003836D9">
              <w:rPr>
                <w:rFonts w:ascii="Times New Roman" w:hAnsi="Times New Roman" w:cs="Times New Roman"/>
                <w:sz w:val="16"/>
                <w:szCs w:val="16"/>
                <w:lang w:val="ro-MD"/>
              </w:rPr>
              <w:t xml:space="preserve"> </w:t>
            </w:r>
            <w:r>
              <w:rPr>
                <w:rFonts w:ascii="Times New Roman" w:hAnsi="Times New Roman" w:cs="Times New Roman"/>
                <w:sz w:val="16"/>
                <w:szCs w:val="16"/>
                <w:lang w:val="en-US"/>
              </w:rPr>
              <w:t>“</w:t>
            </w:r>
            <w:r w:rsidRPr="003836D9">
              <w:rPr>
                <w:rFonts w:ascii="Times New Roman" w:hAnsi="Times New Roman" w:cs="Times New Roman"/>
                <w:sz w:val="16"/>
                <w:szCs w:val="16"/>
                <w:lang w:val="ro-MD"/>
              </w:rPr>
              <w:t>Înregistrare cu Statut de Șomer”</w:t>
            </w:r>
          </w:p>
        </w:tc>
      </w:tr>
      <w:tr w:rsidR="00B21F63" w:rsidRPr="003836D9" w14:paraId="10ED148F"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B404075"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46.</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AF59D8C" w14:textId="77777777" w:rsidR="00B21F63" w:rsidRPr="005B1E77" w:rsidRDefault="00B21F63" w:rsidP="00B21F63">
            <w:pPr>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Majorarea volumului de mijloace financiare alocate pentru politica de măsuri active</w:t>
            </w:r>
          </w:p>
          <w:p w14:paraId="1BA9E3EC" w14:textId="77777777" w:rsidR="00B21F63" w:rsidRPr="005B1E77" w:rsidRDefault="00B21F63" w:rsidP="00B21F63">
            <w:pPr>
              <w:jc w:val="both"/>
              <w:rPr>
                <w:rFonts w:ascii="Times New Roman" w:hAnsi="Times New Roman" w:cs="Times New Roman"/>
                <w:sz w:val="16"/>
                <w:szCs w:val="16"/>
                <w:lang w:val="ro-MD"/>
              </w:rPr>
            </w:pP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9982F7" w14:textId="77777777" w:rsidR="00B21F63" w:rsidRPr="005B1E77" w:rsidRDefault="00B21F63" w:rsidP="00B21F63">
            <w:pPr>
              <w:spacing w:after="0" w:line="240" w:lineRule="auto"/>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 xml:space="preserve">2024 </w:t>
            </w:r>
            <w:r>
              <w:rPr>
                <w:rFonts w:ascii="Times New Roman" w:hAnsi="Times New Roman" w:cs="Times New Roman"/>
                <w:sz w:val="16"/>
                <w:szCs w:val="16"/>
                <w:lang w:val="ro-MD"/>
              </w:rPr>
              <w:t>-</w:t>
            </w:r>
            <w:r w:rsidRPr="005B1E77">
              <w:rPr>
                <w:rFonts w:ascii="Times New Roman" w:hAnsi="Times New Roman" w:cs="Times New Roman"/>
                <w:sz w:val="16"/>
                <w:szCs w:val="16"/>
                <w:lang w:val="ro-MD"/>
              </w:rPr>
              <w:t xml:space="preserve"> 51,6</w:t>
            </w:r>
          </w:p>
          <w:p w14:paraId="1F421A58" w14:textId="77777777" w:rsidR="00B21F63" w:rsidRPr="005B1E77" w:rsidRDefault="00B21F63" w:rsidP="00B21F63">
            <w:pPr>
              <w:spacing w:after="0" w:line="240" w:lineRule="auto"/>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 xml:space="preserve">2025 </w:t>
            </w:r>
            <w:r>
              <w:rPr>
                <w:rFonts w:ascii="Times New Roman" w:hAnsi="Times New Roman" w:cs="Times New Roman"/>
                <w:sz w:val="16"/>
                <w:szCs w:val="16"/>
                <w:lang w:val="ro-MD"/>
              </w:rPr>
              <w:t>-</w:t>
            </w:r>
            <w:r w:rsidRPr="005B1E77">
              <w:rPr>
                <w:rFonts w:ascii="Times New Roman" w:hAnsi="Times New Roman" w:cs="Times New Roman"/>
                <w:sz w:val="16"/>
                <w:szCs w:val="16"/>
                <w:lang w:val="ro-MD"/>
              </w:rPr>
              <w:t xml:space="preserve"> 61,6</w:t>
            </w:r>
          </w:p>
          <w:p w14:paraId="45F968ED" w14:textId="77777777" w:rsidR="00B21F63" w:rsidRPr="005B1E77" w:rsidRDefault="00B21F63" w:rsidP="00B21F63">
            <w:pPr>
              <w:spacing w:after="0" w:line="240" w:lineRule="auto"/>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 xml:space="preserve">2026 </w:t>
            </w:r>
            <w:r>
              <w:rPr>
                <w:rFonts w:ascii="Times New Roman" w:hAnsi="Times New Roman" w:cs="Times New Roman"/>
                <w:sz w:val="16"/>
                <w:szCs w:val="16"/>
                <w:lang w:val="ro-MD"/>
              </w:rPr>
              <w:t xml:space="preserve">- </w:t>
            </w:r>
            <w:r w:rsidRPr="005B1E77">
              <w:rPr>
                <w:rFonts w:ascii="Times New Roman" w:hAnsi="Times New Roman" w:cs="Times New Roman"/>
                <w:sz w:val="16"/>
                <w:szCs w:val="16"/>
                <w:lang w:val="ro-MD"/>
              </w:rPr>
              <w:t>71,6</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0C3B2677" w14:textId="77777777" w:rsidR="00B21F63" w:rsidRPr="005B1E77" w:rsidRDefault="00B21F63" w:rsidP="00B21F63">
            <w:pPr>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184,9</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3F58F4" w14:textId="77777777" w:rsidR="00B21F63" w:rsidRPr="005B1E77" w:rsidRDefault="00B21F63" w:rsidP="00B21F63">
            <w:pPr>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Bugetul de stat</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446B8C" w14:textId="77777777" w:rsidR="00B21F63" w:rsidRPr="005B1E77" w:rsidRDefault="00B21F63" w:rsidP="00B21F63">
            <w:pPr>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Ministerul Muncii și Protecției Sociale</w:t>
            </w:r>
          </w:p>
          <w:p w14:paraId="64DEAAB5" w14:textId="77777777" w:rsidR="00B21F63" w:rsidRPr="005B1E77" w:rsidRDefault="00B21F63" w:rsidP="00B21F63">
            <w:pPr>
              <w:jc w:val="both"/>
              <w:rPr>
                <w:rFonts w:ascii="Times New Roman" w:hAnsi="Times New Roman" w:cs="Times New Roman"/>
                <w:sz w:val="16"/>
                <w:szCs w:val="16"/>
                <w:lang w:val="ro-MD"/>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47BB38" w14:textId="77777777" w:rsidR="00B21F63" w:rsidRPr="005B1E77" w:rsidRDefault="00B21F63" w:rsidP="00B21F63">
            <w:pPr>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Agenția Națională pentru Ocuparea Forței de Muncă</w:t>
            </w:r>
          </w:p>
          <w:p w14:paraId="53E62889" w14:textId="77777777" w:rsidR="00B21F63" w:rsidRPr="005B1E77" w:rsidRDefault="00B21F63" w:rsidP="00B21F63">
            <w:pPr>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Ministerul Finanțelor</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3FADFDC4" w14:textId="77777777" w:rsidR="00B21F63" w:rsidRPr="005B1E77" w:rsidRDefault="00B21F63" w:rsidP="00B21F63">
            <w:pPr>
              <w:jc w:val="both"/>
              <w:rPr>
                <w:rFonts w:ascii="Times New Roman" w:hAnsi="Times New Roman" w:cs="Times New Roman"/>
                <w:sz w:val="16"/>
                <w:szCs w:val="16"/>
                <w:lang w:val="ro-MD"/>
              </w:rPr>
            </w:pPr>
            <w:r w:rsidRPr="005B1E77">
              <w:rPr>
                <w:rFonts w:ascii="Times New Roman" w:hAnsi="Times New Roman" w:cs="Times New Roman"/>
                <w:sz w:val="16"/>
                <w:szCs w:val="16"/>
                <w:lang w:val="ro-MD"/>
              </w:rPr>
              <w:t xml:space="preserve">Mijloacele financiare alocate politicii de măsuri active </w:t>
            </w:r>
            <w:r>
              <w:rPr>
                <w:rFonts w:ascii="Times New Roman" w:hAnsi="Times New Roman" w:cs="Times New Roman"/>
                <w:sz w:val="16"/>
                <w:szCs w:val="16"/>
                <w:lang w:val="ro-MD"/>
              </w:rPr>
              <w:t>în creștere anuală</w:t>
            </w:r>
          </w:p>
        </w:tc>
      </w:tr>
      <w:tr w:rsidR="00B21F63" w:rsidRPr="003836D9" w14:paraId="4717D5F1"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23A68F2" w14:textId="77777777" w:rsidR="00B21F63" w:rsidRPr="00A37E4F"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47.</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5D8F231" w14:textId="77777777" w:rsidR="00B21F63" w:rsidRPr="004224A6" w:rsidRDefault="00B21F63" w:rsidP="00B21F63">
            <w:pPr>
              <w:jc w:val="both"/>
              <w:rPr>
                <w:rFonts w:ascii="Times New Roman" w:hAnsi="Times New Roman" w:cs="Times New Roman"/>
                <w:sz w:val="16"/>
                <w:szCs w:val="16"/>
                <w:lang w:val="ro-MD"/>
              </w:rPr>
            </w:pPr>
            <w:r w:rsidRPr="004224A6">
              <w:rPr>
                <w:rFonts w:ascii="Times New Roman" w:hAnsi="Times New Roman" w:cs="Times New Roman"/>
                <w:sz w:val="16"/>
                <w:szCs w:val="16"/>
                <w:lang w:val="ro-MD"/>
              </w:rPr>
              <w:t>Completarea statului de personal a Agenției Naționale pentru Ocuparea Forței de Muncă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D01965" w14:textId="77777777" w:rsidR="00B21F63" w:rsidRPr="004224A6" w:rsidRDefault="00B21F63" w:rsidP="00B21F63">
            <w:pPr>
              <w:spacing w:after="0"/>
              <w:jc w:val="both"/>
              <w:rPr>
                <w:rFonts w:ascii="Times New Roman" w:hAnsi="Times New Roman" w:cs="Times New Roman"/>
                <w:sz w:val="16"/>
                <w:szCs w:val="16"/>
                <w:lang w:val="ro-MD"/>
              </w:rPr>
            </w:pPr>
            <w:r w:rsidRPr="004224A6">
              <w:rPr>
                <w:rFonts w:ascii="Times New Roman" w:hAnsi="Times New Roman" w:cs="Times New Roman"/>
                <w:sz w:val="16"/>
                <w:szCs w:val="16"/>
                <w:lang w:val="ro-MD"/>
              </w:rPr>
              <w:t>2023 - 13,2</w:t>
            </w:r>
          </w:p>
          <w:p w14:paraId="006AF822" w14:textId="77777777" w:rsidR="00B21F63" w:rsidRPr="004224A6" w:rsidRDefault="00B21F63" w:rsidP="00B21F63">
            <w:pPr>
              <w:spacing w:after="0"/>
              <w:jc w:val="both"/>
              <w:rPr>
                <w:rFonts w:ascii="Times New Roman" w:hAnsi="Times New Roman" w:cs="Times New Roman"/>
                <w:sz w:val="16"/>
                <w:szCs w:val="16"/>
                <w:lang w:val="ro-MD"/>
              </w:rPr>
            </w:pPr>
            <w:r w:rsidRPr="004224A6">
              <w:rPr>
                <w:rFonts w:ascii="Times New Roman" w:hAnsi="Times New Roman" w:cs="Times New Roman"/>
                <w:sz w:val="16"/>
                <w:szCs w:val="16"/>
                <w:lang w:val="ro-MD"/>
              </w:rPr>
              <w:t>2024 - 15,1</w:t>
            </w:r>
          </w:p>
          <w:p w14:paraId="22BDEBEC" w14:textId="77777777" w:rsidR="00B21F63" w:rsidRPr="004224A6" w:rsidRDefault="00B21F63" w:rsidP="00B21F63">
            <w:pPr>
              <w:spacing w:after="0"/>
              <w:jc w:val="both"/>
              <w:rPr>
                <w:rFonts w:ascii="Times New Roman" w:hAnsi="Times New Roman" w:cs="Times New Roman"/>
                <w:sz w:val="16"/>
                <w:szCs w:val="16"/>
                <w:lang w:val="ro-MD"/>
              </w:rPr>
            </w:pPr>
            <w:r w:rsidRPr="004224A6">
              <w:rPr>
                <w:rFonts w:ascii="Times New Roman" w:hAnsi="Times New Roman" w:cs="Times New Roman"/>
                <w:sz w:val="16"/>
                <w:szCs w:val="16"/>
                <w:lang w:val="ro-MD"/>
              </w:rPr>
              <w:t>2025 - 15,1</w:t>
            </w:r>
          </w:p>
          <w:p w14:paraId="6B107FB8" w14:textId="77777777" w:rsidR="00B21F63" w:rsidRPr="004224A6" w:rsidRDefault="00B21F63" w:rsidP="00B21F63">
            <w:pPr>
              <w:spacing w:after="0"/>
              <w:rPr>
                <w:rFonts w:ascii="Times New Roman" w:hAnsi="Times New Roman" w:cs="Times New Roman"/>
                <w:sz w:val="16"/>
                <w:szCs w:val="16"/>
                <w:lang w:val="ro-MD"/>
              </w:rPr>
            </w:pPr>
            <w:r w:rsidRPr="004224A6">
              <w:rPr>
                <w:rFonts w:ascii="Times New Roman" w:hAnsi="Times New Roman" w:cs="Times New Roman"/>
                <w:sz w:val="16"/>
                <w:szCs w:val="16"/>
                <w:lang w:val="ro-MD"/>
              </w:rPr>
              <w:t>2026 - 15,1</w:t>
            </w:r>
          </w:p>
          <w:p w14:paraId="7300AA04" w14:textId="77777777" w:rsidR="00B21F63" w:rsidRPr="004224A6" w:rsidRDefault="00B21F63" w:rsidP="00B21F63">
            <w:pPr>
              <w:spacing w:after="0" w:line="240" w:lineRule="auto"/>
              <w:jc w:val="both"/>
              <w:rPr>
                <w:rFonts w:ascii="Times New Roman" w:hAnsi="Times New Roman" w:cs="Times New Roman"/>
                <w:sz w:val="16"/>
                <w:szCs w:val="16"/>
                <w:lang w:val="ro-MD"/>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7B8760E6" w14:textId="77777777" w:rsidR="00B21F63" w:rsidRPr="004224A6" w:rsidRDefault="00B21F63" w:rsidP="00B21F63">
            <w:pPr>
              <w:jc w:val="both"/>
              <w:rPr>
                <w:rFonts w:ascii="Times New Roman" w:hAnsi="Times New Roman" w:cs="Times New Roman"/>
                <w:sz w:val="16"/>
                <w:szCs w:val="16"/>
                <w:lang w:val="ro-MD"/>
              </w:rPr>
            </w:pPr>
            <w:r w:rsidRPr="004224A6">
              <w:rPr>
                <w:rFonts w:ascii="Times New Roman" w:hAnsi="Times New Roman" w:cs="Times New Roman"/>
                <w:sz w:val="16"/>
                <w:szCs w:val="16"/>
                <w:lang w:val="ro-MD"/>
              </w:rPr>
              <w:t>58,5</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9D44BA"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62601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400C7DD6" w14:textId="77777777" w:rsidR="00B21F63" w:rsidRPr="003836D9" w:rsidRDefault="00B21F63" w:rsidP="00B21F63">
            <w:pPr>
              <w:jc w:val="both"/>
              <w:rPr>
                <w:rFonts w:ascii="Times New Roman" w:hAnsi="Times New Roman" w:cs="Times New Roman"/>
                <w:sz w:val="16"/>
                <w:szCs w:val="16"/>
                <w:lang w:val="ro-MD"/>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458C7"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6B0EA28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Finanțelor</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2B7F20B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Statul de personal a Agenției Naționale pentru Ocuparea Forței de Muncă suplinit </w:t>
            </w:r>
            <w:r w:rsidRPr="00826DB0">
              <w:rPr>
                <w:rFonts w:ascii="Times New Roman" w:hAnsi="Times New Roman" w:cs="Times New Roman"/>
                <w:sz w:val="16"/>
                <w:szCs w:val="16"/>
                <w:lang w:val="ro-MD"/>
              </w:rPr>
              <w:t>cu 40 unități</w:t>
            </w:r>
          </w:p>
        </w:tc>
      </w:tr>
      <w:tr w:rsidR="00B21F63" w:rsidRPr="003836D9" w14:paraId="0F86E883"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8774BE0"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48.</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13A6BB9A"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Îmbunătățirea colectării datelor administrative cu privire la locurile de muncă vacante, șomeri, angajatori, servicii și programe</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E77B3B8" w14:textId="77777777" w:rsidR="00B21F63" w:rsidRPr="003836D9" w:rsidRDefault="00B21F63" w:rsidP="00B21F63">
            <w:pPr>
              <w:spacing w:after="0" w:line="240" w:lineRule="auto"/>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2025</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5136A390"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În limita </w:t>
            </w:r>
            <w:r>
              <w:rPr>
                <w:rFonts w:ascii="Times New Roman" w:hAnsi="Times New Roman" w:cs="Times New Roman"/>
                <w:sz w:val="16"/>
                <w:szCs w:val="16"/>
                <w:lang w:val="ro-MD"/>
              </w:rPr>
              <w:t xml:space="preserve">bugetului alocat </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2D9FC2"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Parteneri externi de dezvoltare </w:t>
            </w:r>
          </w:p>
          <w:p w14:paraId="4956A427"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E43B5F"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1DC65EC4" w14:textId="77777777" w:rsidR="00B21F63" w:rsidRPr="003836D9" w:rsidRDefault="00B21F63" w:rsidP="00B21F63">
            <w:pPr>
              <w:rPr>
                <w:rFonts w:ascii="Times New Roman" w:hAnsi="Times New Roman" w:cs="Times New Roman"/>
                <w:sz w:val="16"/>
                <w:szCs w:val="16"/>
                <w:lang w:val="ro-MD"/>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2E41F8" w14:textId="5A75E57E"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Naționalăpentru Ocuparea Forței de Muncă</w:t>
            </w:r>
          </w:p>
          <w:p w14:paraId="2FA5ACD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Banca Mondială </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01E4CDF0"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Rapoarte elaborate de către ANOFM conform formularelor prestabilite</w:t>
            </w:r>
          </w:p>
          <w:p w14:paraId="41BD202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Publicul larg are acces la datele administrative diversificate</w:t>
            </w:r>
          </w:p>
        </w:tc>
      </w:tr>
      <w:tr w:rsidR="00B21F63" w:rsidRPr="003836D9" w14:paraId="0A1467A5"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592B57E"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49.</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8497CB0"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Majorarea</w:t>
            </w:r>
            <w:r w:rsidRPr="00826DB0">
              <w:rPr>
                <w:rFonts w:ascii="Times New Roman" w:hAnsi="Times New Roman" w:cs="Times New Roman"/>
                <w:sz w:val="16"/>
                <w:szCs w:val="16"/>
                <w:lang w:val="ro-MD"/>
              </w:rPr>
              <w:t xml:space="preserve"> către anul 2024 a salariilor angajaților din cadrul </w:t>
            </w:r>
            <w:r w:rsidRPr="00845AAC">
              <w:rPr>
                <w:rFonts w:ascii="Times New Roman" w:hAnsi="Times New Roman" w:cs="Times New Roman"/>
                <w:sz w:val="16"/>
                <w:szCs w:val="16"/>
                <w:lang w:val="ro-MD"/>
              </w:rPr>
              <w:t>A</w:t>
            </w:r>
            <w:r>
              <w:rPr>
                <w:rFonts w:ascii="Times New Roman" w:hAnsi="Times New Roman" w:cs="Times New Roman"/>
                <w:sz w:val="16"/>
                <w:szCs w:val="16"/>
                <w:lang w:val="ro-MD"/>
              </w:rPr>
              <w:t>genției Naționale pentru Ocuparea Forței de Muncă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6414494" w14:textId="43A1FA62" w:rsidR="00B21F63" w:rsidRDefault="00B21F63" w:rsidP="00B21F63">
            <w:pPr>
              <w:spacing w:after="0"/>
              <w:jc w:val="both"/>
              <w:rPr>
                <w:rFonts w:ascii="Times New Roman" w:hAnsi="Times New Roman" w:cs="Times New Roman"/>
                <w:sz w:val="16"/>
                <w:szCs w:val="16"/>
                <w:lang w:val="ro-MD"/>
              </w:rPr>
            </w:pPr>
            <w:r w:rsidRPr="00845AAC">
              <w:rPr>
                <w:rFonts w:ascii="Times New Roman" w:hAnsi="Times New Roman" w:cs="Times New Roman"/>
                <w:sz w:val="16"/>
                <w:szCs w:val="16"/>
                <w:lang w:val="ro-MD"/>
              </w:rPr>
              <w:t>2024</w:t>
            </w:r>
            <w:r>
              <w:rPr>
                <w:rFonts w:ascii="Times New Roman" w:hAnsi="Times New Roman" w:cs="Times New Roman"/>
                <w:sz w:val="16"/>
                <w:szCs w:val="16"/>
                <w:lang w:val="ro-MD"/>
              </w:rPr>
              <w:t xml:space="preserve"> - 33,4</w:t>
            </w:r>
          </w:p>
          <w:p w14:paraId="30F0B709" w14:textId="4189E055" w:rsidR="00B21F63"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2025 - 33,4</w:t>
            </w:r>
          </w:p>
          <w:p w14:paraId="1DAAA2DF" w14:textId="208694F0" w:rsidR="00B21F63" w:rsidRPr="003836D9"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2026 - 33,4</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36370D3E" w14:textId="77777777" w:rsidR="00B21F63" w:rsidRPr="00BD5961"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100,2</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03E141" w14:textId="77777777" w:rsidR="00B21F63" w:rsidRPr="003836D9" w:rsidRDefault="00B21F63" w:rsidP="00B21F63">
            <w:pPr>
              <w:jc w:val="both"/>
              <w:rPr>
                <w:rFonts w:ascii="Times New Roman" w:hAnsi="Times New Roman" w:cs="Times New Roman"/>
                <w:sz w:val="16"/>
                <w:szCs w:val="16"/>
                <w:lang w:val="ro-MD"/>
              </w:rPr>
            </w:pPr>
            <w:r w:rsidRPr="00845AAC">
              <w:rPr>
                <w:rFonts w:ascii="Times New Roman" w:hAnsi="Times New Roman" w:cs="Times New Roman"/>
                <w:sz w:val="16"/>
                <w:szCs w:val="16"/>
                <w:lang w:val="ro-MD"/>
              </w:rPr>
              <w:t>Bugetul de stat</w:t>
            </w:r>
          </w:p>
        </w:tc>
        <w:tc>
          <w:tcPr>
            <w:tcW w:w="7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E583BC" w14:textId="77777777" w:rsidR="00B21F63" w:rsidRPr="00845AAC" w:rsidRDefault="00B21F63" w:rsidP="00B21F63">
            <w:pPr>
              <w:jc w:val="both"/>
              <w:rPr>
                <w:rFonts w:ascii="Times New Roman" w:hAnsi="Times New Roman" w:cs="Times New Roman"/>
                <w:sz w:val="16"/>
                <w:szCs w:val="16"/>
                <w:lang w:val="ro-MD"/>
              </w:rPr>
            </w:pPr>
            <w:r w:rsidRPr="00845AAC">
              <w:rPr>
                <w:rFonts w:ascii="Times New Roman" w:hAnsi="Times New Roman" w:cs="Times New Roman"/>
                <w:sz w:val="16"/>
                <w:szCs w:val="16"/>
                <w:lang w:val="ro-MD"/>
              </w:rPr>
              <w:t>Ministerul Muncii și Protecției Sociale Agenția Națională pentru Ocuparea Forței de Muncă</w:t>
            </w:r>
          </w:p>
          <w:p w14:paraId="13FB865C" w14:textId="77777777" w:rsidR="00B21F63" w:rsidRPr="003836D9" w:rsidRDefault="00B21F63" w:rsidP="00B21F63">
            <w:pPr>
              <w:jc w:val="both"/>
              <w:rPr>
                <w:rFonts w:ascii="Times New Roman" w:hAnsi="Times New Roman" w:cs="Times New Roman"/>
                <w:sz w:val="16"/>
                <w:szCs w:val="16"/>
                <w:lang w:val="ro-MD"/>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5E40B4" w14:textId="77777777" w:rsidR="00B21F63" w:rsidRPr="003836D9" w:rsidRDefault="00B21F63" w:rsidP="00B21F63">
            <w:pPr>
              <w:jc w:val="both"/>
              <w:rPr>
                <w:rFonts w:ascii="Times New Roman" w:hAnsi="Times New Roman" w:cs="Times New Roman"/>
                <w:sz w:val="16"/>
                <w:szCs w:val="16"/>
                <w:lang w:val="ro-MD"/>
              </w:rPr>
            </w:pPr>
            <w:r w:rsidRPr="00845AAC">
              <w:rPr>
                <w:rFonts w:ascii="Times New Roman" w:hAnsi="Times New Roman" w:cs="Times New Roman"/>
                <w:sz w:val="16"/>
                <w:szCs w:val="16"/>
                <w:lang w:val="ro-MD"/>
              </w:rPr>
              <w:t>Ministerul Finanțelor</w:t>
            </w:r>
          </w:p>
        </w:tc>
        <w:tc>
          <w:tcPr>
            <w:tcW w:w="1052" w:type="pct"/>
            <w:tcBorders>
              <w:top w:val="single" w:sz="4" w:space="0" w:color="auto"/>
              <w:left w:val="single" w:sz="4" w:space="0" w:color="auto"/>
              <w:bottom w:val="single" w:sz="4" w:space="0" w:color="auto"/>
              <w:right w:val="single" w:sz="4" w:space="0" w:color="auto"/>
            </w:tcBorders>
            <w:shd w:val="clear" w:color="auto" w:fill="FFFFFF" w:themeFill="background1"/>
          </w:tcPr>
          <w:p w14:paraId="41E50598" w14:textId="77777777" w:rsidR="00B21F63" w:rsidRPr="003836D9" w:rsidRDefault="00B21F63" w:rsidP="00B21F63">
            <w:pPr>
              <w:jc w:val="both"/>
              <w:rPr>
                <w:rFonts w:ascii="Times New Roman" w:hAnsi="Times New Roman" w:cs="Times New Roman"/>
                <w:sz w:val="16"/>
                <w:szCs w:val="16"/>
                <w:lang w:val="ro-MD"/>
              </w:rPr>
            </w:pPr>
            <w:r w:rsidRPr="00845AAC">
              <w:rPr>
                <w:rFonts w:ascii="Times New Roman" w:hAnsi="Times New Roman" w:cs="Times New Roman"/>
                <w:sz w:val="16"/>
                <w:szCs w:val="16"/>
                <w:lang w:val="ro-MD"/>
              </w:rPr>
              <w:t>Salariile angajaților din cadrul A</w:t>
            </w:r>
            <w:r>
              <w:rPr>
                <w:rFonts w:ascii="Times New Roman" w:hAnsi="Times New Roman" w:cs="Times New Roman"/>
                <w:sz w:val="16"/>
                <w:szCs w:val="16"/>
                <w:lang w:val="ro-MD"/>
              </w:rPr>
              <w:t xml:space="preserve">genției Naționale pentru Ocuparea Forței de Muncă </w:t>
            </w:r>
            <w:r w:rsidRPr="00845AAC">
              <w:rPr>
                <w:rFonts w:ascii="Times New Roman" w:hAnsi="Times New Roman" w:cs="Times New Roman"/>
                <w:sz w:val="16"/>
                <w:szCs w:val="16"/>
                <w:lang w:val="ro-MD"/>
              </w:rPr>
              <w:t xml:space="preserve">majorate cu </w:t>
            </w:r>
            <w:r>
              <w:rPr>
                <w:rFonts w:ascii="Times New Roman" w:hAnsi="Times New Roman" w:cs="Times New Roman"/>
                <w:sz w:val="16"/>
                <w:szCs w:val="16"/>
                <w:lang w:val="ro-MD"/>
              </w:rPr>
              <w:t>80</w:t>
            </w:r>
            <w:r w:rsidRPr="00845AAC">
              <w:rPr>
                <w:rFonts w:ascii="Times New Roman" w:hAnsi="Times New Roman" w:cs="Times New Roman"/>
                <w:sz w:val="16"/>
                <w:szCs w:val="16"/>
                <w:lang w:val="ro-MD"/>
              </w:rPr>
              <w:t>%</w:t>
            </w:r>
            <w:r>
              <w:rPr>
                <w:rFonts w:ascii="Times New Roman" w:hAnsi="Times New Roman" w:cs="Times New Roman"/>
                <w:sz w:val="16"/>
                <w:szCs w:val="16"/>
                <w:lang w:val="ro-MD"/>
              </w:rPr>
              <w:t xml:space="preserve"> </w:t>
            </w:r>
          </w:p>
        </w:tc>
      </w:tr>
      <w:tr w:rsidR="00B21F63" w:rsidRPr="003836D9" w14:paraId="25A0C95E"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BD8ED19"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50.</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C0CAED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Modernizarea subdiviziunilor teritoriale pentru ocuparea forței de muncă</w:t>
            </w:r>
            <w:r>
              <w:rPr>
                <w:rFonts w:ascii="Times New Roman" w:hAnsi="Times New Roman" w:cs="Times New Roman"/>
                <w:sz w:val="16"/>
                <w:szCs w:val="16"/>
                <w:lang w:val="ro-MD"/>
              </w:rPr>
              <w:t>, inclusiv cu asigurarea accesului pentru persoanele cu dizabilități</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9CA1B5" w14:textId="77777777" w:rsidR="00B21F63" w:rsidRPr="003836D9" w:rsidRDefault="00B21F63" w:rsidP="00B21F63">
            <w:pPr>
              <w:spacing w:after="0"/>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2024</w:t>
            </w:r>
            <w:r>
              <w:rPr>
                <w:rFonts w:ascii="Times New Roman" w:hAnsi="Times New Roman" w:cs="Times New Roman"/>
                <w:sz w:val="16"/>
                <w:szCs w:val="16"/>
                <w:lang w:val="ro-MD"/>
              </w:rPr>
              <w:t xml:space="preserve"> -</w:t>
            </w:r>
            <w:r w:rsidRPr="003836D9">
              <w:rPr>
                <w:rFonts w:ascii="Times New Roman" w:hAnsi="Times New Roman" w:cs="Times New Roman"/>
                <w:sz w:val="16"/>
                <w:szCs w:val="16"/>
                <w:lang w:val="ro-MD"/>
              </w:rPr>
              <w:t xml:space="preserve"> 29,6</w:t>
            </w:r>
          </w:p>
          <w:p w14:paraId="2CF485A8" w14:textId="77777777" w:rsidR="00B21F63" w:rsidRDefault="00B21F63" w:rsidP="00B21F63">
            <w:pPr>
              <w:spacing w:after="0"/>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2025 </w:t>
            </w:r>
            <w:r>
              <w:rPr>
                <w:rFonts w:ascii="Times New Roman" w:hAnsi="Times New Roman" w:cs="Times New Roman"/>
                <w:sz w:val="16"/>
                <w:szCs w:val="16"/>
                <w:lang w:val="ro-MD"/>
              </w:rPr>
              <w:t xml:space="preserve">- </w:t>
            </w:r>
            <w:r w:rsidRPr="003836D9">
              <w:rPr>
                <w:rFonts w:ascii="Times New Roman" w:hAnsi="Times New Roman" w:cs="Times New Roman"/>
                <w:sz w:val="16"/>
                <w:szCs w:val="16"/>
                <w:lang w:val="ro-MD"/>
              </w:rPr>
              <w:t>29,6</w:t>
            </w:r>
          </w:p>
          <w:p w14:paraId="3BB83CE6" w14:textId="77777777" w:rsidR="00B21F63" w:rsidRPr="003836D9" w:rsidRDefault="00B21F63" w:rsidP="00B21F63">
            <w:pPr>
              <w:spacing w:after="0"/>
              <w:jc w:val="both"/>
              <w:rPr>
                <w:rFonts w:ascii="Times New Roman" w:hAnsi="Times New Roman" w:cs="Times New Roman"/>
                <w:sz w:val="16"/>
                <w:szCs w:val="16"/>
                <w:lang w:val="ro-MD"/>
              </w:rPr>
            </w:pPr>
            <w:r>
              <w:rPr>
                <w:rFonts w:ascii="Times New Roman" w:hAnsi="Times New Roman" w:cs="Times New Roman"/>
                <w:sz w:val="16"/>
                <w:szCs w:val="16"/>
                <w:lang w:val="ro-MD"/>
              </w:rPr>
              <w:t>2026 - 29,6</w:t>
            </w:r>
          </w:p>
          <w:p w14:paraId="2605063E" w14:textId="77777777" w:rsidR="00B21F63" w:rsidRPr="003836D9" w:rsidRDefault="00B21F63" w:rsidP="00B21F63">
            <w:pPr>
              <w:jc w:val="both"/>
              <w:rPr>
                <w:rFonts w:ascii="Times New Roman" w:hAnsi="Times New Roman" w:cs="Times New Roman"/>
                <w:sz w:val="16"/>
                <w:szCs w:val="16"/>
                <w:lang w:val="ro-MD"/>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29CD455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88,8</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E961F6"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p w14:paraId="0E5FE7EC"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50FC2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0DE5956C" w14:textId="77777777" w:rsidR="00B21F63" w:rsidRPr="003836D9" w:rsidRDefault="00B21F63" w:rsidP="00B21F63">
            <w:pPr>
              <w:jc w:val="both"/>
              <w:rPr>
                <w:rFonts w:ascii="Times New Roman" w:hAnsi="Times New Roman" w:cs="Times New Roman"/>
                <w:sz w:val="16"/>
                <w:szCs w:val="16"/>
                <w:lang w:val="ro-MD"/>
              </w:rPr>
            </w:pP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3BA20762"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52020874" w14:textId="77777777" w:rsidR="00B21F63"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Ministerul Finanțelor</w:t>
            </w:r>
          </w:p>
          <w:p w14:paraId="330B196A"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10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AD817"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33 subdiviziuni teritoriale  reparate, cu asigurarea accesibilității pentru persoanele cu </w:t>
            </w:r>
            <w:r>
              <w:rPr>
                <w:rFonts w:ascii="Times New Roman" w:hAnsi="Times New Roman" w:cs="Times New Roman"/>
                <w:sz w:val="16"/>
                <w:szCs w:val="16"/>
                <w:lang w:val="ro-MD"/>
              </w:rPr>
              <w:t>dizabilități</w:t>
            </w:r>
          </w:p>
        </w:tc>
      </w:tr>
      <w:tr w:rsidR="00B21F63" w:rsidRPr="003836D9" w14:paraId="307FEF78"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459DAEA"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51.</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6300C97"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Procurarea transportului auto pentru subdiviziunile  teritoriale pentru ocuparea forței de muncă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5FBE92" w14:textId="77777777" w:rsidR="00B21F63" w:rsidRPr="003836D9" w:rsidRDefault="00B21F63" w:rsidP="00B21F63">
            <w:pPr>
              <w:spacing w:after="0"/>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2024 – 1,6</w:t>
            </w:r>
          </w:p>
          <w:p w14:paraId="201EA5FB" w14:textId="77777777" w:rsidR="00B21F63" w:rsidRPr="003836D9" w:rsidRDefault="00B21F63" w:rsidP="00B21F63">
            <w:pPr>
              <w:spacing w:after="0"/>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2025 – 1,6</w:t>
            </w:r>
          </w:p>
          <w:p w14:paraId="52D257D6"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2026 – </w:t>
            </w:r>
            <w:r>
              <w:rPr>
                <w:rFonts w:ascii="Times New Roman" w:hAnsi="Times New Roman" w:cs="Times New Roman"/>
                <w:sz w:val="16"/>
                <w:szCs w:val="16"/>
                <w:lang w:val="ro-MD"/>
              </w:rPr>
              <w:t>3,2</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6A809BC9" w14:textId="77777777" w:rsidR="00B21F63" w:rsidRPr="003836D9" w:rsidRDefault="00B21F63" w:rsidP="00B21F63">
            <w:pPr>
              <w:jc w:val="both"/>
              <w:rPr>
                <w:rFonts w:ascii="Times New Roman" w:hAnsi="Times New Roman" w:cs="Times New Roman"/>
                <w:sz w:val="16"/>
                <w:szCs w:val="16"/>
                <w:lang w:val="ro-MD"/>
              </w:rPr>
            </w:pPr>
            <w:r w:rsidRPr="001A7072">
              <w:rPr>
                <w:rFonts w:ascii="Times New Roman" w:hAnsi="Times New Roman" w:cs="Times New Roman"/>
                <w:sz w:val="16"/>
                <w:szCs w:val="16"/>
                <w:lang w:val="ro-MD"/>
              </w:rPr>
              <w:t>6,4</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E54F3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1C47EC"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61FFEDE4"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10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636C5"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32 unități de transport procurate </w:t>
            </w:r>
          </w:p>
        </w:tc>
      </w:tr>
      <w:tr w:rsidR="00B21F63" w:rsidRPr="003836D9" w14:paraId="60168160"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712A882"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52.</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61D75BDD"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Dezvoltarea prognozei pieței muncii pe termen mediu</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EC28E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w:t>
            </w:r>
            <w:r>
              <w:rPr>
                <w:rFonts w:ascii="Times New Roman" w:hAnsi="Times New Roman" w:cs="Times New Roman"/>
                <w:sz w:val="16"/>
                <w:szCs w:val="16"/>
                <w:lang w:val="ro-MD"/>
              </w:rPr>
              <w:t>5</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07EA8DFA"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În limita bugetului alocat</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5551B0"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2BAAAD"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263F6B3E" w14:textId="77777777" w:rsidR="00B21F63" w:rsidRPr="003836D9" w:rsidRDefault="00B21F63" w:rsidP="00B21F63">
            <w:pPr>
              <w:jc w:val="both"/>
              <w:rPr>
                <w:rFonts w:ascii="Times New Roman" w:hAnsi="Times New Roman" w:cs="Times New Roman"/>
                <w:sz w:val="16"/>
                <w:szCs w:val="16"/>
                <w:lang w:val="ro-MD"/>
              </w:rPr>
            </w:pP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6A01EC6F"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tc>
        <w:tc>
          <w:tcPr>
            <w:tcW w:w="10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D84E6A"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Metodologie de prognozare a pieței muncii pe termen mediu elaborată</w:t>
            </w:r>
          </w:p>
          <w:p w14:paraId="13452E86"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Prognoza piețe muncii pe termen mediu elaborată</w:t>
            </w:r>
          </w:p>
        </w:tc>
      </w:tr>
      <w:tr w:rsidR="00B21F63" w:rsidRPr="003836D9" w14:paraId="77609825"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A6E30A4" w14:textId="77777777" w:rsidR="00B21F63"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lastRenderedPageBreak/>
              <w:t>53.</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504CEB9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Îmbunătățirea statisticii naționale cu privire la ocuparea forței de muncă</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F66B1A"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2026</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55779238" w14:textId="77777777" w:rsidR="00B21F63" w:rsidRPr="003836D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0,2</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315D03"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p w14:paraId="6BCA20C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Parteneri externi de dezvoltare</w:t>
            </w:r>
          </w:p>
        </w:tc>
        <w:tc>
          <w:tcPr>
            <w:tcW w:w="7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58EA6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Biroul Național de Statistică</w:t>
            </w:r>
          </w:p>
          <w:p w14:paraId="222474F7" w14:textId="77777777" w:rsidR="00B21F63" w:rsidRPr="003836D9" w:rsidRDefault="00B21F63" w:rsidP="00B21F63">
            <w:pPr>
              <w:jc w:val="both"/>
              <w:rPr>
                <w:rFonts w:ascii="Times New Roman" w:hAnsi="Times New Roman" w:cs="Times New Roman"/>
                <w:sz w:val="16"/>
                <w:szCs w:val="16"/>
                <w:lang w:val="ro-MD"/>
              </w:rPr>
            </w:pP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6BA7E685" w14:textId="77777777" w:rsidR="00B21F63" w:rsidRPr="003836D9" w:rsidRDefault="00B21F63" w:rsidP="00B21F63">
            <w:pPr>
              <w:spacing w:after="0"/>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23435E66"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Organizația Internațională a Muncii</w:t>
            </w:r>
          </w:p>
        </w:tc>
        <w:tc>
          <w:tcPr>
            <w:tcW w:w="10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89400D" w14:textId="77777777" w:rsidR="00B21F63" w:rsidRPr="003836D9" w:rsidRDefault="00B21F63" w:rsidP="00B21F63">
            <w:pPr>
              <w:spacing w:after="0"/>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Date statistice disponibile pentru utilizatori:</w:t>
            </w:r>
          </w:p>
          <w:p w14:paraId="2E6B1A20" w14:textId="77777777" w:rsidR="00B21F63" w:rsidRPr="003836D9" w:rsidRDefault="00B21F63" w:rsidP="00B21F63">
            <w:pPr>
              <w:spacing w:after="0"/>
              <w:jc w:val="both"/>
              <w:rPr>
                <w:rFonts w:ascii="Times New Roman" w:hAnsi="Times New Roman" w:cs="Times New Roman"/>
                <w:sz w:val="16"/>
                <w:szCs w:val="16"/>
                <w:lang w:val="ro-MD"/>
              </w:rPr>
            </w:pPr>
            <w:r w:rsidRPr="001A7072">
              <w:rPr>
                <w:rFonts w:ascii="Times New Roman" w:hAnsi="Times New Roman" w:cs="Times New Roman"/>
                <w:sz w:val="16"/>
                <w:szCs w:val="16"/>
                <w:lang w:val="ro-MD"/>
              </w:rPr>
              <w:t>intensitatea muncii; ocuparea</w:t>
            </w:r>
            <w:r w:rsidRPr="003836D9">
              <w:rPr>
                <w:rFonts w:ascii="Times New Roman" w:hAnsi="Times New Roman" w:cs="Times New Roman"/>
                <w:sz w:val="16"/>
                <w:szCs w:val="16"/>
                <w:lang w:val="ro-MD"/>
              </w:rPr>
              <w:t xml:space="preserve"> în rândul gospodăriilor sărace și gospodăriilor beneficiare de remitențe</w:t>
            </w:r>
          </w:p>
          <w:p w14:paraId="5DD60A93"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Date statistice dezagregate pe tipul de dizabilitate, sex, vârstă</w:t>
            </w:r>
          </w:p>
        </w:tc>
      </w:tr>
      <w:tr w:rsidR="00B21F63" w:rsidRPr="003836D9" w14:paraId="2F6186A1"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FB9AF1D" w14:textId="77777777" w:rsidR="00B21F63" w:rsidRPr="00A37E4F" w:rsidRDefault="00B21F63" w:rsidP="00B21F63">
            <w:pPr>
              <w:jc w:val="center"/>
              <w:rPr>
                <w:rFonts w:ascii="Times New Roman" w:hAnsi="Times New Roman" w:cs="Times New Roman"/>
                <w:sz w:val="16"/>
                <w:szCs w:val="16"/>
                <w:lang w:val="ro-MD"/>
              </w:rPr>
            </w:pPr>
            <w:r>
              <w:rPr>
                <w:rFonts w:ascii="Times New Roman" w:hAnsi="Times New Roman" w:cs="Times New Roman"/>
                <w:sz w:val="16"/>
                <w:szCs w:val="16"/>
                <w:lang w:val="ro-MD"/>
              </w:rPr>
              <w:t>54.</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17FC620"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Extinderea numărului de servicii prestate online de către Agenția Națională pentru Ocuparea Forței de Muncă </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E0844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2026</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693E8827"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În limita </w:t>
            </w:r>
            <w:r>
              <w:rPr>
                <w:rFonts w:ascii="Times New Roman" w:hAnsi="Times New Roman" w:cs="Times New Roman"/>
                <w:sz w:val="16"/>
                <w:szCs w:val="16"/>
                <w:lang w:val="ro-MD"/>
              </w:rPr>
              <w:t xml:space="preserve">bugetului alocat </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EFA3881"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 xml:space="preserve">Parteneri externi de dezvoltare </w:t>
            </w:r>
          </w:p>
          <w:p w14:paraId="00567BC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D6CBF2"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1B5AD02B" w14:textId="77777777" w:rsidR="00B21F63" w:rsidRPr="003836D9" w:rsidRDefault="00B21F63" w:rsidP="00B21F63">
            <w:pPr>
              <w:jc w:val="both"/>
              <w:rPr>
                <w:rFonts w:ascii="Times New Roman" w:hAnsi="Times New Roman" w:cs="Times New Roman"/>
                <w:sz w:val="16"/>
                <w:szCs w:val="16"/>
                <w:lang w:val="ro-MD"/>
              </w:rPr>
            </w:pP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5F0CDE2"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02170F01"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Banca Mondială</w:t>
            </w:r>
          </w:p>
        </w:tc>
        <w:tc>
          <w:tcPr>
            <w:tcW w:w="10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A739CF"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C</w:t>
            </w:r>
            <w:r w:rsidRPr="003836D9">
              <w:rPr>
                <w:rFonts w:ascii="Times New Roman" w:hAnsi="Times New Roman" w:cs="Times New Roman"/>
                <w:sz w:val="16"/>
                <w:szCs w:val="16"/>
                <w:lang w:val="ro-MD"/>
              </w:rPr>
              <w:t>el puțin 50% din serviciile și măsurile active prestate în regim online de Agenția Națională pentru Ocuparea Forței de Muncă</w:t>
            </w:r>
          </w:p>
        </w:tc>
      </w:tr>
      <w:tr w:rsidR="00B21F63" w:rsidRPr="003836D9" w14:paraId="04CFEACC"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B76A375"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55.</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21699899"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Dotarea subdiviziunilor  teritoriale pentru ocuparea forței de muncă cu tehnica IT</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0FD7E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2026</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59DBC80F"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6,5</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96D85D"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Banca Mondială</w:t>
            </w:r>
          </w:p>
          <w:p w14:paraId="38F75DB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D3584E"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3AEF5080" w14:textId="77777777" w:rsidR="00B21F63" w:rsidRPr="003836D9" w:rsidRDefault="00B21F63" w:rsidP="00B21F63">
            <w:pPr>
              <w:jc w:val="both"/>
              <w:rPr>
                <w:rFonts w:ascii="Times New Roman" w:hAnsi="Times New Roman" w:cs="Times New Roman"/>
                <w:sz w:val="16"/>
                <w:szCs w:val="16"/>
                <w:lang w:val="ro-MD"/>
              </w:rPr>
            </w:pP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9EFFFC4" w14:textId="77777777" w:rsidR="00B21F63" w:rsidRPr="003836D9"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5733BDB2" w14:textId="77777777" w:rsidR="00B21F63" w:rsidRPr="003836D9" w:rsidRDefault="00B21F63" w:rsidP="00B21F63">
            <w:pPr>
              <w:rPr>
                <w:rFonts w:ascii="Times New Roman" w:hAnsi="Times New Roman" w:cs="Times New Roman"/>
                <w:sz w:val="16"/>
                <w:szCs w:val="16"/>
                <w:lang w:val="ro-MD"/>
              </w:rPr>
            </w:pPr>
          </w:p>
        </w:tc>
        <w:tc>
          <w:tcPr>
            <w:tcW w:w="10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01380B"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Subdiviziunile teritoriale dotate cu tehnica de calcul</w:t>
            </w:r>
          </w:p>
        </w:tc>
      </w:tr>
      <w:tr w:rsidR="00B21F63" w:rsidRPr="003836D9" w14:paraId="15398418" w14:textId="77777777" w:rsidTr="009F30DC">
        <w:trPr>
          <w:tblHeader/>
        </w:trPr>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76F3DB2" w14:textId="77777777" w:rsidR="00B21F63"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56.</w:t>
            </w:r>
          </w:p>
        </w:tc>
        <w:tc>
          <w:tcPr>
            <w:tcW w:w="928" w:type="pct"/>
            <w:tcBorders>
              <w:top w:val="single" w:sz="4" w:space="0" w:color="auto"/>
              <w:left w:val="single" w:sz="4" w:space="0" w:color="auto"/>
              <w:bottom w:val="single" w:sz="4" w:space="0" w:color="auto"/>
              <w:right w:val="single" w:sz="4" w:space="0" w:color="auto"/>
            </w:tcBorders>
            <w:shd w:val="clear" w:color="auto" w:fill="FFFFFF" w:themeFill="background1"/>
          </w:tcPr>
          <w:p w14:paraId="419EA83C" w14:textId="77777777" w:rsidR="00B21F63"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Dezvoltarea Sistemului Informațional al pieței muncii și a observatorului pieței muncii</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EA8E614" w14:textId="77777777" w:rsidR="00B21F63" w:rsidRPr="003836D9" w:rsidRDefault="00B21F63" w:rsidP="00B21F63">
            <w:pPr>
              <w:jc w:val="both"/>
              <w:rPr>
                <w:rFonts w:ascii="Times New Roman" w:hAnsi="Times New Roman" w:cs="Times New Roman"/>
                <w:sz w:val="16"/>
                <w:szCs w:val="16"/>
                <w:lang w:val="ro-MD"/>
              </w:rPr>
            </w:pPr>
            <w:r>
              <w:rPr>
                <w:rFonts w:ascii="Times New Roman" w:hAnsi="Times New Roman" w:cs="Times New Roman"/>
                <w:sz w:val="16"/>
                <w:szCs w:val="16"/>
                <w:lang w:val="ro-MD"/>
              </w:rPr>
              <w:t>2026</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14:paraId="308F76C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38,5</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ACC0D74"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Banca Mondială</w:t>
            </w:r>
          </w:p>
          <w:p w14:paraId="512CE339"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Bugetul de stat</w:t>
            </w:r>
          </w:p>
        </w:tc>
        <w:tc>
          <w:tcPr>
            <w:tcW w:w="7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15D182" w14:textId="77777777" w:rsidR="00B21F63" w:rsidRPr="003836D9" w:rsidRDefault="00B21F63" w:rsidP="00B21F63">
            <w:pPr>
              <w:jc w:val="both"/>
              <w:rPr>
                <w:rFonts w:ascii="Times New Roman" w:hAnsi="Times New Roman" w:cs="Times New Roman"/>
                <w:sz w:val="16"/>
                <w:szCs w:val="16"/>
                <w:lang w:val="ro-MD"/>
              </w:rPr>
            </w:pPr>
            <w:r w:rsidRPr="003836D9">
              <w:rPr>
                <w:rFonts w:ascii="Times New Roman" w:hAnsi="Times New Roman" w:cs="Times New Roman"/>
                <w:sz w:val="16"/>
                <w:szCs w:val="16"/>
                <w:lang w:val="ro-MD"/>
              </w:rPr>
              <w:t>Ministerul Muncii și Protecției Sociale</w:t>
            </w:r>
          </w:p>
          <w:p w14:paraId="5A132CDC" w14:textId="77777777" w:rsidR="00B21F63" w:rsidRPr="003836D9" w:rsidRDefault="00B21F63" w:rsidP="00B21F63">
            <w:pPr>
              <w:jc w:val="both"/>
              <w:rPr>
                <w:rFonts w:ascii="Times New Roman" w:hAnsi="Times New Roman" w:cs="Times New Roman"/>
                <w:sz w:val="16"/>
                <w:szCs w:val="16"/>
                <w:lang w:val="ro-MD"/>
              </w:rPr>
            </w:pP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2CACDC73" w14:textId="77777777" w:rsidR="00B21F63" w:rsidRDefault="00B21F63" w:rsidP="00B21F63">
            <w:pPr>
              <w:rPr>
                <w:rFonts w:ascii="Times New Roman" w:hAnsi="Times New Roman" w:cs="Times New Roman"/>
                <w:sz w:val="16"/>
                <w:szCs w:val="16"/>
                <w:lang w:val="ro-MD"/>
              </w:rPr>
            </w:pPr>
            <w:r w:rsidRPr="003836D9">
              <w:rPr>
                <w:rFonts w:ascii="Times New Roman" w:hAnsi="Times New Roman" w:cs="Times New Roman"/>
                <w:sz w:val="16"/>
                <w:szCs w:val="16"/>
                <w:lang w:val="ro-MD"/>
              </w:rPr>
              <w:t>Agenția Națională pentru Ocuparea Forței de Muncă</w:t>
            </w:r>
          </w:p>
          <w:p w14:paraId="7E91EA29" w14:textId="77777777" w:rsidR="00B21F63" w:rsidRPr="00941DC9" w:rsidRDefault="00B21F63" w:rsidP="00B21F63">
            <w:pPr>
              <w:rPr>
                <w:rFonts w:ascii="Times New Roman" w:hAnsi="Times New Roman" w:cs="Times New Roman"/>
                <w:sz w:val="16"/>
                <w:szCs w:val="16"/>
                <w:lang w:val="ro-MD"/>
              </w:rPr>
            </w:pPr>
            <w:r>
              <w:rPr>
                <w:rFonts w:ascii="Times New Roman" w:hAnsi="Times New Roman" w:cs="Times New Roman"/>
                <w:sz w:val="16"/>
                <w:szCs w:val="16"/>
                <w:lang w:val="ro-MD"/>
              </w:rPr>
              <w:t>Ministerul Educației și Cercetării</w:t>
            </w:r>
          </w:p>
          <w:p w14:paraId="3ED1248D" w14:textId="77777777" w:rsidR="00B21F63" w:rsidRPr="003836D9" w:rsidRDefault="00B21F63" w:rsidP="00B21F63">
            <w:pPr>
              <w:rPr>
                <w:rFonts w:ascii="Times New Roman" w:hAnsi="Times New Roman" w:cs="Times New Roman"/>
                <w:sz w:val="16"/>
                <w:szCs w:val="16"/>
                <w:lang w:val="ro-MD"/>
              </w:rPr>
            </w:pPr>
          </w:p>
        </w:tc>
        <w:tc>
          <w:tcPr>
            <w:tcW w:w="10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740039" w14:textId="77777777" w:rsidR="00B21F63" w:rsidRPr="003836D9" w:rsidRDefault="00B21F63" w:rsidP="00B21F63">
            <w:pPr>
              <w:jc w:val="both"/>
              <w:rPr>
                <w:rFonts w:ascii="Times New Roman" w:hAnsi="Times New Roman" w:cs="Times New Roman"/>
                <w:sz w:val="16"/>
                <w:szCs w:val="16"/>
                <w:lang w:val="ro-MD"/>
              </w:rPr>
            </w:pPr>
            <w:r w:rsidRPr="00BF4A9A">
              <w:rPr>
                <w:rFonts w:ascii="Times New Roman" w:hAnsi="Times New Roman" w:cs="Times New Roman"/>
                <w:sz w:val="16"/>
                <w:szCs w:val="16"/>
                <w:lang w:val="ro-MD"/>
              </w:rPr>
              <w:t>Sistem informațional dat în exploatare și funcțional</w:t>
            </w:r>
          </w:p>
        </w:tc>
      </w:tr>
      <w:tr w:rsidR="00B21F63" w:rsidRPr="003836D9" w14:paraId="795FFEC3" w14:textId="77777777" w:rsidTr="00C62E1E">
        <w:trPr>
          <w:tblHeader/>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5A8D4A15" w14:textId="7FBED66D" w:rsidR="00B21F63" w:rsidRPr="00A95634" w:rsidRDefault="00B21F63" w:rsidP="0093599D">
            <w:pPr>
              <w:rPr>
                <w:rFonts w:ascii="Times New Roman" w:hAnsi="Times New Roman" w:cs="Times New Roman"/>
                <w:b/>
                <w:sz w:val="16"/>
                <w:szCs w:val="16"/>
                <w:lang w:val="ro-MD"/>
              </w:rPr>
            </w:pPr>
            <w:r w:rsidRPr="003836D9">
              <w:rPr>
                <w:rFonts w:ascii="Times New Roman" w:hAnsi="Times New Roman" w:cs="Times New Roman"/>
                <w:b/>
                <w:sz w:val="16"/>
                <w:szCs w:val="16"/>
                <w:lang w:val="ro-MD"/>
              </w:rPr>
              <w:t>Total</w:t>
            </w:r>
            <w:r>
              <w:rPr>
                <w:rFonts w:ascii="Times New Roman" w:hAnsi="Times New Roman" w:cs="Times New Roman"/>
                <w:b/>
                <w:sz w:val="16"/>
                <w:szCs w:val="16"/>
                <w:lang w:val="ro-MD"/>
              </w:rPr>
              <w:t>:                                                                                  3.2</w:t>
            </w:r>
            <w:r w:rsidR="00E47B66">
              <w:rPr>
                <w:rFonts w:ascii="Times New Roman" w:hAnsi="Times New Roman" w:cs="Times New Roman"/>
                <w:b/>
                <w:sz w:val="16"/>
                <w:szCs w:val="16"/>
                <w:lang w:val="ro-MD"/>
              </w:rPr>
              <w:t>3</w:t>
            </w:r>
            <w:r w:rsidR="0093599D">
              <w:rPr>
                <w:rFonts w:ascii="Times New Roman" w:hAnsi="Times New Roman" w:cs="Times New Roman"/>
                <w:b/>
                <w:sz w:val="16"/>
                <w:szCs w:val="16"/>
                <w:lang w:val="ro-MD"/>
              </w:rPr>
              <w:t>8</w:t>
            </w:r>
            <w:r>
              <w:rPr>
                <w:rFonts w:ascii="Times New Roman" w:hAnsi="Times New Roman" w:cs="Times New Roman"/>
                <w:b/>
                <w:sz w:val="16"/>
                <w:szCs w:val="16"/>
                <w:lang w:val="ro-MD"/>
              </w:rPr>
              <w:t>,1 mil. lei (dintre care din bugetul de stat 3.</w:t>
            </w:r>
            <w:r w:rsidR="0093599D">
              <w:rPr>
                <w:rFonts w:ascii="Times New Roman" w:hAnsi="Times New Roman" w:cs="Times New Roman"/>
                <w:b/>
                <w:sz w:val="16"/>
                <w:szCs w:val="16"/>
                <w:lang w:val="ro-MD"/>
              </w:rPr>
              <w:t>218</w:t>
            </w:r>
            <w:r>
              <w:rPr>
                <w:rFonts w:ascii="Times New Roman" w:hAnsi="Times New Roman" w:cs="Times New Roman"/>
                <w:b/>
                <w:sz w:val="16"/>
                <w:szCs w:val="16"/>
                <w:lang w:val="ro-MD"/>
              </w:rPr>
              <w:t>,</w:t>
            </w:r>
            <w:r w:rsidR="0093599D">
              <w:rPr>
                <w:rFonts w:ascii="Times New Roman" w:hAnsi="Times New Roman" w:cs="Times New Roman"/>
                <w:b/>
                <w:sz w:val="16"/>
                <w:szCs w:val="16"/>
                <w:lang w:val="ro-MD"/>
              </w:rPr>
              <w:t>1</w:t>
            </w:r>
            <w:r>
              <w:rPr>
                <w:rFonts w:ascii="Times New Roman" w:hAnsi="Times New Roman" w:cs="Times New Roman"/>
                <w:b/>
                <w:sz w:val="16"/>
                <w:szCs w:val="16"/>
                <w:lang w:val="ro-MD"/>
              </w:rPr>
              <w:t xml:space="preserve"> mil. lei)</w:t>
            </w:r>
          </w:p>
        </w:tc>
      </w:tr>
    </w:tbl>
    <w:p w14:paraId="72BD77B2" w14:textId="77777777" w:rsidR="009A3229" w:rsidRPr="003836D9" w:rsidRDefault="009A3229" w:rsidP="009A3229">
      <w:pPr>
        <w:pBdr>
          <w:top w:val="nil"/>
          <w:left w:val="nil"/>
          <w:bottom w:val="nil"/>
          <w:right w:val="nil"/>
          <w:between w:val="nil"/>
        </w:pBdr>
        <w:spacing w:after="0" w:line="240" w:lineRule="auto"/>
        <w:ind w:left="720"/>
        <w:rPr>
          <w:rFonts w:ascii="Times New Roman" w:eastAsia="Times New Roman" w:hAnsi="Times New Roman" w:cs="Times New Roman"/>
          <w:bCs/>
          <w:color w:val="000000"/>
          <w:lang w:val="ro-MD"/>
        </w:rPr>
      </w:pPr>
    </w:p>
    <w:p w14:paraId="69A5E76A" w14:textId="77777777" w:rsidR="009A3229" w:rsidRPr="003836D9" w:rsidRDefault="009A3229" w:rsidP="009A3229">
      <w:pPr>
        <w:pBdr>
          <w:top w:val="nil"/>
          <w:left w:val="nil"/>
          <w:bottom w:val="nil"/>
          <w:right w:val="nil"/>
          <w:between w:val="nil"/>
        </w:pBdr>
        <w:spacing w:after="0" w:line="240" w:lineRule="auto"/>
        <w:ind w:left="720"/>
        <w:rPr>
          <w:rFonts w:ascii="Times New Roman" w:eastAsia="Times New Roman" w:hAnsi="Times New Roman" w:cs="Times New Roman"/>
          <w:bCs/>
          <w:color w:val="000000"/>
          <w:lang w:val="ro-MD"/>
        </w:rPr>
      </w:pPr>
    </w:p>
    <w:p w14:paraId="1CABC22C" w14:textId="77777777" w:rsidR="009A3229" w:rsidRPr="00796887" w:rsidRDefault="009A3229" w:rsidP="009A3229">
      <w:pPr>
        <w:rPr>
          <w:lang w:val="ro-MD"/>
        </w:rPr>
      </w:pPr>
    </w:p>
    <w:p w14:paraId="170EFA9D" w14:textId="77777777" w:rsidR="00C1482E" w:rsidRPr="003836D9" w:rsidRDefault="00C1482E" w:rsidP="00390B4A">
      <w:pPr>
        <w:pBdr>
          <w:top w:val="nil"/>
          <w:left w:val="nil"/>
          <w:bottom w:val="nil"/>
          <w:right w:val="nil"/>
          <w:between w:val="nil"/>
        </w:pBdr>
        <w:spacing w:after="0" w:line="240" w:lineRule="auto"/>
        <w:ind w:left="720"/>
        <w:rPr>
          <w:rFonts w:ascii="Times New Roman" w:eastAsia="Times New Roman" w:hAnsi="Times New Roman" w:cs="Times New Roman"/>
          <w:bCs/>
          <w:color w:val="000000"/>
          <w:lang w:val="ro-MD"/>
        </w:rPr>
      </w:pPr>
    </w:p>
    <w:bookmarkEnd w:id="145"/>
    <w:p w14:paraId="34B108FE" w14:textId="77777777" w:rsidR="00C1482E" w:rsidRPr="003836D9" w:rsidRDefault="00C1482E" w:rsidP="00390B4A">
      <w:pPr>
        <w:pBdr>
          <w:top w:val="nil"/>
          <w:left w:val="nil"/>
          <w:bottom w:val="nil"/>
          <w:right w:val="nil"/>
          <w:between w:val="nil"/>
        </w:pBdr>
        <w:spacing w:after="0" w:line="240" w:lineRule="auto"/>
        <w:ind w:left="720"/>
        <w:rPr>
          <w:rFonts w:ascii="Times New Roman" w:eastAsia="Times New Roman" w:hAnsi="Times New Roman" w:cs="Times New Roman"/>
          <w:bCs/>
          <w:color w:val="000000"/>
          <w:lang w:val="ro-MD"/>
        </w:rPr>
      </w:pPr>
    </w:p>
    <w:sectPr w:rsidR="00C1482E" w:rsidRPr="003836D9" w:rsidSect="00243AFB">
      <w:pgSz w:w="11906" w:h="16838"/>
      <w:pgMar w:top="142" w:right="1134" w:bottom="1134" w:left="1134"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367574" w15:done="0"/>
  <w15:commentEx w15:paraId="5C06E3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90651" w16cex:dateUtc="2022-09-11T22:13:00Z"/>
  <w16cex:commentExtensible w16cex:durableId="26C8B2DF" w16cex:dateUtc="2022-09-11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67574" w16cid:durableId="26C90651"/>
  <w16cid:commentId w16cid:paraId="5C06E339" w16cid:durableId="26C8B2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6E8E7" w14:textId="77777777" w:rsidR="00947F3A" w:rsidRDefault="00947F3A" w:rsidP="007A5EB2">
      <w:pPr>
        <w:spacing w:after="0" w:line="240" w:lineRule="auto"/>
      </w:pPr>
      <w:r>
        <w:separator/>
      </w:r>
    </w:p>
  </w:endnote>
  <w:endnote w:type="continuationSeparator" w:id="0">
    <w:p w14:paraId="59CF2D3A" w14:textId="77777777" w:rsidR="00947F3A" w:rsidRDefault="00947F3A" w:rsidP="007A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Gill Sans Nova">
    <w:charset w:val="00"/>
    <w:family w:val="swiss"/>
    <w:pitch w:val="variable"/>
    <w:sig w:usb0="80000287" w:usb1="00000002" w:usb2="00000000" w:usb3="00000000" w:csb0="000000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TE2844728t00">
    <w:altName w:val="MS Mincho"/>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971418"/>
      <w:docPartObj>
        <w:docPartGallery w:val="Page Numbers (Bottom of Page)"/>
        <w:docPartUnique/>
      </w:docPartObj>
    </w:sdtPr>
    <w:sdtEndPr>
      <w:rPr>
        <w:rFonts w:ascii="Times New Roman" w:hAnsi="Times New Roman" w:cs="Times New Roman"/>
        <w:noProof/>
      </w:rPr>
    </w:sdtEndPr>
    <w:sdtContent>
      <w:p w14:paraId="2A0E171A" w14:textId="75A35D9D" w:rsidR="00E3035D" w:rsidRPr="00A5140A" w:rsidRDefault="00E3035D" w:rsidP="00A26D3A">
        <w:pPr>
          <w:pStyle w:val="Footer"/>
          <w:jc w:val="right"/>
          <w:rPr>
            <w:rFonts w:ascii="Times New Roman" w:hAnsi="Times New Roman" w:cs="Times New Roman"/>
          </w:rPr>
        </w:pPr>
        <w:r w:rsidRPr="00A5140A">
          <w:rPr>
            <w:rFonts w:ascii="Times New Roman" w:hAnsi="Times New Roman" w:cs="Times New Roman"/>
          </w:rPr>
          <w:fldChar w:fldCharType="begin"/>
        </w:r>
        <w:r w:rsidRPr="00A5140A">
          <w:rPr>
            <w:rFonts w:ascii="Times New Roman" w:hAnsi="Times New Roman" w:cs="Times New Roman"/>
          </w:rPr>
          <w:instrText xml:space="preserve"> PAGE   \* MERGEFORMAT </w:instrText>
        </w:r>
        <w:r w:rsidRPr="00A5140A">
          <w:rPr>
            <w:rFonts w:ascii="Times New Roman" w:hAnsi="Times New Roman" w:cs="Times New Roman"/>
          </w:rPr>
          <w:fldChar w:fldCharType="separate"/>
        </w:r>
        <w:r w:rsidR="004A37C7">
          <w:rPr>
            <w:rFonts w:ascii="Times New Roman" w:hAnsi="Times New Roman" w:cs="Times New Roman"/>
            <w:noProof/>
          </w:rPr>
          <w:t>21</w:t>
        </w:r>
        <w:r w:rsidRPr="00A5140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A6D56" w14:textId="77777777" w:rsidR="00947F3A" w:rsidRDefault="00947F3A" w:rsidP="007A5EB2">
      <w:pPr>
        <w:spacing w:after="0" w:line="240" w:lineRule="auto"/>
      </w:pPr>
      <w:r>
        <w:separator/>
      </w:r>
    </w:p>
  </w:footnote>
  <w:footnote w:type="continuationSeparator" w:id="0">
    <w:p w14:paraId="4E9DB29A" w14:textId="77777777" w:rsidR="00947F3A" w:rsidRDefault="00947F3A" w:rsidP="007A5EB2">
      <w:pPr>
        <w:spacing w:after="0" w:line="240" w:lineRule="auto"/>
      </w:pPr>
      <w:r>
        <w:continuationSeparator/>
      </w:r>
    </w:p>
  </w:footnote>
  <w:footnote w:id="1">
    <w:p w14:paraId="640AE40B" w14:textId="78A84894" w:rsidR="00E3035D" w:rsidRPr="00756252" w:rsidRDefault="00E3035D">
      <w:pPr>
        <w:pStyle w:val="FootnoteText"/>
        <w:rPr>
          <w:rFonts w:ascii="Times New Roman" w:hAnsi="Times New Roman" w:cs="Times New Roman"/>
          <w:sz w:val="18"/>
          <w:szCs w:val="18"/>
          <w:lang w:val="ro-RO"/>
        </w:rPr>
      </w:pPr>
      <w:r w:rsidRPr="002D74A0">
        <w:rPr>
          <w:rStyle w:val="FootnoteReference"/>
          <w:rFonts w:asciiTheme="majorHAnsi" w:hAnsiTheme="majorHAnsi" w:cstheme="majorHAnsi"/>
          <w:sz w:val="18"/>
          <w:szCs w:val="18"/>
          <w:lang w:val="ro-RO"/>
        </w:rPr>
        <w:footnoteRef/>
      </w:r>
      <w:r w:rsidRPr="002D74A0">
        <w:rPr>
          <w:rFonts w:asciiTheme="majorHAnsi" w:hAnsiTheme="majorHAnsi" w:cstheme="majorHAnsi"/>
          <w:sz w:val="18"/>
          <w:szCs w:val="18"/>
          <w:lang w:val="ro-RO"/>
        </w:rPr>
        <w:t xml:space="preserve"> </w:t>
      </w:r>
      <w:r w:rsidRPr="00756252">
        <w:rPr>
          <w:rFonts w:ascii="Times New Roman" w:hAnsi="Times New Roman" w:cs="Times New Roman"/>
          <w:sz w:val="18"/>
          <w:szCs w:val="18"/>
          <w:lang w:val="ro-RO"/>
        </w:rPr>
        <w:t xml:space="preserve">Banca Mondială, </w:t>
      </w:r>
      <w:r w:rsidRPr="00756252">
        <w:rPr>
          <w:rFonts w:ascii="Times New Roman" w:hAnsi="Times New Roman" w:cs="Times New Roman"/>
          <w:i/>
          <w:iCs/>
          <w:sz w:val="18"/>
          <w:szCs w:val="18"/>
          <w:lang w:val="ro-RO"/>
        </w:rPr>
        <w:t xml:space="preserve">Indicatori de dezvoltare mondială </w:t>
      </w:r>
      <w:r w:rsidRPr="00756252">
        <w:rPr>
          <w:rFonts w:ascii="Times New Roman" w:hAnsi="Times New Roman" w:cs="Times New Roman"/>
          <w:sz w:val="18"/>
          <w:szCs w:val="18"/>
          <w:lang w:val="ro-RO"/>
        </w:rPr>
        <w:t xml:space="preserve">(2000-2020), </w:t>
      </w:r>
      <w:hyperlink r:id="rId1" w:history="1">
        <w:r w:rsidRPr="00756252">
          <w:rPr>
            <w:rStyle w:val="Hyperlink"/>
            <w:rFonts w:ascii="Times New Roman" w:hAnsi="Times New Roman" w:cs="Times New Roman"/>
            <w:sz w:val="18"/>
            <w:szCs w:val="18"/>
            <w:lang w:val="ro-RO"/>
          </w:rPr>
          <w:t>https://data.worldbank.org/country/moldova</w:t>
        </w:r>
      </w:hyperlink>
      <w:r w:rsidRPr="00756252">
        <w:rPr>
          <w:rFonts w:ascii="Times New Roman" w:hAnsi="Times New Roman" w:cs="Times New Roman"/>
          <w:sz w:val="18"/>
          <w:szCs w:val="18"/>
          <w:lang w:val="ro-RO"/>
        </w:rPr>
        <w:t xml:space="preserve">; Biroul Național de Statistică al Republicii Moldova: </w:t>
      </w:r>
      <w:r w:rsidRPr="00756252">
        <w:rPr>
          <w:rFonts w:ascii="Times New Roman" w:hAnsi="Times New Roman" w:cs="Times New Roman"/>
          <w:i/>
          <w:iCs/>
          <w:sz w:val="18"/>
          <w:szCs w:val="18"/>
          <w:lang w:val="ro-RO"/>
        </w:rPr>
        <w:t>Statistica socială</w:t>
      </w:r>
      <w:r w:rsidRPr="00756252">
        <w:rPr>
          <w:rFonts w:ascii="Times New Roman" w:hAnsi="Times New Roman" w:cs="Times New Roman"/>
          <w:sz w:val="18"/>
          <w:szCs w:val="18"/>
          <w:lang w:val="ro-RO"/>
        </w:rPr>
        <w:t xml:space="preserve">, </w:t>
      </w:r>
      <w:hyperlink r:id="rId2" w:history="1">
        <w:r w:rsidRPr="00AC4200">
          <w:rPr>
            <w:rStyle w:val="Hyperlink"/>
            <w:rFonts w:ascii="Times New Roman" w:hAnsi="Times New Roman" w:cs="Times New Roman"/>
            <w:sz w:val="18"/>
            <w:szCs w:val="18"/>
            <w:lang w:val="ro-RO"/>
          </w:rPr>
          <w:t>https://statbank.statistica.md/PxWeb/pxweb/en/30%20Statistica%20sociala/</w:t>
        </w:r>
      </w:hyperlink>
      <w:r w:rsidRPr="00756252">
        <w:rPr>
          <w:rFonts w:ascii="Times New Roman" w:hAnsi="Times New Roman" w:cs="Times New Roman"/>
          <w:sz w:val="18"/>
          <w:szCs w:val="18"/>
          <w:lang w:val="ro-RO"/>
        </w:rPr>
        <w:t xml:space="preserve"> </w:t>
      </w:r>
    </w:p>
  </w:footnote>
  <w:footnote w:id="2">
    <w:p w14:paraId="41D1096D" w14:textId="400827A7" w:rsidR="00E3035D" w:rsidRPr="00756252" w:rsidRDefault="00E3035D">
      <w:pPr>
        <w:pStyle w:val="FootnoteText"/>
        <w:rPr>
          <w:rFonts w:ascii="Times New Roman" w:hAnsi="Times New Roman" w:cs="Times New Roman"/>
          <w:sz w:val="18"/>
          <w:szCs w:val="18"/>
          <w:lang w:val="ro-RO"/>
        </w:rPr>
      </w:pPr>
      <w:r w:rsidRPr="00756252">
        <w:rPr>
          <w:rStyle w:val="FootnoteReference"/>
          <w:rFonts w:ascii="Times New Roman" w:hAnsi="Times New Roman" w:cs="Times New Roman"/>
          <w:sz w:val="18"/>
          <w:szCs w:val="18"/>
          <w:lang w:val="ro-RO"/>
        </w:rPr>
        <w:footnoteRef/>
      </w:r>
      <w:r w:rsidRPr="00756252">
        <w:rPr>
          <w:rFonts w:ascii="Times New Roman" w:hAnsi="Times New Roman" w:cs="Times New Roman"/>
          <w:sz w:val="18"/>
          <w:szCs w:val="18"/>
          <w:lang w:val="ro-RO"/>
        </w:rPr>
        <w:t xml:space="preserve"> PIB pe cap de locuitor calculat la paritatea puterii de cumpărare (PPP) și la dolari internaționali constanți 2017. Vezi indicatorii de dezvoltare ai Băncii Mondiale. </w:t>
      </w:r>
    </w:p>
  </w:footnote>
  <w:footnote w:id="3">
    <w:p w14:paraId="2E95DADE" w14:textId="6FBA4D82" w:rsidR="00E3035D" w:rsidRPr="00756252" w:rsidRDefault="00E3035D">
      <w:pPr>
        <w:pStyle w:val="FootnoteText"/>
        <w:rPr>
          <w:rFonts w:ascii="Times New Roman" w:hAnsi="Times New Roman" w:cs="Times New Roman"/>
          <w:sz w:val="18"/>
          <w:szCs w:val="18"/>
        </w:rPr>
      </w:pPr>
      <w:r w:rsidRPr="00756252">
        <w:rPr>
          <w:rStyle w:val="FootnoteReference"/>
          <w:rFonts w:ascii="Times New Roman" w:hAnsi="Times New Roman" w:cs="Times New Roman"/>
          <w:sz w:val="18"/>
          <w:szCs w:val="18"/>
          <w:lang w:val="ro-RO"/>
        </w:rPr>
        <w:footnoteRef/>
      </w:r>
      <w:r w:rsidRPr="00756252">
        <w:rPr>
          <w:rFonts w:ascii="Times New Roman" w:hAnsi="Times New Roman" w:cs="Times New Roman"/>
          <w:sz w:val="18"/>
          <w:szCs w:val="18"/>
          <w:lang w:val="ro-RO"/>
        </w:rPr>
        <w:t xml:space="preserve"> Banca Mondială, </w:t>
      </w:r>
      <w:r w:rsidRPr="00756252">
        <w:rPr>
          <w:rFonts w:ascii="Times New Roman" w:hAnsi="Times New Roman" w:cs="Times New Roman"/>
          <w:i/>
          <w:iCs/>
          <w:sz w:val="18"/>
          <w:szCs w:val="18"/>
          <w:lang w:val="ro-RO"/>
        </w:rPr>
        <w:t xml:space="preserve">Note de Politici Moldova 2019. Susținerea stabilității și revitalizarea creșterii, </w:t>
      </w:r>
      <w:r w:rsidRPr="00756252">
        <w:rPr>
          <w:rFonts w:ascii="Times New Roman" w:hAnsi="Times New Roman" w:cs="Times New Roman"/>
          <w:sz w:val="18"/>
          <w:szCs w:val="18"/>
          <w:lang w:val="ro-RO"/>
        </w:rPr>
        <w:t>World Bank Group 2019.</w:t>
      </w:r>
      <w:r w:rsidRPr="00756252">
        <w:rPr>
          <w:rFonts w:ascii="Times New Roman" w:hAnsi="Times New Roman" w:cs="Times New Roman"/>
          <w:sz w:val="18"/>
          <w:szCs w:val="18"/>
        </w:rPr>
        <w:t xml:space="preserve"> </w:t>
      </w:r>
    </w:p>
  </w:footnote>
  <w:footnote w:id="4">
    <w:p w14:paraId="445BAC0D" w14:textId="1AAE5024" w:rsidR="00E3035D" w:rsidRPr="0068460E" w:rsidRDefault="00E3035D">
      <w:pPr>
        <w:pStyle w:val="FootnoteText"/>
        <w:rPr>
          <w:rFonts w:ascii="Times New Roman" w:hAnsi="Times New Roman" w:cs="Times New Roman"/>
          <w:sz w:val="18"/>
          <w:szCs w:val="18"/>
          <w:lang w:val="ro-RO"/>
        </w:rPr>
      </w:pPr>
      <w:r w:rsidRPr="008F3072">
        <w:rPr>
          <w:rStyle w:val="FootnoteReference"/>
          <w:rFonts w:asciiTheme="majorHAnsi" w:hAnsiTheme="majorHAnsi" w:cstheme="majorHAnsi"/>
          <w:sz w:val="18"/>
          <w:szCs w:val="18"/>
        </w:rPr>
        <w:footnoteRef/>
      </w:r>
      <w:r w:rsidRPr="00DC4B85">
        <w:rPr>
          <w:rFonts w:asciiTheme="majorHAnsi" w:hAnsiTheme="majorHAnsi" w:cstheme="majorHAnsi"/>
          <w:sz w:val="18"/>
          <w:szCs w:val="18"/>
          <w:lang w:val="es-ES"/>
        </w:rPr>
        <w:t xml:space="preserve"> </w:t>
      </w:r>
      <w:r w:rsidRPr="0068460E">
        <w:rPr>
          <w:rFonts w:ascii="Times New Roman" w:hAnsi="Times New Roman" w:cs="Times New Roman"/>
          <w:sz w:val="18"/>
          <w:szCs w:val="18"/>
          <w:lang w:val="es-ES"/>
        </w:rPr>
        <w:t xml:space="preserve">Rata </w:t>
      </w:r>
      <w:r w:rsidRPr="0068460E">
        <w:rPr>
          <w:rFonts w:ascii="Times New Roman" w:hAnsi="Times New Roman" w:cs="Times New Roman"/>
          <w:sz w:val="18"/>
          <w:szCs w:val="18"/>
          <w:lang w:val="ro-RO"/>
        </w:rPr>
        <w:t xml:space="preserve">șomajului se raportează conform datelor Biroului Național de Statistică (banca de date statistice), care se bazează pe populația rezidentă. Această metodă de calcul a fost retrasă, iar principalii indicatori de pe piața muncii prezintă o întrerupere în serie din 2018.  </w:t>
      </w:r>
    </w:p>
  </w:footnote>
  <w:footnote w:id="5">
    <w:p w14:paraId="0422DC77" w14:textId="59631ACE" w:rsidR="00E3035D" w:rsidRPr="0068460E" w:rsidRDefault="00E3035D">
      <w:pPr>
        <w:pStyle w:val="FootnoteText"/>
        <w:rPr>
          <w:rFonts w:ascii="Times New Roman" w:hAnsi="Times New Roman" w:cs="Times New Roman"/>
          <w:sz w:val="18"/>
          <w:szCs w:val="18"/>
          <w:lang w:val="it-IT"/>
        </w:rPr>
      </w:pPr>
      <w:r w:rsidRPr="0068460E">
        <w:rPr>
          <w:rStyle w:val="FootnoteReference"/>
          <w:rFonts w:ascii="Times New Roman" w:hAnsi="Times New Roman" w:cs="Times New Roman"/>
          <w:sz w:val="18"/>
          <w:szCs w:val="18"/>
          <w:lang w:val="ro-RO"/>
        </w:rPr>
        <w:footnoteRef/>
      </w:r>
      <w:r w:rsidRPr="0068460E">
        <w:rPr>
          <w:rFonts w:ascii="Times New Roman" w:hAnsi="Times New Roman" w:cs="Times New Roman"/>
          <w:sz w:val="18"/>
          <w:szCs w:val="18"/>
          <w:lang w:val="ro-RO"/>
        </w:rPr>
        <w:t xml:space="preserve"> Banca Mondială</w:t>
      </w:r>
      <w:r w:rsidRPr="0068460E">
        <w:rPr>
          <w:rFonts w:ascii="Times New Roman" w:hAnsi="Times New Roman" w:cs="Times New Roman"/>
          <w:i/>
          <w:iCs/>
          <w:sz w:val="18"/>
          <w:szCs w:val="18"/>
          <w:lang w:val="ro-RO"/>
        </w:rPr>
        <w:t>, Analiza finanțelor publice din Moldova</w:t>
      </w:r>
      <w:r w:rsidRPr="0068460E">
        <w:rPr>
          <w:rFonts w:ascii="Times New Roman" w:hAnsi="Times New Roman" w:cs="Times New Roman"/>
          <w:sz w:val="18"/>
          <w:szCs w:val="18"/>
          <w:lang w:val="ro-RO"/>
        </w:rPr>
        <w:t xml:space="preserve">, World Bank Group, 2016, </w:t>
      </w:r>
      <w:hyperlink r:id="rId3" w:history="1">
        <w:r w:rsidRPr="0068460E">
          <w:rPr>
            <w:rStyle w:val="Hyperlink"/>
            <w:rFonts w:ascii="Times New Roman" w:hAnsi="Times New Roman" w:cs="Times New Roman"/>
            <w:sz w:val="18"/>
            <w:szCs w:val="18"/>
            <w:lang w:val="it-IT"/>
          </w:rPr>
          <w:t>https://documents.worldbank.org/en/publication/documents-reports/documentdetail/862181500274376993/moldova-public-finance-review-towards-more-efficient-and-more-sustainable-public-finances</w:t>
        </w:r>
      </w:hyperlink>
      <w:r w:rsidRPr="0068460E">
        <w:rPr>
          <w:rFonts w:ascii="Times New Roman" w:hAnsi="Times New Roman" w:cs="Times New Roman"/>
          <w:sz w:val="18"/>
          <w:szCs w:val="18"/>
          <w:lang w:val="it-IT"/>
        </w:rPr>
        <w:t xml:space="preserve"> </w:t>
      </w:r>
    </w:p>
  </w:footnote>
  <w:footnote w:id="6">
    <w:p w14:paraId="0C5B37FB" w14:textId="3427DF27" w:rsidR="00E3035D" w:rsidRPr="00011A77" w:rsidRDefault="00E3035D">
      <w:pPr>
        <w:pStyle w:val="FootnoteText"/>
        <w:rPr>
          <w:rFonts w:ascii="Times New Roman" w:hAnsi="Times New Roman" w:cs="Times New Roman"/>
          <w:sz w:val="18"/>
          <w:szCs w:val="18"/>
          <w:lang w:val="ro-RO"/>
        </w:rPr>
      </w:pPr>
      <w:r w:rsidRPr="009617D6">
        <w:rPr>
          <w:rStyle w:val="FootnoteReference"/>
          <w:rFonts w:asciiTheme="majorHAnsi" w:hAnsiTheme="majorHAnsi" w:cstheme="majorHAnsi"/>
          <w:sz w:val="18"/>
          <w:szCs w:val="18"/>
        </w:rPr>
        <w:footnoteRef/>
      </w:r>
      <w:r w:rsidRPr="00E719CC">
        <w:rPr>
          <w:rFonts w:asciiTheme="majorHAnsi" w:hAnsiTheme="majorHAnsi" w:cstheme="majorHAnsi"/>
          <w:sz w:val="18"/>
          <w:szCs w:val="18"/>
          <w:lang w:val="es-ES"/>
        </w:rPr>
        <w:t xml:space="preserve"> </w:t>
      </w:r>
      <w:r w:rsidRPr="00011A77">
        <w:rPr>
          <w:rFonts w:ascii="Times New Roman" w:hAnsi="Times New Roman" w:cs="Times New Roman"/>
          <w:sz w:val="18"/>
          <w:szCs w:val="18"/>
          <w:lang w:val="ro-RO"/>
        </w:rPr>
        <w:t xml:space="preserve">Banca Mondială: </w:t>
      </w:r>
      <w:r w:rsidRPr="00011A77">
        <w:rPr>
          <w:rFonts w:ascii="Times New Roman" w:hAnsi="Times New Roman" w:cs="Times New Roman"/>
          <w:i/>
          <w:iCs/>
          <w:sz w:val="18"/>
          <w:szCs w:val="18"/>
          <w:lang w:val="ro-RO"/>
        </w:rPr>
        <w:t>Moldova Actualizare Economică</w:t>
      </w:r>
      <w:r w:rsidRPr="00011A77">
        <w:rPr>
          <w:rFonts w:ascii="Times New Roman" w:hAnsi="Times New Roman" w:cs="Times New Roman"/>
          <w:sz w:val="18"/>
          <w:szCs w:val="18"/>
          <w:lang w:val="ro-RO"/>
        </w:rPr>
        <w:t xml:space="preserve">, 2021, </w:t>
      </w:r>
      <w:hyperlink r:id="rId4" w:history="1">
        <w:r w:rsidRPr="00011A77">
          <w:rPr>
            <w:rStyle w:val="Hyperlink"/>
            <w:rFonts w:ascii="Times New Roman" w:hAnsi="Times New Roman" w:cs="Times New Roman"/>
            <w:sz w:val="18"/>
            <w:szCs w:val="18"/>
            <w:lang w:val="ro-RO"/>
          </w:rPr>
          <w:t>https://www.worldbank.org/en/country/moldova/brief/moldova-economic-update</w:t>
        </w:r>
      </w:hyperlink>
      <w:r w:rsidRPr="00011A77">
        <w:rPr>
          <w:rFonts w:ascii="Times New Roman" w:hAnsi="Times New Roman" w:cs="Times New Roman"/>
          <w:sz w:val="18"/>
          <w:szCs w:val="18"/>
          <w:lang w:val="ro-RO"/>
        </w:rPr>
        <w:t xml:space="preserve"> </w:t>
      </w:r>
    </w:p>
  </w:footnote>
  <w:footnote w:id="7">
    <w:p w14:paraId="435E8FC0" w14:textId="3715A238" w:rsidR="00E3035D" w:rsidRPr="00011A77" w:rsidRDefault="00E3035D" w:rsidP="00091894">
      <w:pPr>
        <w:pStyle w:val="FootnoteText"/>
        <w:rPr>
          <w:rFonts w:ascii="Times New Roman" w:hAnsi="Times New Roman" w:cs="Times New Roman"/>
          <w:sz w:val="18"/>
          <w:szCs w:val="18"/>
          <w:lang w:val="ro-RO"/>
        </w:rPr>
      </w:pPr>
      <w:r w:rsidRPr="00011A77">
        <w:rPr>
          <w:rStyle w:val="FootnoteReference"/>
          <w:rFonts w:ascii="Times New Roman" w:hAnsi="Times New Roman" w:cs="Times New Roman"/>
          <w:sz w:val="18"/>
          <w:szCs w:val="18"/>
          <w:lang w:val="ro-RO"/>
        </w:rPr>
        <w:footnoteRef/>
      </w:r>
      <w:r w:rsidRPr="00011A77">
        <w:rPr>
          <w:rFonts w:ascii="Times New Roman" w:hAnsi="Times New Roman" w:cs="Times New Roman"/>
          <w:sz w:val="18"/>
          <w:szCs w:val="18"/>
          <w:lang w:val="ro-RO"/>
        </w:rPr>
        <w:t xml:space="preserve"> Comisia Europeană: </w:t>
      </w:r>
      <w:r w:rsidRPr="00011A77">
        <w:rPr>
          <w:rFonts w:ascii="Times New Roman" w:hAnsi="Times New Roman" w:cs="Times New Roman"/>
          <w:i/>
          <w:iCs/>
          <w:sz w:val="18"/>
          <w:szCs w:val="18"/>
          <w:lang w:val="ro-RO"/>
        </w:rPr>
        <w:t>Fișa informativă SBA</w:t>
      </w:r>
      <w:r w:rsidRPr="00011A77">
        <w:rPr>
          <w:rFonts w:ascii="Times New Roman" w:hAnsi="Times New Roman" w:cs="Times New Roman"/>
          <w:sz w:val="18"/>
          <w:szCs w:val="18"/>
          <w:lang w:val="ro-RO"/>
        </w:rPr>
        <w:t xml:space="preserve"> </w:t>
      </w:r>
      <w:r w:rsidRPr="00011A77">
        <w:rPr>
          <w:rFonts w:ascii="Times New Roman" w:hAnsi="Times New Roman" w:cs="Times New Roman"/>
          <w:i/>
          <w:iCs/>
          <w:sz w:val="18"/>
          <w:szCs w:val="18"/>
          <w:lang w:val="ro-RO"/>
        </w:rPr>
        <w:t>2019</w:t>
      </w:r>
      <w:r w:rsidRPr="00011A77">
        <w:rPr>
          <w:rFonts w:ascii="Times New Roman" w:hAnsi="Times New Roman" w:cs="Times New Roman"/>
          <w:sz w:val="18"/>
          <w:szCs w:val="18"/>
          <w:lang w:val="ro-RO"/>
        </w:rPr>
        <w:t xml:space="preserve"> Moldova, </w:t>
      </w:r>
      <w:hyperlink r:id="rId5" w:history="1">
        <w:r w:rsidRPr="00011A77">
          <w:rPr>
            <w:rStyle w:val="Hyperlink"/>
            <w:rFonts w:ascii="Times New Roman" w:hAnsi="Times New Roman" w:cs="Times New Roman"/>
            <w:sz w:val="18"/>
            <w:szCs w:val="18"/>
            <w:lang w:val="ro-RO"/>
          </w:rPr>
          <w:t>https://ec.europa.eu/neighbourhood-enlargement/system/files/2019-11/sba-fs-2019_moldova.pdf</w:t>
        </w:r>
      </w:hyperlink>
      <w:r w:rsidRPr="00011A77">
        <w:rPr>
          <w:rFonts w:ascii="Times New Roman" w:hAnsi="Times New Roman" w:cs="Times New Roman"/>
          <w:sz w:val="18"/>
          <w:szCs w:val="18"/>
          <w:lang w:val="ro-RO"/>
        </w:rPr>
        <w:t xml:space="preserve"> </w:t>
      </w:r>
    </w:p>
  </w:footnote>
  <w:footnote w:id="8">
    <w:p w14:paraId="1DBD89FA" w14:textId="77777777" w:rsidR="00E3035D" w:rsidRPr="00011A77" w:rsidRDefault="00E3035D" w:rsidP="00091894">
      <w:pPr>
        <w:pStyle w:val="FootnoteText"/>
        <w:rPr>
          <w:rFonts w:ascii="Times New Roman" w:hAnsi="Times New Roman" w:cs="Times New Roman"/>
          <w:sz w:val="18"/>
          <w:szCs w:val="18"/>
          <w:lang w:val="ro-RO"/>
        </w:rPr>
      </w:pPr>
      <w:r w:rsidRPr="00011A77">
        <w:rPr>
          <w:rStyle w:val="FootnoteReference"/>
          <w:rFonts w:ascii="Times New Roman" w:hAnsi="Times New Roman" w:cs="Times New Roman"/>
          <w:sz w:val="18"/>
          <w:szCs w:val="18"/>
          <w:lang w:val="ro-RO"/>
        </w:rPr>
        <w:footnoteRef/>
      </w:r>
      <w:r w:rsidRPr="00011A77">
        <w:rPr>
          <w:rFonts w:ascii="Times New Roman" w:hAnsi="Times New Roman" w:cs="Times New Roman"/>
          <w:sz w:val="18"/>
          <w:szCs w:val="18"/>
          <w:lang w:val="ro-RO"/>
        </w:rPr>
        <w:t xml:space="preserve"> Ibidem. </w:t>
      </w:r>
    </w:p>
  </w:footnote>
  <w:footnote w:id="9">
    <w:p w14:paraId="4D0ED5BD" w14:textId="5F04850A" w:rsidR="00E3035D" w:rsidRPr="00011A77" w:rsidRDefault="00E3035D">
      <w:pPr>
        <w:pStyle w:val="FootnoteText"/>
        <w:rPr>
          <w:rFonts w:ascii="Times New Roman" w:hAnsi="Times New Roman" w:cs="Times New Roman"/>
          <w:sz w:val="18"/>
          <w:szCs w:val="18"/>
          <w:lang w:val="ro-RO"/>
        </w:rPr>
      </w:pPr>
      <w:r w:rsidRPr="00011A77">
        <w:rPr>
          <w:rStyle w:val="FootnoteReference"/>
          <w:rFonts w:ascii="Times New Roman" w:hAnsi="Times New Roman" w:cs="Times New Roman"/>
          <w:sz w:val="18"/>
          <w:szCs w:val="18"/>
          <w:lang w:val="ro-RO"/>
        </w:rPr>
        <w:footnoteRef/>
      </w:r>
      <w:r w:rsidRPr="00011A77">
        <w:rPr>
          <w:rFonts w:ascii="Times New Roman" w:hAnsi="Times New Roman" w:cs="Times New Roman"/>
          <w:sz w:val="18"/>
          <w:szCs w:val="18"/>
          <w:lang w:val="ro-RO"/>
        </w:rPr>
        <w:t xml:space="preserve"> Banca Mondială, </w:t>
      </w:r>
      <w:r w:rsidRPr="00011A77">
        <w:rPr>
          <w:rFonts w:ascii="Times New Roman" w:hAnsi="Times New Roman" w:cs="Times New Roman"/>
          <w:i/>
          <w:iCs/>
          <w:sz w:val="18"/>
          <w:szCs w:val="18"/>
          <w:lang w:val="ro-RO"/>
        </w:rPr>
        <w:t xml:space="preserve">Note de Politici Moldova 2019. Susținerea stabilității și revitalizarea creșterii, </w:t>
      </w:r>
      <w:r w:rsidRPr="00011A77">
        <w:rPr>
          <w:rFonts w:ascii="Times New Roman" w:hAnsi="Times New Roman" w:cs="Times New Roman"/>
          <w:sz w:val="18"/>
          <w:szCs w:val="18"/>
          <w:lang w:val="ro-RO"/>
        </w:rPr>
        <w:t>World Bank Group 2019, op.cit.</w:t>
      </w:r>
    </w:p>
  </w:footnote>
  <w:footnote w:id="10">
    <w:p w14:paraId="112BD1BE" w14:textId="6AF54D0D" w:rsidR="00E3035D" w:rsidRPr="00011A77" w:rsidRDefault="00E3035D" w:rsidP="00D81B8F">
      <w:pPr>
        <w:pStyle w:val="FootnoteText"/>
        <w:rPr>
          <w:rFonts w:ascii="Times New Roman" w:hAnsi="Times New Roman" w:cs="Times New Roman"/>
          <w:sz w:val="18"/>
          <w:szCs w:val="18"/>
          <w:lang w:val="ro-RO"/>
        </w:rPr>
      </w:pPr>
      <w:r w:rsidRPr="00011A77">
        <w:rPr>
          <w:rStyle w:val="FootnoteReference"/>
          <w:rFonts w:ascii="Times New Roman" w:hAnsi="Times New Roman" w:cs="Times New Roman"/>
          <w:sz w:val="18"/>
          <w:szCs w:val="18"/>
          <w:lang w:val="ro-RO"/>
        </w:rPr>
        <w:footnoteRef/>
      </w:r>
      <w:r w:rsidRPr="00011A77">
        <w:rPr>
          <w:rFonts w:ascii="Times New Roman" w:hAnsi="Times New Roman" w:cs="Times New Roman"/>
          <w:sz w:val="18"/>
          <w:szCs w:val="18"/>
          <w:lang w:val="ro-RO"/>
        </w:rPr>
        <w:t xml:space="preserve"> </w:t>
      </w:r>
      <w:r>
        <w:rPr>
          <w:rFonts w:ascii="Times New Roman" w:hAnsi="Times New Roman" w:cs="Times New Roman"/>
          <w:sz w:val="18"/>
          <w:szCs w:val="18"/>
          <w:lang w:val="ro-RO"/>
        </w:rPr>
        <w:t>Biroul Național de Statistică</w:t>
      </w:r>
      <w:r w:rsidRPr="00011A77">
        <w:rPr>
          <w:rFonts w:ascii="Times New Roman" w:hAnsi="Times New Roman" w:cs="Times New Roman"/>
          <w:sz w:val="18"/>
          <w:szCs w:val="18"/>
          <w:lang w:val="ro-RO"/>
        </w:rPr>
        <w:t xml:space="preserve">: </w:t>
      </w:r>
      <w:r w:rsidRPr="00011A77">
        <w:rPr>
          <w:rFonts w:ascii="Times New Roman" w:hAnsi="Times New Roman" w:cs="Times New Roman"/>
          <w:i/>
          <w:iCs/>
          <w:sz w:val="18"/>
          <w:szCs w:val="18"/>
          <w:lang w:val="ro-RO"/>
        </w:rPr>
        <w:t>Ratele sărăciei absolute, pe regiuni statistice</w:t>
      </w:r>
      <w:r w:rsidRPr="00011A77">
        <w:rPr>
          <w:rFonts w:ascii="Times New Roman" w:hAnsi="Times New Roman" w:cs="Times New Roman"/>
          <w:sz w:val="18"/>
          <w:szCs w:val="18"/>
          <w:lang w:val="ro-RO"/>
        </w:rPr>
        <w:t>, diverși ani.</w:t>
      </w:r>
    </w:p>
  </w:footnote>
  <w:footnote w:id="11">
    <w:p w14:paraId="1C228EE5" w14:textId="4FF1E1EF" w:rsidR="00E3035D" w:rsidRPr="0002634C" w:rsidRDefault="00E3035D" w:rsidP="00787284">
      <w:pPr>
        <w:pStyle w:val="FootnoteText"/>
        <w:jc w:val="both"/>
        <w:rPr>
          <w:rFonts w:ascii="Times New Roman" w:hAnsi="Times New Roman" w:cs="Times New Roman"/>
          <w:sz w:val="18"/>
          <w:szCs w:val="18"/>
          <w:lang w:val="ro-RO"/>
        </w:rPr>
      </w:pPr>
      <w:r w:rsidRPr="00181C02">
        <w:rPr>
          <w:rStyle w:val="FootnoteReference"/>
          <w:rFonts w:asciiTheme="majorHAnsi" w:hAnsiTheme="majorHAnsi" w:cstheme="majorHAnsi"/>
          <w:sz w:val="18"/>
          <w:szCs w:val="18"/>
          <w:lang w:val="ro-RO"/>
        </w:rPr>
        <w:footnoteRef/>
      </w:r>
      <w:r w:rsidRPr="00181C02">
        <w:rPr>
          <w:rFonts w:asciiTheme="majorHAnsi" w:hAnsiTheme="majorHAnsi" w:cstheme="majorHAnsi"/>
          <w:sz w:val="18"/>
          <w:szCs w:val="18"/>
          <w:lang w:val="ro-RO"/>
        </w:rPr>
        <w:t xml:space="preserve"> </w:t>
      </w:r>
      <w:r w:rsidRPr="0002634C">
        <w:rPr>
          <w:rFonts w:ascii="Times New Roman" w:hAnsi="Times New Roman" w:cs="Times New Roman"/>
          <w:sz w:val="18"/>
          <w:szCs w:val="18"/>
          <w:lang w:val="ro-RO"/>
        </w:rPr>
        <w:t>Acest capitol trece în revistă indicatorii cheie ai pieței muncii din Moldova, estimați de Biroul Național de Statistică. B</w:t>
      </w:r>
      <w:r>
        <w:rPr>
          <w:rFonts w:ascii="Times New Roman" w:hAnsi="Times New Roman" w:cs="Times New Roman"/>
          <w:sz w:val="18"/>
          <w:szCs w:val="18"/>
          <w:lang w:val="ro-RO"/>
        </w:rPr>
        <w:t>iroul Național de Statistică</w:t>
      </w:r>
      <w:r w:rsidRPr="0002634C">
        <w:rPr>
          <w:rFonts w:ascii="Times New Roman" w:hAnsi="Times New Roman" w:cs="Times New Roman"/>
          <w:sz w:val="18"/>
          <w:szCs w:val="18"/>
          <w:lang w:val="ro-RO"/>
        </w:rPr>
        <w:t xml:space="preserve"> a schimbat în 2019 metodologia A</w:t>
      </w:r>
      <w:r>
        <w:rPr>
          <w:rFonts w:ascii="Times New Roman" w:hAnsi="Times New Roman" w:cs="Times New Roman"/>
          <w:sz w:val="18"/>
          <w:szCs w:val="18"/>
          <w:lang w:val="ro-RO"/>
        </w:rPr>
        <w:t>nchetei Forței de Muncă</w:t>
      </w:r>
      <w:r w:rsidRPr="0002634C">
        <w:rPr>
          <w:rFonts w:ascii="Times New Roman" w:hAnsi="Times New Roman" w:cs="Times New Roman"/>
          <w:sz w:val="18"/>
          <w:szCs w:val="18"/>
          <w:lang w:val="ro-RO"/>
        </w:rPr>
        <w:t>. Schimbările metodologice țin de: a) introducerea unui nou an de sondaj; b) ajustarea definiției „ocupării” la noul standard internațional și c) utilizarea numărului „populației cu reședință obișnuită” pentru estimarea rezultatelor A</w:t>
      </w:r>
      <w:r>
        <w:rPr>
          <w:rFonts w:ascii="Times New Roman" w:hAnsi="Times New Roman" w:cs="Times New Roman"/>
          <w:sz w:val="18"/>
          <w:szCs w:val="18"/>
          <w:lang w:val="ro-RO"/>
        </w:rPr>
        <w:t>nchetei Forței de Muncă</w:t>
      </w:r>
      <w:r w:rsidRPr="0002634C">
        <w:rPr>
          <w:rFonts w:ascii="Times New Roman" w:hAnsi="Times New Roman" w:cs="Times New Roman"/>
          <w:sz w:val="18"/>
          <w:szCs w:val="18"/>
          <w:lang w:val="ro-RO"/>
        </w:rPr>
        <w:t>. Până în 2018, inclusiv, s-a utilizat numărul „populației stabile”, ceea ce a cauzat o întrerupere a seriei cronologice. B</w:t>
      </w:r>
      <w:r>
        <w:rPr>
          <w:rFonts w:ascii="Times New Roman" w:hAnsi="Times New Roman" w:cs="Times New Roman"/>
          <w:sz w:val="18"/>
          <w:szCs w:val="18"/>
          <w:lang w:val="ro-RO"/>
        </w:rPr>
        <w:t>iroul Național de Statistică</w:t>
      </w:r>
      <w:r w:rsidRPr="0002634C">
        <w:rPr>
          <w:rFonts w:ascii="Times New Roman" w:hAnsi="Times New Roman" w:cs="Times New Roman"/>
          <w:sz w:val="18"/>
          <w:szCs w:val="18"/>
          <w:lang w:val="ro-RO"/>
        </w:rPr>
        <w:t xml:space="preserve"> a recalculat estimările pentru anii 2014-2018. Prin urmare, acest capitol se axează pe datele ajustate ale anchetei forței de muncă pentru perioada 2014-2020, dacă nu este specificat altfel.</w:t>
      </w:r>
    </w:p>
  </w:footnote>
  <w:footnote w:id="12">
    <w:p w14:paraId="061EA899" w14:textId="1F13A03F" w:rsidR="00E3035D" w:rsidRPr="0002634C" w:rsidRDefault="00E3035D">
      <w:pPr>
        <w:pStyle w:val="FootnoteText"/>
        <w:rPr>
          <w:rFonts w:ascii="Times New Roman" w:hAnsi="Times New Roman" w:cs="Times New Roman"/>
          <w:sz w:val="18"/>
          <w:szCs w:val="18"/>
          <w:lang w:val="ro-RO"/>
        </w:rPr>
      </w:pPr>
      <w:r w:rsidRPr="0002634C">
        <w:rPr>
          <w:rStyle w:val="FootnoteReference"/>
          <w:rFonts w:ascii="Times New Roman" w:hAnsi="Times New Roman" w:cs="Times New Roman"/>
          <w:sz w:val="18"/>
          <w:szCs w:val="18"/>
          <w:lang w:val="ro-RO"/>
        </w:rPr>
        <w:footnoteRef/>
      </w:r>
      <w:r w:rsidRPr="0002634C">
        <w:rPr>
          <w:rFonts w:ascii="Times New Roman" w:hAnsi="Times New Roman" w:cs="Times New Roman"/>
          <w:sz w:val="18"/>
          <w:szCs w:val="18"/>
          <w:lang w:val="ro-RO"/>
        </w:rPr>
        <w:t xml:space="preserve"> Populație cu reședință obișnuită</w:t>
      </w:r>
    </w:p>
  </w:footnote>
  <w:footnote w:id="13">
    <w:p w14:paraId="565BF574" w14:textId="53A716EE" w:rsidR="00E3035D" w:rsidRPr="0002634C" w:rsidRDefault="00E3035D">
      <w:pPr>
        <w:pStyle w:val="FootnoteText"/>
        <w:rPr>
          <w:rFonts w:ascii="Times New Roman" w:hAnsi="Times New Roman" w:cs="Times New Roman"/>
          <w:sz w:val="18"/>
          <w:szCs w:val="18"/>
          <w:lang w:val="ro-RO"/>
        </w:rPr>
      </w:pPr>
      <w:r w:rsidRPr="0002634C">
        <w:rPr>
          <w:rStyle w:val="FootnoteReference"/>
          <w:rFonts w:ascii="Times New Roman" w:hAnsi="Times New Roman" w:cs="Times New Roman"/>
          <w:sz w:val="18"/>
          <w:szCs w:val="18"/>
          <w:lang w:val="ro-RO"/>
        </w:rPr>
        <w:footnoteRef/>
      </w:r>
      <w:r w:rsidRPr="0002634C">
        <w:rPr>
          <w:rFonts w:ascii="Times New Roman" w:hAnsi="Times New Roman" w:cs="Times New Roman"/>
          <w:sz w:val="18"/>
          <w:szCs w:val="18"/>
          <w:lang w:val="ro-RO"/>
        </w:rPr>
        <w:t xml:space="preserve"> Națiunile Unite, Departamentul Afaceri Economice și Sociale, Diviziunea populației: </w:t>
      </w:r>
      <w:r w:rsidRPr="0002634C">
        <w:rPr>
          <w:rFonts w:ascii="Times New Roman" w:hAnsi="Times New Roman" w:cs="Times New Roman"/>
          <w:i/>
          <w:iCs/>
          <w:sz w:val="18"/>
          <w:szCs w:val="18"/>
          <w:lang w:val="ro-RO"/>
        </w:rPr>
        <w:t>proiecții de probabilitate ale populației</w:t>
      </w:r>
      <w:r w:rsidRPr="0002634C">
        <w:rPr>
          <w:rFonts w:ascii="Times New Roman" w:hAnsi="Times New Roman" w:cs="Times New Roman"/>
          <w:sz w:val="18"/>
          <w:szCs w:val="18"/>
          <w:lang w:val="ro-RO"/>
        </w:rPr>
        <w:t xml:space="preserve"> (rev1), 2019. </w:t>
      </w:r>
    </w:p>
  </w:footnote>
  <w:footnote w:id="14">
    <w:p w14:paraId="361347BB" w14:textId="42F119A1" w:rsidR="00E3035D" w:rsidRPr="0002634C" w:rsidRDefault="00E3035D">
      <w:pPr>
        <w:pStyle w:val="FootnoteText"/>
        <w:rPr>
          <w:rFonts w:ascii="Times New Roman" w:hAnsi="Times New Roman" w:cs="Times New Roman"/>
          <w:sz w:val="18"/>
          <w:szCs w:val="18"/>
          <w:lang w:val="ro-RO"/>
        </w:rPr>
      </w:pPr>
      <w:r w:rsidRPr="0002634C">
        <w:rPr>
          <w:rStyle w:val="FootnoteReference"/>
          <w:rFonts w:ascii="Times New Roman" w:hAnsi="Times New Roman" w:cs="Times New Roman"/>
          <w:sz w:val="18"/>
          <w:szCs w:val="18"/>
          <w:lang w:val="ro-RO"/>
        </w:rPr>
        <w:footnoteRef/>
      </w:r>
      <w:r w:rsidRPr="0002634C">
        <w:rPr>
          <w:rFonts w:ascii="Times New Roman" w:hAnsi="Times New Roman" w:cs="Times New Roman"/>
          <w:sz w:val="18"/>
          <w:szCs w:val="18"/>
          <w:lang w:val="ro-RO"/>
        </w:rPr>
        <w:t xml:space="preserve"> Ibid.</w:t>
      </w:r>
    </w:p>
  </w:footnote>
  <w:footnote w:id="15">
    <w:p w14:paraId="3ED98418" w14:textId="4FAEF839" w:rsidR="00E3035D" w:rsidRPr="0002634C" w:rsidRDefault="00E3035D" w:rsidP="000D05BD">
      <w:pPr>
        <w:pStyle w:val="Default"/>
        <w:rPr>
          <w:rFonts w:ascii="Times New Roman" w:hAnsi="Times New Roman" w:cs="Times New Roman"/>
          <w:sz w:val="18"/>
          <w:szCs w:val="18"/>
          <w:lang w:val="it-IT"/>
        </w:rPr>
      </w:pPr>
      <w:r w:rsidRPr="0002634C">
        <w:rPr>
          <w:rStyle w:val="FootnoteReference"/>
          <w:rFonts w:ascii="Times New Roman" w:hAnsi="Times New Roman" w:cs="Times New Roman"/>
          <w:sz w:val="18"/>
          <w:szCs w:val="18"/>
          <w:lang w:val="ro-RO"/>
        </w:rPr>
        <w:footnoteRef/>
      </w:r>
      <w:r w:rsidRPr="0002634C">
        <w:rPr>
          <w:rFonts w:ascii="Times New Roman" w:hAnsi="Times New Roman" w:cs="Times New Roman"/>
          <w:sz w:val="18"/>
          <w:szCs w:val="18"/>
          <w:lang w:val="ro-RO"/>
        </w:rPr>
        <w:t xml:space="preserve"> Organizația Internațională pentru Migrație (OIM): </w:t>
      </w:r>
      <w:r w:rsidRPr="0002634C">
        <w:rPr>
          <w:rFonts w:ascii="Times New Roman" w:hAnsi="Times New Roman" w:cs="Times New Roman"/>
          <w:i/>
          <w:iCs/>
          <w:color w:val="221E1F"/>
          <w:sz w:val="18"/>
          <w:szCs w:val="18"/>
          <w:lang w:val="ro-RO"/>
        </w:rPr>
        <w:t>Migrația în scop de muncă a cetățenilor Republicii Moldova, 2020</w:t>
      </w:r>
      <w:r w:rsidRPr="0002634C">
        <w:rPr>
          <w:rFonts w:ascii="Times New Roman" w:hAnsi="Times New Roman" w:cs="Times New Roman"/>
          <w:color w:val="221E1F"/>
          <w:sz w:val="18"/>
          <w:szCs w:val="18"/>
          <w:lang w:val="ro-RO"/>
        </w:rPr>
        <w:t>. Deși sfera cercetării este destul de restrânsă, datele prezentate aici sunt aliniate cu datele altor instituții de cercetare.</w:t>
      </w:r>
    </w:p>
  </w:footnote>
  <w:footnote w:id="16">
    <w:p w14:paraId="32A76EA8" w14:textId="31D28A87" w:rsidR="00E3035D" w:rsidRPr="0002634C" w:rsidRDefault="00E3035D" w:rsidP="00B87550">
      <w:pPr>
        <w:spacing w:after="0"/>
        <w:rPr>
          <w:rFonts w:ascii="Times New Roman" w:hAnsi="Times New Roman" w:cs="Times New Roman"/>
          <w:lang w:val="ro-RO"/>
        </w:rPr>
      </w:pPr>
      <w:r w:rsidRPr="00B87550">
        <w:rPr>
          <w:rStyle w:val="FootnoteReference"/>
          <w:rFonts w:ascii="Times New Roman" w:hAnsi="Times New Roman" w:cs="Times New Roman"/>
          <w:sz w:val="18"/>
          <w:szCs w:val="18"/>
          <w:lang w:val="ro-RO"/>
        </w:rPr>
        <w:footnoteRef/>
      </w:r>
      <w:r w:rsidRPr="004E5F95">
        <w:rPr>
          <w:rFonts w:asciiTheme="majorHAnsi" w:hAnsiTheme="majorHAnsi" w:cstheme="majorHAnsi"/>
          <w:sz w:val="16"/>
          <w:szCs w:val="16"/>
          <w:lang w:val="ro-RO"/>
        </w:rPr>
        <w:t xml:space="preserve"> </w:t>
      </w:r>
      <w:r w:rsidRPr="0002634C">
        <w:rPr>
          <w:rFonts w:ascii="Times New Roman" w:hAnsi="Times New Roman" w:cs="Times New Roman"/>
          <w:sz w:val="16"/>
          <w:szCs w:val="16"/>
          <w:lang w:val="ro-RO"/>
        </w:rPr>
        <w:t xml:space="preserve">OIM: Profilul extins de migrație Republicii Moldova, OIM, 2013; Institutul de Cercetare a Ocupării Forței de Muncă (IAB): </w:t>
      </w:r>
      <w:r w:rsidRPr="0002634C">
        <w:rPr>
          <w:rFonts w:ascii="Times New Roman" w:hAnsi="Times New Roman" w:cs="Times New Roman"/>
          <w:i/>
          <w:iCs/>
          <w:sz w:val="16"/>
          <w:szCs w:val="16"/>
          <w:lang w:val="ro-RO"/>
        </w:rPr>
        <w:t>Datele despre exodul de creiere IAB (1980-201</w:t>
      </w:r>
      <w:r w:rsidRPr="00B87550">
        <w:rPr>
          <w:rFonts w:ascii="Times New Roman" w:hAnsi="Times New Roman" w:cs="Times New Roman"/>
          <w:i/>
          <w:iCs/>
          <w:sz w:val="16"/>
          <w:szCs w:val="16"/>
          <w:lang w:val="ro-RO"/>
        </w:rPr>
        <w:t>0</w:t>
      </w:r>
      <w:r w:rsidRPr="0002634C">
        <w:rPr>
          <w:rFonts w:ascii="Times New Roman" w:hAnsi="Times New Roman" w:cs="Times New Roman"/>
          <w:sz w:val="16"/>
          <w:szCs w:val="16"/>
          <w:lang w:val="ro-RO"/>
        </w:rPr>
        <w:t>),</w:t>
      </w:r>
      <w:r>
        <w:rPr>
          <w:rFonts w:ascii="Times New Roman" w:hAnsi="Times New Roman" w:cs="Times New Roman"/>
          <w:sz w:val="16"/>
          <w:szCs w:val="16"/>
          <w:lang w:val="ro-RO"/>
        </w:rPr>
        <w:t xml:space="preserve"> </w:t>
      </w:r>
      <w:hyperlink r:id="rId6" w:history="1">
        <w:r w:rsidRPr="00A14A18">
          <w:rPr>
            <w:rStyle w:val="Hyperlink"/>
            <w:rFonts w:ascii="Times New Roman" w:hAnsi="Times New Roman" w:cs="Times New Roman"/>
            <w:sz w:val="16"/>
            <w:szCs w:val="16"/>
            <w:lang w:val="ro-RO"/>
          </w:rPr>
          <w:t>https://www.iab.de/en/daten/iab-brain-drain-data.aspx</w:t>
        </w:r>
      </w:hyperlink>
      <w:r>
        <w:rPr>
          <w:rFonts w:ascii="Times New Roman" w:hAnsi="Times New Roman" w:cs="Times New Roman"/>
          <w:sz w:val="16"/>
          <w:szCs w:val="16"/>
          <w:lang w:val="ro-RO"/>
        </w:rPr>
        <w:t>.</w:t>
      </w:r>
    </w:p>
  </w:footnote>
  <w:footnote w:id="17">
    <w:p w14:paraId="6BFFE84A" w14:textId="5F255E45" w:rsidR="00E3035D" w:rsidRPr="0002634C" w:rsidRDefault="00E3035D" w:rsidP="0057323E">
      <w:pPr>
        <w:pStyle w:val="Heading3"/>
        <w:keepNext w:val="0"/>
        <w:keepLines w:val="0"/>
        <w:widowControl w:val="0"/>
        <w:spacing w:before="0" w:line="240" w:lineRule="auto"/>
        <w:rPr>
          <w:rFonts w:ascii="Times New Roman" w:hAnsi="Times New Roman" w:cs="Times New Roman"/>
          <w:b/>
          <w:bCs/>
          <w:color w:val="auto"/>
          <w:sz w:val="18"/>
          <w:szCs w:val="18"/>
          <w:lang w:val="ro-RO"/>
        </w:rPr>
      </w:pPr>
      <w:r w:rsidRPr="0002634C">
        <w:rPr>
          <w:rStyle w:val="FootnoteReference"/>
          <w:rFonts w:ascii="Times New Roman" w:hAnsi="Times New Roman" w:cs="Times New Roman"/>
          <w:color w:val="auto"/>
          <w:sz w:val="18"/>
          <w:szCs w:val="18"/>
          <w:lang w:val="ro-RO"/>
        </w:rPr>
        <w:footnoteRef/>
      </w:r>
      <w:r w:rsidRPr="0002634C">
        <w:rPr>
          <w:rFonts w:ascii="Times New Roman" w:hAnsi="Times New Roman" w:cs="Times New Roman"/>
          <w:color w:val="auto"/>
          <w:sz w:val="18"/>
          <w:szCs w:val="18"/>
          <w:lang w:val="ro-RO"/>
        </w:rPr>
        <w:t xml:space="preserve"> </w:t>
      </w:r>
      <w:proofErr w:type="spellStart"/>
      <w:r w:rsidRPr="0002634C">
        <w:rPr>
          <w:rFonts w:ascii="Times New Roman" w:hAnsi="Times New Roman" w:cs="Times New Roman"/>
          <w:color w:val="auto"/>
          <w:sz w:val="18"/>
          <w:szCs w:val="18"/>
          <w:lang w:val="ro-RO"/>
        </w:rPr>
        <w:t>Eurostat</w:t>
      </w:r>
      <w:proofErr w:type="spellEnd"/>
      <w:r w:rsidRPr="0002634C">
        <w:rPr>
          <w:rFonts w:ascii="Times New Roman" w:hAnsi="Times New Roman" w:cs="Times New Roman"/>
          <w:color w:val="auto"/>
          <w:sz w:val="18"/>
          <w:szCs w:val="18"/>
          <w:lang w:val="ro-RO"/>
        </w:rPr>
        <w:t xml:space="preserve">: </w:t>
      </w:r>
      <w:r w:rsidRPr="0002634C">
        <w:rPr>
          <w:rFonts w:ascii="Times New Roman" w:hAnsi="Times New Roman" w:cs="Times New Roman"/>
          <w:i/>
          <w:iCs/>
          <w:color w:val="auto"/>
          <w:sz w:val="18"/>
          <w:szCs w:val="18"/>
          <w:lang w:val="ro-RO"/>
        </w:rPr>
        <w:t xml:space="preserve">Elevii din învățământul preșcolar și primar pe nivel de educație și vârstă </w:t>
      </w:r>
      <w:r>
        <w:rPr>
          <w:rFonts w:ascii="Times New Roman" w:hAnsi="Times New Roman" w:cs="Times New Roman"/>
          <w:i/>
          <w:iCs/>
          <w:color w:val="auto"/>
          <w:sz w:val="18"/>
          <w:szCs w:val="18"/>
          <w:lang w:val="ro-RO"/>
        </w:rPr>
        <w:t xml:space="preserve">-- % </w:t>
      </w:r>
      <w:r w:rsidRPr="0002634C">
        <w:rPr>
          <w:rFonts w:ascii="Times New Roman" w:hAnsi="Times New Roman" w:cs="Times New Roman"/>
          <w:i/>
          <w:iCs/>
          <w:color w:val="auto"/>
          <w:sz w:val="18"/>
          <w:szCs w:val="18"/>
          <w:lang w:val="ro-RO"/>
        </w:rPr>
        <w:t xml:space="preserve">din populația de vârstă corespunzătoare </w:t>
      </w:r>
      <w:r w:rsidRPr="0002634C">
        <w:rPr>
          <w:rFonts w:ascii="Times New Roman" w:hAnsi="Times New Roman" w:cs="Times New Roman"/>
          <w:color w:val="auto"/>
          <w:sz w:val="18"/>
          <w:szCs w:val="18"/>
          <w:lang w:val="ro-RO"/>
        </w:rPr>
        <w:t xml:space="preserve">(cod online </w:t>
      </w:r>
      <w:r w:rsidRPr="0002634C">
        <w:rPr>
          <w:rStyle w:val="infoboxtext-data"/>
          <w:rFonts w:ascii="Times New Roman" w:hAnsi="Times New Roman" w:cs="Times New Roman"/>
          <w:color w:val="auto"/>
          <w:sz w:val="18"/>
          <w:szCs w:val="18"/>
          <w:lang w:val="ro-RO"/>
        </w:rPr>
        <w:t>EDUC_UOE_ENRP07).</w:t>
      </w:r>
      <w:r w:rsidRPr="0002634C">
        <w:rPr>
          <w:rFonts w:ascii="Times New Roman" w:hAnsi="Times New Roman" w:cs="Times New Roman"/>
          <w:color w:val="auto"/>
          <w:sz w:val="18"/>
          <w:szCs w:val="18"/>
          <w:lang w:val="ro-RO"/>
        </w:rPr>
        <w:t xml:space="preserve">  </w:t>
      </w:r>
    </w:p>
  </w:footnote>
  <w:footnote w:id="18">
    <w:p w14:paraId="26B1CEC2" w14:textId="1AF8BA20" w:rsidR="00E3035D" w:rsidRPr="0002634C" w:rsidRDefault="00E3035D" w:rsidP="00EB3256">
      <w:pPr>
        <w:pStyle w:val="NormalWeb"/>
        <w:spacing w:before="0" w:beforeAutospacing="0" w:after="0" w:afterAutospacing="0"/>
        <w:rPr>
          <w:lang w:val="ro-RO"/>
        </w:rPr>
      </w:pPr>
      <w:r w:rsidRPr="00676B13">
        <w:rPr>
          <w:rStyle w:val="FootnoteReference"/>
          <w:rFonts w:ascii="Calibri Light" w:hAnsi="Calibri Light"/>
          <w:sz w:val="18"/>
          <w:szCs w:val="18"/>
        </w:rPr>
        <w:footnoteRef/>
      </w:r>
      <w:r w:rsidRPr="00F93478">
        <w:rPr>
          <w:rFonts w:ascii="Calibri Light" w:hAnsi="Calibri Light"/>
          <w:sz w:val="18"/>
          <w:szCs w:val="18"/>
          <w:lang w:val="es-ES"/>
        </w:rPr>
        <w:t xml:space="preserve"> </w:t>
      </w:r>
      <w:r w:rsidRPr="0002634C">
        <w:rPr>
          <w:sz w:val="18"/>
          <w:szCs w:val="18"/>
          <w:lang w:val="es-ES"/>
        </w:rPr>
        <w:t xml:space="preserve">Banca </w:t>
      </w:r>
      <w:r w:rsidRPr="0002634C">
        <w:rPr>
          <w:sz w:val="18"/>
          <w:szCs w:val="18"/>
          <w:lang w:val="ro-RO"/>
        </w:rPr>
        <w:t xml:space="preserve">Mondială, </w:t>
      </w:r>
      <w:r w:rsidRPr="0002634C">
        <w:rPr>
          <w:i/>
          <w:iCs/>
          <w:sz w:val="18"/>
          <w:szCs w:val="18"/>
          <w:lang w:val="ro-RO"/>
        </w:rPr>
        <w:t>Indicatori de dezvoltare mondială</w:t>
      </w:r>
    </w:p>
  </w:footnote>
  <w:footnote w:id="19">
    <w:p w14:paraId="275E3841" w14:textId="49DF628C" w:rsidR="00E3035D" w:rsidRPr="0002634C" w:rsidRDefault="00E3035D" w:rsidP="00FE6577">
      <w:pPr>
        <w:spacing w:after="0" w:line="240" w:lineRule="auto"/>
        <w:rPr>
          <w:rFonts w:ascii="Times New Roman" w:hAnsi="Times New Roman" w:cs="Times New Roman"/>
          <w:lang w:val="ro-RO"/>
        </w:rPr>
      </w:pPr>
      <w:r w:rsidRPr="0002634C">
        <w:rPr>
          <w:rStyle w:val="FootnoteReference"/>
          <w:rFonts w:ascii="Times New Roman" w:hAnsi="Times New Roman" w:cs="Times New Roman"/>
          <w:sz w:val="18"/>
          <w:szCs w:val="18"/>
        </w:rPr>
        <w:footnoteRef/>
      </w:r>
      <w:r w:rsidRPr="0002634C">
        <w:rPr>
          <w:rFonts w:ascii="Times New Roman" w:hAnsi="Times New Roman" w:cs="Times New Roman"/>
          <w:lang w:val="ro-RO"/>
        </w:rPr>
        <w:t xml:space="preserve"> </w:t>
      </w:r>
      <w:proofErr w:type="spellStart"/>
      <w:r w:rsidRPr="0002634C">
        <w:rPr>
          <w:rFonts w:ascii="Times New Roman" w:hAnsi="Times New Roman" w:cs="Times New Roman"/>
          <w:sz w:val="18"/>
          <w:szCs w:val="18"/>
          <w:lang w:val="ro-RO"/>
        </w:rPr>
        <w:t>Eurostat</w:t>
      </w:r>
      <w:proofErr w:type="spellEnd"/>
      <w:r w:rsidRPr="0002634C">
        <w:rPr>
          <w:rFonts w:ascii="Times New Roman" w:hAnsi="Times New Roman" w:cs="Times New Roman"/>
          <w:sz w:val="18"/>
          <w:szCs w:val="18"/>
          <w:lang w:val="ro-RO"/>
        </w:rPr>
        <w:t>: Rata de participare în educație și instruire</w:t>
      </w:r>
      <w:r w:rsidRPr="0002634C">
        <w:rPr>
          <w:rFonts w:ascii="Times New Roman" w:eastAsia="Times New Roman" w:hAnsi="Times New Roman" w:cs="Times New Roman"/>
          <w:i/>
          <w:iCs/>
          <w:sz w:val="18"/>
          <w:szCs w:val="18"/>
          <w:lang w:val="ro-RO" w:eastAsia="en-GB"/>
        </w:rPr>
        <w:t xml:space="preserve"> (ultimele 4 săptămâni) după sex și vârstă</w:t>
      </w:r>
      <w:r w:rsidRPr="0002634C">
        <w:rPr>
          <w:rFonts w:ascii="Times New Roman" w:eastAsia="Times New Roman" w:hAnsi="Times New Roman" w:cs="Times New Roman"/>
          <w:sz w:val="18"/>
          <w:szCs w:val="18"/>
          <w:lang w:val="ro-RO" w:eastAsia="en-GB"/>
        </w:rPr>
        <w:t>, diverși ani [cod online: trng_lfs_01].</w:t>
      </w:r>
    </w:p>
  </w:footnote>
  <w:footnote w:id="20">
    <w:p w14:paraId="7AA146B5" w14:textId="78B49F71" w:rsidR="00E3035D" w:rsidRPr="000D3468" w:rsidRDefault="00E3035D" w:rsidP="005E7C98">
      <w:pPr>
        <w:pStyle w:val="FootnoteText"/>
        <w:rPr>
          <w:rFonts w:ascii="Times New Roman" w:hAnsi="Times New Roman" w:cs="Times New Roman"/>
          <w:sz w:val="18"/>
          <w:szCs w:val="18"/>
          <w:lang w:val="ro-RO"/>
        </w:rPr>
      </w:pPr>
      <w:r>
        <w:rPr>
          <w:rStyle w:val="FootnoteReference"/>
        </w:rPr>
        <w:footnoteRef/>
      </w:r>
      <w:r w:rsidRPr="00546DD1">
        <w:rPr>
          <w:lang w:val="ro-RO"/>
        </w:rPr>
        <w:t xml:space="preserve"> </w:t>
      </w:r>
      <w:r w:rsidRPr="000D3468">
        <w:rPr>
          <w:rFonts w:ascii="Times New Roman" w:hAnsi="Times New Roman" w:cs="Times New Roman"/>
          <w:sz w:val="18"/>
          <w:szCs w:val="18"/>
          <w:lang w:val="ro-RO"/>
        </w:rPr>
        <w:t xml:space="preserve">Rezoluția </w:t>
      </w:r>
      <w:r>
        <w:rPr>
          <w:rFonts w:ascii="Times New Roman" w:hAnsi="Times New Roman" w:cs="Times New Roman"/>
          <w:sz w:val="18"/>
          <w:szCs w:val="18"/>
          <w:lang w:val="en-US"/>
        </w:rPr>
        <w:t>“</w:t>
      </w:r>
      <w:r w:rsidRPr="000D3468">
        <w:rPr>
          <w:rFonts w:ascii="Times New Roman" w:hAnsi="Times New Roman" w:cs="Times New Roman"/>
          <w:sz w:val="18"/>
          <w:szCs w:val="18"/>
          <w:lang w:val="ro-RO"/>
        </w:rPr>
        <w:t>Statisticile privind munca, ocuparea și subutilizarea forței de muncă”, adoptată de a 19ea Conferință Internațională a Statisticienilor Muncii din 2013 (</w:t>
      </w:r>
      <w:proofErr w:type="spellStart"/>
      <w:r w:rsidRPr="000D3468">
        <w:rPr>
          <w:rFonts w:ascii="Times New Roman" w:hAnsi="Times New Roman" w:cs="Times New Roman"/>
          <w:sz w:val="18"/>
          <w:szCs w:val="18"/>
          <w:lang w:val="ro-RO"/>
        </w:rPr>
        <w:t>Resolution</w:t>
      </w:r>
      <w:proofErr w:type="spellEnd"/>
      <w:r w:rsidRPr="000D3468">
        <w:rPr>
          <w:rFonts w:ascii="Times New Roman" w:hAnsi="Times New Roman" w:cs="Times New Roman"/>
          <w:sz w:val="18"/>
          <w:szCs w:val="18"/>
          <w:lang w:val="ro-RO"/>
        </w:rPr>
        <w:t xml:space="preserve"> I. </w:t>
      </w:r>
      <w:proofErr w:type="spellStart"/>
      <w:r w:rsidRPr="000D3468">
        <w:rPr>
          <w:rFonts w:ascii="Times New Roman" w:hAnsi="Times New Roman" w:cs="Times New Roman"/>
          <w:sz w:val="18"/>
          <w:szCs w:val="18"/>
          <w:lang w:val="ro-RO"/>
        </w:rPr>
        <w:t>Resolution</w:t>
      </w:r>
      <w:proofErr w:type="spellEnd"/>
      <w:r w:rsidRPr="000D3468">
        <w:rPr>
          <w:rFonts w:ascii="Times New Roman" w:hAnsi="Times New Roman" w:cs="Times New Roman"/>
          <w:sz w:val="18"/>
          <w:szCs w:val="18"/>
          <w:lang w:val="ro-RO"/>
        </w:rPr>
        <w:t xml:space="preserve"> </w:t>
      </w:r>
      <w:proofErr w:type="spellStart"/>
      <w:r w:rsidRPr="000D3468">
        <w:rPr>
          <w:rFonts w:ascii="Times New Roman" w:hAnsi="Times New Roman" w:cs="Times New Roman"/>
          <w:sz w:val="18"/>
          <w:szCs w:val="18"/>
          <w:lang w:val="ro-RO"/>
        </w:rPr>
        <w:t>concerning</w:t>
      </w:r>
      <w:proofErr w:type="spellEnd"/>
      <w:r w:rsidRPr="000D3468">
        <w:rPr>
          <w:rFonts w:ascii="Times New Roman" w:hAnsi="Times New Roman" w:cs="Times New Roman"/>
          <w:sz w:val="18"/>
          <w:szCs w:val="18"/>
          <w:lang w:val="ro-RO"/>
        </w:rPr>
        <w:t xml:space="preserve"> </w:t>
      </w:r>
      <w:proofErr w:type="spellStart"/>
      <w:r w:rsidRPr="000D3468">
        <w:rPr>
          <w:rFonts w:ascii="Times New Roman" w:hAnsi="Times New Roman" w:cs="Times New Roman"/>
          <w:sz w:val="18"/>
          <w:szCs w:val="18"/>
          <w:lang w:val="ro-RO"/>
        </w:rPr>
        <w:t>statistics</w:t>
      </w:r>
      <w:proofErr w:type="spellEnd"/>
      <w:r w:rsidRPr="000D3468">
        <w:rPr>
          <w:rFonts w:ascii="Times New Roman" w:hAnsi="Times New Roman" w:cs="Times New Roman"/>
          <w:sz w:val="18"/>
          <w:szCs w:val="18"/>
          <w:lang w:val="ro-RO"/>
        </w:rPr>
        <w:t xml:space="preserve"> of </w:t>
      </w:r>
      <w:proofErr w:type="spellStart"/>
      <w:r w:rsidRPr="000D3468">
        <w:rPr>
          <w:rFonts w:ascii="Times New Roman" w:hAnsi="Times New Roman" w:cs="Times New Roman"/>
          <w:sz w:val="18"/>
          <w:szCs w:val="18"/>
          <w:lang w:val="ro-RO"/>
        </w:rPr>
        <w:t>work</w:t>
      </w:r>
      <w:proofErr w:type="spellEnd"/>
      <w:r w:rsidRPr="000D3468">
        <w:rPr>
          <w:rFonts w:ascii="Times New Roman" w:hAnsi="Times New Roman" w:cs="Times New Roman"/>
          <w:sz w:val="18"/>
          <w:szCs w:val="18"/>
          <w:lang w:val="ro-RO"/>
        </w:rPr>
        <w:t xml:space="preserve">, </w:t>
      </w:r>
      <w:proofErr w:type="spellStart"/>
      <w:r w:rsidRPr="000D3468">
        <w:rPr>
          <w:rFonts w:ascii="Times New Roman" w:hAnsi="Times New Roman" w:cs="Times New Roman"/>
          <w:sz w:val="18"/>
          <w:szCs w:val="18"/>
          <w:lang w:val="ro-RO"/>
        </w:rPr>
        <w:t>employment</w:t>
      </w:r>
      <w:proofErr w:type="spellEnd"/>
      <w:r w:rsidRPr="000D3468">
        <w:rPr>
          <w:rFonts w:ascii="Times New Roman" w:hAnsi="Times New Roman" w:cs="Times New Roman"/>
          <w:sz w:val="18"/>
          <w:szCs w:val="18"/>
          <w:lang w:val="ro-RO"/>
        </w:rPr>
        <w:t xml:space="preserve"> </w:t>
      </w:r>
      <w:proofErr w:type="spellStart"/>
      <w:r w:rsidRPr="000D3468">
        <w:rPr>
          <w:rFonts w:ascii="Times New Roman" w:hAnsi="Times New Roman" w:cs="Times New Roman"/>
          <w:sz w:val="18"/>
          <w:szCs w:val="18"/>
          <w:lang w:val="ro-RO"/>
        </w:rPr>
        <w:t>and</w:t>
      </w:r>
      <w:proofErr w:type="spellEnd"/>
      <w:r w:rsidRPr="000D3468">
        <w:rPr>
          <w:rFonts w:ascii="Times New Roman" w:hAnsi="Times New Roman" w:cs="Times New Roman"/>
          <w:sz w:val="18"/>
          <w:szCs w:val="18"/>
          <w:lang w:val="ro-RO"/>
        </w:rPr>
        <w:t xml:space="preserve"> </w:t>
      </w:r>
      <w:proofErr w:type="spellStart"/>
      <w:r w:rsidRPr="000D3468">
        <w:rPr>
          <w:rFonts w:ascii="Times New Roman" w:hAnsi="Times New Roman" w:cs="Times New Roman"/>
          <w:sz w:val="18"/>
          <w:szCs w:val="18"/>
          <w:lang w:val="ro-RO"/>
        </w:rPr>
        <w:t>labour</w:t>
      </w:r>
      <w:proofErr w:type="spellEnd"/>
      <w:r w:rsidRPr="000D3468">
        <w:rPr>
          <w:rFonts w:ascii="Times New Roman" w:hAnsi="Times New Roman" w:cs="Times New Roman"/>
          <w:sz w:val="18"/>
          <w:szCs w:val="18"/>
          <w:lang w:val="ro-RO"/>
        </w:rPr>
        <w:t xml:space="preserve"> </w:t>
      </w:r>
      <w:proofErr w:type="spellStart"/>
      <w:r w:rsidRPr="000D3468">
        <w:rPr>
          <w:rFonts w:ascii="Times New Roman" w:hAnsi="Times New Roman" w:cs="Times New Roman"/>
          <w:sz w:val="18"/>
          <w:szCs w:val="18"/>
          <w:lang w:val="ro-RO"/>
        </w:rPr>
        <w:t>underutilization</w:t>
      </w:r>
      <w:proofErr w:type="spellEnd"/>
      <w:r w:rsidRPr="000D3468">
        <w:rPr>
          <w:rFonts w:ascii="Times New Roman" w:hAnsi="Times New Roman" w:cs="Times New Roman"/>
          <w:sz w:val="18"/>
          <w:szCs w:val="18"/>
          <w:lang w:val="ro-RO"/>
        </w:rPr>
        <w:t xml:space="preserve">): </w:t>
      </w:r>
      <w:hyperlink r:id="rId7" w:history="1">
        <w:r w:rsidRPr="000D3468">
          <w:rPr>
            <w:rFonts w:ascii="Times New Roman" w:hAnsi="Times New Roman" w:cs="Times New Roman"/>
            <w:sz w:val="18"/>
            <w:szCs w:val="18"/>
            <w:lang w:val="ro-RO"/>
          </w:rPr>
          <w:t>http://www.ilo.org/global/statistics-and-databases/meetings-and-events/international-conference-of-labour-statisticians/19/WCMS_230304/lang--en/index.htm</w:t>
        </w:r>
      </w:hyperlink>
      <w:r>
        <w:rPr>
          <w:rFonts w:ascii="Times New Roman" w:hAnsi="Times New Roman" w:cs="Times New Roman"/>
          <w:sz w:val="18"/>
          <w:szCs w:val="18"/>
          <w:lang w:val="ro-RO"/>
        </w:rPr>
        <w:t xml:space="preserve"> </w:t>
      </w:r>
    </w:p>
  </w:footnote>
  <w:footnote w:id="21">
    <w:p w14:paraId="3D750088" w14:textId="7FF36C16" w:rsidR="00E3035D" w:rsidRPr="000D3468" w:rsidRDefault="00E3035D">
      <w:pPr>
        <w:pStyle w:val="FootnoteText"/>
        <w:rPr>
          <w:rFonts w:ascii="Times New Roman" w:hAnsi="Times New Roman" w:cs="Times New Roman"/>
          <w:sz w:val="18"/>
          <w:szCs w:val="18"/>
          <w:lang w:val="it-IT"/>
        </w:rPr>
      </w:pPr>
      <w:r w:rsidRPr="000D3468">
        <w:rPr>
          <w:rStyle w:val="FootnoteReference"/>
          <w:rFonts w:ascii="Times New Roman" w:hAnsi="Times New Roman" w:cs="Times New Roman"/>
          <w:sz w:val="18"/>
          <w:szCs w:val="18"/>
        </w:rPr>
        <w:footnoteRef/>
      </w:r>
      <w:r w:rsidRPr="000D3468">
        <w:rPr>
          <w:rFonts w:ascii="Times New Roman" w:hAnsi="Times New Roman" w:cs="Times New Roman"/>
          <w:sz w:val="18"/>
          <w:szCs w:val="18"/>
          <w:lang w:val="es-ES"/>
        </w:rPr>
        <w:t xml:space="preserve"> </w:t>
      </w:r>
      <w:r w:rsidRPr="000D3468">
        <w:rPr>
          <w:rFonts w:ascii="Times New Roman" w:hAnsi="Times New Roman" w:cs="Times New Roman"/>
          <w:sz w:val="18"/>
          <w:szCs w:val="18"/>
          <w:lang w:val="it-IT"/>
        </w:rPr>
        <w:t xml:space="preserve">Vârsta de pensionare pentru femei este în prezent de 60 de ani și de 63 de ani pentru bărbați. </w:t>
      </w:r>
    </w:p>
  </w:footnote>
  <w:footnote w:id="22">
    <w:p w14:paraId="4A890176" w14:textId="7562D07A" w:rsidR="00E3035D" w:rsidRPr="005A0CB9" w:rsidRDefault="00E3035D" w:rsidP="002F2A5A">
      <w:pPr>
        <w:pStyle w:val="FootnoteText"/>
        <w:rPr>
          <w:rFonts w:ascii="Times New Roman" w:hAnsi="Times New Roman" w:cs="Times New Roman"/>
          <w:sz w:val="18"/>
          <w:szCs w:val="18"/>
          <w:lang w:val="es-ES"/>
        </w:rPr>
      </w:pPr>
      <w:r w:rsidRPr="002F2A5A">
        <w:rPr>
          <w:rStyle w:val="FootnoteReference"/>
          <w:rFonts w:asciiTheme="majorHAnsi" w:hAnsiTheme="majorHAnsi" w:cstheme="majorHAnsi"/>
          <w:sz w:val="18"/>
          <w:szCs w:val="18"/>
        </w:rPr>
        <w:footnoteRef/>
      </w:r>
      <w:r w:rsidRPr="00CB6457">
        <w:rPr>
          <w:rFonts w:asciiTheme="majorHAnsi" w:hAnsiTheme="majorHAnsi" w:cstheme="majorHAnsi"/>
          <w:sz w:val="18"/>
          <w:szCs w:val="18"/>
          <w:lang w:val="es-ES"/>
        </w:rPr>
        <w:t xml:space="preserve"> </w:t>
      </w:r>
      <w:r w:rsidRPr="005A0CB9">
        <w:rPr>
          <w:rFonts w:ascii="Times New Roman" w:hAnsi="Times New Roman" w:cs="Times New Roman"/>
          <w:sz w:val="18"/>
          <w:szCs w:val="18"/>
          <w:lang w:val="ro-RO"/>
        </w:rPr>
        <w:t xml:space="preserve">Banca Mondială: </w:t>
      </w:r>
      <w:r w:rsidRPr="005A0CB9">
        <w:rPr>
          <w:rFonts w:ascii="Times New Roman" w:hAnsi="Times New Roman" w:cs="Times New Roman"/>
          <w:i/>
          <w:iCs/>
          <w:sz w:val="18"/>
          <w:szCs w:val="18"/>
          <w:lang w:val="ro-RO"/>
        </w:rPr>
        <w:t>Susținerea stabilității și revitalizarea creșterii. Moldova Note de Politici, 2019</w:t>
      </w:r>
      <w:r w:rsidRPr="005A0CB9">
        <w:rPr>
          <w:rFonts w:ascii="Times New Roman" w:hAnsi="Times New Roman" w:cs="Times New Roman"/>
          <w:sz w:val="18"/>
          <w:szCs w:val="18"/>
          <w:lang w:val="ro-RO"/>
        </w:rPr>
        <w:t>.</w:t>
      </w:r>
      <w:r w:rsidRPr="005A0CB9">
        <w:rPr>
          <w:rFonts w:ascii="Times New Roman" w:hAnsi="Times New Roman" w:cs="Times New Roman"/>
          <w:sz w:val="18"/>
          <w:szCs w:val="18"/>
          <w:lang w:val="es-ES"/>
        </w:rPr>
        <w:t xml:space="preserve"> </w:t>
      </w:r>
    </w:p>
  </w:footnote>
  <w:footnote w:id="23">
    <w:p w14:paraId="2B1DDA8F" w14:textId="379E6165" w:rsidR="00E3035D" w:rsidRPr="00775F59" w:rsidRDefault="00E3035D" w:rsidP="00467691">
      <w:pPr>
        <w:widowControl w:val="0"/>
        <w:rPr>
          <w:rFonts w:ascii="Times New Roman" w:hAnsi="Times New Roman" w:cs="Times New Roman"/>
          <w:lang w:val="ro-RO"/>
        </w:rPr>
      </w:pPr>
      <w:r w:rsidRPr="00042194">
        <w:rPr>
          <w:rStyle w:val="FootnoteReference"/>
          <w:rFonts w:asciiTheme="majorHAnsi" w:hAnsiTheme="majorHAnsi" w:cstheme="majorHAnsi"/>
          <w:sz w:val="18"/>
          <w:szCs w:val="18"/>
          <w:lang w:val="ro-RO"/>
        </w:rPr>
        <w:footnoteRef/>
      </w:r>
      <w:r w:rsidRPr="00042194">
        <w:rPr>
          <w:rFonts w:asciiTheme="majorHAnsi" w:hAnsiTheme="majorHAnsi" w:cstheme="majorHAnsi"/>
          <w:sz w:val="18"/>
          <w:szCs w:val="18"/>
          <w:lang w:val="ro-RO"/>
        </w:rPr>
        <w:t xml:space="preserve"> </w:t>
      </w:r>
      <w:r w:rsidRPr="00775F59">
        <w:rPr>
          <w:rFonts w:ascii="Times New Roman" w:hAnsi="Times New Roman" w:cs="Times New Roman"/>
          <w:sz w:val="18"/>
          <w:szCs w:val="18"/>
          <w:lang w:val="ro-RO"/>
        </w:rPr>
        <w:t xml:space="preserve">Banca Mondială, </w:t>
      </w:r>
      <w:r w:rsidRPr="00775F59">
        <w:rPr>
          <w:rFonts w:ascii="Times New Roman" w:hAnsi="Times New Roman" w:cs="Times New Roman"/>
          <w:i/>
          <w:iCs/>
          <w:sz w:val="18"/>
          <w:szCs w:val="18"/>
          <w:lang w:val="ro-RO"/>
        </w:rPr>
        <w:t>Indicatori de dezvoltare mondială</w:t>
      </w:r>
      <w:r w:rsidRPr="00775F59">
        <w:rPr>
          <w:rFonts w:ascii="Times New Roman" w:hAnsi="Times New Roman" w:cs="Times New Roman"/>
          <w:sz w:val="18"/>
          <w:szCs w:val="18"/>
          <w:lang w:val="ro-RO"/>
        </w:rPr>
        <w:t xml:space="preserve">, PIB per persoană angajată (la prețuri constante PPC 2017 </w:t>
      </w:r>
      <w:r>
        <w:rPr>
          <w:rFonts w:ascii="Times New Roman" w:hAnsi="Times New Roman" w:cs="Times New Roman"/>
          <w:sz w:val="18"/>
          <w:szCs w:val="18"/>
          <w:lang w:val="ro-RO"/>
        </w:rPr>
        <w:t>USD</w:t>
      </w:r>
      <w:r w:rsidRPr="00775F59">
        <w:rPr>
          <w:rFonts w:ascii="Times New Roman" w:hAnsi="Times New Roman" w:cs="Times New Roman"/>
          <w:sz w:val="18"/>
          <w:szCs w:val="18"/>
          <w:lang w:val="ro-RO"/>
        </w:rPr>
        <w:t xml:space="preserve">). </w:t>
      </w:r>
    </w:p>
  </w:footnote>
  <w:footnote w:id="24">
    <w:p w14:paraId="5B84553B" w14:textId="27EA6FE9" w:rsidR="00E3035D" w:rsidRPr="007D7BB9" w:rsidRDefault="00E3035D">
      <w:pPr>
        <w:pStyle w:val="FootnoteText"/>
        <w:rPr>
          <w:rFonts w:ascii="Times New Roman" w:hAnsi="Times New Roman" w:cs="Times New Roman"/>
          <w:lang w:val="it-IT"/>
        </w:rPr>
      </w:pPr>
      <w:r w:rsidRPr="006A02E7">
        <w:rPr>
          <w:rStyle w:val="FootnoteReference"/>
          <w:rFonts w:asciiTheme="majorHAnsi" w:hAnsiTheme="majorHAnsi" w:cstheme="majorHAnsi"/>
        </w:rPr>
        <w:footnoteRef/>
      </w:r>
      <w:r w:rsidRPr="00CB6457">
        <w:rPr>
          <w:rFonts w:asciiTheme="majorHAnsi" w:hAnsiTheme="majorHAnsi" w:cstheme="majorHAnsi"/>
          <w:lang w:val="es-ES"/>
        </w:rPr>
        <w:t xml:space="preserve"> </w:t>
      </w:r>
      <w:r w:rsidRPr="007D7BB9">
        <w:rPr>
          <w:rFonts w:ascii="Times New Roman" w:hAnsi="Times New Roman" w:cs="Times New Roman"/>
          <w:sz w:val="18"/>
          <w:szCs w:val="18"/>
          <w:lang w:val="it-IT"/>
        </w:rPr>
        <w:t xml:space="preserve">A. </w:t>
      </w:r>
      <w:r w:rsidRPr="007D7BB9">
        <w:rPr>
          <w:rFonts w:ascii="Times New Roman" w:hAnsi="Times New Roman" w:cs="Times New Roman"/>
          <w:sz w:val="18"/>
          <w:szCs w:val="18"/>
          <w:lang w:val="ro-RO"/>
        </w:rPr>
        <w:t xml:space="preserve">Cojocaru, et al., </w:t>
      </w:r>
      <w:r w:rsidRPr="007D7BB9">
        <w:rPr>
          <w:rFonts w:ascii="Times New Roman" w:hAnsi="Times New Roman" w:cs="Times New Roman"/>
          <w:i/>
          <w:iCs/>
          <w:sz w:val="18"/>
          <w:szCs w:val="18"/>
          <w:lang w:val="ro-RO"/>
        </w:rPr>
        <w:t>Incidența fiscală în Moldova</w:t>
      </w:r>
      <w:r w:rsidRPr="007D7BB9">
        <w:rPr>
          <w:rFonts w:ascii="Times New Roman" w:hAnsi="Times New Roman" w:cs="Times New Roman"/>
          <w:i/>
          <w:iCs/>
          <w:sz w:val="18"/>
          <w:szCs w:val="18"/>
          <w:lang w:val="es-ES"/>
        </w:rPr>
        <w:t xml:space="preserve">. </w:t>
      </w:r>
      <w:r w:rsidRPr="007D7BB9">
        <w:rPr>
          <w:rFonts w:ascii="Times New Roman" w:hAnsi="Times New Roman" w:cs="Times New Roman"/>
          <w:i/>
          <w:iCs/>
          <w:sz w:val="18"/>
          <w:szCs w:val="18"/>
          <w:lang w:val="ro-RO"/>
        </w:rPr>
        <w:t>Angajamentul de a efectua analiza capitalului acționar</w:t>
      </w:r>
      <w:r w:rsidRPr="007D7BB9">
        <w:rPr>
          <w:rFonts w:ascii="Times New Roman" w:hAnsi="Times New Roman" w:cs="Times New Roman"/>
          <w:sz w:val="18"/>
          <w:szCs w:val="18"/>
          <w:lang w:val="ro-RO"/>
        </w:rPr>
        <w:t>, Document de lucru pentru cercetarea politicilor</w:t>
      </w:r>
      <w:r w:rsidRPr="007D7BB9">
        <w:rPr>
          <w:rFonts w:ascii="Times New Roman" w:hAnsi="Times New Roman" w:cs="Times New Roman"/>
          <w:sz w:val="18"/>
          <w:szCs w:val="18"/>
          <w:lang w:val="es-ES"/>
        </w:rPr>
        <w:t>) N. 9010/2019.</w:t>
      </w:r>
      <w:r w:rsidRPr="007D7BB9">
        <w:rPr>
          <w:rFonts w:ascii="Times New Roman" w:hAnsi="Times New Roman" w:cs="Times New Roman"/>
          <w:lang w:val="it-IT"/>
        </w:rPr>
        <w:t xml:space="preserve"> </w:t>
      </w:r>
    </w:p>
  </w:footnote>
  <w:footnote w:id="25">
    <w:p w14:paraId="74F90B6B" w14:textId="6BD0B45B" w:rsidR="00E3035D" w:rsidRPr="007D7BB9" w:rsidRDefault="00E3035D">
      <w:pPr>
        <w:pStyle w:val="FootnoteText"/>
        <w:rPr>
          <w:rFonts w:ascii="Times New Roman" w:hAnsi="Times New Roman" w:cs="Times New Roman"/>
          <w:sz w:val="18"/>
          <w:szCs w:val="18"/>
          <w:lang w:val="it-IT"/>
        </w:rPr>
      </w:pPr>
      <w:r w:rsidRPr="007D7BB9">
        <w:rPr>
          <w:rStyle w:val="FootnoteReference"/>
          <w:rFonts w:ascii="Times New Roman" w:hAnsi="Times New Roman" w:cs="Times New Roman"/>
          <w:sz w:val="18"/>
          <w:szCs w:val="18"/>
        </w:rPr>
        <w:footnoteRef/>
      </w:r>
      <w:r w:rsidRPr="007D7BB9">
        <w:rPr>
          <w:rFonts w:ascii="Times New Roman" w:hAnsi="Times New Roman" w:cs="Times New Roman"/>
          <w:sz w:val="18"/>
          <w:szCs w:val="18"/>
          <w:lang w:val="it-IT"/>
        </w:rPr>
        <w:t xml:space="preserve"> </w:t>
      </w:r>
      <w:r w:rsidRPr="007D7BB9">
        <w:rPr>
          <w:rFonts w:ascii="Times New Roman" w:hAnsi="Times New Roman" w:cs="Times New Roman"/>
          <w:sz w:val="18"/>
          <w:szCs w:val="18"/>
          <w:lang w:val="it-IT"/>
        </w:rPr>
        <w:t xml:space="preserve">Vezi Ministerul Finanțelor, </w:t>
      </w:r>
      <w:r>
        <w:fldChar w:fldCharType="begin"/>
      </w:r>
      <w:r>
        <w:instrText xml:space="preserve"> HYPERLINK "https://mf.gov.md/ro/download/file/fid/18902" \o "921GYQ14_2019.xlsx" </w:instrText>
      </w:r>
      <w:r>
        <w:fldChar w:fldCharType="separate"/>
      </w:r>
      <w:r w:rsidRPr="007D7BB9">
        <w:rPr>
          <w:rStyle w:val="Hyperlink"/>
          <w:rFonts w:ascii="Times New Roman" w:hAnsi="Times New Roman" w:cs="Times New Roman"/>
          <w:sz w:val="18"/>
          <w:szCs w:val="18"/>
          <w:lang w:val="it-IT"/>
        </w:rPr>
        <w:t>Raport privind executarea bugetului conform Statisticii Finanțelor Guvernamentale pe anul 2019</w:t>
      </w:r>
      <w:r>
        <w:rPr>
          <w:rStyle w:val="Hyperlink"/>
          <w:rFonts w:ascii="Times New Roman" w:hAnsi="Times New Roman" w:cs="Times New Roman"/>
          <w:sz w:val="18"/>
          <w:szCs w:val="18"/>
          <w:lang w:val="it-IT"/>
        </w:rPr>
        <w:fldChar w:fldCharType="end"/>
      </w:r>
    </w:p>
  </w:footnote>
  <w:footnote w:id="26">
    <w:p w14:paraId="0C2C2BDC" w14:textId="3E4DE880" w:rsidR="00E3035D" w:rsidRPr="007D7BB9" w:rsidRDefault="00E3035D" w:rsidP="00D31C2B">
      <w:pPr>
        <w:autoSpaceDE w:val="0"/>
        <w:autoSpaceDN w:val="0"/>
        <w:adjustRightInd w:val="0"/>
        <w:spacing w:after="0" w:line="240" w:lineRule="auto"/>
        <w:rPr>
          <w:rFonts w:ascii="Times New Roman" w:hAnsi="Times New Roman" w:cs="Times New Roman"/>
          <w:sz w:val="18"/>
          <w:szCs w:val="18"/>
          <w:lang w:val="it-IT"/>
        </w:rPr>
      </w:pPr>
      <w:r w:rsidRPr="007D7BB9">
        <w:rPr>
          <w:rStyle w:val="FootnoteReference"/>
          <w:rFonts w:ascii="Times New Roman" w:hAnsi="Times New Roman" w:cs="Times New Roman"/>
          <w:sz w:val="18"/>
          <w:szCs w:val="18"/>
        </w:rPr>
        <w:footnoteRef/>
      </w:r>
      <w:r w:rsidRPr="007D7BB9">
        <w:rPr>
          <w:rFonts w:ascii="Times New Roman" w:hAnsi="Times New Roman" w:cs="Times New Roman"/>
          <w:sz w:val="18"/>
          <w:szCs w:val="18"/>
          <w:lang w:val="it-IT"/>
        </w:rPr>
        <w:t xml:space="preserve"> </w:t>
      </w:r>
      <w:r w:rsidRPr="007D7BB9">
        <w:rPr>
          <w:rFonts w:ascii="Times New Roman" w:hAnsi="Times New Roman" w:cs="Times New Roman"/>
          <w:sz w:val="18"/>
          <w:szCs w:val="18"/>
          <w:lang w:val="ro-RO"/>
        </w:rPr>
        <w:t>A. Cojocaru, et al.,</w:t>
      </w:r>
      <w:r w:rsidRPr="007D7BB9">
        <w:rPr>
          <w:rFonts w:ascii="Times New Roman" w:hAnsi="Times New Roman" w:cs="Times New Roman"/>
          <w:i/>
          <w:iCs/>
          <w:sz w:val="18"/>
          <w:szCs w:val="18"/>
          <w:lang w:val="ro-RO"/>
        </w:rPr>
        <w:t xml:space="preserve"> Incidența fiscală în Moldova. Angajament de a efectua analiza capitalului acționar</w:t>
      </w:r>
      <w:r w:rsidRPr="007D7BB9">
        <w:rPr>
          <w:rFonts w:ascii="Times New Roman" w:hAnsi="Times New Roman" w:cs="Times New Roman"/>
          <w:sz w:val="18"/>
          <w:szCs w:val="18"/>
          <w:lang w:val="ro-RO"/>
        </w:rPr>
        <w:t>, Document de lucru pentru cercetarea politicilor) N. 9010/2019</w:t>
      </w:r>
      <w:r w:rsidRPr="007D7BB9">
        <w:rPr>
          <w:rFonts w:ascii="Times New Roman" w:hAnsi="Times New Roman" w:cs="Times New Roman"/>
          <w:sz w:val="18"/>
          <w:szCs w:val="18"/>
          <w:lang w:val="es-ES"/>
        </w:rPr>
        <w:t xml:space="preserve">. </w:t>
      </w:r>
    </w:p>
  </w:footnote>
  <w:footnote w:id="27">
    <w:p w14:paraId="159B59C3" w14:textId="62C6DD06" w:rsidR="00E3035D" w:rsidRPr="007D7BB9" w:rsidRDefault="00E3035D" w:rsidP="00D31C2B">
      <w:pPr>
        <w:pStyle w:val="FootnoteText"/>
        <w:rPr>
          <w:rFonts w:ascii="Times New Roman" w:hAnsi="Times New Roman" w:cs="Times New Roman"/>
          <w:sz w:val="18"/>
          <w:szCs w:val="18"/>
          <w:lang w:val="it-IT"/>
        </w:rPr>
      </w:pPr>
      <w:r w:rsidRPr="0070132F">
        <w:rPr>
          <w:rStyle w:val="FootnoteReference"/>
          <w:rFonts w:asciiTheme="majorHAnsi" w:hAnsiTheme="majorHAnsi" w:cstheme="majorHAnsi"/>
          <w:sz w:val="18"/>
          <w:szCs w:val="18"/>
        </w:rPr>
        <w:footnoteRef/>
      </w:r>
      <w:r w:rsidRPr="00F93478">
        <w:rPr>
          <w:rFonts w:asciiTheme="majorHAnsi" w:hAnsiTheme="majorHAnsi" w:cstheme="majorHAnsi"/>
          <w:sz w:val="18"/>
          <w:szCs w:val="18"/>
          <w:lang w:val="es-ES"/>
        </w:rPr>
        <w:t xml:space="preserve"> </w:t>
      </w:r>
      <w:r w:rsidRPr="007D7BB9">
        <w:rPr>
          <w:rFonts w:ascii="Times New Roman" w:hAnsi="Times New Roman" w:cs="Times New Roman"/>
          <w:sz w:val="18"/>
          <w:szCs w:val="18"/>
          <w:lang w:val="it-IT"/>
        </w:rPr>
        <w:t xml:space="preserve">Banca Mondială, </w:t>
      </w:r>
      <w:r w:rsidRPr="007D7BB9">
        <w:rPr>
          <w:rFonts w:ascii="Times New Roman" w:hAnsi="Times New Roman" w:cs="Times New Roman"/>
          <w:i/>
          <w:iCs/>
          <w:sz w:val="18"/>
          <w:szCs w:val="18"/>
          <w:lang w:val="it-IT"/>
        </w:rPr>
        <w:t>Moldova: Reanimarea dinamismului economic. Memorandumul economic al țării</w:t>
      </w:r>
      <w:r w:rsidRPr="007D7BB9">
        <w:rPr>
          <w:rFonts w:ascii="Times New Roman" w:hAnsi="Times New Roman" w:cs="Times New Roman"/>
          <w:sz w:val="18"/>
          <w:szCs w:val="18"/>
          <w:lang w:val="it-IT"/>
        </w:rPr>
        <w:t xml:space="preserve">, World Bank group, 2019. </w:t>
      </w:r>
      <w:r w:rsidRPr="007D7BB9">
        <w:rPr>
          <w:rFonts w:ascii="Times New Roman" w:hAnsi="Times New Roman" w:cs="Times New Roman"/>
          <w:sz w:val="18"/>
          <w:szCs w:val="18"/>
          <w:lang w:val="ro-RO"/>
        </w:rPr>
        <w:t>Povara fiscală medie (neponderată) asupra muncii (pentru lucrătorii individuali care câștigă 100% din salariul mediu) în țările OCDE, de exemplu, a fost de 35% în 2019, comparativ cu 38% povara fiscală totală în Moldova. Vezi OCDE: Impozitarea salariilor, 2021, Paris OCDE, 2021</w:t>
      </w:r>
      <w:r w:rsidRPr="007D7BB9">
        <w:rPr>
          <w:rFonts w:ascii="Times New Roman" w:hAnsi="Times New Roman" w:cs="Times New Roman"/>
          <w:sz w:val="18"/>
          <w:szCs w:val="18"/>
          <w:lang w:val="es-ES"/>
        </w:rPr>
        <w:t xml:space="preserve"> </w:t>
      </w:r>
    </w:p>
  </w:footnote>
  <w:footnote w:id="28">
    <w:p w14:paraId="537B88D0" w14:textId="022DEB34" w:rsidR="00E3035D" w:rsidRPr="007D7BB9" w:rsidRDefault="00E3035D">
      <w:pPr>
        <w:pStyle w:val="FootnoteText"/>
        <w:rPr>
          <w:rFonts w:ascii="Times New Roman" w:hAnsi="Times New Roman" w:cs="Times New Roman"/>
          <w:lang w:val="ro-RO"/>
        </w:rPr>
      </w:pPr>
      <w:r w:rsidRPr="007D7BB9">
        <w:rPr>
          <w:rStyle w:val="FootnoteReference"/>
          <w:rFonts w:ascii="Times New Roman" w:hAnsi="Times New Roman" w:cs="Times New Roman"/>
          <w:lang w:val="ro-RO"/>
        </w:rPr>
        <w:footnoteRef/>
      </w:r>
      <w:r w:rsidRPr="007D7BB9">
        <w:rPr>
          <w:rFonts w:ascii="Times New Roman" w:hAnsi="Times New Roman" w:cs="Times New Roman"/>
          <w:lang w:val="ro-RO"/>
        </w:rPr>
        <w:t xml:space="preserve"> UNDP: </w:t>
      </w:r>
      <w:r w:rsidRPr="007D7BB9">
        <w:rPr>
          <w:rFonts w:ascii="Times New Roman" w:hAnsi="Times New Roman" w:cs="Times New Roman"/>
          <w:i/>
          <w:iCs/>
          <w:sz w:val="18"/>
          <w:szCs w:val="18"/>
          <w:lang w:val="ro-RO"/>
        </w:rPr>
        <w:t>Fenomenul economiei informale și al ocupării forței de muncă în contextul pandemiei Covid-19. Moldova</w:t>
      </w:r>
      <w:r w:rsidRPr="007D7BB9">
        <w:rPr>
          <w:rFonts w:ascii="Times New Roman" w:hAnsi="Times New Roman" w:cs="Times New Roman"/>
          <w:color w:val="001AE6"/>
          <w:sz w:val="18"/>
          <w:szCs w:val="18"/>
          <w:lang w:val="ro-RO"/>
        </w:rPr>
        <w:t xml:space="preserve">, </w:t>
      </w:r>
      <w:r w:rsidRPr="007D7BB9">
        <w:rPr>
          <w:rFonts w:ascii="Times New Roman" w:hAnsi="Times New Roman" w:cs="Times New Roman"/>
          <w:sz w:val="18"/>
          <w:szCs w:val="18"/>
          <w:lang w:val="ro-RO"/>
        </w:rPr>
        <w:t xml:space="preserve">noiembrie 2021. </w:t>
      </w:r>
    </w:p>
  </w:footnote>
  <w:footnote w:id="29">
    <w:p w14:paraId="62D652F9" w14:textId="659A70B9" w:rsidR="00E3035D" w:rsidRPr="0025041D" w:rsidRDefault="00E3035D" w:rsidP="00D31C2B">
      <w:pPr>
        <w:pStyle w:val="FootnoteText"/>
        <w:rPr>
          <w:rFonts w:ascii="Times New Roman" w:hAnsi="Times New Roman" w:cs="Times New Roman"/>
          <w:sz w:val="18"/>
          <w:szCs w:val="18"/>
          <w:lang w:val="ro-RO"/>
        </w:rPr>
      </w:pPr>
      <w:r w:rsidRPr="00DA2167">
        <w:rPr>
          <w:rStyle w:val="FootnoteReference"/>
          <w:rFonts w:ascii="Calibri Light" w:hAnsi="Calibri Light" w:cs="Calibri Light"/>
          <w:sz w:val="18"/>
          <w:szCs w:val="18"/>
        </w:rPr>
        <w:footnoteRef/>
      </w:r>
      <w:r w:rsidRPr="00CB6457">
        <w:rPr>
          <w:rFonts w:ascii="Calibri Light" w:hAnsi="Calibri Light" w:cs="Calibri Light"/>
          <w:sz w:val="18"/>
          <w:szCs w:val="18"/>
          <w:lang w:val="es-ES"/>
        </w:rPr>
        <w:t xml:space="preserve"> </w:t>
      </w:r>
      <w:r w:rsidRPr="0025041D">
        <w:rPr>
          <w:rFonts w:ascii="Times New Roman" w:hAnsi="Times New Roman" w:cs="Times New Roman"/>
          <w:sz w:val="18"/>
          <w:szCs w:val="18"/>
          <w:lang w:val="ro-RO"/>
        </w:rPr>
        <w:t xml:space="preserve">Forumul Economic Mondial: </w:t>
      </w:r>
      <w:r w:rsidRPr="0025041D">
        <w:rPr>
          <w:rFonts w:ascii="Times New Roman" w:hAnsi="Times New Roman" w:cs="Times New Roman"/>
          <w:i/>
          <w:iCs/>
          <w:sz w:val="18"/>
          <w:szCs w:val="18"/>
          <w:lang w:val="ro-RO"/>
        </w:rPr>
        <w:t>Raportul privind competitivitatea globală</w:t>
      </w:r>
      <w:r w:rsidRPr="0025041D">
        <w:rPr>
          <w:rFonts w:ascii="Times New Roman" w:hAnsi="Times New Roman" w:cs="Times New Roman"/>
          <w:sz w:val="18"/>
          <w:szCs w:val="18"/>
          <w:lang w:val="ro-RO"/>
        </w:rPr>
        <w:t xml:space="preserve"> 2015 și 2019.</w:t>
      </w:r>
    </w:p>
  </w:footnote>
  <w:footnote w:id="30">
    <w:p w14:paraId="5339F798" w14:textId="3589F633" w:rsidR="00E3035D" w:rsidRPr="0025041D" w:rsidRDefault="00E3035D" w:rsidP="00D31C2B">
      <w:pPr>
        <w:pStyle w:val="FootnoteText"/>
        <w:rPr>
          <w:rFonts w:ascii="Times New Roman" w:hAnsi="Times New Roman" w:cs="Times New Roman"/>
          <w:sz w:val="18"/>
          <w:szCs w:val="18"/>
          <w:lang w:val="ro-RO"/>
        </w:rPr>
      </w:pPr>
      <w:r w:rsidRPr="0025041D">
        <w:rPr>
          <w:rStyle w:val="FootnoteReference"/>
          <w:rFonts w:ascii="Times New Roman" w:hAnsi="Times New Roman" w:cs="Times New Roman"/>
          <w:sz w:val="18"/>
          <w:szCs w:val="18"/>
          <w:lang w:val="ro-RO"/>
        </w:rPr>
        <w:footnoteRef/>
      </w:r>
      <w:r w:rsidRPr="0025041D">
        <w:rPr>
          <w:rFonts w:ascii="Times New Roman" w:hAnsi="Times New Roman" w:cs="Times New Roman"/>
          <w:sz w:val="18"/>
          <w:szCs w:val="18"/>
          <w:lang w:val="ro-RO"/>
        </w:rPr>
        <w:t xml:space="preserve"> FMI, </w:t>
      </w:r>
      <w:r w:rsidRPr="0025041D">
        <w:rPr>
          <w:rFonts w:ascii="Times New Roman" w:hAnsi="Times New Roman" w:cs="Times New Roman"/>
          <w:i/>
          <w:iCs/>
          <w:sz w:val="18"/>
          <w:szCs w:val="18"/>
          <w:lang w:val="ro-RO"/>
        </w:rPr>
        <w:t>Raportul de Țară FMI 20/76</w:t>
      </w:r>
      <w:r w:rsidRPr="0025041D">
        <w:rPr>
          <w:rFonts w:ascii="Times New Roman" w:hAnsi="Times New Roman" w:cs="Times New Roman"/>
          <w:sz w:val="18"/>
          <w:szCs w:val="18"/>
          <w:lang w:val="ro-RO"/>
        </w:rPr>
        <w:t>, 2020.</w:t>
      </w:r>
    </w:p>
  </w:footnote>
  <w:footnote w:id="31">
    <w:p w14:paraId="71DC5397" w14:textId="2773A945" w:rsidR="00E3035D" w:rsidRPr="0025041D" w:rsidRDefault="00E3035D" w:rsidP="00D31C2B">
      <w:pPr>
        <w:autoSpaceDE w:val="0"/>
        <w:autoSpaceDN w:val="0"/>
        <w:adjustRightInd w:val="0"/>
        <w:spacing w:after="0" w:line="240" w:lineRule="auto"/>
        <w:rPr>
          <w:rFonts w:ascii="Times New Roman" w:hAnsi="Times New Roman" w:cs="Times New Roman"/>
          <w:sz w:val="18"/>
          <w:szCs w:val="18"/>
          <w:lang w:val="ro-RO"/>
        </w:rPr>
      </w:pPr>
      <w:r w:rsidRPr="0025041D">
        <w:rPr>
          <w:rStyle w:val="FootnoteReference"/>
          <w:rFonts w:ascii="Times New Roman" w:hAnsi="Times New Roman" w:cs="Times New Roman"/>
          <w:sz w:val="18"/>
          <w:szCs w:val="18"/>
          <w:lang w:val="ro-RO"/>
        </w:rPr>
        <w:footnoteRef/>
      </w:r>
      <w:r w:rsidRPr="0025041D">
        <w:rPr>
          <w:rFonts w:ascii="Times New Roman" w:hAnsi="Times New Roman" w:cs="Times New Roman"/>
          <w:sz w:val="18"/>
          <w:szCs w:val="18"/>
          <w:lang w:val="ro-RO"/>
        </w:rPr>
        <w:t xml:space="preserve"> Evaluarea OIM a răspunsurilor de securitate socială la COVID-19: lecții din Balcanii de Vest și Europa de Est în timpul primei etape a pandemiei; Echipa OIM de asistență tehnică pentru muncă decentă și biroul de țară pentru Europa Centrală și de Est (DWT/CO-Budapest), 2021; Banca Europeană pentru Reconstrucție și Dezvoltare (BERD), Raport de tranziție 2020-2021, Moldova,</w:t>
      </w:r>
      <w:hyperlink r:id="rId8" w:tgtFrame="_blank" w:history="1">
        <w:r w:rsidRPr="0025041D">
          <w:rPr>
            <w:rStyle w:val="Hyperlink"/>
            <w:rFonts w:ascii="Times New Roman" w:hAnsi="Times New Roman" w:cs="Times New Roman"/>
            <w:sz w:val="18"/>
            <w:szCs w:val="18"/>
            <w:lang w:val="ro-RO"/>
          </w:rPr>
          <w:t>http://www.ebrd.com/publications/transition-report-202021-moldova</w:t>
        </w:r>
      </w:hyperlink>
      <w:r w:rsidRPr="0025041D">
        <w:rPr>
          <w:rFonts w:ascii="Times New Roman" w:hAnsi="Times New Roman" w:cs="Times New Roman"/>
          <w:sz w:val="18"/>
          <w:szCs w:val="18"/>
          <w:lang w:val="ro-RO"/>
        </w:rPr>
        <w:t xml:space="preserve"> </w:t>
      </w:r>
    </w:p>
  </w:footnote>
  <w:footnote w:id="32">
    <w:p w14:paraId="7F45134B" w14:textId="0D757275" w:rsidR="00E3035D" w:rsidRPr="0025041D" w:rsidRDefault="00E3035D" w:rsidP="00D31C2B">
      <w:pPr>
        <w:pStyle w:val="FootnoteText"/>
        <w:rPr>
          <w:rFonts w:ascii="Times New Roman" w:hAnsi="Times New Roman" w:cs="Times New Roman"/>
          <w:sz w:val="18"/>
          <w:szCs w:val="18"/>
          <w:lang w:val="ro-RO"/>
        </w:rPr>
      </w:pPr>
      <w:r w:rsidRPr="00F617CE">
        <w:rPr>
          <w:rStyle w:val="FootnoteReference"/>
          <w:rFonts w:asciiTheme="majorHAnsi" w:hAnsiTheme="majorHAnsi" w:cstheme="majorHAnsi"/>
          <w:sz w:val="18"/>
          <w:szCs w:val="18"/>
          <w:lang w:val="ro-RO"/>
        </w:rPr>
        <w:footnoteRef/>
      </w:r>
      <w:r w:rsidRPr="00F617CE">
        <w:rPr>
          <w:rFonts w:asciiTheme="majorHAnsi" w:hAnsiTheme="majorHAnsi" w:cstheme="majorHAnsi"/>
          <w:sz w:val="18"/>
          <w:szCs w:val="18"/>
          <w:lang w:val="ro-RO"/>
        </w:rPr>
        <w:t xml:space="preserve"> </w:t>
      </w:r>
      <w:r w:rsidRPr="0025041D">
        <w:rPr>
          <w:rFonts w:ascii="Times New Roman" w:hAnsi="Times New Roman" w:cs="Times New Roman"/>
          <w:sz w:val="18"/>
          <w:szCs w:val="18"/>
          <w:lang w:val="ro-RO"/>
        </w:rPr>
        <w:t>B</w:t>
      </w:r>
      <w:r>
        <w:rPr>
          <w:rFonts w:ascii="Times New Roman" w:hAnsi="Times New Roman" w:cs="Times New Roman"/>
          <w:sz w:val="18"/>
          <w:szCs w:val="18"/>
          <w:lang w:val="ro-RO"/>
        </w:rPr>
        <w:t>iroul Național de Statistică</w:t>
      </w:r>
      <w:r w:rsidRPr="0025041D">
        <w:rPr>
          <w:rFonts w:ascii="Times New Roman" w:hAnsi="Times New Roman" w:cs="Times New Roman"/>
          <w:sz w:val="18"/>
          <w:szCs w:val="18"/>
          <w:lang w:val="ro-RO"/>
        </w:rPr>
        <w:t xml:space="preserve">, </w:t>
      </w:r>
      <w:r w:rsidRPr="0025041D">
        <w:rPr>
          <w:rFonts w:ascii="Times New Roman" w:hAnsi="Times New Roman" w:cs="Times New Roman"/>
          <w:i/>
          <w:iCs/>
          <w:sz w:val="18"/>
          <w:szCs w:val="18"/>
          <w:lang w:val="ro-RO"/>
        </w:rPr>
        <w:t xml:space="preserve">Studenți înscriși după tip de instituție, </w:t>
      </w:r>
      <w:r w:rsidRPr="0025041D">
        <w:rPr>
          <w:rFonts w:ascii="Times New Roman" w:hAnsi="Times New Roman" w:cs="Times New Roman"/>
          <w:sz w:val="18"/>
          <w:szCs w:val="18"/>
          <w:lang w:val="ro-RO"/>
        </w:rPr>
        <w:t xml:space="preserve">anii de studii  2014/15 și 2019/20. </w:t>
      </w:r>
    </w:p>
  </w:footnote>
  <w:footnote w:id="33">
    <w:p w14:paraId="18022D98" w14:textId="77777777" w:rsidR="00E3035D" w:rsidRPr="0025041D" w:rsidRDefault="00E3035D" w:rsidP="00D31C2B">
      <w:pPr>
        <w:pStyle w:val="FootnoteText"/>
        <w:rPr>
          <w:rFonts w:ascii="Times New Roman" w:hAnsi="Times New Roman" w:cs="Times New Roman"/>
          <w:sz w:val="18"/>
          <w:szCs w:val="18"/>
          <w:lang w:val="ro-RO"/>
        </w:rPr>
      </w:pPr>
      <w:r w:rsidRPr="0025041D">
        <w:rPr>
          <w:rStyle w:val="FootnoteReference"/>
          <w:rFonts w:ascii="Times New Roman" w:hAnsi="Times New Roman" w:cs="Times New Roman"/>
          <w:sz w:val="18"/>
          <w:szCs w:val="18"/>
          <w:lang w:val="ro-RO"/>
        </w:rPr>
        <w:footnoteRef/>
      </w:r>
      <w:r w:rsidRPr="0025041D">
        <w:rPr>
          <w:rFonts w:ascii="Times New Roman" w:hAnsi="Times New Roman" w:cs="Times New Roman"/>
          <w:sz w:val="18"/>
          <w:szCs w:val="18"/>
          <w:lang w:val="ro-RO"/>
        </w:rPr>
        <w:t xml:space="preserve"> Ibidem.  </w:t>
      </w:r>
    </w:p>
  </w:footnote>
  <w:footnote w:id="34">
    <w:p w14:paraId="269BD1C0" w14:textId="520B41D9" w:rsidR="00E3035D" w:rsidRPr="0025041D" w:rsidRDefault="00E3035D" w:rsidP="00D31C2B">
      <w:pPr>
        <w:pStyle w:val="FootnoteText"/>
        <w:rPr>
          <w:rFonts w:ascii="Times New Roman" w:hAnsi="Times New Roman" w:cs="Times New Roman"/>
          <w:sz w:val="18"/>
          <w:szCs w:val="18"/>
          <w:lang w:val="ro-RO"/>
        </w:rPr>
      </w:pPr>
      <w:r w:rsidRPr="0025041D">
        <w:rPr>
          <w:rStyle w:val="FootnoteReference"/>
          <w:rFonts w:ascii="Times New Roman" w:hAnsi="Times New Roman" w:cs="Times New Roman"/>
          <w:sz w:val="18"/>
          <w:szCs w:val="18"/>
          <w:lang w:val="ro-RO"/>
        </w:rPr>
        <w:footnoteRef/>
      </w:r>
      <w:r w:rsidRPr="0025041D">
        <w:rPr>
          <w:rFonts w:ascii="Times New Roman" w:hAnsi="Times New Roman" w:cs="Times New Roman"/>
          <w:sz w:val="18"/>
          <w:szCs w:val="18"/>
          <w:lang w:val="ro-RO"/>
        </w:rPr>
        <w:t xml:space="preserve"> B</w:t>
      </w:r>
      <w:r>
        <w:rPr>
          <w:rFonts w:ascii="Times New Roman" w:hAnsi="Times New Roman" w:cs="Times New Roman"/>
          <w:sz w:val="18"/>
          <w:szCs w:val="18"/>
          <w:lang w:val="ro-RO"/>
        </w:rPr>
        <w:t>iroul Național de Statistică</w:t>
      </w:r>
      <w:r w:rsidRPr="0025041D">
        <w:rPr>
          <w:rFonts w:ascii="Times New Roman" w:hAnsi="Times New Roman" w:cs="Times New Roman"/>
          <w:sz w:val="18"/>
          <w:szCs w:val="18"/>
          <w:lang w:val="ro-RO"/>
        </w:rPr>
        <w:t xml:space="preserve">, </w:t>
      </w:r>
      <w:r w:rsidRPr="0025041D">
        <w:rPr>
          <w:rFonts w:ascii="Times New Roman" w:hAnsi="Times New Roman" w:cs="Times New Roman"/>
          <w:i/>
          <w:iCs/>
          <w:sz w:val="18"/>
          <w:szCs w:val="18"/>
          <w:lang w:val="ro-RO"/>
        </w:rPr>
        <w:t xml:space="preserve">Studenți la instituțiile de învățământ superior, pe domenii de studiu </w:t>
      </w:r>
      <w:r w:rsidRPr="0025041D">
        <w:rPr>
          <w:rFonts w:ascii="Times New Roman" w:hAnsi="Times New Roman" w:cs="Times New Roman"/>
          <w:sz w:val="18"/>
          <w:szCs w:val="18"/>
          <w:lang w:val="ro-RO"/>
        </w:rPr>
        <w:t>(2014-2020)</w:t>
      </w:r>
    </w:p>
  </w:footnote>
  <w:footnote w:id="35">
    <w:p w14:paraId="42CA68B3" w14:textId="4F16F6BA" w:rsidR="00E3035D" w:rsidRPr="0025041D" w:rsidRDefault="00E3035D" w:rsidP="00D31C2B">
      <w:pPr>
        <w:pStyle w:val="NormalWeb"/>
        <w:spacing w:before="0" w:beforeAutospacing="0" w:after="0" w:afterAutospacing="0"/>
        <w:rPr>
          <w:sz w:val="18"/>
          <w:szCs w:val="18"/>
          <w:lang w:val="es-ES"/>
        </w:rPr>
      </w:pPr>
      <w:r w:rsidRPr="0025041D">
        <w:rPr>
          <w:rStyle w:val="FootnoteReference"/>
          <w:sz w:val="18"/>
          <w:szCs w:val="18"/>
          <w:lang w:val="ro-RO"/>
        </w:rPr>
        <w:footnoteRef/>
      </w:r>
      <w:r w:rsidRPr="0025041D">
        <w:rPr>
          <w:sz w:val="18"/>
          <w:szCs w:val="18"/>
          <w:lang w:val="ro-RO"/>
        </w:rPr>
        <w:t xml:space="preserve"> Banca Mondială, </w:t>
      </w:r>
      <w:r w:rsidRPr="0025041D">
        <w:rPr>
          <w:i/>
          <w:iCs/>
          <w:sz w:val="18"/>
          <w:szCs w:val="18"/>
          <w:lang w:val="ro-RO"/>
        </w:rPr>
        <w:t>Indicatori de dezvoltare mondială</w:t>
      </w:r>
      <w:r w:rsidRPr="0025041D">
        <w:rPr>
          <w:sz w:val="18"/>
          <w:szCs w:val="18"/>
          <w:lang w:val="ro-RO"/>
        </w:rPr>
        <w:t>.</w:t>
      </w:r>
      <w:r w:rsidRPr="0025041D">
        <w:rPr>
          <w:sz w:val="18"/>
          <w:szCs w:val="18"/>
          <w:lang w:val="es-ES"/>
        </w:rPr>
        <w:t xml:space="preserve"> </w:t>
      </w:r>
    </w:p>
  </w:footnote>
  <w:footnote w:id="36">
    <w:p w14:paraId="6A1F6C79" w14:textId="0BC04E69" w:rsidR="00E3035D" w:rsidRPr="0025041D" w:rsidRDefault="00E3035D" w:rsidP="00D31C2B">
      <w:pPr>
        <w:pStyle w:val="FootnoteText"/>
        <w:rPr>
          <w:rFonts w:ascii="Times New Roman" w:hAnsi="Times New Roman" w:cs="Times New Roman"/>
          <w:sz w:val="18"/>
          <w:szCs w:val="18"/>
          <w:lang w:val="ro-RO"/>
        </w:rPr>
      </w:pPr>
      <w:r w:rsidRPr="0025041D">
        <w:rPr>
          <w:rStyle w:val="FootnoteReference"/>
          <w:rFonts w:ascii="Times New Roman" w:hAnsi="Times New Roman" w:cs="Times New Roman"/>
          <w:sz w:val="18"/>
          <w:szCs w:val="18"/>
        </w:rPr>
        <w:footnoteRef/>
      </w:r>
      <w:r w:rsidRPr="0025041D">
        <w:rPr>
          <w:rFonts w:ascii="Times New Roman" w:hAnsi="Times New Roman" w:cs="Times New Roman"/>
          <w:sz w:val="18"/>
          <w:szCs w:val="18"/>
          <w:lang w:val="es-ES"/>
        </w:rPr>
        <w:t xml:space="preserve"> </w:t>
      </w:r>
      <w:r w:rsidRPr="0025041D">
        <w:rPr>
          <w:rFonts w:ascii="Times New Roman" w:hAnsi="Times New Roman" w:cs="Times New Roman"/>
          <w:sz w:val="18"/>
          <w:szCs w:val="18"/>
          <w:lang w:val="ro-RO"/>
        </w:rPr>
        <w:t xml:space="preserve">Banca Mondială: </w:t>
      </w:r>
      <w:r w:rsidRPr="0025041D">
        <w:rPr>
          <w:rFonts w:ascii="Times New Roman" w:hAnsi="Times New Roman" w:cs="Times New Roman"/>
          <w:i/>
          <w:iCs/>
          <w:sz w:val="18"/>
          <w:szCs w:val="18"/>
          <w:lang w:val="ro-RO"/>
        </w:rPr>
        <w:t>Menținerea stabilității și restabilirea creșterii. Note de politici ale Republicii Moldova 2019</w:t>
      </w:r>
      <w:r w:rsidRPr="0025041D">
        <w:rPr>
          <w:rFonts w:ascii="Times New Roman" w:hAnsi="Times New Roman" w:cs="Times New Roman"/>
          <w:sz w:val="18"/>
          <w:szCs w:val="18"/>
          <w:lang w:val="ro-RO"/>
        </w:rPr>
        <w:t xml:space="preserve">. </w:t>
      </w:r>
    </w:p>
  </w:footnote>
  <w:footnote w:id="37">
    <w:p w14:paraId="529148CE" w14:textId="52833563" w:rsidR="00E3035D" w:rsidRPr="0025041D" w:rsidRDefault="00E3035D" w:rsidP="00D31C2B">
      <w:pPr>
        <w:pStyle w:val="FootnoteText"/>
        <w:rPr>
          <w:rFonts w:ascii="Times New Roman" w:hAnsi="Times New Roman" w:cs="Times New Roman"/>
          <w:sz w:val="18"/>
          <w:szCs w:val="18"/>
          <w:lang w:val="es-ES"/>
        </w:rPr>
      </w:pPr>
      <w:r w:rsidRPr="004D3FAD">
        <w:rPr>
          <w:rStyle w:val="FootnoteReference"/>
          <w:rFonts w:asciiTheme="majorHAnsi" w:hAnsiTheme="majorHAnsi" w:cstheme="majorHAnsi"/>
          <w:sz w:val="18"/>
          <w:szCs w:val="18"/>
          <w:lang w:val="ro-RO"/>
        </w:rPr>
        <w:footnoteRef/>
      </w:r>
      <w:r w:rsidRPr="004D3FAD">
        <w:rPr>
          <w:rFonts w:asciiTheme="majorHAnsi" w:hAnsiTheme="majorHAnsi" w:cstheme="majorHAnsi"/>
          <w:sz w:val="18"/>
          <w:szCs w:val="18"/>
          <w:lang w:val="ro-RO"/>
        </w:rPr>
        <w:t xml:space="preserve"> </w:t>
      </w:r>
      <w:r w:rsidRPr="0025041D">
        <w:rPr>
          <w:rFonts w:ascii="Times New Roman" w:hAnsi="Times New Roman" w:cs="Times New Roman"/>
          <w:sz w:val="18"/>
          <w:szCs w:val="18"/>
          <w:lang w:val="ro-RO"/>
        </w:rPr>
        <w:t xml:space="preserve">Fundația Europeană de Formare (ETF) Moldova. </w:t>
      </w:r>
      <w:r w:rsidRPr="0025041D">
        <w:rPr>
          <w:rFonts w:ascii="Times New Roman" w:hAnsi="Times New Roman" w:cs="Times New Roman"/>
          <w:i/>
          <w:iCs/>
          <w:sz w:val="18"/>
          <w:szCs w:val="18"/>
          <w:lang w:val="ro-RO"/>
        </w:rPr>
        <w:t>Evoluții în educație, formare și ocupare</w:t>
      </w:r>
      <w:r w:rsidRPr="0025041D">
        <w:rPr>
          <w:rFonts w:ascii="Times New Roman" w:hAnsi="Times New Roman" w:cs="Times New Roman"/>
          <w:sz w:val="18"/>
          <w:szCs w:val="18"/>
          <w:lang w:val="ro-RO"/>
        </w:rPr>
        <w:t>, ETF 2020.</w:t>
      </w:r>
    </w:p>
  </w:footnote>
  <w:footnote w:id="38">
    <w:p w14:paraId="59E586F3" w14:textId="1BC68E64" w:rsidR="00E3035D" w:rsidRPr="00231802" w:rsidRDefault="00E3035D" w:rsidP="00CF2660">
      <w:pPr>
        <w:pStyle w:val="Title"/>
        <w:ind w:right="-18"/>
        <w:jc w:val="left"/>
        <w:rPr>
          <w:rFonts w:ascii="Times New Roman" w:hAnsi="Times New Roman" w:cs="Times New Roman"/>
          <w:b w:val="0"/>
          <w:bCs/>
          <w:sz w:val="18"/>
          <w:szCs w:val="18"/>
          <w:lang w:val="ro-RO"/>
        </w:rPr>
      </w:pPr>
      <w:r w:rsidRPr="00612EEF">
        <w:rPr>
          <w:rStyle w:val="FootnoteReference"/>
          <w:rFonts w:asciiTheme="majorHAnsi" w:hAnsiTheme="majorHAnsi" w:cstheme="majorHAnsi"/>
          <w:b w:val="0"/>
          <w:bCs/>
          <w:sz w:val="18"/>
          <w:szCs w:val="18"/>
        </w:rPr>
        <w:footnoteRef/>
      </w:r>
      <w:r w:rsidRPr="004220F7">
        <w:rPr>
          <w:rFonts w:asciiTheme="majorHAnsi" w:hAnsiTheme="majorHAnsi" w:cstheme="majorHAnsi"/>
          <w:b w:val="0"/>
          <w:bCs/>
          <w:sz w:val="18"/>
          <w:szCs w:val="18"/>
          <w:lang w:val="es-ES"/>
        </w:rPr>
        <w:t xml:space="preserve"> </w:t>
      </w:r>
      <w:r w:rsidRPr="00231802">
        <w:rPr>
          <w:rFonts w:ascii="Times New Roman" w:hAnsi="Times New Roman" w:cs="Times New Roman"/>
          <w:b w:val="0"/>
          <w:bCs/>
          <w:sz w:val="18"/>
          <w:szCs w:val="18"/>
          <w:lang w:val="it-IT"/>
        </w:rPr>
        <w:t xml:space="preserve">OIM: </w:t>
      </w:r>
      <w:r w:rsidRPr="00231802">
        <w:rPr>
          <w:rFonts w:ascii="Times New Roman" w:hAnsi="Times New Roman" w:cs="Times New Roman"/>
          <w:b w:val="0"/>
          <w:bCs/>
          <w:i/>
          <w:iCs/>
          <w:sz w:val="18"/>
          <w:szCs w:val="18"/>
          <w:lang w:val="ro-RO"/>
        </w:rPr>
        <w:t>Evaluarea prestării serviciilor de ocupare pentru tineri de către Agenția Națională pentru Ocuparea Forței de Muncă a Republicii Moldova</w:t>
      </w:r>
      <w:r w:rsidRPr="00231802">
        <w:rPr>
          <w:rFonts w:ascii="Times New Roman" w:hAnsi="Times New Roman" w:cs="Times New Roman"/>
          <w:b w:val="0"/>
          <w:bCs/>
          <w:sz w:val="18"/>
          <w:szCs w:val="18"/>
          <w:lang w:val="ro-RO"/>
        </w:rPr>
        <w:t>, februarie 2017</w:t>
      </w:r>
    </w:p>
  </w:footnote>
  <w:footnote w:id="39">
    <w:p w14:paraId="74AFC6E6" w14:textId="283A5FDA" w:rsidR="00E3035D" w:rsidRPr="00231802" w:rsidRDefault="00E3035D">
      <w:pPr>
        <w:pStyle w:val="FootnoteText"/>
        <w:rPr>
          <w:rFonts w:ascii="Times New Roman" w:hAnsi="Times New Roman" w:cs="Times New Roman"/>
          <w:sz w:val="18"/>
          <w:szCs w:val="18"/>
          <w:lang w:val="ro-RO"/>
        </w:rPr>
      </w:pPr>
      <w:r w:rsidRPr="00231802">
        <w:rPr>
          <w:rStyle w:val="FootnoteReference"/>
          <w:rFonts w:ascii="Times New Roman" w:hAnsi="Times New Roman" w:cs="Times New Roman"/>
          <w:sz w:val="18"/>
          <w:szCs w:val="18"/>
          <w:lang w:val="ro-RO"/>
        </w:rPr>
        <w:footnoteRef/>
      </w:r>
      <w:r w:rsidRPr="00231802">
        <w:rPr>
          <w:rFonts w:ascii="Times New Roman" w:hAnsi="Times New Roman" w:cs="Times New Roman"/>
          <w:sz w:val="18"/>
          <w:szCs w:val="18"/>
          <w:lang w:val="ro-RO"/>
        </w:rPr>
        <w:t xml:space="preserve"> Informație oferită de ANOFM, privind activitățile îndeplinite 2018-2019</w:t>
      </w:r>
    </w:p>
  </w:footnote>
  <w:footnote w:id="40">
    <w:p w14:paraId="62422694" w14:textId="082C35C6" w:rsidR="00E3035D" w:rsidRPr="00231802" w:rsidRDefault="00E3035D">
      <w:pPr>
        <w:pStyle w:val="FootnoteText"/>
        <w:rPr>
          <w:rFonts w:ascii="Times New Roman" w:hAnsi="Times New Roman" w:cs="Times New Roman"/>
          <w:sz w:val="18"/>
          <w:szCs w:val="18"/>
          <w:lang w:val="it-IT"/>
        </w:rPr>
      </w:pPr>
      <w:r w:rsidRPr="00612EEF">
        <w:rPr>
          <w:rStyle w:val="FootnoteReference"/>
          <w:rFonts w:asciiTheme="majorHAnsi" w:hAnsiTheme="majorHAnsi" w:cstheme="majorHAnsi"/>
          <w:sz w:val="18"/>
          <w:szCs w:val="18"/>
        </w:rPr>
        <w:footnoteRef/>
      </w:r>
      <w:r w:rsidRPr="00E02707">
        <w:rPr>
          <w:rFonts w:asciiTheme="majorHAnsi" w:hAnsiTheme="majorHAnsi" w:cstheme="majorHAnsi"/>
          <w:sz w:val="18"/>
          <w:szCs w:val="18"/>
          <w:lang w:val="it-IT"/>
        </w:rPr>
        <w:t xml:space="preserve"> </w:t>
      </w:r>
      <w:r w:rsidRPr="00231802">
        <w:rPr>
          <w:rFonts w:ascii="Times New Roman" w:hAnsi="Times New Roman" w:cs="Times New Roman"/>
          <w:sz w:val="18"/>
          <w:szCs w:val="18"/>
          <w:lang w:val="it-IT"/>
        </w:rPr>
        <w:t xml:space="preserve">ANOFM: </w:t>
      </w:r>
      <w:r w:rsidRPr="00231802">
        <w:rPr>
          <w:rFonts w:ascii="Times New Roman" w:hAnsi="Times New Roman" w:cs="Times New Roman"/>
          <w:i/>
          <w:iCs/>
          <w:sz w:val="18"/>
          <w:szCs w:val="18"/>
          <w:lang w:val="it-IT"/>
        </w:rPr>
        <w:t>Raport Statistic</w:t>
      </w:r>
      <w:r w:rsidRPr="00231802">
        <w:rPr>
          <w:rFonts w:ascii="Times New Roman" w:hAnsi="Times New Roman" w:cs="Times New Roman"/>
          <w:sz w:val="18"/>
          <w:szCs w:val="18"/>
          <w:lang w:val="it-IT"/>
        </w:rPr>
        <w:t xml:space="preserve">, 2019. </w:t>
      </w:r>
    </w:p>
  </w:footnote>
  <w:footnote w:id="41">
    <w:p w14:paraId="676ED164" w14:textId="653B6A8B" w:rsidR="00E3035D" w:rsidRPr="008C4344" w:rsidRDefault="00E3035D" w:rsidP="00A237CE">
      <w:pPr>
        <w:pStyle w:val="Default"/>
        <w:rPr>
          <w:rFonts w:ascii="Times New Roman" w:hAnsi="Times New Roman" w:cs="Times New Roman"/>
          <w:sz w:val="18"/>
          <w:szCs w:val="18"/>
          <w:lang w:val="es-ES"/>
        </w:rPr>
      </w:pPr>
      <w:r w:rsidRPr="008C4344">
        <w:rPr>
          <w:rStyle w:val="FootnoteReference"/>
          <w:rFonts w:ascii="Times New Roman" w:hAnsi="Times New Roman" w:cs="Times New Roman"/>
          <w:sz w:val="18"/>
          <w:szCs w:val="18"/>
        </w:rPr>
        <w:footnoteRef/>
      </w:r>
      <w:r w:rsidRPr="008C4344">
        <w:rPr>
          <w:rFonts w:ascii="Times New Roman" w:hAnsi="Times New Roman" w:cs="Times New Roman"/>
          <w:sz w:val="18"/>
          <w:szCs w:val="18"/>
          <w:lang w:val="es-ES"/>
        </w:rPr>
        <w:t xml:space="preserve"> </w:t>
      </w:r>
      <w:r w:rsidRPr="008C4344">
        <w:rPr>
          <w:rFonts w:ascii="Times New Roman" w:hAnsi="Times New Roman" w:cs="Times New Roman"/>
          <w:sz w:val="18"/>
          <w:szCs w:val="18"/>
          <w:lang w:val="it-IT"/>
        </w:rPr>
        <w:t xml:space="preserve">A. Lungu, </w:t>
      </w:r>
      <w:r w:rsidRPr="008C4344">
        <w:rPr>
          <w:rFonts w:ascii="Times New Roman" w:hAnsi="Times New Roman" w:cs="Times New Roman"/>
          <w:i/>
          <w:iCs/>
          <w:sz w:val="18"/>
          <w:szCs w:val="18"/>
          <w:lang w:val="it-IT"/>
        </w:rPr>
        <w:t>Dialogul social în Republica Moldova</w:t>
      </w:r>
      <w:r w:rsidRPr="008C4344">
        <w:rPr>
          <w:rFonts w:ascii="Times New Roman" w:hAnsi="Times New Roman" w:cs="Times New Roman"/>
          <w:sz w:val="18"/>
          <w:szCs w:val="18"/>
          <w:lang w:val="it-IT"/>
        </w:rPr>
        <w:t>, 2019</w:t>
      </w:r>
    </w:p>
  </w:footnote>
  <w:footnote w:id="42">
    <w:p w14:paraId="238E05CD" w14:textId="77777777" w:rsidR="00E3035D" w:rsidRPr="00B87550" w:rsidRDefault="00E3035D" w:rsidP="003836D9">
      <w:pPr>
        <w:pStyle w:val="FootnoteText"/>
        <w:rPr>
          <w:rFonts w:ascii="Times New Roman" w:hAnsi="Times New Roman" w:cs="Times New Roman"/>
          <w:sz w:val="18"/>
          <w:szCs w:val="18"/>
        </w:rPr>
      </w:pPr>
      <w:r w:rsidRPr="00B87550">
        <w:rPr>
          <w:rStyle w:val="FootnoteReference"/>
          <w:rFonts w:ascii="Times New Roman" w:hAnsi="Times New Roman" w:cs="Times New Roman"/>
          <w:sz w:val="18"/>
          <w:szCs w:val="18"/>
        </w:rPr>
        <w:footnoteRef/>
      </w:r>
      <w:r w:rsidRPr="00B87550">
        <w:rPr>
          <w:rFonts w:ascii="Times New Roman" w:hAnsi="Times New Roman" w:cs="Times New Roman"/>
          <w:sz w:val="18"/>
          <w:szCs w:val="18"/>
        </w:rPr>
        <w:t xml:space="preserve"> The Global Competitiveness Report 2019, (</w:t>
      </w:r>
      <w:proofErr w:type="spellStart"/>
      <w:r w:rsidRPr="00B87550">
        <w:rPr>
          <w:rFonts w:ascii="Times New Roman" w:hAnsi="Times New Roman" w:cs="Times New Roman"/>
          <w:sz w:val="18"/>
          <w:szCs w:val="18"/>
        </w:rPr>
        <w:t>scorul</w:t>
      </w:r>
      <w:proofErr w:type="spellEnd"/>
      <w:r w:rsidRPr="00B87550">
        <w:rPr>
          <w:rFonts w:ascii="Times New Roman" w:hAnsi="Times New Roman" w:cs="Times New Roman"/>
          <w:sz w:val="18"/>
          <w:szCs w:val="18"/>
        </w:rPr>
        <w:t xml:space="preserve"> </w:t>
      </w:r>
      <w:proofErr w:type="spellStart"/>
      <w:r w:rsidRPr="00B87550">
        <w:rPr>
          <w:rFonts w:ascii="Times New Roman" w:hAnsi="Times New Roman" w:cs="Times New Roman"/>
          <w:sz w:val="18"/>
          <w:szCs w:val="18"/>
        </w:rPr>
        <w:t>este</w:t>
      </w:r>
      <w:proofErr w:type="spellEnd"/>
      <w:r w:rsidRPr="00B87550">
        <w:rPr>
          <w:rFonts w:ascii="Times New Roman" w:hAnsi="Times New Roman" w:cs="Times New Roman"/>
          <w:sz w:val="18"/>
          <w:szCs w:val="18"/>
        </w:rPr>
        <w:t xml:space="preserve"> de la 1 la 7)</w:t>
      </w:r>
    </w:p>
  </w:footnote>
  <w:footnote w:id="43">
    <w:p w14:paraId="1A813CF3" w14:textId="415DFEE4" w:rsidR="00E3035D" w:rsidRPr="00B87550" w:rsidRDefault="00E3035D" w:rsidP="003836D9">
      <w:pPr>
        <w:pStyle w:val="FootnoteText"/>
        <w:rPr>
          <w:rFonts w:ascii="Times New Roman" w:hAnsi="Times New Roman" w:cs="Times New Roman"/>
          <w:sz w:val="18"/>
          <w:szCs w:val="18"/>
        </w:rPr>
      </w:pPr>
      <w:r w:rsidRPr="00B87550">
        <w:rPr>
          <w:rStyle w:val="FootnoteReference"/>
          <w:rFonts w:ascii="Times New Roman" w:hAnsi="Times New Roman" w:cs="Times New Roman"/>
          <w:sz w:val="18"/>
          <w:szCs w:val="18"/>
        </w:rPr>
        <w:footnoteRef/>
      </w:r>
      <w:r w:rsidRPr="00B87550">
        <w:rPr>
          <w:rFonts w:ascii="Times New Roman" w:hAnsi="Times New Roman" w:cs="Times New Roman"/>
          <w:sz w:val="18"/>
          <w:szCs w:val="18"/>
        </w:rPr>
        <w:t xml:space="preserve"> Conform </w:t>
      </w:r>
      <w:proofErr w:type="spellStart"/>
      <w:r w:rsidRPr="00B87550">
        <w:rPr>
          <w:rFonts w:ascii="Times New Roman" w:hAnsi="Times New Roman" w:cs="Times New Roman"/>
          <w:sz w:val="18"/>
          <w:szCs w:val="18"/>
        </w:rPr>
        <w:t>Metodologiei</w:t>
      </w:r>
      <w:proofErr w:type="spellEnd"/>
      <w:r w:rsidRPr="00B87550">
        <w:rPr>
          <w:rFonts w:ascii="Times New Roman" w:hAnsi="Times New Roman" w:cs="Times New Roman"/>
          <w:sz w:val="18"/>
          <w:szCs w:val="18"/>
        </w:rPr>
        <w:t xml:space="preserve"> </w:t>
      </w:r>
      <w:proofErr w:type="spellStart"/>
      <w:r w:rsidRPr="00B87550">
        <w:rPr>
          <w:rFonts w:ascii="Times New Roman" w:hAnsi="Times New Roman" w:cs="Times New Roman"/>
          <w:sz w:val="18"/>
          <w:szCs w:val="18"/>
        </w:rPr>
        <w:t>noi</w:t>
      </w:r>
      <w:proofErr w:type="spellEnd"/>
      <w:r w:rsidRPr="00B87550">
        <w:rPr>
          <w:rFonts w:ascii="Times New Roman" w:hAnsi="Times New Roman" w:cs="Times New Roman"/>
          <w:sz w:val="18"/>
          <w:szCs w:val="18"/>
        </w:rPr>
        <w:t>, sub-</w:t>
      </w:r>
      <w:proofErr w:type="spellStart"/>
      <w:r w:rsidRPr="00B87550">
        <w:rPr>
          <w:rFonts w:ascii="Times New Roman" w:hAnsi="Times New Roman" w:cs="Times New Roman"/>
          <w:sz w:val="18"/>
          <w:szCs w:val="18"/>
        </w:rPr>
        <w:t>indicatorul</w:t>
      </w:r>
      <w:proofErr w:type="spellEnd"/>
      <w:r w:rsidRPr="00B87550">
        <w:rPr>
          <w:rFonts w:ascii="Times New Roman" w:hAnsi="Times New Roman" w:cs="Times New Roman"/>
          <w:sz w:val="18"/>
          <w:szCs w:val="18"/>
        </w:rPr>
        <w:t xml:space="preserve"> GCI ”</w:t>
      </w:r>
      <w:proofErr w:type="spellStart"/>
      <w:r w:rsidRPr="00B87550">
        <w:rPr>
          <w:rFonts w:ascii="Times New Roman" w:hAnsi="Times New Roman" w:cs="Times New Roman"/>
          <w:sz w:val="18"/>
          <w:szCs w:val="18"/>
        </w:rPr>
        <w:t>ușurința</w:t>
      </w:r>
      <w:proofErr w:type="spellEnd"/>
      <w:r w:rsidRPr="00B87550">
        <w:rPr>
          <w:rFonts w:ascii="Times New Roman" w:hAnsi="Times New Roman" w:cs="Times New Roman"/>
          <w:sz w:val="18"/>
          <w:szCs w:val="18"/>
        </w:rPr>
        <w:t xml:space="preserve"> de </w:t>
      </w:r>
      <w:proofErr w:type="spellStart"/>
      <w:r w:rsidRPr="00B87550">
        <w:rPr>
          <w:rFonts w:ascii="Times New Roman" w:hAnsi="Times New Roman" w:cs="Times New Roman"/>
          <w:sz w:val="18"/>
          <w:szCs w:val="18"/>
        </w:rPr>
        <w:t>angajare</w:t>
      </w:r>
      <w:proofErr w:type="spellEnd"/>
      <w:r w:rsidRPr="00B87550">
        <w:rPr>
          <w:rFonts w:ascii="Times New Roman" w:hAnsi="Times New Roman" w:cs="Times New Roman"/>
          <w:sz w:val="18"/>
          <w:szCs w:val="18"/>
        </w:rPr>
        <w:t xml:space="preserve"> a </w:t>
      </w:r>
      <w:proofErr w:type="spellStart"/>
      <w:r w:rsidRPr="00B87550">
        <w:rPr>
          <w:rFonts w:ascii="Times New Roman" w:hAnsi="Times New Roman" w:cs="Times New Roman"/>
          <w:sz w:val="18"/>
          <w:szCs w:val="18"/>
        </w:rPr>
        <w:t>lucrătorilor</w:t>
      </w:r>
      <w:proofErr w:type="spellEnd"/>
      <w:r w:rsidRPr="00B87550">
        <w:rPr>
          <w:rFonts w:ascii="Times New Roman" w:hAnsi="Times New Roman" w:cs="Times New Roman"/>
          <w:sz w:val="18"/>
          <w:szCs w:val="18"/>
        </w:rPr>
        <w:t xml:space="preserve"> </w:t>
      </w:r>
      <w:proofErr w:type="spellStart"/>
      <w:r w:rsidRPr="00B87550">
        <w:rPr>
          <w:rFonts w:ascii="Times New Roman" w:hAnsi="Times New Roman" w:cs="Times New Roman"/>
          <w:sz w:val="18"/>
          <w:szCs w:val="18"/>
        </w:rPr>
        <w:t>străini</w:t>
      </w:r>
      <w:proofErr w:type="spellEnd"/>
      <w:r w:rsidRPr="00B87550">
        <w:rPr>
          <w:rFonts w:ascii="Times New Roman" w:hAnsi="Times New Roman" w:cs="Times New Roman"/>
          <w:sz w:val="18"/>
          <w:szCs w:val="18"/>
        </w:rPr>
        <w:t xml:space="preserve">” </w:t>
      </w:r>
      <w:proofErr w:type="spellStart"/>
      <w:r w:rsidRPr="00B87550">
        <w:rPr>
          <w:rFonts w:ascii="Times New Roman" w:hAnsi="Times New Roman" w:cs="Times New Roman"/>
          <w:sz w:val="18"/>
          <w:szCs w:val="18"/>
        </w:rPr>
        <w:t>este</w:t>
      </w:r>
      <w:proofErr w:type="spellEnd"/>
      <w:r w:rsidRPr="00B87550">
        <w:rPr>
          <w:rFonts w:ascii="Times New Roman" w:hAnsi="Times New Roman" w:cs="Times New Roman"/>
          <w:sz w:val="18"/>
          <w:szCs w:val="18"/>
        </w:rPr>
        <w:t xml:space="preserve"> </w:t>
      </w:r>
      <w:proofErr w:type="spellStart"/>
      <w:r w:rsidRPr="00B87550">
        <w:rPr>
          <w:rFonts w:ascii="Times New Roman" w:hAnsi="Times New Roman" w:cs="Times New Roman"/>
          <w:sz w:val="18"/>
          <w:szCs w:val="18"/>
        </w:rPr>
        <w:t>calculat</w:t>
      </w:r>
      <w:proofErr w:type="spellEnd"/>
      <w:r w:rsidRPr="00B87550">
        <w:rPr>
          <w:rFonts w:ascii="Times New Roman" w:hAnsi="Times New Roman" w:cs="Times New Roman"/>
          <w:sz w:val="18"/>
          <w:szCs w:val="18"/>
        </w:rPr>
        <w:t xml:space="preserve"> </w:t>
      </w:r>
      <w:proofErr w:type="spellStart"/>
      <w:r w:rsidRPr="00B87550">
        <w:rPr>
          <w:rFonts w:ascii="Times New Roman" w:hAnsi="Times New Roman" w:cs="Times New Roman"/>
          <w:sz w:val="18"/>
          <w:szCs w:val="18"/>
        </w:rPr>
        <w:t>începând</w:t>
      </w:r>
      <w:proofErr w:type="spellEnd"/>
      <w:r w:rsidRPr="00B87550">
        <w:rPr>
          <w:rFonts w:ascii="Times New Roman" w:hAnsi="Times New Roman" w:cs="Times New Roman"/>
          <w:sz w:val="18"/>
          <w:szCs w:val="18"/>
        </w:rPr>
        <w:t xml:space="preserve"> cu </w:t>
      </w:r>
      <w:proofErr w:type="spellStart"/>
      <w:r w:rsidRPr="00B87550">
        <w:rPr>
          <w:rFonts w:ascii="Times New Roman" w:hAnsi="Times New Roman" w:cs="Times New Roman"/>
          <w:sz w:val="18"/>
          <w:szCs w:val="18"/>
        </w:rPr>
        <w:t>anul</w:t>
      </w:r>
      <w:proofErr w:type="spellEnd"/>
      <w:r w:rsidRPr="00B87550">
        <w:rPr>
          <w:rFonts w:ascii="Times New Roman" w:hAnsi="Times New Roman" w:cs="Times New Roman"/>
          <w:sz w:val="18"/>
          <w:szCs w:val="18"/>
        </w:rPr>
        <w:t xml:space="preserve"> 2018.</w:t>
      </w:r>
    </w:p>
  </w:footnote>
  <w:footnote w:id="44">
    <w:p w14:paraId="6E532FC3" w14:textId="77777777" w:rsidR="00E3035D" w:rsidRPr="00157C1E" w:rsidRDefault="00E3035D" w:rsidP="008371AA">
      <w:pPr>
        <w:pStyle w:val="Default"/>
        <w:rPr>
          <w:rFonts w:ascii="Times New Roman" w:hAnsi="Times New Roman" w:cs="Times New Roman"/>
          <w:color w:val="auto"/>
          <w:sz w:val="18"/>
          <w:szCs w:val="18"/>
          <w:lang w:val="ro-RO"/>
        </w:rPr>
      </w:pPr>
      <w:r w:rsidRPr="00157C1E">
        <w:rPr>
          <w:rStyle w:val="FootnoteReference"/>
          <w:rFonts w:ascii="Times New Roman" w:hAnsi="Times New Roman" w:cs="Times New Roman"/>
          <w:sz w:val="18"/>
          <w:szCs w:val="18"/>
          <w:lang w:val="ro-RO"/>
        </w:rPr>
        <w:footnoteRef/>
      </w:r>
      <w:r w:rsidRPr="00157C1E">
        <w:rPr>
          <w:rFonts w:ascii="Times New Roman" w:hAnsi="Times New Roman" w:cs="Times New Roman"/>
          <w:sz w:val="18"/>
          <w:szCs w:val="18"/>
          <w:lang w:val="ro-RO"/>
        </w:rPr>
        <w:t xml:space="preserve"> </w:t>
      </w:r>
      <w:r w:rsidRPr="00157C1E">
        <w:rPr>
          <w:rFonts w:ascii="Times New Roman" w:hAnsi="Times New Roman" w:cs="Times New Roman"/>
          <w:color w:val="auto"/>
          <w:sz w:val="18"/>
          <w:szCs w:val="18"/>
          <w:lang w:val="ro-RO"/>
        </w:rPr>
        <w:t xml:space="preserve">FMI: </w:t>
      </w:r>
      <w:r w:rsidRPr="00157C1E">
        <w:rPr>
          <w:rFonts w:ascii="Times New Roman" w:hAnsi="Times New Roman" w:cs="Times New Roman"/>
          <w:i/>
          <w:iCs/>
          <w:color w:val="auto"/>
          <w:sz w:val="18"/>
          <w:szCs w:val="18"/>
          <w:lang w:val="ro-RO"/>
        </w:rPr>
        <w:t>Moldova, FMI Raport de Țară</w:t>
      </w:r>
      <w:r w:rsidRPr="00157C1E">
        <w:rPr>
          <w:rFonts w:ascii="Times New Roman" w:hAnsi="Times New Roman" w:cs="Times New Roman"/>
          <w:color w:val="auto"/>
          <w:sz w:val="18"/>
          <w:szCs w:val="18"/>
          <w:lang w:val="ro-RO"/>
        </w:rPr>
        <w:t xml:space="preserve"> Nr. 22/1. Aceste proiecții de creștere iau în considerare creșterea prețurilor la energie, dar nu și potențialul efect negativ al crizei Ruso-Ucrainene asupra economiei interne.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343EA" w14:textId="71F7D67C" w:rsidR="00E3035D" w:rsidRPr="0006724C" w:rsidRDefault="00E3035D" w:rsidP="00DB59F5">
    <w:pPr>
      <w:pStyle w:val="Header"/>
      <w:tabs>
        <w:tab w:val="clear" w:pos="4819"/>
        <w:tab w:val="clear" w:pos="9638"/>
        <w:tab w:val="left" w:pos="1127"/>
      </w:tabs>
      <w:rPr>
        <w:lang w:val="ro-RO"/>
      </w:rPr>
    </w:pPr>
    <w:r>
      <w:rPr>
        <w:lang w:val="ro-R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209"/>
    <w:multiLevelType w:val="multilevel"/>
    <w:tmpl w:val="3F342F58"/>
    <w:lvl w:ilvl="0">
      <w:start w:val="1"/>
      <w:numFmt w:val="decimal"/>
      <w:lvlText w:val="%1."/>
      <w:lvlJc w:val="left"/>
      <w:pPr>
        <w:ind w:left="360" w:hanging="360"/>
      </w:pPr>
      <w:rPr>
        <w:rFonts w:ascii="Times New Roman" w:eastAsia="Calibri" w:hAnsi="Times New Roman" w:cs="Times New Roman" w:hint="default"/>
        <w:color w:val="0000FF"/>
        <w:sz w:val="24"/>
        <w:u w:val="single"/>
      </w:rPr>
    </w:lvl>
    <w:lvl w:ilvl="1">
      <w:start w:val="1"/>
      <w:numFmt w:val="decimal"/>
      <w:lvlText w:val="%1.%2."/>
      <w:lvlJc w:val="left"/>
      <w:pPr>
        <w:ind w:left="720" w:hanging="360"/>
      </w:pPr>
      <w:rPr>
        <w:rFonts w:ascii="Times New Roman" w:eastAsia="Calibri" w:hAnsi="Times New Roman" w:cs="Times New Roman" w:hint="default"/>
        <w:color w:val="0000FF"/>
        <w:sz w:val="24"/>
        <w:u w:val="single"/>
      </w:rPr>
    </w:lvl>
    <w:lvl w:ilvl="2">
      <w:start w:val="1"/>
      <w:numFmt w:val="decimal"/>
      <w:lvlText w:val="%1.%2.%3."/>
      <w:lvlJc w:val="left"/>
      <w:pPr>
        <w:ind w:left="1440" w:hanging="720"/>
      </w:pPr>
      <w:rPr>
        <w:rFonts w:ascii="Times New Roman" w:eastAsia="Calibri" w:hAnsi="Times New Roman" w:cs="Times New Roman" w:hint="default"/>
        <w:color w:val="0000FF"/>
        <w:sz w:val="24"/>
        <w:u w:val="single"/>
      </w:rPr>
    </w:lvl>
    <w:lvl w:ilvl="3">
      <w:start w:val="1"/>
      <w:numFmt w:val="decimal"/>
      <w:lvlText w:val="%1.%2.%3.%4."/>
      <w:lvlJc w:val="left"/>
      <w:pPr>
        <w:ind w:left="1800" w:hanging="720"/>
      </w:pPr>
      <w:rPr>
        <w:rFonts w:ascii="Times New Roman" w:eastAsia="Calibri" w:hAnsi="Times New Roman" w:cs="Times New Roman" w:hint="default"/>
        <w:color w:val="0000FF"/>
        <w:sz w:val="24"/>
        <w:u w:val="single"/>
      </w:rPr>
    </w:lvl>
    <w:lvl w:ilvl="4">
      <w:start w:val="1"/>
      <w:numFmt w:val="decimal"/>
      <w:lvlText w:val="%1.%2.%3.%4.%5."/>
      <w:lvlJc w:val="left"/>
      <w:pPr>
        <w:ind w:left="2520" w:hanging="1080"/>
      </w:pPr>
      <w:rPr>
        <w:rFonts w:ascii="Times New Roman" w:eastAsia="Calibri" w:hAnsi="Times New Roman" w:cs="Times New Roman" w:hint="default"/>
        <w:color w:val="0000FF"/>
        <w:sz w:val="24"/>
        <w:u w:val="single"/>
      </w:rPr>
    </w:lvl>
    <w:lvl w:ilvl="5">
      <w:start w:val="1"/>
      <w:numFmt w:val="decimal"/>
      <w:lvlText w:val="%1.%2.%3.%4.%5.%6."/>
      <w:lvlJc w:val="left"/>
      <w:pPr>
        <w:ind w:left="2880" w:hanging="1080"/>
      </w:pPr>
      <w:rPr>
        <w:rFonts w:ascii="Times New Roman" w:eastAsia="Calibri" w:hAnsi="Times New Roman" w:cs="Times New Roman" w:hint="default"/>
        <w:color w:val="0000FF"/>
        <w:sz w:val="24"/>
        <w:u w:val="single"/>
      </w:rPr>
    </w:lvl>
    <w:lvl w:ilvl="6">
      <w:start w:val="1"/>
      <w:numFmt w:val="decimal"/>
      <w:lvlText w:val="%1.%2.%3.%4.%5.%6.%7."/>
      <w:lvlJc w:val="left"/>
      <w:pPr>
        <w:ind w:left="3240" w:hanging="1080"/>
      </w:pPr>
      <w:rPr>
        <w:rFonts w:ascii="Times New Roman" w:eastAsia="Calibri" w:hAnsi="Times New Roman" w:cs="Times New Roman" w:hint="default"/>
        <w:color w:val="0000FF"/>
        <w:sz w:val="24"/>
        <w:u w:val="single"/>
      </w:rPr>
    </w:lvl>
    <w:lvl w:ilvl="7">
      <w:start w:val="1"/>
      <w:numFmt w:val="decimal"/>
      <w:lvlText w:val="%1.%2.%3.%4.%5.%6.%7.%8."/>
      <w:lvlJc w:val="left"/>
      <w:pPr>
        <w:ind w:left="3960" w:hanging="1440"/>
      </w:pPr>
      <w:rPr>
        <w:rFonts w:ascii="Times New Roman" w:eastAsia="Calibri" w:hAnsi="Times New Roman" w:cs="Times New Roman" w:hint="default"/>
        <w:color w:val="0000FF"/>
        <w:sz w:val="24"/>
        <w:u w:val="single"/>
      </w:rPr>
    </w:lvl>
    <w:lvl w:ilvl="8">
      <w:start w:val="1"/>
      <w:numFmt w:val="decimal"/>
      <w:lvlText w:val="%1.%2.%3.%4.%5.%6.%7.%8.%9."/>
      <w:lvlJc w:val="left"/>
      <w:pPr>
        <w:ind w:left="4320" w:hanging="1440"/>
      </w:pPr>
      <w:rPr>
        <w:rFonts w:ascii="Times New Roman" w:eastAsia="Calibri" w:hAnsi="Times New Roman" w:cs="Times New Roman" w:hint="default"/>
        <w:color w:val="0000FF"/>
        <w:sz w:val="24"/>
        <w:u w:val="single"/>
      </w:rPr>
    </w:lvl>
  </w:abstractNum>
  <w:abstractNum w:abstractNumId="1">
    <w:nsid w:val="034D5C95"/>
    <w:multiLevelType w:val="multilevel"/>
    <w:tmpl w:val="275A1942"/>
    <w:lvl w:ilvl="0">
      <w:start w:val="4"/>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4253374"/>
    <w:multiLevelType w:val="multilevel"/>
    <w:tmpl w:val="E38AC14C"/>
    <w:lvl w:ilvl="0">
      <w:start w:val="1"/>
      <w:numFmt w:val="decimal"/>
      <w:lvlText w:val="%1."/>
      <w:lvlJc w:val="left"/>
      <w:pPr>
        <w:ind w:left="1069" w:hanging="360"/>
      </w:pPr>
      <w:rPr>
        <w:rFonts w:hint="default"/>
      </w:rPr>
    </w:lvl>
    <w:lvl w:ilvl="1">
      <w:start w:val="2"/>
      <w:numFmt w:val="decimal"/>
      <w:isLgl/>
      <w:lvlText w:val="%1.%2"/>
      <w:lvlJc w:val="left"/>
      <w:pPr>
        <w:ind w:left="1476" w:hanging="360"/>
      </w:pPr>
      <w:rPr>
        <w:rFonts w:hint="default"/>
      </w:rPr>
    </w:lvl>
    <w:lvl w:ilvl="2">
      <w:start w:val="1"/>
      <w:numFmt w:val="decimal"/>
      <w:isLgl/>
      <w:lvlText w:val="%1.%2.%3"/>
      <w:lvlJc w:val="left"/>
      <w:pPr>
        <w:ind w:left="2243" w:hanging="720"/>
      </w:pPr>
      <w:rPr>
        <w:rFonts w:hint="default"/>
      </w:rPr>
    </w:lvl>
    <w:lvl w:ilvl="3">
      <w:start w:val="1"/>
      <w:numFmt w:val="decimal"/>
      <w:isLgl/>
      <w:lvlText w:val="%1.%2.%3.%4"/>
      <w:lvlJc w:val="left"/>
      <w:pPr>
        <w:ind w:left="2650" w:hanging="720"/>
      </w:pPr>
      <w:rPr>
        <w:rFonts w:hint="default"/>
      </w:rPr>
    </w:lvl>
    <w:lvl w:ilvl="4">
      <w:start w:val="1"/>
      <w:numFmt w:val="decimal"/>
      <w:isLgl/>
      <w:lvlText w:val="%1.%2.%3.%4.%5"/>
      <w:lvlJc w:val="left"/>
      <w:pPr>
        <w:ind w:left="3417" w:hanging="1080"/>
      </w:pPr>
      <w:rPr>
        <w:rFonts w:hint="default"/>
      </w:rPr>
    </w:lvl>
    <w:lvl w:ilvl="5">
      <w:start w:val="1"/>
      <w:numFmt w:val="decimal"/>
      <w:isLgl/>
      <w:lvlText w:val="%1.%2.%3.%4.%5.%6"/>
      <w:lvlJc w:val="left"/>
      <w:pPr>
        <w:ind w:left="3824" w:hanging="1080"/>
      </w:pPr>
      <w:rPr>
        <w:rFonts w:hint="default"/>
      </w:rPr>
    </w:lvl>
    <w:lvl w:ilvl="6">
      <w:start w:val="1"/>
      <w:numFmt w:val="decimal"/>
      <w:isLgl/>
      <w:lvlText w:val="%1.%2.%3.%4.%5.%6.%7"/>
      <w:lvlJc w:val="left"/>
      <w:pPr>
        <w:ind w:left="4591"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765" w:hanging="1800"/>
      </w:pPr>
      <w:rPr>
        <w:rFonts w:hint="default"/>
      </w:rPr>
    </w:lvl>
  </w:abstractNum>
  <w:abstractNum w:abstractNumId="3">
    <w:nsid w:val="049E436A"/>
    <w:multiLevelType w:val="hybridMultilevel"/>
    <w:tmpl w:val="FB64EC76"/>
    <w:lvl w:ilvl="0" w:tplc="2376E98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0A200BE7"/>
    <w:multiLevelType w:val="hybridMultilevel"/>
    <w:tmpl w:val="8F181758"/>
    <w:lvl w:ilvl="0" w:tplc="2376E9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231481"/>
    <w:multiLevelType w:val="hybridMultilevel"/>
    <w:tmpl w:val="8392F20E"/>
    <w:lvl w:ilvl="0" w:tplc="04100005">
      <w:start w:val="1"/>
      <w:numFmt w:val="bullet"/>
      <w:lvlText w:val=""/>
      <w:lvlJc w:val="left"/>
      <w:pPr>
        <w:ind w:left="1482" w:hanging="360"/>
      </w:pPr>
      <w:rPr>
        <w:rFonts w:ascii="Wingdings" w:hAnsi="Wingdings"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6">
    <w:nsid w:val="0D3861F3"/>
    <w:multiLevelType w:val="hybridMultilevel"/>
    <w:tmpl w:val="1242F4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D3911"/>
    <w:multiLevelType w:val="hybridMultilevel"/>
    <w:tmpl w:val="1D54A710"/>
    <w:lvl w:ilvl="0" w:tplc="9DCE8D66">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79087A"/>
    <w:multiLevelType w:val="hybridMultilevel"/>
    <w:tmpl w:val="A4306934"/>
    <w:lvl w:ilvl="0" w:tplc="2376E980">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9">
    <w:nsid w:val="0DEF310E"/>
    <w:multiLevelType w:val="hybridMultilevel"/>
    <w:tmpl w:val="B0622DCA"/>
    <w:lvl w:ilvl="0" w:tplc="161A3DA0">
      <w:start w:val="1"/>
      <w:numFmt w:val="bullet"/>
      <w:lvlText w:val=""/>
      <w:lvlJc w:val="left"/>
      <w:pPr>
        <w:ind w:left="1281" w:hanging="360"/>
      </w:pPr>
      <w:rPr>
        <w:rFonts w:ascii="Symbol" w:hAnsi="Symbo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10">
    <w:nsid w:val="0F597688"/>
    <w:multiLevelType w:val="hybridMultilevel"/>
    <w:tmpl w:val="9342E512"/>
    <w:lvl w:ilvl="0" w:tplc="A5C29EF8">
      <w:start w:val="1"/>
      <w:numFmt w:val="lowerRoman"/>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0E302F7"/>
    <w:multiLevelType w:val="hybridMultilevel"/>
    <w:tmpl w:val="5A86570C"/>
    <w:lvl w:ilvl="0" w:tplc="7466DB1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5A4F67"/>
    <w:multiLevelType w:val="multilevel"/>
    <w:tmpl w:val="C55A811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29335A4"/>
    <w:multiLevelType w:val="hybridMultilevel"/>
    <w:tmpl w:val="FFC8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5F66B2"/>
    <w:multiLevelType w:val="hybridMultilevel"/>
    <w:tmpl w:val="BCDA92F0"/>
    <w:lvl w:ilvl="0" w:tplc="B9B03BC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16F74477"/>
    <w:multiLevelType w:val="hybridMultilevel"/>
    <w:tmpl w:val="4560DF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7943343"/>
    <w:multiLevelType w:val="hybridMultilevel"/>
    <w:tmpl w:val="960A9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6E610C"/>
    <w:multiLevelType w:val="hybridMultilevel"/>
    <w:tmpl w:val="B318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C310DC"/>
    <w:multiLevelType w:val="hybridMultilevel"/>
    <w:tmpl w:val="A230BE2E"/>
    <w:lvl w:ilvl="0" w:tplc="A6C8F0AC">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1AA42D49"/>
    <w:multiLevelType w:val="hybridMultilevel"/>
    <w:tmpl w:val="9342E512"/>
    <w:lvl w:ilvl="0" w:tplc="A5C29EF8">
      <w:start w:val="1"/>
      <w:numFmt w:val="lowerRoman"/>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1CE70B80"/>
    <w:multiLevelType w:val="multilevel"/>
    <w:tmpl w:val="B7C22F02"/>
    <w:lvl w:ilvl="0">
      <w:start w:val="2"/>
      <w:numFmt w:val="decimal"/>
      <w:lvlText w:val="%1."/>
      <w:lvlJc w:val="left"/>
      <w:pPr>
        <w:ind w:left="480" w:hanging="480"/>
      </w:pPr>
      <w:rPr>
        <w:rFonts w:hint="default"/>
        <w:color w:val="2F5496" w:themeColor="accent1" w:themeShade="BF"/>
        <w:sz w:val="32"/>
      </w:rPr>
    </w:lvl>
    <w:lvl w:ilvl="1">
      <w:start w:val="2"/>
      <w:numFmt w:val="decimal"/>
      <w:lvlText w:val="%1.%2."/>
      <w:lvlJc w:val="left"/>
      <w:pPr>
        <w:ind w:left="480" w:hanging="480"/>
      </w:pPr>
      <w:rPr>
        <w:rFonts w:hint="default"/>
        <w:color w:val="2F5496" w:themeColor="accent1" w:themeShade="BF"/>
        <w:sz w:val="32"/>
      </w:rPr>
    </w:lvl>
    <w:lvl w:ilvl="2">
      <w:start w:val="1"/>
      <w:numFmt w:val="decimal"/>
      <w:lvlText w:val="%1.%2.%3."/>
      <w:lvlJc w:val="left"/>
      <w:pPr>
        <w:ind w:left="720" w:hanging="720"/>
      </w:pPr>
      <w:rPr>
        <w:rFonts w:hint="default"/>
        <w:color w:val="2F5496" w:themeColor="accent1" w:themeShade="BF"/>
        <w:sz w:val="32"/>
      </w:rPr>
    </w:lvl>
    <w:lvl w:ilvl="3">
      <w:start w:val="1"/>
      <w:numFmt w:val="decimal"/>
      <w:lvlText w:val="%1.%2.%3.%4."/>
      <w:lvlJc w:val="left"/>
      <w:pPr>
        <w:ind w:left="720" w:hanging="720"/>
      </w:pPr>
      <w:rPr>
        <w:rFonts w:hint="default"/>
        <w:color w:val="2F5496" w:themeColor="accent1" w:themeShade="BF"/>
        <w:sz w:val="32"/>
      </w:rPr>
    </w:lvl>
    <w:lvl w:ilvl="4">
      <w:start w:val="1"/>
      <w:numFmt w:val="decimal"/>
      <w:lvlText w:val="%1.%2.%3.%4.%5."/>
      <w:lvlJc w:val="left"/>
      <w:pPr>
        <w:ind w:left="1080" w:hanging="1080"/>
      </w:pPr>
      <w:rPr>
        <w:rFonts w:hint="default"/>
        <w:color w:val="2F5496" w:themeColor="accent1" w:themeShade="BF"/>
        <w:sz w:val="32"/>
      </w:rPr>
    </w:lvl>
    <w:lvl w:ilvl="5">
      <w:start w:val="1"/>
      <w:numFmt w:val="decimal"/>
      <w:lvlText w:val="%1.%2.%3.%4.%5.%6."/>
      <w:lvlJc w:val="left"/>
      <w:pPr>
        <w:ind w:left="1080" w:hanging="1080"/>
      </w:pPr>
      <w:rPr>
        <w:rFonts w:hint="default"/>
        <w:color w:val="2F5496" w:themeColor="accent1" w:themeShade="BF"/>
        <w:sz w:val="32"/>
      </w:rPr>
    </w:lvl>
    <w:lvl w:ilvl="6">
      <w:start w:val="1"/>
      <w:numFmt w:val="decimal"/>
      <w:lvlText w:val="%1.%2.%3.%4.%5.%6.%7."/>
      <w:lvlJc w:val="left"/>
      <w:pPr>
        <w:ind w:left="1440" w:hanging="1440"/>
      </w:pPr>
      <w:rPr>
        <w:rFonts w:hint="default"/>
        <w:color w:val="2F5496" w:themeColor="accent1" w:themeShade="BF"/>
        <w:sz w:val="32"/>
      </w:rPr>
    </w:lvl>
    <w:lvl w:ilvl="7">
      <w:start w:val="1"/>
      <w:numFmt w:val="decimal"/>
      <w:lvlText w:val="%1.%2.%3.%4.%5.%6.%7.%8."/>
      <w:lvlJc w:val="left"/>
      <w:pPr>
        <w:ind w:left="1440" w:hanging="1440"/>
      </w:pPr>
      <w:rPr>
        <w:rFonts w:hint="default"/>
        <w:color w:val="2F5496" w:themeColor="accent1" w:themeShade="BF"/>
        <w:sz w:val="32"/>
      </w:rPr>
    </w:lvl>
    <w:lvl w:ilvl="8">
      <w:start w:val="1"/>
      <w:numFmt w:val="decimal"/>
      <w:lvlText w:val="%1.%2.%3.%4.%5.%6.%7.%8.%9."/>
      <w:lvlJc w:val="left"/>
      <w:pPr>
        <w:ind w:left="1800" w:hanging="1800"/>
      </w:pPr>
      <w:rPr>
        <w:rFonts w:hint="default"/>
        <w:color w:val="2F5496" w:themeColor="accent1" w:themeShade="BF"/>
        <w:sz w:val="32"/>
      </w:rPr>
    </w:lvl>
  </w:abstractNum>
  <w:abstractNum w:abstractNumId="21">
    <w:nsid w:val="1D42327A"/>
    <w:multiLevelType w:val="hybridMultilevel"/>
    <w:tmpl w:val="5524B2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1F425E05"/>
    <w:multiLevelType w:val="multilevel"/>
    <w:tmpl w:val="6F3E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620321"/>
    <w:multiLevelType w:val="hybridMultilevel"/>
    <w:tmpl w:val="E49CC934"/>
    <w:lvl w:ilvl="0" w:tplc="181C5E4C">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68C731E"/>
    <w:multiLevelType w:val="multilevel"/>
    <w:tmpl w:val="30DE030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2A1D4A44"/>
    <w:multiLevelType w:val="multilevel"/>
    <w:tmpl w:val="F2DEDFBC"/>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B576C31"/>
    <w:multiLevelType w:val="hybridMultilevel"/>
    <w:tmpl w:val="92CE58C2"/>
    <w:lvl w:ilvl="0" w:tplc="04E8A67C">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nsid w:val="2CE15E3A"/>
    <w:multiLevelType w:val="hybridMultilevel"/>
    <w:tmpl w:val="54E8AA1A"/>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3BA1A3E"/>
    <w:multiLevelType w:val="hybridMultilevel"/>
    <w:tmpl w:val="F3385522"/>
    <w:lvl w:ilvl="0" w:tplc="F2F4452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48B7E61"/>
    <w:multiLevelType w:val="multilevel"/>
    <w:tmpl w:val="523C5D98"/>
    <w:lvl w:ilvl="0">
      <w:start w:val="1"/>
      <w:numFmt w:val="decimal"/>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35374436"/>
    <w:multiLevelType w:val="hybridMultilevel"/>
    <w:tmpl w:val="5D341646"/>
    <w:lvl w:ilvl="0" w:tplc="C0E45EB2">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3A662714"/>
    <w:multiLevelType w:val="hybridMultilevel"/>
    <w:tmpl w:val="AB76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AF90FA8"/>
    <w:multiLevelType w:val="hybridMultilevel"/>
    <w:tmpl w:val="BCDA92F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nsid w:val="3CF0106F"/>
    <w:multiLevelType w:val="hybridMultilevel"/>
    <w:tmpl w:val="9342E512"/>
    <w:lvl w:ilvl="0" w:tplc="A5C29EF8">
      <w:start w:val="1"/>
      <w:numFmt w:val="lowerRoman"/>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417B5F87"/>
    <w:multiLevelType w:val="hybridMultilevel"/>
    <w:tmpl w:val="8A6CFD06"/>
    <w:lvl w:ilvl="0" w:tplc="94200B08">
      <w:start w:val="1"/>
      <w:numFmt w:val="low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41FE0196"/>
    <w:multiLevelType w:val="hybridMultilevel"/>
    <w:tmpl w:val="14542338"/>
    <w:lvl w:ilvl="0" w:tplc="5B566D6A">
      <w:start w:val="5"/>
      <w:numFmt w:val="upperRoman"/>
      <w:lvlText w:val="%1."/>
      <w:lvlJc w:val="left"/>
      <w:pPr>
        <w:ind w:left="2160" w:hanging="72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449D0592"/>
    <w:multiLevelType w:val="multilevel"/>
    <w:tmpl w:val="BA3071E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6C37BF1"/>
    <w:multiLevelType w:val="multilevel"/>
    <w:tmpl w:val="281AE47E"/>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470016E1"/>
    <w:multiLevelType w:val="multilevel"/>
    <w:tmpl w:val="B7408D4A"/>
    <w:lvl w:ilvl="0">
      <w:start w:val="4"/>
      <w:numFmt w:val="decimal"/>
      <w:lvlText w:val="%1."/>
      <w:lvlJc w:val="left"/>
      <w:pPr>
        <w:ind w:left="570" w:hanging="570"/>
      </w:pPr>
      <w:rPr>
        <w:rFonts w:eastAsia="Times New Roman" w:cs="Calibri Light" w:hint="default"/>
        <w:sz w:val="24"/>
      </w:rPr>
    </w:lvl>
    <w:lvl w:ilvl="1">
      <w:start w:val="3"/>
      <w:numFmt w:val="decimal"/>
      <w:lvlText w:val="%1.%2."/>
      <w:lvlJc w:val="left"/>
      <w:pPr>
        <w:ind w:left="570" w:hanging="570"/>
      </w:pPr>
      <w:rPr>
        <w:rFonts w:eastAsia="Times New Roman" w:cs="Calibri Light" w:hint="default"/>
        <w:sz w:val="24"/>
      </w:rPr>
    </w:lvl>
    <w:lvl w:ilvl="2">
      <w:start w:val="2"/>
      <w:numFmt w:val="decimal"/>
      <w:lvlText w:val="%1.%2.%3."/>
      <w:lvlJc w:val="left"/>
      <w:pPr>
        <w:ind w:left="720" w:hanging="720"/>
      </w:pPr>
      <w:rPr>
        <w:rFonts w:eastAsia="Times New Roman" w:cs="Calibri Light" w:hint="default"/>
        <w:sz w:val="24"/>
      </w:rPr>
    </w:lvl>
    <w:lvl w:ilvl="3">
      <w:start w:val="1"/>
      <w:numFmt w:val="decimal"/>
      <w:lvlText w:val="%1.%2.%3.%4."/>
      <w:lvlJc w:val="left"/>
      <w:pPr>
        <w:ind w:left="720" w:hanging="720"/>
      </w:pPr>
      <w:rPr>
        <w:rFonts w:eastAsia="Times New Roman" w:cs="Calibri Light" w:hint="default"/>
        <w:sz w:val="24"/>
      </w:rPr>
    </w:lvl>
    <w:lvl w:ilvl="4">
      <w:start w:val="1"/>
      <w:numFmt w:val="decimal"/>
      <w:lvlText w:val="%1.%2.%3.%4.%5."/>
      <w:lvlJc w:val="left"/>
      <w:pPr>
        <w:ind w:left="1080" w:hanging="1080"/>
      </w:pPr>
      <w:rPr>
        <w:rFonts w:eastAsia="Times New Roman" w:cs="Calibri Light" w:hint="default"/>
        <w:sz w:val="24"/>
      </w:rPr>
    </w:lvl>
    <w:lvl w:ilvl="5">
      <w:start w:val="1"/>
      <w:numFmt w:val="decimal"/>
      <w:lvlText w:val="%1.%2.%3.%4.%5.%6."/>
      <w:lvlJc w:val="left"/>
      <w:pPr>
        <w:ind w:left="1080" w:hanging="1080"/>
      </w:pPr>
      <w:rPr>
        <w:rFonts w:eastAsia="Times New Roman" w:cs="Calibri Light" w:hint="default"/>
        <w:sz w:val="24"/>
      </w:rPr>
    </w:lvl>
    <w:lvl w:ilvl="6">
      <w:start w:val="1"/>
      <w:numFmt w:val="decimal"/>
      <w:lvlText w:val="%1.%2.%3.%4.%5.%6.%7."/>
      <w:lvlJc w:val="left"/>
      <w:pPr>
        <w:ind w:left="1440" w:hanging="1440"/>
      </w:pPr>
      <w:rPr>
        <w:rFonts w:eastAsia="Times New Roman" w:cs="Calibri Light" w:hint="default"/>
        <w:sz w:val="24"/>
      </w:rPr>
    </w:lvl>
    <w:lvl w:ilvl="7">
      <w:start w:val="1"/>
      <w:numFmt w:val="decimal"/>
      <w:lvlText w:val="%1.%2.%3.%4.%5.%6.%7.%8."/>
      <w:lvlJc w:val="left"/>
      <w:pPr>
        <w:ind w:left="1440" w:hanging="1440"/>
      </w:pPr>
      <w:rPr>
        <w:rFonts w:eastAsia="Times New Roman" w:cs="Calibri Light" w:hint="default"/>
        <w:sz w:val="24"/>
      </w:rPr>
    </w:lvl>
    <w:lvl w:ilvl="8">
      <w:start w:val="1"/>
      <w:numFmt w:val="decimal"/>
      <w:lvlText w:val="%1.%2.%3.%4.%5.%6.%7.%8.%9."/>
      <w:lvlJc w:val="left"/>
      <w:pPr>
        <w:ind w:left="1800" w:hanging="1800"/>
      </w:pPr>
      <w:rPr>
        <w:rFonts w:eastAsia="Times New Roman" w:cs="Calibri Light" w:hint="default"/>
        <w:sz w:val="24"/>
      </w:rPr>
    </w:lvl>
  </w:abstractNum>
  <w:abstractNum w:abstractNumId="39">
    <w:nsid w:val="4902280E"/>
    <w:multiLevelType w:val="hybridMultilevel"/>
    <w:tmpl w:val="81EA6CAA"/>
    <w:lvl w:ilvl="0" w:tplc="D6121CE2">
      <w:start w:val="7"/>
      <w:numFmt w:val="bullet"/>
      <w:lvlText w:val="-"/>
      <w:lvlJc w:val="left"/>
      <w:pPr>
        <w:ind w:left="720" w:hanging="360"/>
      </w:pPr>
      <w:rPr>
        <w:rFonts w:ascii="Times New Roman" w:eastAsiaTheme="minorHAnsi" w:hAnsi="Times New Roman" w:cs="Times New Roman"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4CE40215"/>
    <w:multiLevelType w:val="multilevel"/>
    <w:tmpl w:val="2F5EA852"/>
    <w:lvl w:ilvl="0">
      <w:start w:val="2"/>
      <w:numFmt w:val="decimal"/>
      <w:lvlText w:val="%1."/>
      <w:lvlJc w:val="left"/>
      <w:pPr>
        <w:ind w:left="480" w:hanging="480"/>
      </w:pPr>
      <w:rPr>
        <w:rFonts w:hint="default"/>
        <w:color w:val="2F5496" w:themeColor="accent1" w:themeShade="BF"/>
        <w:sz w:val="32"/>
      </w:rPr>
    </w:lvl>
    <w:lvl w:ilvl="1">
      <w:start w:val="2"/>
      <w:numFmt w:val="decimal"/>
      <w:lvlText w:val="%1.%2."/>
      <w:lvlJc w:val="left"/>
      <w:pPr>
        <w:ind w:left="480" w:hanging="480"/>
      </w:pPr>
      <w:rPr>
        <w:rFonts w:hint="default"/>
        <w:color w:val="2F5496" w:themeColor="accent1" w:themeShade="BF"/>
        <w:sz w:val="32"/>
      </w:rPr>
    </w:lvl>
    <w:lvl w:ilvl="2">
      <w:start w:val="1"/>
      <w:numFmt w:val="decimal"/>
      <w:lvlText w:val="%1.%2.%3."/>
      <w:lvlJc w:val="left"/>
      <w:pPr>
        <w:ind w:left="1680" w:hanging="720"/>
      </w:pPr>
      <w:rPr>
        <w:rFonts w:hint="default"/>
        <w:color w:val="2F5496" w:themeColor="accent1" w:themeShade="BF"/>
        <w:sz w:val="32"/>
      </w:rPr>
    </w:lvl>
    <w:lvl w:ilvl="3">
      <w:start w:val="1"/>
      <w:numFmt w:val="decimal"/>
      <w:lvlText w:val="%1.%2.%3.%4."/>
      <w:lvlJc w:val="left"/>
      <w:pPr>
        <w:ind w:left="2160" w:hanging="720"/>
      </w:pPr>
      <w:rPr>
        <w:rFonts w:hint="default"/>
        <w:color w:val="2F5496" w:themeColor="accent1" w:themeShade="BF"/>
        <w:sz w:val="32"/>
      </w:rPr>
    </w:lvl>
    <w:lvl w:ilvl="4">
      <w:start w:val="1"/>
      <w:numFmt w:val="decimal"/>
      <w:lvlText w:val="%1.%2.%3.%4.%5."/>
      <w:lvlJc w:val="left"/>
      <w:pPr>
        <w:ind w:left="3000" w:hanging="1080"/>
      </w:pPr>
      <w:rPr>
        <w:rFonts w:hint="default"/>
        <w:color w:val="2F5496" w:themeColor="accent1" w:themeShade="BF"/>
        <w:sz w:val="32"/>
      </w:rPr>
    </w:lvl>
    <w:lvl w:ilvl="5">
      <w:start w:val="1"/>
      <w:numFmt w:val="decimal"/>
      <w:lvlText w:val="%1.%2.%3.%4.%5.%6."/>
      <w:lvlJc w:val="left"/>
      <w:pPr>
        <w:ind w:left="3480" w:hanging="1080"/>
      </w:pPr>
      <w:rPr>
        <w:rFonts w:hint="default"/>
        <w:color w:val="2F5496" w:themeColor="accent1" w:themeShade="BF"/>
        <w:sz w:val="32"/>
      </w:rPr>
    </w:lvl>
    <w:lvl w:ilvl="6">
      <w:start w:val="1"/>
      <w:numFmt w:val="decimal"/>
      <w:lvlText w:val="%1.%2.%3.%4.%5.%6.%7."/>
      <w:lvlJc w:val="left"/>
      <w:pPr>
        <w:ind w:left="4320" w:hanging="1440"/>
      </w:pPr>
      <w:rPr>
        <w:rFonts w:hint="default"/>
        <w:color w:val="2F5496" w:themeColor="accent1" w:themeShade="BF"/>
        <w:sz w:val="32"/>
      </w:rPr>
    </w:lvl>
    <w:lvl w:ilvl="7">
      <w:start w:val="1"/>
      <w:numFmt w:val="decimal"/>
      <w:lvlText w:val="%1.%2.%3.%4.%5.%6.%7.%8."/>
      <w:lvlJc w:val="left"/>
      <w:pPr>
        <w:ind w:left="4800" w:hanging="1440"/>
      </w:pPr>
      <w:rPr>
        <w:rFonts w:hint="default"/>
        <w:color w:val="2F5496" w:themeColor="accent1" w:themeShade="BF"/>
        <w:sz w:val="32"/>
      </w:rPr>
    </w:lvl>
    <w:lvl w:ilvl="8">
      <w:start w:val="1"/>
      <w:numFmt w:val="decimal"/>
      <w:lvlText w:val="%1.%2.%3.%4.%5.%6.%7.%8.%9."/>
      <w:lvlJc w:val="left"/>
      <w:pPr>
        <w:ind w:left="5640" w:hanging="1800"/>
      </w:pPr>
      <w:rPr>
        <w:rFonts w:hint="default"/>
        <w:color w:val="2F5496" w:themeColor="accent1" w:themeShade="BF"/>
        <w:sz w:val="32"/>
      </w:rPr>
    </w:lvl>
  </w:abstractNum>
  <w:abstractNum w:abstractNumId="41">
    <w:nsid w:val="4E2C3076"/>
    <w:multiLevelType w:val="multilevel"/>
    <w:tmpl w:val="FF1A0E44"/>
    <w:lvl w:ilvl="0">
      <w:start w:val="4"/>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4E4E4425"/>
    <w:multiLevelType w:val="multilevel"/>
    <w:tmpl w:val="FF1A0E44"/>
    <w:lvl w:ilvl="0">
      <w:start w:val="4"/>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504407E1"/>
    <w:multiLevelType w:val="hybridMultilevel"/>
    <w:tmpl w:val="E26027B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54854193"/>
    <w:multiLevelType w:val="hybridMultilevel"/>
    <w:tmpl w:val="C9B4816C"/>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9F5F3F"/>
    <w:multiLevelType w:val="hybridMultilevel"/>
    <w:tmpl w:val="47E0B77A"/>
    <w:lvl w:ilvl="0" w:tplc="8E548DB2">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57E94B52"/>
    <w:multiLevelType w:val="hybridMultilevel"/>
    <w:tmpl w:val="259657D6"/>
    <w:lvl w:ilvl="0" w:tplc="9BAA775A">
      <w:start w:val="44"/>
      <w:numFmt w:val="bullet"/>
      <w:lvlText w:val=""/>
      <w:lvlJc w:val="left"/>
      <w:pPr>
        <w:ind w:left="720" w:hanging="360"/>
      </w:pPr>
      <w:rPr>
        <w:rFonts w:ascii="Symbol" w:eastAsiaTheme="minorHAnsi" w:hAnsi="Symbol" w:cstheme="majorHAns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8E3B6C"/>
    <w:multiLevelType w:val="hybridMultilevel"/>
    <w:tmpl w:val="7624AEAC"/>
    <w:lvl w:ilvl="0" w:tplc="992E085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BD016F8"/>
    <w:multiLevelType w:val="multilevel"/>
    <w:tmpl w:val="CBAE4F36"/>
    <w:lvl w:ilvl="0">
      <w:start w:val="4"/>
      <w:numFmt w:val="decimal"/>
      <w:lvlText w:val="%1."/>
      <w:lvlJc w:val="left"/>
      <w:pPr>
        <w:ind w:left="540" w:hanging="540"/>
      </w:pPr>
      <w:rPr>
        <w:rFonts w:eastAsia="Times New Roman" w:hint="default"/>
      </w:rPr>
    </w:lvl>
    <w:lvl w:ilvl="1">
      <w:start w:val="6"/>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9">
    <w:nsid w:val="5E691DDC"/>
    <w:multiLevelType w:val="hybridMultilevel"/>
    <w:tmpl w:val="58C87184"/>
    <w:lvl w:ilvl="0" w:tplc="F830FA48">
      <w:start w:val="1"/>
      <w:numFmt w:val="low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F1C7DB2"/>
    <w:multiLevelType w:val="multilevel"/>
    <w:tmpl w:val="E38AC14C"/>
    <w:lvl w:ilvl="0">
      <w:start w:val="1"/>
      <w:numFmt w:val="decimal"/>
      <w:lvlText w:val="%1."/>
      <w:lvlJc w:val="left"/>
      <w:pPr>
        <w:ind w:left="360" w:hanging="360"/>
      </w:pPr>
      <w:rPr>
        <w:rFonts w:hint="default"/>
      </w:rPr>
    </w:lvl>
    <w:lvl w:ilvl="1">
      <w:start w:val="2"/>
      <w:numFmt w:val="decimal"/>
      <w:isLgl/>
      <w:lvlText w:val="%1.%2"/>
      <w:lvlJc w:val="left"/>
      <w:pPr>
        <w:ind w:left="767" w:hanging="360"/>
      </w:pPr>
      <w:rPr>
        <w:rFonts w:hint="default"/>
      </w:rPr>
    </w:lvl>
    <w:lvl w:ilvl="2">
      <w:start w:val="1"/>
      <w:numFmt w:val="decimal"/>
      <w:isLgl/>
      <w:lvlText w:val="%1.%2.%3"/>
      <w:lvlJc w:val="left"/>
      <w:pPr>
        <w:ind w:left="1534"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708" w:hanging="1080"/>
      </w:pPr>
      <w:rPr>
        <w:rFonts w:hint="default"/>
      </w:rPr>
    </w:lvl>
    <w:lvl w:ilvl="5">
      <w:start w:val="1"/>
      <w:numFmt w:val="decimal"/>
      <w:isLgl/>
      <w:lvlText w:val="%1.%2.%3.%4.%5.%6"/>
      <w:lvlJc w:val="left"/>
      <w:pPr>
        <w:ind w:left="3115" w:hanging="108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289" w:hanging="1440"/>
      </w:pPr>
      <w:rPr>
        <w:rFonts w:hint="default"/>
      </w:rPr>
    </w:lvl>
    <w:lvl w:ilvl="8">
      <w:start w:val="1"/>
      <w:numFmt w:val="decimal"/>
      <w:isLgl/>
      <w:lvlText w:val="%1.%2.%3.%4.%5.%6.%7.%8.%9"/>
      <w:lvlJc w:val="left"/>
      <w:pPr>
        <w:ind w:left="5056" w:hanging="1800"/>
      </w:pPr>
      <w:rPr>
        <w:rFonts w:hint="default"/>
      </w:rPr>
    </w:lvl>
  </w:abstractNum>
  <w:abstractNum w:abstractNumId="51">
    <w:nsid w:val="5F9C369B"/>
    <w:multiLevelType w:val="multilevel"/>
    <w:tmpl w:val="FF1A0E44"/>
    <w:lvl w:ilvl="0">
      <w:start w:val="4"/>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nsid w:val="612D36F2"/>
    <w:multiLevelType w:val="hybridMultilevel"/>
    <w:tmpl w:val="BE3EC876"/>
    <w:lvl w:ilvl="0" w:tplc="15DA9982">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615556CE"/>
    <w:multiLevelType w:val="multilevel"/>
    <w:tmpl w:val="87A2CA6C"/>
    <w:lvl w:ilvl="0">
      <w:start w:val="1"/>
      <w:numFmt w:val="upperRoman"/>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4">
    <w:nsid w:val="65AF38E0"/>
    <w:multiLevelType w:val="multilevel"/>
    <w:tmpl w:val="6B58856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6632919"/>
    <w:multiLevelType w:val="multilevel"/>
    <w:tmpl w:val="C916DFDC"/>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nsid w:val="68F71D3A"/>
    <w:multiLevelType w:val="hybridMultilevel"/>
    <w:tmpl w:val="D81C5F7C"/>
    <w:lvl w:ilvl="0" w:tplc="0809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7">
    <w:nsid w:val="6ED52527"/>
    <w:multiLevelType w:val="hybridMultilevel"/>
    <w:tmpl w:val="5E9E6164"/>
    <w:lvl w:ilvl="0" w:tplc="C046B94A">
      <w:start w:val="1"/>
      <w:numFmt w:val="lowerRoman"/>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FDC1444"/>
    <w:multiLevelType w:val="hybridMultilevel"/>
    <w:tmpl w:val="45DC6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10514D4"/>
    <w:multiLevelType w:val="hybridMultilevel"/>
    <w:tmpl w:val="936E6B66"/>
    <w:lvl w:ilvl="0" w:tplc="BA8C3876">
      <w:start w:val="4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1E810CD"/>
    <w:multiLevelType w:val="multilevel"/>
    <w:tmpl w:val="832214F4"/>
    <w:lvl w:ilvl="0">
      <w:start w:val="1"/>
      <w:numFmt w:val="decimal"/>
      <w:lvlText w:val="%1."/>
      <w:lvlJc w:val="left"/>
      <w:pPr>
        <w:ind w:left="360" w:hanging="360"/>
      </w:pPr>
      <w:rPr>
        <w:rFonts w:eastAsia="Calibri" w:hint="default"/>
        <w:b/>
        <w:color w:val="0000FF"/>
        <w:u w:val="single"/>
      </w:rPr>
    </w:lvl>
    <w:lvl w:ilvl="1">
      <w:start w:val="1"/>
      <w:numFmt w:val="decimal"/>
      <w:lvlText w:val="%1.%2."/>
      <w:lvlJc w:val="left"/>
      <w:pPr>
        <w:ind w:left="360" w:hanging="360"/>
      </w:pPr>
      <w:rPr>
        <w:rFonts w:eastAsia="Calibri" w:hint="default"/>
        <w:b/>
        <w:color w:val="0000FF"/>
        <w:u w:val="single"/>
      </w:rPr>
    </w:lvl>
    <w:lvl w:ilvl="2">
      <w:start w:val="1"/>
      <w:numFmt w:val="decimal"/>
      <w:lvlText w:val="%1.%2.%3."/>
      <w:lvlJc w:val="left"/>
      <w:pPr>
        <w:ind w:left="720" w:hanging="720"/>
      </w:pPr>
      <w:rPr>
        <w:rFonts w:eastAsia="Calibri" w:hint="default"/>
        <w:b/>
        <w:color w:val="0000FF"/>
        <w:u w:val="single"/>
      </w:rPr>
    </w:lvl>
    <w:lvl w:ilvl="3">
      <w:start w:val="1"/>
      <w:numFmt w:val="decimal"/>
      <w:lvlText w:val="%1.%2.%3.%4."/>
      <w:lvlJc w:val="left"/>
      <w:pPr>
        <w:ind w:left="720" w:hanging="720"/>
      </w:pPr>
      <w:rPr>
        <w:rFonts w:eastAsia="Calibri" w:hint="default"/>
        <w:b/>
        <w:color w:val="0000FF"/>
        <w:u w:val="single"/>
      </w:rPr>
    </w:lvl>
    <w:lvl w:ilvl="4">
      <w:start w:val="1"/>
      <w:numFmt w:val="decimal"/>
      <w:lvlText w:val="%1.%2.%3.%4.%5."/>
      <w:lvlJc w:val="left"/>
      <w:pPr>
        <w:ind w:left="1080" w:hanging="1080"/>
      </w:pPr>
      <w:rPr>
        <w:rFonts w:eastAsia="Calibri" w:hint="default"/>
        <w:b/>
        <w:color w:val="0000FF"/>
        <w:u w:val="single"/>
      </w:rPr>
    </w:lvl>
    <w:lvl w:ilvl="5">
      <w:start w:val="1"/>
      <w:numFmt w:val="decimal"/>
      <w:lvlText w:val="%1.%2.%3.%4.%5.%6."/>
      <w:lvlJc w:val="left"/>
      <w:pPr>
        <w:ind w:left="1080" w:hanging="1080"/>
      </w:pPr>
      <w:rPr>
        <w:rFonts w:eastAsia="Calibri" w:hint="default"/>
        <w:b/>
        <w:color w:val="0000FF"/>
        <w:u w:val="single"/>
      </w:rPr>
    </w:lvl>
    <w:lvl w:ilvl="6">
      <w:start w:val="1"/>
      <w:numFmt w:val="decimal"/>
      <w:lvlText w:val="%1.%2.%3.%4.%5.%6.%7."/>
      <w:lvlJc w:val="left"/>
      <w:pPr>
        <w:ind w:left="1440" w:hanging="1440"/>
      </w:pPr>
      <w:rPr>
        <w:rFonts w:eastAsia="Calibri" w:hint="default"/>
        <w:b/>
        <w:color w:val="0000FF"/>
        <w:u w:val="single"/>
      </w:rPr>
    </w:lvl>
    <w:lvl w:ilvl="7">
      <w:start w:val="1"/>
      <w:numFmt w:val="decimal"/>
      <w:lvlText w:val="%1.%2.%3.%4.%5.%6.%7.%8."/>
      <w:lvlJc w:val="left"/>
      <w:pPr>
        <w:ind w:left="1440" w:hanging="1440"/>
      </w:pPr>
      <w:rPr>
        <w:rFonts w:eastAsia="Calibri" w:hint="default"/>
        <w:b/>
        <w:color w:val="0000FF"/>
        <w:u w:val="single"/>
      </w:rPr>
    </w:lvl>
    <w:lvl w:ilvl="8">
      <w:start w:val="1"/>
      <w:numFmt w:val="decimal"/>
      <w:lvlText w:val="%1.%2.%3.%4.%5.%6.%7.%8.%9."/>
      <w:lvlJc w:val="left"/>
      <w:pPr>
        <w:ind w:left="1800" w:hanging="1800"/>
      </w:pPr>
      <w:rPr>
        <w:rFonts w:eastAsia="Calibri" w:hint="default"/>
        <w:b/>
        <w:color w:val="0000FF"/>
        <w:u w:val="single"/>
      </w:rPr>
    </w:lvl>
  </w:abstractNum>
  <w:abstractNum w:abstractNumId="61">
    <w:nsid w:val="73171053"/>
    <w:multiLevelType w:val="hybridMultilevel"/>
    <w:tmpl w:val="FEBCFBAE"/>
    <w:lvl w:ilvl="0" w:tplc="04180001">
      <w:start w:val="1"/>
      <w:numFmt w:val="bullet"/>
      <w:lvlText w:val=""/>
      <w:lvlJc w:val="left"/>
      <w:pPr>
        <w:ind w:left="1080" w:hanging="72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nsid w:val="74EE2DDC"/>
    <w:multiLevelType w:val="hybridMultilevel"/>
    <w:tmpl w:val="298A2088"/>
    <w:lvl w:ilvl="0" w:tplc="5C744554">
      <w:start w:val="1"/>
      <w:numFmt w:val="low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FD3B90"/>
    <w:multiLevelType w:val="hybridMultilevel"/>
    <w:tmpl w:val="30F212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79EE6981"/>
    <w:multiLevelType w:val="multilevel"/>
    <w:tmpl w:val="8C1A51F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25"/>
  </w:num>
  <w:num w:numId="3">
    <w:abstractNumId w:val="36"/>
  </w:num>
  <w:num w:numId="4">
    <w:abstractNumId w:val="22"/>
  </w:num>
  <w:num w:numId="5">
    <w:abstractNumId w:val="6"/>
  </w:num>
  <w:num w:numId="6">
    <w:abstractNumId w:val="42"/>
  </w:num>
  <w:num w:numId="7">
    <w:abstractNumId w:val="9"/>
  </w:num>
  <w:num w:numId="8">
    <w:abstractNumId w:val="28"/>
  </w:num>
  <w:num w:numId="9">
    <w:abstractNumId w:val="46"/>
  </w:num>
  <w:num w:numId="10">
    <w:abstractNumId w:val="50"/>
  </w:num>
  <w:num w:numId="11">
    <w:abstractNumId w:val="41"/>
  </w:num>
  <w:num w:numId="12">
    <w:abstractNumId w:val="53"/>
  </w:num>
  <w:num w:numId="13">
    <w:abstractNumId w:val="8"/>
  </w:num>
  <w:num w:numId="14">
    <w:abstractNumId w:val="3"/>
  </w:num>
  <w:num w:numId="15">
    <w:abstractNumId w:val="4"/>
  </w:num>
  <w:num w:numId="16">
    <w:abstractNumId w:val="58"/>
  </w:num>
  <w:num w:numId="17">
    <w:abstractNumId w:val="14"/>
  </w:num>
  <w:num w:numId="18">
    <w:abstractNumId w:val="32"/>
  </w:num>
  <w:num w:numId="19">
    <w:abstractNumId w:val="5"/>
  </w:num>
  <w:num w:numId="20">
    <w:abstractNumId w:val="44"/>
  </w:num>
  <w:num w:numId="21">
    <w:abstractNumId w:val="27"/>
  </w:num>
  <w:num w:numId="22">
    <w:abstractNumId w:val="31"/>
  </w:num>
  <w:num w:numId="23">
    <w:abstractNumId w:val="51"/>
  </w:num>
  <w:num w:numId="24">
    <w:abstractNumId w:val="29"/>
  </w:num>
  <w:num w:numId="25">
    <w:abstractNumId w:val="2"/>
  </w:num>
  <w:num w:numId="26">
    <w:abstractNumId w:val="24"/>
  </w:num>
  <w:num w:numId="27">
    <w:abstractNumId w:val="1"/>
  </w:num>
  <w:num w:numId="28">
    <w:abstractNumId w:val="38"/>
  </w:num>
  <w:num w:numId="29">
    <w:abstractNumId w:val="48"/>
  </w:num>
  <w:num w:numId="30">
    <w:abstractNumId w:val="59"/>
  </w:num>
  <w:num w:numId="31">
    <w:abstractNumId w:val="60"/>
  </w:num>
  <w:num w:numId="32">
    <w:abstractNumId w:val="0"/>
  </w:num>
  <w:num w:numId="33">
    <w:abstractNumId w:val="47"/>
  </w:num>
  <w:num w:numId="34">
    <w:abstractNumId w:val="20"/>
  </w:num>
  <w:num w:numId="35">
    <w:abstractNumId w:val="40"/>
  </w:num>
  <w:num w:numId="36">
    <w:abstractNumId w:val="55"/>
  </w:num>
  <w:num w:numId="37">
    <w:abstractNumId w:val="64"/>
  </w:num>
  <w:num w:numId="38">
    <w:abstractNumId w:val="54"/>
  </w:num>
  <w:num w:numId="39">
    <w:abstractNumId w:val="37"/>
  </w:num>
  <w:num w:numId="40">
    <w:abstractNumId w:val="35"/>
  </w:num>
  <w:num w:numId="41">
    <w:abstractNumId w:val="11"/>
  </w:num>
  <w:num w:numId="42">
    <w:abstractNumId w:val="45"/>
  </w:num>
  <w:num w:numId="43">
    <w:abstractNumId w:val="23"/>
  </w:num>
  <w:num w:numId="44">
    <w:abstractNumId w:val="17"/>
  </w:num>
  <w:num w:numId="45">
    <w:abstractNumId w:val="56"/>
  </w:num>
  <w:num w:numId="46">
    <w:abstractNumId w:val="43"/>
  </w:num>
  <w:num w:numId="47">
    <w:abstractNumId w:val="16"/>
  </w:num>
  <w:num w:numId="48">
    <w:abstractNumId w:val="13"/>
  </w:num>
  <w:num w:numId="49">
    <w:abstractNumId w:val="15"/>
  </w:num>
  <w:num w:numId="50">
    <w:abstractNumId w:val="26"/>
  </w:num>
  <w:num w:numId="51">
    <w:abstractNumId w:val="30"/>
  </w:num>
  <w:num w:numId="52">
    <w:abstractNumId w:val="18"/>
  </w:num>
  <w:num w:numId="53">
    <w:abstractNumId w:val="39"/>
  </w:num>
  <w:num w:numId="54">
    <w:abstractNumId w:val="61"/>
  </w:num>
  <w:num w:numId="55">
    <w:abstractNumId w:val="21"/>
  </w:num>
  <w:num w:numId="56">
    <w:abstractNumId w:val="19"/>
  </w:num>
  <w:num w:numId="57">
    <w:abstractNumId w:val="52"/>
  </w:num>
  <w:num w:numId="58">
    <w:abstractNumId w:val="63"/>
  </w:num>
  <w:num w:numId="59">
    <w:abstractNumId w:val="33"/>
  </w:num>
  <w:num w:numId="60">
    <w:abstractNumId w:val="10"/>
  </w:num>
  <w:num w:numId="61">
    <w:abstractNumId w:val="49"/>
  </w:num>
  <w:num w:numId="62">
    <w:abstractNumId w:val="7"/>
  </w:num>
  <w:num w:numId="63">
    <w:abstractNumId w:val="57"/>
  </w:num>
  <w:num w:numId="64">
    <w:abstractNumId w:val="34"/>
  </w:num>
  <w:num w:numId="65">
    <w:abstractNumId w:val="6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isterul Muncii și Protecției Sociale">
    <w15:presenceInfo w15:providerId="AD" w15:userId="S::ministerul.muncii@Sanatate.onmicrosoft.com::d854c658-f239-4ac3-af24-70e76cdb8a64"/>
  </w15:person>
  <w15:person w15:author="Felicia Bechtoldt">
    <w15:presenceInfo w15:providerId="None" w15:userId="Felicia Bechtol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hideSpellingErrors/>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B2"/>
    <w:rsid w:val="000006D6"/>
    <w:rsid w:val="00000B6C"/>
    <w:rsid w:val="00000C2E"/>
    <w:rsid w:val="00000DE1"/>
    <w:rsid w:val="00003CAF"/>
    <w:rsid w:val="00004CE7"/>
    <w:rsid w:val="00004D3E"/>
    <w:rsid w:val="00005759"/>
    <w:rsid w:val="00005BE3"/>
    <w:rsid w:val="00007F55"/>
    <w:rsid w:val="000101A7"/>
    <w:rsid w:val="00010E92"/>
    <w:rsid w:val="0001149A"/>
    <w:rsid w:val="00011A77"/>
    <w:rsid w:val="00011F13"/>
    <w:rsid w:val="0001289A"/>
    <w:rsid w:val="00013B82"/>
    <w:rsid w:val="00014048"/>
    <w:rsid w:val="000143FE"/>
    <w:rsid w:val="0001471F"/>
    <w:rsid w:val="00014992"/>
    <w:rsid w:val="00016153"/>
    <w:rsid w:val="00016EA0"/>
    <w:rsid w:val="00016FE8"/>
    <w:rsid w:val="00020BB5"/>
    <w:rsid w:val="00023903"/>
    <w:rsid w:val="000246AA"/>
    <w:rsid w:val="0002510A"/>
    <w:rsid w:val="0002634C"/>
    <w:rsid w:val="00026F7F"/>
    <w:rsid w:val="0002755C"/>
    <w:rsid w:val="0003116B"/>
    <w:rsid w:val="000312E7"/>
    <w:rsid w:val="000324F8"/>
    <w:rsid w:val="00032A4C"/>
    <w:rsid w:val="00032E64"/>
    <w:rsid w:val="0003330F"/>
    <w:rsid w:val="00034EC4"/>
    <w:rsid w:val="000351D4"/>
    <w:rsid w:val="0003653E"/>
    <w:rsid w:val="00036C81"/>
    <w:rsid w:val="0003776F"/>
    <w:rsid w:val="00037F0B"/>
    <w:rsid w:val="000408F4"/>
    <w:rsid w:val="00041413"/>
    <w:rsid w:val="00041AD9"/>
    <w:rsid w:val="00041FE0"/>
    <w:rsid w:val="00042194"/>
    <w:rsid w:val="000421AF"/>
    <w:rsid w:val="000424BD"/>
    <w:rsid w:val="00042715"/>
    <w:rsid w:val="00043D46"/>
    <w:rsid w:val="0004500B"/>
    <w:rsid w:val="00045121"/>
    <w:rsid w:val="00047B88"/>
    <w:rsid w:val="00050DF5"/>
    <w:rsid w:val="0005113D"/>
    <w:rsid w:val="000524F6"/>
    <w:rsid w:val="00053471"/>
    <w:rsid w:val="00053490"/>
    <w:rsid w:val="0005410C"/>
    <w:rsid w:val="00054428"/>
    <w:rsid w:val="00054A6E"/>
    <w:rsid w:val="00056BB2"/>
    <w:rsid w:val="00057163"/>
    <w:rsid w:val="00057DC1"/>
    <w:rsid w:val="000603F2"/>
    <w:rsid w:val="00060FE4"/>
    <w:rsid w:val="00062080"/>
    <w:rsid w:val="000633D7"/>
    <w:rsid w:val="00063715"/>
    <w:rsid w:val="00063FDB"/>
    <w:rsid w:val="000661D6"/>
    <w:rsid w:val="00066467"/>
    <w:rsid w:val="00066A36"/>
    <w:rsid w:val="0006724C"/>
    <w:rsid w:val="00072292"/>
    <w:rsid w:val="000736C9"/>
    <w:rsid w:val="00073C08"/>
    <w:rsid w:val="00073F0A"/>
    <w:rsid w:val="000747FB"/>
    <w:rsid w:val="00075579"/>
    <w:rsid w:val="00075CA1"/>
    <w:rsid w:val="00075DC9"/>
    <w:rsid w:val="00075E2E"/>
    <w:rsid w:val="0007668D"/>
    <w:rsid w:val="000771AE"/>
    <w:rsid w:val="00083553"/>
    <w:rsid w:val="000844E3"/>
    <w:rsid w:val="0008611A"/>
    <w:rsid w:val="00086D06"/>
    <w:rsid w:val="0008709A"/>
    <w:rsid w:val="00091894"/>
    <w:rsid w:val="000926B3"/>
    <w:rsid w:val="000927B2"/>
    <w:rsid w:val="00094AB0"/>
    <w:rsid w:val="00094FEE"/>
    <w:rsid w:val="0009560D"/>
    <w:rsid w:val="00095B9A"/>
    <w:rsid w:val="00095E13"/>
    <w:rsid w:val="00096236"/>
    <w:rsid w:val="00096347"/>
    <w:rsid w:val="000A56B5"/>
    <w:rsid w:val="000A5E1E"/>
    <w:rsid w:val="000A7CDE"/>
    <w:rsid w:val="000B0FCF"/>
    <w:rsid w:val="000B146E"/>
    <w:rsid w:val="000B1E0F"/>
    <w:rsid w:val="000B1EA5"/>
    <w:rsid w:val="000B2912"/>
    <w:rsid w:val="000B3F8E"/>
    <w:rsid w:val="000B617C"/>
    <w:rsid w:val="000B789E"/>
    <w:rsid w:val="000C1560"/>
    <w:rsid w:val="000C15AA"/>
    <w:rsid w:val="000C1876"/>
    <w:rsid w:val="000C256B"/>
    <w:rsid w:val="000C4504"/>
    <w:rsid w:val="000C56CD"/>
    <w:rsid w:val="000C77C6"/>
    <w:rsid w:val="000C7D31"/>
    <w:rsid w:val="000D05BD"/>
    <w:rsid w:val="000D126E"/>
    <w:rsid w:val="000D2C85"/>
    <w:rsid w:val="000D3460"/>
    <w:rsid w:val="000D3468"/>
    <w:rsid w:val="000D3E80"/>
    <w:rsid w:val="000D447F"/>
    <w:rsid w:val="000D4DF4"/>
    <w:rsid w:val="000D4FBC"/>
    <w:rsid w:val="000D52E4"/>
    <w:rsid w:val="000D5A38"/>
    <w:rsid w:val="000D72ED"/>
    <w:rsid w:val="000E079E"/>
    <w:rsid w:val="000E37D7"/>
    <w:rsid w:val="000E3AB9"/>
    <w:rsid w:val="000E3ED8"/>
    <w:rsid w:val="000E40A9"/>
    <w:rsid w:val="000E58D5"/>
    <w:rsid w:val="000E63D2"/>
    <w:rsid w:val="000F29B4"/>
    <w:rsid w:val="000F2D2A"/>
    <w:rsid w:val="000F2EA3"/>
    <w:rsid w:val="000F52A2"/>
    <w:rsid w:val="000F5AFC"/>
    <w:rsid w:val="000F5B2A"/>
    <w:rsid w:val="000F64A8"/>
    <w:rsid w:val="000F6D78"/>
    <w:rsid w:val="000F752A"/>
    <w:rsid w:val="0010160C"/>
    <w:rsid w:val="001020C0"/>
    <w:rsid w:val="00102135"/>
    <w:rsid w:val="001023CA"/>
    <w:rsid w:val="001037D8"/>
    <w:rsid w:val="00105DDE"/>
    <w:rsid w:val="0011008A"/>
    <w:rsid w:val="00110595"/>
    <w:rsid w:val="00110E1E"/>
    <w:rsid w:val="00110E2F"/>
    <w:rsid w:val="00111CD4"/>
    <w:rsid w:val="00112789"/>
    <w:rsid w:val="00112800"/>
    <w:rsid w:val="001145E3"/>
    <w:rsid w:val="0011507E"/>
    <w:rsid w:val="00115830"/>
    <w:rsid w:val="0011679A"/>
    <w:rsid w:val="001171D7"/>
    <w:rsid w:val="00120666"/>
    <w:rsid w:val="00120D52"/>
    <w:rsid w:val="00120F6F"/>
    <w:rsid w:val="00122D3C"/>
    <w:rsid w:val="00122D65"/>
    <w:rsid w:val="00123004"/>
    <w:rsid w:val="001267C7"/>
    <w:rsid w:val="00126994"/>
    <w:rsid w:val="00130A94"/>
    <w:rsid w:val="001319E6"/>
    <w:rsid w:val="00133F58"/>
    <w:rsid w:val="0013411A"/>
    <w:rsid w:val="0013489A"/>
    <w:rsid w:val="00136296"/>
    <w:rsid w:val="0013781E"/>
    <w:rsid w:val="0014002A"/>
    <w:rsid w:val="00143743"/>
    <w:rsid w:val="00143EE3"/>
    <w:rsid w:val="00144588"/>
    <w:rsid w:val="00144921"/>
    <w:rsid w:val="001458B7"/>
    <w:rsid w:val="0014664F"/>
    <w:rsid w:val="00147FB2"/>
    <w:rsid w:val="00150FAB"/>
    <w:rsid w:val="00151290"/>
    <w:rsid w:val="00151C08"/>
    <w:rsid w:val="00151E21"/>
    <w:rsid w:val="001521DE"/>
    <w:rsid w:val="00153019"/>
    <w:rsid w:val="001538FD"/>
    <w:rsid w:val="00155A92"/>
    <w:rsid w:val="00155B2F"/>
    <w:rsid w:val="00157C1E"/>
    <w:rsid w:val="00160088"/>
    <w:rsid w:val="001602E5"/>
    <w:rsid w:val="00161A52"/>
    <w:rsid w:val="0016276D"/>
    <w:rsid w:val="00163285"/>
    <w:rsid w:val="00163384"/>
    <w:rsid w:val="0016500E"/>
    <w:rsid w:val="00167459"/>
    <w:rsid w:val="001712EB"/>
    <w:rsid w:val="00173339"/>
    <w:rsid w:val="0017336D"/>
    <w:rsid w:val="0017395D"/>
    <w:rsid w:val="001747B9"/>
    <w:rsid w:val="00175BA9"/>
    <w:rsid w:val="001779DD"/>
    <w:rsid w:val="00181018"/>
    <w:rsid w:val="00181C02"/>
    <w:rsid w:val="001820A1"/>
    <w:rsid w:val="0018412B"/>
    <w:rsid w:val="001868E9"/>
    <w:rsid w:val="00190CFC"/>
    <w:rsid w:val="00190F4D"/>
    <w:rsid w:val="0019206C"/>
    <w:rsid w:val="00192AE5"/>
    <w:rsid w:val="00194606"/>
    <w:rsid w:val="00194CEA"/>
    <w:rsid w:val="001A02B9"/>
    <w:rsid w:val="001A04A5"/>
    <w:rsid w:val="001A0630"/>
    <w:rsid w:val="001A0D11"/>
    <w:rsid w:val="001A1417"/>
    <w:rsid w:val="001A17C2"/>
    <w:rsid w:val="001A19B8"/>
    <w:rsid w:val="001A1D73"/>
    <w:rsid w:val="001A23B8"/>
    <w:rsid w:val="001A3404"/>
    <w:rsid w:val="001A35BD"/>
    <w:rsid w:val="001A6303"/>
    <w:rsid w:val="001A69F6"/>
    <w:rsid w:val="001A7072"/>
    <w:rsid w:val="001A71C0"/>
    <w:rsid w:val="001A7699"/>
    <w:rsid w:val="001A77AF"/>
    <w:rsid w:val="001A7A80"/>
    <w:rsid w:val="001A7D2E"/>
    <w:rsid w:val="001A7E9B"/>
    <w:rsid w:val="001B02B7"/>
    <w:rsid w:val="001B057B"/>
    <w:rsid w:val="001B0BA3"/>
    <w:rsid w:val="001B0E48"/>
    <w:rsid w:val="001B150E"/>
    <w:rsid w:val="001B41C0"/>
    <w:rsid w:val="001B4285"/>
    <w:rsid w:val="001B5218"/>
    <w:rsid w:val="001B6015"/>
    <w:rsid w:val="001B6DCB"/>
    <w:rsid w:val="001C19FA"/>
    <w:rsid w:val="001C26B4"/>
    <w:rsid w:val="001C3D74"/>
    <w:rsid w:val="001C59AD"/>
    <w:rsid w:val="001C63B8"/>
    <w:rsid w:val="001D05DC"/>
    <w:rsid w:val="001D138C"/>
    <w:rsid w:val="001D1F23"/>
    <w:rsid w:val="001D2224"/>
    <w:rsid w:val="001D2530"/>
    <w:rsid w:val="001D3ACE"/>
    <w:rsid w:val="001D3D57"/>
    <w:rsid w:val="001D43DB"/>
    <w:rsid w:val="001D48ED"/>
    <w:rsid w:val="001D4F1F"/>
    <w:rsid w:val="001D7958"/>
    <w:rsid w:val="001E2D15"/>
    <w:rsid w:val="001E3C80"/>
    <w:rsid w:val="001E3FD0"/>
    <w:rsid w:val="001E411B"/>
    <w:rsid w:val="001E4AB6"/>
    <w:rsid w:val="001E521B"/>
    <w:rsid w:val="001E5440"/>
    <w:rsid w:val="001E69CE"/>
    <w:rsid w:val="001E6B44"/>
    <w:rsid w:val="001E7E31"/>
    <w:rsid w:val="001E7F7A"/>
    <w:rsid w:val="001F0327"/>
    <w:rsid w:val="001F13A0"/>
    <w:rsid w:val="001F14B4"/>
    <w:rsid w:val="001F1D8E"/>
    <w:rsid w:val="001F1F3C"/>
    <w:rsid w:val="001F4504"/>
    <w:rsid w:val="001F4F08"/>
    <w:rsid w:val="001F5759"/>
    <w:rsid w:val="001F7944"/>
    <w:rsid w:val="00200B78"/>
    <w:rsid w:val="0020186F"/>
    <w:rsid w:val="00202E73"/>
    <w:rsid w:val="00203D83"/>
    <w:rsid w:val="00204F06"/>
    <w:rsid w:val="00205BC3"/>
    <w:rsid w:val="00206105"/>
    <w:rsid w:val="00206F61"/>
    <w:rsid w:val="00211414"/>
    <w:rsid w:val="00211907"/>
    <w:rsid w:val="0021270F"/>
    <w:rsid w:val="002127F6"/>
    <w:rsid w:val="002130FE"/>
    <w:rsid w:val="0021326E"/>
    <w:rsid w:val="002143AF"/>
    <w:rsid w:val="002147AD"/>
    <w:rsid w:val="00215224"/>
    <w:rsid w:val="0021641E"/>
    <w:rsid w:val="002174AB"/>
    <w:rsid w:val="00217F34"/>
    <w:rsid w:val="00220D3E"/>
    <w:rsid w:val="00223462"/>
    <w:rsid w:val="00224E14"/>
    <w:rsid w:val="0022504A"/>
    <w:rsid w:val="002254D0"/>
    <w:rsid w:val="002255E1"/>
    <w:rsid w:val="00225B2E"/>
    <w:rsid w:val="002261FC"/>
    <w:rsid w:val="002263E4"/>
    <w:rsid w:val="00231802"/>
    <w:rsid w:val="00232356"/>
    <w:rsid w:val="002329AC"/>
    <w:rsid w:val="00232C11"/>
    <w:rsid w:val="00234FF4"/>
    <w:rsid w:val="00235744"/>
    <w:rsid w:val="0023606F"/>
    <w:rsid w:val="00236F01"/>
    <w:rsid w:val="0024026D"/>
    <w:rsid w:val="00240282"/>
    <w:rsid w:val="0024056A"/>
    <w:rsid w:val="002407C4"/>
    <w:rsid w:val="00242ABC"/>
    <w:rsid w:val="00243614"/>
    <w:rsid w:val="00243AFB"/>
    <w:rsid w:val="0024432F"/>
    <w:rsid w:val="0024672E"/>
    <w:rsid w:val="00246DB2"/>
    <w:rsid w:val="002474A5"/>
    <w:rsid w:val="00247A44"/>
    <w:rsid w:val="0025041D"/>
    <w:rsid w:val="0025104D"/>
    <w:rsid w:val="0025692B"/>
    <w:rsid w:val="00257296"/>
    <w:rsid w:val="00257FF6"/>
    <w:rsid w:val="002604E7"/>
    <w:rsid w:val="00261DD8"/>
    <w:rsid w:val="00262BB3"/>
    <w:rsid w:val="0026451E"/>
    <w:rsid w:val="00264E18"/>
    <w:rsid w:val="00265F67"/>
    <w:rsid w:val="002666D5"/>
    <w:rsid w:val="00266BB9"/>
    <w:rsid w:val="00266BFD"/>
    <w:rsid w:val="00267375"/>
    <w:rsid w:val="00267404"/>
    <w:rsid w:val="00267A7A"/>
    <w:rsid w:val="00270495"/>
    <w:rsid w:val="00271B50"/>
    <w:rsid w:val="0027209C"/>
    <w:rsid w:val="00274A36"/>
    <w:rsid w:val="00274E59"/>
    <w:rsid w:val="00275564"/>
    <w:rsid w:val="00275BEE"/>
    <w:rsid w:val="002764A2"/>
    <w:rsid w:val="00277AA4"/>
    <w:rsid w:val="00280C78"/>
    <w:rsid w:val="00280E38"/>
    <w:rsid w:val="00280F08"/>
    <w:rsid w:val="0028142E"/>
    <w:rsid w:val="0028382E"/>
    <w:rsid w:val="00284E2C"/>
    <w:rsid w:val="00285A90"/>
    <w:rsid w:val="002868B8"/>
    <w:rsid w:val="00286A42"/>
    <w:rsid w:val="0029023F"/>
    <w:rsid w:val="002902DC"/>
    <w:rsid w:val="00291C6E"/>
    <w:rsid w:val="002930DC"/>
    <w:rsid w:val="00293230"/>
    <w:rsid w:val="002957E2"/>
    <w:rsid w:val="00297F51"/>
    <w:rsid w:val="002A00B3"/>
    <w:rsid w:val="002A0B24"/>
    <w:rsid w:val="002A2E99"/>
    <w:rsid w:val="002A3264"/>
    <w:rsid w:val="002A3A4F"/>
    <w:rsid w:val="002A6176"/>
    <w:rsid w:val="002A735A"/>
    <w:rsid w:val="002A78CB"/>
    <w:rsid w:val="002A7FB2"/>
    <w:rsid w:val="002B08D2"/>
    <w:rsid w:val="002B1385"/>
    <w:rsid w:val="002B165B"/>
    <w:rsid w:val="002B2465"/>
    <w:rsid w:val="002B453B"/>
    <w:rsid w:val="002B4CB4"/>
    <w:rsid w:val="002B5EAC"/>
    <w:rsid w:val="002B62B2"/>
    <w:rsid w:val="002B676C"/>
    <w:rsid w:val="002B6FBE"/>
    <w:rsid w:val="002B7EE5"/>
    <w:rsid w:val="002C0285"/>
    <w:rsid w:val="002C1BE7"/>
    <w:rsid w:val="002C692B"/>
    <w:rsid w:val="002C7D38"/>
    <w:rsid w:val="002D295D"/>
    <w:rsid w:val="002D345A"/>
    <w:rsid w:val="002D3A2E"/>
    <w:rsid w:val="002D58DA"/>
    <w:rsid w:val="002D5AEE"/>
    <w:rsid w:val="002D5B08"/>
    <w:rsid w:val="002D6867"/>
    <w:rsid w:val="002D6CE8"/>
    <w:rsid w:val="002D6FD2"/>
    <w:rsid w:val="002D74A0"/>
    <w:rsid w:val="002E050B"/>
    <w:rsid w:val="002E0DF1"/>
    <w:rsid w:val="002E19FF"/>
    <w:rsid w:val="002E1D30"/>
    <w:rsid w:val="002E1EC8"/>
    <w:rsid w:val="002E410F"/>
    <w:rsid w:val="002E4136"/>
    <w:rsid w:val="002E4B91"/>
    <w:rsid w:val="002E7294"/>
    <w:rsid w:val="002F073E"/>
    <w:rsid w:val="002F1628"/>
    <w:rsid w:val="002F1664"/>
    <w:rsid w:val="002F195A"/>
    <w:rsid w:val="002F1E34"/>
    <w:rsid w:val="002F206C"/>
    <w:rsid w:val="002F2A5A"/>
    <w:rsid w:val="002F36D2"/>
    <w:rsid w:val="002F39AC"/>
    <w:rsid w:val="002F4448"/>
    <w:rsid w:val="002F4FC5"/>
    <w:rsid w:val="002F55F9"/>
    <w:rsid w:val="002F6511"/>
    <w:rsid w:val="002F6A81"/>
    <w:rsid w:val="002F746F"/>
    <w:rsid w:val="003004C3"/>
    <w:rsid w:val="0030082A"/>
    <w:rsid w:val="003019C0"/>
    <w:rsid w:val="00302239"/>
    <w:rsid w:val="003037CD"/>
    <w:rsid w:val="003043E3"/>
    <w:rsid w:val="003060A2"/>
    <w:rsid w:val="0030781A"/>
    <w:rsid w:val="003106A8"/>
    <w:rsid w:val="00314230"/>
    <w:rsid w:val="00314807"/>
    <w:rsid w:val="00314A0A"/>
    <w:rsid w:val="003155D7"/>
    <w:rsid w:val="00316E30"/>
    <w:rsid w:val="00317563"/>
    <w:rsid w:val="00317E41"/>
    <w:rsid w:val="00320E6B"/>
    <w:rsid w:val="00325571"/>
    <w:rsid w:val="00325700"/>
    <w:rsid w:val="003259BC"/>
    <w:rsid w:val="00325DDB"/>
    <w:rsid w:val="003260F1"/>
    <w:rsid w:val="0032731A"/>
    <w:rsid w:val="003275A1"/>
    <w:rsid w:val="00334F09"/>
    <w:rsid w:val="003354CC"/>
    <w:rsid w:val="00335589"/>
    <w:rsid w:val="00335F25"/>
    <w:rsid w:val="00337AC0"/>
    <w:rsid w:val="00340095"/>
    <w:rsid w:val="003423DA"/>
    <w:rsid w:val="00342F0E"/>
    <w:rsid w:val="00343DA8"/>
    <w:rsid w:val="003468EB"/>
    <w:rsid w:val="003506C0"/>
    <w:rsid w:val="00350700"/>
    <w:rsid w:val="00351A95"/>
    <w:rsid w:val="00351F1F"/>
    <w:rsid w:val="00353B73"/>
    <w:rsid w:val="00353FB1"/>
    <w:rsid w:val="003547EA"/>
    <w:rsid w:val="00354AEC"/>
    <w:rsid w:val="0035547C"/>
    <w:rsid w:val="00355703"/>
    <w:rsid w:val="003557D1"/>
    <w:rsid w:val="003559FF"/>
    <w:rsid w:val="00360C56"/>
    <w:rsid w:val="003626EC"/>
    <w:rsid w:val="00363E25"/>
    <w:rsid w:val="00364132"/>
    <w:rsid w:val="00364790"/>
    <w:rsid w:val="00364D77"/>
    <w:rsid w:val="0036554E"/>
    <w:rsid w:val="003671B0"/>
    <w:rsid w:val="00367D8C"/>
    <w:rsid w:val="003701CA"/>
    <w:rsid w:val="0037150A"/>
    <w:rsid w:val="00371D6A"/>
    <w:rsid w:val="00371D7C"/>
    <w:rsid w:val="00375F79"/>
    <w:rsid w:val="003774AD"/>
    <w:rsid w:val="00377589"/>
    <w:rsid w:val="00377D10"/>
    <w:rsid w:val="00382E6D"/>
    <w:rsid w:val="00382F5D"/>
    <w:rsid w:val="0038314B"/>
    <w:rsid w:val="003836D9"/>
    <w:rsid w:val="00383865"/>
    <w:rsid w:val="00385E89"/>
    <w:rsid w:val="00385F4E"/>
    <w:rsid w:val="003868E4"/>
    <w:rsid w:val="003869DA"/>
    <w:rsid w:val="00386F51"/>
    <w:rsid w:val="00390B4A"/>
    <w:rsid w:val="003923AC"/>
    <w:rsid w:val="00392A80"/>
    <w:rsid w:val="003934CF"/>
    <w:rsid w:val="00393959"/>
    <w:rsid w:val="00393EA1"/>
    <w:rsid w:val="0039496D"/>
    <w:rsid w:val="003949CA"/>
    <w:rsid w:val="003955F1"/>
    <w:rsid w:val="0039583E"/>
    <w:rsid w:val="00396493"/>
    <w:rsid w:val="0039657F"/>
    <w:rsid w:val="0039726B"/>
    <w:rsid w:val="0039777A"/>
    <w:rsid w:val="003A0F0D"/>
    <w:rsid w:val="003A1038"/>
    <w:rsid w:val="003A1591"/>
    <w:rsid w:val="003A1AC1"/>
    <w:rsid w:val="003A26F1"/>
    <w:rsid w:val="003A31D5"/>
    <w:rsid w:val="003A3AFA"/>
    <w:rsid w:val="003A3DC5"/>
    <w:rsid w:val="003A40F2"/>
    <w:rsid w:val="003A4470"/>
    <w:rsid w:val="003A4AFA"/>
    <w:rsid w:val="003A7B62"/>
    <w:rsid w:val="003B0511"/>
    <w:rsid w:val="003B0D1F"/>
    <w:rsid w:val="003B172E"/>
    <w:rsid w:val="003B2BD8"/>
    <w:rsid w:val="003B467C"/>
    <w:rsid w:val="003B4F66"/>
    <w:rsid w:val="003B5150"/>
    <w:rsid w:val="003B53D2"/>
    <w:rsid w:val="003B55C3"/>
    <w:rsid w:val="003B55DD"/>
    <w:rsid w:val="003B6574"/>
    <w:rsid w:val="003C098D"/>
    <w:rsid w:val="003C0FEE"/>
    <w:rsid w:val="003C2109"/>
    <w:rsid w:val="003C246B"/>
    <w:rsid w:val="003C2B29"/>
    <w:rsid w:val="003C3C69"/>
    <w:rsid w:val="003C3DC8"/>
    <w:rsid w:val="003C68A8"/>
    <w:rsid w:val="003C698D"/>
    <w:rsid w:val="003C752E"/>
    <w:rsid w:val="003C7938"/>
    <w:rsid w:val="003C7C32"/>
    <w:rsid w:val="003D08E6"/>
    <w:rsid w:val="003D1BB8"/>
    <w:rsid w:val="003D3CB0"/>
    <w:rsid w:val="003D47EC"/>
    <w:rsid w:val="003D4EC1"/>
    <w:rsid w:val="003D545A"/>
    <w:rsid w:val="003D54F3"/>
    <w:rsid w:val="003D5A54"/>
    <w:rsid w:val="003D647A"/>
    <w:rsid w:val="003D69E8"/>
    <w:rsid w:val="003D7BF5"/>
    <w:rsid w:val="003E0BB5"/>
    <w:rsid w:val="003E1493"/>
    <w:rsid w:val="003E150E"/>
    <w:rsid w:val="003E38B7"/>
    <w:rsid w:val="003E4D88"/>
    <w:rsid w:val="003E5204"/>
    <w:rsid w:val="003F04FE"/>
    <w:rsid w:val="003F084F"/>
    <w:rsid w:val="003F2605"/>
    <w:rsid w:val="003F3EA1"/>
    <w:rsid w:val="003F5417"/>
    <w:rsid w:val="003F5451"/>
    <w:rsid w:val="003F71F6"/>
    <w:rsid w:val="004000A9"/>
    <w:rsid w:val="00401689"/>
    <w:rsid w:val="00402520"/>
    <w:rsid w:val="00403BFE"/>
    <w:rsid w:val="00404318"/>
    <w:rsid w:val="00404382"/>
    <w:rsid w:val="00405406"/>
    <w:rsid w:val="0040541E"/>
    <w:rsid w:val="0040584F"/>
    <w:rsid w:val="00406AC1"/>
    <w:rsid w:val="00410CBB"/>
    <w:rsid w:val="00410DFD"/>
    <w:rsid w:val="00411826"/>
    <w:rsid w:val="00412267"/>
    <w:rsid w:val="0041388F"/>
    <w:rsid w:val="00414D0C"/>
    <w:rsid w:val="00416C27"/>
    <w:rsid w:val="0042108A"/>
    <w:rsid w:val="004220F7"/>
    <w:rsid w:val="004224A6"/>
    <w:rsid w:val="0042503D"/>
    <w:rsid w:val="00425EFE"/>
    <w:rsid w:val="00426330"/>
    <w:rsid w:val="00426973"/>
    <w:rsid w:val="00427D18"/>
    <w:rsid w:val="0043029B"/>
    <w:rsid w:val="004307AF"/>
    <w:rsid w:val="00431811"/>
    <w:rsid w:val="00431DEC"/>
    <w:rsid w:val="004327E4"/>
    <w:rsid w:val="004360FA"/>
    <w:rsid w:val="00436687"/>
    <w:rsid w:val="004366C6"/>
    <w:rsid w:val="0043682E"/>
    <w:rsid w:val="00437349"/>
    <w:rsid w:val="00441815"/>
    <w:rsid w:val="00441CEB"/>
    <w:rsid w:val="004420E1"/>
    <w:rsid w:val="004421B4"/>
    <w:rsid w:val="00442698"/>
    <w:rsid w:val="00443010"/>
    <w:rsid w:val="0044413E"/>
    <w:rsid w:val="004448A3"/>
    <w:rsid w:val="004449BB"/>
    <w:rsid w:val="004454F1"/>
    <w:rsid w:val="004459A1"/>
    <w:rsid w:val="00447950"/>
    <w:rsid w:val="00450795"/>
    <w:rsid w:val="004516B7"/>
    <w:rsid w:val="00452027"/>
    <w:rsid w:val="00455272"/>
    <w:rsid w:val="00455CC1"/>
    <w:rsid w:val="00456A95"/>
    <w:rsid w:val="00456EDD"/>
    <w:rsid w:val="00457875"/>
    <w:rsid w:val="00457AD6"/>
    <w:rsid w:val="00461EF4"/>
    <w:rsid w:val="00461FCB"/>
    <w:rsid w:val="00462433"/>
    <w:rsid w:val="00463126"/>
    <w:rsid w:val="0046415B"/>
    <w:rsid w:val="0046421A"/>
    <w:rsid w:val="004643BD"/>
    <w:rsid w:val="004663AB"/>
    <w:rsid w:val="00467691"/>
    <w:rsid w:val="004700AB"/>
    <w:rsid w:val="00471AD7"/>
    <w:rsid w:val="00473E90"/>
    <w:rsid w:val="00473FBA"/>
    <w:rsid w:val="00475372"/>
    <w:rsid w:val="00477145"/>
    <w:rsid w:val="00482209"/>
    <w:rsid w:val="00482D5C"/>
    <w:rsid w:val="00484B3C"/>
    <w:rsid w:val="004923EB"/>
    <w:rsid w:val="0049303A"/>
    <w:rsid w:val="004931C7"/>
    <w:rsid w:val="00493845"/>
    <w:rsid w:val="00495342"/>
    <w:rsid w:val="00495515"/>
    <w:rsid w:val="0049586E"/>
    <w:rsid w:val="00495AFC"/>
    <w:rsid w:val="00495F7E"/>
    <w:rsid w:val="004964B9"/>
    <w:rsid w:val="004969C2"/>
    <w:rsid w:val="00496A1D"/>
    <w:rsid w:val="00496F4F"/>
    <w:rsid w:val="00497194"/>
    <w:rsid w:val="004A093F"/>
    <w:rsid w:val="004A0B0B"/>
    <w:rsid w:val="004A1FB4"/>
    <w:rsid w:val="004A20EF"/>
    <w:rsid w:val="004A2DE5"/>
    <w:rsid w:val="004A308D"/>
    <w:rsid w:val="004A37C7"/>
    <w:rsid w:val="004A3857"/>
    <w:rsid w:val="004A3D27"/>
    <w:rsid w:val="004A5EB6"/>
    <w:rsid w:val="004A6F1E"/>
    <w:rsid w:val="004B2155"/>
    <w:rsid w:val="004B240E"/>
    <w:rsid w:val="004B27B2"/>
    <w:rsid w:val="004B2DF6"/>
    <w:rsid w:val="004B39B3"/>
    <w:rsid w:val="004B4ECB"/>
    <w:rsid w:val="004B5285"/>
    <w:rsid w:val="004B54E4"/>
    <w:rsid w:val="004B5A0C"/>
    <w:rsid w:val="004B6A5A"/>
    <w:rsid w:val="004C0AE4"/>
    <w:rsid w:val="004C1970"/>
    <w:rsid w:val="004C2D81"/>
    <w:rsid w:val="004C2DDD"/>
    <w:rsid w:val="004C36A8"/>
    <w:rsid w:val="004C3B25"/>
    <w:rsid w:val="004C6CC4"/>
    <w:rsid w:val="004C7476"/>
    <w:rsid w:val="004D11CC"/>
    <w:rsid w:val="004D1767"/>
    <w:rsid w:val="004D1A45"/>
    <w:rsid w:val="004D2213"/>
    <w:rsid w:val="004D2C69"/>
    <w:rsid w:val="004D3FAD"/>
    <w:rsid w:val="004D49C6"/>
    <w:rsid w:val="004D7021"/>
    <w:rsid w:val="004D70E0"/>
    <w:rsid w:val="004E2E71"/>
    <w:rsid w:val="004E40FC"/>
    <w:rsid w:val="004E5F95"/>
    <w:rsid w:val="004E6876"/>
    <w:rsid w:val="004F0981"/>
    <w:rsid w:val="004F0C44"/>
    <w:rsid w:val="004F17A0"/>
    <w:rsid w:val="004F18E9"/>
    <w:rsid w:val="004F1F5B"/>
    <w:rsid w:val="004F1FE9"/>
    <w:rsid w:val="004F2C3B"/>
    <w:rsid w:val="004F50A4"/>
    <w:rsid w:val="004F5B9E"/>
    <w:rsid w:val="004F5C11"/>
    <w:rsid w:val="004F649F"/>
    <w:rsid w:val="00503FC2"/>
    <w:rsid w:val="00504829"/>
    <w:rsid w:val="00507160"/>
    <w:rsid w:val="005071EA"/>
    <w:rsid w:val="00507857"/>
    <w:rsid w:val="0051028D"/>
    <w:rsid w:val="005102B0"/>
    <w:rsid w:val="005107DB"/>
    <w:rsid w:val="0051308F"/>
    <w:rsid w:val="00515119"/>
    <w:rsid w:val="00515F89"/>
    <w:rsid w:val="00516B7D"/>
    <w:rsid w:val="005171B2"/>
    <w:rsid w:val="0051732B"/>
    <w:rsid w:val="00520DB1"/>
    <w:rsid w:val="0052668F"/>
    <w:rsid w:val="005277F0"/>
    <w:rsid w:val="00527C46"/>
    <w:rsid w:val="00530604"/>
    <w:rsid w:val="0053094E"/>
    <w:rsid w:val="00531268"/>
    <w:rsid w:val="005342EE"/>
    <w:rsid w:val="0053572F"/>
    <w:rsid w:val="00537482"/>
    <w:rsid w:val="00540BC5"/>
    <w:rsid w:val="00540E77"/>
    <w:rsid w:val="00542029"/>
    <w:rsid w:val="005420F1"/>
    <w:rsid w:val="00544221"/>
    <w:rsid w:val="005444AD"/>
    <w:rsid w:val="005448BF"/>
    <w:rsid w:val="00544B3F"/>
    <w:rsid w:val="00545AF1"/>
    <w:rsid w:val="005505CA"/>
    <w:rsid w:val="00550906"/>
    <w:rsid w:val="00550FFA"/>
    <w:rsid w:val="00551DED"/>
    <w:rsid w:val="00552385"/>
    <w:rsid w:val="00552A8A"/>
    <w:rsid w:val="005534EE"/>
    <w:rsid w:val="00554F7F"/>
    <w:rsid w:val="0055585E"/>
    <w:rsid w:val="005570F1"/>
    <w:rsid w:val="005573C4"/>
    <w:rsid w:val="00557A1C"/>
    <w:rsid w:val="00560DF8"/>
    <w:rsid w:val="00560FCF"/>
    <w:rsid w:val="0056109A"/>
    <w:rsid w:val="00561B79"/>
    <w:rsid w:val="00561F3B"/>
    <w:rsid w:val="005632BB"/>
    <w:rsid w:val="00563AE0"/>
    <w:rsid w:val="005664A5"/>
    <w:rsid w:val="00566A6B"/>
    <w:rsid w:val="00566E6C"/>
    <w:rsid w:val="00570B6B"/>
    <w:rsid w:val="00571F53"/>
    <w:rsid w:val="0057323E"/>
    <w:rsid w:val="00573CED"/>
    <w:rsid w:val="0057498B"/>
    <w:rsid w:val="005749C9"/>
    <w:rsid w:val="00576725"/>
    <w:rsid w:val="00576D20"/>
    <w:rsid w:val="00577F4C"/>
    <w:rsid w:val="005805F2"/>
    <w:rsid w:val="005806C1"/>
    <w:rsid w:val="00581254"/>
    <w:rsid w:val="0058195C"/>
    <w:rsid w:val="00581CED"/>
    <w:rsid w:val="00582263"/>
    <w:rsid w:val="0058318B"/>
    <w:rsid w:val="005834AA"/>
    <w:rsid w:val="0058445F"/>
    <w:rsid w:val="00586495"/>
    <w:rsid w:val="005869D5"/>
    <w:rsid w:val="005870FD"/>
    <w:rsid w:val="00590709"/>
    <w:rsid w:val="005941A4"/>
    <w:rsid w:val="00594C4F"/>
    <w:rsid w:val="00595437"/>
    <w:rsid w:val="005A05BB"/>
    <w:rsid w:val="005A0CB9"/>
    <w:rsid w:val="005A370C"/>
    <w:rsid w:val="005A5529"/>
    <w:rsid w:val="005A5879"/>
    <w:rsid w:val="005B02BF"/>
    <w:rsid w:val="005B0D6A"/>
    <w:rsid w:val="005B1E77"/>
    <w:rsid w:val="005B22F2"/>
    <w:rsid w:val="005B275C"/>
    <w:rsid w:val="005B2C69"/>
    <w:rsid w:val="005B49FD"/>
    <w:rsid w:val="005B650B"/>
    <w:rsid w:val="005B667C"/>
    <w:rsid w:val="005B6D11"/>
    <w:rsid w:val="005B6E8B"/>
    <w:rsid w:val="005B70FA"/>
    <w:rsid w:val="005C2ACC"/>
    <w:rsid w:val="005C367C"/>
    <w:rsid w:val="005C481A"/>
    <w:rsid w:val="005C49CA"/>
    <w:rsid w:val="005C4C3B"/>
    <w:rsid w:val="005C5587"/>
    <w:rsid w:val="005C7722"/>
    <w:rsid w:val="005D08BD"/>
    <w:rsid w:val="005D1D7F"/>
    <w:rsid w:val="005D1FB7"/>
    <w:rsid w:val="005D2331"/>
    <w:rsid w:val="005D4260"/>
    <w:rsid w:val="005D4373"/>
    <w:rsid w:val="005D4D0C"/>
    <w:rsid w:val="005D57AD"/>
    <w:rsid w:val="005D5ACB"/>
    <w:rsid w:val="005D6764"/>
    <w:rsid w:val="005D7197"/>
    <w:rsid w:val="005D71BA"/>
    <w:rsid w:val="005E04AE"/>
    <w:rsid w:val="005E0B0C"/>
    <w:rsid w:val="005E1093"/>
    <w:rsid w:val="005E11D5"/>
    <w:rsid w:val="005E1D20"/>
    <w:rsid w:val="005E3F44"/>
    <w:rsid w:val="005E42EA"/>
    <w:rsid w:val="005E4B2D"/>
    <w:rsid w:val="005E5DFC"/>
    <w:rsid w:val="005E7115"/>
    <w:rsid w:val="005E7C98"/>
    <w:rsid w:val="005F0BE2"/>
    <w:rsid w:val="005F1432"/>
    <w:rsid w:val="005F17B8"/>
    <w:rsid w:val="005F2AA2"/>
    <w:rsid w:val="005F6694"/>
    <w:rsid w:val="005F6773"/>
    <w:rsid w:val="005F67F9"/>
    <w:rsid w:val="005F69A7"/>
    <w:rsid w:val="005F7E38"/>
    <w:rsid w:val="005F7EAE"/>
    <w:rsid w:val="006008D5"/>
    <w:rsid w:val="006020AD"/>
    <w:rsid w:val="006026ED"/>
    <w:rsid w:val="0060388E"/>
    <w:rsid w:val="00604F4C"/>
    <w:rsid w:val="00605103"/>
    <w:rsid w:val="00605E72"/>
    <w:rsid w:val="006063B5"/>
    <w:rsid w:val="00612EEF"/>
    <w:rsid w:val="00613823"/>
    <w:rsid w:val="006138E2"/>
    <w:rsid w:val="00614EA0"/>
    <w:rsid w:val="006156A3"/>
    <w:rsid w:val="006176A7"/>
    <w:rsid w:val="0062113E"/>
    <w:rsid w:val="00621B4D"/>
    <w:rsid w:val="00621D11"/>
    <w:rsid w:val="00621D64"/>
    <w:rsid w:val="00622428"/>
    <w:rsid w:val="00622DD9"/>
    <w:rsid w:val="0062373D"/>
    <w:rsid w:val="00624805"/>
    <w:rsid w:val="006249CD"/>
    <w:rsid w:val="00626B34"/>
    <w:rsid w:val="00627711"/>
    <w:rsid w:val="00627EF2"/>
    <w:rsid w:val="006301A3"/>
    <w:rsid w:val="006301D7"/>
    <w:rsid w:val="00630D11"/>
    <w:rsid w:val="00630E5B"/>
    <w:rsid w:val="0063183A"/>
    <w:rsid w:val="00631D8E"/>
    <w:rsid w:val="00632092"/>
    <w:rsid w:val="00632EA5"/>
    <w:rsid w:val="00632FB7"/>
    <w:rsid w:val="00633F8F"/>
    <w:rsid w:val="0063474F"/>
    <w:rsid w:val="006347BD"/>
    <w:rsid w:val="006365E9"/>
    <w:rsid w:val="006368D5"/>
    <w:rsid w:val="00636C24"/>
    <w:rsid w:val="006376D1"/>
    <w:rsid w:val="006406B2"/>
    <w:rsid w:val="006409B7"/>
    <w:rsid w:val="00640BA3"/>
    <w:rsid w:val="00640D66"/>
    <w:rsid w:val="00641D07"/>
    <w:rsid w:val="006427B2"/>
    <w:rsid w:val="006427C6"/>
    <w:rsid w:val="00643387"/>
    <w:rsid w:val="006433EA"/>
    <w:rsid w:val="006434F7"/>
    <w:rsid w:val="00644101"/>
    <w:rsid w:val="00644F63"/>
    <w:rsid w:val="00645068"/>
    <w:rsid w:val="006453C2"/>
    <w:rsid w:val="00646268"/>
    <w:rsid w:val="006465DD"/>
    <w:rsid w:val="00647201"/>
    <w:rsid w:val="006476C4"/>
    <w:rsid w:val="00651F16"/>
    <w:rsid w:val="006523DC"/>
    <w:rsid w:val="00652995"/>
    <w:rsid w:val="006537D8"/>
    <w:rsid w:val="006538A0"/>
    <w:rsid w:val="00654505"/>
    <w:rsid w:val="00655791"/>
    <w:rsid w:val="0065704F"/>
    <w:rsid w:val="00657246"/>
    <w:rsid w:val="0065798A"/>
    <w:rsid w:val="00662255"/>
    <w:rsid w:val="006624B2"/>
    <w:rsid w:val="00662F99"/>
    <w:rsid w:val="0066313D"/>
    <w:rsid w:val="0066400A"/>
    <w:rsid w:val="00665299"/>
    <w:rsid w:val="0066600E"/>
    <w:rsid w:val="006678E4"/>
    <w:rsid w:val="00670CC7"/>
    <w:rsid w:val="00670DD7"/>
    <w:rsid w:val="0067204B"/>
    <w:rsid w:val="0067279A"/>
    <w:rsid w:val="00672E3B"/>
    <w:rsid w:val="006739C0"/>
    <w:rsid w:val="00673C73"/>
    <w:rsid w:val="006743E1"/>
    <w:rsid w:val="006758F1"/>
    <w:rsid w:val="00676AAC"/>
    <w:rsid w:val="00676DAC"/>
    <w:rsid w:val="0068062C"/>
    <w:rsid w:val="00683459"/>
    <w:rsid w:val="0068408A"/>
    <w:rsid w:val="0068460E"/>
    <w:rsid w:val="00685057"/>
    <w:rsid w:val="00685B84"/>
    <w:rsid w:val="00687C50"/>
    <w:rsid w:val="00687E57"/>
    <w:rsid w:val="00690BD3"/>
    <w:rsid w:val="006913DF"/>
    <w:rsid w:val="00693E07"/>
    <w:rsid w:val="006943D5"/>
    <w:rsid w:val="006945B8"/>
    <w:rsid w:val="00694D63"/>
    <w:rsid w:val="00695436"/>
    <w:rsid w:val="00695527"/>
    <w:rsid w:val="00695C0F"/>
    <w:rsid w:val="00695F95"/>
    <w:rsid w:val="00697F77"/>
    <w:rsid w:val="006A02E7"/>
    <w:rsid w:val="006A02F4"/>
    <w:rsid w:val="006A0492"/>
    <w:rsid w:val="006A0994"/>
    <w:rsid w:val="006A19A3"/>
    <w:rsid w:val="006A2DDC"/>
    <w:rsid w:val="006A5B7A"/>
    <w:rsid w:val="006A5F6E"/>
    <w:rsid w:val="006A683D"/>
    <w:rsid w:val="006A7289"/>
    <w:rsid w:val="006A73FE"/>
    <w:rsid w:val="006A77AF"/>
    <w:rsid w:val="006B1A42"/>
    <w:rsid w:val="006B1A5A"/>
    <w:rsid w:val="006B1DA7"/>
    <w:rsid w:val="006B26AD"/>
    <w:rsid w:val="006B380F"/>
    <w:rsid w:val="006B397C"/>
    <w:rsid w:val="006C007B"/>
    <w:rsid w:val="006C13E6"/>
    <w:rsid w:val="006C5801"/>
    <w:rsid w:val="006C69BE"/>
    <w:rsid w:val="006C726B"/>
    <w:rsid w:val="006D01B8"/>
    <w:rsid w:val="006D0C9F"/>
    <w:rsid w:val="006D1CC1"/>
    <w:rsid w:val="006D2B01"/>
    <w:rsid w:val="006D3BC8"/>
    <w:rsid w:val="006D4ACB"/>
    <w:rsid w:val="006D52D8"/>
    <w:rsid w:val="006D5BD7"/>
    <w:rsid w:val="006D713B"/>
    <w:rsid w:val="006D79BB"/>
    <w:rsid w:val="006E0009"/>
    <w:rsid w:val="006E192C"/>
    <w:rsid w:val="006E30C6"/>
    <w:rsid w:val="006E347B"/>
    <w:rsid w:val="006E56D9"/>
    <w:rsid w:val="006E5F0F"/>
    <w:rsid w:val="006F0206"/>
    <w:rsid w:val="006F0743"/>
    <w:rsid w:val="006F1159"/>
    <w:rsid w:val="006F1506"/>
    <w:rsid w:val="006F17CF"/>
    <w:rsid w:val="006F3D80"/>
    <w:rsid w:val="006F4464"/>
    <w:rsid w:val="006F4B92"/>
    <w:rsid w:val="006F5049"/>
    <w:rsid w:val="006F5721"/>
    <w:rsid w:val="006F6E9A"/>
    <w:rsid w:val="006F7772"/>
    <w:rsid w:val="00700473"/>
    <w:rsid w:val="007007D6"/>
    <w:rsid w:val="00700C2A"/>
    <w:rsid w:val="0070132F"/>
    <w:rsid w:val="00702487"/>
    <w:rsid w:val="00703332"/>
    <w:rsid w:val="0070434C"/>
    <w:rsid w:val="007046D7"/>
    <w:rsid w:val="00704D18"/>
    <w:rsid w:val="00704F39"/>
    <w:rsid w:val="00704FEA"/>
    <w:rsid w:val="00705142"/>
    <w:rsid w:val="007052E3"/>
    <w:rsid w:val="007070ED"/>
    <w:rsid w:val="0071020F"/>
    <w:rsid w:val="007109EF"/>
    <w:rsid w:val="00710C09"/>
    <w:rsid w:val="00710C8F"/>
    <w:rsid w:val="00710D70"/>
    <w:rsid w:val="00711135"/>
    <w:rsid w:val="007117DF"/>
    <w:rsid w:val="00711A27"/>
    <w:rsid w:val="00711DB6"/>
    <w:rsid w:val="00711E08"/>
    <w:rsid w:val="0071200D"/>
    <w:rsid w:val="00712FC5"/>
    <w:rsid w:val="007152F1"/>
    <w:rsid w:val="007154EA"/>
    <w:rsid w:val="00716BFD"/>
    <w:rsid w:val="00716E8D"/>
    <w:rsid w:val="00720214"/>
    <w:rsid w:val="0072056B"/>
    <w:rsid w:val="00722802"/>
    <w:rsid w:val="007244D8"/>
    <w:rsid w:val="00726166"/>
    <w:rsid w:val="007301B3"/>
    <w:rsid w:val="007307EF"/>
    <w:rsid w:val="00733576"/>
    <w:rsid w:val="00734A4B"/>
    <w:rsid w:val="00736103"/>
    <w:rsid w:val="00736352"/>
    <w:rsid w:val="00737229"/>
    <w:rsid w:val="00740345"/>
    <w:rsid w:val="00740A37"/>
    <w:rsid w:val="00740F0D"/>
    <w:rsid w:val="0074260D"/>
    <w:rsid w:val="00742E11"/>
    <w:rsid w:val="00743750"/>
    <w:rsid w:val="00744700"/>
    <w:rsid w:val="007448B2"/>
    <w:rsid w:val="00745F0E"/>
    <w:rsid w:val="007469F9"/>
    <w:rsid w:val="0074770A"/>
    <w:rsid w:val="007478B1"/>
    <w:rsid w:val="00750685"/>
    <w:rsid w:val="00750F7B"/>
    <w:rsid w:val="00750F92"/>
    <w:rsid w:val="007513EA"/>
    <w:rsid w:val="007533A8"/>
    <w:rsid w:val="007536DB"/>
    <w:rsid w:val="007545C7"/>
    <w:rsid w:val="00754D1D"/>
    <w:rsid w:val="00754F66"/>
    <w:rsid w:val="0075529A"/>
    <w:rsid w:val="00756252"/>
    <w:rsid w:val="007562BA"/>
    <w:rsid w:val="00756B44"/>
    <w:rsid w:val="00757771"/>
    <w:rsid w:val="0076221E"/>
    <w:rsid w:val="00763302"/>
    <w:rsid w:val="00763326"/>
    <w:rsid w:val="00763540"/>
    <w:rsid w:val="007665B2"/>
    <w:rsid w:val="0076770B"/>
    <w:rsid w:val="00770105"/>
    <w:rsid w:val="0077021A"/>
    <w:rsid w:val="00770B49"/>
    <w:rsid w:val="00772AA5"/>
    <w:rsid w:val="00774A6E"/>
    <w:rsid w:val="00775D95"/>
    <w:rsid w:val="00775F59"/>
    <w:rsid w:val="007776EB"/>
    <w:rsid w:val="00780BE4"/>
    <w:rsid w:val="00780DC8"/>
    <w:rsid w:val="007822D2"/>
    <w:rsid w:val="00783974"/>
    <w:rsid w:val="00786082"/>
    <w:rsid w:val="007863C6"/>
    <w:rsid w:val="007865FA"/>
    <w:rsid w:val="007868EA"/>
    <w:rsid w:val="00787104"/>
    <w:rsid w:val="00787284"/>
    <w:rsid w:val="007872CA"/>
    <w:rsid w:val="00787810"/>
    <w:rsid w:val="00787BAF"/>
    <w:rsid w:val="00792B87"/>
    <w:rsid w:val="0079378D"/>
    <w:rsid w:val="00794C39"/>
    <w:rsid w:val="00796EC1"/>
    <w:rsid w:val="007970D0"/>
    <w:rsid w:val="007A03E8"/>
    <w:rsid w:val="007A1F06"/>
    <w:rsid w:val="007A29AF"/>
    <w:rsid w:val="007A2A15"/>
    <w:rsid w:val="007A43D5"/>
    <w:rsid w:val="007A4B31"/>
    <w:rsid w:val="007A4DDF"/>
    <w:rsid w:val="007A5EB2"/>
    <w:rsid w:val="007A6C0D"/>
    <w:rsid w:val="007A722E"/>
    <w:rsid w:val="007A74DB"/>
    <w:rsid w:val="007A75D9"/>
    <w:rsid w:val="007A77D9"/>
    <w:rsid w:val="007B0100"/>
    <w:rsid w:val="007B0697"/>
    <w:rsid w:val="007B0816"/>
    <w:rsid w:val="007B0BBB"/>
    <w:rsid w:val="007B1CB0"/>
    <w:rsid w:val="007B3B21"/>
    <w:rsid w:val="007B45E2"/>
    <w:rsid w:val="007B5538"/>
    <w:rsid w:val="007B5CF4"/>
    <w:rsid w:val="007C3207"/>
    <w:rsid w:val="007C3BE0"/>
    <w:rsid w:val="007C49BD"/>
    <w:rsid w:val="007C63F3"/>
    <w:rsid w:val="007C66D5"/>
    <w:rsid w:val="007C7291"/>
    <w:rsid w:val="007C7649"/>
    <w:rsid w:val="007D0DCF"/>
    <w:rsid w:val="007D147E"/>
    <w:rsid w:val="007D1599"/>
    <w:rsid w:val="007D2C20"/>
    <w:rsid w:val="007D41B7"/>
    <w:rsid w:val="007D44B2"/>
    <w:rsid w:val="007D4621"/>
    <w:rsid w:val="007D4BB9"/>
    <w:rsid w:val="007D5E45"/>
    <w:rsid w:val="007D7B9B"/>
    <w:rsid w:val="007D7BB9"/>
    <w:rsid w:val="007E2143"/>
    <w:rsid w:val="007E29F1"/>
    <w:rsid w:val="007E3038"/>
    <w:rsid w:val="007E35B5"/>
    <w:rsid w:val="007E3B32"/>
    <w:rsid w:val="007E4026"/>
    <w:rsid w:val="007E47EE"/>
    <w:rsid w:val="007E4AF9"/>
    <w:rsid w:val="007E5B9A"/>
    <w:rsid w:val="007E69A6"/>
    <w:rsid w:val="007E7BDD"/>
    <w:rsid w:val="007E7C01"/>
    <w:rsid w:val="007F2213"/>
    <w:rsid w:val="007F22B0"/>
    <w:rsid w:val="007F23F5"/>
    <w:rsid w:val="007F2C88"/>
    <w:rsid w:val="007F2ED7"/>
    <w:rsid w:val="007F3155"/>
    <w:rsid w:val="007F32CA"/>
    <w:rsid w:val="007F3CDC"/>
    <w:rsid w:val="007F471B"/>
    <w:rsid w:val="007F48AC"/>
    <w:rsid w:val="007F49D3"/>
    <w:rsid w:val="007F54F3"/>
    <w:rsid w:val="007F6866"/>
    <w:rsid w:val="007F6C1F"/>
    <w:rsid w:val="007F77D7"/>
    <w:rsid w:val="007F7BE8"/>
    <w:rsid w:val="00800554"/>
    <w:rsid w:val="00803A6E"/>
    <w:rsid w:val="00803C82"/>
    <w:rsid w:val="00803F8F"/>
    <w:rsid w:val="00803FF9"/>
    <w:rsid w:val="008050B6"/>
    <w:rsid w:val="00805805"/>
    <w:rsid w:val="00810127"/>
    <w:rsid w:val="00811884"/>
    <w:rsid w:val="00812224"/>
    <w:rsid w:val="00813321"/>
    <w:rsid w:val="008136FC"/>
    <w:rsid w:val="00813C55"/>
    <w:rsid w:val="008140E8"/>
    <w:rsid w:val="008157E5"/>
    <w:rsid w:val="008158CA"/>
    <w:rsid w:val="00815B6A"/>
    <w:rsid w:val="00816682"/>
    <w:rsid w:val="00816695"/>
    <w:rsid w:val="00820ADD"/>
    <w:rsid w:val="00820B5B"/>
    <w:rsid w:val="008214A0"/>
    <w:rsid w:val="008217E4"/>
    <w:rsid w:val="00821FEC"/>
    <w:rsid w:val="008233C3"/>
    <w:rsid w:val="00824AF1"/>
    <w:rsid w:val="008262A8"/>
    <w:rsid w:val="008265F2"/>
    <w:rsid w:val="00826DB0"/>
    <w:rsid w:val="00827F5A"/>
    <w:rsid w:val="008303C3"/>
    <w:rsid w:val="008318B5"/>
    <w:rsid w:val="00831C7E"/>
    <w:rsid w:val="00831CDE"/>
    <w:rsid w:val="0083278B"/>
    <w:rsid w:val="008337D5"/>
    <w:rsid w:val="00833D6F"/>
    <w:rsid w:val="008359BF"/>
    <w:rsid w:val="00836200"/>
    <w:rsid w:val="008371AA"/>
    <w:rsid w:val="008404EC"/>
    <w:rsid w:val="00840AE8"/>
    <w:rsid w:val="00840B4A"/>
    <w:rsid w:val="00842CE2"/>
    <w:rsid w:val="008459F1"/>
    <w:rsid w:val="00845AAC"/>
    <w:rsid w:val="00845B54"/>
    <w:rsid w:val="00850AC4"/>
    <w:rsid w:val="008545C8"/>
    <w:rsid w:val="00854693"/>
    <w:rsid w:val="008548FE"/>
    <w:rsid w:val="00854C17"/>
    <w:rsid w:val="008556E0"/>
    <w:rsid w:val="00857C8A"/>
    <w:rsid w:val="00857D88"/>
    <w:rsid w:val="0086012F"/>
    <w:rsid w:val="008606E9"/>
    <w:rsid w:val="00863C62"/>
    <w:rsid w:val="0086447F"/>
    <w:rsid w:val="00866AA7"/>
    <w:rsid w:val="008714D5"/>
    <w:rsid w:val="00871C6E"/>
    <w:rsid w:val="0087272D"/>
    <w:rsid w:val="008729EB"/>
    <w:rsid w:val="0087372A"/>
    <w:rsid w:val="00874CF6"/>
    <w:rsid w:val="0087526D"/>
    <w:rsid w:val="00876878"/>
    <w:rsid w:val="00876E7A"/>
    <w:rsid w:val="008775F8"/>
    <w:rsid w:val="008823D6"/>
    <w:rsid w:val="008829B2"/>
    <w:rsid w:val="00882C4E"/>
    <w:rsid w:val="00882FE8"/>
    <w:rsid w:val="00883C7B"/>
    <w:rsid w:val="00885385"/>
    <w:rsid w:val="008857C7"/>
    <w:rsid w:val="0088595A"/>
    <w:rsid w:val="00891214"/>
    <w:rsid w:val="00892B3F"/>
    <w:rsid w:val="008951B3"/>
    <w:rsid w:val="0089524A"/>
    <w:rsid w:val="0089593A"/>
    <w:rsid w:val="00895C27"/>
    <w:rsid w:val="00896BDD"/>
    <w:rsid w:val="00896D87"/>
    <w:rsid w:val="008978C5"/>
    <w:rsid w:val="008A00DF"/>
    <w:rsid w:val="008A019B"/>
    <w:rsid w:val="008A274F"/>
    <w:rsid w:val="008A33B4"/>
    <w:rsid w:val="008A37D8"/>
    <w:rsid w:val="008A3AB8"/>
    <w:rsid w:val="008A41DE"/>
    <w:rsid w:val="008A5351"/>
    <w:rsid w:val="008A5CFB"/>
    <w:rsid w:val="008A6267"/>
    <w:rsid w:val="008A653A"/>
    <w:rsid w:val="008A713C"/>
    <w:rsid w:val="008A7D61"/>
    <w:rsid w:val="008A7E46"/>
    <w:rsid w:val="008B22B6"/>
    <w:rsid w:val="008B236A"/>
    <w:rsid w:val="008B2B7C"/>
    <w:rsid w:val="008B3DD2"/>
    <w:rsid w:val="008B5F2B"/>
    <w:rsid w:val="008B7231"/>
    <w:rsid w:val="008C1FA0"/>
    <w:rsid w:val="008C3A3A"/>
    <w:rsid w:val="008C4344"/>
    <w:rsid w:val="008C447E"/>
    <w:rsid w:val="008C489B"/>
    <w:rsid w:val="008C4BBA"/>
    <w:rsid w:val="008C4C16"/>
    <w:rsid w:val="008C7670"/>
    <w:rsid w:val="008D00D7"/>
    <w:rsid w:val="008D172C"/>
    <w:rsid w:val="008D1F2B"/>
    <w:rsid w:val="008D2F00"/>
    <w:rsid w:val="008D3D54"/>
    <w:rsid w:val="008D4481"/>
    <w:rsid w:val="008D6D16"/>
    <w:rsid w:val="008D78B0"/>
    <w:rsid w:val="008D7930"/>
    <w:rsid w:val="008E0CFC"/>
    <w:rsid w:val="008E172E"/>
    <w:rsid w:val="008E2C94"/>
    <w:rsid w:val="008E3F20"/>
    <w:rsid w:val="008E6B09"/>
    <w:rsid w:val="008E7DCF"/>
    <w:rsid w:val="008F01A9"/>
    <w:rsid w:val="008F0942"/>
    <w:rsid w:val="008F1C16"/>
    <w:rsid w:val="008F1DA6"/>
    <w:rsid w:val="008F2077"/>
    <w:rsid w:val="008F3072"/>
    <w:rsid w:val="008F3AE5"/>
    <w:rsid w:val="008F505D"/>
    <w:rsid w:val="008F6032"/>
    <w:rsid w:val="008F61BC"/>
    <w:rsid w:val="008F6687"/>
    <w:rsid w:val="008F7C70"/>
    <w:rsid w:val="009002FC"/>
    <w:rsid w:val="00900F13"/>
    <w:rsid w:val="00900F65"/>
    <w:rsid w:val="00901672"/>
    <w:rsid w:val="00902F28"/>
    <w:rsid w:val="00903E0A"/>
    <w:rsid w:val="00904983"/>
    <w:rsid w:val="0090625E"/>
    <w:rsid w:val="00906357"/>
    <w:rsid w:val="00906B5A"/>
    <w:rsid w:val="00906EF6"/>
    <w:rsid w:val="009073DE"/>
    <w:rsid w:val="00907F89"/>
    <w:rsid w:val="00910597"/>
    <w:rsid w:val="00910C5D"/>
    <w:rsid w:val="009111D3"/>
    <w:rsid w:val="009119F7"/>
    <w:rsid w:val="00912518"/>
    <w:rsid w:val="00913387"/>
    <w:rsid w:val="00913B03"/>
    <w:rsid w:val="00914DA9"/>
    <w:rsid w:val="009150F6"/>
    <w:rsid w:val="00916543"/>
    <w:rsid w:val="00916F89"/>
    <w:rsid w:val="009170D9"/>
    <w:rsid w:val="00920BBF"/>
    <w:rsid w:val="0092142A"/>
    <w:rsid w:val="009220C0"/>
    <w:rsid w:val="009225D0"/>
    <w:rsid w:val="00922D94"/>
    <w:rsid w:val="009236A5"/>
    <w:rsid w:val="00925359"/>
    <w:rsid w:val="009269E1"/>
    <w:rsid w:val="009272D7"/>
    <w:rsid w:val="00927B9D"/>
    <w:rsid w:val="00927CF9"/>
    <w:rsid w:val="00930B20"/>
    <w:rsid w:val="00930D03"/>
    <w:rsid w:val="0093184E"/>
    <w:rsid w:val="009329B7"/>
    <w:rsid w:val="00934754"/>
    <w:rsid w:val="00934F57"/>
    <w:rsid w:val="0093599D"/>
    <w:rsid w:val="0093663D"/>
    <w:rsid w:val="00937A5B"/>
    <w:rsid w:val="00941DC9"/>
    <w:rsid w:val="0094240C"/>
    <w:rsid w:val="009444AC"/>
    <w:rsid w:val="0094598C"/>
    <w:rsid w:val="0094628E"/>
    <w:rsid w:val="009465F3"/>
    <w:rsid w:val="00947BA8"/>
    <w:rsid w:val="00947F3A"/>
    <w:rsid w:val="00950CEC"/>
    <w:rsid w:val="009511C3"/>
    <w:rsid w:val="009512A9"/>
    <w:rsid w:val="00952364"/>
    <w:rsid w:val="0095320B"/>
    <w:rsid w:val="009548A2"/>
    <w:rsid w:val="00954FC2"/>
    <w:rsid w:val="00955838"/>
    <w:rsid w:val="00955BEF"/>
    <w:rsid w:val="009564BC"/>
    <w:rsid w:val="009575D7"/>
    <w:rsid w:val="009617D6"/>
    <w:rsid w:val="00962000"/>
    <w:rsid w:val="00964C2F"/>
    <w:rsid w:val="009654BE"/>
    <w:rsid w:val="00965DC2"/>
    <w:rsid w:val="00966076"/>
    <w:rsid w:val="00966139"/>
    <w:rsid w:val="009674A5"/>
    <w:rsid w:val="009677FC"/>
    <w:rsid w:val="00967B81"/>
    <w:rsid w:val="00967F33"/>
    <w:rsid w:val="00971346"/>
    <w:rsid w:val="00972454"/>
    <w:rsid w:val="0097260A"/>
    <w:rsid w:val="00974615"/>
    <w:rsid w:val="009756CF"/>
    <w:rsid w:val="00976163"/>
    <w:rsid w:val="00981CFF"/>
    <w:rsid w:val="0098229F"/>
    <w:rsid w:val="009827C6"/>
    <w:rsid w:val="0098469C"/>
    <w:rsid w:val="00984C4B"/>
    <w:rsid w:val="00984F8C"/>
    <w:rsid w:val="0098544D"/>
    <w:rsid w:val="009860FF"/>
    <w:rsid w:val="00986235"/>
    <w:rsid w:val="0098633A"/>
    <w:rsid w:val="009865AD"/>
    <w:rsid w:val="00990AD6"/>
    <w:rsid w:val="00991102"/>
    <w:rsid w:val="0099132A"/>
    <w:rsid w:val="0099141A"/>
    <w:rsid w:val="00991FEA"/>
    <w:rsid w:val="0099214B"/>
    <w:rsid w:val="00992D06"/>
    <w:rsid w:val="009933E9"/>
    <w:rsid w:val="00994110"/>
    <w:rsid w:val="0099492B"/>
    <w:rsid w:val="00994A5A"/>
    <w:rsid w:val="00994E61"/>
    <w:rsid w:val="00996B85"/>
    <w:rsid w:val="00996D67"/>
    <w:rsid w:val="00997363"/>
    <w:rsid w:val="00997383"/>
    <w:rsid w:val="0099780B"/>
    <w:rsid w:val="00997F33"/>
    <w:rsid w:val="009A006B"/>
    <w:rsid w:val="009A01D3"/>
    <w:rsid w:val="009A229F"/>
    <w:rsid w:val="009A3229"/>
    <w:rsid w:val="009A442E"/>
    <w:rsid w:val="009A5414"/>
    <w:rsid w:val="009A5866"/>
    <w:rsid w:val="009A5FA5"/>
    <w:rsid w:val="009A63C9"/>
    <w:rsid w:val="009B17BE"/>
    <w:rsid w:val="009B2A01"/>
    <w:rsid w:val="009B2DEA"/>
    <w:rsid w:val="009B3982"/>
    <w:rsid w:val="009B58C7"/>
    <w:rsid w:val="009B719D"/>
    <w:rsid w:val="009C03E4"/>
    <w:rsid w:val="009C0A19"/>
    <w:rsid w:val="009C0B81"/>
    <w:rsid w:val="009C0BFC"/>
    <w:rsid w:val="009C1CE9"/>
    <w:rsid w:val="009C2ED8"/>
    <w:rsid w:val="009C3D0D"/>
    <w:rsid w:val="009C3D22"/>
    <w:rsid w:val="009C3DBE"/>
    <w:rsid w:val="009D2BB2"/>
    <w:rsid w:val="009D3243"/>
    <w:rsid w:val="009D38F5"/>
    <w:rsid w:val="009D51B7"/>
    <w:rsid w:val="009D5594"/>
    <w:rsid w:val="009D5685"/>
    <w:rsid w:val="009D5ECC"/>
    <w:rsid w:val="009D72AA"/>
    <w:rsid w:val="009E0409"/>
    <w:rsid w:val="009E287F"/>
    <w:rsid w:val="009E2AEA"/>
    <w:rsid w:val="009E2E95"/>
    <w:rsid w:val="009E3B53"/>
    <w:rsid w:val="009E4553"/>
    <w:rsid w:val="009E51F5"/>
    <w:rsid w:val="009E6615"/>
    <w:rsid w:val="009E729D"/>
    <w:rsid w:val="009E7F80"/>
    <w:rsid w:val="009F0852"/>
    <w:rsid w:val="009F0BFF"/>
    <w:rsid w:val="009F30DC"/>
    <w:rsid w:val="009F4028"/>
    <w:rsid w:val="009F53D7"/>
    <w:rsid w:val="009F579F"/>
    <w:rsid w:val="009F645E"/>
    <w:rsid w:val="009F64A1"/>
    <w:rsid w:val="009F6C69"/>
    <w:rsid w:val="009F7A4C"/>
    <w:rsid w:val="00A00662"/>
    <w:rsid w:val="00A007D6"/>
    <w:rsid w:val="00A023FD"/>
    <w:rsid w:val="00A02E9D"/>
    <w:rsid w:val="00A035CA"/>
    <w:rsid w:val="00A03C84"/>
    <w:rsid w:val="00A03DFE"/>
    <w:rsid w:val="00A040E0"/>
    <w:rsid w:val="00A0537B"/>
    <w:rsid w:val="00A056E7"/>
    <w:rsid w:val="00A06356"/>
    <w:rsid w:val="00A06CC2"/>
    <w:rsid w:val="00A06D5E"/>
    <w:rsid w:val="00A11634"/>
    <w:rsid w:val="00A11A84"/>
    <w:rsid w:val="00A11F32"/>
    <w:rsid w:val="00A13A9C"/>
    <w:rsid w:val="00A1413C"/>
    <w:rsid w:val="00A1487A"/>
    <w:rsid w:val="00A14A18"/>
    <w:rsid w:val="00A15170"/>
    <w:rsid w:val="00A201F7"/>
    <w:rsid w:val="00A20E55"/>
    <w:rsid w:val="00A210D0"/>
    <w:rsid w:val="00A237CE"/>
    <w:rsid w:val="00A238A4"/>
    <w:rsid w:val="00A24581"/>
    <w:rsid w:val="00A24B81"/>
    <w:rsid w:val="00A254F4"/>
    <w:rsid w:val="00A2674D"/>
    <w:rsid w:val="00A26D3A"/>
    <w:rsid w:val="00A270C9"/>
    <w:rsid w:val="00A347E4"/>
    <w:rsid w:val="00A34D0D"/>
    <w:rsid w:val="00A36C38"/>
    <w:rsid w:val="00A37AC5"/>
    <w:rsid w:val="00A37E4F"/>
    <w:rsid w:val="00A41764"/>
    <w:rsid w:val="00A42241"/>
    <w:rsid w:val="00A4474D"/>
    <w:rsid w:val="00A5085F"/>
    <w:rsid w:val="00A50993"/>
    <w:rsid w:val="00A50B9E"/>
    <w:rsid w:val="00A5140A"/>
    <w:rsid w:val="00A51CAA"/>
    <w:rsid w:val="00A52947"/>
    <w:rsid w:val="00A5367B"/>
    <w:rsid w:val="00A54B75"/>
    <w:rsid w:val="00A557B7"/>
    <w:rsid w:val="00A55A7D"/>
    <w:rsid w:val="00A55EDD"/>
    <w:rsid w:val="00A55FE5"/>
    <w:rsid w:val="00A56B6F"/>
    <w:rsid w:val="00A60F3D"/>
    <w:rsid w:val="00A61AB7"/>
    <w:rsid w:val="00A62B47"/>
    <w:rsid w:val="00A63140"/>
    <w:rsid w:val="00A6490C"/>
    <w:rsid w:val="00A650A9"/>
    <w:rsid w:val="00A65B66"/>
    <w:rsid w:val="00A663DC"/>
    <w:rsid w:val="00A66462"/>
    <w:rsid w:val="00A6660F"/>
    <w:rsid w:val="00A666B1"/>
    <w:rsid w:val="00A669A1"/>
    <w:rsid w:val="00A67C1A"/>
    <w:rsid w:val="00A7096C"/>
    <w:rsid w:val="00A70E79"/>
    <w:rsid w:val="00A72C6A"/>
    <w:rsid w:val="00A7478D"/>
    <w:rsid w:val="00A771BF"/>
    <w:rsid w:val="00A7739A"/>
    <w:rsid w:val="00A77B4A"/>
    <w:rsid w:val="00A80080"/>
    <w:rsid w:val="00A81900"/>
    <w:rsid w:val="00A81C8E"/>
    <w:rsid w:val="00A82E8A"/>
    <w:rsid w:val="00A834BB"/>
    <w:rsid w:val="00A8625A"/>
    <w:rsid w:val="00A86738"/>
    <w:rsid w:val="00A87096"/>
    <w:rsid w:val="00A871C5"/>
    <w:rsid w:val="00A90C9A"/>
    <w:rsid w:val="00A90D56"/>
    <w:rsid w:val="00A91809"/>
    <w:rsid w:val="00A91E2B"/>
    <w:rsid w:val="00A940E3"/>
    <w:rsid w:val="00A94AAD"/>
    <w:rsid w:val="00A95634"/>
    <w:rsid w:val="00A97196"/>
    <w:rsid w:val="00A971C2"/>
    <w:rsid w:val="00AA033D"/>
    <w:rsid w:val="00AA0C4A"/>
    <w:rsid w:val="00AA21CA"/>
    <w:rsid w:val="00AA3EFE"/>
    <w:rsid w:val="00AA3FD5"/>
    <w:rsid w:val="00AA5D25"/>
    <w:rsid w:val="00AA5F19"/>
    <w:rsid w:val="00AA68B6"/>
    <w:rsid w:val="00AA7C2C"/>
    <w:rsid w:val="00AB02E3"/>
    <w:rsid w:val="00AB1B3D"/>
    <w:rsid w:val="00AB2AD9"/>
    <w:rsid w:val="00AB4E11"/>
    <w:rsid w:val="00AB5AA7"/>
    <w:rsid w:val="00AB6CB0"/>
    <w:rsid w:val="00AB752B"/>
    <w:rsid w:val="00AC0719"/>
    <w:rsid w:val="00AC0835"/>
    <w:rsid w:val="00AC0849"/>
    <w:rsid w:val="00AC295F"/>
    <w:rsid w:val="00AC2FE4"/>
    <w:rsid w:val="00AC31AC"/>
    <w:rsid w:val="00AC3DAE"/>
    <w:rsid w:val="00AC510F"/>
    <w:rsid w:val="00AC6544"/>
    <w:rsid w:val="00AC6C10"/>
    <w:rsid w:val="00AC7401"/>
    <w:rsid w:val="00AC7531"/>
    <w:rsid w:val="00AC7620"/>
    <w:rsid w:val="00AD1B7C"/>
    <w:rsid w:val="00AD2736"/>
    <w:rsid w:val="00AD2EB3"/>
    <w:rsid w:val="00AD320E"/>
    <w:rsid w:val="00AD375F"/>
    <w:rsid w:val="00AD3CB2"/>
    <w:rsid w:val="00AD464D"/>
    <w:rsid w:val="00AD5F5B"/>
    <w:rsid w:val="00AD7915"/>
    <w:rsid w:val="00AE22EA"/>
    <w:rsid w:val="00AE3334"/>
    <w:rsid w:val="00AE3EBB"/>
    <w:rsid w:val="00AE4469"/>
    <w:rsid w:val="00AE44BD"/>
    <w:rsid w:val="00AE7800"/>
    <w:rsid w:val="00AE7A4A"/>
    <w:rsid w:val="00AF0438"/>
    <w:rsid w:val="00AF121D"/>
    <w:rsid w:val="00AF12FF"/>
    <w:rsid w:val="00AF1581"/>
    <w:rsid w:val="00AF285C"/>
    <w:rsid w:val="00AF2D44"/>
    <w:rsid w:val="00AF6591"/>
    <w:rsid w:val="00AF69E7"/>
    <w:rsid w:val="00AF6B5A"/>
    <w:rsid w:val="00AF71DB"/>
    <w:rsid w:val="00B00463"/>
    <w:rsid w:val="00B008E0"/>
    <w:rsid w:val="00B014C8"/>
    <w:rsid w:val="00B01843"/>
    <w:rsid w:val="00B01AD5"/>
    <w:rsid w:val="00B033C3"/>
    <w:rsid w:val="00B03851"/>
    <w:rsid w:val="00B04591"/>
    <w:rsid w:val="00B04D57"/>
    <w:rsid w:val="00B05703"/>
    <w:rsid w:val="00B062A4"/>
    <w:rsid w:val="00B06EB8"/>
    <w:rsid w:val="00B10BFE"/>
    <w:rsid w:val="00B110ED"/>
    <w:rsid w:val="00B11A58"/>
    <w:rsid w:val="00B11CC0"/>
    <w:rsid w:val="00B12703"/>
    <w:rsid w:val="00B13904"/>
    <w:rsid w:val="00B1578B"/>
    <w:rsid w:val="00B15CD0"/>
    <w:rsid w:val="00B15F85"/>
    <w:rsid w:val="00B165B7"/>
    <w:rsid w:val="00B1796F"/>
    <w:rsid w:val="00B20E53"/>
    <w:rsid w:val="00B21F63"/>
    <w:rsid w:val="00B227A0"/>
    <w:rsid w:val="00B2439F"/>
    <w:rsid w:val="00B248A6"/>
    <w:rsid w:val="00B24EDB"/>
    <w:rsid w:val="00B27B1F"/>
    <w:rsid w:val="00B30275"/>
    <w:rsid w:val="00B31107"/>
    <w:rsid w:val="00B31561"/>
    <w:rsid w:val="00B35198"/>
    <w:rsid w:val="00B36574"/>
    <w:rsid w:val="00B3666F"/>
    <w:rsid w:val="00B36916"/>
    <w:rsid w:val="00B3750A"/>
    <w:rsid w:val="00B3756A"/>
    <w:rsid w:val="00B40EB3"/>
    <w:rsid w:val="00B41277"/>
    <w:rsid w:val="00B42B3B"/>
    <w:rsid w:val="00B45F4E"/>
    <w:rsid w:val="00B46127"/>
    <w:rsid w:val="00B47DF4"/>
    <w:rsid w:val="00B502A0"/>
    <w:rsid w:val="00B502BE"/>
    <w:rsid w:val="00B51FC8"/>
    <w:rsid w:val="00B53186"/>
    <w:rsid w:val="00B53DFF"/>
    <w:rsid w:val="00B55D02"/>
    <w:rsid w:val="00B55DD0"/>
    <w:rsid w:val="00B5659F"/>
    <w:rsid w:val="00B5742F"/>
    <w:rsid w:val="00B5785C"/>
    <w:rsid w:val="00B60284"/>
    <w:rsid w:val="00B602D2"/>
    <w:rsid w:val="00B614E9"/>
    <w:rsid w:val="00B61961"/>
    <w:rsid w:val="00B61ACF"/>
    <w:rsid w:val="00B633C8"/>
    <w:rsid w:val="00B6463D"/>
    <w:rsid w:val="00B649DA"/>
    <w:rsid w:val="00B65427"/>
    <w:rsid w:val="00B65ADD"/>
    <w:rsid w:val="00B6672A"/>
    <w:rsid w:val="00B671B6"/>
    <w:rsid w:val="00B678D8"/>
    <w:rsid w:val="00B71912"/>
    <w:rsid w:val="00B72393"/>
    <w:rsid w:val="00B729DA"/>
    <w:rsid w:val="00B73B21"/>
    <w:rsid w:val="00B75812"/>
    <w:rsid w:val="00B75C26"/>
    <w:rsid w:val="00B77F29"/>
    <w:rsid w:val="00B81758"/>
    <w:rsid w:val="00B83DEE"/>
    <w:rsid w:val="00B85371"/>
    <w:rsid w:val="00B85A65"/>
    <w:rsid w:val="00B86036"/>
    <w:rsid w:val="00B87289"/>
    <w:rsid w:val="00B872FA"/>
    <w:rsid w:val="00B87550"/>
    <w:rsid w:val="00B9075E"/>
    <w:rsid w:val="00B90C70"/>
    <w:rsid w:val="00B90FE5"/>
    <w:rsid w:val="00B913A8"/>
    <w:rsid w:val="00B925CB"/>
    <w:rsid w:val="00B9384C"/>
    <w:rsid w:val="00B93999"/>
    <w:rsid w:val="00B93A29"/>
    <w:rsid w:val="00B93EA9"/>
    <w:rsid w:val="00B93F07"/>
    <w:rsid w:val="00B945A3"/>
    <w:rsid w:val="00B95198"/>
    <w:rsid w:val="00B95D14"/>
    <w:rsid w:val="00B961BF"/>
    <w:rsid w:val="00B96239"/>
    <w:rsid w:val="00B97049"/>
    <w:rsid w:val="00BA5DB2"/>
    <w:rsid w:val="00BA733B"/>
    <w:rsid w:val="00BA7E45"/>
    <w:rsid w:val="00BB1494"/>
    <w:rsid w:val="00BB2B8B"/>
    <w:rsid w:val="00BB2C00"/>
    <w:rsid w:val="00BB38CB"/>
    <w:rsid w:val="00BB4D69"/>
    <w:rsid w:val="00BB515A"/>
    <w:rsid w:val="00BB681A"/>
    <w:rsid w:val="00BB6D06"/>
    <w:rsid w:val="00BB7C76"/>
    <w:rsid w:val="00BB7DC0"/>
    <w:rsid w:val="00BC0298"/>
    <w:rsid w:val="00BC059C"/>
    <w:rsid w:val="00BC075B"/>
    <w:rsid w:val="00BC130D"/>
    <w:rsid w:val="00BC2AD1"/>
    <w:rsid w:val="00BC2CE6"/>
    <w:rsid w:val="00BC4766"/>
    <w:rsid w:val="00BC4E89"/>
    <w:rsid w:val="00BC70CE"/>
    <w:rsid w:val="00BC7DA8"/>
    <w:rsid w:val="00BD16F3"/>
    <w:rsid w:val="00BD2E3C"/>
    <w:rsid w:val="00BD5020"/>
    <w:rsid w:val="00BD5563"/>
    <w:rsid w:val="00BD591D"/>
    <w:rsid w:val="00BD65E5"/>
    <w:rsid w:val="00BD6836"/>
    <w:rsid w:val="00BD68C8"/>
    <w:rsid w:val="00BE17EC"/>
    <w:rsid w:val="00BE5DE6"/>
    <w:rsid w:val="00BE7DEA"/>
    <w:rsid w:val="00BF05A1"/>
    <w:rsid w:val="00BF0C30"/>
    <w:rsid w:val="00BF2FEB"/>
    <w:rsid w:val="00BF2FF7"/>
    <w:rsid w:val="00BF356F"/>
    <w:rsid w:val="00BF3A7A"/>
    <w:rsid w:val="00BF3DF2"/>
    <w:rsid w:val="00BF3E22"/>
    <w:rsid w:val="00BF4DB6"/>
    <w:rsid w:val="00BF5660"/>
    <w:rsid w:val="00C02FD9"/>
    <w:rsid w:val="00C03CC6"/>
    <w:rsid w:val="00C03CE6"/>
    <w:rsid w:val="00C063C2"/>
    <w:rsid w:val="00C07268"/>
    <w:rsid w:val="00C1082A"/>
    <w:rsid w:val="00C11EDE"/>
    <w:rsid w:val="00C122A1"/>
    <w:rsid w:val="00C1260D"/>
    <w:rsid w:val="00C1482E"/>
    <w:rsid w:val="00C14A7D"/>
    <w:rsid w:val="00C15464"/>
    <w:rsid w:val="00C205C2"/>
    <w:rsid w:val="00C20F52"/>
    <w:rsid w:val="00C21357"/>
    <w:rsid w:val="00C21B33"/>
    <w:rsid w:val="00C228A0"/>
    <w:rsid w:val="00C22AA5"/>
    <w:rsid w:val="00C22DE1"/>
    <w:rsid w:val="00C23CA0"/>
    <w:rsid w:val="00C24B81"/>
    <w:rsid w:val="00C2558D"/>
    <w:rsid w:val="00C26AB8"/>
    <w:rsid w:val="00C26C48"/>
    <w:rsid w:val="00C26C88"/>
    <w:rsid w:val="00C300F6"/>
    <w:rsid w:val="00C30DBB"/>
    <w:rsid w:val="00C32902"/>
    <w:rsid w:val="00C32B43"/>
    <w:rsid w:val="00C3436D"/>
    <w:rsid w:val="00C35664"/>
    <w:rsid w:val="00C35CB0"/>
    <w:rsid w:val="00C37909"/>
    <w:rsid w:val="00C4083B"/>
    <w:rsid w:val="00C4192F"/>
    <w:rsid w:val="00C430E2"/>
    <w:rsid w:val="00C4357E"/>
    <w:rsid w:val="00C455C7"/>
    <w:rsid w:val="00C45635"/>
    <w:rsid w:val="00C46405"/>
    <w:rsid w:val="00C46407"/>
    <w:rsid w:val="00C476BD"/>
    <w:rsid w:val="00C4778E"/>
    <w:rsid w:val="00C47974"/>
    <w:rsid w:val="00C50E6E"/>
    <w:rsid w:val="00C51C3F"/>
    <w:rsid w:val="00C52573"/>
    <w:rsid w:val="00C52593"/>
    <w:rsid w:val="00C53493"/>
    <w:rsid w:val="00C54204"/>
    <w:rsid w:val="00C5428F"/>
    <w:rsid w:val="00C54735"/>
    <w:rsid w:val="00C56F9F"/>
    <w:rsid w:val="00C600AB"/>
    <w:rsid w:val="00C6010D"/>
    <w:rsid w:val="00C61FC7"/>
    <w:rsid w:val="00C62E1E"/>
    <w:rsid w:val="00C63294"/>
    <w:rsid w:val="00C633A1"/>
    <w:rsid w:val="00C6363B"/>
    <w:rsid w:val="00C65A96"/>
    <w:rsid w:val="00C667FA"/>
    <w:rsid w:val="00C677AB"/>
    <w:rsid w:val="00C728FE"/>
    <w:rsid w:val="00C73954"/>
    <w:rsid w:val="00C744FB"/>
    <w:rsid w:val="00C75123"/>
    <w:rsid w:val="00C77051"/>
    <w:rsid w:val="00C77366"/>
    <w:rsid w:val="00C77C72"/>
    <w:rsid w:val="00C81858"/>
    <w:rsid w:val="00C82A4C"/>
    <w:rsid w:val="00C842E2"/>
    <w:rsid w:val="00C8635F"/>
    <w:rsid w:val="00C907A5"/>
    <w:rsid w:val="00C90EDC"/>
    <w:rsid w:val="00C9214D"/>
    <w:rsid w:val="00C9418A"/>
    <w:rsid w:val="00C9625B"/>
    <w:rsid w:val="00C96F54"/>
    <w:rsid w:val="00CA0904"/>
    <w:rsid w:val="00CA0ADB"/>
    <w:rsid w:val="00CA1DD3"/>
    <w:rsid w:val="00CA3448"/>
    <w:rsid w:val="00CA4A4B"/>
    <w:rsid w:val="00CA5910"/>
    <w:rsid w:val="00CA5D9C"/>
    <w:rsid w:val="00CA6359"/>
    <w:rsid w:val="00CB2AA5"/>
    <w:rsid w:val="00CB32B4"/>
    <w:rsid w:val="00CB6457"/>
    <w:rsid w:val="00CB68F0"/>
    <w:rsid w:val="00CB70E9"/>
    <w:rsid w:val="00CB7E5E"/>
    <w:rsid w:val="00CC09DB"/>
    <w:rsid w:val="00CC10EB"/>
    <w:rsid w:val="00CC1B79"/>
    <w:rsid w:val="00CC1CC7"/>
    <w:rsid w:val="00CC2493"/>
    <w:rsid w:val="00CC2553"/>
    <w:rsid w:val="00CC2C80"/>
    <w:rsid w:val="00CC4914"/>
    <w:rsid w:val="00CC66C5"/>
    <w:rsid w:val="00CD0681"/>
    <w:rsid w:val="00CD1F2F"/>
    <w:rsid w:val="00CD25AF"/>
    <w:rsid w:val="00CD295B"/>
    <w:rsid w:val="00CD310D"/>
    <w:rsid w:val="00CD36ED"/>
    <w:rsid w:val="00CD4DAF"/>
    <w:rsid w:val="00CD4DF7"/>
    <w:rsid w:val="00CD5DFA"/>
    <w:rsid w:val="00CD65AE"/>
    <w:rsid w:val="00CD78C4"/>
    <w:rsid w:val="00CE02A2"/>
    <w:rsid w:val="00CE0E83"/>
    <w:rsid w:val="00CE11E9"/>
    <w:rsid w:val="00CE368D"/>
    <w:rsid w:val="00CE3A3C"/>
    <w:rsid w:val="00CE3B6E"/>
    <w:rsid w:val="00CE7211"/>
    <w:rsid w:val="00CE7447"/>
    <w:rsid w:val="00CF1074"/>
    <w:rsid w:val="00CF2660"/>
    <w:rsid w:val="00CF3457"/>
    <w:rsid w:val="00CF43F4"/>
    <w:rsid w:val="00CF6197"/>
    <w:rsid w:val="00D01F4D"/>
    <w:rsid w:val="00D01F95"/>
    <w:rsid w:val="00D02680"/>
    <w:rsid w:val="00D03031"/>
    <w:rsid w:val="00D03045"/>
    <w:rsid w:val="00D04898"/>
    <w:rsid w:val="00D057E8"/>
    <w:rsid w:val="00D065FB"/>
    <w:rsid w:val="00D06D9D"/>
    <w:rsid w:val="00D10068"/>
    <w:rsid w:val="00D10EDB"/>
    <w:rsid w:val="00D11713"/>
    <w:rsid w:val="00D12F16"/>
    <w:rsid w:val="00D1692B"/>
    <w:rsid w:val="00D1708A"/>
    <w:rsid w:val="00D17642"/>
    <w:rsid w:val="00D17CA2"/>
    <w:rsid w:val="00D17FA2"/>
    <w:rsid w:val="00D2033B"/>
    <w:rsid w:val="00D2058C"/>
    <w:rsid w:val="00D2192D"/>
    <w:rsid w:val="00D236F1"/>
    <w:rsid w:val="00D24A23"/>
    <w:rsid w:val="00D24D4C"/>
    <w:rsid w:val="00D25169"/>
    <w:rsid w:val="00D25A58"/>
    <w:rsid w:val="00D25DB0"/>
    <w:rsid w:val="00D2616D"/>
    <w:rsid w:val="00D2655C"/>
    <w:rsid w:val="00D26A62"/>
    <w:rsid w:val="00D26EF6"/>
    <w:rsid w:val="00D30CE4"/>
    <w:rsid w:val="00D31901"/>
    <w:rsid w:val="00D31C2B"/>
    <w:rsid w:val="00D3241C"/>
    <w:rsid w:val="00D32E80"/>
    <w:rsid w:val="00D334D5"/>
    <w:rsid w:val="00D340CC"/>
    <w:rsid w:val="00D37704"/>
    <w:rsid w:val="00D40597"/>
    <w:rsid w:val="00D412D0"/>
    <w:rsid w:val="00D415B5"/>
    <w:rsid w:val="00D41ECE"/>
    <w:rsid w:val="00D42142"/>
    <w:rsid w:val="00D42151"/>
    <w:rsid w:val="00D4355D"/>
    <w:rsid w:val="00D43729"/>
    <w:rsid w:val="00D44984"/>
    <w:rsid w:val="00D453C7"/>
    <w:rsid w:val="00D4658C"/>
    <w:rsid w:val="00D4767B"/>
    <w:rsid w:val="00D50795"/>
    <w:rsid w:val="00D507AA"/>
    <w:rsid w:val="00D50A42"/>
    <w:rsid w:val="00D51AF5"/>
    <w:rsid w:val="00D52233"/>
    <w:rsid w:val="00D54878"/>
    <w:rsid w:val="00D54E04"/>
    <w:rsid w:val="00D57389"/>
    <w:rsid w:val="00D57DEE"/>
    <w:rsid w:val="00D60FF2"/>
    <w:rsid w:val="00D6163D"/>
    <w:rsid w:val="00D61C11"/>
    <w:rsid w:val="00D64421"/>
    <w:rsid w:val="00D65266"/>
    <w:rsid w:val="00D654D5"/>
    <w:rsid w:val="00D661E0"/>
    <w:rsid w:val="00D66FF0"/>
    <w:rsid w:val="00D709BF"/>
    <w:rsid w:val="00D71094"/>
    <w:rsid w:val="00D72410"/>
    <w:rsid w:val="00D729C5"/>
    <w:rsid w:val="00D72A2D"/>
    <w:rsid w:val="00D72E67"/>
    <w:rsid w:val="00D74D98"/>
    <w:rsid w:val="00D74EB4"/>
    <w:rsid w:val="00D74F8C"/>
    <w:rsid w:val="00D75821"/>
    <w:rsid w:val="00D75C2C"/>
    <w:rsid w:val="00D76553"/>
    <w:rsid w:val="00D769D0"/>
    <w:rsid w:val="00D76D77"/>
    <w:rsid w:val="00D77498"/>
    <w:rsid w:val="00D77D66"/>
    <w:rsid w:val="00D81A09"/>
    <w:rsid w:val="00D81ADC"/>
    <w:rsid w:val="00D81B8F"/>
    <w:rsid w:val="00D82306"/>
    <w:rsid w:val="00D84365"/>
    <w:rsid w:val="00D84EAA"/>
    <w:rsid w:val="00D861FF"/>
    <w:rsid w:val="00D875F5"/>
    <w:rsid w:val="00D90072"/>
    <w:rsid w:val="00D91806"/>
    <w:rsid w:val="00D93918"/>
    <w:rsid w:val="00D94468"/>
    <w:rsid w:val="00D948D2"/>
    <w:rsid w:val="00D94B6B"/>
    <w:rsid w:val="00D96A20"/>
    <w:rsid w:val="00DA0344"/>
    <w:rsid w:val="00DA0C61"/>
    <w:rsid w:val="00DA0F38"/>
    <w:rsid w:val="00DA2BB4"/>
    <w:rsid w:val="00DA3C31"/>
    <w:rsid w:val="00DA6713"/>
    <w:rsid w:val="00DA6933"/>
    <w:rsid w:val="00DB07C1"/>
    <w:rsid w:val="00DB26A8"/>
    <w:rsid w:val="00DB466C"/>
    <w:rsid w:val="00DB481C"/>
    <w:rsid w:val="00DB5468"/>
    <w:rsid w:val="00DB59F5"/>
    <w:rsid w:val="00DB5B81"/>
    <w:rsid w:val="00DB60F9"/>
    <w:rsid w:val="00DB787B"/>
    <w:rsid w:val="00DC085C"/>
    <w:rsid w:val="00DC0E47"/>
    <w:rsid w:val="00DC2257"/>
    <w:rsid w:val="00DC3266"/>
    <w:rsid w:val="00DC37B2"/>
    <w:rsid w:val="00DC43C5"/>
    <w:rsid w:val="00DC4B85"/>
    <w:rsid w:val="00DC4F76"/>
    <w:rsid w:val="00DD1F7E"/>
    <w:rsid w:val="00DD3AC1"/>
    <w:rsid w:val="00DD407A"/>
    <w:rsid w:val="00DD42EC"/>
    <w:rsid w:val="00DD493E"/>
    <w:rsid w:val="00DD4C39"/>
    <w:rsid w:val="00DD704E"/>
    <w:rsid w:val="00DD789A"/>
    <w:rsid w:val="00DD7935"/>
    <w:rsid w:val="00DD7C61"/>
    <w:rsid w:val="00DE0462"/>
    <w:rsid w:val="00DE1749"/>
    <w:rsid w:val="00DE2295"/>
    <w:rsid w:val="00DE22A0"/>
    <w:rsid w:val="00DE3CA9"/>
    <w:rsid w:val="00DE3FC8"/>
    <w:rsid w:val="00DE549C"/>
    <w:rsid w:val="00DE54EC"/>
    <w:rsid w:val="00DE60C9"/>
    <w:rsid w:val="00DE6CDA"/>
    <w:rsid w:val="00DF06FC"/>
    <w:rsid w:val="00DF0900"/>
    <w:rsid w:val="00DF1A12"/>
    <w:rsid w:val="00DF239C"/>
    <w:rsid w:val="00DF40A0"/>
    <w:rsid w:val="00DF6725"/>
    <w:rsid w:val="00DF67F3"/>
    <w:rsid w:val="00E001B0"/>
    <w:rsid w:val="00E0030F"/>
    <w:rsid w:val="00E0156A"/>
    <w:rsid w:val="00E01FC8"/>
    <w:rsid w:val="00E0234A"/>
    <w:rsid w:val="00E02707"/>
    <w:rsid w:val="00E04518"/>
    <w:rsid w:val="00E053C7"/>
    <w:rsid w:val="00E06E9D"/>
    <w:rsid w:val="00E0728A"/>
    <w:rsid w:val="00E0752C"/>
    <w:rsid w:val="00E1025F"/>
    <w:rsid w:val="00E1263C"/>
    <w:rsid w:val="00E1390B"/>
    <w:rsid w:val="00E145BF"/>
    <w:rsid w:val="00E16026"/>
    <w:rsid w:val="00E17157"/>
    <w:rsid w:val="00E21494"/>
    <w:rsid w:val="00E21AFD"/>
    <w:rsid w:val="00E22B43"/>
    <w:rsid w:val="00E2341A"/>
    <w:rsid w:val="00E23CEA"/>
    <w:rsid w:val="00E246D0"/>
    <w:rsid w:val="00E24E4E"/>
    <w:rsid w:val="00E2515B"/>
    <w:rsid w:val="00E25EC1"/>
    <w:rsid w:val="00E25FAD"/>
    <w:rsid w:val="00E26254"/>
    <w:rsid w:val="00E27617"/>
    <w:rsid w:val="00E278C9"/>
    <w:rsid w:val="00E300C2"/>
    <w:rsid w:val="00E3035D"/>
    <w:rsid w:val="00E31517"/>
    <w:rsid w:val="00E31D5C"/>
    <w:rsid w:val="00E31FE2"/>
    <w:rsid w:val="00E34F92"/>
    <w:rsid w:val="00E350D9"/>
    <w:rsid w:val="00E362BC"/>
    <w:rsid w:val="00E36B5E"/>
    <w:rsid w:val="00E3735D"/>
    <w:rsid w:val="00E37FBD"/>
    <w:rsid w:val="00E40344"/>
    <w:rsid w:val="00E41031"/>
    <w:rsid w:val="00E426DE"/>
    <w:rsid w:val="00E42BED"/>
    <w:rsid w:val="00E449CA"/>
    <w:rsid w:val="00E45448"/>
    <w:rsid w:val="00E47361"/>
    <w:rsid w:val="00E4754D"/>
    <w:rsid w:val="00E47B66"/>
    <w:rsid w:val="00E5058C"/>
    <w:rsid w:val="00E50D39"/>
    <w:rsid w:val="00E533CE"/>
    <w:rsid w:val="00E53908"/>
    <w:rsid w:val="00E53E96"/>
    <w:rsid w:val="00E54807"/>
    <w:rsid w:val="00E56FBB"/>
    <w:rsid w:val="00E60197"/>
    <w:rsid w:val="00E601C5"/>
    <w:rsid w:val="00E62863"/>
    <w:rsid w:val="00E64017"/>
    <w:rsid w:val="00E645EF"/>
    <w:rsid w:val="00E64A56"/>
    <w:rsid w:val="00E64C10"/>
    <w:rsid w:val="00E64D2A"/>
    <w:rsid w:val="00E65177"/>
    <w:rsid w:val="00E65E95"/>
    <w:rsid w:val="00E67830"/>
    <w:rsid w:val="00E67DCC"/>
    <w:rsid w:val="00E67F25"/>
    <w:rsid w:val="00E705A8"/>
    <w:rsid w:val="00E71384"/>
    <w:rsid w:val="00E717B3"/>
    <w:rsid w:val="00E719CC"/>
    <w:rsid w:val="00E7227C"/>
    <w:rsid w:val="00E72AE8"/>
    <w:rsid w:val="00E72C7A"/>
    <w:rsid w:val="00E7580B"/>
    <w:rsid w:val="00E75ACB"/>
    <w:rsid w:val="00E77A56"/>
    <w:rsid w:val="00E81983"/>
    <w:rsid w:val="00E81DDE"/>
    <w:rsid w:val="00E835F5"/>
    <w:rsid w:val="00E8557F"/>
    <w:rsid w:val="00E85A5F"/>
    <w:rsid w:val="00E86B28"/>
    <w:rsid w:val="00E87486"/>
    <w:rsid w:val="00E87C6F"/>
    <w:rsid w:val="00E90845"/>
    <w:rsid w:val="00E90A02"/>
    <w:rsid w:val="00E90F80"/>
    <w:rsid w:val="00E91570"/>
    <w:rsid w:val="00E91C1E"/>
    <w:rsid w:val="00E92108"/>
    <w:rsid w:val="00E94CA1"/>
    <w:rsid w:val="00E95664"/>
    <w:rsid w:val="00E95C2D"/>
    <w:rsid w:val="00E95F91"/>
    <w:rsid w:val="00E96BBE"/>
    <w:rsid w:val="00EA01CF"/>
    <w:rsid w:val="00EA0A46"/>
    <w:rsid w:val="00EA0D8C"/>
    <w:rsid w:val="00EA0E7A"/>
    <w:rsid w:val="00EA2174"/>
    <w:rsid w:val="00EA4022"/>
    <w:rsid w:val="00EA7DBF"/>
    <w:rsid w:val="00EB3256"/>
    <w:rsid w:val="00EB38D6"/>
    <w:rsid w:val="00EB45CE"/>
    <w:rsid w:val="00EC220C"/>
    <w:rsid w:val="00EC4E20"/>
    <w:rsid w:val="00EC4E87"/>
    <w:rsid w:val="00EC5E2B"/>
    <w:rsid w:val="00EC6DAE"/>
    <w:rsid w:val="00EC77C4"/>
    <w:rsid w:val="00EC79F1"/>
    <w:rsid w:val="00ED06F3"/>
    <w:rsid w:val="00ED077D"/>
    <w:rsid w:val="00ED082B"/>
    <w:rsid w:val="00ED1375"/>
    <w:rsid w:val="00ED3B85"/>
    <w:rsid w:val="00ED55DA"/>
    <w:rsid w:val="00ED56B2"/>
    <w:rsid w:val="00ED5E0C"/>
    <w:rsid w:val="00ED768B"/>
    <w:rsid w:val="00EE12D6"/>
    <w:rsid w:val="00EE1C7A"/>
    <w:rsid w:val="00EE2AF1"/>
    <w:rsid w:val="00EE37B1"/>
    <w:rsid w:val="00EE4E11"/>
    <w:rsid w:val="00EE58C0"/>
    <w:rsid w:val="00EE5AE0"/>
    <w:rsid w:val="00EE63DE"/>
    <w:rsid w:val="00EE66C3"/>
    <w:rsid w:val="00EF0636"/>
    <w:rsid w:val="00EF0B33"/>
    <w:rsid w:val="00EF0E11"/>
    <w:rsid w:val="00EF2040"/>
    <w:rsid w:val="00EF4378"/>
    <w:rsid w:val="00EF56FF"/>
    <w:rsid w:val="00EF590C"/>
    <w:rsid w:val="00EF6093"/>
    <w:rsid w:val="00EF63A0"/>
    <w:rsid w:val="00EF655A"/>
    <w:rsid w:val="00EF78D2"/>
    <w:rsid w:val="00EF7D03"/>
    <w:rsid w:val="00EF7D9A"/>
    <w:rsid w:val="00F017C7"/>
    <w:rsid w:val="00F018D4"/>
    <w:rsid w:val="00F0373E"/>
    <w:rsid w:val="00F04D34"/>
    <w:rsid w:val="00F055A2"/>
    <w:rsid w:val="00F05F20"/>
    <w:rsid w:val="00F071F2"/>
    <w:rsid w:val="00F105A7"/>
    <w:rsid w:val="00F143DC"/>
    <w:rsid w:val="00F14883"/>
    <w:rsid w:val="00F14D69"/>
    <w:rsid w:val="00F15AAA"/>
    <w:rsid w:val="00F15C1A"/>
    <w:rsid w:val="00F17211"/>
    <w:rsid w:val="00F20310"/>
    <w:rsid w:val="00F20D40"/>
    <w:rsid w:val="00F21789"/>
    <w:rsid w:val="00F21E86"/>
    <w:rsid w:val="00F22625"/>
    <w:rsid w:val="00F250E9"/>
    <w:rsid w:val="00F2523D"/>
    <w:rsid w:val="00F255DB"/>
    <w:rsid w:val="00F30424"/>
    <w:rsid w:val="00F31240"/>
    <w:rsid w:val="00F318E8"/>
    <w:rsid w:val="00F32BE5"/>
    <w:rsid w:val="00F32C7A"/>
    <w:rsid w:val="00F33499"/>
    <w:rsid w:val="00F33971"/>
    <w:rsid w:val="00F33E2F"/>
    <w:rsid w:val="00F34212"/>
    <w:rsid w:val="00F350C7"/>
    <w:rsid w:val="00F3557B"/>
    <w:rsid w:val="00F37499"/>
    <w:rsid w:val="00F37847"/>
    <w:rsid w:val="00F3785C"/>
    <w:rsid w:val="00F3796A"/>
    <w:rsid w:val="00F40141"/>
    <w:rsid w:val="00F412A4"/>
    <w:rsid w:val="00F4144D"/>
    <w:rsid w:val="00F414DE"/>
    <w:rsid w:val="00F41631"/>
    <w:rsid w:val="00F4180F"/>
    <w:rsid w:val="00F41AF2"/>
    <w:rsid w:val="00F420C5"/>
    <w:rsid w:val="00F42D60"/>
    <w:rsid w:val="00F4443C"/>
    <w:rsid w:val="00F446FA"/>
    <w:rsid w:val="00F450D1"/>
    <w:rsid w:val="00F46021"/>
    <w:rsid w:val="00F465FA"/>
    <w:rsid w:val="00F46B8D"/>
    <w:rsid w:val="00F46FD3"/>
    <w:rsid w:val="00F470F2"/>
    <w:rsid w:val="00F519AC"/>
    <w:rsid w:val="00F524CA"/>
    <w:rsid w:val="00F53A93"/>
    <w:rsid w:val="00F570AE"/>
    <w:rsid w:val="00F57E74"/>
    <w:rsid w:val="00F6001D"/>
    <w:rsid w:val="00F601F1"/>
    <w:rsid w:val="00F61580"/>
    <w:rsid w:val="00F617CE"/>
    <w:rsid w:val="00F61843"/>
    <w:rsid w:val="00F61A48"/>
    <w:rsid w:val="00F61AE0"/>
    <w:rsid w:val="00F63BB2"/>
    <w:rsid w:val="00F64D58"/>
    <w:rsid w:val="00F65875"/>
    <w:rsid w:val="00F667D4"/>
    <w:rsid w:val="00F66F68"/>
    <w:rsid w:val="00F67232"/>
    <w:rsid w:val="00F70675"/>
    <w:rsid w:val="00F70782"/>
    <w:rsid w:val="00F714F5"/>
    <w:rsid w:val="00F71B58"/>
    <w:rsid w:val="00F7375F"/>
    <w:rsid w:val="00F73AB0"/>
    <w:rsid w:val="00F73C6D"/>
    <w:rsid w:val="00F73D8A"/>
    <w:rsid w:val="00F75E1F"/>
    <w:rsid w:val="00F8045B"/>
    <w:rsid w:val="00F851A0"/>
    <w:rsid w:val="00F85534"/>
    <w:rsid w:val="00F86B44"/>
    <w:rsid w:val="00F87FD1"/>
    <w:rsid w:val="00F908CB"/>
    <w:rsid w:val="00F91472"/>
    <w:rsid w:val="00F91D7E"/>
    <w:rsid w:val="00F92051"/>
    <w:rsid w:val="00F920EC"/>
    <w:rsid w:val="00F93478"/>
    <w:rsid w:val="00F9390A"/>
    <w:rsid w:val="00F951F6"/>
    <w:rsid w:val="00F956CC"/>
    <w:rsid w:val="00F95FED"/>
    <w:rsid w:val="00F96CD8"/>
    <w:rsid w:val="00F97E24"/>
    <w:rsid w:val="00FA040C"/>
    <w:rsid w:val="00FA1F2C"/>
    <w:rsid w:val="00FA2C3B"/>
    <w:rsid w:val="00FA5917"/>
    <w:rsid w:val="00FA7F6C"/>
    <w:rsid w:val="00FB2C70"/>
    <w:rsid w:val="00FB2DD2"/>
    <w:rsid w:val="00FB6044"/>
    <w:rsid w:val="00FB673D"/>
    <w:rsid w:val="00FB6FDE"/>
    <w:rsid w:val="00FB762B"/>
    <w:rsid w:val="00FC0C6B"/>
    <w:rsid w:val="00FC1CA2"/>
    <w:rsid w:val="00FC232D"/>
    <w:rsid w:val="00FC346F"/>
    <w:rsid w:val="00FC3573"/>
    <w:rsid w:val="00FC3A82"/>
    <w:rsid w:val="00FC3DD0"/>
    <w:rsid w:val="00FC4E84"/>
    <w:rsid w:val="00FC60D0"/>
    <w:rsid w:val="00FC635D"/>
    <w:rsid w:val="00FC6BF0"/>
    <w:rsid w:val="00FD0F9E"/>
    <w:rsid w:val="00FD108A"/>
    <w:rsid w:val="00FD18A2"/>
    <w:rsid w:val="00FD1E1C"/>
    <w:rsid w:val="00FD22C1"/>
    <w:rsid w:val="00FD23C7"/>
    <w:rsid w:val="00FD2460"/>
    <w:rsid w:val="00FD2C1E"/>
    <w:rsid w:val="00FD3401"/>
    <w:rsid w:val="00FD4FF4"/>
    <w:rsid w:val="00FD56F1"/>
    <w:rsid w:val="00FD66C8"/>
    <w:rsid w:val="00FD6C3B"/>
    <w:rsid w:val="00FD6CB3"/>
    <w:rsid w:val="00FD75C5"/>
    <w:rsid w:val="00FD794F"/>
    <w:rsid w:val="00FE1B61"/>
    <w:rsid w:val="00FE35C3"/>
    <w:rsid w:val="00FE386E"/>
    <w:rsid w:val="00FE4DA9"/>
    <w:rsid w:val="00FE6577"/>
    <w:rsid w:val="00FE7939"/>
    <w:rsid w:val="00FE7AB5"/>
    <w:rsid w:val="00FE7B9C"/>
    <w:rsid w:val="00FF11C6"/>
    <w:rsid w:val="00FF13DD"/>
    <w:rsid w:val="00FF1CBC"/>
    <w:rsid w:val="00FF382C"/>
    <w:rsid w:val="00FF42F5"/>
    <w:rsid w:val="00FF56A5"/>
    <w:rsid w:val="00FF6B5E"/>
    <w:rsid w:val="00FF6BE2"/>
    <w:rsid w:val="00FF715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A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383"/>
  </w:style>
  <w:style w:type="paragraph" w:styleId="Heading1">
    <w:name w:val="heading 1"/>
    <w:basedOn w:val="Normal"/>
    <w:next w:val="Normal"/>
    <w:link w:val="Heading1Char"/>
    <w:uiPriority w:val="9"/>
    <w:qFormat/>
    <w:rsid w:val="007E3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5EB2"/>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732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52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5EB2"/>
    <w:rPr>
      <w:color w:val="0000FF"/>
      <w:u w:val="single"/>
    </w:rPr>
  </w:style>
  <w:style w:type="paragraph" w:styleId="TOC1">
    <w:name w:val="toc 1"/>
    <w:basedOn w:val="Normal"/>
    <w:next w:val="Normal"/>
    <w:autoRedefine/>
    <w:uiPriority w:val="39"/>
    <w:unhideWhenUsed/>
    <w:rsid w:val="006D2B01"/>
    <w:pPr>
      <w:tabs>
        <w:tab w:val="right" w:leader="dot" w:pos="9638"/>
      </w:tabs>
      <w:spacing w:before="120" w:after="120" w:line="276" w:lineRule="auto"/>
      <w:jc w:val="both"/>
    </w:pPr>
    <w:rPr>
      <w:rFonts w:cstheme="minorHAnsi"/>
      <w:b/>
      <w:bCs/>
      <w:caps/>
      <w:sz w:val="20"/>
      <w:szCs w:val="20"/>
    </w:rPr>
  </w:style>
  <w:style w:type="paragraph" w:styleId="TOC2">
    <w:name w:val="toc 2"/>
    <w:basedOn w:val="Normal"/>
    <w:next w:val="Normal"/>
    <w:autoRedefine/>
    <w:uiPriority w:val="39"/>
    <w:unhideWhenUsed/>
    <w:rsid w:val="001B5218"/>
    <w:pPr>
      <w:tabs>
        <w:tab w:val="left" w:pos="880"/>
        <w:tab w:val="right" w:leader="dot" w:pos="9628"/>
      </w:tabs>
      <w:spacing w:after="0" w:line="276" w:lineRule="auto"/>
      <w:ind w:left="220"/>
    </w:pPr>
    <w:rPr>
      <w:rFonts w:ascii="Calibri Light" w:hAnsi="Calibri Light" w:cs="Calibri Light"/>
      <w:b/>
      <w:bCs/>
      <w:smallCaps/>
      <w:noProof/>
      <w:sz w:val="20"/>
      <w:szCs w:val="20"/>
      <w:lang w:val="ro-RO"/>
    </w:rPr>
  </w:style>
  <w:style w:type="paragraph" w:styleId="TOC3">
    <w:name w:val="toc 3"/>
    <w:basedOn w:val="Normal"/>
    <w:next w:val="Normal"/>
    <w:autoRedefine/>
    <w:uiPriority w:val="39"/>
    <w:unhideWhenUsed/>
    <w:rsid w:val="001B5218"/>
    <w:pPr>
      <w:tabs>
        <w:tab w:val="left" w:pos="1320"/>
        <w:tab w:val="right" w:leader="dot" w:pos="9628"/>
      </w:tabs>
      <w:spacing w:after="0" w:line="276" w:lineRule="auto"/>
      <w:ind w:left="440"/>
    </w:pPr>
    <w:rPr>
      <w:rFonts w:ascii="Calibri Light" w:hAnsi="Calibri Light" w:cstheme="minorHAnsi"/>
      <w:i/>
      <w:iCs/>
      <w:noProof/>
      <w:sz w:val="20"/>
      <w:szCs w:val="20"/>
      <w:lang w:val="ro-RO"/>
    </w:rPr>
  </w:style>
  <w:style w:type="character" w:customStyle="1" w:styleId="Heading2Char">
    <w:name w:val="Heading 2 Char"/>
    <w:basedOn w:val="DefaultParagraphFont"/>
    <w:link w:val="Heading2"/>
    <w:uiPriority w:val="9"/>
    <w:rsid w:val="007A5EB2"/>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7A5E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5EB2"/>
  </w:style>
  <w:style w:type="paragraph" w:styleId="Footer">
    <w:name w:val="footer"/>
    <w:basedOn w:val="Normal"/>
    <w:link w:val="FooterChar"/>
    <w:uiPriority w:val="99"/>
    <w:unhideWhenUsed/>
    <w:rsid w:val="007A5E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5EB2"/>
  </w:style>
  <w:style w:type="character" w:customStyle="1" w:styleId="Heading1Char">
    <w:name w:val="Heading 1 Char"/>
    <w:basedOn w:val="DefaultParagraphFont"/>
    <w:link w:val="Heading1"/>
    <w:uiPriority w:val="9"/>
    <w:rsid w:val="007E3038"/>
    <w:rPr>
      <w:rFonts w:asciiTheme="majorHAnsi" w:eastAsiaTheme="majorEastAsia" w:hAnsiTheme="majorHAnsi" w:cstheme="majorBidi"/>
      <w:color w:val="2F5496" w:themeColor="accent1" w:themeShade="BF"/>
      <w:sz w:val="32"/>
      <w:szCs w:val="32"/>
    </w:rPr>
  </w:style>
  <w:style w:type="paragraph" w:styleId="FootnoteText">
    <w:name w:val="footnote text"/>
    <w:aliases w:val="single space,FOOTNOTES,fn,footnote text,Footnote Text Char Char Char,Footnote Text Char Char,Footnote Text Char1,single space Char,ft Char,ft,Footnote,Fußnote,Text pozn. pod čarou_martin_ang,Fußnotentext Cha,Text,ALTS FOOTNOTE Char Char,f"/>
    <w:basedOn w:val="Normal"/>
    <w:link w:val="FootnoteTextChar"/>
    <w:uiPriority w:val="99"/>
    <w:unhideWhenUsed/>
    <w:qFormat/>
    <w:rsid w:val="005B6E8B"/>
    <w:pPr>
      <w:spacing w:after="0" w:line="240" w:lineRule="auto"/>
    </w:pPr>
    <w:rPr>
      <w:sz w:val="20"/>
      <w:szCs w:val="20"/>
    </w:rPr>
  </w:style>
  <w:style w:type="character" w:customStyle="1" w:styleId="FootnoteTextChar">
    <w:name w:val="Footnote Text Char"/>
    <w:aliases w:val="single space Char2,FOOTNOTES Char1,fn Char1,footnote text Char1,Footnote Text Char Char Char Char1,Footnote Text Char Char Char2,Footnote Text Char1 Char1,single space Char Char1,ft Char Char1,ft Char2,Footnote Char1,Fußnote Char1"/>
    <w:basedOn w:val="DefaultParagraphFont"/>
    <w:link w:val="FootnoteText"/>
    <w:uiPriority w:val="99"/>
    <w:rsid w:val="005B6E8B"/>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Знак сноски-FN,16 Point,Superscript 6 Point,fr,BVI fnr,Appel note de bas de pa"/>
    <w:basedOn w:val="DefaultParagraphFont"/>
    <w:link w:val="BVIfnrCharCharChar1CharCharCharCharCharCharChar1CharCharChar1Char"/>
    <w:uiPriority w:val="99"/>
    <w:unhideWhenUsed/>
    <w:qFormat/>
    <w:rsid w:val="005B6E8B"/>
    <w:rPr>
      <w:vertAlign w:val="superscript"/>
    </w:rPr>
  </w:style>
  <w:style w:type="character" w:customStyle="1" w:styleId="UnresolvedMention1">
    <w:name w:val="Unresolved Mention1"/>
    <w:basedOn w:val="DefaultParagraphFont"/>
    <w:uiPriority w:val="99"/>
    <w:semiHidden/>
    <w:unhideWhenUsed/>
    <w:rsid w:val="005B6E8B"/>
    <w:rPr>
      <w:color w:val="605E5C"/>
      <w:shd w:val="clear" w:color="auto" w:fill="E1DFDD"/>
    </w:rPr>
  </w:style>
  <w:style w:type="table" w:customStyle="1" w:styleId="GridTable1Light-Accent11">
    <w:name w:val="Grid Table 1 Light - Accent 11"/>
    <w:basedOn w:val="TableNormal"/>
    <w:uiPriority w:val="46"/>
    <w:rsid w:val="00A90C9A"/>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FootnoteTextChar2">
    <w:name w:val="Footnote Text Char2"/>
    <w:aliases w:val="single space Char1,FOOTNOTES Char,fn Char,footnote text Char,Footnote Text Char Char Char Char,Footnote Text Char Char Char1,Footnote Text Char1 Char,single space Char Char,ft Char Char,ft Char1,Footnote Char,Fußnote Char,Text Char1"/>
    <w:basedOn w:val="DefaultParagraphFont"/>
    <w:uiPriority w:val="99"/>
    <w:rsid w:val="00091894"/>
    <w:rPr>
      <w:sz w:val="20"/>
      <w:szCs w:val="20"/>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091894"/>
    <w:pPr>
      <w:spacing w:line="240" w:lineRule="exact"/>
    </w:pPr>
    <w:rPr>
      <w:vertAlign w:val="superscript"/>
    </w:rPr>
  </w:style>
  <w:style w:type="paragraph" w:customStyle="1" w:styleId="Default">
    <w:name w:val="Default"/>
    <w:rsid w:val="0009189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s 2B,Numbered List Paragraph,References,Numbered Paragraph,Main numbered paragraph,Colorful List - Accent 11,List_Paragraph,Multilevel para_II,List Paragraph1,123 List Paragraph,List Paragraph nowy,Liste 1,Bullet paras,Bullets"/>
    <w:basedOn w:val="Normal"/>
    <w:link w:val="ListParagraphChar"/>
    <w:qFormat/>
    <w:rsid w:val="00455CC1"/>
    <w:pPr>
      <w:ind w:left="720"/>
      <w:contextualSpacing/>
    </w:pPr>
  </w:style>
  <w:style w:type="table" w:styleId="TableGrid">
    <w:name w:val="Table Grid"/>
    <w:basedOn w:val="TableNormal"/>
    <w:uiPriority w:val="59"/>
    <w:rsid w:val="005E1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57323E"/>
    <w:rPr>
      <w:rFonts w:asciiTheme="majorHAnsi" w:eastAsiaTheme="majorEastAsia" w:hAnsiTheme="majorHAnsi" w:cstheme="majorBidi"/>
      <w:color w:val="1F3763" w:themeColor="accent1" w:themeShade="7F"/>
      <w:sz w:val="24"/>
      <w:szCs w:val="24"/>
    </w:rPr>
  </w:style>
  <w:style w:type="character" w:customStyle="1" w:styleId="infoboxtext-data">
    <w:name w:val="infobox__text-data"/>
    <w:basedOn w:val="DefaultParagraphFont"/>
    <w:rsid w:val="0057323E"/>
  </w:style>
  <w:style w:type="paragraph" w:styleId="NormalWeb">
    <w:name w:val="Normal (Web)"/>
    <w:basedOn w:val="Normal"/>
    <w:uiPriority w:val="99"/>
    <w:unhideWhenUsed/>
    <w:rsid w:val="00EB32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6D52D8"/>
    <w:pPr>
      <w:spacing w:after="0" w:line="240" w:lineRule="auto"/>
    </w:pPr>
    <w:rPr>
      <w:lang w:val="en-US"/>
    </w:rPr>
  </w:style>
  <w:style w:type="character" w:customStyle="1" w:styleId="NoSpacingChar">
    <w:name w:val="No Spacing Char"/>
    <w:basedOn w:val="DefaultParagraphFont"/>
    <w:link w:val="NoSpacing"/>
    <w:uiPriority w:val="1"/>
    <w:rsid w:val="006D52D8"/>
    <w:rPr>
      <w:lang w:val="en-US"/>
    </w:rPr>
  </w:style>
  <w:style w:type="character" w:customStyle="1" w:styleId="Heading4Char">
    <w:name w:val="Heading 4 Char"/>
    <w:basedOn w:val="DefaultParagraphFont"/>
    <w:link w:val="Heading4"/>
    <w:uiPriority w:val="9"/>
    <w:semiHidden/>
    <w:rsid w:val="006D52D8"/>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Bullets 2B Char,Numbered List Paragraph Char,References Char,Numbered Paragraph Char,Main numbered paragraph Char,Colorful List - Accent 11 Char,List_Paragraph Char,Multilevel para_II Char,List Paragraph1 Char,123 List Paragraph Char"/>
    <w:link w:val="ListParagraph"/>
    <w:qFormat/>
    <w:locked/>
    <w:rsid w:val="00350700"/>
  </w:style>
  <w:style w:type="paragraph" w:customStyle="1" w:styleId="Paragrafoelenco1">
    <w:name w:val="Paragrafo elenco1"/>
    <w:basedOn w:val="Normal"/>
    <w:uiPriority w:val="99"/>
    <w:qFormat/>
    <w:rsid w:val="00350700"/>
    <w:pPr>
      <w:spacing w:after="200" w:line="276" w:lineRule="auto"/>
      <w:ind w:left="720"/>
    </w:pPr>
    <w:rPr>
      <w:rFonts w:ascii="Calibri" w:eastAsia="Calibri" w:hAnsi="Calibri" w:cs="Times New Roman"/>
      <w:lang w:val="en-AU"/>
    </w:rPr>
  </w:style>
  <w:style w:type="paragraph" w:styleId="Title">
    <w:name w:val="Title"/>
    <w:basedOn w:val="Normal"/>
    <w:link w:val="TitleChar"/>
    <w:uiPriority w:val="10"/>
    <w:qFormat/>
    <w:rsid w:val="00E95F91"/>
    <w:pPr>
      <w:spacing w:after="0" w:line="240" w:lineRule="auto"/>
      <w:jc w:val="center"/>
    </w:pPr>
    <w:rPr>
      <w:rFonts w:ascii="Arial" w:eastAsia="Times New Roman" w:hAnsi="Arial" w:cs="Arial"/>
      <w:b/>
      <w:sz w:val="24"/>
      <w:szCs w:val="24"/>
    </w:rPr>
  </w:style>
  <w:style w:type="character" w:customStyle="1" w:styleId="TitleChar">
    <w:name w:val="Title Char"/>
    <w:basedOn w:val="DefaultParagraphFont"/>
    <w:link w:val="Title"/>
    <w:uiPriority w:val="10"/>
    <w:rsid w:val="00E95F91"/>
    <w:rPr>
      <w:rFonts w:ascii="Arial" w:eastAsia="Times New Roman" w:hAnsi="Arial" w:cs="Arial"/>
      <w:b/>
      <w:sz w:val="24"/>
      <w:szCs w:val="24"/>
    </w:rPr>
  </w:style>
  <w:style w:type="character" w:customStyle="1" w:styleId="viiyi">
    <w:name w:val="viiyi"/>
    <w:basedOn w:val="DefaultParagraphFont"/>
    <w:rsid w:val="00A237CE"/>
  </w:style>
  <w:style w:type="character" w:customStyle="1" w:styleId="jlqj4b">
    <w:name w:val="jlqj4b"/>
    <w:basedOn w:val="DefaultParagraphFont"/>
    <w:rsid w:val="00A237CE"/>
  </w:style>
  <w:style w:type="paragraph" w:customStyle="1" w:styleId="Pa0">
    <w:name w:val="Pa0"/>
    <w:basedOn w:val="Default"/>
    <w:next w:val="Default"/>
    <w:uiPriority w:val="99"/>
    <w:rsid w:val="00A237CE"/>
    <w:pPr>
      <w:spacing w:line="241" w:lineRule="atLeast"/>
    </w:pPr>
    <w:rPr>
      <w:rFonts w:ascii="Myriad Pro SemiCond" w:hAnsi="Myriad Pro SemiCond" w:cstheme="minorBidi"/>
      <w:color w:val="auto"/>
    </w:rPr>
  </w:style>
  <w:style w:type="character" w:customStyle="1" w:styleId="A1">
    <w:name w:val="A1"/>
    <w:uiPriority w:val="99"/>
    <w:rsid w:val="00A237CE"/>
    <w:rPr>
      <w:rFonts w:cs="Myriad Pro SemiCond"/>
      <w:color w:val="AF1458"/>
      <w:sz w:val="84"/>
      <w:szCs w:val="84"/>
    </w:rPr>
  </w:style>
  <w:style w:type="character" w:customStyle="1" w:styleId="A2">
    <w:name w:val="A2"/>
    <w:uiPriority w:val="99"/>
    <w:rsid w:val="000D05BD"/>
    <w:rPr>
      <w:rFonts w:cs="Gill Sans Nova"/>
      <w:i/>
      <w:iCs/>
      <w:color w:val="221E1F"/>
      <w:sz w:val="20"/>
      <w:szCs w:val="20"/>
    </w:rPr>
  </w:style>
  <w:style w:type="paragraph" w:styleId="BodyText3">
    <w:name w:val="Body Text 3"/>
    <w:basedOn w:val="Normal"/>
    <w:link w:val="BodyText3Char"/>
    <w:rsid w:val="004C2D8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C2D81"/>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D76553"/>
    <w:rPr>
      <w:color w:val="954F72" w:themeColor="followedHyperlink"/>
      <w:u w:val="single"/>
    </w:rPr>
  </w:style>
  <w:style w:type="paragraph" w:styleId="BalloonText">
    <w:name w:val="Balloon Text"/>
    <w:basedOn w:val="Normal"/>
    <w:link w:val="BalloonTextChar"/>
    <w:uiPriority w:val="99"/>
    <w:semiHidden/>
    <w:unhideWhenUsed/>
    <w:rsid w:val="00F04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D34"/>
    <w:rPr>
      <w:rFonts w:ascii="Segoe UI" w:hAnsi="Segoe UI" w:cs="Segoe UI"/>
      <w:sz w:val="18"/>
      <w:szCs w:val="18"/>
    </w:rPr>
  </w:style>
  <w:style w:type="character" w:styleId="CommentReference">
    <w:name w:val="annotation reference"/>
    <w:basedOn w:val="DefaultParagraphFont"/>
    <w:uiPriority w:val="99"/>
    <w:semiHidden/>
    <w:unhideWhenUsed/>
    <w:rsid w:val="000421AF"/>
    <w:rPr>
      <w:sz w:val="16"/>
      <w:szCs w:val="16"/>
    </w:rPr>
  </w:style>
  <w:style w:type="paragraph" w:styleId="CommentText">
    <w:name w:val="annotation text"/>
    <w:basedOn w:val="Normal"/>
    <w:link w:val="CommentTextChar"/>
    <w:uiPriority w:val="99"/>
    <w:unhideWhenUsed/>
    <w:rsid w:val="000421AF"/>
    <w:pPr>
      <w:spacing w:line="240" w:lineRule="auto"/>
    </w:pPr>
    <w:rPr>
      <w:sz w:val="20"/>
      <w:szCs w:val="20"/>
    </w:rPr>
  </w:style>
  <w:style w:type="character" w:customStyle="1" w:styleId="CommentTextChar">
    <w:name w:val="Comment Text Char"/>
    <w:basedOn w:val="DefaultParagraphFont"/>
    <w:link w:val="CommentText"/>
    <w:uiPriority w:val="99"/>
    <w:rsid w:val="000421AF"/>
    <w:rPr>
      <w:sz w:val="20"/>
      <w:szCs w:val="20"/>
    </w:rPr>
  </w:style>
  <w:style w:type="paragraph" w:styleId="CommentSubject">
    <w:name w:val="annotation subject"/>
    <w:basedOn w:val="CommentText"/>
    <w:next w:val="CommentText"/>
    <w:link w:val="CommentSubjectChar"/>
    <w:uiPriority w:val="99"/>
    <w:semiHidden/>
    <w:unhideWhenUsed/>
    <w:rsid w:val="000421AF"/>
    <w:rPr>
      <w:b/>
      <w:bCs/>
    </w:rPr>
  </w:style>
  <w:style w:type="character" w:customStyle="1" w:styleId="CommentSubjectChar">
    <w:name w:val="Comment Subject Char"/>
    <w:basedOn w:val="CommentTextChar"/>
    <w:link w:val="CommentSubject"/>
    <w:uiPriority w:val="99"/>
    <w:semiHidden/>
    <w:rsid w:val="000421AF"/>
    <w:rPr>
      <w:b/>
      <w:bCs/>
      <w:sz w:val="20"/>
      <w:szCs w:val="20"/>
    </w:rPr>
  </w:style>
  <w:style w:type="character" w:styleId="Emphasis">
    <w:name w:val="Emphasis"/>
    <w:basedOn w:val="DefaultParagraphFont"/>
    <w:uiPriority w:val="20"/>
    <w:qFormat/>
    <w:rsid w:val="008371AA"/>
    <w:rPr>
      <w:i/>
      <w:iCs/>
    </w:rPr>
  </w:style>
  <w:style w:type="paragraph" w:customStyle="1" w:styleId="ti-section-1">
    <w:name w:val="ti-section-1"/>
    <w:basedOn w:val="Normal"/>
    <w:rsid w:val="007154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
    <w:name w:val="italic"/>
    <w:basedOn w:val="DefaultParagraphFont"/>
    <w:rsid w:val="007154EA"/>
  </w:style>
  <w:style w:type="paragraph" w:customStyle="1" w:styleId="ti-section-2">
    <w:name w:val="ti-section-2"/>
    <w:basedOn w:val="Normal"/>
    <w:rsid w:val="007154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LightList-Accent1">
    <w:name w:val="Light List Accent 1"/>
    <w:basedOn w:val="TableNormal"/>
    <w:uiPriority w:val="61"/>
    <w:rsid w:val="003C7938"/>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3C7938"/>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Revision">
    <w:name w:val="Revision"/>
    <w:hidden/>
    <w:uiPriority w:val="99"/>
    <w:semiHidden/>
    <w:rsid w:val="009236A5"/>
    <w:pPr>
      <w:spacing w:after="0" w:line="240" w:lineRule="auto"/>
    </w:pPr>
  </w:style>
  <w:style w:type="character" w:customStyle="1" w:styleId="UnresolvedMention2">
    <w:name w:val="Unresolved Mention2"/>
    <w:basedOn w:val="DefaultParagraphFont"/>
    <w:uiPriority w:val="99"/>
    <w:semiHidden/>
    <w:unhideWhenUsed/>
    <w:rsid w:val="00EC220C"/>
    <w:rPr>
      <w:color w:val="605E5C"/>
      <w:shd w:val="clear" w:color="auto" w:fill="E1DFDD"/>
    </w:rPr>
  </w:style>
  <w:style w:type="character" w:customStyle="1" w:styleId="UnresolvedMention">
    <w:name w:val="Unresolved Mention"/>
    <w:basedOn w:val="DefaultParagraphFont"/>
    <w:uiPriority w:val="99"/>
    <w:semiHidden/>
    <w:unhideWhenUsed/>
    <w:rsid w:val="00A14A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383"/>
  </w:style>
  <w:style w:type="paragraph" w:styleId="Heading1">
    <w:name w:val="heading 1"/>
    <w:basedOn w:val="Normal"/>
    <w:next w:val="Normal"/>
    <w:link w:val="Heading1Char"/>
    <w:uiPriority w:val="9"/>
    <w:qFormat/>
    <w:rsid w:val="007E3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5EB2"/>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732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52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5EB2"/>
    <w:rPr>
      <w:color w:val="0000FF"/>
      <w:u w:val="single"/>
    </w:rPr>
  </w:style>
  <w:style w:type="paragraph" w:styleId="TOC1">
    <w:name w:val="toc 1"/>
    <w:basedOn w:val="Normal"/>
    <w:next w:val="Normal"/>
    <w:autoRedefine/>
    <w:uiPriority w:val="39"/>
    <w:unhideWhenUsed/>
    <w:rsid w:val="006D2B01"/>
    <w:pPr>
      <w:tabs>
        <w:tab w:val="right" w:leader="dot" w:pos="9638"/>
      </w:tabs>
      <w:spacing w:before="120" w:after="120" w:line="276" w:lineRule="auto"/>
      <w:jc w:val="both"/>
    </w:pPr>
    <w:rPr>
      <w:rFonts w:cstheme="minorHAnsi"/>
      <w:b/>
      <w:bCs/>
      <w:caps/>
      <w:sz w:val="20"/>
      <w:szCs w:val="20"/>
    </w:rPr>
  </w:style>
  <w:style w:type="paragraph" w:styleId="TOC2">
    <w:name w:val="toc 2"/>
    <w:basedOn w:val="Normal"/>
    <w:next w:val="Normal"/>
    <w:autoRedefine/>
    <w:uiPriority w:val="39"/>
    <w:unhideWhenUsed/>
    <w:rsid w:val="001B5218"/>
    <w:pPr>
      <w:tabs>
        <w:tab w:val="left" w:pos="880"/>
        <w:tab w:val="right" w:leader="dot" w:pos="9628"/>
      </w:tabs>
      <w:spacing w:after="0" w:line="276" w:lineRule="auto"/>
      <w:ind w:left="220"/>
    </w:pPr>
    <w:rPr>
      <w:rFonts w:ascii="Calibri Light" w:hAnsi="Calibri Light" w:cs="Calibri Light"/>
      <w:b/>
      <w:bCs/>
      <w:smallCaps/>
      <w:noProof/>
      <w:sz w:val="20"/>
      <w:szCs w:val="20"/>
      <w:lang w:val="ro-RO"/>
    </w:rPr>
  </w:style>
  <w:style w:type="paragraph" w:styleId="TOC3">
    <w:name w:val="toc 3"/>
    <w:basedOn w:val="Normal"/>
    <w:next w:val="Normal"/>
    <w:autoRedefine/>
    <w:uiPriority w:val="39"/>
    <w:unhideWhenUsed/>
    <w:rsid w:val="001B5218"/>
    <w:pPr>
      <w:tabs>
        <w:tab w:val="left" w:pos="1320"/>
        <w:tab w:val="right" w:leader="dot" w:pos="9628"/>
      </w:tabs>
      <w:spacing w:after="0" w:line="276" w:lineRule="auto"/>
      <w:ind w:left="440"/>
    </w:pPr>
    <w:rPr>
      <w:rFonts w:ascii="Calibri Light" w:hAnsi="Calibri Light" w:cstheme="minorHAnsi"/>
      <w:i/>
      <w:iCs/>
      <w:noProof/>
      <w:sz w:val="20"/>
      <w:szCs w:val="20"/>
      <w:lang w:val="ro-RO"/>
    </w:rPr>
  </w:style>
  <w:style w:type="character" w:customStyle="1" w:styleId="Heading2Char">
    <w:name w:val="Heading 2 Char"/>
    <w:basedOn w:val="DefaultParagraphFont"/>
    <w:link w:val="Heading2"/>
    <w:uiPriority w:val="9"/>
    <w:rsid w:val="007A5EB2"/>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7A5E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5EB2"/>
  </w:style>
  <w:style w:type="paragraph" w:styleId="Footer">
    <w:name w:val="footer"/>
    <w:basedOn w:val="Normal"/>
    <w:link w:val="FooterChar"/>
    <w:uiPriority w:val="99"/>
    <w:unhideWhenUsed/>
    <w:rsid w:val="007A5E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5EB2"/>
  </w:style>
  <w:style w:type="character" w:customStyle="1" w:styleId="Heading1Char">
    <w:name w:val="Heading 1 Char"/>
    <w:basedOn w:val="DefaultParagraphFont"/>
    <w:link w:val="Heading1"/>
    <w:uiPriority w:val="9"/>
    <w:rsid w:val="007E3038"/>
    <w:rPr>
      <w:rFonts w:asciiTheme="majorHAnsi" w:eastAsiaTheme="majorEastAsia" w:hAnsiTheme="majorHAnsi" w:cstheme="majorBidi"/>
      <w:color w:val="2F5496" w:themeColor="accent1" w:themeShade="BF"/>
      <w:sz w:val="32"/>
      <w:szCs w:val="32"/>
    </w:rPr>
  </w:style>
  <w:style w:type="paragraph" w:styleId="FootnoteText">
    <w:name w:val="footnote text"/>
    <w:aliases w:val="single space,FOOTNOTES,fn,footnote text,Footnote Text Char Char Char,Footnote Text Char Char,Footnote Text Char1,single space Char,ft Char,ft,Footnote,Fußnote,Text pozn. pod čarou_martin_ang,Fußnotentext Cha,Text,ALTS FOOTNOTE Char Char,f"/>
    <w:basedOn w:val="Normal"/>
    <w:link w:val="FootnoteTextChar"/>
    <w:uiPriority w:val="99"/>
    <w:unhideWhenUsed/>
    <w:qFormat/>
    <w:rsid w:val="005B6E8B"/>
    <w:pPr>
      <w:spacing w:after="0" w:line="240" w:lineRule="auto"/>
    </w:pPr>
    <w:rPr>
      <w:sz w:val="20"/>
      <w:szCs w:val="20"/>
    </w:rPr>
  </w:style>
  <w:style w:type="character" w:customStyle="1" w:styleId="FootnoteTextChar">
    <w:name w:val="Footnote Text Char"/>
    <w:aliases w:val="single space Char2,FOOTNOTES Char1,fn Char1,footnote text Char1,Footnote Text Char Char Char Char1,Footnote Text Char Char Char2,Footnote Text Char1 Char1,single space Char Char1,ft Char Char1,ft Char2,Footnote Char1,Fußnote Char1"/>
    <w:basedOn w:val="DefaultParagraphFont"/>
    <w:link w:val="FootnoteText"/>
    <w:uiPriority w:val="99"/>
    <w:rsid w:val="005B6E8B"/>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Знак сноски-FN,16 Point,Superscript 6 Point,fr,BVI fnr,Appel note de bas de pa"/>
    <w:basedOn w:val="DefaultParagraphFont"/>
    <w:link w:val="BVIfnrCharCharChar1CharCharCharCharCharCharChar1CharCharChar1Char"/>
    <w:uiPriority w:val="99"/>
    <w:unhideWhenUsed/>
    <w:qFormat/>
    <w:rsid w:val="005B6E8B"/>
    <w:rPr>
      <w:vertAlign w:val="superscript"/>
    </w:rPr>
  </w:style>
  <w:style w:type="character" w:customStyle="1" w:styleId="UnresolvedMention1">
    <w:name w:val="Unresolved Mention1"/>
    <w:basedOn w:val="DefaultParagraphFont"/>
    <w:uiPriority w:val="99"/>
    <w:semiHidden/>
    <w:unhideWhenUsed/>
    <w:rsid w:val="005B6E8B"/>
    <w:rPr>
      <w:color w:val="605E5C"/>
      <w:shd w:val="clear" w:color="auto" w:fill="E1DFDD"/>
    </w:rPr>
  </w:style>
  <w:style w:type="table" w:customStyle="1" w:styleId="GridTable1Light-Accent11">
    <w:name w:val="Grid Table 1 Light - Accent 11"/>
    <w:basedOn w:val="TableNormal"/>
    <w:uiPriority w:val="46"/>
    <w:rsid w:val="00A90C9A"/>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FootnoteTextChar2">
    <w:name w:val="Footnote Text Char2"/>
    <w:aliases w:val="single space Char1,FOOTNOTES Char,fn Char,footnote text Char,Footnote Text Char Char Char Char,Footnote Text Char Char Char1,Footnote Text Char1 Char,single space Char Char,ft Char Char,ft Char1,Footnote Char,Fußnote Char,Text Char1"/>
    <w:basedOn w:val="DefaultParagraphFont"/>
    <w:uiPriority w:val="99"/>
    <w:rsid w:val="00091894"/>
    <w:rPr>
      <w:sz w:val="20"/>
      <w:szCs w:val="20"/>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091894"/>
    <w:pPr>
      <w:spacing w:line="240" w:lineRule="exact"/>
    </w:pPr>
    <w:rPr>
      <w:vertAlign w:val="superscript"/>
    </w:rPr>
  </w:style>
  <w:style w:type="paragraph" w:customStyle="1" w:styleId="Default">
    <w:name w:val="Default"/>
    <w:rsid w:val="0009189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s 2B,Numbered List Paragraph,References,Numbered Paragraph,Main numbered paragraph,Colorful List - Accent 11,List_Paragraph,Multilevel para_II,List Paragraph1,123 List Paragraph,List Paragraph nowy,Liste 1,Bullet paras,Bullets"/>
    <w:basedOn w:val="Normal"/>
    <w:link w:val="ListParagraphChar"/>
    <w:qFormat/>
    <w:rsid w:val="00455CC1"/>
    <w:pPr>
      <w:ind w:left="720"/>
      <w:contextualSpacing/>
    </w:pPr>
  </w:style>
  <w:style w:type="table" w:styleId="TableGrid">
    <w:name w:val="Table Grid"/>
    <w:basedOn w:val="TableNormal"/>
    <w:uiPriority w:val="59"/>
    <w:rsid w:val="005E1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57323E"/>
    <w:rPr>
      <w:rFonts w:asciiTheme="majorHAnsi" w:eastAsiaTheme="majorEastAsia" w:hAnsiTheme="majorHAnsi" w:cstheme="majorBidi"/>
      <w:color w:val="1F3763" w:themeColor="accent1" w:themeShade="7F"/>
      <w:sz w:val="24"/>
      <w:szCs w:val="24"/>
    </w:rPr>
  </w:style>
  <w:style w:type="character" w:customStyle="1" w:styleId="infoboxtext-data">
    <w:name w:val="infobox__text-data"/>
    <w:basedOn w:val="DefaultParagraphFont"/>
    <w:rsid w:val="0057323E"/>
  </w:style>
  <w:style w:type="paragraph" w:styleId="NormalWeb">
    <w:name w:val="Normal (Web)"/>
    <w:basedOn w:val="Normal"/>
    <w:uiPriority w:val="99"/>
    <w:unhideWhenUsed/>
    <w:rsid w:val="00EB32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6D52D8"/>
    <w:pPr>
      <w:spacing w:after="0" w:line="240" w:lineRule="auto"/>
    </w:pPr>
    <w:rPr>
      <w:lang w:val="en-US"/>
    </w:rPr>
  </w:style>
  <w:style w:type="character" w:customStyle="1" w:styleId="NoSpacingChar">
    <w:name w:val="No Spacing Char"/>
    <w:basedOn w:val="DefaultParagraphFont"/>
    <w:link w:val="NoSpacing"/>
    <w:uiPriority w:val="1"/>
    <w:rsid w:val="006D52D8"/>
    <w:rPr>
      <w:lang w:val="en-US"/>
    </w:rPr>
  </w:style>
  <w:style w:type="character" w:customStyle="1" w:styleId="Heading4Char">
    <w:name w:val="Heading 4 Char"/>
    <w:basedOn w:val="DefaultParagraphFont"/>
    <w:link w:val="Heading4"/>
    <w:uiPriority w:val="9"/>
    <w:semiHidden/>
    <w:rsid w:val="006D52D8"/>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Bullets 2B Char,Numbered List Paragraph Char,References Char,Numbered Paragraph Char,Main numbered paragraph Char,Colorful List - Accent 11 Char,List_Paragraph Char,Multilevel para_II Char,List Paragraph1 Char,123 List Paragraph Char"/>
    <w:link w:val="ListParagraph"/>
    <w:qFormat/>
    <w:locked/>
    <w:rsid w:val="00350700"/>
  </w:style>
  <w:style w:type="paragraph" w:customStyle="1" w:styleId="Paragrafoelenco1">
    <w:name w:val="Paragrafo elenco1"/>
    <w:basedOn w:val="Normal"/>
    <w:uiPriority w:val="99"/>
    <w:qFormat/>
    <w:rsid w:val="00350700"/>
    <w:pPr>
      <w:spacing w:after="200" w:line="276" w:lineRule="auto"/>
      <w:ind w:left="720"/>
    </w:pPr>
    <w:rPr>
      <w:rFonts w:ascii="Calibri" w:eastAsia="Calibri" w:hAnsi="Calibri" w:cs="Times New Roman"/>
      <w:lang w:val="en-AU"/>
    </w:rPr>
  </w:style>
  <w:style w:type="paragraph" w:styleId="Title">
    <w:name w:val="Title"/>
    <w:basedOn w:val="Normal"/>
    <w:link w:val="TitleChar"/>
    <w:uiPriority w:val="10"/>
    <w:qFormat/>
    <w:rsid w:val="00E95F91"/>
    <w:pPr>
      <w:spacing w:after="0" w:line="240" w:lineRule="auto"/>
      <w:jc w:val="center"/>
    </w:pPr>
    <w:rPr>
      <w:rFonts w:ascii="Arial" w:eastAsia="Times New Roman" w:hAnsi="Arial" w:cs="Arial"/>
      <w:b/>
      <w:sz w:val="24"/>
      <w:szCs w:val="24"/>
    </w:rPr>
  </w:style>
  <w:style w:type="character" w:customStyle="1" w:styleId="TitleChar">
    <w:name w:val="Title Char"/>
    <w:basedOn w:val="DefaultParagraphFont"/>
    <w:link w:val="Title"/>
    <w:uiPriority w:val="10"/>
    <w:rsid w:val="00E95F91"/>
    <w:rPr>
      <w:rFonts w:ascii="Arial" w:eastAsia="Times New Roman" w:hAnsi="Arial" w:cs="Arial"/>
      <w:b/>
      <w:sz w:val="24"/>
      <w:szCs w:val="24"/>
    </w:rPr>
  </w:style>
  <w:style w:type="character" w:customStyle="1" w:styleId="viiyi">
    <w:name w:val="viiyi"/>
    <w:basedOn w:val="DefaultParagraphFont"/>
    <w:rsid w:val="00A237CE"/>
  </w:style>
  <w:style w:type="character" w:customStyle="1" w:styleId="jlqj4b">
    <w:name w:val="jlqj4b"/>
    <w:basedOn w:val="DefaultParagraphFont"/>
    <w:rsid w:val="00A237CE"/>
  </w:style>
  <w:style w:type="paragraph" w:customStyle="1" w:styleId="Pa0">
    <w:name w:val="Pa0"/>
    <w:basedOn w:val="Default"/>
    <w:next w:val="Default"/>
    <w:uiPriority w:val="99"/>
    <w:rsid w:val="00A237CE"/>
    <w:pPr>
      <w:spacing w:line="241" w:lineRule="atLeast"/>
    </w:pPr>
    <w:rPr>
      <w:rFonts w:ascii="Myriad Pro SemiCond" w:hAnsi="Myriad Pro SemiCond" w:cstheme="minorBidi"/>
      <w:color w:val="auto"/>
    </w:rPr>
  </w:style>
  <w:style w:type="character" w:customStyle="1" w:styleId="A1">
    <w:name w:val="A1"/>
    <w:uiPriority w:val="99"/>
    <w:rsid w:val="00A237CE"/>
    <w:rPr>
      <w:rFonts w:cs="Myriad Pro SemiCond"/>
      <w:color w:val="AF1458"/>
      <w:sz w:val="84"/>
      <w:szCs w:val="84"/>
    </w:rPr>
  </w:style>
  <w:style w:type="character" w:customStyle="1" w:styleId="A2">
    <w:name w:val="A2"/>
    <w:uiPriority w:val="99"/>
    <w:rsid w:val="000D05BD"/>
    <w:rPr>
      <w:rFonts w:cs="Gill Sans Nova"/>
      <w:i/>
      <w:iCs/>
      <w:color w:val="221E1F"/>
      <w:sz w:val="20"/>
      <w:szCs w:val="20"/>
    </w:rPr>
  </w:style>
  <w:style w:type="paragraph" w:styleId="BodyText3">
    <w:name w:val="Body Text 3"/>
    <w:basedOn w:val="Normal"/>
    <w:link w:val="BodyText3Char"/>
    <w:rsid w:val="004C2D8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C2D81"/>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D76553"/>
    <w:rPr>
      <w:color w:val="954F72" w:themeColor="followedHyperlink"/>
      <w:u w:val="single"/>
    </w:rPr>
  </w:style>
  <w:style w:type="paragraph" w:styleId="BalloonText">
    <w:name w:val="Balloon Text"/>
    <w:basedOn w:val="Normal"/>
    <w:link w:val="BalloonTextChar"/>
    <w:uiPriority w:val="99"/>
    <w:semiHidden/>
    <w:unhideWhenUsed/>
    <w:rsid w:val="00F04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D34"/>
    <w:rPr>
      <w:rFonts w:ascii="Segoe UI" w:hAnsi="Segoe UI" w:cs="Segoe UI"/>
      <w:sz w:val="18"/>
      <w:szCs w:val="18"/>
    </w:rPr>
  </w:style>
  <w:style w:type="character" w:styleId="CommentReference">
    <w:name w:val="annotation reference"/>
    <w:basedOn w:val="DefaultParagraphFont"/>
    <w:uiPriority w:val="99"/>
    <w:semiHidden/>
    <w:unhideWhenUsed/>
    <w:rsid w:val="000421AF"/>
    <w:rPr>
      <w:sz w:val="16"/>
      <w:szCs w:val="16"/>
    </w:rPr>
  </w:style>
  <w:style w:type="paragraph" w:styleId="CommentText">
    <w:name w:val="annotation text"/>
    <w:basedOn w:val="Normal"/>
    <w:link w:val="CommentTextChar"/>
    <w:uiPriority w:val="99"/>
    <w:unhideWhenUsed/>
    <w:rsid w:val="000421AF"/>
    <w:pPr>
      <w:spacing w:line="240" w:lineRule="auto"/>
    </w:pPr>
    <w:rPr>
      <w:sz w:val="20"/>
      <w:szCs w:val="20"/>
    </w:rPr>
  </w:style>
  <w:style w:type="character" w:customStyle="1" w:styleId="CommentTextChar">
    <w:name w:val="Comment Text Char"/>
    <w:basedOn w:val="DefaultParagraphFont"/>
    <w:link w:val="CommentText"/>
    <w:uiPriority w:val="99"/>
    <w:rsid w:val="000421AF"/>
    <w:rPr>
      <w:sz w:val="20"/>
      <w:szCs w:val="20"/>
    </w:rPr>
  </w:style>
  <w:style w:type="paragraph" w:styleId="CommentSubject">
    <w:name w:val="annotation subject"/>
    <w:basedOn w:val="CommentText"/>
    <w:next w:val="CommentText"/>
    <w:link w:val="CommentSubjectChar"/>
    <w:uiPriority w:val="99"/>
    <w:semiHidden/>
    <w:unhideWhenUsed/>
    <w:rsid w:val="000421AF"/>
    <w:rPr>
      <w:b/>
      <w:bCs/>
    </w:rPr>
  </w:style>
  <w:style w:type="character" w:customStyle="1" w:styleId="CommentSubjectChar">
    <w:name w:val="Comment Subject Char"/>
    <w:basedOn w:val="CommentTextChar"/>
    <w:link w:val="CommentSubject"/>
    <w:uiPriority w:val="99"/>
    <w:semiHidden/>
    <w:rsid w:val="000421AF"/>
    <w:rPr>
      <w:b/>
      <w:bCs/>
      <w:sz w:val="20"/>
      <w:szCs w:val="20"/>
    </w:rPr>
  </w:style>
  <w:style w:type="character" w:styleId="Emphasis">
    <w:name w:val="Emphasis"/>
    <w:basedOn w:val="DefaultParagraphFont"/>
    <w:uiPriority w:val="20"/>
    <w:qFormat/>
    <w:rsid w:val="008371AA"/>
    <w:rPr>
      <w:i/>
      <w:iCs/>
    </w:rPr>
  </w:style>
  <w:style w:type="paragraph" w:customStyle="1" w:styleId="ti-section-1">
    <w:name w:val="ti-section-1"/>
    <w:basedOn w:val="Normal"/>
    <w:rsid w:val="007154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
    <w:name w:val="italic"/>
    <w:basedOn w:val="DefaultParagraphFont"/>
    <w:rsid w:val="007154EA"/>
  </w:style>
  <w:style w:type="paragraph" w:customStyle="1" w:styleId="ti-section-2">
    <w:name w:val="ti-section-2"/>
    <w:basedOn w:val="Normal"/>
    <w:rsid w:val="007154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LightList-Accent1">
    <w:name w:val="Light List Accent 1"/>
    <w:basedOn w:val="TableNormal"/>
    <w:uiPriority w:val="61"/>
    <w:rsid w:val="003C7938"/>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3C7938"/>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Revision">
    <w:name w:val="Revision"/>
    <w:hidden/>
    <w:uiPriority w:val="99"/>
    <w:semiHidden/>
    <w:rsid w:val="009236A5"/>
    <w:pPr>
      <w:spacing w:after="0" w:line="240" w:lineRule="auto"/>
    </w:pPr>
  </w:style>
  <w:style w:type="character" w:customStyle="1" w:styleId="UnresolvedMention2">
    <w:name w:val="Unresolved Mention2"/>
    <w:basedOn w:val="DefaultParagraphFont"/>
    <w:uiPriority w:val="99"/>
    <w:semiHidden/>
    <w:unhideWhenUsed/>
    <w:rsid w:val="00EC220C"/>
    <w:rPr>
      <w:color w:val="605E5C"/>
      <w:shd w:val="clear" w:color="auto" w:fill="E1DFDD"/>
    </w:rPr>
  </w:style>
  <w:style w:type="character" w:customStyle="1" w:styleId="UnresolvedMention">
    <w:name w:val="Unresolved Mention"/>
    <w:basedOn w:val="DefaultParagraphFont"/>
    <w:uiPriority w:val="99"/>
    <w:semiHidden/>
    <w:unhideWhenUsed/>
    <w:rsid w:val="00A14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7135">
      <w:bodyDiv w:val="1"/>
      <w:marLeft w:val="0"/>
      <w:marRight w:val="0"/>
      <w:marTop w:val="0"/>
      <w:marBottom w:val="0"/>
      <w:divBdr>
        <w:top w:val="none" w:sz="0" w:space="0" w:color="auto"/>
        <w:left w:val="none" w:sz="0" w:space="0" w:color="auto"/>
        <w:bottom w:val="none" w:sz="0" w:space="0" w:color="auto"/>
        <w:right w:val="none" w:sz="0" w:space="0" w:color="auto"/>
      </w:divBdr>
    </w:div>
    <w:div w:id="305547775">
      <w:bodyDiv w:val="1"/>
      <w:marLeft w:val="0"/>
      <w:marRight w:val="0"/>
      <w:marTop w:val="0"/>
      <w:marBottom w:val="0"/>
      <w:divBdr>
        <w:top w:val="none" w:sz="0" w:space="0" w:color="auto"/>
        <w:left w:val="none" w:sz="0" w:space="0" w:color="auto"/>
        <w:bottom w:val="none" w:sz="0" w:space="0" w:color="auto"/>
        <w:right w:val="none" w:sz="0" w:space="0" w:color="auto"/>
      </w:divBdr>
    </w:div>
    <w:div w:id="552815213">
      <w:bodyDiv w:val="1"/>
      <w:marLeft w:val="0"/>
      <w:marRight w:val="0"/>
      <w:marTop w:val="0"/>
      <w:marBottom w:val="0"/>
      <w:divBdr>
        <w:top w:val="none" w:sz="0" w:space="0" w:color="auto"/>
        <w:left w:val="none" w:sz="0" w:space="0" w:color="auto"/>
        <w:bottom w:val="none" w:sz="0" w:space="0" w:color="auto"/>
        <w:right w:val="none" w:sz="0" w:space="0" w:color="auto"/>
      </w:divBdr>
    </w:div>
    <w:div w:id="906456797">
      <w:bodyDiv w:val="1"/>
      <w:marLeft w:val="0"/>
      <w:marRight w:val="0"/>
      <w:marTop w:val="0"/>
      <w:marBottom w:val="0"/>
      <w:divBdr>
        <w:top w:val="none" w:sz="0" w:space="0" w:color="auto"/>
        <w:left w:val="none" w:sz="0" w:space="0" w:color="auto"/>
        <w:bottom w:val="none" w:sz="0" w:space="0" w:color="auto"/>
        <w:right w:val="none" w:sz="0" w:space="0" w:color="auto"/>
      </w:divBdr>
    </w:div>
    <w:div w:id="1017734689">
      <w:bodyDiv w:val="1"/>
      <w:marLeft w:val="0"/>
      <w:marRight w:val="0"/>
      <w:marTop w:val="0"/>
      <w:marBottom w:val="0"/>
      <w:divBdr>
        <w:top w:val="none" w:sz="0" w:space="0" w:color="auto"/>
        <w:left w:val="none" w:sz="0" w:space="0" w:color="auto"/>
        <w:bottom w:val="none" w:sz="0" w:space="0" w:color="auto"/>
        <w:right w:val="none" w:sz="0" w:space="0" w:color="auto"/>
      </w:divBdr>
    </w:div>
    <w:div w:id="1088843269">
      <w:bodyDiv w:val="1"/>
      <w:marLeft w:val="0"/>
      <w:marRight w:val="0"/>
      <w:marTop w:val="0"/>
      <w:marBottom w:val="0"/>
      <w:divBdr>
        <w:top w:val="none" w:sz="0" w:space="0" w:color="auto"/>
        <w:left w:val="none" w:sz="0" w:space="0" w:color="auto"/>
        <w:bottom w:val="none" w:sz="0" w:space="0" w:color="auto"/>
        <w:right w:val="none" w:sz="0" w:space="0" w:color="auto"/>
      </w:divBdr>
    </w:div>
    <w:div w:id="1228221946">
      <w:bodyDiv w:val="1"/>
      <w:marLeft w:val="0"/>
      <w:marRight w:val="0"/>
      <w:marTop w:val="0"/>
      <w:marBottom w:val="0"/>
      <w:divBdr>
        <w:top w:val="none" w:sz="0" w:space="0" w:color="auto"/>
        <w:left w:val="none" w:sz="0" w:space="0" w:color="auto"/>
        <w:bottom w:val="none" w:sz="0" w:space="0" w:color="auto"/>
        <w:right w:val="none" w:sz="0" w:space="0" w:color="auto"/>
      </w:divBdr>
    </w:div>
    <w:div w:id="1263420581">
      <w:bodyDiv w:val="1"/>
      <w:marLeft w:val="0"/>
      <w:marRight w:val="0"/>
      <w:marTop w:val="0"/>
      <w:marBottom w:val="0"/>
      <w:divBdr>
        <w:top w:val="none" w:sz="0" w:space="0" w:color="auto"/>
        <w:left w:val="none" w:sz="0" w:space="0" w:color="auto"/>
        <w:bottom w:val="none" w:sz="0" w:space="0" w:color="auto"/>
        <w:right w:val="none" w:sz="0" w:space="0" w:color="auto"/>
      </w:divBdr>
    </w:div>
    <w:div w:id="1323968768">
      <w:bodyDiv w:val="1"/>
      <w:marLeft w:val="0"/>
      <w:marRight w:val="0"/>
      <w:marTop w:val="0"/>
      <w:marBottom w:val="0"/>
      <w:divBdr>
        <w:top w:val="none" w:sz="0" w:space="0" w:color="auto"/>
        <w:left w:val="none" w:sz="0" w:space="0" w:color="auto"/>
        <w:bottom w:val="none" w:sz="0" w:space="0" w:color="auto"/>
        <w:right w:val="none" w:sz="0" w:space="0" w:color="auto"/>
      </w:divBdr>
    </w:div>
    <w:div w:id="1648708935">
      <w:bodyDiv w:val="1"/>
      <w:marLeft w:val="0"/>
      <w:marRight w:val="0"/>
      <w:marTop w:val="0"/>
      <w:marBottom w:val="0"/>
      <w:divBdr>
        <w:top w:val="none" w:sz="0" w:space="0" w:color="auto"/>
        <w:left w:val="none" w:sz="0" w:space="0" w:color="auto"/>
        <w:bottom w:val="none" w:sz="0" w:space="0" w:color="auto"/>
        <w:right w:val="none" w:sz="0" w:space="0" w:color="auto"/>
      </w:divBdr>
    </w:div>
    <w:div w:id="1677075094">
      <w:bodyDiv w:val="1"/>
      <w:marLeft w:val="0"/>
      <w:marRight w:val="0"/>
      <w:marTop w:val="0"/>
      <w:marBottom w:val="0"/>
      <w:divBdr>
        <w:top w:val="none" w:sz="0" w:space="0" w:color="auto"/>
        <w:left w:val="none" w:sz="0" w:space="0" w:color="auto"/>
        <w:bottom w:val="none" w:sz="0" w:space="0" w:color="auto"/>
        <w:right w:val="none" w:sz="0" w:space="0" w:color="auto"/>
      </w:divBdr>
    </w:div>
    <w:div w:id="1693725282">
      <w:bodyDiv w:val="1"/>
      <w:marLeft w:val="0"/>
      <w:marRight w:val="0"/>
      <w:marTop w:val="0"/>
      <w:marBottom w:val="0"/>
      <w:divBdr>
        <w:top w:val="none" w:sz="0" w:space="0" w:color="auto"/>
        <w:left w:val="none" w:sz="0" w:space="0" w:color="auto"/>
        <w:bottom w:val="none" w:sz="0" w:space="0" w:color="auto"/>
        <w:right w:val="none" w:sz="0" w:space="0" w:color="auto"/>
      </w:divBdr>
    </w:div>
    <w:div w:id="1890801448">
      <w:bodyDiv w:val="1"/>
      <w:marLeft w:val="0"/>
      <w:marRight w:val="0"/>
      <w:marTop w:val="0"/>
      <w:marBottom w:val="0"/>
      <w:divBdr>
        <w:top w:val="none" w:sz="0" w:space="0" w:color="auto"/>
        <w:left w:val="none" w:sz="0" w:space="0" w:color="auto"/>
        <w:bottom w:val="none" w:sz="0" w:space="0" w:color="auto"/>
        <w:right w:val="none" w:sz="0" w:space="0" w:color="auto"/>
      </w:divBdr>
    </w:div>
    <w:div w:id="1943297426">
      <w:bodyDiv w:val="1"/>
      <w:marLeft w:val="0"/>
      <w:marRight w:val="0"/>
      <w:marTop w:val="0"/>
      <w:marBottom w:val="0"/>
      <w:divBdr>
        <w:top w:val="none" w:sz="0" w:space="0" w:color="auto"/>
        <w:left w:val="none" w:sz="0" w:space="0" w:color="auto"/>
        <w:bottom w:val="none" w:sz="0" w:space="0" w:color="auto"/>
        <w:right w:val="none" w:sz="0" w:space="0" w:color="auto"/>
      </w:divBdr>
    </w:div>
    <w:div w:id="1977294653">
      <w:bodyDiv w:val="1"/>
      <w:marLeft w:val="0"/>
      <w:marRight w:val="0"/>
      <w:marTop w:val="0"/>
      <w:marBottom w:val="0"/>
      <w:divBdr>
        <w:top w:val="none" w:sz="0" w:space="0" w:color="auto"/>
        <w:left w:val="none" w:sz="0" w:space="0" w:color="auto"/>
        <w:bottom w:val="none" w:sz="0" w:space="0" w:color="auto"/>
        <w:right w:val="none" w:sz="0" w:space="0" w:color="auto"/>
      </w:divBdr>
    </w:div>
    <w:div w:id="199899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hyperlink" Target="https://www.oecd.org/pisa/PISA-results_ENGLISH.png" TargetMode="External"/><Relationship Id="rId34" Type="http://schemas.openxmlformats.org/officeDocument/2006/relationships/image" Target="media/image23.emf"/><Relationship Id="rId42" Type="http://schemas.openxmlformats.org/officeDocument/2006/relationships/hyperlink" Target="https://social.gov.md/informatie-de-interes-public/rapoarte/" TargetMode="External"/><Relationship Id="rId50"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8.emf"/><Relationship Id="rId11" Type="http://schemas.openxmlformats.org/officeDocument/2006/relationships/image" Target="media/image3.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microsoft.com/office/2011/relationships/people" Target="people.xml"/><Relationship Id="rId10" Type="http://schemas.openxmlformats.org/officeDocument/2006/relationships/image" Target="media/image2.emf"/><Relationship Id="rId19" Type="http://schemas.openxmlformats.org/officeDocument/2006/relationships/image" Target="media/image9.png"/><Relationship Id="rId31" Type="http://schemas.openxmlformats.org/officeDocument/2006/relationships/image" Target="media/image20.emf"/><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1.bin"/><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header" Target="header1.xml"/><Relationship Id="rId48" Type="http://schemas.microsoft.com/office/2016/09/relationships/commentsIds" Target="commentsIds.xml"/><Relationship Id="rId8" Type="http://schemas.openxmlformats.org/officeDocument/2006/relationships/endnotes" Target="endnotes.xml"/><Relationship Id="rId51"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ebrd.com/publications/transition-report-202021-moldova" TargetMode="External"/><Relationship Id="rId3" Type="http://schemas.openxmlformats.org/officeDocument/2006/relationships/hyperlink" Target="https://documents.worldbank.org/en/publication/documents-reports/documentdetail/862181500274376993/moldova-public-finance-review-towards-more-efficient-and-more-sustainable-public-finances" TargetMode="External"/><Relationship Id="rId7" Type="http://schemas.openxmlformats.org/officeDocument/2006/relationships/hyperlink" Target="http://www.ilo.org/global/statistics-and-databases/meetings-and-events/international-conference-of-labour-statisticians/19/WCMS_230304/lang--en/index.htm" TargetMode="External"/><Relationship Id="rId2" Type="http://schemas.openxmlformats.org/officeDocument/2006/relationships/hyperlink" Target="https://statbank.statistica.md/PxWeb/pxweb/en/30%20Statistica%20sociala/" TargetMode="External"/><Relationship Id="rId1" Type="http://schemas.openxmlformats.org/officeDocument/2006/relationships/hyperlink" Target="https://data.worldbank.org/country/moldova" TargetMode="External"/><Relationship Id="rId6" Type="http://schemas.openxmlformats.org/officeDocument/2006/relationships/hyperlink" Target="https://www.iab.de/en/daten/iab-brain-drain-data.aspx" TargetMode="External"/><Relationship Id="rId5" Type="http://schemas.openxmlformats.org/officeDocument/2006/relationships/hyperlink" Target="https://ec.europa.eu/neighbourhood-enlargement/system/files/2019-11/sba-fs-2019_moldova.pdf" TargetMode="External"/><Relationship Id="rId4" Type="http://schemas.openxmlformats.org/officeDocument/2006/relationships/hyperlink" Target="https://www.worldbank.org/en/country/moldova/brief/moldova-economic-upda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4D788-8E66-486E-B671-1B3162B4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52</Pages>
  <Words>22224</Words>
  <Characters>126679</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Valli Corbanese</dc:creator>
  <cp:lastModifiedBy>Admin</cp:lastModifiedBy>
  <cp:revision>9</cp:revision>
  <cp:lastPrinted>2022-09-01T09:27:00Z</cp:lastPrinted>
  <dcterms:created xsi:type="dcterms:W3CDTF">2022-09-12T07:09:00Z</dcterms:created>
  <dcterms:modified xsi:type="dcterms:W3CDTF">2022-09-12T10:53:00Z</dcterms:modified>
</cp:coreProperties>
</file>