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5DF49" w14:textId="3F9088F8" w:rsidR="00A12686" w:rsidRPr="00A73566" w:rsidRDefault="00A12686" w:rsidP="00EF005D">
      <w:pPr>
        <w:rPr>
          <w:rFonts w:ascii="Times New Roman" w:hAnsi="Times New Roman" w:cs="Times New Roman"/>
          <w:lang w:val="ro-RO"/>
        </w:rPr>
      </w:pPr>
      <w:bookmarkStart w:id="0" w:name="_Hlk86000169"/>
      <w:bookmarkEnd w:id="0"/>
    </w:p>
    <w:p w14:paraId="26E37B4C" w14:textId="77777777" w:rsidR="00D05F56" w:rsidRPr="00A73566" w:rsidRDefault="00D05F56" w:rsidP="00EF005D">
      <w:pPr>
        <w:rPr>
          <w:rFonts w:ascii="Times New Roman" w:hAnsi="Times New Roman" w:cs="Times New Roman"/>
          <w:lang w:val="ro-RO"/>
        </w:rPr>
      </w:pPr>
    </w:p>
    <w:p w14:paraId="5FEE79A7" w14:textId="5ABDECCF" w:rsidR="00A12686" w:rsidRPr="00A73566" w:rsidRDefault="00A12686" w:rsidP="00EF005D">
      <w:pPr>
        <w:rPr>
          <w:rFonts w:ascii="Times New Roman" w:hAnsi="Times New Roman" w:cs="Times New Roman"/>
          <w:lang w:val="ro-RO"/>
        </w:rPr>
      </w:pPr>
    </w:p>
    <w:p w14:paraId="63D62E4E" w14:textId="77777777" w:rsidR="00A12686" w:rsidRDefault="00A12686" w:rsidP="00EF005D">
      <w:pPr>
        <w:rPr>
          <w:rFonts w:ascii="Times New Roman" w:hAnsi="Times New Roman" w:cs="Times New Roman"/>
          <w:lang w:val="ro-RO"/>
        </w:rPr>
      </w:pPr>
    </w:p>
    <w:p w14:paraId="64F08F81" w14:textId="77777777" w:rsidR="00914BD2" w:rsidRDefault="00914BD2" w:rsidP="00EF005D">
      <w:pPr>
        <w:rPr>
          <w:rFonts w:ascii="Times New Roman" w:hAnsi="Times New Roman" w:cs="Times New Roman"/>
          <w:lang w:val="ro-RO"/>
        </w:rPr>
      </w:pPr>
    </w:p>
    <w:p w14:paraId="48C3A0B1" w14:textId="77777777" w:rsidR="00914BD2" w:rsidRDefault="00914BD2" w:rsidP="00EF005D">
      <w:pPr>
        <w:rPr>
          <w:rFonts w:ascii="Times New Roman" w:hAnsi="Times New Roman" w:cs="Times New Roman"/>
          <w:lang w:val="ro-RO"/>
        </w:rPr>
      </w:pPr>
    </w:p>
    <w:p w14:paraId="13F87B0C" w14:textId="77777777" w:rsidR="00914BD2" w:rsidRDefault="00914BD2" w:rsidP="00EF005D">
      <w:pPr>
        <w:rPr>
          <w:rFonts w:ascii="Times New Roman" w:hAnsi="Times New Roman" w:cs="Times New Roman"/>
          <w:lang w:val="ro-RO"/>
        </w:rPr>
      </w:pPr>
    </w:p>
    <w:p w14:paraId="7BBE25F8" w14:textId="77777777" w:rsidR="00914BD2" w:rsidRPr="00A73566" w:rsidRDefault="00914BD2" w:rsidP="00914BD2">
      <w:pPr>
        <w:jc w:val="center"/>
        <w:rPr>
          <w:rFonts w:ascii="Times New Roman" w:hAnsi="Times New Roman" w:cs="Times New Roman"/>
          <w:lang w:val="ro-RO"/>
        </w:rPr>
      </w:pPr>
    </w:p>
    <w:p w14:paraId="5D347619" w14:textId="40A39471" w:rsidR="00EF005D" w:rsidRPr="00A73566" w:rsidRDefault="00EF005D" w:rsidP="00EF005D">
      <w:pPr>
        <w:rPr>
          <w:rFonts w:ascii="Times New Roman" w:hAnsi="Times New Roman" w:cs="Times New Roman"/>
          <w:lang w:val="ro-RO"/>
        </w:rPr>
      </w:pPr>
    </w:p>
    <w:p w14:paraId="5E829A73" w14:textId="536C2117" w:rsidR="00EF005D" w:rsidRPr="00A73566" w:rsidRDefault="00EF005D" w:rsidP="00EF005D">
      <w:pPr>
        <w:rPr>
          <w:rFonts w:ascii="Times New Roman" w:hAnsi="Times New Roman" w:cs="Times New Roman"/>
          <w:lang w:val="ro-RO"/>
        </w:rPr>
      </w:pPr>
    </w:p>
    <w:p w14:paraId="5C5DB482" w14:textId="094E53AC" w:rsidR="00AF1948" w:rsidRPr="00A73566" w:rsidRDefault="00EF005D" w:rsidP="00EF005D">
      <w:pPr>
        <w:jc w:val="center"/>
        <w:rPr>
          <w:rFonts w:ascii="Times New Roman" w:hAnsi="Times New Roman" w:cs="Times New Roman"/>
          <w:b/>
          <w:bCs/>
          <w:sz w:val="40"/>
          <w:szCs w:val="40"/>
          <w:lang w:val="ro-RO"/>
        </w:rPr>
      </w:pPr>
      <w:r w:rsidRPr="00A73566">
        <w:rPr>
          <w:rFonts w:ascii="Times New Roman" w:hAnsi="Times New Roman" w:cs="Times New Roman"/>
          <w:b/>
          <w:bCs/>
          <w:sz w:val="40"/>
          <w:szCs w:val="40"/>
          <w:lang w:val="ro-RO"/>
        </w:rPr>
        <w:t xml:space="preserve">STRATEGIA NAȚIONALĂ </w:t>
      </w:r>
      <w:r w:rsidR="00947A14" w:rsidRPr="00A73566">
        <w:rPr>
          <w:rFonts w:ascii="Times New Roman" w:hAnsi="Times New Roman" w:cs="Times New Roman"/>
          <w:b/>
          <w:bCs/>
          <w:sz w:val="40"/>
          <w:szCs w:val="40"/>
          <w:lang w:val="ro-RO"/>
        </w:rPr>
        <w:t>DE</w:t>
      </w:r>
      <w:r w:rsidRPr="00A73566">
        <w:rPr>
          <w:rFonts w:ascii="Times New Roman" w:hAnsi="Times New Roman" w:cs="Times New Roman"/>
          <w:b/>
          <w:bCs/>
          <w:sz w:val="40"/>
          <w:szCs w:val="40"/>
          <w:lang w:val="ro-RO"/>
        </w:rPr>
        <w:t xml:space="preserve"> DEZVOLTARE AGRICOLĂ ȘI RURALĂ </w:t>
      </w:r>
    </w:p>
    <w:p w14:paraId="763E5E19" w14:textId="6CD94BB1" w:rsidR="00EF005D" w:rsidRPr="00A73566" w:rsidRDefault="00AF1948" w:rsidP="00EF005D">
      <w:pPr>
        <w:jc w:val="center"/>
        <w:rPr>
          <w:rFonts w:ascii="Times New Roman" w:hAnsi="Times New Roman" w:cs="Times New Roman"/>
          <w:b/>
          <w:bCs/>
          <w:sz w:val="40"/>
          <w:szCs w:val="40"/>
          <w:lang w:val="ro-RO"/>
        </w:rPr>
      </w:pPr>
      <w:r w:rsidRPr="00A73566">
        <w:rPr>
          <w:rFonts w:ascii="Times New Roman" w:hAnsi="Times New Roman" w:cs="Times New Roman"/>
          <w:b/>
          <w:bCs/>
          <w:sz w:val="40"/>
          <w:szCs w:val="40"/>
          <w:lang w:val="ro-RO"/>
        </w:rPr>
        <w:t>202</w:t>
      </w:r>
      <w:r w:rsidR="006242FC" w:rsidRPr="00A73566">
        <w:rPr>
          <w:rFonts w:ascii="Times New Roman" w:hAnsi="Times New Roman" w:cs="Times New Roman"/>
          <w:b/>
          <w:bCs/>
          <w:sz w:val="40"/>
          <w:szCs w:val="40"/>
          <w:lang w:val="ro-RO"/>
        </w:rPr>
        <w:t>2</w:t>
      </w:r>
      <w:r w:rsidRPr="00A73566">
        <w:rPr>
          <w:rFonts w:ascii="Times New Roman" w:hAnsi="Times New Roman" w:cs="Times New Roman"/>
          <w:b/>
          <w:bCs/>
          <w:sz w:val="40"/>
          <w:szCs w:val="40"/>
          <w:lang w:val="ro-RO"/>
        </w:rPr>
        <w:t xml:space="preserve"> - </w:t>
      </w:r>
      <w:r w:rsidR="00EF005D" w:rsidRPr="00A73566">
        <w:rPr>
          <w:rFonts w:ascii="Times New Roman" w:hAnsi="Times New Roman" w:cs="Times New Roman"/>
          <w:b/>
          <w:bCs/>
          <w:sz w:val="40"/>
          <w:szCs w:val="40"/>
          <w:lang w:val="ro-RO"/>
        </w:rPr>
        <w:t>20</w:t>
      </w:r>
      <w:r w:rsidR="00DD2369" w:rsidRPr="00A73566">
        <w:rPr>
          <w:rFonts w:ascii="Times New Roman" w:hAnsi="Times New Roman" w:cs="Times New Roman"/>
          <w:b/>
          <w:bCs/>
          <w:sz w:val="40"/>
          <w:szCs w:val="40"/>
          <w:lang w:val="ro-RO"/>
        </w:rPr>
        <w:t>27</w:t>
      </w:r>
    </w:p>
    <w:p w14:paraId="745270C2" w14:textId="134E0666" w:rsidR="00EF005D" w:rsidRPr="00A73566" w:rsidRDefault="00EF005D" w:rsidP="00EF005D">
      <w:pPr>
        <w:jc w:val="center"/>
        <w:rPr>
          <w:rFonts w:ascii="Times New Roman" w:hAnsi="Times New Roman" w:cs="Times New Roman"/>
          <w:b/>
          <w:bCs/>
          <w:sz w:val="40"/>
          <w:szCs w:val="40"/>
          <w:lang w:val="ro-RO"/>
        </w:rPr>
      </w:pPr>
    </w:p>
    <w:p w14:paraId="5A6103A5" w14:textId="56D5B38C" w:rsidR="00346556" w:rsidRDefault="00346556" w:rsidP="00EF005D">
      <w:pPr>
        <w:jc w:val="center"/>
        <w:rPr>
          <w:rFonts w:ascii="Times New Roman" w:hAnsi="Times New Roman" w:cs="Times New Roman"/>
          <w:b/>
          <w:bCs/>
          <w:sz w:val="40"/>
          <w:szCs w:val="40"/>
          <w:lang w:val="ro-RO"/>
        </w:rPr>
      </w:pPr>
    </w:p>
    <w:p w14:paraId="1A3F8752" w14:textId="77777777" w:rsidR="00914BD2" w:rsidRDefault="00914BD2" w:rsidP="00EF005D">
      <w:pPr>
        <w:jc w:val="center"/>
        <w:rPr>
          <w:rFonts w:ascii="Times New Roman" w:hAnsi="Times New Roman" w:cs="Times New Roman"/>
          <w:b/>
          <w:bCs/>
          <w:sz w:val="40"/>
          <w:szCs w:val="40"/>
          <w:lang w:val="ro-RO"/>
        </w:rPr>
      </w:pPr>
    </w:p>
    <w:p w14:paraId="12372378" w14:textId="77777777" w:rsidR="00914BD2" w:rsidRDefault="00914BD2" w:rsidP="00EF005D">
      <w:pPr>
        <w:jc w:val="center"/>
        <w:rPr>
          <w:rFonts w:ascii="Times New Roman" w:hAnsi="Times New Roman" w:cs="Times New Roman"/>
          <w:b/>
          <w:bCs/>
          <w:sz w:val="40"/>
          <w:szCs w:val="40"/>
          <w:lang w:val="ro-RO"/>
        </w:rPr>
      </w:pPr>
    </w:p>
    <w:p w14:paraId="68585B6D" w14:textId="77777777" w:rsidR="00914BD2" w:rsidRDefault="00914BD2" w:rsidP="00EF005D">
      <w:pPr>
        <w:jc w:val="center"/>
        <w:rPr>
          <w:rFonts w:ascii="Times New Roman" w:hAnsi="Times New Roman" w:cs="Times New Roman"/>
          <w:b/>
          <w:bCs/>
          <w:sz w:val="40"/>
          <w:szCs w:val="40"/>
          <w:lang w:val="ro-RO"/>
        </w:rPr>
      </w:pPr>
    </w:p>
    <w:p w14:paraId="20B86494" w14:textId="77777777" w:rsidR="00914BD2" w:rsidRDefault="00914BD2" w:rsidP="00EF005D">
      <w:pPr>
        <w:jc w:val="center"/>
        <w:rPr>
          <w:rFonts w:ascii="Times New Roman" w:hAnsi="Times New Roman" w:cs="Times New Roman"/>
          <w:b/>
          <w:bCs/>
          <w:sz w:val="40"/>
          <w:szCs w:val="40"/>
          <w:lang w:val="ro-RO"/>
        </w:rPr>
      </w:pPr>
    </w:p>
    <w:p w14:paraId="5CF73E88" w14:textId="77777777" w:rsidR="00914BD2" w:rsidRDefault="00914BD2" w:rsidP="00EF005D">
      <w:pPr>
        <w:jc w:val="center"/>
        <w:rPr>
          <w:rFonts w:ascii="Times New Roman" w:hAnsi="Times New Roman" w:cs="Times New Roman"/>
          <w:b/>
          <w:bCs/>
          <w:sz w:val="40"/>
          <w:szCs w:val="40"/>
          <w:lang w:val="ro-RO"/>
        </w:rPr>
      </w:pPr>
    </w:p>
    <w:p w14:paraId="1426CD29" w14:textId="77777777" w:rsidR="00914BD2" w:rsidRDefault="00914BD2" w:rsidP="00EF005D">
      <w:pPr>
        <w:jc w:val="center"/>
        <w:rPr>
          <w:rFonts w:ascii="Times New Roman" w:hAnsi="Times New Roman" w:cs="Times New Roman"/>
          <w:b/>
          <w:bCs/>
          <w:sz w:val="40"/>
          <w:szCs w:val="40"/>
          <w:lang w:val="ro-RO"/>
        </w:rPr>
      </w:pPr>
    </w:p>
    <w:p w14:paraId="24AEE48A" w14:textId="77777777" w:rsidR="00914BD2" w:rsidRDefault="00914BD2" w:rsidP="00EF005D">
      <w:pPr>
        <w:jc w:val="center"/>
        <w:rPr>
          <w:rFonts w:ascii="Times New Roman" w:hAnsi="Times New Roman" w:cs="Times New Roman"/>
          <w:b/>
          <w:bCs/>
          <w:sz w:val="40"/>
          <w:szCs w:val="40"/>
          <w:lang w:val="ro-RO"/>
        </w:rPr>
      </w:pPr>
    </w:p>
    <w:p w14:paraId="64823FE0" w14:textId="77777777" w:rsidR="00914BD2" w:rsidRDefault="00914BD2" w:rsidP="00EF005D">
      <w:pPr>
        <w:jc w:val="center"/>
        <w:rPr>
          <w:rFonts w:ascii="Times New Roman" w:hAnsi="Times New Roman" w:cs="Times New Roman"/>
          <w:b/>
          <w:bCs/>
          <w:sz w:val="40"/>
          <w:szCs w:val="40"/>
          <w:lang w:val="ro-RO"/>
        </w:rPr>
      </w:pPr>
    </w:p>
    <w:p w14:paraId="73D958A0" w14:textId="77777777" w:rsidR="00914BD2" w:rsidRDefault="00914BD2" w:rsidP="00EF005D">
      <w:pPr>
        <w:jc w:val="center"/>
        <w:rPr>
          <w:rFonts w:ascii="Times New Roman" w:hAnsi="Times New Roman" w:cs="Times New Roman"/>
          <w:b/>
          <w:bCs/>
          <w:sz w:val="40"/>
          <w:szCs w:val="40"/>
          <w:lang w:val="ro-RO"/>
        </w:rPr>
      </w:pPr>
    </w:p>
    <w:p w14:paraId="7429F3AC" w14:textId="77777777" w:rsidR="00914BD2" w:rsidRDefault="00914BD2" w:rsidP="00EF005D">
      <w:pPr>
        <w:jc w:val="center"/>
        <w:rPr>
          <w:rFonts w:ascii="Times New Roman" w:hAnsi="Times New Roman" w:cs="Times New Roman"/>
          <w:b/>
          <w:bCs/>
          <w:sz w:val="40"/>
          <w:szCs w:val="40"/>
          <w:lang w:val="ro-RO"/>
        </w:rPr>
      </w:pPr>
    </w:p>
    <w:p w14:paraId="08760FF0" w14:textId="77777777" w:rsidR="00914BD2" w:rsidRDefault="00914BD2" w:rsidP="00EF005D">
      <w:pPr>
        <w:jc w:val="center"/>
        <w:rPr>
          <w:rFonts w:ascii="Times New Roman" w:hAnsi="Times New Roman" w:cs="Times New Roman"/>
          <w:b/>
          <w:bCs/>
          <w:sz w:val="40"/>
          <w:szCs w:val="40"/>
          <w:lang w:val="ro-RO"/>
        </w:rPr>
      </w:pPr>
    </w:p>
    <w:p w14:paraId="6E6F30A4" w14:textId="3AA9E7FC" w:rsidR="00346556" w:rsidRPr="00A73566" w:rsidRDefault="00346556" w:rsidP="00EF005D">
      <w:pPr>
        <w:jc w:val="center"/>
        <w:rPr>
          <w:rFonts w:ascii="Times New Roman" w:hAnsi="Times New Roman" w:cs="Times New Roman"/>
          <w:b/>
          <w:bCs/>
          <w:sz w:val="40"/>
          <w:szCs w:val="40"/>
          <w:lang w:val="ro-RO"/>
        </w:rPr>
      </w:pPr>
    </w:p>
    <w:p w14:paraId="3FA2F160" w14:textId="605CD8A8" w:rsidR="006242FC" w:rsidRDefault="00914BD2" w:rsidP="00EF005D">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23</w:t>
      </w:r>
      <w:r w:rsidR="00D75E29" w:rsidRPr="00A73566">
        <w:rPr>
          <w:rFonts w:ascii="Times New Roman" w:hAnsi="Times New Roman" w:cs="Times New Roman"/>
          <w:b/>
          <w:bCs/>
          <w:sz w:val="28"/>
          <w:szCs w:val="28"/>
          <w:lang w:val="ro-RO"/>
        </w:rPr>
        <w:t xml:space="preserve"> Decembrie</w:t>
      </w:r>
      <w:r w:rsidR="00B33AEF" w:rsidRPr="00A73566">
        <w:rPr>
          <w:rFonts w:ascii="Times New Roman" w:hAnsi="Times New Roman" w:cs="Times New Roman"/>
          <w:b/>
          <w:bCs/>
          <w:sz w:val="28"/>
          <w:szCs w:val="28"/>
          <w:lang w:val="ro-RO"/>
        </w:rPr>
        <w:t xml:space="preserve"> 2021</w:t>
      </w:r>
    </w:p>
    <w:p w14:paraId="4B2A02CF" w14:textId="77777777" w:rsidR="00914BD2" w:rsidRPr="00A73566" w:rsidRDefault="00914BD2" w:rsidP="00EF005D">
      <w:pPr>
        <w:jc w:val="center"/>
        <w:rPr>
          <w:rFonts w:ascii="Times New Roman" w:hAnsi="Times New Roman" w:cs="Times New Roman"/>
          <w:b/>
          <w:bCs/>
          <w:sz w:val="40"/>
          <w:szCs w:val="40"/>
          <w:lang w:val="ro-RO"/>
        </w:rPr>
        <w:sectPr w:rsidR="00914BD2" w:rsidRPr="00A73566" w:rsidSect="006657BC">
          <w:headerReference w:type="even" r:id="rId11"/>
          <w:headerReference w:type="default" r:id="rId12"/>
          <w:footerReference w:type="even" r:id="rId13"/>
          <w:footerReference w:type="default" r:id="rId14"/>
          <w:pgSz w:w="11907" w:h="16839" w:code="9"/>
          <w:pgMar w:top="1440" w:right="1022" w:bottom="1152" w:left="1440" w:header="706" w:footer="283" w:gutter="0"/>
          <w:pgNumType w:start="0"/>
          <w:cols w:space="708"/>
          <w:titlePg/>
          <w:docGrid w:linePitch="360"/>
        </w:sectPr>
      </w:pPr>
    </w:p>
    <w:sdt>
      <w:sdtPr>
        <w:rPr>
          <w:rFonts w:ascii="Times New Roman" w:hAnsi="Times New Roman" w:cs="Times New Roman"/>
          <w:lang w:val="ro-RO"/>
        </w:rPr>
        <w:id w:val="-2138714059"/>
        <w:docPartObj>
          <w:docPartGallery w:val="Table of Contents"/>
          <w:docPartUnique/>
        </w:docPartObj>
      </w:sdtPr>
      <w:sdtEndPr>
        <w:rPr>
          <w:b/>
          <w:bCs/>
        </w:rPr>
      </w:sdtEndPr>
      <w:sdtContent>
        <w:p w14:paraId="07E24B96" w14:textId="1A55BD1C" w:rsidR="001355F3" w:rsidRPr="00A73566" w:rsidRDefault="001355F3">
          <w:pPr>
            <w:spacing w:after="0"/>
            <w:jc w:val="left"/>
            <w:rPr>
              <w:rFonts w:ascii="Times New Roman" w:hAnsi="Times New Roman" w:cs="Times New Roman"/>
              <w:lang w:val="ro-RO"/>
            </w:rPr>
          </w:pPr>
        </w:p>
        <w:p w14:paraId="7D416940" w14:textId="5E7349C7" w:rsidR="00EF005D" w:rsidRPr="00A73566" w:rsidRDefault="006F0AD7">
          <w:pPr>
            <w:pStyle w:val="TOCHeading"/>
            <w:rPr>
              <w:rFonts w:ascii="Times New Roman" w:hAnsi="Times New Roman" w:cs="Times New Roman"/>
              <w:lang w:val="ro-RO"/>
            </w:rPr>
          </w:pPr>
          <w:r w:rsidRPr="00A73566">
            <w:rPr>
              <w:rFonts w:ascii="Times New Roman" w:hAnsi="Times New Roman" w:cs="Times New Roman"/>
              <w:lang w:val="ro-RO"/>
            </w:rPr>
            <w:t>CUPRINS</w:t>
          </w:r>
        </w:p>
        <w:p w14:paraId="57F04BC6" w14:textId="53B9F259" w:rsidR="00FB3B88" w:rsidRPr="00A73566" w:rsidRDefault="00EF005D">
          <w:pPr>
            <w:pStyle w:val="TOC1"/>
            <w:tabs>
              <w:tab w:val="right" w:leader="dot" w:pos="9435"/>
            </w:tabs>
            <w:rPr>
              <w:rFonts w:ascii="Times New Roman" w:eastAsiaTheme="minorEastAsia" w:hAnsi="Times New Roman" w:cs="Times New Roman"/>
              <w:bCs w:val="0"/>
              <w:i w:val="0"/>
              <w:iCs w:val="0"/>
              <w:noProof/>
              <w:sz w:val="22"/>
              <w:szCs w:val="22"/>
              <w:lang w:val="ro-RO"/>
            </w:rPr>
          </w:pPr>
          <w:r w:rsidRPr="00A73566">
            <w:rPr>
              <w:rFonts w:ascii="Times New Roman" w:hAnsi="Times New Roman" w:cs="Times New Roman"/>
              <w:bCs w:val="0"/>
              <w:i w:val="0"/>
              <w:iCs w:val="0"/>
              <w:lang w:val="ro-RO"/>
            </w:rPr>
            <w:fldChar w:fldCharType="begin"/>
          </w:r>
          <w:r w:rsidRPr="00A73566">
            <w:rPr>
              <w:rFonts w:ascii="Times New Roman" w:hAnsi="Times New Roman" w:cs="Times New Roman"/>
              <w:i w:val="0"/>
              <w:iCs w:val="0"/>
              <w:lang w:val="ro-RO"/>
            </w:rPr>
            <w:instrText xml:space="preserve"> TOC \o "1-3" \h \z \u </w:instrText>
          </w:r>
          <w:r w:rsidRPr="00A73566">
            <w:rPr>
              <w:rFonts w:ascii="Times New Roman" w:hAnsi="Times New Roman" w:cs="Times New Roman"/>
              <w:bCs w:val="0"/>
              <w:i w:val="0"/>
              <w:iCs w:val="0"/>
              <w:lang w:val="ro-RO"/>
            </w:rPr>
            <w:fldChar w:fldCharType="separate"/>
          </w:r>
          <w:hyperlink w:anchor="_Toc88132096" w:history="1">
            <w:r w:rsidR="00FB3B88" w:rsidRPr="00A73566">
              <w:rPr>
                <w:rStyle w:val="Hyperlink"/>
                <w:rFonts w:ascii="Times New Roman" w:hAnsi="Times New Roman" w:cs="Times New Roman"/>
                <w:i w:val="0"/>
                <w:noProof/>
                <w:lang w:val="ro-RO"/>
              </w:rPr>
              <w:t>Abrevieri</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_Toc88132096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2</w:t>
            </w:r>
            <w:r w:rsidR="00FB3B88" w:rsidRPr="00A73566">
              <w:rPr>
                <w:rFonts w:ascii="Times New Roman" w:hAnsi="Times New Roman" w:cs="Times New Roman"/>
                <w:i w:val="0"/>
                <w:noProof/>
                <w:webHidden/>
                <w:lang w:val="ro-RO"/>
              </w:rPr>
              <w:fldChar w:fldCharType="end"/>
            </w:r>
          </w:hyperlink>
        </w:p>
        <w:p w14:paraId="3897C00D" w14:textId="69B05808" w:rsidR="00FB3B88" w:rsidRPr="00A73566" w:rsidRDefault="00914BD2">
          <w:pPr>
            <w:pStyle w:val="TOC1"/>
            <w:tabs>
              <w:tab w:val="right" w:leader="dot" w:pos="9435"/>
            </w:tabs>
            <w:rPr>
              <w:rFonts w:ascii="Times New Roman" w:eastAsiaTheme="minorEastAsia" w:hAnsi="Times New Roman" w:cs="Times New Roman"/>
              <w:bCs w:val="0"/>
              <w:i w:val="0"/>
              <w:iCs w:val="0"/>
              <w:noProof/>
              <w:sz w:val="22"/>
              <w:szCs w:val="22"/>
              <w:lang w:val="ro-RO"/>
            </w:rPr>
          </w:pPr>
          <w:hyperlink w:anchor="_Toc88132097" w:history="1">
            <w:r w:rsidR="00FB3B88" w:rsidRPr="00A73566">
              <w:rPr>
                <w:rStyle w:val="Hyperlink"/>
                <w:rFonts w:ascii="Times New Roman" w:hAnsi="Times New Roman" w:cs="Times New Roman"/>
                <w:i w:val="0"/>
                <w:noProof/>
                <w:lang w:val="ro-RO"/>
              </w:rPr>
              <w:t>Introducere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_Toc88132097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3</w:t>
            </w:r>
            <w:r w:rsidR="00FB3B88" w:rsidRPr="00A73566">
              <w:rPr>
                <w:rFonts w:ascii="Times New Roman" w:hAnsi="Times New Roman" w:cs="Times New Roman"/>
                <w:i w:val="0"/>
                <w:noProof/>
                <w:webHidden/>
                <w:lang w:val="ro-RO"/>
              </w:rPr>
              <w:fldChar w:fldCharType="end"/>
            </w:r>
          </w:hyperlink>
        </w:p>
        <w:p w14:paraId="30AF7363" w14:textId="5F1BE423"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098" w:history="1">
            <w:r w:rsidR="00FB3B88" w:rsidRPr="00A73566">
              <w:rPr>
                <w:rStyle w:val="Hyperlink"/>
                <w:rFonts w:ascii="Times New Roman" w:hAnsi="Times New Roman" w:cs="Times New Roman"/>
                <w:i w:val="0"/>
                <w:noProof/>
                <w:lang w:val="ro-RO"/>
              </w:rPr>
              <w:t>1.</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Analiza situației</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_Toc88132098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5</w:t>
            </w:r>
            <w:r w:rsidR="00FB3B88" w:rsidRPr="00A73566">
              <w:rPr>
                <w:rFonts w:ascii="Times New Roman" w:hAnsi="Times New Roman" w:cs="Times New Roman"/>
                <w:i w:val="0"/>
                <w:noProof/>
                <w:webHidden/>
                <w:lang w:val="ro-RO"/>
              </w:rPr>
              <w:fldChar w:fldCharType="end"/>
            </w:r>
          </w:hyperlink>
        </w:p>
        <w:p w14:paraId="55EA6D70" w14:textId="00DAD120" w:rsidR="00FB3B88" w:rsidRPr="00A73566" w:rsidRDefault="00914BD2">
          <w:pPr>
            <w:pStyle w:val="TOC2"/>
            <w:rPr>
              <w:rFonts w:eastAsiaTheme="minorEastAsia"/>
              <w:bCs w:val="0"/>
              <w:i w:val="0"/>
              <w:iCs w:val="0"/>
            </w:rPr>
          </w:pPr>
          <w:hyperlink w:anchor="_Toc88132099" w:history="1">
            <w:r w:rsidR="00FB3B88" w:rsidRPr="00A73566">
              <w:rPr>
                <w:rStyle w:val="Hyperlink"/>
                <w:i w:val="0"/>
              </w:rPr>
              <w:t>1.1.</w:t>
            </w:r>
            <w:r w:rsidR="00FB3B88" w:rsidRPr="00A73566">
              <w:rPr>
                <w:rFonts w:eastAsiaTheme="minorEastAsia"/>
                <w:bCs w:val="0"/>
                <w:i w:val="0"/>
                <w:iCs w:val="0"/>
              </w:rPr>
              <w:tab/>
            </w:r>
            <w:r w:rsidR="00FB3B88" w:rsidRPr="00A73566">
              <w:rPr>
                <w:rStyle w:val="Hyperlink"/>
                <w:i w:val="0"/>
              </w:rPr>
              <w:t>Rolul agriculturii în economia națională</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_Toc88132099 \h </w:instrText>
            </w:r>
            <w:r w:rsidR="00FB3B88" w:rsidRPr="00A73566">
              <w:rPr>
                <w:i w:val="0"/>
                <w:webHidden/>
              </w:rPr>
            </w:r>
            <w:r w:rsidR="00FB3B88" w:rsidRPr="00A73566">
              <w:rPr>
                <w:i w:val="0"/>
                <w:webHidden/>
              </w:rPr>
              <w:fldChar w:fldCharType="separate"/>
            </w:r>
            <w:r w:rsidR="009A2BC5" w:rsidRPr="00A73566">
              <w:rPr>
                <w:i w:val="0"/>
                <w:webHidden/>
              </w:rPr>
              <w:t>5</w:t>
            </w:r>
            <w:r w:rsidR="00FB3B88" w:rsidRPr="00A73566">
              <w:rPr>
                <w:i w:val="0"/>
                <w:webHidden/>
              </w:rPr>
              <w:fldChar w:fldCharType="end"/>
            </w:r>
          </w:hyperlink>
        </w:p>
        <w:p w14:paraId="1D753EAD" w14:textId="2DCBD0DD" w:rsidR="00FB3B88" w:rsidRPr="00A73566" w:rsidRDefault="00914BD2">
          <w:pPr>
            <w:pStyle w:val="TOC2"/>
            <w:rPr>
              <w:rFonts w:eastAsiaTheme="minorEastAsia"/>
              <w:bCs w:val="0"/>
              <w:i w:val="0"/>
              <w:iCs w:val="0"/>
            </w:rPr>
          </w:pPr>
          <w:hyperlink w:anchor="_Toc88132100" w:history="1">
            <w:r w:rsidR="00FB3B88" w:rsidRPr="00A73566">
              <w:rPr>
                <w:rStyle w:val="Hyperlink"/>
                <w:i w:val="0"/>
              </w:rPr>
              <w:t>1.2.</w:t>
            </w:r>
            <w:r w:rsidR="00FB3B88" w:rsidRPr="00A73566">
              <w:rPr>
                <w:rFonts w:eastAsiaTheme="minorEastAsia"/>
                <w:bCs w:val="0"/>
                <w:i w:val="0"/>
                <w:iCs w:val="0"/>
              </w:rPr>
              <w:tab/>
            </w:r>
            <w:r w:rsidR="00FB3B88" w:rsidRPr="00A73566">
              <w:rPr>
                <w:rStyle w:val="Hyperlink"/>
                <w:i w:val="0"/>
              </w:rPr>
              <w:t>Tendințe în dezvoltarea agriculturii</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_Toc88132100 \h </w:instrText>
            </w:r>
            <w:r w:rsidR="00FB3B88" w:rsidRPr="00A73566">
              <w:rPr>
                <w:i w:val="0"/>
                <w:webHidden/>
              </w:rPr>
            </w:r>
            <w:r w:rsidR="00FB3B88" w:rsidRPr="00A73566">
              <w:rPr>
                <w:i w:val="0"/>
                <w:webHidden/>
              </w:rPr>
              <w:fldChar w:fldCharType="separate"/>
            </w:r>
            <w:r w:rsidR="009A2BC5" w:rsidRPr="00A73566">
              <w:rPr>
                <w:i w:val="0"/>
                <w:webHidden/>
              </w:rPr>
              <w:t>8</w:t>
            </w:r>
            <w:r w:rsidR="00FB3B88" w:rsidRPr="00A73566">
              <w:rPr>
                <w:i w:val="0"/>
                <w:webHidden/>
              </w:rPr>
              <w:fldChar w:fldCharType="end"/>
            </w:r>
          </w:hyperlink>
        </w:p>
        <w:p w14:paraId="35F23649" w14:textId="6B2265AF" w:rsidR="00FB3B88" w:rsidRPr="00A73566" w:rsidRDefault="00914BD2" w:rsidP="00F943B1">
          <w:pPr>
            <w:pStyle w:val="TOC3"/>
            <w:rPr>
              <w:rFonts w:eastAsiaTheme="minorEastAsia"/>
              <w:noProof/>
              <w:sz w:val="22"/>
              <w:szCs w:val="22"/>
              <w:lang w:val="ro-RO"/>
            </w:rPr>
          </w:pPr>
          <w:hyperlink w:anchor="_Toc88132101" w:history="1">
            <w:r w:rsidR="00FB3B88" w:rsidRPr="00A73566">
              <w:rPr>
                <w:rStyle w:val="Hyperlink"/>
                <w:rFonts w:ascii="Times New Roman" w:hAnsi="Times New Roman" w:cs="Times New Roman"/>
                <w:b/>
                <w:noProof/>
                <w:lang w:val="ro-RO"/>
              </w:rPr>
              <w:t>1.2.1.</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Volumul producției</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_Toc88132101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8</w:t>
            </w:r>
            <w:r w:rsidR="00FB3B88" w:rsidRPr="00A73566">
              <w:rPr>
                <w:noProof/>
                <w:webHidden/>
                <w:lang w:val="ro-RO"/>
              </w:rPr>
              <w:fldChar w:fldCharType="end"/>
            </w:r>
          </w:hyperlink>
        </w:p>
        <w:p w14:paraId="28195448" w14:textId="247ED390" w:rsidR="00FB3B88" w:rsidRPr="00A73566" w:rsidRDefault="00914BD2" w:rsidP="00F943B1">
          <w:pPr>
            <w:pStyle w:val="TOC3"/>
            <w:rPr>
              <w:rFonts w:eastAsiaTheme="minorEastAsia"/>
              <w:noProof/>
              <w:sz w:val="22"/>
              <w:szCs w:val="22"/>
              <w:lang w:val="ro-RO"/>
            </w:rPr>
          </w:pPr>
          <w:hyperlink w:anchor="_Toc88132102" w:history="1">
            <w:r w:rsidR="00FB3B88" w:rsidRPr="00A73566">
              <w:rPr>
                <w:rStyle w:val="Hyperlink"/>
                <w:rFonts w:ascii="Times New Roman" w:hAnsi="Times New Roman" w:cs="Times New Roman"/>
                <w:b/>
                <w:noProof/>
                <w:lang w:val="ro-RO"/>
              </w:rPr>
              <w:t>1.2.2.</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Fondul funciar, suprafețele însămânțate și plantații multianuale</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_Toc88132102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9</w:t>
            </w:r>
            <w:r w:rsidR="00FB3B88" w:rsidRPr="00A73566">
              <w:rPr>
                <w:noProof/>
                <w:webHidden/>
                <w:lang w:val="ro-RO"/>
              </w:rPr>
              <w:fldChar w:fldCharType="end"/>
            </w:r>
          </w:hyperlink>
        </w:p>
        <w:p w14:paraId="6EC305C0" w14:textId="49296C01" w:rsidR="00FB3B88" w:rsidRPr="00A73566" w:rsidRDefault="00914BD2" w:rsidP="00F943B1">
          <w:pPr>
            <w:pStyle w:val="TOC3"/>
            <w:rPr>
              <w:rFonts w:eastAsiaTheme="minorEastAsia"/>
              <w:noProof/>
              <w:sz w:val="22"/>
              <w:szCs w:val="22"/>
              <w:lang w:val="ro-RO"/>
            </w:rPr>
          </w:pPr>
          <w:hyperlink w:anchor="_Toc88132103" w:history="1">
            <w:r w:rsidR="00FB3B88" w:rsidRPr="00A73566">
              <w:rPr>
                <w:rStyle w:val="Hyperlink"/>
                <w:rFonts w:ascii="Times New Roman" w:hAnsi="Times New Roman" w:cs="Times New Roman"/>
                <w:b/>
                <w:noProof/>
                <w:lang w:val="ro-RO"/>
              </w:rPr>
              <w:t>1.2.3.</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Schimbările climatice</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_Toc88132103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14</w:t>
            </w:r>
            <w:r w:rsidR="00FB3B88" w:rsidRPr="00A73566">
              <w:rPr>
                <w:noProof/>
                <w:webHidden/>
                <w:lang w:val="ro-RO"/>
              </w:rPr>
              <w:fldChar w:fldCharType="end"/>
            </w:r>
          </w:hyperlink>
        </w:p>
        <w:p w14:paraId="4AC08E69" w14:textId="76CD4B89" w:rsidR="00FB3B88" w:rsidRPr="00A73566" w:rsidRDefault="00914BD2" w:rsidP="00F943B1">
          <w:pPr>
            <w:pStyle w:val="TOC3"/>
            <w:rPr>
              <w:rFonts w:eastAsiaTheme="minorEastAsia"/>
              <w:noProof/>
              <w:sz w:val="22"/>
              <w:szCs w:val="22"/>
              <w:lang w:val="ro-RO"/>
            </w:rPr>
          </w:pPr>
          <w:hyperlink w:anchor="_Toc88132104" w:history="1">
            <w:r w:rsidR="00FB3B88" w:rsidRPr="00A73566">
              <w:rPr>
                <w:rStyle w:val="Hyperlink"/>
                <w:rFonts w:ascii="Times New Roman" w:hAnsi="Times New Roman" w:cs="Times New Roman"/>
                <w:b/>
                <w:noProof/>
                <w:lang w:val="ro-RO"/>
              </w:rPr>
              <w:t>1.2.4.</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Infrastructura de irigare și managementul apelor</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_Toc88132104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18</w:t>
            </w:r>
            <w:r w:rsidR="00FB3B88" w:rsidRPr="00A73566">
              <w:rPr>
                <w:noProof/>
                <w:webHidden/>
                <w:lang w:val="ro-RO"/>
              </w:rPr>
              <w:fldChar w:fldCharType="end"/>
            </w:r>
          </w:hyperlink>
        </w:p>
        <w:p w14:paraId="58242F21" w14:textId="39DCD41A" w:rsidR="00FB3B88" w:rsidRPr="00A73566" w:rsidRDefault="00914BD2" w:rsidP="00F943B1">
          <w:pPr>
            <w:pStyle w:val="TOC3"/>
            <w:rPr>
              <w:rFonts w:eastAsiaTheme="minorEastAsia"/>
              <w:noProof/>
              <w:sz w:val="22"/>
              <w:szCs w:val="22"/>
              <w:lang w:val="ro-RO"/>
            </w:rPr>
          </w:pPr>
          <w:hyperlink w:anchor="_Toc88132105" w:history="1">
            <w:r w:rsidR="00FB3B88" w:rsidRPr="00A73566">
              <w:rPr>
                <w:rStyle w:val="Hyperlink"/>
                <w:rFonts w:ascii="Times New Roman" w:eastAsia="Calibri" w:hAnsi="Times New Roman" w:cs="Times New Roman"/>
                <w:b/>
                <w:noProof/>
                <w:lang w:val="ro-RO"/>
              </w:rPr>
              <w:t>1.2.5.</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Agricultura ecologică</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_Toc88132105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19</w:t>
            </w:r>
            <w:r w:rsidR="00FB3B88" w:rsidRPr="00A73566">
              <w:rPr>
                <w:noProof/>
                <w:webHidden/>
                <w:lang w:val="ro-RO"/>
              </w:rPr>
              <w:fldChar w:fldCharType="end"/>
            </w:r>
          </w:hyperlink>
        </w:p>
        <w:p w14:paraId="7F30EEC9" w14:textId="100BB215" w:rsidR="00FB3B88" w:rsidRPr="00A73566" w:rsidRDefault="00914BD2" w:rsidP="00F943B1">
          <w:pPr>
            <w:pStyle w:val="TOC3"/>
            <w:rPr>
              <w:rFonts w:eastAsiaTheme="minorEastAsia"/>
              <w:noProof/>
              <w:sz w:val="22"/>
              <w:szCs w:val="22"/>
              <w:lang w:val="ro-RO"/>
            </w:rPr>
          </w:pPr>
          <w:hyperlink w:anchor="_Toc88132106" w:history="1">
            <w:r w:rsidR="00FB3B88" w:rsidRPr="00A73566">
              <w:rPr>
                <w:rStyle w:val="Hyperlink"/>
                <w:rFonts w:ascii="Times New Roman" w:hAnsi="Times New Roman" w:cs="Times New Roman"/>
                <w:b/>
                <w:noProof/>
                <w:lang w:val="ro-RO"/>
              </w:rPr>
              <w:t>1.2.6.</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Investițiile</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_Toc88132106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20</w:t>
            </w:r>
            <w:r w:rsidR="00FB3B88" w:rsidRPr="00A73566">
              <w:rPr>
                <w:noProof/>
                <w:webHidden/>
                <w:lang w:val="ro-RO"/>
              </w:rPr>
              <w:fldChar w:fldCharType="end"/>
            </w:r>
          </w:hyperlink>
        </w:p>
        <w:p w14:paraId="13458125" w14:textId="54174F2D" w:rsidR="00FB3B88" w:rsidRPr="00A73566" w:rsidRDefault="00914BD2">
          <w:pPr>
            <w:pStyle w:val="TOC2"/>
            <w:rPr>
              <w:rFonts w:eastAsiaTheme="minorEastAsia"/>
              <w:bCs w:val="0"/>
              <w:i w:val="0"/>
              <w:iCs w:val="0"/>
            </w:rPr>
          </w:pPr>
          <w:hyperlink w:anchor="_Toc88132107" w:history="1">
            <w:r w:rsidR="00FB3B88" w:rsidRPr="00A73566">
              <w:rPr>
                <w:rStyle w:val="Hyperlink"/>
                <w:i w:val="0"/>
              </w:rPr>
              <w:t>1.3.</w:t>
            </w:r>
            <w:r w:rsidR="00FB3B88" w:rsidRPr="00A73566">
              <w:rPr>
                <w:rFonts w:eastAsiaTheme="minorEastAsia"/>
                <w:bCs w:val="0"/>
                <w:i w:val="0"/>
                <w:iCs w:val="0"/>
              </w:rPr>
              <w:tab/>
            </w:r>
            <w:r w:rsidR="00FB3B88" w:rsidRPr="00A73566">
              <w:rPr>
                <w:rStyle w:val="Hyperlink"/>
                <w:i w:val="0"/>
              </w:rPr>
              <w:t>Evoluția sectorului agroalimentar</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_Toc88132107 \h </w:instrText>
            </w:r>
            <w:r w:rsidR="00FB3B88" w:rsidRPr="00A73566">
              <w:rPr>
                <w:i w:val="0"/>
                <w:webHidden/>
              </w:rPr>
            </w:r>
            <w:r w:rsidR="00FB3B88" w:rsidRPr="00A73566">
              <w:rPr>
                <w:i w:val="0"/>
                <w:webHidden/>
              </w:rPr>
              <w:fldChar w:fldCharType="separate"/>
            </w:r>
            <w:r w:rsidR="009A2BC5" w:rsidRPr="00A73566">
              <w:rPr>
                <w:i w:val="0"/>
                <w:webHidden/>
              </w:rPr>
              <w:t>21</w:t>
            </w:r>
            <w:r w:rsidR="00FB3B88" w:rsidRPr="00A73566">
              <w:rPr>
                <w:i w:val="0"/>
                <w:webHidden/>
              </w:rPr>
              <w:fldChar w:fldCharType="end"/>
            </w:r>
          </w:hyperlink>
        </w:p>
        <w:p w14:paraId="6C78201C" w14:textId="09BDBB72" w:rsidR="00FB3B88" w:rsidRPr="00A73566" w:rsidRDefault="00914BD2" w:rsidP="00F943B1">
          <w:pPr>
            <w:pStyle w:val="TOC3"/>
            <w:rPr>
              <w:rFonts w:eastAsiaTheme="minorEastAsia"/>
              <w:noProof/>
              <w:sz w:val="22"/>
              <w:szCs w:val="22"/>
              <w:lang w:val="ro-RO"/>
            </w:rPr>
          </w:pPr>
          <w:hyperlink w:anchor="_Toc88132108" w:history="1">
            <w:r w:rsidR="00FB3B88" w:rsidRPr="00A73566">
              <w:rPr>
                <w:rStyle w:val="Hyperlink"/>
                <w:rFonts w:ascii="Times New Roman" w:hAnsi="Times New Roman" w:cs="Times New Roman"/>
                <w:b/>
                <w:noProof/>
                <w:lang w:val="ro-RO"/>
              </w:rPr>
              <w:t>1.3.1.</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Producția vegetală</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_Toc88132108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21</w:t>
            </w:r>
            <w:r w:rsidR="00FB3B88" w:rsidRPr="00A73566">
              <w:rPr>
                <w:noProof/>
                <w:webHidden/>
                <w:lang w:val="ro-RO"/>
              </w:rPr>
              <w:fldChar w:fldCharType="end"/>
            </w:r>
          </w:hyperlink>
        </w:p>
        <w:p w14:paraId="5774D0CD" w14:textId="1DF6E02B" w:rsidR="00FB3B88" w:rsidRPr="00A73566" w:rsidRDefault="00914BD2" w:rsidP="00F943B1">
          <w:pPr>
            <w:pStyle w:val="TOC3"/>
            <w:rPr>
              <w:rFonts w:eastAsiaTheme="minorEastAsia"/>
              <w:noProof/>
              <w:sz w:val="22"/>
              <w:szCs w:val="22"/>
              <w:lang w:val="ro-RO"/>
            </w:rPr>
          </w:pPr>
          <w:hyperlink w:anchor="_Toc88132109" w:history="1">
            <w:r w:rsidR="00FB3B88" w:rsidRPr="00A73566">
              <w:rPr>
                <w:rStyle w:val="Hyperlink"/>
                <w:rFonts w:ascii="Times New Roman" w:hAnsi="Times New Roman" w:cs="Times New Roman"/>
                <w:b/>
                <w:noProof/>
                <w:lang w:val="ro-RO"/>
              </w:rPr>
              <w:t>1.3.2.</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Zootehnie</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_Toc88132109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25</w:t>
            </w:r>
            <w:r w:rsidR="00FB3B88" w:rsidRPr="00A73566">
              <w:rPr>
                <w:noProof/>
                <w:webHidden/>
                <w:lang w:val="ro-RO"/>
              </w:rPr>
              <w:fldChar w:fldCharType="end"/>
            </w:r>
          </w:hyperlink>
        </w:p>
        <w:p w14:paraId="377B216A" w14:textId="33C9F578" w:rsidR="00FB3B88" w:rsidRPr="00A73566" w:rsidRDefault="00914BD2" w:rsidP="00F943B1">
          <w:pPr>
            <w:pStyle w:val="TOC3"/>
            <w:rPr>
              <w:rFonts w:eastAsiaTheme="minorEastAsia"/>
              <w:noProof/>
              <w:sz w:val="22"/>
              <w:szCs w:val="22"/>
              <w:lang w:val="ro-RO"/>
            </w:rPr>
          </w:pPr>
          <w:hyperlink w:anchor="_Toc88132110" w:history="1">
            <w:r w:rsidR="00FB3B88" w:rsidRPr="00A73566">
              <w:rPr>
                <w:rStyle w:val="Hyperlink"/>
                <w:rFonts w:ascii="Times New Roman" w:hAnsi="Times New Roman" w:cs="Times New Roman"/>
                <w:b/>
                <w:noProof/>
                <w:lang w:val="ro-RO"/>
              </w:rPr>
              <w:t>1.3.3.</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Industria agroalimentară</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_Toc88132110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31</w:t>
            </w:r>
            <w:r w:rsidR="00FB3B88" w:rsidRPr="00A73566">
              <w:rPr>
                <w:noProof/>
                <w:webHidden/>
                <w:lang w:val="ro-RO"/>
              </w:rPr>
              <w:fldChar w:fldCharType="end"/>
            </w:r>
          </w:hyperlink>
        </w:p>
        <w:p w14:paraId="09BDAA4A" w14:textId="1622205B" w:rsidR="00FB3B88" w:rsidRPr="00A73566" w:rsidRDefault="00914BD2">
          <w:pPr>
            <w:pStyle w:val="TOC2"/>
            <w:rPr>
              <w:rFonts w:eastAsiaTheme="minorEastAsia"/>
              <w:bCs w:val="0"/>
              <w:i w:val="0"/>
              <w:iCs w:val="0"/>
            </w:rPr>
          </w:pPr>
          <w:hyperlink w:anchor="_Toc88132111" w:history="1">
            <w:r w:rsidR="00FB3B88" w:rsidRPr="00A73566">
              <w:rPr>
                <w:rStyle w:val="Hyperlink"/>
                <w:i w:val="0"/>
              </w:rPr>
              <w:t>1.4.</w:t>
            </w:r>
            <w:r w:rsidR="00FB3B88" w:rsidRPr="00A73566">
              <w:rPr>
                <w:rFonts w:eastAsiaTheme="minorEastAsia"/>
                <w:bCs w:val="0"/>
                <w:i w:val="0"/>
                <w:iCs w:val="0"/>
              </w:rPr>
              <w:tab/>
            </w:r>
            <w:r w:rsidR="00FB3B88" w:rsidRPr="00A73566">
              <w:rPr>
                <w:rStyle w:val="Hyperlink"/>
                <w:i w:val="0"/>
              </w:rPr>
              <w:t>Cercetare, educație, consultanță în agricultură și extensiune rurală</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_Toc88132111 \h </w:instrText>
            </w:r>
            <w:r w:rsidR="00FB3B88" w:rsidRPr="00A73566">
              <w:rPr>
                <w:i w:val="0"/>
                <w:webHidden/>
              </w:rPr>
            </w:r>
            <w:r w:rsidR="00FB3B88" w:rsidRPr="00A73566">
              <w:rPr>
                <w:i w:val="0"/>
                <w:webHidden/>
              </w:rPr>
              <w:fldChar w:fldCharType="separate"/>
            </w:r>
            <w:r w:rsidR="009A2BC5" w:rsidRPr="00A73566">
              <w:rPr>
                <w:i w:val="0"/>
                <w:webHidden/>
              </w:rPr>
              <w:t>35</w:t>
            </w:r>
            <w:r w:rsidR="00FB3B88" w:rsidRPr="00A73566">
              <w:rPr>
                <w:i w:val="0"/>
                <w:webHidden/>
              </w:rPr>
              <w:fldChar w:fldCharType="end"/>
            </w:r>
          </w:hyperlink>
        </w:p>
        <w:p w14:paraId="4C3A96FF" w14:textId="4E605D43" w:rsidR="00FB3B88" w:rsidRPr="00A73566" w:rsidRDefault="00914BD2">
          <w:pPr>
            <w:pStyle w:val="TOC2"/>
            <w:rPr>
              <w:rFonts w:eastAsiaTheme="minorEastAsia"/>
              <w:bCs w:val="0"/>
              <w:i w:val="0"/>
              <w:iCs w:val="0"/>
            </w:rPr>
          </w:pPr>
          <w:hyperlink w:anchor="_Toc88132112" w:history="1">
            <w:r w:rsidR="00FB3B88" w:rsidRPr="00A73566">
              <w:rPr>
                <w:rStyle w:val="Hyperlink"/>
                <w:i w:val="0"/>
              </w:rPr>
              <w:t>1.5.</w:t>
            </w:r>
            <w:r w:rsidR="00FB3B88" w:rsidRPr="00A73566">
              <w:rPr>
                <w:rFonts w:eastAsiaTheme="minorEastAsia"/>
                <w:bCs w:val="0"/>
                <w:i w:val="0"/>
                <w:iCs w:val="0"/>
              </w:rPr>
              <w:tab/>
            </w:r>
            <w:r w:rsidR="00FB3B88" w:rsidRPr="00A73566">
              <w:rPr>
                <w:rStyle w:val="Hyperlink"/>
                <w:i w:val="0"/>
              </w:rPr>
              <w:t>Dezvoltarea rurală</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_Toc88132112 \h </w:instrText>
            </w:r>
            <w:r w:rsidR="00FB3B88" w:rsidRPr="00A73566">
              <w:rPr>
                <w:i w:val="0"/>
                <w:webHidden/>
              </w:rPr>
            </w:r>
            <w:r w:rsidR="00FB3B88" w:rsidRPr="00A73566">
              <w:rPr>
                <w:i w:val="0"/>
                <w:webHidden/>
              </w:rPr>
              <w:fldChar w:fldCharType="separate"/>
            </w:r>
            <w:r w:rsidR="009A2BC5" w:rsidRPr="00A73566">
              <w:rPr>
                <w:i w:val="0"/>
                <w:webHidden/>
              </w:rPr>
              <w:t>36</w:t>
            </w:r>
            <w:r w:rsidR="00FB3B88" w:rsidRPr="00A73566">
              <w:rPr>
                <w:i w:val="0"/>
                <w:webHidden/>
              </w:rPr>
              <w:fldChar w:fldCharType="end"/>
            </w:r>
          </w:hyperlink>
        </w:p>
        <w:p w14:paraId="7EBFA4BA" w14:textId="6888FB26" w:rsidR="00FB3B88" w:rsidRPr="00A73566" w:rsidRDefault="00914BD2">
          <w:pPr>
            <w:pStyle w:val="TOC2"/>
            <w:rPr>
              <w:rFonts w:eastAsiaTheme="minorEastAsia"/>
              <w:bCs w:val="0"/>
              <w:i w:val="0"/>
              <w:iCs w:val="0"/>
            </w:rPr>
          </w:pPr>
          <w:hyperlink w:anchor="_Toc88132113" w:history="1">
            <w:r w:rsidR="00FB3B88" w:rsidRPr="00A73566">
              <w:rPr>
                <w:rStyle w:val="Hyperlink"/>
                <w:i w:val="0"/>
              </w:rPr>
              <w:t>1.6.</w:t>
            </w:r>
            <w:r w:rsidR="00FB3B88" w:rsidRPr="00A73566">
              <w:rPr>
                <w:rFonts w:eastAsiaTheme="minorEastAsia"/>
                <w:bCs w:val="0"/>
                <w:i w:val="0"/>
                <w:iCs w:val="0"/>
              </w:rPr>
              <w:tab/>
            </w:r>
            <w:r w:rsidR="00FB3B88" w:rsidRPr="00A73566">
              <w:rPr>
                <w:rStyle w:val="Hyperlink"/>
                <w:i w:val="0"/>
              </w:rPr>
              <w:t>Rezultatele implementării SNDAR 2014 – 2020</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_Toc88132113 \h </w:instrText>
            </w:r>
            <w:r w:rsidR="00FB3B88" w:rsidRPr="00A73566">
              <w:rPr>
                <w:i w:val="0"/>
                <w:webHidden/>
              </w:rPr>
            </w:r>
            <w:r w:rsidR="00FB3B88" w:rsidRPr="00A73566">
              <w:rPr>
                <w:i w:val="0"/>
                <w:webHidden/>
              </w:rPr>
              <w:fldChar w:fldCharType="separate"/>
            </w:r>
            <w:r w:rsidR="009A2BC5" w:rsidRPr="00A73566">
              <w:rPr>
                <w:i w:val="0"/>
                <w:webHidden/>
              </w:rPr>
              <w:t>38</w:t>
            </w:r>
            <w:r w:rsidR="00FB3B88" w:rsidRPr="00A73566">
              <w:rPr>
                <w:i w:val="0"/>
                <w:webHidden/>
              </w:rPr>
              <w:fldChar w:fldCharType="end"/>
            </w:r>
          </w:hyperlink>
        </w:p>
        <w:p w14:paraId="191F6996" w14:textId="2FC40B0C" w:rsidR="00FB3B88" w:rsidRPr="00A73566" w:rsidRDefault="00914BD2" w:rsidP="00F943B1">
          <w:pPr>
            <w:pStyle w:val="TOC3"/>
            <w:rPr>
              <w:rFonts w:eastAsiaTheme="minorEastAsia"/>
              <w:noProof/>
              <w:sz w:val="22"/>
              <w:szCs w:val="22"/>
              <w:lang w:val="ro-RO"/>
            </w:rPr>
          </w:pPr>
          <w:hyperlink w:anchor="_Toc88132114" w:history="1">
            <w:r w:rsidR="00FB3B88" w:rsidRPr="00A73566">
              <w:rPr>
                <w:rStyle w:val="Hyperlink"/>
                <w:rFonts w:ascii="Times New Roman" w:hAnsi="Times New Roman" w:cs="Times New Roman"/>
                <w:b/>
                <w:noProof/>
                <w:lang w:val="ro-RO"/>
              </w:rPr>
              <w:t>1.6.1.</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Rezultatele specifice ale implementării strategiei</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_Toc88132114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39</w:t>
            </w:r>
            <w:r w:rsidR="00FB3B88" w:rsidRPr="00A73566">
              <w:rPr>
                <w:noProof/>
                <w:webHidden/>
                <w:lang w:val="ro-RO"/>
              </w:rPr>
              <w:fldChar w:fldCharType="end"/>
            </w:r>
          </w:hyperlink>
        </w:p>
        <w:p w14:paraId="65225643" w14:textId="0E02481C" w:rsidR="00FB3B88" w:rsidRPr="00A73566" w:rsidRDefault="00914BD2" w:rsidP="00F943B1">
          <w:pPr>
            <w:pStyle w:val="TOC3"/>
            <w:rPr>
              <w:rFonts w:eastAsiaTheme="minorEastAsia"/>
              <w:noProof/>
              <w:sz w:val="22"/>
              <w:szCs w:val="22"/>
              <w:lang w:val="ro-RO"/>
            </w:rPr>
          </w:pPr>
          <w:hyperlink w:anchor="_Toc88132115" w:history="1">
            <w:r w:rsidR="00FB3B88" w:rsidRPr="00A73566">
              <w:rPr>
                <w:rStyle w:val="Hyperlink"/>
                <w:rFonts w:ascii="Times New Roman" w:hAnsi="Times New Roman" w:cs="Times New Roman"/>
                <w:b/>
                <w:noProof/>
                <w:lang w:val="ro-RO"/>
              </w:rPr>
              <w:t>1.6.2.</w:t>
            </w:r>
            <w:r w:rsidR="00FB3B88" w:rsidRPr="00A73566">
              <w:rPr>
                <w:rFonts w:eastAsiaTheme="minorEastAsia"/>
                <w:noProof/>
                <w:sz w:val="22"/>
                <w:szCs w:val="22"/>
                <w:lang w:val="ro-RO"/>
              </w:rPr>
              <w:tab/>
            </w:r>
            <w:r w:rsidR="00D75E29" w:rsidRPr="00A73566">
              <w:rPr>
                <w:rStyle w:val="Hyperlink"/>
                <w:rFonts w:ascii="Times New Roman" w:hAnsi="Times New Roman" w:cs="Times New Roman"/>
                <w:b/>
                <w:noProof/>
                <w:lang w:val="ro-RO"/>
              </w:rPr>
              <w:t>A</w:t>
            </w:r>
            <w:r w:rsidR="00FB3B88" w:rsidRPr="00A73566">
              <w:rPr>
                <w:rStyle w:val="Hyperlink"/>
                <w:rFonts w:ascii="Times New Roman" w:hAnsi="Times New Roman" w:cs="Times New Roman"/>
                <w:b/>
                <w:noProof/>
                <w:lang w:val="ro-RO"/>
              </w:rPr>
              <w:t>locarea resurselor financiare</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_Toc88132115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40</w:t>
            </w:r>
            <w:r w:rsidR="00FB3B88" w:rsidRPr="00A73566">
              <w:rPr>
                <w:noProof/>
                <w:webHidden/>
                <w:lang w:val="ro-RO"/>
              </w:rPr>
              <w:fldChar w:fldCharType="end"/>
            </w:r>
          </w:hyperlink>
        </w:p>
        <w:p w14:paraId="71544013" w14:textId="57BB1C2D" w:rsidR="00FB3B88" w:rsidRPr="00A73566" w:rsidRDefault="00914BD2">
          <w:pPr>
            <w:pStyle w:val="TOC2"/>
            <w:rPr>
              <w:rFonts w:eastAsiaTheme="minorEastAsia"/>
              <w:bCs w:val="0"/>
              <w:i w:val="0"/>
              <w:iCs w:val="0"/>
            </w:rPr>
          </w:pPr>
          <w:hyperlink w:anchor="_Toc88132116" w:history="1">
            <w:r w:rsidR="00FB3B88" w:rsidRPr="00A73566">
              <w:rPr>
                <w:rStyle w:val="Hyperlink"/>
                <w:i w:val="0"/>
              </w:rPr>
              <w:t>1.7.</w:t>
            </w:r>
            <w:r w:rsidR="00FB3B88" w:rsidRPr="00A73566">
              <w:rPr>
                <w:rFonts w:eastAsiaTheme="minorEastAsia"/>
                <w:bCs w:val="0"/>
                <w:i w:val="0"/>
                <w:iCs w:val="0"/>
              </w:rPr>
              <w:tab/>
            </w:r>
            <w:r w:rsidR="00FB3B88" w:rsidRPr="00A73566">
              <w:rPr>
                <w:rStyle w:val="Hyperlink"/>
                <w:i w:val="0"/>
              </w:rPr>
              <w:t>Constrângeri și oportunități de implementare a politicii de dezvoltare agricolă și rurală</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_Toc88132116 \h </w:instrText>
            </w:r>
            <w:r w:rsidR="00FB3B88" w:rsidRPr="00A73566">
              <w:rPr>
                <w:i w:val="0"/>
                <w:webHidden/>
              </w:rPr>
            </w:r>
            <w:r w:rsidR="00FB3B88" w:rsidRPr="00A73566">
              <w:rPr>
                <w:i w:val="0"/>
                <w:webHidden/>
              </w:rPr>
              <w:fldChar w:fldCharType="separate"/>
            </w:r>
            <w:r w:rsidR="009A2BC5" w:rsidRPr="00A73566">
              <w:rPr>
                <w:i w:val="0"/>
                <w:webHidden/>
              </w:rPr>
              <w:t>41</w:t>
            </w:r>
            <w:r w:rsidR="00FB3B88" w:rsidRPr="00A73566">
              <w:rPr>
                <w:i w:val="0"/>
                <w:webHidden/>
              </w:rPr>
              <w:fldChar w:fldCharType="end"/>
            </w:r>
          </w:hyperlink>
        </w:p>
        <w:p w14:paraId="482AFCC8" w14:textId="44EC84E0" w:rsidR="00FB3B88" w:rsidRPr="00A73566" w:rsidRDefault="00914BD2" w:rsidP="00F943B1">
          <w:pPr>
            <w:pStyle w:val="TOC3"/>
            <w:rPr>
              <w:rFonts w:eastAsiaTheme="minorEastAsia"/>
              <w:noProof/>
              <w:sz w:val="22"/>
              <w:szCs w:val="22"/>
              <w:lang w:val="ro-RO"/>
            </w:rPr>
          </w:pPr>
          <w:hyperlink w:anchor="_Toc88132117" w:history="1">
            <w:r w:rsidR="00FB3B88" w:rsidRPr="00A73566">
              <w:rPr>
                <w:rStyle w:val="Hyperlink"/>
                <w:rFonts w:ascii="Times New Roman" w:hAnsi="Times New Roman" w:cs="Times New Roman"/>
                <w:b/>
                <w:noProof/>
                <w:lang w:val="ro-RO"/>
              </w:rPr>
              <w:t>1.7.1.</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Contextul global</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_Toc88132117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41</w:t>
            </w:r>
            <w:r w:rsidR="00FB3B88" w:rsidRPr="00A73566">
              <w:rPr>
                <w:noProof/>
                <w:webHidden/>
                <w:lang w:val="ro-RO"/>
              </w:rPr>
              <w:fldChar w:fldCharType="end"/>
            </w:r>
          </w:hyperlink>
        </w:p>
        <w:p w14:paraId="34306371" w14:textId="1512BD21" w:rsidR="00FB3B88" w:rsidRPr="00A73566" w:rsidRDefault="00914BD2" w:rsidP="00F943B1">
          <w:pPr>
            <w:pStyle w:val="TOC3"/>
            <w:rPr>
              <w:rFonts w:eastAsiaTheme="minorEastAsia"/>
              <w:noProof/>
              <w:sz w:val="22"/>
              <w:szCs w:val="22"/>
              <w:lang w:val="ro-RO"/>
            </w:rPr>
          </w:pPr>
          <w:hyperlink w:anchor="_Toc88132118" w:history="1">
            <w:r w:rsidR="00FB3B88" w:rsidRPr="00A73566">
              <w:rPr>
                <w:rStyle w:val="Hyperlink"/>
                <w:rFonts w:ascii="Times New Roman" w:hAnsi="Times New Roman" w:cs="Times New Roman"/>
                <w:b/>
                <w:noProof/>
                <w:lang w:val="ro-RO"/>
              </w:rPr>
              <w:t>1.7.2.</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Contextul european</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_Toc88132118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42</w:t>
            </w:r>
            <w:r w:rsidR="00FB3B88" w:rsidRPr="00A73566">
              <w:rPr>
                <w:noProof/>
                <w:webHidden/>
                <w:lang w:val="ro-RO"/>
              </w:rPr>
              <w:fldChar w:fldCharType="end"/>
            </w:r>
          </w:hyperlink>
        </w:p>
        <w:p w14:paraId="3F63B746" w14:textId="773BAF3F" w:rsidR="00FB3B88" w:rsidRPr="00A73566" w:rsidRDefault="00914BD2" w:rsidP="00F943B1">
          <w:pPr>
            <w:pStyle w:val="TOC3"/>
            <w:rPr>
              <w:rFonts w:eastAsiaTheme="minorEastAsia"/>
              <w:noProof/>
              <w:sz w:val="22"/>
              <w:szCs w:val="22"/>
              <w:lang w:val="ro-RO"/>
            </w:rPr>
          </w:pPr>
          <w:hyperlink w:anchor="_Toc88132119" w:history="1">
            <w:r w:rsidR="00FB3B88" w:rsidRPr="00A73566">
              <w:rPr>
                <w:rStyle w:val="Hyperlink"/>
                <w:rFonts w:ascii="Times New Roman" w:hAnsi="Times New Roman" w:cs="Times New Roman"/>
                <w:b/>
                <w:noProof/>
                <w:lang w:val="ro-RO"/>
              </w:rPr>
              <w:t>1.7.3.</w:t>
            </w:r>
            <w:r w:rsidR="00FB3B88" w:rsidRPr="00A73566">
              <w:rPr>
                <w:rFonts w:eastAsiaTheme="minorEastAsia"/>
                <w:noProof/>
                <w:sz w:val="22"/>
                <w:szCs w:val="22"/>
                <w:lang w:val="ro-RO"/>
              </w:rPr>
              <w:tab/>
            </w:r>
            <w:r w:rsidR="00FB3B88" w:rsidRPr="00A73566">
              <w:rPr>
                <w:rStyle w:val="Hyperlink"/>
                <w:rFonts w:ascii="Times New Roman" w:hAnsi="Times New Roman" w:cs="Times New Roman"/>
                <w:b/>
                <w:noProof/>
                <w:lang w:val="ro-RO"/>
              </w:rPr>
              <w:t>Contextul național</w:t>
            </w:r>
            <w:r w:rsidR="00FB3B88" w:rsidRPr="00A73566">
              <w:rPr>
                <w:noProof/>
                <w:webHidden/>
                <w:lang w:val="ro-RO"/>
              </w:rPr>
              <w:tab/>
            </w:r>
            <w:r w:rsidR="00FB3B88" w:rsidRPr="00A73566">
              <w:rPr>
                <w:noProof/>
                <w:webHidden/>
                <w:lang w:val="ro-RO"/>
              </w:rPr>
              <w:fldChar w:fldCharType="begin"/>
            </w:r>
            <w:r w:rsidR="00FB3B88" w:rsidRPr="00A73566">
              <w:rPr>
                <w:noProof/>
                <w:webHidden/>
                <w:lang w:val="ro-RO"/>
              </w:rPr>
              <w:instrText xml:space="preserve"> PAGEREF _Toc88132119 \h </w:instrText>
            </w:r>
            <w:r w:rsidR="00FB3B88" w:rsidRPr="00A73566">
              <w:rPr>
                <w:noProof/>
                <w:webHidden/>
                <w:lang w:val="ro-RO"/>
              </w:rPr>
            </w:r>
            <w:r w:rsidR="00FB3B88" w:rsidRPr="00A73566">
              <w:rPr>
                <w:noProof/>
                <w:webHidden/>
                <w:lang w:val="ro-RO"/>
              </w:rPr>
              <w:fldChar w:fldCharType="separate"/>
            </w:r>
            <w:r w:rsidR="009A2BC5" w:rsidRPr="00A73566">
              <w:rPr>
                <w:noProof/>
                <w:webHidden/>
                <w:lang w:val="ro-RO"/>
              </w:rPr>
              <w:t>43</w:t>
            </w:r>
            <w:r w:rsidR="00FB3B88" w:rsidRPr="00A73566">
              <w:rPr>
                <w:noProof/>
                <w:webHidden/>
                <w:lang w:val="ro-RO"/>
              </w:rPr>
              <w:fldChar w:fldCharType="end"/>
            </w:r>
          </w:hyperlink>
        </w:p>
        <w:p w14:paraId="6F7ACE5F" w14:textId="067153A8" w:rsidR="00FB3B88" w:rsidRPr="00A73566" w:rsidRDefault="00914BD2">
          <w:pPr>
            <w:pStyle w:val="TOC2"/>
            <w:rPr>
              <w:rFonts w:eastAsiaTheme="minorEastAsia"/>
              <w:bCs w:val="0"/>
              <w:i w:val="0"/>
              <w:iCs w:val="0"/>
            </w:rPr>
          </w:pPr>
          <w:hyperlink w:anchor="_Toc88132120" w:history="1">
            <w:r w:rsidR="00FB3B88" w:rsidRPr="00A73566">
              <w:rPr>
                <w:rStyle w:val="Hyperlink"/>
                <w:i w:val="0"/>
              </w:rPr>
              <w:t>1.8.</w:t>
            </w:r>
            <w:r w:rsidR="00FB3B88" w:rsidRPr="00A73566">
              <w:rPr>
                <w:rFonts w:eastAsiaTheme="minorEastAsia"/>
                <w:bCs w:val="0"/>
                <w:i w:val="0"/>
                <w:iCs w:val="0"/>
              </w:rPr>
              <w:tab/>
            </w:r>
            <w:r w:rsidR="00FB3B88" w:rsidRPr="00A73566">
              <w:rPr>
                <w:rStyle w:val="Hyperlink"/>
                <w:i w:val="0"/>
              </w:rPr>
              <w:t>PROBLEME ȘI NEVOI DE DEZVOLTARE</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_Toc88132120 \h </w:instrText>
            </w:r>
            <w:r w:rsidR="00FB3B88" w:rsidRPr="00A73566">
              <w:rPr>
                <w:i w:val="0"/>
                <w:webHidden/>
              </w:rPr>
            </w:r>
            <w:r w:rsidR="00FB3B88" w:rsidRPr="00A73566">
              <w:rPr>
                <w:i w:val="0"/>
                <w:webHidden/>
              </w:rPr>
              <w:fldChar w:fldCharType="separate"/>
            </w:r>
            <w:r w:rsidR="009A2BC5" w:rsidRPr="00A73566">
              <w:rPr>
                <w:i w:val="0"/>
                <w:webHidden/>
              </w:rPr>
              <w:t>46</w:t>
            </w:r>
            <w:r w:rsidR="00FB3B88" w:rsidRPr="00A73566">
              <w:rPr>
                <w:i w:val="0"/>
                <w:webHidden/>
              </w:rPr>
              <w:fldChar w:fldCharType="end"/>
            </w:r>
          </w:hyperlink>
        </w:p>
        <w:p w14:paraId="554BF976" w14:textId="3B0B12EE"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1" w:history="1">
            <w:r w:rsidR="00FB3B88" w:rsidRPr="00A73566">
              <w:rPr>
                <w:rStyle w:val="Hyperlink"/>
                <w:rFonts w:ascii="Times New Roman" w:hAnsi="Times New Roman" w:cs="Times New Roman"/>
                <w:i w:val="0"/>
                <w:noProof/>
                <w:lang w:val="ro-RO"/>
              </w:rPr>
              <w:t>2.</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Viziune și obiective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_Toc88132121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48</w:t>
            </w:r>
            <w:r w:rsidR="00FB3B88" w:rsidRPr="00A73566">
              <w:rPr>
                <w:rFonts w:ascii="Times New Roman" w:hAnsi="Times New Roman" w:cs="Times New Roman"/>
                <w:i w:val="0"/>
                <w:noProof/>
                <w:webHidden/>
                <w:lang w:val="ro-RO"/>
              </w:rPr>
              <w:fldChar w:fldCharType="end"/>
            </w:r>
          </w:hyperlink>
        </w:p>
        <w:p w14:paraId="5EAE13E2" w14:textId="221276C3" w:rsidR="00FB3B88" w:rsidRPr="00A73566" w:rsidRDefault="00914BD2">
          <w:pPr>
            <w:pStyle w:val="TOC2"/>
            <w:rPr>
              <w:rFonts w:eastAsiaTheme="minorEastAsia"/>
              <w:bCs w:val="0"/>
              <w:i w:val="0"/>
              <w:iCs w:val="0"/>
            </w:rPr>
          </w:pPr>
          <w:hyperlink w:anchor="_Toc88132122" w:history="1">
            <w:r w:rsidR="00FB3B88" w:rsidRPr="00A73566">
              <w:rPr>
                <w:rStyle w:val="Hyperlink"/>
                <w:i w:val="0"/>
              </w:rPr>
              <w:t>2.1.</w:t>
            </w:r>
            <w:r w:rsidR="00FB3B88" w:rsidRPr="00A73566">
              <w:rPr>
                <w:rFonts w:eastAsiaTheme="minorEastAsia"/>
                <w:bCs w:val="0"/>
                <w:i w:val="0"/>
                <w:iCs w:val="0"/>
              </w:rPr>
              <w:tab/>
            </w:r>
            <w:r w:rsidR="00FB3B88" w:rsidRPr="00A73566">
              <w:rPr>
                <w:rStyle w:val="Hyperlink"/>
                <w:i w:val="0"/>
              </w:rPr>
              <w:t>Viziunea SNDAR 2027</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_Toc88132122 \h </w:instrText>
            </w:r>
            <w:r w:rsidR="00FB3B88" w:rsidRPr="00A73566">
              <w:rPr>
                <w:i w:val="0"/>
                <w:webHidden/>
              </w:rPr>
            </w:r>
            <w:r w:rsidR="00FB3B88" w:rsidRPr="00A73566">
              <w:rPr>
                <w:i w:val="0"/>
                <w:webHidden/>
              </w:rPr>
              <w:fldChar w:fldCharType="separate"/>
            </w:r>
            <w:r w:rsidR="009A2BC5" w:rsidRPr="00A73566">
              <w:rPr>
                <w:i w:val="0"/>
                <w:webHidden/>
              </w:rPr>
              <w:t>48</w:t>
            </w:r>
            <w:r w:rsidR="00FB3B88" w:rsidRPr="00A73566">
              <w:rPr>
                <w:i w:val="0"/>
                <w:webHidden/>
              </w:rPr>
              <w:fldChar w:fldCharType="end"/>
            </w:r>
          </w:hyperlink>
        </w:p>
        <w:p w14:paraId="573DB425" w14:textId="22ACC0EA" w:rsidR="00FB3B88" w:rsidRPr="00A73566" w:rsidRDefault="00914BD2">
          <w:pPr>
            <w:pStyle w:val="TOC2"/>
            <w:rPr>
              <w:rFonts w:eastAsiaTheme="minorEastAsia"/>
              <w:bCs w:val="0"/>
              <w:i w:val="0"/>
              <w:iCs w:val="0"/>
            </w:rPr>
          </w:pPr>
          <w:hyperlink w:anchor="_Toc88132123" w:history="1">
            <w:r w:rsidR="00FB3B88" w:rsidRPr="00A73566">
              <w:rPr>
                <w:rStyle w:val="Hyperlink"/>
                <w:i w:val="0"/>
              </w:rPr>
              <w:t>2.2.</w:t>
            </w:r>
            <w:r w:rsidR="00FB3B88" w:rsidRPr="00A73566">
              <w:rPr>
                <w:rFonts w:eastAsiaTheme="minorEastAsia"/>
                <w:bCs w:val="0"/>
                <w:i w:val="0"/>
                <w:iCs w:val="0"/>
              </w:rPr>
              <w:tab/>
            </w:r>
            <w:r w:rsidR="00FB3B88" w:rsidRPr="00A73566">
              <w:rPr>
                <w:rStyle w:val="Hyperlink"/>
                <w:i w:val="0"/>
              </w:rPr>
              <w:t>Obiective strategice</w:t>
            </w:r>
            <w:r w:rsidR="00FB3B88" w:rsidRPr="00A73566">
              <w:rPr>
                <w:i w:val="0"/>
                <w:webHidden/>
              </w:rPr>
              <w:tab/>
            </w:r>
            <w:r w:rsidR="00FB3B88" w:rsidRPr="00A73566">
              <w:rPr>
                <w:i w:val="0"/>
                <w:webHidden/>
              </w:rPr>
              <w:fldChar w:fldCharType="begin"/>
            </w:r>
            <w:r w:rsidR="00FB3B88" w:rsidRPr="00A73566">
              <w:rPr>
                <w:i w:val="0"/>
                <w:webHidden/>
              </w:rPr>
              <w:instrText xml:space="preserve"> PAGEREF _Toc88132123 \h </w:instrText>
            </w:r>
            <w:r w:rsidR="00FB3B88" w:rsidRPr="00A73566">
              <w:rPr>
                <w:i w:val="0"/>
                <w:webHidden/>
              </w:rPr>
            </w:r>
            <w:r w:rsidR="00FB3B88" w:rsidRPr="00A73566">
              <w:rPr>
                <w:i w:val="0"/>
                <w:webHidden/>
              </w:rPr>
              <w:fldChar w:fldCharType="separate"/>
            </w:r>
            <w:r w:rsidR="009A2BC5" w:rsidRPr="00A73566">
              <w:rPr>
                <w:i w:val="0"/>
                <w:webHidden/>
              </w:rPr>
              <w:t>48</w:t>
            </w:r>
            <w:r w:rsidR="00FB3B88" w:rsidRPr="00A73566">
              <w:rPr>
                <w:i w:val="0"/>
                <w:webHidden/>
              </w:rPr>
              <w:fldChar w:fldCharType="end"/>
            </w:r>
          </w:hyperlink>
        </w:p>
        <w:p w14:paraId="7534D09F" w14:textId="15D4BC25"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4" w:history="1">
            <w:r w:rsidR="00FB3B88" w:rsidRPr="00A73566">
              <w:rPr>
                <w:rStyle w:val="Hyperlink"/>
                <w:rFonts w:ascii="Times New Roman" w:hAnsi="Times New Roman" w:cs="Times New Roman"/>
                <w:i w:val="0"/>
                <w:noProof/>
                <w:lang w:val="ro-RO"/>
              </w:rPr>
              <w:t>3.</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Domenii de intervenție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_Toc88132124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56</w:t>
            </w:r>
            <w:r w:rsidR="00FB3B88" w:rsidRPr="00A73566">
              <w:rPr>
                <w:rFonts w:ascii="Times New Roman" w:hAnsi="Times New Roman" w:cs="Times New Roman"/>
                <w:i w:val="0"/>
                <w:noProof/>
                <w:webHidden/>
                <w:lang w:val="ro-RO"/>
              </w:rPr>
              <w:fldChar w:fldCharType="end"/>
            </w:r>
          </w:hyperlink>
        </w:p>
        <w:p w14:paraId="06345428" w14:textId="1DD23FCB"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5" w:history="1">
            <w:r w:rsidR="00FB3B88" w:rsidRPr="00A73566">
              <w:rPr>
                <w:rStyle w:val="Hyperlink"/>
                <w:rFonts w:ascii="Times New Roman" w:hAnsi="Times New Roman" w:cs="Times New Roman"/>
                <w:i w:val="0"/>
                <w:noProof/>
                <w:lang w:val="ro-RO"/>
              </w:rPr>
              <w:t>4.</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Impact</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_Toc88132125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58</w:t>
            </w:r>
            <w:r w:rsidR="00FB3B88" w:rsidRPr="00A73566">
              <w:rPr>
                <w:rFonts w:ascii="Times New Roman" w:hAnsi="Times New Roman" w:cs="Times New Roman"/>
                <w:i w:val="0"/>
                <w:noProof/>
                <w:webHidden/>
                <w:lang w:val="ro-RO"/>
              </w:rPr>
              <w:fldChar w:fldCharType="end"/>
            </w:r>
          </w:hyperlink>
        </w:p>
        <w:p w14:paraId="208D47B1" w14:textId="07A1CBD6"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6" w:history="1">
            <w:r w:rsidR="00FB3B88" w:rsidRPr="00A73566">
              <w:rPr>
                <w:rStyle w:val="Hyperlink"/>
                <w:rFonts w:ascii="Times New Roman" w:hAnsi="Times New Roman" w:cs="Times New Roman"/>
                <w:i w:val="0"/>
                <w:noProof/>
                <w:lang w:val="ro-RO"/>
              </w:rPr>
              <w:t>5.</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Indicatori de Monitorizare și Evaluare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_Toc88132126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62</w:t>
            </w:r>
            <w:r w:rsidR="00FB3B88" w:rsidRPr="00A73566">
              <w:rPr>
                <w:rFonts w:ascii="Times New Roman" w:hAnsi="Times New Roman" w:cs="Times New Roman"/>
                <w:i w:val="0"/>
                <w:noProof/>
                <w:webHidden/>
                <w:lang w:val="ro-RO"/>
              </w:rPr>
              <w:fldChar w:fldCharType="end"/>
            </w:r>
          </w:hyperlink>
        </w:p>
        <w:p w14:paraId="67041DE0" w14:textId="0375E16D"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7" w:history="1">
            <w:r w:rsidR="00FB3B88" w:rsidRPr="00A73566">
              <w:rPr>
                <w:rStyle w:val="Hyperlink"/>
                <w:rFonts w:ascii="Times New Roman" w:hAnsi="Times New Roman" w:cs="Times New Roman"/>
                <w:i w:val="0"/>
                <w:noProof/>
                <w:lang w:val="ro-RO"/>
              </w:rPr>
              <w:t>6.</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Riscuri de Implementare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_Toc88132127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63</w:t>
            </w:r>
            <w:r w:rsidR="00FB3B88" w:rsidRPr="00A73566">
              <w:rPr>
                <w:rFonts w:ascii="Times New Roman" w:hAnsi="Times New Roman" w:cs="Times New Roman"/>
                <w:i w:val="0"/>
                <w:noProof/>
                <w:webHidden/>
                <w:lang w:val="ro-RO"/>
              </w:rPr>
              <w:fldChar w:fldCharType="end"/>
            </w:r>
          </w:hyperlink>
        </w:p>
        <w:p w14:paraId="23FB0CA5" w14:textId="6417DBFE"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8" w:history="1">
            <w:r w:rsidR="00FB3B88" w:rsidRPr="00A73566">
              <w:rPr>
                <w:rStyle w:val="Hyperlink"/>
                <w:rFonts w:ascii="Times New Roman" w:hAnsi="Times New Roman" w:cs="Times New Roman"/>
                <w:i w:val="0"/>
                <w:noProof/>
                <w:lang w:val="ro-RO"/>
              </w:rPr>
              <w:t>7.</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Autorități Responsabile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_Toc88132128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67</w:t>
            </w:r>
            <w:r w:rsidR="00FB3B88" w:rsidRPr="00A73566">
              <w:rPr>
                <w:rFonts w:ascii="Times New Roman" w:hAnsi="Times New Roman" w:cs="Times New Roman"/>
                <w:i w:val="0"/>
                <w:noProof/>
                <w:webHidden/>
                <w:lang w:val="ro-RO"/>
              </w:rPr>
              <w:fldChar w:fldCharType="end"/>
            </w:r>
          </w:hyperlink>
        </w:p>
        <w:p w14:paraId="7120C97D" w14:textId="25232EC9"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29" w:history="1">
            <w:r w:rsidR="00FB3B88" w:rsidRPr="00A73566">
              <w:rPr>
                <w:rStyle w:val="Hyperlink"/>
                <w:rFonts w:ascii="Times New Roman" w:hAnsi="Times New Roman" w:cs="Times New Roman"/>
                <w:i w:val="0"/>
                <w:noProof/>
                <w:lang w:val="ro-RO"/>
              </w:rPr>
              <w:t>8.</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Proceduri de raportare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_Toc88132129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69</w:t>
            </w:r>
            <w:r w:rsidR="00FB3B88" w:rsidRPr="00A73566">
              <w:rPr>
                <w:rFonts w:ascii="Times New Roman" w:hAnsi="Times New Roman" w:cs="Times New Roman"/>
                <w:i w:val="0"/>
                <w:noProof/>
                <w:webHidden/>
                <w:lang w:val="ro-RO"/>
              </w:rPr>
              <w:fldChar w:fldCharType="end"/>
            </w:r>
          </w:hyperlink>
        </w:p>
        <w:p w14:paraId="11DEBF6B" w14:textId="4A6C21EC" w:rsidR="00FB3B88" w:rsidRPr="00A73566" w:rsidRDefault="00914BD2">
          <w:pPr>
            <w:pStyle w:val="TOC1"/>
            <w:tabs>
              <w:tab w:val="left" w:pos="440"/>
              <w:tab w:val="right" w:leader="dot" w:pos="9435"/>
            </w:tabs>
            <w:rPr>
              <w:rFonts w:ascii="Times New Roman" w:eastAsiaTheme="minorEastAsia" w:hAnsi="Times New Roman" w:cs="Times New Roman"/>
              <w:bCs w:val="0"/>
              <w:i w:val="0"/>
              <w:iCs w:val="0"/>
              <w:noProof/>
              <w:sz w:val="22"/>
              <w:szCs w:val="22"/>
              <w:lang w:val="ro-RO"/>
            </w:rPr>
          </w:pPr>
          <w:hyperlink w:anchor="_Toc88132130" w:history="1">
            <w:r w:rsidR="00FB3B88" w:rsidRPr="00A73566">
              <w:rPr>
                <w:rStyle w:val="Hyperlink"/>
                <w:rFonts w:ascii="Times New Roman" w:hAnsi="Times New Roman" w:cs="Times New Roman"/>
                <w:i w:val="0"/>
                <w:noProof/>
                <w:lang w:val="ro-RO"/>
              </w:rPr>
              <w:t>9.</w:t>
            </w:r>
            <w:r w:rsidR="00FB3B88" w:rsidRPr="00A73566">
              <w:rPr>
                <w:rFonts w:ascii="Times New Roman" w:eastAsiaTheme="minorEastAsia" w:hAnsi="Times New Roman" w:cs="Times New Roman"/>
                <w:bCs w:val="0"/>
                <w:i w:val="0"/>
                <w:iCs w:val="0"/>
                <w:noProof/>
                <w:sz w:val="22"/>
                <w:szCs w:val="22"/>
                <w:lang w:val="ro-RO"/>
              </w:rPr>
              <w:tab/>
            </w:r>
            <w:r w:rsidR="00FB3B88" w:rsidRPr="00A73566">
              <w:rPr>
                <w:rStyle w:val="Hyperlink"/>
                <w:rFonts w:ascii="Times New Roman" w:hAnsi="Times New Roman" w:cs="Times New Roman"/>
                <w:i w:val="0"/>
                <w:noProof/>
                <w:lang w:val="ro-RO"/>
              </w:rPr>
              <w:t>Anexe</w:t>
            </w:r>
            <w:r w:rsidR="00FB3B88" w:rsidRPr="00A73566">
              <w:rPr>
                <w:rFonts w:ascii="Times New Roman" w:hAnsi="Times New Roman" w:cs="Times New Roman"/>
                <w:i w:val="0"/>
                <w:noProof/>
                <w:webHidden/>
                <w:lang w:val="ro-RO"/>
              </w:rPr>
              <w:tab/>
            </w:r>
            <w:r w:rsidR="00FB3B88" w:rsidRPr="00A73566">
              <w:rPr>
                <w:rFonts w:ascii="Times New Roman" w:hAnsi="Times New Roman" w:cs="Times New Roman"/>
                <w:i w:val="0"/>
                <w:noProof/>
                <w:webHidden/>
                <w:lang w:val="ro-RO"/>
              </w:rPr>
              <w:fldChar w:fldCharType="begin"/>
            </w:r>
            <w:r w:rsidR="00FB3B88" w:rsidRPr="00A73566">
              <w:rPr>
                <w:rFonts w:ascii="Times New Roman" w:hAnsi="Times New Roman" w:cs="Times New Roman"/>
                <w:i w:val="0"/>
                <w:noProof/>
                <w:webHidden/>
                <w:lang w:val="ro-RO"/>
              </w:rPr>
              <w:instrText xml:space="preserve"> PAGEREF _Toc88132130 \h </w:instrText>
            </w:r>
            <w:r w:rsidR="00FB3B88" w:rsidRPr="00A73566">
              <w:rPr>
                <w:rFonts w:ascii="Times New Roman" w:hAnsi="Times New Roman" w:cs="Times New Roman"/>
                <w:i w:val="0"/>
                <w:noProof/>
                <w:webHidden/>
                <w:lang w:val="ro-RO"/>
              </w:rPr>
            </w:r>
            <w:r w:rsidR="00FB3B88" w:rsidRPr="00A73566">
              <w:rPr>
                <w:rFonts w:ascii="Times New Roman" w:hAnsi="Times New Roman" w:cs="Times New Roman"/>
                <w:i w:val="0"/>
                <w:noProof/>
                <w:webHidden/>
                <w:lang w:val="ro-RO"/>
              </w:rPr>
              <w:fldChar w:fldCharType="separate"/>
            </w:r>
            <w:r w:rsidR="009A2BC5" w:rsidRPr="00A73566">
              <w:rPr>
                <w:rFonts w:ascii="Times New Roman" w:hAnsi="Times New Roman" w:cs="Times New Roman"/>
                <w:i w:val="0"/>
                <w:noProof/>
                <w:webHidden/>
                <w:lang w:val="ro-RO"/>
              </w:rPr>
              <w:t>70</w:t>
            </w:r>
            <w:r w:rsidR="00FB3B88" w:rsidRPr="00A73566">
              <w:rPr>
                <w:rFonts w:ascii="Times New Roman" w:hAnsi="Times New Roman" w:cs="Times New Roman"/>
                <w:i w:val="0"/>
                <w:noProof/>
                <w:webHidden/>
                <w:lang w:val="ro-RO"/>
              </w:rPr>
              <w:fldChar w:fldCharType="end"/>
            </w:r>
          </w:hyperlink>
        </w:p>
        <w:p w14:paraId="1DD00317" w14:textId="6C7425D5" w:rsidR="00EF005D" w:rsidRPr="00914BD2" w:rsidRDefault="00EF005D" w:rsidP="00FE7F3A">
          <w:pPr>
            <w:rPr>
              <w:rFonts w:ascii="Times New Roman" w:hAnsi="Times New Roman" w:cs="Times New Roman"/>
              <w:b/>
              <w:lang w:val="ro-RO"/>
            </w:rPr>
            <w:sectPr w:rsidR="00EF005D" w:rsidRPr="00914BD2" w:rsidSect="00D015B5">
              <w:headerReference w:type="even" r:id="rId15"/>
              <w:headerReference w:type="default" r:id="rId16"/>
              <w:footerReference w:type="even" r:id="rId17"/>
              <w:footerReference w:type="default" r:id="rId18"/>
              <w:headerReference w:type="first" r:id="rId19"/>
              <w:footerReference w:type="first" r:id="rId20"/>
              <w:pgSz w:w="11907" w:h="16839" w:code="9"/>
              <w:pgMar w:top="1440" w:right="1022" w:bottom="1152" w:left="1440" w:header="706" w:footer="283" w:gutter="0"/>
              <w:cols w:space="708"/>
              <w:titlePg/>
              <w:docGrid w:linePitch="360"/>
            </w:sectPr>
          </w:pPr>
          <w:r w:rsidRPr="00A73566">
            <w:rPr>
              <w:rFonts w:ascii="Times New Roman" w:hAnsi="Times New Roman" w:cs="Times New Roman"/>
              <w:b/>
              <w:bCs/>
              <w:lang w:val="ro-RO"/>
            </w:rPr>
            <w:fldChar w:fldCharType="end"/>
          </w:r>
        </w:p>
      </w:sdtContent>
    </w:sdt>
    <w:p w14:paraId="538012A1" w14:textId="174D2D21" w:rsidR="00CE4E77" w:rsidRPr="00A73566" w:rsidRDefault="00CE4E77" w:rsidP="000D0ED7">
      <w:pPr>
        <w:pStyle w:val="Heading1"/>
        <w:numPr>
          <w:ilvl w:val="0"/>
          <w:numId w:val="0"/>
        </w:numPr>
        <w:ind w:left="357" w:hanging="357"/>
        <w:rPr>
          <w:rFonts w:ascii="Times New Roman" w:hAnsi="Times New Roman" w:cs="Times New Roman"/>
          <w:lang w:val="ro-RO"/>
        </w:rPr>
      </w:pPr>
      <w:bookmarkStart w:id="1" w:name="_Toc88132096"/>
      <w:r w:rsidRPr="00A73566">
        <w:rPr>
          <w:rFonts w:ascii="Times New Roman" w:hAnsi="Times New Roman" w:cs="Times New Roman"/>
          <w:lang w:val="ro-RO"/>
        </w:rPr>
        <w:lastRenderedPageBreak/>
        <w:t>Abrevieri</w:t>
      </w:r>
      <w:bookmarkEnd w:id="1"/>
    </w:p>
    <w:p w14:paraId="7FFA812C" w14:textId="3B8E0042"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ACSA</w:t>
      </w:r>
      <w:r w:rsidRPr="00A73566">
        <w:rPr>
          <w:rFonts w:ascii="Times New Roman" w:hAnsi="Times New Roman" w:cs="Times New Roman"/>
          <w:b/>
          <w:lang w:val="ro-RO"/>
        </w:rPr>
        <w:tab/>
      </w:r>
      <w:r w:rsidRPr="00A73566">
        <w:rPr>
          <w:rFonts w:ascii="Times New Roman" w:hAnsi="Times New Roman" w:cs="Times New Roman"/>
          <w:b/>
          <w:lang w:val="ro-RO"/>
        </w:rPr>
        <w:tab/>
      </w:r>
      <w:r w:rsidR="00A73566" w:rsidRPr="00A73566">
        <w:rPr>
          <w:rFonts w:ascii="Times New Roman" w:hAnsi="Times New Roman" w:cs="Times New Roman"/>
          <w:lang w:val="ro-RO"/>
        </w:rPr>
        <w:t>Agenția</w:t>
      </w:r>
      <w:r w:rsidR="004E59CB" w:rsidRPr="00A73566">
        <w:rPr>
          <w:rFonts w:ascii="Times New Roman" w:hAnsi="Times New Roman" w:cs="Times New Roman"/>
          <w:lang w:val="ro-RO"/>
        </w:rPr>
        <w:t xml:space="preserve"> </w:t>
      </w:r>
      <w:r w:rsidR="00A73566" w:rsidRPr="00A73566">
        <w:rPr>
          <w:rFonts w:ascii="Times New Roman" w:hAnsi="Times New Roman" w:cs="Times New Roman"/>
          <w:lang w:val="ro-RO"/>
        </w:rPr>
        <w:t>Națională</w:t>
      </w:r>
      <w:r w:rsidR="004E59CB" w:rsidRPr="00A73566">
        <w:rPr>
          <w:rFonts w:ascii="Times New Roman" w:hAnsi="Times New Roman" w:cs="Times New Roman"/>
          <w:lang w:val="ro-RO"/>
        </w:rPr>
        <w:t xml:space="preserve"> de Dezvoltare Rurală</w:t>
      </w:r>
    </w:p>
    <w:p w14:paraId="483A7530"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ADMA</w:t>
      </w:r>
      <w:r w:rsidRPr="00A73566">
        <w:rPr>
          <w:rFonts w:ascii="Times New Roman" w:hAnsi="Times New Roman" w:cs="Times New Roman"/>
          <w:lang w:val="ro-RO"/>
        </w:rPr>
        <w:t xml:space="preserve"> </w:t>
      </w:r>
      <w:r w:rsidRPr="00A73566">
        <w:rPr>
          <w:rFonts w:ascii="Times New Roman" w:hAnsi="Times New Roman" w:cs="Times New Roman"/>
          <w:lang w:val="ro-RO"/>
        </w:rPr>
        <w:tab/>
        <w:t>Agenția pentru Dezvoltarea si Modernizarea Agriculturii</w:t>
      </w:r>
    </w:p>
    <w:p w14:paraId="05AE8430"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AIPA</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Agenția de Intervenții și Plăți în Agricultură</w:t>
      </w:r>
    </w:p>
    <w:p w14:paraId="09B45331" w14:textId="22795064" w:rsidR="00A1636A" w:rsidRPr="00A73566" w:rsidRDefault="00A1636A" w:rsidP="00252A72">
      <w:pPr>
        <w:spacing w:after="0"/>
        <w:contextualSpacing/>
        <w:rPr>
          <w:rFonts w:ascii="Times New Roman" w:hAnsi="Times New Roman" w:cs="Times New Roman"/>
          <w:lang w:val="ro-RO"/>
        </w:rPr>
      </w:pPr>
      <w:r w:rsidRPr="00A73566">
        <w:rPr>
          <w:rFonts w:ascii="Times New Roman" w:hAnsi="Times New Roman" w:cs="Times New Roman"/>
          <w:b/>
          <w:lang w:val="ro-RO"/>
        </w:rPr>
        <w:t>IȘPHTA</w:t>
      </w:r>
      <w:r w:rsidR="00E03D1A" w:rsidRPr="00A73566">
        <w:rPr>
          <w:rFonts w:ascii="Times New Roman" w:hAnsi="Times New Roman" w:cs="Times New Roman"/>
          <w:b/>
          <w:lang w:val="ro-RO"/>
        </w:rPr>
        <w:tab/>
      </w:r>
      <w:r w:rsidRPr="00A73566">
        <w:rPr>
          <w:rFonts w:ascii="Times New Roman" w:hAnsi="Times New Roman" w:cs="Times New Roman"/>
          <w:lang w:val="ro-RO"/>
        </w:rPr>
        <w:t>Institutul Științifico-Practic de Horticultură și Tehnologii Alimentare</w:t>
      </w:r>
    </w:p>
    <w:p w14:paraId="1311DF6F"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APL</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Administrația Publică Locală</w:t>
      </w:r>
    </w:p>
    <w:p w14:paraId="2FB56F6E"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BNS</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Biroul Național de Statistică</w:t>
      </w:r>
    </w:p>
    <w:p w14:paraId="5E809B16"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CCME</w:t>
      </w:r>
      <w:r w:rsidRPr="00A73566">
        <w:rPr>
          <w:rFonts w:ascii="Times New Roman" w:hAnsi="Times New Roman" w:cs="Times New Roman"/>
          <w:lang w:val="ro-RO"/>
        </w:rPr>
        <w:t xml:space="preserve"> </w:t>
      </w:r>
      <w:r w:rsidRPr="00A73566">
        <w:rPr>
          <w:rFonts w:ascii="Times New Roman" w:hAnsi="Times New Roman" w:cs="Times New Roman"/>
          <w:lang w:val="ro-RO"/>
        </w:rPr>
        <w:tab/>
        <w:t xml:space="preserve">Cadrul Comun de Monitorizare și Evaluare </w:t>
      </w:r>
    </w:p>
    <w:p w14:paraId="06CA89D1" w14:textId="37ED5A0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CHT</w:t>
      </w:r>
      <w:r w:rsidRPr="00A73566">
        <w:rPr>
          <w:rFonts w:ascii="Times New Roman" w:hAnsi="Times New Roman" w:cs="Times New Roman"/>
          <w:lang w:val="ro-RO"/>
        </w:rPr>
        <w:tab/>
      </w:r>
      <w:r w:rsidRPr="00A73566">
        <w:rPr>
          <w:rFonts w:ascii="Times New Roman" w:hAnsi="Times New Roman" w:cs="Times New Roman"/>
          <w:lang w:val="ro-RO"/>
        </w:rPr>
        <w:tab/>
        <w:t xml:space="preserve">Coeficientul </w:t>
      </w:r>
      <w:r w:rsidR="00252A72" w:rsidRPr="00A73566">
        <w:rPr>
          <w:rFonts w:ascii="Times New Roman" w:hAnsi="Times New Roman" w:cs="Times New Roman"/>
          <w:lang w:val="ro-RO"/>
        </w:rPr>
        <w:t>hidrotermal</w:t>
      </w:r>
    </w:p>
    <w:p w14:paraId="7B8A9274" w14:textId="51ACAA09" w:rsidR="00A0763E"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CLLD</w:t>
      </w:r>
      <w:r w:rsidRPr="00A73566">
        <w:rPr>
          <w:rFonts w:ascii="Times New Roman" w:hAnsi="Times New Roman" w:cs="Times New Roman"/>
          <w:lang w:val="ro-RO"/>
        </w:rPr>
        <w:tab/>
      </w:r>
      <w:r w:rsidRPr="00A73566">
        <w:rPr>
          <w:rFonts w:ascii="Times New Roman" w:hAnsi="Times New Roman" w:cs="Times New Roman"/>
          <w:lang w:val="ro-RO"/>
        </w:rPr>
        <w:tab/>
      </w:r>
      <w:r w:rsidR="00A0763E" w:rsidRPr="00A73566">
        <w:rPr>
          <w:rFonts w:ascii="Times New Roman" w:hAnsi="Times New Roman" w:cs="Times New Roman"/>
          <w:lang w:val="ro-RO"/>
        </w:rPr>
        <w:t>Community-Led Local Development  (Programul European LEADER)</w:t>
      </w:r>
    </w:p>
    <w:p w14:paraId="13FA5A80" w14:textId="5528066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CSI</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Comunitatea Statelor Independente</w:t>
      </w:r>
    </w:p>
    <w:p w14:paraId="066EA48A"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DAMEP</w:t>
      </w:r>
      <w:r w:rsidRPr="00A73566">
        <w:rPr>
          <w:rFonts w:ascii="Times New Roman" w:hAnsi="Times New Roman" w:cs="Times New Roman"/>
          <w:lang w:val="ro-RO"/>
        </w:rPr>
        <w:tab/>
        <w:t xml:space="preserve">Direcția Analiză, Monitorizare și Evaluare a Politicilor </w:t>
      </w:r>
    </w:p>
    <w:p w14:paraId="5DAAF2E9"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DCFTA</w:t>
      </w:r>
      <w:r w:rsidRPr="00A73566">
        <w:rPr>
          <w:rFonts w:ascii="Times New Roman" w:hAnsi="Times New Roman" w:cs="Times New Roman"/>
          <w:lang w:val="ro-RO"/>
        </w:rPr>
        <w:t xml:space="preserve"> </w:t>
      </w:r>
      <w:r w:rsidRPr="00A73566">
        <w:rPr>
          <w:rFonts w:ascii="Times New Roman" w:hAnsi="Times New Roman" w:cs="Times New Roman"/>
          <w:lang w:val="ro-RO"/>
        </w:rPr>
        <w:tab/>
        <w:t>Acordul de Liber Schimb Aprofundat și Cuprinzător</w:t>
      </w:r>
    </w:p>
    <w:p w14:paraId="0235B801"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EUR</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Euro</w:t>
      </w:r>
    </w:p>
    <w:p w14:paraId="0524ED7A" w14:textId="77777777" w:rsidR="004E59CB" w:rsidRPr="00A73566" w:rsidRDefault="004E59CB" w:rsidP="004E59CB">
      <w:pPr>
        <w:spacing w:after="0"/>
        <w:contextualSpacing/>
        <w:rPr>
          <w:rFonts w:ascii="Times New Roman" w:hAnsi="Times New Roman" w:cs="Times New Roman"/>
          <w:b/>
          <w:lang w:val="ro-RO"/>
        </w:rPr>
      </w:pPr>
      <w:r w:rsidRPr="00A73566">
        <w:rPr>
          <w:rFonts w:ascii="Times New Roman" w:hAnsi="Times New Roman" w:cs="Times New Roman"/>
          <w:b/>
          <w:lang w:val="ro-RO"/>
        </w:rPr>
        <w:t>FARM</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Federaţia Agricultorilor din Moldova</w:t>
      </w:r>
    </w:p>
    <w:p w14:paraId="61E0AC4B" w14:textId="787D63AE"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FAO</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 xml:space="preserve">Organizația Națiunilor Unite pentru </w:t>
      </w:r>
      <w:r w:rsidR="00947A14" w:rsidRPr="00A73566">
        <w:rPr>
          <w:rFonts w:ascii="Times New Roman" w:hAnsi="Times New Roman" w:cs="Times New Roman"/>
          <w:lang w:val="ro-RO"/>
        </w:rPr>
        <w:t>Alimentare</w:t>
      </w:r>
      <w:r w:rsidR="00947A14" w:rsidRPr="00A73566">
        <w:rPr>
          <w:rFonts w:ascii="Times New Roman" w:hAnsi="Times New Roman" w:cs="Times New Roman"/>
          <w:b/>
          <w:lang w:val="ro-RO"/>
        </w:rPr>
        <w:t xml:space="preserve"> </w:t>
      </w:r>
      <w:r w:rsidR="00947A14" w:rsidRPr="00A73566">
        <w:rPr>
          <w:rFonts w:ascii="Times New Roman" w:hAnsi="Times New Roman" w:cs="Times New Roman"/>
          <w:lang w:val="ro-RO"/>
        </w:rPr>
        <w:t xml:space="preserve">și </w:t>
      </w:r>
      <w:r w:rsidRPr="00A73566">
        <w:rPr>
          <w:rFonts w:ascii="Times New Roman" w:hAnsi="Times New Roman" w:cs="Times New Roman"/>
          <w:lang w:val="ro-RO"/>
        </w:rPr>
        <w:t xml:space="preserve">Agricultură </w:t>
      </w:r>
    </w:p>
    <w:p w14:paraId="64057A39" w14:textId="77777777" w:rsidR="004E59CB" w:rsidRPr="00A73566" w:rsidRDefault="004E59CB" w:rsidP="004E59CB">
      <w:pPr>
        <w:spacing w:after="0"/>
        <w:contextualSpacing/>
        <w:rPr>
          <w:rFonts w:ascii="Times New Roman" w:hAnsi="Times New Roman" w:cs="Times New Roman"/>
          <w:lang w:val="ro-RO"/>
        </w:rPr>
      </w:pPr>
      <w:r w:rsidRPr="00A73566">
        <w:rPr>
          <w:rFonts w:ascii="Times New Roman" w:hAnsi="Times New Roman" w:cs="Times New Roman"/>
          <w:b/>
          <w:lang w:val="ro-RO"/>
        </w:rPr>
        <w:t>FNDAMR</w:t>
      </w:r>
      <w:r w:rsidRPr="00A73566">
        <w:rPr>
          <w:rFonts w:ascii="Times New Roman" w:hAnsi="Times New Roman" w:cs="Times New Roman"/>
          <w:b/>
          <w:lang w:val="ro-RO"/>
        </w:rPr>
        <w:tab/>
      </w:r>
      <w:r w:rsidRPr="00A73566">
        <w:rPr>
          <w:rFonts w:ascii="Times New Roman" w:hAnsi="Times New Roman" w:cs="Times New Roman"/>
          <w:lang w:val="ro-RO"/>
        </w:rPr>
        <w:t>Fondul Național de Dezvoltare a Agriculturii și Mediului Rural</w:t>
      </w:r>
    </w:p>
    <w:p w14:paraId="149A64C8"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GEF</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Global Environment Facility / Fondul Global de Mediu</w:t>
      </w:r>
    </w:p>
    <w:p w14:paraId="0218F619"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Ha</w:t>
      </w:r>
      <w:r w:rsidRPr="00A73566">
        <w:rPr>
          <w:rFonts w:ascii="Times New Roman" w:hAnsi="Times New Roman" w:cs="Times New Roman"/>
          <w:lang w:val="ro-RO"/>
        </w:rPr>
        <w:tab/>
      </w:r>
      <w:r w:rsidRPr="00A73566">
        <w:rPr>
          <w:rFonts w:ascii="Times New Roman" w:hAnsi="Times New Roman" w:cs="Times New Roman"/>
          <w:lang w:val="ro-RO"/>
        </w:rPr>
        <w:tab/>
        <w:t>Hectare</w:t>
      </w:r>
    </w:p>
    <w:p w14:paraId="12A5D25C"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IFAD</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bCs/>
          <w:lang w:val="ro-RO"/>
        </w:rPr>
        <w:t>Fondul Internațional pentru Dezvoltare Agricolă</w:t>
      </w:r>
    </w:p>
    <w:p w14:paraId="7E83CC84" w14:textId="6680BEE4"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MAC P</w:t>
      </w:r>
      <w:r w:rsidRPr="00A73566">
        <w:rPr>
          <w:rFonts w:ascii="Times New Roman" w:hAnsi="Times New Roman" w:cs="Times New Roman"/>
          <w:b/>
          <w:lang w:val="ro-RO"/>
        </w:rPr>
        <w:tab/>
      </w:r>
      <w:r w:rsidRPr="00A73566">
        <w:rPr>
          <w:rFonts w:ascii="Times New Roman" w:hAnsi="Times New Roman" w:cs="Times New Roman"/>
          <w:lang w:val="ro-RO"/>
        </w:rPr>
        <w:t>Proiectul Agricultura Competitivă</w:t>
      </w:r>
      <w:r w:rsidRPr="00A73566">
        <w:rPr>
          <w:rFonts w:ascii="Times New Roman" w:hAnsi="Times New Roman" w:cs="Times New Roman"/>
          <w:b/>
          <w:lang w:val="ro-RO"/>
        </w:rPr>
        <w:t xml:space="preserve"> </w:t>
      </w:r>
    </w:p>
    <w:p w14:paraId="2149E488"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MADRM</w:t>
      </w:r>
      <w:r w:rsidRPr="00A73566">
        <w:rPr>
          <w:rFonts w:ascii="Times New Roman" w:hAnsi="Times New Roman" w:cs="Times New Roman"/>
          <w:b/>
          <w:lang w:val="ro-RO"/>
        </w:rPr>
        <w:tab/>
      </w:r>
      <w:r w:rsidRPr="00A73566">
        <w:rPr>
          <w:rFonts w:ascii="Times New Roman" w:hAnsi="Times New Roman" w:cs="Times New Roman"/>
          <w:lang w:val="ro-RO"/>
        </w:rPr>
        <w:t>Ministerul Agriculturii, Dezvoltării Rurale și Mediului</w:t>
      </w:r>
    </w:p>
    <w:p w14:paraId="2AD1038F"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MAIA</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Ministerul Agriculturii și Industriei Alimentare</w:t>
      </w:r>
    </w:p>
    <w:p w14:paraId="2F8249BC"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MDL</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Lei Moldovenești</w:t>
      </w:r>
    </w:p>
    <w:p w14:paraId="34538165" w14:textId="42924E85" w:rsidR="00EA4592" w:rsidRPr="00A73566" w:rsidRDefault="00252A7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ML</w:t>
      </w:r>
      <w:r w:rsidR="003C0187" w:rsidRPr="00A73566">
        <w:rPr>
          <w:rFonts w:ascii="Times New Roman" w:hAnsi="Times New Roman" w:cs="Times New Roman"/>
          <w:b/>
          <w:lang w:val="ro-RO"/>
        </w:rPr>
        <w:t>N</w:t>
      </w:r>
      <w:r w:rsidR="00EA4592" w:rsidRPr="00A73566">
        <w:rPr>
          <w:rFonts w:ascii="Times New Roman" w:hAnsi="Times New Roman" w:cs="Times New Roman"/>
          <w:b/>
          <w:lang w:val="ro-RO"/>
        </w:rPr>
        <w:tab/>
      </w:r>
      <w:r w:rsidR="00EA4592" w:rsidRPr="00A73566">
        <w:rPr>
          <w:rFonts w:ascii="Times New Roman" w:hAnsi="Times New Roman" w:cs="Times New Roman"/>
          <w:b/>
          <w:lang w:val="ro-RO"/>
        </w:rPr>
        <w:tab/>
      </w:r>
      <w:r w:rsidR="003C0187" w:rsidRPr="00A73566">
        <w:rPr>
          <w:rFonts w:ascii="Times New Roman" w:hAnsi="Times New Roman" w:cs="Times New Roman"/>
          <w:lang w:val="ro-RO"/>
        </w:rPr>
        <w:t>M</w:t>
      </w:r>
      <w:r w:rsidR="00EA4592" w:rsidRPr="00A73566">
        <w:rPr>
          <w:rFonts w:ascii="Times New Roman" w:hAnsi="Times New Roman" w:cs="Times New Roman"/>
          <w:lang w:val="ro-RO"/>
        </w:rPr>
        <w:t>ilio</w:t>
      </w:r>
      <w:r w:rsidR="003C0187" w:rsidRPr="00A73566">
        <w:rPr>
          <w:rFonts w:ascii="Times New Roman" w:hAnsi="Times New Roman" w:cs="Times New Roman"/>
          <w:lang w:val="ro-RO"/>
        </w:rPr>
        <w:t>n</w:t>
      </w:r>
    </w:p>
    <w:p w14:paraId="0297E034" w14:textId="6438D457" w:rsidR="00EA4592" w:rsidRPr="00A73566" w:rsidRDefault="008F4C2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MLD</w:t>
      </w:r>
      <w:r w:rsidR="00252A72" w:rsidRPr="00A73566">
        <w:rPr>
          <w:rFonts w:ascii="Times New Roman" w:hAnsi="Times New Roman" w:cs="Times New Roman"/>
          <w:b/>
          <w:lang w:val="ro-RO"/>
        </w:rPr>
        <w:tab/>
      </w:r>
      <w:r w:rsidR="00E03D1A" w:rsidRPr="00A73566">
        <w:rPr>
          <w:rFonts w:ascii="Times New Roman" w:hAnsi="Times New Roman" w:cs="Times New Roman"/>
          <w:b/>
          <w:lang w:val="ro-RO"/>
        </w:rPr>
        <w:tab/>
      </w:r>
      <w:r w:rsidR="003C0187" w:rsidRPr="00A73566">
        <w:rPr>
          <w:rFonts w:ascii="Times New Roman" w:hAnsi="Times New Roman" w:cs="Times New Roman"/>
          <w:lang w:val="ro-RO"/>
        </w:rPr>
        <w:t>M</w:t>
      </w:r>
      <w:r w:rsidR="00EA4592" w:rsidRPr="00A73566">
        <w:rPr>
          <w:rFonts w:ascii="Times New Roman" w:hAnsi="Times New Roman" w:cs="Times New Roman"/>
          <w:lang w:val="ro-RO"/>
        </w:rPr>
        <w:t>iliard</w:t>
      </w:r>
    </w:p>
    <w:p w14:paraId="1780DC92"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ODIMM</w:t>
      </w:r>
      <w:r w:rsidRPr="00A73566">
        <w:rPr>
          <w:rFonts w:ascii="Times New Roman" w:hAnsi="Times New Roman" w:cs="Times New Roman"/>
          <w:b/>
          <w:lang w:val="ro-RO"/>
        </w:rPr>
        <w:tab/>
      </w:r>
      <w:r w:rsidRPr="00A73566">
        <w:rPr>
          <w:rFonts w:ascii="Times New Roman" w:hAnsi="Times New Roman" w:cs="Times New Roman"/>
          <w:lang w:val="ro-RO"/>
        </w:rPr>
        <w:t>Organizația pentru Dezvoltarea Întreprinderilor Mici și Mijlocii</w:t>
      </w:r>
    </w:p>
    <w:p w14:paraId="459A90ED" w14:textId="62F60AA2"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OG</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Obiectiv General</w:t>
      </w:r>
      <w:r w:rsidR="004208A6" w:rsidRPr="00A73566">
        <w:rPr>
          <w:rFonts w:ascii="Times New Roman" w:hAnsi="Times New Roman" w:cs="Times New Roman"/>
          <w:lang w:val="ro-RO"/>
        </w:rPr>
        <w:tab/>
      </w:r>
    </w:p>
    <w:p w14:paraId="1402DEA4" w14:textId="3E3DAB0A" w:rsidR="004208A6" w:rsidRPr="00A73566" w:rsidRDefault="004208A6" w:rsidP="00252A72">
      <w:pPr>
        <w:spacing w:after="0"/>
        <w:contextualSpacing/>
        <w:rPr>
          <w:rFonts w:ascii="Times New Roman" w:hAnsi="Times New Roman" w:cs="Times New Roman"/>
          <w:lang w:val="ro-RO"/>
        </w:rPr>
      </w:pPr>
      <w:r w:rsidRPr="00A73566">
        <w:rPr>
          <w:rFonts w:ascii="Times New Roman" w:hAnsi="Times New Roman" w:cs="Times New Roman"/>
          <w:b/>
          <w:lang w:val="ro-RO"/>
        </w:rPr>
        <w:t>ONVV</w:t>
      </w:r>
      <w:r w:rsidR="00E03D1A" w:rsidRPr="00A73566">
        <w:rPr>
          <w:rFonts w:ascii="Times New Roman" w:hAnsi="Times New Roman" w:cs="Times New Roman"/>
          <w:b/>
          <w:lang w:val="ro-RO"/>
        </w:rPr>
        <w:tab/>
      </w:r>
      <w:r w:rsidR="00E03D1A" w:rsidRPr="00A73566">
        <w:rPr>
          <w:rFonts w:ascii="Times New Roman" w:hAnsi="Times New Roman" w:cs="Times New Roman"/>
          <w:b/>
          <w:lang w:val="ro-RO"/>
        </w:rPr>
        <w:tab/>
      </w:r>
      <w:r w:rsidRPr="00A73566">
        <w:rPr>
          <w:rFonts w:ascii="Times New Roman" w:hAnsi="Times New Roman" w:cs="Times New Roman"/>
          <w:lang w:val="ro-RO"/>
        </w:rPr>
        <w:t>Oficiul Național al Viei și Vinului</w:t>
      </w:r>
    </w:p>
    <w:p w14:paraId="55B6B44E"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OMC</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Organizația Mondială a Comerțului</w:t>
      </w:r>
    </w:p>
    <w:p w14:paraId="5D2FF6DD"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ONU</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Organizația Națiunilor Unite</w:t>
      </w:r>
    </w:p>
    <w:p w14:paraId="141E7705"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OS</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Obiectiv specific</w:t>
      </w:r>
    </w:p>
    <w:p w14:paraId="6FC8C285"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p.p.</w:t>
      </w:r>
      <w:r w:rsidRPr="00A73566">
        <w:rPr>
          <w:rFonts w:ascii="Times New Roman" w:hAnsi="Times New Roman" w:cs="Times New Roman"/>
          <w:lang w:val="ro-RO"/>
        </w:rPr>
        <w:tab/>
      </w:r>
      <w:r w:rsidRPr="00A73566">
        <w:rPr>
          <w:rFonts w:ascii="Times New Roman" w:hAnsi="Times New Roman" w:cs="Times New Roman"/>
          <w:lang w:val="ro-RO"/>
        </w:rPr>
        <w:tab/>
        <w:t>puncte procentuale</w:t>
      </w:r>
    </w:p>
    <w:p w14:paraId="03DB6201"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PA</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Plan de Acțiuni</w:t>
      </w:r>
    </w:p>
    <w:p w14:paraId="124B733E"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PAC</w:t>
      </w:r>
      <w:r w:rsidRPr="00A73566">
        <w:rPr>
          <w:rFonts w:ascii="Times New Roman" w:hAnsi="Times New Roman" w:cs="Times New Roman"/>
          <w:lang w:val="ro-RO"/>
        </w:rPr>
        <w:tab/>
      </w:r>
      <w:r w:rsidRPr="00A73566">
        <w:rPr>
          <w:rFonts w:ascii="Times New Roman" w:hAnsi="Times New Roman" w:cs="Times New Roman"/>
          <w:lang w:val="ro-RO"/>
        </w:rPr>
        <w:tab/>
        <w:t>Politica Agricolă Comună a UE</w:t>
      </w:r>
    </w:p>
    <w:p w14:paraId="7390D1CF"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q</w:t>
      </w:r>
      <w:r w:rsidRPr="00A73566">
        <w:rPr>
          <w:rFonts w:ascii="Times New Roman" w:hAnsi="Times New Roman" w:cs="Times New Roman"/>
          <w:lang w:val="ro-RO"/>
        </w:rPr>
        <w:tab/>
      </w:r>
      <w:r w:rsidRPr="00A73566">
        <w:rPr>
          <w:rFonts w:ascii="Times New Roman" w:hAnsi="Times New Roman" w:cs="Times New Roman"/>
          <w:lang w:val="ro-RO"/>
        </w:rPr>
        <w:tab/>
        <w:t>Chintale</w:t>
      </w:r>
    </w:p>
    <w:p w14:paraId="17F8F541" w14:textId="77777777" w:rsidR="00EA4592" w:rsidRPr="00A73566" w:rsidRDefault="00EA4592" w:rsidP="00252A72">
      <w:pPr>
        <w:spacing w:after="0"/>
        <w:contextualSpacing/>
        <w:rPr>
          <w:rFonts w:ascii="Times New Roman" w:hAnsi="Times New Roman" w:cs="Times New Roman"/>
          <w:lang w:val="ro-RO"/>
        </w:rPr>
      </w:pPr>
      <w:r w:rsidRPr="00A73566">
        <w:rPr>
          <w:rFonts w:ascii="Times New Roman" w:hAnsi="Times New Roman" w:cs="Times New Roman"/>
          <w:b/>
          <w:lang w:val="ro-RO"/>
        </w:rPr>
        <w:t>SND</w:t>
      </w:r>
      <w:r w:rsidRPr="00A73566">
        <w:rPr>
          <w:rFonts w:ascii="Times New Roman" w:hAnsi="Times New Roman" w:cs="Times New Roman"/>
          <w:lang w:val="ro-RO"/>
        </w:rPr>
        <w:tab/>
      </w:r>
      <w:r w:rsidRPr="00A73566">
        <w:rPr>
          <w:rFonts w:ascii="Times New Roman" w:hAnsi="Times New Roman" w:cs="Times New Roman"/>
          <w:lang w:val="ro-RO"/>
        </w:rPr>
        <w:tab/>
      </w:r>
      <w:r w:rsidRPr="00A73566">
        <w:rPr>
          <w:rFonts w:ascii="Times New Roman" w:hAnsi="Times New Roman" w:cs="Times New Roman"/>
          <w:color w:val="000000" w:themeColor="text1"/>
          <w:lang w:val="ro-RO"/>
        </w:rPr>
        <w:t>Strategia Națională de Dezvoltare</w:t>
      </w:r>
    </w:p>
    <w:p w14:paraId="44E58725"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SNDAR</w:t>
      </w:r>
      <w:r w:rsidRPr="00A73566">
        <w:rPr>
          <w:rFonts w:ascii="Times New Roman" w:hAnsi="Times New Roman" w:cs="Times New Roman"/>
          <w:b/>
          <w:lang w:val="ro-RO"/>
        </w:rPr>
        <w:tab/>
      </w:r>
      <w:r w:rsidRPr="00A73566">
        <w:rPr>
          <w:rFonts w:ascii="Times New Roman" w:hAnsi="Times New Roman" w:cs="Times New Roman"/>
          <w:lang w:val="ro-RO"/>
        </w:rPr>
        <w:t>Strategia Națională de Dezvoltare Agricolă și Rurală</w:t>
      </w:r>
    </w:p>
    <w:p w14:paraId="3C758434" w14:textId="54EAB4D7" w:rsidR="0035202F" w:rsidRPr="00A73566" w:rsidRDefault="0035202F" w:rsidP="00252A72">
      <w:pPr>
        <w:spacing w:after="0"/>
        <w:contextualSpacing/>
        <w:rPr>
          <w:rFonts w:ascii="Times New Roman" w:hAnsi="Times New Roman" w:cs="Times New Roman"/>
          <w:b/>
          <w:bCs/>
          <w:lang w:val="ro-RO"/>
        </w:rPr>
      </w:pPr>
      <w:r w:rsidRPr="00A73566">
        <w:rPr>
          <w:rFonts w:ascii="Times New Roman" w:hAnsi="Times New Roman" w:cs="Times New Roman"/>
          <w:b/>
          <w:bCs/>
          <w:lang w:val="ro-RO"/>
        </w:rPr>
        <w:t>SUA</w:t>
      </w:r>
      <w:r w:rsidRPr="00A73566">
        <w:rPr>
          <w:rFonts w:ascii="Times New Roman" w:hAnsi="Times New Roman" w:cs="Times New Roman"/>
          <w:b/>
          <w:bCs/>
          <w:lang w:val="ro-RO"/>
        </w:rPr>
        <w:tab/>
      </w:r>
      <w:r w:rsidRPr="00A73566">
        <w:rPr>
          <w:rFonts w:ascii="Times New Roman" w:hAnsi="Times New Roman" w:cs="Times New Roman"/>
          <w:b/>
          <w:bCs/>
          <w:lang w:val="ro-RO"/>
        </w:rPr>
        <w:tab/>
      </w:r>
      <w:r w:rsidRPr="00A73566">
        <w:rPr>
          <w:rFonts w:ascii="Times New Roman" w:hAnsi="Times New Roman" w:cs="Times New Roman"/>
          <w:bCs/>
          <w:lang w:val="ro-RO"/>
        </w:rPr>
        <w:t>Statele Unite ale Americii</w:t>
      </w:r>
    </w:p>
    <w:p w14:paraId="214EA327" w14:textId="5BAB6A68" w:rsidR="004E59CB" w:rsidRPr="00A73566" w:rsidRDefault="004E59CB" w:rsidP="00FF2B36">
      <w:pPr>
        <w:spacing w:after="0"/>
        <w:ind w:left="1418" w:hanging="1418"/>
        <w:contextualSpacing/>
        <w:rPr>
          <w:rFonts w:ascii="Times New Roman" w:hAnsi="Times New Roman" w:cs="Times New Roman"/>
          <w:lang w:val="ro-RO"/>
        </w:rPr>
      </w:pPr>
      <w:r w:rsidRPr="00A73566">
        <w:rPr>
          <w:rFonts w:ascii="Times New Roman" w:hAnsi="Times New Roman" w:cs="Times New Roman"/>
          <w:b/>
          <w:bCs/>
          <w:lang w:val="ro-RO"/>
        </w:rPr>
        <w:t>UCIMPA</w:t>
      </w:r>
      <w:r w:rsidRPr="00A73566">
        <w:rPr>
          <w:rFonts w:ascii="Times New Roman" w:hAnsi="Times New Roman" w:cs="Times New Roman"/>
          <w:b/>
          <w:bCs/>
          <w:lang w:val="ro-RO"/>
        </w:rPr>
        <w:tab/>
      </w:r>
      <w:r w:rsidRPr="00A73566">
        <w:rPr>
          <w:rFonts w:ascii="Times New Roman" w:hAnsi="Times New Roman" w:cs="Times New Roman"/>
          <w:bCs/>
          <w:lang w:val="ro-RO"/>
        </w:rPr>
        <w:t xml:space="preserve">Unitatea Consolidată pentru Implementarea și Monitorizarea Proiectelor în domeniul </w:t>
      </w:r>
      <w:r w:rsidR="00FF2B36">
        <w:rPr>
          <w:rFonts w:ascii="Times New Roman" w:hAnsi="Times New Roman" w:cs="Times New Roman"/>
          <w:bCs/>
          <w:lang w:val="ro-RO"/>
        </w:rPr>
        <w:t xml:space="preserve">         </w:t>
      </w:r>
      <w:r w:rsidRPr="00A73566">
        <w:rPr>
          <w:rFonts w:ascii="Times New Roman" w:hAnsi="Times New Roman" w:cs="Times New Roman"/>
          <w:bCs/>
          <w:lang w:val="ro-RO"/>
        </w:rPr>
        <w:t>Agriculturii finanţată de Banca Mondială</w:t>
      </w:r>
    </w:p>
    <w:p w14:paraId="70A95735" w14:textId="0A4F95FB" w:rsidR="00EA4592" w:rsidRPr="00A73566" w:rsidRDefault="00FF2B36" w:rsidP="00FF2B36">
      <w:pPr>
        <w:spacing w:after="0"/>
        <w:ind w:left="993" w:hanging="993"/>
        <w:contextualSpacing/>
        <w:rPr>
          <w:rFonts w:ascii="Times New Roman" w:hAnsi="Times New Roman" w:cs="Times New Roman"/>
          <w:b/>
          <w:lang w:val="ro-RO"/>
        </w:rPr>
      </w:pPr>
      <w:r>
        <w:rPr>
          <w:rFonts w:ascii="Times New Roman" w:hAnsi="Times New Roman" w:cs="Times New Roman"/>
          <w:b/>
          <w:lang w:val="ro-RO"/>
        </w:rPr>
        <w:t>UE</w:t>
      </w:r>
      <w:r>
        <w:rPr>
          <w:rFonts w:ascii="Times New Roman" w:hAnsi="Times New Roman" w:cs="Times New Roman"/>
          <w:b/>
          <w:lang w:val="ro-RO"/>
        </w:rPr>
        <w:tab/>
      </w:r>
      <w:r w:rsidR="00E03D1A" w:rsidRPr="00A73566">
        <w:rPr>
          <w:rFonts w:ascii="Times New Roman" w:hAnsi="Times New Roman" w:cs="Times New Roman"/>
          <w:b/>
          <w:lang w:val="ro-RO"/>
        </w:rPr>
        <w:tab/>
      </w:r>
      <w:r w:rsidR="00EA4592" w:rsidRPr="00A73566">
        <w:rPr>
          <w:rFonts w:ascii="Times New Roman" w:hAnsi="Times New Roman" w:cs="Times New Roman"/>
          <w:lang w:val="ro-RO"/>
        </w:rPr>
        <w:t>Uniunea Europeană</w:t>
      </w:r>
    </w:p>
    <w:p w14:paraId="35898438" w14:textId="68385F98" w:rsidR="004E59CB" w:rsidRPr="00A73566" w:rsidRDefault="004E59CB" w:rsidP="004E59CB">
      <w:pPr>
        <w:spacing w:after="0"/>
        <w:rPr>
          <w:rFonts w:ascii="Times New Roman" w:hAnsi="Times New Roman" w:cs="Times New Roman"/>
          <w:lang w:val="ro-RO"/>
        </w:rPr>
      </w:pPr>
      <w:r w:rsidRPr="00A73566">
        <w:rPr>
          <w:rFonts w:ascii="Times New Roman" w:hAnsi="Times New Roman" w:cs="Times New Roman"/>
          <w:b/>
          <w:lang w:val="ro-RO"/>
        </w:rPr>
        <w:t>USAID</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Style w:val="Emphasis"/>
          <w:rFonts w:ascii="Times New Roman" w:hAnsi="Times New Roman" w:cs="Times New Roman"/>
          <w:bCs/>
          <w:iCs/>
          <w:color w:val="auto"/>
          <w:shd w:val="clear" w:color="auto" w:fill="FFFFFF"/>
          <w:lang w:val="ro-RO"/>
        </w:rPr>
        <w:t>Agenţia Statelor Unite</w:t>
      </w:r>
      <w:r w:rsidRPr="00A73566">
        <w:rPr>
          <w:shd w:val="clear" w:color="auto" w:fill="FFFFFF"/>
          <w:lang w:val="ro-RO"/>
        </w:rPr>
        <w:t xml:space="preserve"> </w:t>
      </w:r>
      <w:r w:rsidRPr="00A73566">
        <w:rPr>
          <w:rFonts w:ascii="Times New Roman" w:hAnsi="Times New Roman" w:cs="Times New Roman"/>
          <w:shd w:val="clear" w:color="auto" w:fill="FFFFFF"/>
          <w:lang w:val="ro-RO"/>
        </w:rPr>
        <w:t>pentru</w:t>
      </w:r>
      <w:r w:rsidRPr="00A73566">
        <w:rPr>
          <w:shd w:val="clear" w:color="auto" w:fill="FFFFFF"/>
          <w:lang w:val="ro-RO"/>
        </w:rPr>
        <w:t xml:space="preserve"> </w:t>
      </w:r>
      <w:r w:rsidRPr="00A73566">
        <w:rPr>
          <w:rStyle w:val="Emphasis"/>
          <w:rFonts w:ascii="Times New Roman" w:hAnsi="Times New Roman" w:cs="Times New Roman"/>
          <w:bCs/>
          <w:iCs/>
          <w:color w:val="auto"/>
          <w:shd w:val="clear" w:color="auto" w:fill="FFFFFF"/>
          <w:lang w:val="ro-RO"/>
        </w:rPr>
        <w:t>Dezvoltare</w:t>
      </w:r>
      <w:r w:rsidRPr="00A73566">
        <w:rPr>
          <w:shd w:val="clear" w:color="auto" w:fill="FFFFFF"/>
          <w:lang w:val="ro-RO"/>
        </w:rPr>
        <w:t xml:space="preserve"> </w:t>
      </w:r>
      <w:r w:rsidRPr="00A73566">
        <w:rPr>
          <w:rFonts w:ascii="Times New Roman" w:hAnsi="Times New Roman" w:cs="Times New Roman"/>
          <w:shd w:val="clear" w:color="auto" w:fill="FFFFFF"/>
          <w:lang w:val="ro-RO"/>
        </w:rPr>
        <w:t>Internaţională</w:t>
      </w:r>
    </w:p>
    <w:p w14:paraId="6D7A1B3C" w14:textId="77777777" w:rsidR="00EA4592" w:rsidRPr="00A73566" w:rsidRDefault="00EA4592" w:rsidP="00252A72">
      <w:pPr>
        <w:spacing w:after="0"/>
        <w:contextualSpacing/>
        <w:rPr>
          <w:rFonts w:ascii="Times New Roman" w:hAnsi="Times New Roman" w:cs="Times New Roman"/>
          <w:b/>
          <w:lang w:val="ro-RO"/>
        </w:rPr>
      </w:pPr>
      <w:r w:rsidRPr="00A73566">
        <w:rPr>
          <w:rFonts w:ascii="Times New Roman" w:hAnsi="Times New Roman" w:cs="Times New Roman"/>
          <w:b/>
          <w:lang w:val="ro-RO"/>
        </w:rPr>
        <w:t>USD</w:t>
      </w:r>
      <w:r w:rsidRPr="00A73566">
        <w:rPr>
          <w:rFonts w:ascii="Times New Roman" w:hAnsi="Times New Roman" w:cs="Times New Roman"/>
          <w:b/>
          <w:lang w:val="ro-RO"/>
        </w:rPr>
        <w:tab/>
      </w:r>
      <w:r w:rsidRPr="00A73566">
        <w:rPr>
          <w:rFonts w:ascii="Times New Roman" w:hAnsi="Times New Roman" w:cs="Times New Roman"/>
          <w:b/>
          <w:lang w:val="ro-RO"/>
        </w:rPr>
        <w:tab/>
      </w:r>
      <w:r w:rsidRPr="00A73566">
        <w:rPr>
          <w:rFonts w:ascii="Times New Roman" w:hAnsi="Times New Roman" w:cs="Times New Roman"/>
          <w:lang w:val="ro-RO"/>
        </w:rPr>
        <w:t>Dolar SUA</w:t>
      </w:r>
    </w:p>
    <w:p w14:paraId="7E9D2C96" w14:textId="23C5DEAE" w:rsidR="00E03D1A" w:rsidRDefault="00EA4592" w:rsidP="00E03D1A">
      <w:pPr>
        <w:spacing w:after="0"/>
        <w:contextualSpacing/>
        <w:rPr>
          <w:rFonts w:ascii="Times New Roman" w:hAnsi="Times New Roman" w:cs="Times New Roman"/>
          <w:lang w:val="ro-RO"/>
        </w:rPr>
      </w:pPr>
      <w:r w:rsidRPr="00A73566">
        <w:rPr>
          <w:rFonts w:ascii="Times New Roman" w:hAnsi="Times New Roman" w:cs="Times New Roman"/>
          <w:b/>
          <w:lang w:val="ro-RO"/>
        </w:rPr>
        <w:t>VAB</w:t>
      </w:r>
      <w:r w:rsidRPr="00A73566">
        <w:rPr>
          <w:rFonts w:ascii="Times New Roman" w:hAnsi="Times New Roman" w:cs="Times New Roman"/>
          <w:lang w:val="ro-RO"/>
        </w:rPr>
        <w:tab/>
      </w:r>
      <w:r w:rsidRPr="00A73566">
        <w:rPr>
          <w:rFonts w:ascii="Times New Roman" w:hAnsi="Times New Roman" w:cs="Times New Roman"/>
          <w:lang w:val="ro-RO"/>
        </w:rPr>
        <w:tab/>
        <w:t>Valoarea Agricolă Brută</w:t>
      </w:r>
      <w:bookmarkStart w:id="2" w:name="_Toc88132097"/>
    </w:p>
    <w:p w14:paraId="052D1105" w14:textId="77777777" w:rsidR="00E03D1A" w:rsidRDefault="00E03D1A" w:rsidP="00E03D1A">
      <w:pPr>
        <w:spacing w:after="0"/>
        <w:contextualSpacing/>
        <w:rPr>
          <w:rFonts w:ascii="Times New Roman" w:hAnsi="Times New Roman" w:cs="Times New Roman"/>
          <w:lang w:val="ro-RO"/>
        </w:rPr>
      </w:pPr>
    </w:p>
    <w:p w14:paraId="29F81982" w14:textId="77777777" w:rsidR="00E03D1A" w:rsidRDefault="00E03D1A" w:rsidP="00E03D1A">
      <w:pPr>
        <w:spacing w:after="0"/>
        <w:contextualSpacing/>
        <w:rPr>
          <w:rFonts w:ascii="Times New Roman" w:hAnsi="Times New Roman" w:cs="Times New Roman"/>
          <w:lang w:val="ro-RO"/>
        </w:rPr>
      </w:pPr>
    </w:p>
    <w:p w14:paraId="705E0111" w14:textId="42559BE1" w:rsidR="00EF005D" w:rsidRPr="00A73566" w:rsidRDefault="00EF005D" w:rsidP="00E03D1A">
      <w:pPr>
        <w:pStyle w:val="Heading1"/>
        <w:numPr>
          <w:ilvl w:val="0"/>
          <w:numId w:val="0"/>
        </w:numPr>
        <w:spacing w:before="240"/>
        <w:ind w:left="357" w:hanging="357"/>
        <w:rPr>
          <w:rFonts w:ascii="Times New Roman" w:hAnsi="Times New Roman" w:cs="Times New Roman"/>
          <w:lang w:val="ro-RO"/>
        </w:rPr>
      </w:pPr>
      <w:r w:rsidRPr="00A73566">
        <w:rPr>
          <w:rFonts w:ascii="Times New Roman" w:hAnsi="Times New Roman" w:cs="Times New Roman"/>
          <w:lang w:val="ro-RO"/>
        </w:rPr>
        <w:lastRenderedPageBreak/>
        <w:t>Introducere</w:t>
      </w:r>
      <w:bookmarkEnd w:id="2"/>
    </w:p>
    <w:p w14:paraId="0E2DC3FE" w14:textId="31386D3C" w:rsidR="00E04E4D" w:rsidRPr="00A73566" w:rsidRDefault="00E04E4D" w:rsidP="00FF2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lang w:val="ro-RO"/>
        </w:rPr>
      </w:pPr>
      <w:r w:rsidRPr="00A73566">
        <w:rPr>
          <w:rFonts w:ascii="Times New Roman" w:hAnsi="Times New Roman" w:cs="Times New Roman"/>
          <w:color w:val="000000"/>
          <w:lang w:val="ro-RO"/>
        </w:rPr>
        <w:t>Strategia Națională de Dezvoltare Agricolă și Rurală 2022-2027 (SNDAR 2027) este al treilea document consecutiv de planificare în domeniul a</w:t>
      </w:r>
      <w:r w:rsidR="00866076" w:rsidRPr="00A73566">
        <w:rPr>
          <w:rFonts w:ascii="Times New Roman" w:hAnsi="Times New Roman" w:cs="Times New Roman"/>
          <w:color w:val="000000"/>
          <w:lang w:val="ro-RO"/>
        </w:rPr>
        <w:t>g</w:t>
      </w:r>
      <w:r w:rsidRPr="00A73566">
        <w:rPr>
          <w:rFonts w:ascii="Times New Roman" w:hAnsi="Times New Roman" w:cs="Times New Roman"/>
          <w:color w:val="000000"/>
          <w:lang w:val="ro-RO"/>
        </w:rPr>
        <w:t>roalimentar și al doilea în ceea ce privește dezvoltarea rurală. SNDAR-2027 corespunde prevederilor Strategiei Naționale de Dezvoltare „Moldova 2030” și ale Politicii Agricole Comune a Uniunii Europene.</w:t>
      </w:r>
    </w:p>
    <w:p w14:paraId="0CC493B6" w14:textId="77777777" w:rsidR="00E04E4D" w:rsidRPr="00A73566" w:rsidRDefault="00E04E4D" w:rsidP="00FF2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Cs/>
          <w:color w:val="000000"/>
          <w:lang w:val="ro-RO"/>
        </w:rPr>
      </w:pPr>
      <w:r w:rsidRPr="00A73566">
        <w:rPr>
          <w:rFonts w:ascii="Times New Roman" w:hAnsi="Times New Roman" w:cs="Times New Roman"/>
          <w:bCs/>
          <w:color w:val="000000"/>
          <w:lang w:val="ro-RO"/>
        </w:rPr>
        <w:t xml:space="preserve">Viziunea strategică a acestui document este dezvoltarea unui sector agroalimentar competitiv, centrat pe lanțurile valorice cu un potențial sporit, prietenos cu mediu ambiant și rezilient la schimbările climatice, care consolidează securitatea și siguranța alimentară și oferă bunăstare și condiții de trai mai bune în mediu rural. </w:t>
      </w:r>
    </w:p>
    <w:p w14:paraId="6C635593" w14:textId="77777777" w:rsidR="00E04E4D" w:rsidRPr="00A73566" w:rsidRDefault="00E04E4D" w:rsidP="00FF2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lang w:val="ro-RO"/>
        </w:rPr>
      </w:pPr>
      <w:r w:rsidRPr="00A73566">
        <w:rPr>
          <w:rFonts w:ascii="Times New Roman" w:hAnsi="Times New Roman" w:cs="Times New Roman"/>
          <w:bCs/>
          <w:color w:val="000000"/>
          <w:lang w:val="ro-RO"/>
        </w:rPr>
        <w:t>Pornind de la nevoile de dezvoltare legate de inputuri, procesele agricole, piețele de desfacere și de implicarea comunității în dezvoltarea rurală, Strategia definește patru obiective strategice generale, care urmăresc consolidarea potențialului sectorului agricol rezilient la schimbările climatice, promovarea practicilor agricole inteligente, eficiente și durabile, dezvoltarea pieței locale și sporirea potențialului de export, precum și susținerea unei dezvoltări socioeconomice rurale sustenabile. Atingerea celor patru obiective generale va fi realizată prin intermediul unui set de obiective specifice din care vor deriva Programele și Planurile sectoriale de măsuri și intervenții concrete.</w:t>
      </w:r>
    </w:p>
    <w:p w14:paraId="39D6EBE7" w14:textId="77777777" w:rsidR="00E04E4D" w:rsidRPr="00A73566" w:rsidRDefault="00E04E4D" w:rsidP="00F94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lang w:val="ro-RO"/>
        </w:rPr>
      </w:pPr>
      <w:r w:rsidRPr="00A73566">
        <w:rPr>
          <w:rFonts w:ascii="Times New Roman" w:hAnsi="Times New Roman" w:cs="Times New Roman"/>
          <w:color w:val="000000"/>
          <w:lang w:val="ro-RO"/>
        </w:rPr>
        <w:t>În procesul de elaborare a SNDAR 2027, s-a ținut cont de prevederile Hotărârii de Guvern nr. 386/2020 referitoare la conținutul și structura strategiilor, documentele de poziție înaintate de societatea civilă prin intermediul Rețelei Naționale de Dezvoltare Rurala si programele de dezvoltare sectoriale.</w:t>
      </w:r>
    </w:p>
    <w:p w14:paraId="0524CE5E" w14:textId="77777777" w:rsidR="00E04E4D" w:rsidRPr="00A73566" w:rsidRDefault="00E04E4D" w:rsidP="00F94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color w:val="000000"/>
          <w:lang w:val="ro-RO"/>
        </w:rPr>
      </w:pPr>
      <w:r w:rsidRPr="00A73566">
        <w:rPr>
          <w:rFonts w:ascii="Times New Roman" w:hAnsi="Times New Roman" w:cs="Times New Roman"/>
          <w:bCs/>
          <w:color w:val="000000"/>
          <w:lang w:val="ro-RO"/>
        </w:rPr>
        <w:t xml:space="preserve">SNDAR-2027 asigura continuitatea activităților prevăzute de Strategia precedentă în ceea ce privește </w:t>
      </w:r>
      <w:r w:rsidRPr="00A73566">
        <w:rPr>
          <w:rFonts w:ascii="Times New Roman" w:hAnsi="Times New Roman" w:cs="Times New Roman"/>
          <w:color w:val="000000"/>
          <w:lang w:val="ro-RO"/>
        </w:rPr>
        <w:t>creșterea competitivității sectorului agroalimentar, adaptarea producătorilor agricoli la schimbările climaterice, reducerea nivelului de sărăcie în mediul rural și stimularea creșterii activităților agricole strategice și de afaceri în mediul rural.</w:t>
      </w:r>
    </w:p>
    <w:p w14:paraId="700DB0A1" w14:textId="77777777" w:rsidR="00E04E4D" w:rsidRPr="00A73566" w:rsidRDefault="00E04E4D" w:rsidP="000F7F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o-RO"/>
        </w:rPr>
      </w:pPr>
      <w:r w:rsidRPr="00A73566">
        <w:rPr>
          <w:rFonts w:ascii="Times New Roman" w:hAnsi="Times New Roman" w:cs="Times New Roman"/>
          <w:bCs/>
          <w:color w:val="000000"/>
          <w:lang w:val="ro-RO"/>
        </w:rPr>
        <w:t xml:space="preserve">Noua Strategie </w:t>
      </w:r>
      <w:r w:rsidRPr="00A73566">
        <w:rPr>
          <w:rFonts w:ascii="Times New Roman" w:hAnsi="Times New Roman" w:cs="Times New Roman"/>
          <w:lang w:val="ro-RO"/>
        </w:rPr>
        <w:t xml:space="preserve">pornește de la scopul general de a contribui decisiv la implementarea pilonilor 1 și 4 ai Strategiei Naționale de Dezvoltare ,,Moldova 2030", respectând angajamentele privind implementarea Agendei de Dezvoltare Durabilă 2030. </w:t>
      </w:r>
    </w:p>
    <w:p w14:paraId="583E1170" w14:textId="77777777" w:rsidR="00E04E4D" w:rsidRPr="00A73566" w:rsidRDefault="00E04E4D" w:rsidP="00F94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lang w:val="ro-RO"/>
        </w:rPr>
      </w:pPr>
      <w:r w:rsidRPr="00A73566">
        <w:rPr>
          <w:rFonts w:ascii="Times New Roman" w:hAnsi="Times New Roman" w:cs="Times New Roman"/>
          <w:color w:val="000000"/>
          <w:lang w:val="ro-RO"/>
        </w:rPr>
        <w:t>La elaborarea SNDAR 2027 au fost preluate obiectivele și țintele SND 2030 aferente sectorului agricol și dezvoltării rurale, și, respectiv, măsurile de intervenție ce vor contribui la atingerea obiectivelor SND 2030, și anume:</w:t>
      </w:r>
      <w:r w:rsidRPr="00A73566">
        <w:rPr>
          <w:rFonts w:ascii="Times New Roman" w:hAnsi="Times New Roman" w:cs="Times New Roman"/>
          <w:iCs/>
          <w:color w:val="000000"/>
          <w:lang w:val="ro-RO"/>
        </w:rPr>
        <w:t xml:space="preserve"> creșterea veniturilor din surse durabile și atenuarea inegalităților economice; asigurarea accesului la infrastructura fizică, utilitățile publice și condițiile de locuit; asigurarea dreptului fundamental la cea mai bună sănătate fizică și mintală; asigurarea dreptului fundamental la un mediu sănătos și sigur.</w:t>
      </w:r>
    </w:p>
    <w:p w14:paraId="602FE6C1" w14:textId="77777777" w:rsidR="00E04E4D" w:rsidRPr="00A73566" w:rsidRDefault="00E04E4D" w:rsidP="00F94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Cs/>
          <w:color w:val="000000"/>
          <w:lang w:val="ro-RO"/>
        </w:rPr>
      </w:pPr>
      <w:r w:rsidRPr="00A73566">
        <w:rPr>
          <w:rFonts w:ascii="Times New Roman" w:hAnsi="Times New Roman" w:cs="Times New Roman"/>
          <w:bCs/>
          <w:color w:val="000000"/>
          <w:lang w:val="ro-RO"/>
        </w:rPr>
        <w:t xml:space="preserve">SNDAR-2027 asigură implementarea prevederilor </w:t>
      </w:r>
      <w:r w:rsidRPr="00A73566">
        <w:rPr>
          <w:rFonts w:ascii="Times New Roman" w:hAnsi="Times New Roman" w:cs="Times New Roman"/>
          <w:color w:val="000000"/>
          <w:lang w:val="ro-RO"/>
        </w:rPr>
        <w:t>Titlului IV,</w:t>
      </w:r>
      <w:r w:rsidRPr="00A73566">
        <w:rPr>
          <w:rFonts w:ascii="Times New Roman" w:hAnsi="Times New Roman" w:cs="Times New Roman"/>
          <w:bCs/>
          <w:color w:val="000000"/>
          <w:lang w:val="ro-RO"/>
        </w:rPr>
        <w:t xml:space="preserve"> Capitolul 12 – Agricultură și Dezvoltare Rurală, din Acordul de Asociere RM-UE, prin alinierea la obiective generale ale Politicii Agricole Comune.</w:t>
      </w:r>
    </w:p>
    <w:p w14:paraId="28B457A0" w14:textId="77777777" w:rsidR="00E04E4D" w:rsidRPr="00A73566" w:rsidRDefault="00E04E4D" w:rsidP="00F94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bCs/>
          <w:color w:val="000000"/>
          <w:lang w:val="ro-RO"/>
        </w:rPr>
      </w:pPr>
      <w:r w:rsidRPr="00A73566">
        <w:rPr>
          <w:rFonts w:ascii="Times New Roman" w:hAnsi="Times New Roman" w:cs="Times New Roman"/>
          <w:bCs/>
          <w:color w:val="000000"/>
          <w:lang w:val="ro-RO"/>
        </w:rPr>
        <w:t>Strategia conferă continuitate inițiativelor în domeniu finanțate de partenerii externi. Programele și proiectele donatorilor internaționali vor avea în continuare un impact important atât în dezvoltarea sectorului agroindustrial, cât și în creșterea capacităților de consolidare instituțională.</w:t>
      </w:r>
    </w:p>
    <w:p w14:paraId="299262FA" w14:textId="6D94CC13" w:rsidR="00E04E4D" w:rsidRPr="00A73566" w:rsidRDefault="00E04E4D" w:rsidP="00F943B1">
      <w:pPr>
        <w:ind w:firstLine="567"/>
        <w:rPr>
          <w:rFonts w:ascii="Times New Roman" w:hAnsi="Times New Roman" w:cs="Times New Roman"/>
          <w:lang w:val="ro-RO"/>
        </w:rPr>
      </w:pPr>
      <w:r w:rsidRPr="00A73566">
        <w:rPr>
          <w:rFonts w:ascii="Times New Roman" w:hAnsi="Times New Roman" w:cs="Times New Roman"/>
          <w:lang w:val="ro-RO"/>
        </w:rPr>
        <w:t>Sursa principală de finanțare a SNDAR-2027 este Fondul Național de Dezvoltare a Agriculturii și Mediului Rural (FNDA</w:t>
      </w:r>
      <w:r w:rsidR="004E59CB" w:rsidRPr="00A73566">
        <w:rPr>
          <w:rFonts w:ascii="Times New Roman" w:hAnsi="Times New Roman" w:cs="Times New Roman"/>
          <w:lang w:val="ro-RO"/>
        </w:rPr>
        <w:t>M</w:t>
      </w:r>
      <w:r w:rsidRPr="00A73566">
        <w:rPr>
          <w:rFonts w:ascii="Times New Roman" w:hAnsi="Times New Roman" w:cs="Times New Roman"/>
          <w:lang w:val="ro-RO"/>
        </w:rPr>
        <w:t>R). Gestionarea resurselor FNDA</w:t>
      </w:r>
      <w:r w:rsidR="004E59CB" w:rsidRPr="00A73566">
        <w:rPr>
          <w:rFonts w:ascii="Times New Roman" w:hAnsi="Times New Roman" w:cs="Times New Roman"/>
          <w:lang w:val="ro-RO"/>
        </w:rPr>
        <w:t>M</w:t>
      </w:r>
      <w:r w:rsidRPr="00A73566">
        <w:rPr>
          <w:rFonts w:ascii="Times New Roman" w:hAnsi="Times New Roman" w:cs="Times New Roman"/>
          <w:lang w:val="ro-RO"/>
        </w:rPr>
        <w:t>R, precum și a resurselor partenerilor de dezvoltare alocate pentru măsurile de intervenție în agricultură, este efectuată prin intermediul Agenției de Intervenții și Plăți în Agricultură (AIPA), iar în cazul unor proiecte finanțate din surse externe - prin intermediul Unităților de Implementare a Proiectelor. La finanțarea Strategiei contribuie de asemenea, Fondul Național de Dezvoltare Regională, Fondul Național de Mediu și Fondul de Eficiență Energetică .</w:t>
      </w:r>
    </w:p>
    <w:p w14:paraId="6FEBE018" w14:textId="77777777" w:rsidR="00E04E4D" w:rsidRPr="00A73566" w:rsidRDefault="00E04E4D" w:rsidP="00F943B1">
      <w:pPr>
        <w:ind w:firstLine="567"/>
        <w:rPr>
          <w:rFonts w:ascii="Times New Roman" w:hAnsi="Times New Roman" w:cs="Times New Roman"/>
          <w:lang w:val="ro-RO"/>
        </w:rPr>
      </w:pPr>
      <w:r w:rsidRPr="00A73566">
        <w:rPr>
          <w:rFonts w:ascii="Times New Roman" w:hAnsi="Times New Roman" w:cs="Times New Roman"/>
          <w:lang w:val="ro-RO"/>
        </w:rPr>
        <w:t xml:space="preserve">Strategia Națională de Dezvoltare Agricolă și Rurală pentru anii 2022-2027 a fost elaborată de Ministerul Agriculturii și Industriei Alimentare, într-un proces participativ larg, cu suportul metodologic și financiar al Fondului Internațional pentru Dezvoltare Agricolă (IFAD), în cadrul Acordului privind finanțarea Programului Rural de Reziliență Economico-Climatică Incluzivă. </w:t>
      </w:r>
    </w:p>
    <w:p w14:paraId="4700D94D" w14:textId="063ABFF8" w:rsidR="00E04E4D" w:rsidRPr="00A73566" w:rsidRDefault="00E04E4D" w:rsidP="00F943B1">
      <w:pPr>
        <w:ind w:firstLine="567"/>
        <w:rPr>
          <w:rFonts w:ascii="Times New Roman" w:eastAsiaTheme="minorHAnsi" w:hAnsi="Times New Roman" w:cs="Times New Roman"/>
          <w:sz w:val="24"/>
          <w:szCs w:val="24"/>
          <w:lang w:val="ro-RO"/>
        </w:rPr>
      </w:pPr>
      <w:bookmarkStart w:id="3" w:name="_Hlk88760154"/>
      <w:r w:rsidRPr="00A73566">
        <w:rPr>
          <w:rFonts w:ascii="Times New Roman" w:hAnsi="Times New Roman" w:cs="Times New Roman"/>
          <w:lang w:val="ro-RO"/>
        </w:rPr>
        <w:t>SNDAR 2027 a fost elaborată în baza unui proces exhaustiv de informare, consultare și implicare a reprezentanților instituțiilor publice relevante: Ministerul Agriculturii și Industriei Alimentare, Agenția de Intervenție și Plăți pentru Agricultură, Oficiul Național al Viei și Vinului, Asociațiile de producători în agricultură (</w:t>
      </w:r>
      <w:r w:rsidR="004E59CB" w:rsidRPr="00A73566">
        <w:rPr>
          <w:rFonts w:ascii="Times New Roman" w:hAnsi="Times New Roman" w:cs="Times New Roman"/>
          <w:lang w:val="ro-RO"/>
        </w:rPr>
        <w:t xml:space="preserve">(Federația Națională a Fermierilor din Moldova (FNFM), Federaţia Agricultorilor din Moldova (FARM), </w:t>
      </w:r>
      <w:r w:rsidRPr="00A73566">
        <w:rPr>
          <w:rFonts w:ascii="Times New Roman" w:hAnsi="Times New Roman" w:cs="Times New Roman"/>
          <w:lang w:val="ro-RO"/>
        </w:rPr>
        <w:t>Asociația Producătorilor și Exportatorilor de Fructe Moldova Fruct, Patronatul Întreprinderilor Industriei Prelucrătoare de Carne, Asociația Patronală, Asociația Națională a Producătoril</w:t>
      </w:r>
      <w:r w:rsidR="00F943B1">
        <w:rPr>
          <w:rFonts w:ascii="Times New Roman" w:hAnsi="Times New Roman" w:cs="Times New Roman"/>
          <w:lang w:val="ro-RO"/>
        </w:rPr>
        <w:t>or de Lapte și Produse Lactate „</w:t>
      </w:r>
      <w:r w:rsidRPr="00A73566">
        <w:rPr>
          <w:rFonts w:ascii="Times New Roman" w:hAnsi="Times New Roman" w:cs="Times New Roman"/>
          <w:lang w:val="ro-RO"/>
        </w:rPr>
        <w:t xml:space="preserve">Lapte”, Asociația Republicană a Producătorilor Agricoli „UniAgroProtect”, Asociația Producătorilor de Nuci, Asociația „Pomușoarele Moldovei”, Asociația Cultivatorilor de Plante Aromate si Medicinale AROMEDA, etc.), Instituțiile de cercetare în Agricultură </w:t>
      </w:r>
      <w:r w:rsidR="004E59CB" w:rsidRPr="00A73566">
        <w:rPr>
          <w:rFonts w:ascii="Times New Roman" w:hAnsi="Times New Roman" w:cs="Times New Roman"/>
          <w:lang w:val="ro-RO"/>
        </w:rPr>
        <w:t>(I.P. Institutul de Pedologie, Agrochimie și Protecție a Solului „Nicolae Dimoˮ, I.P. Institutul Științifico</w:t>
      </w:r>
      <w:r w:rsidR="00FF2B36">
        <w:rPr>
          <w:rFonts w:ascii="Times New Roman" w:hAnsi="Times New Roman" w:cs="Times New Roman"/>
          <w:lang w:val="ro-RO"/>
        </w:rPr>
        <w:t xml:space="preserve"> </w:t>
      </w:r>
      <w:r w:rsidR="004E59CB" w:rsidRPr="00A73566">
        <w:rPr>
          <w:rFonts w:ascii="Times New Roman" w:hAnsi="Times New Roman" w:cs="Times New Roman"/>
          <w:lang w:val="ro-RO"/>
        </w:rPr>
        <w:t>-Practic de Horticultură și Tehnologii Alimentare, I.P. Institutul Științifico - Practic de Biotehnologii în Zootehnie și Medicină Veterinară, I.P. Institutul de Cercetări pentru Culturile de Câmp „Selecțiaˮ, I.P. Institutul de Fitotehnie „Porumbeniˮ).</w:t>
      </w:r>
    </w:p>
    <w:p w14:paraId="1CE27A68" w14:textId="7CC78E43" w:rsidR="00F0076A" w:rsidRPr="00A73566" w:rsidRDefault="00EF005D" w:rsidP="009C4C0D">
      <w:pPr>
        <w:pStyle w:val="Heading1"/>
        <w:spacing w:after="360"/>
        <w:ind w:left="360" w:hanging="360"/>
        <w:rPr>
          <w:rFonts w:ascii="Times New Roman" w:hAnsi="Times New Roman" w:cs="Times New Roman"/>
          <w:lang w:val="ro-RO"/>
        </w:rPr>
      </w:pPr>
      <w:bookmarkStart w:id="4" w:name="_Toc88132098"/>
      <w:bookmarkEnd w:id="3"/>
      <w:r w:rsidRPr="00A73566">
        <w:rPr>
          <w:rFonts w:ascii="Times New Roman" w:hAnsi="Times New Roman" w:cs="Times New Roman"/>
          <w:lang w:val="ro-RO"/>
        </w:rPr>
        <w:t>Analiza situației</w:t>
      </w:r>
      <w:bookmarkEnd w:id="4"/>
      <w:r w:rsidRPr="00A73566">
        <w:rPr>
          <w:rFonts w:ascii="Times New Roman" w:hAnsi="Times New Roman" w:cs="Times New Roman"/>
          <w:lang w:val="ro-RO"/>
        </w:rPr>
        <w:t xml:space="preserve"> </w:t>
      </w:r>
    </w:p>
    <w:p w14:paraId="11D2136F" w14:textId="442A59CC" w:rsidR="00AD2318" w:rsidRPr="00A73566" w:rsidRDefault="00F0076A" w:rsidP="00DE0EDA">
      <w:pPr>
        <w:pStyle w:val="Heading2"/>
        <w:rPr>
          <w:rFonts w:ascii="Times New Roman" w:hAnsi="Times New Roman" w:cs="Times New Roman"/>
          <w:lang w:val="ro-RO"/>
        </w:rPr>
      </w:pPr>
      <w:bookmarkStart w:id="5" w:name="_Toc88132099"/>
      <w:r w:rsidRPr="00A73566">
        <w:rPr>
          <w:rFonts w:ascii="Times New Roman" w:hAnsi="Times New Roman" w:cs="Times New Roman"/>
          <w:lang w:val="ro-RO"/>
        </w:rPr>
        <w:t xml:space="preserve">Rolul </w:t>
      </w:r>
      <w:r w:rsidR="00545F8A" w:rsidRPr="00A73566">
        <w:rPr>
          <w:rFonts w:ascii="Times New Roman" w:hAnsi="Times New Roman" w:cs="Times New Roman"/>
          <w:lang w:val="ro-RO"/>
        </w:rPr>
        <w:t>a</w:t>
      </w:r>
      <w:r w:rsidRPr="00A73566">
        <w:rPr>
          <w:rFonts w:ascii="Times New Roman" w:hAnsi="Times New Roman" w:cs="Times New Roman"/>
          <w:lang w:val="ro-RO"/>
        </w:rPr>
        <w:t xml:space="preserve">griculturii în </w:t>
      </w:r>
      <w:r w:rsidR="00DE0EDA" w:rsidRPr="00A73566">
        <w:rPr>
          <w:rFonts w:ascii="Times New Roman" w:hAnsi="Times New Roman" w:cs="Times New Roman"/>
          <w:lang w:val="ro-RO"/>
        </w:rPr>
        <w:t xml:space="preserve">economia </w:t>
      </w:r>
      <w:r w:rsidR="00CD019B" w:rsidRPr="00A73566">
        <w:rPr>
          <w:rFonts w:ascii="Times New Roman" w:hAnsi="Times New Roman" w:cs="Times New Roman"/>
          <w:lang w:val="ro-RO"/>
        </w:rPr>
        <w:t>n</w:t>
      </w:r>
      <w:r w:rsidR="00DE0EDA" w:rsidRPr="00A73566">
        <w:rPr>
          <w:rFonts w:ascii="Times New Roman" w:hAnsi="Times New Roman" w:cs="Times New Roman"/>
          <w:lang w:val="ro-RO"/>
        </w:rPr>
        <w:t>ațională</w:t>
      </w:r>
      <w:bookmarkEnd w:id="5"/>
    </w:p>
    <w:p w14:paraId="0D9D422D" w14:textId="7D07B6C1" w:rsidR="00AD2318" w:rsidRPr="00A73566" w:rsidRDefault="002C146C" w:rsidP="00F943B1">
      <w:pPr>
        <w:ind w:firstLine="567"/>
        <w:rPr>
          <w:rFonts w:ascii="Times New Roman" w:hAnsi="Times New Roman" w:cs="Times New Roman"/>
          <w:lang w:val="ro-RO"/>
        </w:rPr>
      </w:pPr>
      <w:r w:rsidRPr="00A73566">
        <w:rPr>
          <w:rFonts w:ascii="Times New Roman" w:hAnsi="Times New Roman" w:cs="Times New Roman"/>
          <w:lang w:val="ro-RO"/>
        </w:rPr>
        <w:t>În perioada</w:t>
      </w:r>
      <w:r w:rsidR="00947A14" w:rsidRPr="00A73566">
        <w:rPr>
          <w:rFonts w:ascii="Times New Roman" w:hAnsi="Times New Roman" w:cs="Times New Roman"/>
          <w:lang w:val="ro-RO"/>
        </w:rPr>
        <w:t xml:space="preserve"> de implementare a SNDAR 2014 – 2020 ponderea agriculturii în economia națională a înregistrat o</w:t>
      </w:r>
      <w:r w:rsidRPr="00A73566">
        <w:rPr>
          <w:rFonts w:ascii="Times New Roman" w:hAnsi="Times New Roman" w:cs="Times New Roman"/>
          <w:lang w:val="ro-RO"/>
        </w:rPr>
        <w:t xml:space="preserve">scilații nesemnificative </w:t>
      </w:r>
      <w:r w:rsidR="00027B70" w:rsidRPr="00A73566">
        <w:rPr>
          <w:rFonts w:ascii="Times New Roman" w:hAnsi="Times New Roman" w:cs="Times New Roman"/>
          <w:lang w:val="ro-RO"/>
        </w:rPr>
        <w:t>atât</w:t>
      </w:r>
      <w:r w:rsidRPr="00A73566">
        <w:rPr>
          <w:rFonts w:ascii="Times New Roman" w:hAnsi="Times New Roman" w:cs="Times New Roman"/>
          <w:lang w:val="ro-RO"/>
        </w:rPr>
        <w:t xml:space="preserve"> de</w:t>
      </w:r>
      <w:r w:rsidR="00947A14" w:rsidRPr="00A73566">
        <w:rPr>
          <w:rFonts w:ascii="Times New Roman" w:hAnsi="Times New Roman" w:cs="Times New Roman"/>
          <w:lang w:val="ro-RO"/>
        </w:rPr>
        <w:t xml:space="preserve"> creștere,</w:t>
      </w:r>
      <w:r w:rsidRPr="00A73566">
        <w:rPr>
          <w:rFonts w:ascii="Times New Roman" w:hAnsi="Times New Roman" w:cs="Times New Roman"/>
          <w:lang w:val="ro-RO"/>
        </w:rPr>
        <w:t xml:space="preserve"> </w:t>
      </w:r>
      <w:r w:rsidR="00027B70" w:rsidRPr="00A73566">
        <w:rPr>
          <w:rFonts w:ascii="Times New Roman" w:hAnsi="Times New Roman" w:cs="Times New Roman"/>
          <w:lang w:val="ro-RO"/>
        </w:rPr>
        <w:t>cât</w:t>
      </w:r>
      <w:r w:rsidRPr="00A73566">
        <w:rPr>
          <w:rFonts w:ascii="Times New Roman" w:hAnsi="Times New Roman" w:cs="Times New Roman"/>
          <w:lang w:val="ro-RO"/>
        </w:rPr>
        <w:t xml:space="preserve"> și de scădere </w:t>
      </w:r>
      <w:r w:rsidR="00947A14" w:rsidRPr="00A73566">
        <w:rPr>
          <w:rFonts w:ascii="Times New Roman" w:hAnsi="Times New Roman" w:cs="Times New Roman"/>
          <w:lang w:val="ro-RO"/>
        </w:rPr>
        <w:t xml:space="preserve"> a contribuției sectorului agricol în economia națională. Astfel, dacă în anul 2016 agricultura a avut o contribuție de cca. 14.9% în Valoarea Adăugată Brută (VAB), atunci către 2019 valoarea acesteia a constituit doar 11.3% sau cu 3.6 p.p. mai puțin, în condițiile în care în perioada</w:t>
      </w:r>
      <w:r w:rsidRPr="00A73566">
        <w:rPr>
          <w:rFonts w:ascii="Times New Roman" w:hAnsi="Times New Roman" w:cs="Times New Roman"/>
          <w:lang w:val="ro-RO"/>
        </w:rPr>
        <w:t xml:space="preserve"> </w:t>
      </w:r>
      <w:r w:rsidR="00947A14" w:rsidRPr="00A73566">
        <w:rPr>
          <w:rFonts w:ascii="Times New Roman" w:hAnsi="Times New Roman" w:cs="Times New Roman"/>
          <w:lang w:val="ro-RO"/>
        </w:rPr>
        <w:t xml:space="preserve"> respectivă nu s-au înregistrat calamități naturale care să influențeze decisiv rezultatele sectorului. </w:t>
      </w:r>
      <w:r w:rsidR="004F1C96" w:rsidRPr="00A73566">
        <w:rPr>
          <w:rFonts w:ascii="Times New Roman" w:hAnsi="Times New Roman" w:cs="Times New Roman"/>
          <w:lang w:val="ro-RO"/>
        </w:rPr>
        <w:t xml:space="preserve"> </w:t>
      </w:r>
    </w:p>
    <w:p w14:paraId="03BBB1FE" w14:textId="6D0C0C75" w:rsidR="00126A04" w:rsidRPr="00D74E73" w:rsidRDefault="00126A04" w:rsidP="000D0ED7">
      <w:pPr>
        <w:pStyle w:val="Caption"/>
        <w:framePr w:wrap="around"/>
        <w:jc w:val="both"/>
        <w:rPr>
          <w:rFonts w:ascii="Times New Roman" w:hAnsi="Times New Roman" w:cs="Times New Roman"/>
          <w:sz w:val="18"/>
          <w:szCs w:val="18"/>
          <w:lang w:val="ro-RO"/>
        </w:rPr>
      </w:pPr>
      <w:bookmarkStart w:id="6" w:name="_Toc84501619"/>
      <w:r w:rsidRPr="00D74E73">
        <w:rPr>
          <w:rFonts w:ascii="Times New Roman" w:hAnsi="Times New Roman" w:cs="Times New Roman"/>
          <w:sz w:val="18"/>
          <w:szCs w:val="18"/>
          <w:lang w:val="ro-RO"/>
        </w:rPr>
        <w:t xml:space="preserve">Figura </w:t>
      </w:r>
      <w:r w:rsidRPr="00D74E73">
        <w:rPr>
          <w:rFonts w:ascii="Times New Roman" w:hAnsi="Times New Roman" w:cs="Times New Roman"/>
          <w:sz w:val="18"/>
          <w:szCs w:val="18"/>
          <w:lang w:val="ro-RO"/>
        </w:rPr>
        <w:fldChar w:fldCharType="begin"/>
      </w:r>
      <w:r w:rsidRPr="00D74E73">
        <w:rPr>
          <w:rFonts w:ascii="Times New Roman" w:hAnsi="Times New Roman" w:cs="Times New Roman"/>
          <w:sz w:val="18"/>
          <w:szCs w:val="18"/>
          <w:lang w:val="ro-RO"/>
        </w:rPr>
        <w:instrText xml:space="preserve"> SEQ Figura \* ARABIC </w:instrText>
      </w:r>
      <w:r w:rsidRPr="00D74E73">
        <w:rPr>
          <w:rFonts w:ascii="Times New Roman" w:hAnsi="Times New Roman" w:cs="Times New Roman"/>
          <w:sz w:val="18"/>
          <w:szCs w:val="18"/>
          <w:lang w:val="ro-RO"/>
        </w:rPr>
        <w:fldChar w:fldCharType="separate"/>
      </w:r>
      <w:r w:rsidR="009A2BC5" w:rsidRPr="00D74E73">
        <w:rPr>
          <w:rFonts w:ascii="Times New Roman" w:hAnsi="Times New Roman" w:cs="Times New Roman"/>
          <w:noProof/>
          <w:sz w:val="18"/>
          <w:szCs w:val="18"/>
          <w:lang w:val="ro-RO"/>
        </w:rPr>
        <w:t>1</w:t>
      </w:r>
      <w:r w:rsidRPr="00D74E73">
        <w:rPr>
          <w:rFonts w:ascii="Times New Roman" w:hAnsi="Times New Roman" w:cs="Times New Roman"/>
          <w:sz w:val="18"/>
          <w:szCs w:val="18"/>
          <w:lang w:val="ro-RO"/>
        </w:rPr>
        <w:fldChar w:fldCharType="end"/>
      </w:r>
      <w:r w:rsidRPr="00D74E73">
        <w:rPr>
          <w:rFonts w:ascii="Times New Roman" w:hAnsi="Times New Roman" w:cs="Times New Roman"/>
          <w:sz w:val="18"/>
          <w:szCs w:val="18"/>
          <w:lang w:val="ro-RO"/>
        </w:rPr>
        <w:t xml:space="preserve">. </w:t>
      </w:r>
      <w:r w:rsidR="00475A04" w:rsidRPr="00D74E73">
        <w:rPr>
          <w:rFonts w:ascii="Times New Roman" w:hAnsi="Times New Roman" w:cs="Times New Roman"/>
          <w:sz w:val="18"/>
          <w:szCs w:val="18"/>
          <w:lang w:val="ro-RO"/>
        </w:rPr>
        <w:t xml:space="preserve">Structura </w:t>
      </w:r>
      <w:r w:rsidRPr="00D74E73">
        <w:rPr>
          <w:rFonts w:ascii="Times New Roman" w:hAnsi="Times New Roman" w:cs="Times New Roman"/>
          <w:sz w:val="18"/>
          <w:szCs w:val="18"/>
          <w:lang w:val="ro-RO"/>
        </w:rPr>
        <w:t>Valo</w:t>
      </w:r>
      <w:r w:rsidR="00475A04" w:rsidRPr="00D74E73">
        <w:rPr>
          <w:rFonts w:ascii="Times New Roman" w:hAnsi="Times New Roman" w:cs="Times New Roman"/>
          <w:sz w:val="18"/>
          <w:szCs w:val="18"/>
          <w:lang w:val="ro-RO"/>
        </w:rPr>
        <w:t>rii</w:t>
      </w:r>
      <w:r w:rsidRPr="00D74E73">
        <w:rPr>
          <w:rFonts w:ascii="Times New Roman" w:hAnsi="Times New Roman" w:cs="Times New Roman"/>
          <w:sz w:val="18"/>
          <w:szCs w:val="18"/>
          <w:lang w:val="ro-RO"/>
        </w:rPr>
        <w:t xml:space="preserve"> adăugat</w:t>
      </w:r>
      <w:r w:rsidR="00475A04" w:rsidRPr="00D74E73">
        <w:rPr>
          <w:rFonts w:ascii="Times New Roman" w:hAnsi="Times New Roman" w:cs="Times New Roman"/>
          <w:sz w:val="18"/>
          <w:szCs w:val="18"/>
          <w:lang w:val="ro-RO"/>
        </w:rPr>
        <w:t>e</w:t>
      </w:r>
      <w:r w:rsidRPr="00D74E73">
        <w:rPr>
          <w:rFonts w:ascii="Times New Roman" w:hAnsi="Times New Roman" w:cs="Times New Roman"/>
          <w:sz w:val="18"/>
          <w:szCs w:val="18"/>
          <w:lang w:val="ro-RO"/>
        </w:rPr>
        <w:t xml:space="preserve"> brut</w:t>
      </w:r>
      <w:r w:rsidR="00475A04" w:rsidRPr="00D74E73">
        <w:rPr>
          <w:rFonts w:ascii="Times New Roman" w:hAnsi="Times New Roman" w:cs="Times New Roman"/>
          <w:sz w:val="18"/>
          <w:szCs w:val="18"/>
          <w:lang w:val="ro-RO"/>
        </w:rPr>
        <w:t>e</w:t>
      </w:r>
      <w:r w:rsidRPr="00D74E73">
        <w:rPr>
          <w:rFonts w:ascii="Times New Roman" w:hAnsi="Times New Roman" w:cs="Times New Roman"/>
          <w:sz w:val="18"/>
          <w:szCs w:val="18"/>
          <w:lang w:val="ro-RO"/>
        </w:rPr>
        <w:t xml:space="preserve"> pe ramuri economice, 2011 – 20</w:t>
      </w:r>
      <w:r w:rsidR="00462F26" w:rsidRPr="00D74E73">
        <w:rPr>
          <w:rFonts w:ascii="Times New Roman" w:hAnsi="Times New Roman" w:cs="Times New Roman"/>
          <w:sz w:val="18"/>
          <w:szCs w:val="18"/>
          <w:lang w:val="ro-RO"/>
        </w:rPr>
        <w:t>20</w:t>
      </w:r>
      <w:r w:rsidRPr="00D74E73">
        <w:rPr>
          <w:rFonts w:ascii="Times New Roman" w:hAnsi="Times New Roman" w:cs="Times New Roman"/>
          <w:sz w:val="18"/>
          <w:szCs w:val="18"/>
          <w:lang w:val="ro-RO"/>
        </w:rPr>
        <w:t>, %</w:t>
      </w:r>
      <w:bookmarkEnd w:id="6"/>
    </w:p>
    <w:p w14:paraId="12A5EDD2" w14:textId="0D7AA74A" w:rsidR="00994637" w:rsidRPr="00A73566" w:rsidRDefault="00462F26" w:rsidP="00AD2318">
      <w:pPr>
        <w:rPr>
          <w:rFonts w:ascii="Times New Roman" w:hAnsi="Times New Roman" w:cs="Times New Roman"/>
          <w:lang w:val="ro-RO"/>
        </w:rPr>
      </w:pPr>
      <w:r w:rsidRPr="00A73566">
        <w:rPr>
          <w:rFonts w:ascii="Times New Roman" w:hAnsi="Times New Roman" w:cs="Times New Roman"/>
          <w:noProof/>
          <w:lang w:val="en-US"/>
        </w:rPr>
        <w:drawing>
          <wp:inline distT="0" distB="0" distL="0" distR="0" wp14:anchorId="35706CBE" wp14:editId="1E7CBA09">
            <wp:extent cx="5997575" cy="1804670"/>
            <wp:effectExtent l="0" t="0" r="317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5CECD6" w14:textId="035E7C45" w:rsidR="00994637" w:rsidRPr="00D74E73" w:rsidRDefault="00994637" w:rsidP="00AD2318">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605EBA3C" w14:textId="5CD60AEF" w:rsidR="00947A14" w:rsidRPr="00A73566" w:rsidRDefault="00947A14" w:rsidP="00F943B1">
      <w:pPr>
        <w:ind w:firstLine="567"/>
        <w:rPr>
          <w:rFonts w:ascii="Times New Roman" w:hAnsi="Times New Roman" w:cs="Times New Roman"/>
          <w:lang w:val="ro-RO"/>
        </w:rPr>
      </w:pPr>
      <w:bookmarkStart w:id="7" w:name="_Toc84501620"/>
      <w:r w:rsidRPr="00A73566">
        <w:rPr>
          <w:rFonts w:ascii="Times New Roman" w:hAnsi="Times New Roman" w:cs="Times New Roman"/>
          <w:lang w:val="ro-RO"/>
        </w:rPr>
        <w:t>Dat fiind că evoluția sectorului de servicii a fost constantă, scăderea ponderii agriculturii a fost cauzată contribuția scăzută în VAB a outputurilor generate de sectorul agricol și, implicit, de productivitatea scăzută a sectorului în comparație cu alte sectoare ale economiei.</w:t>
      </w:r>
    </w:p>
    <w:p w14:paraId="2D1B81EA" w14:textId="77777777" w:rsidR="00947A14" w:rsidRPr="00A73566" w:rsidRDefault="00947A14"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Analiza contribuției activităților economice la formarea volumului producției denotă o scădere constantă a ponderii sectorului agricol, aceasta ajungând în anul 2019 la doar 10.5% comparativ cu maximul din ultimii 10 ani de 12.6% în 2014. Or, scăderea ponderii volumului producției, coroborată cu scăderea ponderii sectorului în VAB denotă o orientare a sectorului spre produsele cu valoare adăugată scăzută.</w:t>
      </w:r>
    </w:p>
    <w:p w14:paraId="1353B9FD" w14:textId="64FA3915" w:rsidR="00947A14" w:rsidRPr="00A73566" w:rsidRDefault="00947A14" w:rsidP="00F943B1">
      <w:pPr>
        <w:ind w:firstLine="567"/>
        <w:rPr>
          <w:rFonts w:ascii="Times New Roman" w:hAnsi="Times New Roman" w:cs="Times New Roman"/>
          <w:lang w:val="ro-RO"/>
        </w:rPr>
      </w:pPr>
      <w:r w:rsidRPr="00A73566">
        <w:rPr>
          <w:rFonts w:ascii="Times New Roman" w:hAnsi="Times New Roman" w:cs="Times New Roman"/>
          <w:lang w:val="ro-RO"/>
        </w:rPr>
        <w:t>În anul 20</w:t>
      </w:r>
      <w:r w:rsidR="00462F26" w:rsidRPr="00A73566">
        <w:rPr>
          <w:rFonts w:ascii="Times New Roman" w:hAnsi="Times New Roman" w:cs="Times New Roman"/>
          <w:lang w:val="ro-RO"/>
        </w:rPr>
        <w:t>20</w:t>
      </w:r>
      <w:r w:rsidRPr="00A73566">
        <w:rPr>
          <w:rFonts w:ascii="Times New Roman" w:hAnsi="Times New Roman" w:cs="Times New Roman"/>
          <w:lang w:val="ro-RO"/>
        </w:rPr>
        <w:t>, în Republica Moldova s-a realizat VAB aferentă activităților agricole de cca. 19.</w:t>
      </w:r>
      <w:r w:rsidR="00462F26" w:rsidRPr="00A73566">
        <w:rPr>
          <w:rFonts w:ascii="Times New Roman" w:hAnsi="Times New Roman" w:cs="Times New Roman"/>
          <w:lang w:val="ro-RO"/>
        </w:rPr>
        <w:t>8</w:t>
      </w:r>
      <w:r w:rsidRPr="00A73566">
        <w:rPr>
          <w:rFonts w:ascii="Times New Roman" w:hAnsi="Times New Roman" w:cs="Times New Roman"/>
          <w:lang w:val="ro-RO"/>
        </w:rPr>
        <w:t>6 mld MDL (prețuri c</w:t>
      </w:r>
      <w:r w:rsidR="00462F26" w:rsidRPr="00A73566">
        <w:rPr>
          <w:rFonts w:ascii="Times New Roman" w:hAnsi="Times New Roman" w:cs="Times New Roman"/>
          <w:lang w:val="ro-RO"/>
        </w:rPr>
        <w:t>urent</w:t>
      </w:r>
      <w:r w:rsidRPr="00A73566">
        <w:rPr>
          <w:rFonts w:ascii="Times New Roman" w:hAnsi="Times New Roman" w:cs="Times New Roman"/>
          <w:lang w:val="ro-RO"/>
        </w:rPr>
        <w:t>e), sau de 2.1 ori mai mare decât în 2010, și a reprezentat cca 11% (-1.3%) din VAB totală a Republicii Moldova, plasându-se pe poziția a treia, după comerț și industria prelucrătoare (fig. 2). De fapt în marea sa parte a perioadei analizate agricultura este activitatea complementară a industriei prelucrătoare, iar ponderea medie pentru ambele activități în perioada 2010-20</w:t>
      </w:r>
      <w:r w:rsidR="00462F26" w:rsidRPr="00A73566">
        <w:rPr>
          <w:rFonts w:ascii="Times New Roman" w:hAnsi="Times New Roman" w:cs="Times New Roman"/>
          <w:lang w:val="ro-RO"/>
        </w:rPr>
        <w:t>20</w:t>
      </w:r>
      <w:r w:rsidRPr="00A73566">
        <w:rPr>
          <w:rFonts w:ascii="Times New Roman" w:hAnsi="Times New Roman" w:cs="Times New Roman"/>
          <w:lang w:val="ro-RO"/>
        </w:rPr>
        <w:t xml:space="preserve"> a fost de 12.</w:t>
      </w:r>
      <w:r w:rsidR="00462F26" w:rsidRPr="00A73566">
        <w:rPr>
          <w:rFonts w:ascii="Times New Roman" w:hAnsi="Times New Roman" w:cs="Times New Roman"/>
          <w:lang w:val="ro-RO"/>
        </w:rPr>
        <w:t>7</w:t>
      </w:r>
      <w:r w:rsidRPr="00A73566">
        <w:rPr>
          <w:rFonts w:ascii="Times New Roman" w:hAnsi="Times New Roman" w:cs="Times New Roman"/>
          <w:lang w:val="ro-RO"/>
        </w:rPr>
        <w:t>%.</w:t>
      </w:r>
    </w:p>
    <w:p w14:paraId="61FD5E35" w14:textId="47DBAF8C" w:rsidR="00947A14" w:rsidRPr="00D74E73" w:rsidRDefault="00947A14" w:rsidP="00947A14">
      <w:pPr>
        <w:pStyle w:val="Caption"/>
        <w:framePr w:w="0" w:wrap="auto" w:vAnchor="margin" w:yAlign="inline"/>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 2. Structura VAB pe activități economice, 20</w:t>
      </w:r>
      <w:r w:rsidR="00462F26" w:rsidRPr="00D74E73">
        <w:rPr>
          <w:rFonts w:ascii="Times New Roman" w:hAnsi="Times New Roman" w:cs="Times New Roman"/>
          <w:sz w:val="18"/>
          <w:szCs w:val="18"/>
          <w:lang w:val="ro-RO"/>
        </w:rPr>
        <w:t>20</w:t>
      </w:r>
    </w:p>
    <w:p w14:paraId="5014082C" w14:textId="25DFEA81" w:rsidR="00947A14" w:rsidRPr="00A73566" w:rsidRDefault="00462F26" w:rsidP="00947A14">
      <w:pPr>
        <w:rPr>
          <w:rFonts w:ascii="Times New Roman" w:hAnsi="Times New Roman" w:cs="Times New Roman"/>
          <w:sz w:val="24"/>
          <w:szCs w:val="24"/>
          <w:lang w:val="ro-RO"/>
        </w:rPr>
      </w:pPr>
      <w:r w:rsidRPr="00A73566">
        <w:rPr>
          <w:rFonts w:ascii="Times New Roman" w:hAnsi="Times New Roman" w:cs="Times New Roman"/>
          <w:noProof/>
          <w:lang w:val="en-US"/>
        </w:rPr>
        <w:drawing>
          <wp:inline distT="0" distB="0" distL="0" distR="0" wp14:anchorId="1A341415" wp14:editId="47077E0F">
            <wp:extent cx="6029325" cy="1679331"/>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8A4F8F" w14:textId="77777777" w:rsidR="00947A14" w:rsidRPr="00D74E73" w:rsidRDefault="00947A14" w:rsidP="00947A14">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6F1FE8F1" w14:textId="5E00C208" w:rsidR="00947A14" w:rsidRPr="00A73566" w:rsidRDefault="00947A14"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Sectorul agricol este unul din cei mai importanți angajatori, asigurând cu locuri de muncă cca. 21% din populația activă din țară</w:t>
      </w:r>
      <w:r w:rsidR="00DD0B4A" w:rsidRPr="00A73566">
        <w:rPr>
          <w:rFonts w:ascii="Times New Roman" w:hAnsi="Times New Roman" w:cs="Times New Roman"/>
          <w:color w:val="000000" w:themeColor="text1"/>
          <w:lang w:val="ro-RO"/>
        </w:rPr>
        <w:t xml:space="preserve"> (figura 3)</w:t>
      </w:r>
      <w:r w:rsidRPr="00A73566">
        <w:rPr>
          <w:rFonts w:ascii="Times New Roman" w:hAnsi="Times New Roman" w:cs="Times New Roman"/>
          <w:color w:val="000000" w:themeColor="text1"/>
          <w:lang w:val="ro-RO"/>
        </w:rPr>
        <w:t xml:space="preserve">. Mai mult de atât, până în anul 2019 la estimarea persoanelor ocupate în sectorul agricol erau incluse și persoanele care practicau agricultura ca principală sursă de venit în gospodăriile casnice, ridicând astfel ponderea celor care activau în sectorul agricol la peste 36% </w:t>
      </w:r>
    </w:p>
    <w:p w14:paraId="1EDD222D" w14:textId="26EFCACB" w:rsidR="00DD0B4A" w:rsidRPr="00A73566" w:rsidRDefault="00947A14" w:rsidP="00F943B1">
      <w:pPr>
        <w:ind w:firstLine="567"/>
        <w:rPr>
          <w:rFonts w:ascii="Times New Roman" w:hAnsi="Times New Roman" w:cs="Times New Roman"/>
          <w:sz w:val="24"/>
          <w:szCs w:val="24"/>
          <w:lang w:val="ro-RO"/>
        </w:rPr>
      </w:pPr>
      <w:r w:rsidRPr="00A73566">
        <w:rPr>
          <w:rFonts w:ascii="Times New Roman" w:hAnsi="Times New Roman" w:cs="Times New Roman"/>
          <w:color w:val="000000" w:themeColor="text1"/>
          <w:lang w:val="ro-RO"/>
        </w:rPr>
        <w:t>Deși sectorul agricol oferă populației economic active importante oportunități ocupaționale, cea mai mare parte a angajaților sunt din sectorul informal, numărul acestora fiind în creștere, în timp ce numărul angajaților în sectorul formal în agricultură este în descreștere, iar ponderea totală a persoanelor angajate în sectorul informal fiind cea mai mare în comparație cu alte sectoare ale economie, atingând valoare de cca. 65.6%. Drept urmare, în anul 2020 în sectorul formal în agricultură activau cca. 60.4 mii oameni sau cca. 9.3% din totalul populației angajate formal în câmpul muncii, ceea ce este cu 2.3 p.p. mai puțin ca în anul 2010 și cu 18.9 p.p. mai puțin ca în anul 2003.</w:t>
      </w:r>
      <w:r w:rsidRPr="00A73566">
        <w:rPr>
          <w:rFonts w:ascii="Times New Roman" w:hAnsi="Times New Roman" w:cs="Times New Roman"/>
          <w:color w:val="000000" w:themeColor="text1"/>
          <w:sz w:val="24"/>
          <w:szCs w:val="24"/>
          <w:lang w:val="ro-RO"/>
        </w:rPr>
        <w:t xml:space="preserve"> </w:t>
      </w:r>
    </w:p>
    <w:p w14:paraId="2474DF4F" w14:textId="0F2D5F90" w:rsidR="00DD0B4A" w:rsidRPr="00D74E73" w:rsidRDefault="00DD0B4A" w:rsidP="00DD0B4A">
      <w:pPr>
        <w:pStyle w:val="Caption"/>
        <w:framePr w:wrap="around"/>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 3. structura Populației ocupate pe Activități economice, 2011 – 2020, %</w:t>
      </w:r>
    </w:p>
    <w:p w14:paraId="32A78DB3" w14:textId="77777777" w:rsidR="00DD0B4A" w:rsidRPr="00A73566" w:rsidRDefault="00DD0B4A" w:rsidP="00DD0B4A">
      <w:pPr>
        <w:rPr>
          <w:rFonts w:ascii="Times New Roman" w:hAnsi="Times New Roman" w:cs="Times New Roman"/>
          <w:color w:val="BFBFBF" w:themeColor="background1" w:themeShade="BF"/>
          <w:lang w:val="ro-RO"/>
        </w:rPr>
      </w:pPr>
      <w:r w:rsidRPr="00A73566">
        <w:rPr>
          <w:rFonts w:ascii="Times New Roman" w:hAnsi="Times New Roman" w:cs="Times New Roman"/>
          <w:noProof/>
          <w:lang w:val="en-US"/>
        </w:rPr>
        <w:drawing>
          <wp:inline distT="0" distB="0" distL="0" distR="0" wp14:anchorId="081C8372" wp14:editId="786347F2">
            <wp:extent cx="5991225" cy="1935892"/>
            <wp:effectExtent l="0" t="0" r="0" b="762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F3E81D" w14:textId="77777777" w:rsidR="00DD0B4A" w:rsidRPr="00D74E73" w:rsidRDefault="00DD0B4A" w:rsidP="00DD0B4A">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45DB286F" w14:textId="54751A74" w:rsidR="00947A14"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Totodată</w:t>
      </w:r>
      <w:r w:rsidR="00D74E73">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s</w:t>
      </w:r>
      <w:r w:rsidR="00947A14" w:rsidRPr="00A73566">
        <w:rPr>
          <w:rFonts w:ascii="Times New Roman" w:hAnsi="Times New Roman" w:cs="Times New Roman"/>
          <w:color w:val="000000" w:themeColor="text1"/>
          <w:lang w:val="ro-RO"/>
        </w:rPr>
        <w:t>ectorul agricol rămâne a fi principala sursă de angajare informală. Chiar și în urma revizuirii metodologiei de estimare, ponderea angajaților informali în agricultură în numărul total de angajați informali în economie este de 61.8%, ceea ce este comparabil cu ponderea înregistrată în anul 2010</w:t>
      </w:r>
      <w:r w:rsidRPr="00A73566">
        <w:rPr>
          <w:rFonts w:ascii="Times New Roman" w:hAnsi="Times New Roman" w:cs="Times New Roman"/>
          <w:color w:val="000000" w:themeColor="text1"/>
          <w:lang w:val="ro-RO"/>
        </w:rPr>
        <w:t>.</w:t>
      </w:r>
      <w:r w:rsidR="00947A14" w:rsidRPr="00A73566">
        <w:rPr>
          <w:rFonts w:ascii="Times New Roman" w:hAnsi="Times New Roman" w:cs="Times New Roman"/>
          <w:color w:val="000000" w:themeColor="text1"/>
          <w:lang w:val="ro-RO"/>
        </w:rPr>
        <w:t xml:space="preserve"> </w:t>
      </w:r>
    </w:p>
    <w:bookmarkEnd w:id="7"/>
    <w:p w14:paraId="376C8EF5" w14:textId="3B0A6FD7" w:rsidR="00DD0B4A"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domeniul comerțului exterior cu produse agroalimentare se constată aceeași tendință ca la începutul decadei precedente, care doar s-a accentuat după semnarea Acordului de Liber Schimb Aprofundat și Cuprinzător cu UE în anul 2014. Astfel, după semnarea Acordului, ponderea exporturilor producției agroalimentare din Republica Moldova spre statele </w:t>
      </w:r>
      <w:r w:rsidR="00BD5490"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CSI a continuată să scadă, atingând în anul 2019 ponderi record de mici (18.1%). În același timp s-au dezvoltat în ritm rapid exporturile producției agroalimentare pe alte piețe, în special pe piața UE. Astfel, în perioada 2014 – 2020 ponderea exporturilor producției agroalimentare în statele UE a crescut de la 41.</w:t>
      </w:r>
      <w:r w:rsidR="00474451" w:rsidRPr="00A73566">
        <w:rPr>
          <w:rFonts w:ascii="Times New Roman" w:hAnsi="Times New Roman" w:cs="Times New Roman"/>
          <w:color w:val="000000" w:themeColor="text1"/>
          <w:lang w:val="ro-RO"/>
        </w:rPr>
        <w:t>3</w:t>
      </w:r>
      <w:r w:rsidRPr="00A73566">
        <w:rPr>
          <w:rFonts w:ascii="Times New Roman" w:hAnsi="Times New Roman" w:cs="Times New Roman"/>
          <w:color w:val="000000" w:themeColor="text1"/>
          <w:lang w:val="ro-RO"/>
        </w:rPr>
        <w:t>% la 5</w:t>
      </w:r>
      <w:r w:rsidR="00474451" w:rsidRPr="00A73566">
        <w:rPr>
          <w:rFonts w:ascii="Times New Roman" w:hAnsi="Times New Roman" w:cs="Times New Roman"/>
          <w:color w:val="000000" w:themeColor="text1"/>
          <w:lang w:val="ro-RO"/>
        </w:rPr>
        <w:t xml:space="preserve">2.4 </w:t>
      </w:r>
      <w:r w:rsidRPr="00A73566">
        <w:rPr>
          <w:rFonts w:ascii="Times New Roman" w:hAnsi="Times New Roman" w:cs="Times New Roman"/>
          <w:color w:val="000000" w:themeColor="text1"/>
          <w:lang w:val="ro-RO"/>
        </w:rPr>
        <w:t>%, iar în alte state de la 2</w:t>
      </w:r>
      <w:r w:rsidR="00474451" w:rsidRPr="00A73566">
        <w:rPr>
          <w:rFonts w:ascii="Times New Roman" w:hAnsi="Times New Roman" w:cs="Times New Roman"/>
          <w:color w:val="000000" w:themeColor="text1"/>
          <w:lang w:val="ro-RO"/>
        </w:rPr>
        <w:t>3.7</w:t>
      </w:r>
      <w:r w:rsidRPr="00A73566">
        <w:rPr>
          <w:rFonts w:ascii="Times New Roman" w:hAnsi="Times New Roman" w:cs="Times New Roman"/>
          <w:color w:val="000000" w:themeColor="text1"/>
          <w:lang w:val="ro-RO"/>
        </w:rPr>
        <w:t xml:space="preserve">% în 2014 la </w:t>
      </w:r>
      <w:r w:rsidR="00474451" w:rsidRPr="00A73566">
        <w:rPr>
          <w:rFonts w:ascii="Times New Roman" w:hAnsi="Times New Roman" w:cs="Times New Roman"/>
          <w:color w:val="000000" w:themeColor="text1"/>
          <w:lang w:val="ro-RO"/>
        </w:rPr>
        <w:t>27.7</w:t>
      </w:r>
      <w:r w:rsidRPr="00A73566">
        <w:rPr>
          <w:rFonts w:ascii="Times New Roman" w:hAnsi="Times New Roman" w:cs="Times New Roman"/>
          <w:color w:val="000000" w:themeColor="text1"/>
          <w:lang w:val="ro-RO"/>
        </w:rPr>
        <w:t xml:space="preserve">% în 2019. </w:t>
      </w:r>
    </w:p>
    <w:p w14:paraId="60367E69" w14:textId="2D991ECF" w:rsidR="00474451" w:rsidRPr="00D74E73" w:rsidRDefault="00474451" w:rsidP="00474451">
      <w:pPr>
        <w:pStyle w:val="Caption"/>
        <w:framePr w:wrap="around"/>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 xml:space="preserve">Figura </w:t>
      </w:r>
      <w:r w:rsidR="00866820" w:rsidRPr="00D74E73">
        <w:rPr>
          <w:rFonts w:ascii="Times New Roman" w:hAnsi="Times New Roman" w:cs="Times New Roman"/>
          <w:sz w:val="18"/>
          <w:szCs w:val="18"/>
          <w:lang w:val="ro-RO"/>
        </w:rPr>
        <w:t>4</w:t>
      </w:r>
      <w:r w:rsidRPr="00D74E73">
        <w:rPr>
          <w:rFonts w:ascii="Times New Roman" w:hAnsi="Times New Roman" w:cs="Times New Roman"/>
          <w:sz w:val="18"/>
          <w:szCs w:val="18"/>
          <w:lang w:val="ro-RO"/>
        </w:rPr>
        <w:t xml:space="preserve">. Dinamica structurii exporturilor agroalimentare ale Republicii Moldova pe grupe de țări, 2011-2020, %     </w:t>
      </w:r>
    </w:p>
    <w:p w14:paraId="259C759C" w14:textId="77777777" w:rsidR="00474451" w:rsidRPr="00A73566" w:rsidRDefault="00474451" w:rsidP="00474451">
      <w:pPr>
        <w:spacing w:after="160"/>
        <w:rPr>
          <w:rFonts w:ascii="Times New Roman" w:eastAsia="Calibri" w:hAnsi="Times New Roman" w:cs="Times New Roman"/>
          <w:sz w:val="24"/>
          <w:szCs w:val="24"/>
          <w:lang w:val="ro-RO"/>
        </w:rPr>
      </w:pPr>
      <w:r w:rsidRPr="00A73566">
        <w:rPr>
          <w:rFonts w:ascii="Times New Roman" w:eastAsia="Calibri" w:hAnsi="Times New Roman" w:cs="Times New Roman"/>
          <w:noProof/>
          <w:sz w:val="24"/>
          <w:szCs w:val="24"/>
          <w:lang w:val="en-US"/>
        </w:rPr>
        <w:drawing>
          <wp:inline distT="0" distB="0" distL="0" distR="0" wp14:anchorId="2C974857" wp14:editId="0D4E48B1">
            <wp:extent cx="5890260" cy="1028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58B7FC" w14:textId="1A716B77" w:rsidR="00474451" w:rsidRPr="00D74E73" w:rsidRDefault="00474451" w:rsidP="000F7F1F">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5AB51E3A" w14:textId="77777777" w:rsidR="00DD0B4A"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Totodată se constată și o creștere a exporturilor în valori absolute. Dacă în cazul exporturilor spre statele UE valoarea totală a exporturilor în perioada de referință a crescut cu 27%, iar către alte state (cu excepția CSI) cu 20%, atunci în cazul statelor CSI, valoarea exporturilor exprimate în valori monetare a scăzut în perioada 2014 - 2020 cu aproape 39%. </w:t>
      </w:r>
    </w:p>
    <w:p w14:paraId="71556D03" w14:textId="47B4DDE7" w:rsidR="00DD0B4A"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ceea ce privește structura exporturilor produselor agroalimentare pe categorii de produse, se poate constata că cea mai mare pondere revine </w:t>
      </w:r>
      <w:r w:rsidR="00BD5490" w:rsidRPr="00A73566">
        <w:rPr>
          <w:rFonts w:ascii="Times New Roman" w:hAnsi="Times New Roman" w:cs="Times New Roman"/>
          <w:color w:val="000000" w:themeColor="text1"/>
          <w:lang w:val="ro-RO"/>
        </w:rPr>
        <w:t xml:space="preserve">produselor </w:t>
      </w:r>
      <w:r w:rsidRPr="00A73566">
        <w:rPr>
          <w:rFonts w:ascii="Times New Roman" w:hAnsi="Times New Roman" w:cs="Times New Roman"/>
          <w:color w:val="000000" w:themeColor="text1"/>
          <w:lang w:val="ro-RO"/>
        </w:rPr>
        <w:t xml:space="preserve">regnului vegetal (în medie, 55-60% din total), fiind urmat de </w:t>
      </w:r>
      <w:r w:rsidR="00BD5490" w:rsidRPr="00A73566">
        <w:rPr>
          <w:rFonts w:ascii="Times New Roman" w:hAnsi="Times New Roman" w:cs="Times New Roman"/>
          <w:color w:val="000000" w:themeColor="text1"/>
          <w:lang w:val="ro-RO"/>
        </w:rPr>
        <w:t xml:space="preserve">produsele </w:t>
      </w:r>
      <w:r w:rsidRPr="00A73566">
        <w:rPr>
          <w:rFonts w:ascii="Times New Roman" w:hAnsi="Times New Roman" w:cs="Times New Roman"/>
          <w:color w:val="000000" w:themeColor="text1"/>
          <w:lang w:val="ro-RO"/>
        </w:rPr>
        <w:t xml:space="preserve">industriei alimentare (în medie 31-35% din total), restul fiind acoperit de </w:t>
      </w:r>
      <w:r w:rsidR="00BD5490" w:rsidRPr="00A73566">
        <w:rPr>
          <w:rFonts w:ascii="Times New Roman" w:hAnsi="Times New Roman" w:cs="Times New Roman"/>
          <w:color w:val="000000" w:themeColor="text1"/>
          <w:lang w:val="ro-RO"/>
        </w:rPr>
        <w:t xml:space="preserve">grăsimi </w:t>
      </w:r>
      <w:r w:rsidRPr="00A73566">
        <w:rPr>
          <w:rFonts w:ascii="Times New Roman" w:hAnsi="Times New Roman" w:cs="Times New Roman"/>
          <w:color w:val="000000" w:themeColor="text1"/>
          <w:lang w:val="ro-RO"/>
        </w:rPr>
        <w:t xml:space="preserve">și uleiuri (cca. 5-9%) și </w:t>
      </w:r>
      <w:r w:rsidR="00BD5490" w:rsidRPr="00A73566">
        <w:rPr>
          <w:rFonts w:ascii="Times New Roman" w:hAnsi="Times New Roman" w:cs="Times New Roman"/>
          <w:color w:val="000000" w:themeColor="text1"/>
          <w:lang w:val="ro-RO"/>
        </w:rPr>
        <w:t xml:space="preserve">produse </w:t>
      </w:r>
      <w:r w:rsidRPr="00A73566">
        <w:rPr>
          <w:rFonts w:ascii="Times New Roman" w:hAnsi="Times New Roman" w:cs="Times New Roman"/>
          <w:color w:val="000000" w:themeColor="text1"/>
          <w:lang w:val="ro-RO"/>
        </w:rPr>
        <w:t xml:space="preserve">ale regnului animal (cca. 3%). </w:t>
      </w:r>
    </w:p>
    <w:p w14:paraId="7543F30A" w14:textId="1B2D333B" w:rsidR="00DD0B4A"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Astfel, se poate constata că cea mai mare parte a exporturilor produselor agroalimentare revine producției primare sau materiei prime care nu a trecut de etapa procesării și care are o valoare adăugată scăzută în comparație cu alte categorii de produse, precum cele de origine animală sau cele ale industriei alimentare. </w:t>
      </w:r>
    </w:p>
    <w:p w14:paraId="4ACFB6A6" w14:textId="77777777" w:rsidR="00DD0B4A" w:rsidRPr="00A73566" w:rsidRDefault="00DD0B4A" w:rsidP="00F943B1">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Analiza importurilor denotă o constanță atât a ponderii, cât și a valorii absolute în structura importurilor pe grupe de țări. În acest sens, se constată o egalitate a ponderii cotei importurilor din statele și CSI, cu o slabă tendință spre creștere în ultimii ani a importurilor din statele UE. </w:t>
      </w:r>
    </w:p>
    <w:p w14:paraId="6733A7D4" w14:textId="28E45EE3" w:rsidR="00E75D03" w:rsidRPr="00D74E73" w:rsidRDefault="00E75D03" w:rsidP="000D0ED7">
      <w:pPr>
        <w:pStyle w:val="Caption"/>
        <w:framePr w:wrap="around"/>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w:t>
      </w:r>
      <w:r w:rsidR="00D545A8" w:rsidRPr="00D74E73">
        <w:rPr>
          <w:rFonts w:ascii="Times New Roman" w:hAnsi="Times New Roman" w:cs="Times New Roman"/>
          <w:sz w:val="18"/>
          <w:szCs w:val="18"/>
          <w:lang w:val="ro-RO"/>
        </w:rPr>
        <w:t xml:space="preserve"> </w:t>
      </w:r>
      <w:r w:rsidR="00486C04" w:rsidRPr="00D74E73">
        <w:rPr>
          <w:rFonts w:ascii="Times New Roman" w:hAnsi="Times New Roman" w:cs="Times New Roman"/>
          <w:sz w:val="18"/>
          <w:szCs w:val="18"/>
          <w:lang w:val="ro-RO"/>
        </w:rPr>
        <w:t>5</w:t>
      </w:r>
      <w:r w:rsidRPr="00D74E73">
        <w:rPr>
          <w:rFonts w:ascii="Times New Roman" w:hAnsi="Times New Roman" w:cs="Times New Roman"/>
          <w:sz w:val="18"/>
          <w:szCs w:val="18"/>
          <w:lang w:val="ro-RO"/>
        </w:rPr>
        <w:t>. importuril</w:t>
      </w:r>
      <w:r w:rsidR="00E22517" w:rsidRPr="00D74E73">
        <w:rPr>
          <w:rFonts w:ascii="Times New Roman" w:hAnsi="Times New Roman" w:cs="Times New Roman"/>
          <w:sz w:val="18"/>
          <w:szCs w:val="18"/>
          <w:lang w:val="ro-RO"/>
        </w:rPr>
        <w:t>e</w:t>
      </w:r>
      <w:r w:rsidRPr="00D74E73">
        <w:rPr>
          <w:rFonts w:ascii="Times New Roman" w:hAnsi="Times New Roman" w:cs="Times New Roman"/>
          <w:sz w:val="18"/>
          <w:szCs w:val="18"/>
          <w:lang w:val="ro-RO"/>
        </w:rPr>
        <w:t xml:space="preserve"> produselor agroalimentare pe grupe de țări, 2011 – 2020, mii USD</w:t>
      </w:r>
    </w:p>
    <w:p w14:paraId="59C2CC85" w14:textId="3880B398" w:rsidR="0079755D" w:rsidRPr="00A73566" w:rsidRDefault="0079755D" w:rsidP="00AD2318">
      <w:pPr>
        <w:rPr>
          <w:rFonts w:ascii="Times New Roman" w:hAnsi="Times New Roman" w:cs="Times New Roman"/>
          <w:color w:val="BFBFBF" w:themeColor="background1" w:themeShade="BF"/>
          <w:lang w:val="ro-RO"/>
        </w:rPr>
      </w:pPr>
      <w:r w:rsidRPr="00A73566">
        <w:rPr>
          <w:rFonts w:ascii="Times New Roman" w:hAnsi="Times New Roman" w:cs="Times New Roman"/>
          <w:noProof/>
          <w:lang w:val="en-US"/>
        </w:rPr>
        <w:drawing>
          <wp:inline distT="0" distB="0" distL="0" distR="0" wp14:anchorId="418A18C9" wp14:editId="4712A944">
            <wp:extent cx="5916930" cy="1433146"/>
            <wp:effectExtent l="0" t="0" r="762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AD8A74" w14:textId="77777777" w:rsidR="0046547B" w:rsidRPr="00D74E73" w:rsidRDefault="0046547B" w:rsidP="0046547B">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5B78A39C" w14:textId="77777777" w:rsidR="00BD7B20" w:rsidRPr="00A73566" w:rsidRDefault="00BD7B20" w:rsidP="00F943B1">
      <w:pPr>
        <w:ind w:firstLine="567"/>
        <w:rPr>
          <w:rFonts w:ascii="Times New Roman" w:hAnsi="Times New Roman" w:cs="Times New Roman"/>
          <w:color w:val="000000"/>
          <w:lang w:val="ro-RO"/>
        </w:rPr>
      </w:pPr>
      <w:r w:rsidRPr="00A73566">
        <w:rPr>
          <w:rFonts w:ascii="Times New Roman" w:hAnsi="Times New Roman" w:cs="Times New Roman"/>
          <w:color w:val="000000"/>
          <w:lang w:val="ro-RO"/>
        </w:rPr>
        <w:t xml:space="preserve">Cât privește structura importurilor produselor agroalimentare pe categorii de produse, cele mai mari ponderi raportate la exporturile realizate le au produsele cu valoare adăugată ridicată și anume cele ale regnului animal și cele ale industriei alimentare. </w:t>
      </w:r>
    </w:p>
    <w:p w14:paraId="4B866F39" w14:textId="63CCA90A" w:rsidR="00D74E73" w:rsidRPr="00E03D1A" w:rsidRDefault="00BD7B20" w:rsidP="00E03D1A">
      <w:pPr>
        <w:ind w:firstLine="567"/>
        <w:rPr>
          <w:rFonts w:ascii="Times New Roman" w:hAnsi="Times New Roman" w:cs="Times New Roman"/>
          <w:color w:val="000000"/>
          <w:sz w:val="24"/>
          <w:szCs w:val="24"/>
          <w:lang w:val="ro-RO"/>
        </w:rPr>
      </w:pPr>
      <w:r w:rsidRPr="00A73566">
        <w:rPr>
          <w:rFonts w:ascii="Times New Roman" w:hAnsi="Times New Roman" w:cs="Times New Roman"/>
          <w:color w:val="000000"/>
          <w:lang w:val="ro-RO"/>
        </w:rPr>
        <w:t xml:space="preserve">Deși produsele agroalimentare asigură cca. 45% din totalul exporturilor Republicii Moldova, balanța comerțului exterior cu produse agroalimentare este una instabilă și vulnerabilă. Astfel, în perioada 2014-2020, a existat o singură serie de doi ani consecutivi de creștere a balanței comerțului exterior cu produse </w:t>
      </w:r>
      <w:r w:rsidR="00F943B1">
        <w:rPr>
          <w:rFonts w:ascii="Times New Roman" w:hAnsi="Times New Roman" w:cs="Times New Roman"/>
          <w:color w:val="000000"/>
          <w:lang w:val="ro-RO"/>
        </w:rPr>
        <w:t>agroalimentare, i</w:t>
      </w:r>
      <w:r w:rsidRPr="00A73566">
        <w:rPr>
          <w:rFonts w:ascii="Times New Roman" w:hAnsi="Times New Roman" w:cs="Times New Roman"/>
          <w:color w:val="000000"/>
          <w:lang w:val="ro-RO"/>
        </w:rPr>
        <w:t>ar în perioada 2000-2020 a existat o singură serie de trei ani consecutivi de creștere a balanței comerțului exterior cu produse agroalimentare (2008-2011).</w:t>
      </w:r>
      <w:r w:rsidRPr="00A73566">
        <w:rPr>
          <w:rFonts w:ascii="Times New Roman" w:hAnsi="Times New Roman" w:cs="Times New Roman"/>
          <w:color w:val="000000"/>
          <w:sz w:val="24"/>
          <w:szCs w:val="24"/>
          <w:lang w:val="ro-RO"/>
        </w:rPr>
        <w:t xml:space="preserve"> </w:t>
      </w:r>
    </w:p>
    <w:p w14:paraId="721AAA07" w14:textId="1CECAF07" w:rsidR="00D74E73" w:rsidRPr="00E03D1A" w:rsidRDefault="00D74E73" w:rsidP="00E03D1A">
      <w:pPr>
        <w:pStyle w:val="Caption"/>
        <w:framePr w:w="0" w:wrap="auto" w:vAnchor="margin" w:yAlign="inline"/>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 xml:space="preserve">Figura 6. Balanța comerțului exterior cu </w:t>
      </w:r>
      <w:r w:rsidR="00E03D1A">
        <w:rPr>
          <w:rFonts w:ascii="Times New Roman" w:hAnsi="Times New Roman" w:cs="Times New Roman"/>
          <w:sz w:val="18"/>
          <w:szCs w:val="18"/>
          <w:lang w:val="ro-RO"/>
        </w:rPr>
        <w:t>produse agroalimentare, mii USD</w:t>
      </w:r>
    </w:p>
    <w:p w14:paraId="333549C2" w14:textId="250D7194" w:rsidR="00FE2DD3" w:rsidRPr="00A73566" w:rsidRDefault="0046547B" w:rsidP="00803EBE">
      <w:pPr>
        <w:rPr>
          <w:rFonts w:ascii="Times New Roman" w:hAnsi="Times New Roman" w:cs="Times New Roman"/>
          <w:lang w:val="ro-RO"/>
        </w:rPr>
      </w:pPr>
      <w:r w:rsidRPr="00A73566">
        <w:rPr>
          <w:rFonts w:ascii="Times New Roman" w:hAnsi="Times New Roman" w:cs="Times New Roman"/>
          <w:noProof/>
          <w:color w:val="FFFFFF" w:themeColor="background1"/>
          <w:lang w:val="en-US"/>
        </w:rPr>
        <w:drawing>
          <wp:inline distT="0" distB="0" distL="0" distR="0" wp14:anchorId="00068AE2" wp14:editId="0A6D8D67">
            <wp:extent cx="5955030" cy="1019810"/>
            <wp:effectExtent l="0" t="0" r="7620" b="889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C983C4" w14:textId="168E151D" w:rsidR="00D74E73" w:rsidRPr="00D74E73" w:rsidRDefault="00BD7B20" w:rsidP="00BD7B20">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04B9822B" w14:textId="2ADB215E" w:rsidR="00EF005D" w:rsidRPr="00A73566" w:rsidRDefault="00EF005D" w:rsidP="00EF005D">
      <w:pPr>
        <w:pStyle w:val="Heading2"/>
        <w:rPr>
          <w:rFonts w:ascii="Times New Roman" w:hAnsi="Times New Roman" w:cs="Times New Roman"/>
          <w:lang w:val="ro-RO"/>
        </w:rPr>
      </w:pPr>
      <w:bookmarkStart w:id="8" w:name="_Toc83889703"/>
      <w:bookmarkStart w:id="9" w:name="_Toc83889744"/>
      <w:bookmarkStart w:id="10" w:name="_Toc83889785"/>
      <w:bookmarkStart w:id="11" w:name="_Toc83889826"/>
      <w:bookmarkStart w:id="12" w:name="_Toc83889913"/>
      <w:bookmarkStart w:id="13" w:name="_Toc83889954"/>
      <w:bookmarkStart w:id="14" w:name="_Toc83890129"/>
      <w:bookmarkStart w:id="15" w:name="_Toc83894537"/>
      <w:bookmarkStart w:id="16" w:name="_Toc83894580"/>
      <w:bookmarkStart w:id="17" w:name="_Toc83894623"/>
      <w:bookmarkStart w:id="18" w:name="_Toc83889704"/>
      <w:bookmarkStart w:id="19" w:name="_Toc83889745"/>
      <w:bookmarkStart w:id="20" w:name="_Toc83889786"/>
      <w:bookmarkStart w:id="21" w:name="_Toc83889827"/>
      <w:bookmarkStart w:id="22" w:name="_Toc83889914"/>
      <w:bookmarkStart w:id="23" w:name="_Toc83889955"/>
      <w:bookmarkStart w:id="24" w:name="_Toc83890130"/>
      <w:bookmarkStart w:id="25" w:name="_Toc83894538"/>
      <w:bookmarkStart w:id="26" w:name="_Toc83894581"/>
      <w:bookmarkStart w:id="27" w:name="_Toc83894624"/>
      <w:bookmarkStart w:id="28" w:name="_Toc83889705"/>
      <w:bookmarkStart w:id="29" w:name="_Toc83889746"/>
      <w:bookmarkStart w:id="30" w:name="_Toc83889787"/>
      <w:bookmarkStart w:id="31" w:name="_Toc83889828"/>
      <w:bookmarkStart w:id="32" w:name="_Toc83889915"/>
      <w:bookmarkStart w:id="33" w:name="_Toc83889956"/>
      <w:bookmarkStart w:id="34" w:name="_Toc83890131"/>
      <w:bookmarkStart w:id="35" w:name="_Toc83894539"/>
      <w:bookmarkStart w:id="36" w:name="_Toc83894582"/>
      <w:bookmarkStart w:id="37" w:name="_Toc83894625"/>
      <w:bookmarkStart w:id="38" w:name="_Toc83889708"/>
      <w:bookmarkStart w:id="39" w:name="_Toc83889749"/>
      <w:bookmarkStart w:id="40" w:name="_Toc83889790"/>
      <w:bookmarkStart w:id="41" w:name="_Toc83889831"/>
      <w:bookmarkStart w:id="42" w:name="_Toc83889918"/>
      <w:bookmarkStart w:id="43" w:name="_Toc83889959"/>
      <w:bookmarkStart w:id="44" w:name="_Toc83890134"/>
      <w:bookmarkStart w:id="45" w:name="_Toc83894542"/>
      <w:bookmarkStart w:id="46" w:name="_Toc83894585"/>
      <w:bookmarkStart w:id="47" w:name="_Toc83894628"/>
      <w:bookmarkStart w:id="48" w:name="_Toc8813210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A73566">
        <w:rPr>
          <w:rFonts w:ascii="Times New Roman" w:hAnsi="Times New Roman" w:cs="Times New Roman"/>
          <w:lang w:val="ro-RO"/>
        </w:rPr>
        <w:t>Tendințe în dezvoltarea agriculturii</w:t>
      </w:r>
      <w:bookmarkEnd w:id="48"/>
      <w:r w:rsidRPr="00A73566">
        <w:rPr>
          <w:rFonts w:ascii="Times New Roman" w:hAnsi="Times New Roman" w:cs="Times New Roman"/>
          <w:lang w:val="ro-RO"/>
        </w:rPr>
        <w:t xml:space="preserve"> </w:t>
      </w:r>
    </w:p>
    <w:p w14:paraId="424B58DC" w14:textId="1E6D728C" w:rsidR="005C3C3C" w:rsidRPr="00A73566" w:rsidRDefault="005C3C3C" w:rsidP="005C3C3C">
      <w:pPr>
        <w:pStyle w:val="Heading3"/>
        <w:rPr>
          <w:rFonts w:ascii="Times New Roman" w:hAnsi="Times New Roman" w:cs="Times New Roman"/>
          <w:lang w:val="ro-RO"/>
        </w:rPr>
      </w:pPr>
      <w:bookmarkStart w:id="49" w:name="_Toc83889710"/>
      <w:bookmarkStart w:id="50" w:name="_Toc83889751"/>
      <w:bookmarkStart w:id="51" w:name="_Toc83889792"/>
      <w:bookmarkStart w:id="52" w:name="_Toc83889833"/>
      <w:bookmarkStart w:id="53" w:name="_Toc83889920"/>
      <w:bookmarkStart w:id="54" w:name="_Toc83889961"/>
      <w:bookmarkStart w:id="55" w:name="_Toc83890136"/>
      <w:bookmarkStart w:id="56" w:name="_Toc83894544"/>
      <w:bookmarkStart w:id="57" w:name="_Toc83894587"/>
      <w:bookmarkStart w:id="58" w:name="_Toc83894630"/>
      <w:bookmarkStart w:id="59" w:name="_Toc88132101"/>
      <w:bookmarkEnd w:id="49"/>
      <w:bookmarkEnd w:id="50"/>
      <w:bookmarkEnd w:id="51"/>
      <w:bookmarkEnd w:id="52"/>
      <w:bookmarkEnd w:id="53"/>
      <w:bookmarkEnd w:id="54"/>
      <w:bookmarkEnd w:id="55"/>
      <w:bookmarkEnd w:id="56"/>
      <w:bookmarkEnd w:id="57"/>
      <w:bookmarkEnd w:id="58"/>
      <w:r w:rsidRPr="00A73566">
        <w:rPr>
          <w:rFonts w:ascii="Times New Roman" w:hAnsi="Times New Roman" w:cs="Times New Roman"/>
          <w:lang w:val="ro-RO"/>
        </w:rPr>
        <w:t xml:space="preserve">Volumul </w:t>
      </w:r>
      <w:r w:rsidR="00D86FDB" w:rsidRPr="00A73566">
        <w:rPr>
          <w:rFonts w:ascii="Times New Roman" w:hAnsi="Times New Roman" w:cs="Times New Roman"/>
          <w:lang w:val="ro-RO"/>
        </w:rPr>
        <w:t>p</w:t>
      </w:r>
      <w:r w:rsidR="00610EE2" w:rsidRPr="00A73566">
        <w:rPr>
          <w:rFonts w:ascii="Times New Roman" w:hAnsi="Times New Roman" w:cs="Times New Roman"/>
          <w:lang w:val="ro-RO"/>
        </w:rPr>
        <w:t>roducției</w:t>
      </w:r>
      <w:bookmarkEnd w:id="59"/>
      <w:r w:rsidR="00610EE2" w:rsidRPr="00A73566">
        <w:rPr>
          <w:rFonts w:ascii="Times New Roman" w:hAnsi="Times New Roman" w:cs="Times New Roman"/>
          <w:lang w:val="ro-RO"/>
        </w:rPr>
        <w:t xml:space="preserve"> </w:t>
      </w:r>
    </w:p>
    <w:p w14:paraId="555ECF82" w14:textId="00B1D152" w:rsidR="00513CB4" w:rsidRPr="00A73566" w:rsidRDefault="00513CB4" w:rsidP="00F943B1">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condițiile unei variații, uneori accentuate, a prețurilor la producția agricolă, volumul producției agricole s-a manifestat cu oscilații periodice, determinate de modificarea anului de bază (din cinci în cinci ani), înregistrând o creștere generală, cu o evoluție în creștere din ce în ce mai încetinită.</w:t>
      </w:r>
    </w:p>
    <w:p w14:paraId="422EA654" w14:textId="11C4B232" w:rsidR="00D74E73" w:rsidRPr="00A73566" w:rsidRDefault="00513CB4" w:rsidP="00F943B1">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aceste condiții, agriculturii i-au revenit în anul 20</w:t>
      </w:r>
      <w:r w:rsidR="00486C04" w:rsidRPr="00A73566">
        <w:rPr>
          <w:rFonts w:ascii="Times New Roman" w:hAnsi="Times New Roman" w:cs="Times New Roman"/>
          <w:color w:val="000000" w:themeColor="text1"/>
          <w:lang w:val="ro-RO"/>
        </w:rPr>
        <w:t>20</w:t>
      </w:r>
      <w:r w:rsidRPr="00A73566">
        <w:rPr>
          <w:rFonts w:ascii="Times New Roman" w:hAnsi="Times New Roman" w:cs="Times New Roman"/>
          <w:color w:val="000000" w:themeColor="text1"/>
          <w:lang w:val="ro-RO"/>
        </w:rPr>
        <w:t xml:space="preserve"> cca. </w:t>
      </w:r>
      <w:r w:rsidR="00486C04" w:rsidRPr="00A73566">
        <w:rPr>
          <w:rFonts w:ascii="Times New Roman" w:hAnsi="Times New Roman" w:cs="Times New Roman"/>
          <w:color w:val="000000" w:themeColor="text1"/>
          <w:lang w:val="ro-RO"/>
        </w:rPr>
        <w:t>9.6</w:t>
      </w:r>
      <w:r w:rsidRPr="00A73566">
        <w:rPr>
          <w:rFonts w:ascii="Times New Roman" w:hAnsi="Times New Roman" w:cs="Times New Roman"/>
          <w:color w:val="000000" w:themeColor="text1"/>
          <w:lang w:val="ro-RO"/>
        </w:rPr>
        <w:t xml:space="preserve">% din volumul total al producției, cu o reducere de cca </w:t>
      </w:r>
      <w:r w:rsidR="00486C04" w:rsidRPr="00A73566">
        <w:rPr>
          <w:rFonts w:ascii="Times New Roman" w:hAnsi="Times New Roman" w:cs="Times New Roman"/>
          <w:color w:val="000000" w:themeColor="text1"/>
          <w:lang w:val="ro-RO"/>
        </w:rPr>
        <w:t>3</w:t>
      </w:r>
      <w:r w:rsidRPr="00A73566">
        <w:rPr>
          <w:rFonts w:ascii="Times New Roman" w:hAnsi="Times New Roman" w:cs="Times New Roman"/>
          <w:color w:val="000000" w:themeColor="text1"/>
          <w:lang w:val="ro-RO"/>
        </w:rPr>
        <w:t>.</w:t>
      </w:r>
      <w:r w:rsidR="00486C04" w:rsidRPr="00A73566">
        <w:rPr>
          <w:rFonts w:ascii="Times New Roman" w:hAnsi="Times New Roman" w:cs="Times New Roman"/>
          <w:color w:val="000000" w:themeColor="text1"/>
          <w:lang w:val="ro-RO"/>
        </w:rPr>
        <w:t>9</w:t>
      </w:r>
      <w:r w:rsidRPr="00A73566">
        <w:rPr>
          <w:rFonts w:ascii="Times New Roman" w:hAnsi="Times New Roman" w:cs="Times New Roman"/>
          <w:color w:val="000000" w:themeColor="text1"/>
          <w:lang w:val="ro-RO"/>
        </w:rPr>
        <w:t xml:space="preserve"> p.p, față de 2011, și cu o cotă medie pentru perioada de referință de cca. 1</w:t>
      </w:r>
      <w:r w:rsidR="00486C04" w:rsidRPr="00A73566">
        <w:rPr>
          <w:rFonts w:ascii="Times New Roman" w:hAnsi="Times New Roman" w:cs="Times New Roman"/>
          <w:color w:val="000000" w:themeColor="text1"/>
          <w:lang w:val="ro-RO"/>
        </w:rPr>
        <w:t>1</w:t>
      </w:r>
      <w:r w:rsidRPr="00A73566">
        <w:rPr>
          <w:rFonts w:ascii="Times New Roman" w:hAnsi="Times New Roman" w:cs="Times New Roman"/>
          <w:color w:val="000000" w:themeColor="text1"/>
          <w:lang w:val="ro-RO"/>
        </w:rPr>
        <w:t>.</w:t>
      </w:r>
      <w:r w:rsidR="00486C04" w:rsidRPr="00A73566">
        <w:rPr>
          <w:rFonts w:ascii="Times New Roman" w:hAnsi="Times New Roman" w:cs="Times New Roman"/>
          <w:color w:val="000000" w:themeColor="text1"/>
          <w:lang w:val="ro-RO"/>
        </w:rPr>
        <w:t>8</w:t>
      </w:r>
      <w:r w:rsidRPr="00A73566">
        <w:rPr>
          <w:rFonts w:ascii="Times New Roman" w:hAnsi="Times New Roman" w:cs="Times New Roman"/>
          <w:color w:val="000000" w:themeColor="text1"/>
          <w:lang w:val="ro-RO"/>
        </w:rPr>
        <w:t>%. Astfel, tendința generală a volumului producției agricole pentru perioada 2011 - 20</w:t>
      </w:r>
      <w:r w:rsidR="00486C04" w:rsidRPr="00A73566">
        <w:rPr>
          <w:rFonts w:ascii="Times New Roman" w:hAnsi="Times New Roman" w:cs="Times New Roman"/>
          <w:color w:val="000000" w:themeColor="text1"/>
          <w:lang w:val="ro-RO"/>
        </w:rPr>
        <w:t>20</w:t>
      </w:r>
      <w:r w:rsidRPr="00A73566">
        <w:rPr>
          <w:rFonts w:ascii="Times New Roman" w:hAnsi="Times New Roman" w:cs="Times New Roman"/>
          <w:color w:val="000000" w:themeColor="text1"/>
          <w:lang w:val="ro-RO"/>
        </w:rPr>
        <w:t xml:space="preserve"> a fost una negativă, cu o reducere medie anuală de cca. 0.</w:t>
      </w:r>
      <w:r w:rsidR="00486C04" w:rsidRPr="00A73566">
        <w:rPr>
          <w:rFonts w:ascii="Times New Roman" w:hAnsi="Times New Roman" w:cs="Times New Roman"/>
          <w:color w:val="000000" w:themeColor="text1"/>
          <w:lang w:val="ro-RO"/>
        </w:rPr>
        <w:t>3</w:t>
      </w:r>
      <w:r w:rsidRPr="00A73566">
        <w:rPr>
          <w:rFonts w:ascii="Times New Roman" w:hAnsi="Times New Roman" w:cs="Times New Roman"/>
          <w:color w:val="000000" w:themeColor="text1"/>
          <w:lang w:val="ro-RO"/>
        </w:rPr>
        <w:t xml:space="preserve"> pp.</w:t>
      </w:r>
    </w:p>
    <w:p w14:paraId="0D87C385" w14:textId="1FC50E5A" w:rsidR="00A1636A" w:rsidRPr="00D74E73" w:rsidRDefault="00A1636A" w:rsidP="00D74E73">
      <w:pPr>
        <w:pStyle w:val="Caption"/>
        <w:framePr w:w="0" w:wrap="auto" w:vAnchor="margin" w:yAlign="inline"/>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 7. Cota agriculturii în</w:t>
      </w:r>
      <w:r w:rsidR="00D74E73">
        <w:rPr>
          <w:rFonts w:ascii="Times New Roman" w:hAnsi="Times New Roman" w:cs="Times New Roman"/>
          <w:sz w:val="18"/>
          <w:szCs w:val="18"/>
          <w:lang w:val="ro-RO"/>
        </w:rPr>
        <w:t xml:space="preserve"> volumul total al producției, %</w:t>
      </w:r>
    </w:p>
    <w:p w14:paraId="76B8E7BF" w14:textId="7FC3DD74" w:rsidR="0073604F" w:rsidRPr="00A73566" w:rsidRDefault="00486C04" w:rsidP="005C3C3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rPr>
          <w:rFonts w:ascii="Times New Roman" w:hAnsi="Times New Roman" w:cs="Times New Roman"/>
          <w:color w:val="000000" w:themeColor="text1"/>
          <w:lang w:val="ro-RO"/>
        </w:rPr>
      </w:pPr>
      <w:r w:rsidRPr="00A73566">
        <w:rPr>
          <w:rFonts w:ascii="Times New Roman" w:hAnsi="Times New Roman" w:cs="Times New Roman"/>
          <w:noProof/>
          <w:lang w:val="en-US"/>
        </w:rPr>
        <w:drawing>
          <wp:inline distT="0" distB="0" distL="0" distR="0" wp14:anchorId="2015968B" wp14:editId="6AA9FE4F">
            <wp:extent cx="5796280" cy="1090247"/>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3BA6E85" w14:textId="65C450CF" w:rsidR="00D74E73" w:rsidRPr="00D74E73" w:rsidRDefault="005C3C3C" w:rsidP="005C3C3C">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 xml:space="preserve">Sursa: </w:t>
      </w:r>
      <w:r w:rsidR="0067387B" w:rsidRPr="00D74E73">
        <w:rPr>
          <w:rFonts w:ascii="Times New Roman" w:hAnsi="Times New Roman" w:cs="Times New Roman"/>
          <w:iCs/>
          <w:color w:val="BFBFBF" w:themeColor="background1" w:themeShade="BF"/>
          <w:sz w:val="18"/>
          <w:szCs w:val="18"/>
          <w:lang w:val="ro-RO"/>
        </w:rPr>
        <w:t>BNS</w:t>
      </w:r>
    </w:p>
    <w:p w14:paraId="76C90FC9" w14:textId="00165B20" w:rsidR="00E03D1A" w:rsidRDefault="00603DCE" w:rsidP="00D74E73">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rPr>
          <w:rFonts w:ascii="Times New Roman" w:hAnsi="Times New Roman" w:cs="Times New Roman"/>
          <w:color w:val="000000" w:themeColor="text1"/>
          <w:lang w:val="ro-RO"/>
        </w:rPr>
      </w:pPr>
      <w:r w:rsidRPr="00E03D1A">
        <w:rPr>
          <w:rFonts w:ascii="Times New Roman" w:hAnsi="Times New Roman" w:cs="Times New Roman"/>
          <w:color w:val="000000" w:themeColor="text1"/>
          <w:lang w:val="ro-RO"/>
        </w:rPr>
        <w:t xml:space="preserve">Indicii volumului fizic al producției agricole, care </w:t>
      </w:r>
      <w:r w:rsidR="00555A0B" w:rsidRPr="00E03D1A">
        <w:rPr>
          <w:rFonts w:ascii="Times New Roman" w:hAnsi="Times New Roman" w:cs="Times New Roman"/>
          <w:color w:val="000000" w:themeColor="text1"/>
          <w:lang w:val="ro-RO"/>
        </w:rPr>
        <w:t xml:space="preserve"> </w:t>
      </w:r>
      <w:r w:rsidRPr="00E03D1A">
        <w:rPr>
          <w:rFonts w:ascii="Times New Roman" w:hAnsi="Times New Roman" w:cs="Times New Roman"/>
          <w:color w:val="000000" w:themeColor="text1"/>
          <w:lang w:val="ro-RO"/>
        </w:rPr>
        <w:t xml:space="preserve">exprimă, de fapt, modificarea reală a producției, </w:t>
      </w:r>
      <w:r w:rsidR="00555A0B" w:rsidRPr="00E03D1A">
        <w:rPr>
          <w:rFonts w:ascii="Times New Roman" w:hAnsi="Times New Roman" w:cs="Times New Roman"/>
          <w:color w:val="000000" w:themeColor="text1"/>
          <w:lang w:val="ro-RO"/>
        </w:rPr>
        <w:t>exceptând</w:t>
      </w:r>
      <w:r w:rsidRPr="00E03D1A">
        <w:rPr>
          <w:rFonts w:ascii="Times New Roman" w:hAnsi="Times New Roman" w:cs="Times New Roman"/>
          <w:color w:val="000000" w:themeColor="text1"/>
          <w:lang w:val="ro-RO"/>
        </w:rPr>
        <w:t xml:space="preserve"> influența prețurilor s-au abătut nesemnificativ față de dinamica volumului producției agricole, exprimați în prețuri comparabile, </w:t>
      </w:r>
      <w:r w:rsidR="00555A0B" w:rsidRPr="00E03D1A">
        <w:rPr>
          <w:rFonts w:ascii="Times New Roman" w:hAnsi="Times New Roman" w:cs="Times New Roman"/>
          <w:color w:val="000000" w:themeColor="text1"/>
          <w:lang w:val="ro-RO"/>
        </w:rPr>
        <w:t>iar dinamica generală pentru perioada 2010-2020 a înregistrat o tendință generală negativă, de cca -1.7 p.p. În aceste condiții dinamica valorii producției este determinată preponderent de dinamica volumului fizic, și mai puțin, de modificarea prețurilor</w:t>
      </w:r>
      <w:r w:rsidR="00E03D1A">
        <w:rPr>
          <w:rFonts w:ascii="Times New Roman" w:hAnsi="Times New Roman" w:cs="Times New Roman"/>
          <w:color w:val="000000" w:themeColor="text1"/>
          <w:lang w:val="ro-RO"/>
        </w:rPr>
        <w:t>.</w:t>
      </w:r>
    </w:p>
    <w:p w14:paraId="70372CCB" w14:textId="361FE163" w:rsidR="00E03D1A" w:rsidRPr="00E03D1A" w:rsidRDefault="00E03D1A" w:rsidP="00E03D1A">
      <w:pPr>
        <w:pStyle w:val="Caption"/>
        <w:framePr w:w="0" w:wrap="auto" w:vAnchor="margin" w:yAlign="inline"/>
        <w:spacing w:before="0" w:after="0"/>
        <w:jc w:val="both"/>
        <w:rPr>
          <w:rFonts w:ascii="Times New Roman" w:hAnsi="Times New Roman" w:cs="Times New Roman"/>
          <w:color w:val="000000" w:themeColor="text1"/>
          <w:sz w:val="18"/>
          <w:szCs w:val="18"/>
          <w:lang w:val="ro-RO"/>
        </w:rPr>
      </w:pPr>
      <w:r w:rsidRPr="00D74E73">
        <w:rPr>
          <w:rFonts w:ascii="Times New Roman" w:hAnsi="Times New Roman" w:cs="Times New Roman"/>
          <w:sz w:val="18"/>
          <w:szCs w:val="18"/>
          <w:lang w:val="ro-RO"/>
        </w:rPr>
        <w:t xml:space="preserve">Figura 8. Indicii volumului fizic al producției agricole </w:t>
      </w:r>
    </w:p>
    <w:p w14:paraId="26207654" w14:textId="6A53F2BA" w:rsidR="005C3C3C" w:rsidRPr="00A73566" w:rsidRDefault="00555A0B" w:rsidP="005C3C3C">
      <w:pPr>
        <w:rPr>
          <w:rFonts w:ascii="Times New Roman" w:hAnsi="Times New Roman" w:cs="Times New Roman"/>
          <w:lang w:val="ro-RO"/>
        </w:rPr>
      </w:pPr>
      <w:r w:rsidRPr="00A73566">
        <w:rPr>
          <w:rFonts w:ascii="Times New Roman" w:hAnsi="Times New Roman" w:cs="Times New Roman"/>
          <w:noProof/>
          <w:lang w:val="en-US"/>
        </w:rPr>
        <w:drawing>
          <wp:inline distT="0" distB="0" distL="0" distR="0" wp14:anchorId="3193C38E" wp14:editId="0CC1ED57">
            <wp:extent cx="5629275" cy="1908313"/>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2DCFA9" w14:textId="1BD971D3" w:rsidR="00240A6A" w:rsidRPr="00D74E73" w:rsidRDefault="005C3C3C" w:rsidP="00B848E5">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 xml:space="preserve">Sursa: </w:t>
      </w:r>
      <w:r w:rsidR="00781CB7" w:rsidRPr="00D74E73">
        <w:rPr>
          <w:rFonts w:ascii="Times New Roman" w:hAnsi="Times New Roman" w:cs="Times New Roman"/>
          <w:iCs/>
          <w:color w:val="BFBFBF" w:themeColor="background1" w:themeShade="BF"/>
          <w:sz w:val="18"/>
          <w:szCs w:val="18"/>
          <w:lang w:val="ro-RO"/>
        </w:rPr>
        <w:t>BNS</w:t>
      </w:r>
    </w:p>
    <w:p w14:paraId="2422276B" w14:textId="4787CACF" w:rsidR="00240A6A" w:rsidRPr="00A73566" w:rsidRDefault="0000542D" w:rsidP="00603DCE">
      <w:pPr>
        <w:pStyle w:val="Heading3"/>
        <w:rPr>
          <w:rFonts w:ascii="Times New Roman" w:hAnsi="Times New Roman" w:cs="Times New Roman"/>
          <w:lang w:val="ro-RO"/>
        </w:rPr>
      </w:pPr>
      <w:bookmarkStart w:id="60" w:name="_Toc83889712"/>
      <w:bookmarkStart w:id="61" w:name="_Toc83889753"/>
      <w:bookmarkStart w:id="62" w:name="_Toc83889794"/>
      <w:bookmarkStart w:id="63" w:name="_Toc83889835"/>
      <w:bookmarkStart w:id="64" w:name="_Toc83889922"/>
      <w:bookmarkStart w:id="65" w:name="_Toc83889963"/>
      <w:bookmarkStart w:id="66" w:name="_Toc83890138"/>
      <w:bookmarkStart w:id="67" w:name="_Toc83894546"/>
      <w:bookmarkStart w:id="68" w:name="_Toc83894589"/>
      <w:bookmarkStart w:id="69" w:name="_Toc83894632"/>
      <w:bookmarkStart w:id="70" w:name="_Toc83889713"/>
      <w:bookmarkStart w:id="71" w:name="_Toc83889754"/>
      <w:bookmarkStart w:id="72" w:name="_Toc83889795"/>
      <w:bookmarkStart w:id="73" w:name="_Toc83889836"/>
      <w:bookmarkStart w:id="74" w:name="_Toc83889923"/>
      <w:bookmarkStart w:id="75" w:name="_Toc83889964"/>
      <w:bookmarkStart w:id="76" w:name="_Toc83890139"/>
      <w:bookmarkStart w:id="77" w:name="_Toc83894547"/>
      <w:bookmarkStart w:id="78" w:name="_Toc83894590"/>
      <w:bookmarkStart w:id="79" w:name="_Toc83894633"/>
      <w:bookmarkStart w:id="80" w:name="_Toc83889714"/>
      <w:bookmarkStart w:id="81" w:name="_Toc83889755"/>
      <w:bookmarkStart w:id="82" w:name="_Toc83889796"/>
      <w:bookmarkStart w:id="83" w:name="_Toc83889837"/>
      <w:bookmarkStart w:id="84" w:name="_Toc83889924"/>
      <w:bookmarkStart w:id="85" w:name="_Toc83889965"/>
      <w:bookmarkStart w:id="86" w:name="_Toc83890140"/>
      <w:bookmarkStart w:id="87" w:name="_Toc83894548"/>
      <w:bookmarkStart w:id="88" w:name="_Toc83894591"/>
      <w:bookmarkStart w:id="89" w:name="_Toc83894634"/>
      <w:bookmarkStart w:id="90" w:name="_Toc8813210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A73566">
        <w:rPr>
          <w:rFonts w:ascii="Times New Roman" w:hAnsi="Times New Roman" w:cs="Times New Roman"/>
          <w:lang w:val="ro-RO"/>
        </w:rPr>
        <w:t>F</w:t>
      </w:r>
      <w:r w:rsidR="0080785B" w:rsidRPr="00A73566">
        <w:rPr>
          <w:rFonts w:ascii="Times New Roman" w:hAnsi="Times New Roman" w:cs="Times New Roman"/>
          <w:lang w:val="ro-RO"/>
        </w:rPr>
        <w:t>ondul funciar, suprafețele însămânțate și plantații multianuale</w:t>
      </w:r>
      <w:bookmarkEnd w:id="90"/>
    </w:p>
    <w:p w14:paraId="2AE381C7" w14:textId="574702A5" w:rsidR="00313433" w:rsidRPr="00A73566" w:rsidRDefault="00714ADD" w:rsidP="00313433">
      <w:pPr>
        <w:ind w:firstLine="567"/>
        <w:rPr>
          <w:rFonts w:ascii="Times New Roman" w:hAnsi="Times New Roman" w:cs="Times New Roman"/>
          <w:lang w:val="ro-RO"/>
        </w:rPr>
      </w:pPr>
      <w:r w:rsidRPr="00A73566">
        <w:rPr>
          <w:rFonts w:ascii="Times New Roman" w:hAnsi="Times New Roman" w:cs="Times New Roman"/>
          <w:lang w:val="ro-RO"/>
        </w:rPr>
        <w:t xml:space="preserve">Conform informației din </w:t>
      </w:r>
      <w:r w:rsidRPr="00A73566">
        <w:rPr>
          <w:rFonts w:ascii="Times New Roman" w:hAnsi="Times New Roman" w:cs="Times New Roman"/>
          <w:shd w:val="clear" w:color="auto" w:fill="FFFFFF"/>
          <w:lang w:val="ro-RO"/>
        </w:rPr>
        <w:t>Cadastrul funciar,  la 1 </w:t>
      </w:r>
      <w:r w:rsidRPr="00A73566">
        <w:rPr>
          <w:rFonts w:ascii="Times New Roman" w:hAnsi="Times New Roman" w:cs="Times New Roman"/>
          <w:lang w:val="ro-RO"/>
        </w:rPr>
        <w:t>ianuarie </w:t>
      </w:r>
      <w:r w:rsidR="00FF2B36">
        <w:rPr>
          <w:rFonts w:ascii="Times New Roman" w:hAnsi="Times New Roman" w:cs="Times New Roman"/>
          <w:shd w:val="clear" w:color="auto" w:fill="FFFFFF"/>
          <w:lang w:val="ro-RO"/>
        </w:rPr>
        <w:t>2020, aprobat prin Hotărâ</w:t>
      </w:r>
      <w:r w:rsidRPr="00A73566">
        <w:rPr>
          <w:rFonts w:ascii="Times New Roman" w:hAnsi="Times New Roman" w:cs="Times New Roman"/>
          <w:shd w:val="clear" w:color="auto" w:fill="FFFFFF"/>
          <w:lang w:val="ro-RO"/>
        </w:rPr>
        <w:t>rea Guvernului nr. 357/2020, suprafața totală a terenurilor este de 3 384,7 mii ha.</w:t>
      </w:r>
      <w:r w:rsidRPr="00A73566">
        <w:rPr>
          <w:rFonts w:ascii="Times New Roman" w:hAnsi="Times New Roman" w:cs="Times New Roman"/>
          <w:lang w:val="ro-RO"/>
        </w:rPr>
        <w:t xml:space="preserve"> </w:t>
      </w:r>
      <w:r w:rsidR="00551210" w:rsidRPr="00A73566">
        <w:rPr>
          <w:rFonts w:ascii="Times New Roman" w:hAnsi="Times New Roman" w:cs="Times New Roman"/>
          <w:lang w:val="ro-RO"/>
        </w:rPr>
        <w:t xml:space="preserve">Suprafețele agricole reprezintă </w:t>
      </w:r>
      <w:r w:rsidR="00485CB7" w:rsidRPr="00A73566">
        <w:rPr>
          <w:rFonts w:ascii="Times New Roman" w:hAnsi="Times New Roman" w:cs="Times New Roman"/>
          <w:lang w:val="ro-RO"/>
        </w:rPr>
        <w:t>62</w:t>
      </w:r>
      <w:r w:rsidR="00B32CEC" w:rsidRPr="00A73566">
        <w:rPr>
          <w:rFonts w:ascii="Times New Roman" w:hAnsi="Times New Roman" w:cs="Times New Roman"/>
          <w:lang w:val="ro-RO"/>
        </w:rPr>
        <w:t>,</w:t>
      </w:r>
      <w:r w:rsidR="00485CB7" w:rsidRPr="00A73566">
        <w:rPr>
          <w:rFonts w:ascii="Times New Roman" w:hAnsi="Times New Roman" w:cs="Times New Roman"/>
          <w:lang w:val="ro-RO"/>
        </w:rPr>
        <w:t>5</w:t>
      </w:r>
      <w:r w:rsidR="00B32CEC" w:rsidRPr="00A73566">
        <w:rPr>
          <w:rFonts w:ascii="Times New Roman" w:hAnsi="Times New Roman" w:cs="Times New Roman"/>
          <w:lang w:val="ro-RO"/>
        </w:rPr>
        <w:t>%</w:t>
      </w:r>
      <w:r w:rsidR="006126FF" w:rsidRPr="00A73566">
        <w:rPr>
          <w:rFonts w:ascii="Times New Roman" w:hAnsi="Times New Roman" w:cs="Times New Roman"/>
          <w:lang w:val="ro-RO"/>
        </w:rPr>
        <w:t xml:space="preserve"> </w:t>
      </w:r>
      <w:r w:rsidR="00551210" w:rsidRPr="00A73566">
        <w:rPr>
          <w:rFonts w:ascii="Times New Roman" w:hAnsi="Times New Roman" w:cs="Times New Roman"/>
          <w:lang w:val="ro-RO"/>
        </w:rPr>
        <w:t xml:space="preserve">din suprafața totală a republicii. </w:t>
      </w:r>
      <w:r w:rsidR="00603DCE" w:rsidRPr="00A73566">
        <w:rPr>
          <w:rFonts w:ascii="Times New Roman" w:hAnsi="Times New Roman" w:cs="Times New Roman"/>
          <w:lang w:val="ro-RO"/>
        </w:rPr>
        <w:t>După o reducere semnificativă pe fondul recesiunii economice din perioada anilor ‘90, ponderea terenurilor agricole a urmat, din 2002 și până în prezent, un trend pozitiv, cu o ascensiune medie anuală de circa 0.18 puncte procentuale.</w:t>
      </w:r>
    </w:p>
    <w:tbl>
      <w:tblPr>
        <w:tblStyle w:val="TableGrid"/>
        <w:tblW w:w="0" w:type="auto"/>
        <w:tblInd w:w="108" w:type="dxa"/>
        <w:tblLayout w:type="fixed"/>
        <w:tblLook w:val="04A0" w:firstRow="1" w:lastRow="0" w:firstColumn="1" w:lastColumn="0" w:noHBand="0" w:noVBand="1"/>
      </w:tblPr>
      <w:tblGrid>
        <w:gridCol w:w="4716"/>
        <w:gridCol w:w="4640"/>
      </w:tblGrid>
      <w:tr w:rsidR="00485CB7" w:rsidRPr="00A73566" w14:paraId="1BD11FE8" w14:textId="77777777" w:rsidTr="00D74E73">
        <w:tc>
          <w:tcPr>
            <w:tcW w:w="4716" w:type="dxa"/>
          </w:tcPr>
          <w:p w14:paraId="6F699376" w14:textId="15C4DFB9" w:rsidR="00485CB7" w:rsidRPr="00D74E73" w:rsidRDefault="00485CB7" w:rsidP="00313433">
            <w:pPr>
              <w:jc w:val="left"/>
              <w:rPr>
                <w:rFonts w:ascii="Times New Roman" w:hAnsi="Times New Roman" w:cs="Times New Roman"/>
                <w:sz w:val="18"/>
                <w:szCs w:val="18"/>
                <w:lang w:val="ro-RO"/>
              </w:rPr>
            </w:pPr>
            <w:r w:rsidRPr="00D74E73">
              <w:rPr>
                <w:rFonts w:ascii="Times New Roman" w:hAnsi="Times New Roman" w:cs="Times New Roman"/>
                <w:b/>
                <w:caps/>
                <w:color w:val="134753" w:themeColor="text2"/>
                <w:sz w:val="18"/>
                <w:szCs w:val="18"/>
                <w:lang w:val="ro-RO"/>
              </w:rPr>
              <w:t xml:space="preserve">Figura </w:t>
            </w:r>
            <w:r w:rsidR="00555A0B" w:rsidRPr="00D74E73">
              <w:rPr>
                <w:rFonts w:ascii="Times New Roman" w:hAnsi="Times New Roman" w:cs="Times New Roman"/>
                <w:b/>
                <w:caps/>
                <w:color w:val="134753" w:themeColor="text2"/>
                <w:sz w:val="18"/>
                <w:szCs w:val="18"/>
                <w:lang w:val="ro-RO"/>
              </w:rPr>
              <w:t>9</w:t>
            </w:r>
            <w:r w:rsidRPr="00D74E73">
              <w:rPr>
                <w:rFonts w:ascii="Times New Roman" w:hAnsi="Times New Roman" w:cs="Times New Roman"/>
                <w:b/>
                <w:caps/>
                <w:color w:val="134753" w:themeColor="text2"/>
                <w:sz w:val="18"/>
                <w:szCs w:val="18"/>
                <w:lang w:val="ro-RO"/>
              </w:rPr>
              <w:t>. STRUCTURA FONDULUI FUNCIAR</w:t>
            </w:r>
          </w:p>
        </w:tc>
        <w:tc>
          <w:tcPr>
            <w:tcW w:w="4640" w:type="dxa"/>
          </w:tcPr>
          <w:p w14:paraId="404B177E" w14:textId="1F59002D" w:rsidR="00485CB7" w:rsidRPr="00D74E73" w:rsidRDefault="00485CB7" w:rsidP="00313433">
            <w:pPr>
              <w:jc w:val="left"/>
              <w:rPr>
                <w:rFonts w:ascii="Times New Roman" w:hAnsi="Times New Roman" w:cs="Times New Roman"/>
                <w:b/>
                <w:caps/>
                <w:color w:val="134753" w:themeColor="text2"/>
                <w:sz w:val="18"/>
                <w:szCs w:val="18"/>
                <w:lang w:val="ro-RO"/>
              </w:rPr>
            </w:pPr>
            <w:r w:rsidRPr="00D74E73">
              <w:rPr>
                <w:rFonts w:ascii="Times New Roman" w:hAnsi="Times New Roman" w:cs="Times New Roman"/>
                <w:b/>
                <w:caps/>
                <w:color w:val="134753" w:themeColor="text2"/>
                <w:sz w:val="18"/>
                <w:szCs w:val="18"/>
                <w:lang w:val="ro-RO"/>
              </w:rPr>
              <w:t>Figura 10. EVOLUȚIA TERENURILOR AGRICOLE</w:t>
            </w:r>
          </w:p>
        </w:tc>
      </w:tr>
      <w:tr w:rsidR="00485CB7" w:rsidRPr="00A73566" w14:paraId="534B2DCF" w14:textId="77777777" w:rsidTr="00D74E73">
        <w:tc>
          <w:tcPr>
            <w:tcW w:w="4716" w:type="dxa"/>
          </w:tcPr>
          <w:p w14:paraId="40C1C6AC" w14:textId="69791ED5" w:rsidR="00485CB7" w:rsidRPr="00A73566" w:rsidRDefault="00485CB7" w:rsidP="00603DCE">
            <w:pPr>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22BA1D81" wp14:editId="7A80E123">
                  <wp:extent cx="2857500" cy="171766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5195" cy="1752347"/>
                          </a:xfrm>
                          <a:prstGeom prst="rect">
                            <a:avLst/>
                          </a:prstGeom>
                          <a:noFill/>
                        </pic:spPr>
                      </pic:pic>
                    </a:graphicData>
                  </a:graphic>
                </wp:inline>
              </w:drawing>
            </w:r>
          </w:p>
        </w:tc>
        <w:tc>
          <w:tcPr>
            <w:tcW w:w="4640" w:type="dxa"/>
          </w:tcPr>
          <w:p w14:paraId="64EF8195" w14:textId="31195CF4" w:rsidR="00485CB7" w:rsidRPr="00A73566" w:rsidRDefault="00C12527" w:rsidP="00603DCE">
            <w:pPr>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175F3265" wp14:editId="75FA7945">
                  <wp:extent cx="2881630" cy="17170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8673" cy="1727195"/>
                          </a:xfrm>
                          <a:prstGeom prst="rect">
                            <a:avLst/>
                          </a:prstGeom>
                          <a:noFill/>
                        </pic:spPr>
                      </pic:pic>
                    </a:graphicData>
                  </a:graphic>
                </wp:inline>
              </w:drawing>
            </w:r>
          </w:p>
        </w:tc>
      </w:tr>
    </w:tbl>
    <w:p w14:paraId="37F9A6D6" w14:textId="77777777" w:rsidR="00551210" w:rsidRPr="00D74E73" w:rsidRDefault="00551210" w:rsidP="00551210">
      <w:pPr>
        <w:rPr>
          <w:rFonts w:ascii="Times New Roman" w:hAnsi="Times New Roman" w:cs="Times New Roman"/>
          <w:iCs/>
          <w:color w:val="BFBFBF" w:themeColor="background1" w:themeShade="BF"/>
          <w:sz w:val="18"/>
          <w:szCs w:val="18"/>
          <w:lang w:val="ro-RO"/>
        </w:rPr>
      </w:pPr>
      <w:r w:rsidRPr="00D74E73">
        <w:rPr>
          <w:rFonts w:ascii="Times New Roman" w:hAnsi="Times New Roman" w:cs="Times New Roman"/>
          <w:iCs/>
          <w:color w:val="BFBFBF" w:themeColor="background1" w:themeShade="BF"/>
          <w:sz w:val="18"/>
          <w:szCs w:val="18"/>
          <w:lang w:val="ro-RO"/>
        </w:rPr>
        <w:t>Sursa: BNS</w:t>
      </w:r>
    </w:p>
    <w:p w14:paraId="30B0ADB5" w14:textId="77777777" w:rsidR="00B32CEC" w:rsidRPr="00A73566" w:rsidRDefault="00B32CEC" w:rsidP="00313433">
      <w:pPr>
        <w:spacing w:after="0"/>
        <w:ind w:firstLine="567"/>
        <w:rPr>
          <w:rFonts w:ascii="Times New Roman" w:hAnsi="Times New Roman"/>
          <w:lang w:val="ro-RO"/>
        </w:rPr>
      </w:pPr>
      <w:r w:rsidRPr="00A73566">
        <w:rPr>
          <w:rFonts w:ascii="Times New Roman" w:hAnsi="Times New Roman"/>
          <w:lang w:val="ro-RO"/>
        </w:rPr>
        <w:t xml:space="preserve">Ca rezultat al demarării în Republica Moldova a reformei agrare  din anii 90, persoanele ce au activat în gospodăriile agricole în conformitate cu prevederile art. 12 al Codului funciar nr. 828 din 25 decembrie 1991, au fost împroprietăriţi cu teren agricol. </w:t>
      </w:r>
    </w:p>
    <w:p w14:paraId="0504B812" w14:textId="153947FD" w:rsidR="00B32CEC" w:rsidRPr="00A73566" w:rsidRDefault="00B32CEC" w:rsidP="00F662AC">
      <w:pPr>
        <w:spacing w:after="0"/>
        <w:rPr>
          <w:rFonts w:ascii="Times New Roman" w:hAnsi="Times New Roman"/>
          <w:lang w:val="ro-RO"/>
        </w:rPr>
      </w:pPr>
      <w:r w:rsidRPr="00A73566">
        <w:rPr>
          <w:rFonts w:ascii="Times New Roman" w:hAnsi="Times New Roman"/>
          <w:lang w:val="ro-RO"/>
        </w:rPr>
        <w:t>Astfel, terenul agricol a fost diviza</w:t>
      </w:r>
      <w:r w:rsidR="00FF2B36">
        <w:rPr>
          <w:rFonts w:ascii="Times New Roman" w:hAnsi="Times New Roman"/>
          <w:lang w:val="ro-RO"/>
        </w:rPr>
        <w:t>t într-o mulţime de parcele, avâ</w:t>
      </w:r>
      <w:r w:rsidRPr="00A73566">
        <w:rPr>
          <w:rFonts w:ascii="Times New Roman" w:hAnsi="Times New Roman"/>
          <w:lang w:val="ro-RO"/>
        </w:rPr>
        <w:t xml:space="preserve">nd configuraţii şi amplasament necorespunzător practicării unei agriculturi competitive în condiţiile economiei de piaţă. </w:t>
      </w:r>
    </w:p>
    <w:p w14:paraId="211650AD" w14:textId="6A1CDAC9" w:rsidR="00B32CEC" w:rsidRPr="00A73566" w:rsidRDefault="00B32CEC" w:rsidP="00F662AC">
      <w:pPr>
        <w:spacing w:after="0"/>
        <w:rPr>
          <w:rFonts w:ascii="Times New Roman" w:hAnsi="Times New Roman"/>
          <w:lang w:val="ro-RO"/>
        </w:rPr>
      </w:pPr>
      <w:r w:rsidRPr="00A73566">
        <w:rPr>
          <w:rFonts w:ascii="Times New Roman" w:hAnsi="Times New Roman"/>
          <w:lang w:val="ro-RO"/>
        </w:rPr>
        <w:t>Acest fapt a dus la aceea că majoritatea persoanelor ce practică agricultura, indiferent de faptul sunt ei proprietari al acestor terenuri sau nu practică o agricultură ineficientă or</w:t>
      </w:r>
      <w:r w:rsidR="00FF2B36">
        <w:rPr>
          <w:rFonts w:ascii="Times New Roman" w:hAnsi="Times New Roman"/>
          <w:lang w:val="ro-RO"/>
        </w:rPr>
        <w:t>ientâ</w:t>
      </w:r>
      <w:r w:rsidRPr="00A73566">
        <w:rPr>
          <w:rFonts w:ascii="Times New Roman" w:hAnsi="Times New Roman"/>
          <w:lang w:val="ro-RO"/>
        </w:rPr>
        <w:t>nduse nu spre producerea producţiei competitivă pe piaţă dar pentru îndestularea necesităţilor proprii.</w:t>
      </w:r>
    </w:p>
    <w:p w14:paraId="7021B0EC" w14:textId="77777777" w:rsidR="00B32CEC" w:rsidRPr="00A73566" w:rsidRDefault="00B32CEC" w:rsidP="00F662AC">
      <w:pPr>
        <w:pStyle w:val="1"/>
        <w:spacing w:after="0" w:line="240" w:lineRule="auto"/>
        <w:ind w:left="0" w:right="-1"/>
        <w:jc w:val="both"/>
        <w:rPr>
          <w:rFonts w:ascii="Times New Roman" w:hAnsi="Times New Roman"/>
          <w:lang w:val="ro-RO"/>
        </w:rPr>
      </w:pPr>
      <w:r w:rsidRPr="00A73566">
        <w:rPr>
          <w:rFonts w:ascii="Times New Roman" w:hAnsi="Times New Roman"/>
          <w:lang w:val="ro-RO"/>
        </w:rPr>
        <w:t>În prezent, nivelul de fragmentare a terenurilor cu destinația agricolă a suferit unele schimbări după finalizarea reformei de privatizare. Suprafața medie a unei parcele de teren pe republică este de 0,85 ha, zona centrală a țării fiind fragmentată cel mai mult, suprafața minimă a parcelei este de 0,29 în raionul Strășeni.</w:t>
      </w:r>
    </w:p>
    <w:p w14:paraId="578D30CA" w14:textId="77777777" w:rsidR="00B32CEC" w:rsidRPr="00A73566" w:rsidRDefault="00B32CEC" w:rsidP="00313433">
      <w:pPr>
        <w:pStyle w:val="1"/>
        <w:spacing w:after="0" w:line="240" w:lineRule="auto"/>
        <w:ind w:left="0" w:right="-1" w:firstLine="567"/>
        <w:jc w:val="both"/>
        <w:rPr>
          <w:rFonts w:ascii="Times New Roman" w:hAnsi="Times New Roman"/>
          <w:lang w:val="ro-RO"/>
        </w:rPr>
      </w:pPr>
      <w:r w:rsidRPr="00A73566">
        <w:rPr>
          <w:rFonts w:ascii="Times New Roman" w:hAnsi="Times New Roman"/>
          <w:lang w:val="ro-RO"/>
        </w:rPr>
        <w:t>Sarcina principală a activităților de consolidare a terenurilor agricole este îmbunătăţirea structurilor agricole prin reducerea fragmentării terenurilor şi sporirea dimensiunilor gospodăriilor agricole. În Europa unul din instrumentele principale de implementare a proiectelor de dezvoltare a infrastructurii publice şi protecţie a mediului înconjurător îl reprezintă consolidarea terenurilor agricole, cu o abordare echilibrată a intereselor agricole, arhitectura peisajeră, restabilirea și conservarea mediului.</w:t>
      </w:r>
    </w:p>
    <w:p w14:paraId="5E959451" w14:textId="77777777" w:rsidR="00B32CEC" w:rsidRPr="00A73566" w:rsidRDefault="00B32CEC" w:rsidP="00313433">
      <w:pPr>
        <w:pStyle w:val="1"/>
        <w:spacing w:after="0" w:line="240" w:lineRule="auto"/>
        <w:ind w:left="0" w:right="-1" w:firstLine="567"/>
        <w:jc w:val="both"/>
        <w:rPr>
          <w:rFonts w:ascii="Times New Roman" w:hAnsi="Times New Roman"/>
          <w:lang w:val="ro-RO"/>
        </w:rPr>
      </w:pPr>
      <w:r w:rsidRPr="00A73566">
        <w:rPr>
          <w:rFonts w:ascii="Times New Roman" w:hAnsi="Times New Roman"/>
          <w:lang w:val="ro-RO"/>
        </w:rPr>
        <w:t>Pentru a soluționa probleme de fragmentare a terenurilor agricole şi a dimensiunilor mici ale gospodăriilor agricole, este necesar de stimularea consolidării terenurilor agricole.</w:t>
      </w:r>
    </w:p>
    <w:p w14:paraId="473A3631" w14:textId="41B93938" w:rsidR="00B32CEC" w:rsidRDefault="00B32CEC" w:rsidP="00A73566">
      <w:pPr>
        <w:pStyle w:val="1"/>
        <w:spacing w:after="0"/>
        <w:ind w:left="0" w:right="-1"/>
        <w:rPr>
          <w:rFonts w:ascii="Times New Roman" w:hAnsi="Times New Roman"/>
          <w:lang w:val="ro-RO"/>
        </w:rPr>
      </w:pPr>
      <w:r w:rsidRPr="00A73566">
        <w:rPr>
          <w:rFonts w:ascii="Times New Roman" w:hAnsi="Times New Roman"/>
          <w:lang w:val="ro-RO"/>
        </w:rPr>
        <w:t>În rezultatul consolidării terenurilor agricole se vor crea condiţii pentru agricultura durabilă şi dezvoltarea durabilă a comunităţilor, utilizarea durabilă a resurselor naturale, conservarea biodiversităţii, agroecosistemelor şi patrimoniului cultural și planificarea raţională a dezvoltării infrastructurii din sectorul rural.</w:t>
      </w:r>
    </w:p>
    <w:p w14:paraId="53C4B6B5" w14:textId="77777777" w:rsidR="00313433" w:rsidRPr="00A73566" w:rsidRDefault="00313433" w:rsidP="00A73566">
      <w:pPr>
        <w:pStyle w:val="1"/>
        <w:spacing w:after="0"/>
        <w:ind w:left="0" w:right="-1"/>
        <w:rPr>
          <w:rFonts w:ascii="Times New Roman" w:hAnsi="Times New Roman"/>
          <w:lang w:val="ro-RO"/>
        </w:rPr>
      </w:pPr>
    </w:p>
    <w:p w14:paraId="1F3DDD81" w14:textId="77777777" w:rsidR="00B32CEC" w:rsidRPr="00A73566" w:rsidRDefault="00B32CEC" w:rsidP="00F662AC">
      <w:pPr>
        <w:contextualSpacing/>
        <w:rPr>
          <w:rStyle w:val="Strong"/>
          <w:rFonts w:ascii="Times New Roman" w:hAnsi="Times New Roman" w:cs="Times New Roman"/>
          <w:b w:val="0"/>
          <w:i/>
          <w:iCs/>
          <w:color w:val="auto"/>
          <w:lang w:val="ro-RO"/>
        </w:rPr>
      </w:pPr>
      <w:r w:rsidRPr="00A73566">
        <w:rPr>
          <w:rFonts w:ascii="Times New Roman" w:hAnsi="Times New Roman" w:cs="Times New Roman"/>
          <w:i/>
          <w:iCs/>
          <w:lang w:val="ro-RO"/>
        </w:rPr>
        <w:t>Managmentul durabil al resurselor de sol în agricultură</w:t>
      </w:r>
    </w:p>
    <w:p w14:paraId="23676054" w14:textId="272CED25" w:rsidR="00B32CEC" w:rsidRPr="00A73566" w:rsidRDefault="00B32CEC" w:rsidP="00313433">
      <w:pPr>
        <w:pStyle w:val="NormalWeb"/>
        <w:spacing w:before="0" w:beforeAutospacing="0" w:after="0" w:afterAutospacing="0"/>
        <w:ind w:firstLine="567"/>
        <w:jc w:val="both"/>
        <w:rPr>
          <w:rStyle w:val="Strong"/>
          <w:b w:val="0"/>
          <w:bCs/>
          <w:color w:val="auto"/>
          <w:sz w:val="22"/>
          <w:szCs w:val="22"/>
          <w:lang w:val="ro-RO"/>
        </w:rPr>
      </w:pPr>
      <w:r w:rsidRPr="00A73566">
        <w:rPr>
          <w:rStyle w:val="Strong"/>
          <w:b w:val="0"/>
          <w:bCs/>
          <w:color w:val="auto"/>
          <w:sz w:val="22"/>
          <w:szCs w:val="22"/>
          <w:lang w:val="ro-RO"/>
        </w:rPr>
        <w:t>În ultimii ani, s</w:t>
      </w:r>
      <w:r w:rsidR="00FF2B36">
        <w:rPr>
          <w:rStyle w:val="Strong"/>
          <w:b w:val="0"/>
          <w:bCs/>
          <w:color w:val="auto"/>
          <w:sz w:val="22"/>
          <w:szCs w:val="22"/>
          <w:lang w:val="ro-RO"/>
        </w:rPr>
        <w:t>olurile cu fertilitate înaltă sâ</w:t>
      </w:r>
      <w:r w:rsidRPr="00A73566">
        <w:rPr>
          <w:rStyle w:val="Strong"/>
          <w:b w:val="0"/>
          <w:bCs/>
          <w:color w:val="auto"/>
          <w:sz w:val="22"/>
          <w:szCs w:val="22"/>
          <w:lang w:val="ro-RO"/>
        </w:rPr>
        <w:t xml:space="preserve">nt supuse tot mai intensiv degradării din </w:t>
      </w:r>
      <w:r w:rsidR="00FF2B36">
        <w:rPr>
          <w:rStyle w:val="Strong"/>
          <w:b w:val="0"/>
          <w:bCs/>
          <w:color w:val="auto"/>
          <w:sz w:val="22"/>
          <w:szCs w:val="22"/>
          <w:lang w:val="ro-RO"/>
        </w:rPr>
        <w:t>cauza micşorării suprafeţelor fâ</w:t>
      </w:r>
      <w:r w:rsidRPr="00A73566">
        <w:rPr>
          <w:rStyle w:val="Strong"/>
          <w:b w:val="0"/>
          <w:bCs/>
          <w:color w:val="auto"/>
          <w:sz w:val="22"/>
          <w:szCs w:val="22"/>
          <w:lang w:val="ro-RO"/>
        </w:rPr>
        <w:t xml:space="preserve">șiilor forestiere de protecţie, cataclizmelor naturale, utilizării iraţionale a resurselor funciare, ignorării metodelor ştiinţifico fundamentale de cultivare a culturilor agricole şi alţi factori, ceea ce a condus la o scădere esenţială a capacităţii productive a solurilor. </w:t>
      </w:r>
    </w:p>
    <w:p w14:paraId="481693CE" w14:textId="4DFEA14B" w:rsidR="00B32CEC" w:rsidRPr="00A73566" w:rsidRDefault="00B32CEC" w:rsidP="00F662AC">
      <w:pPr>
        <w:suppressAutoHyphens/>
        <w:spacing w:after="0"/>
        <w:rPr>
          <w:rFonts w:ascii="Times New Roman" w:hAnsi="Times New Roman" w:cs="Times New Roman"/>
          <w:lang w:val="ro-RO" w:eastAsia="ar-SA"/>
        </w:rPr>
      </w:pPr>
      <w:r w:rsidRPr="00A73566">
        <w:rPr>
          <w:rFonts w:ascii="Times New Roman" w:hAnsi="Times New Roman" w:cs="Times New Roman"/>
          <w:lang w:val="ro-RO" w:eastAsia="ar-SA"/>
        </w:rPr>
        <w:t xml:space="preserve">Fenomenul degradării solurilor continuă să reprezinte o provocare majoră pentru economia și sectorul agricol al Republicii Moldova. Spre deosebire de alte resurse naturale, dar și de alte mijloace de producție, solul are un caracter nereproductiv și inextensibil, astfel protecția și folosirea rațională a acestuia, sporirea fertilității lui, dar și restabilirea terenurilor agricole degradate constituie o exigență iminentă atât pentru sectorul agricol, cât și pentru domeniul protecției mediului. </w:t>
      </w:r>
    </w:p>
    <w:p w14:paraId="4FE72E69" w14:textId="577E38B8" w:rsidR="00B32CEC" w:rsidRPr="00A73566" w:rsidRDefault="00B32CEC" w:rsidP="00F662AC">
      <w:pPr>
        <w:pStyle w:val="NormalWeb"/>
        <w:spacing w:before="0" w:beforeAutospacing="0" w:after="0" w:afterAutospacing="0"/>
        <w:jc w:val="both"/>
        <w:rPr>
          <w:b/>
          <w:lang w:val="ro-RO"/>
        </w:rPr>
      </w:pPr>
      <w:r w:rsidRPr="00A73566">
        <w:rPr>
          <w:lang w:val="ro-RO" w:eastAsia="ar-SA"/>
        </w:rPr>
        <w:t>Pe lângă factorii naturali și antropici ce afectează negativ și ireversibil funcțiile și calitatea solului în ultimele decenii</w:t>
      </w:r>
      <w:r w:rsidRPr="00A73566">
        <w:rPr>
          <w:rStyle w:val="Strong"/>
          <w:b w:val="0"/>
          <w:bCs/>
          <w:color w:val="auto"/>
          <w:sz w:val="22"/>
          <w:szCs w:val="22"/>
          <w:lang w:val="ro-RO"/>
        </w:rPr>
        <w:t xml:space="preserve"> </w:t>
      </w:r>
      <w:r w:rsidRPr="00A73566">
        <w:rPr>
          <w:sz w:val="22"/>
          <w:szCs w:val="22"/>
          <w:lang w:val="ro-RO"/>
        </w:rPr>
        <w:t xml:space="preserve">s-au intensificat toate procesele şi formele de degradare a solului. Cele mai grave forme ce au condus la micşorarea capacităţii de producţie sau la deteriorarea învelişului de sol </w:t>
      </w:r>
      <w:r w:rsidR="00FF2B36">
        <w:rPr>
          <w:rStyle w:val="Strong"/>
          <w:b w:val="0"/>
          <w:bCs/>
          <w:color w:val="auto"/>
          <w:sz w:val="22"/>
          <w:szCs w:val="22"/>
          <w:lang w:val="ro-RO"/>
        </w:rPr>
        <w:t>sâ</w:t>
      </w:r>
      <w:r w:rsidRPr="00A73566">
        <w:rPr>
          <w:rStyle w:val="Strong"/>
          <w:b w:val="0"/>
          <w:bCs/>
          <w:color w:val="auto"/>
          <w:sz w:val="22"/>
          <w:szCs w:val="22"/>
          <w:lang w:val="ro-RO"/>
        </w:rPr>
        <w:t>nt cauzate de proc</w:t>
      </w:r>
      <w:r w:rsidR="00FF2B36">
        <w:rPr>
          <w:rStyle w:val="Strong"/>
          <w:b w:val="0"/>
          <w:bCs/>
          <w:color w:val="auto"/>
          <w:sz w:val="22"/>
          <w:szCs w:val="22"/>
          <w:lang w:val="ro-RO"/>
        </w:rPr>
        <w:t>esele de eroziune prin apă şi vâ</w:t>
      </w:r>
      <w:r w:rsidRPr="00A73566">
        <w:rPr>
          <w:rStyle w:val="Strong"/>
          <w:b w:val="0"/>
          <w:bCs/>
          <w:color w:val="auto"/>
          <w:sz w:val="22"/>
          <w:szCs w:val="22"/>
          <w:lang w:val="ro-RO"/>
        </w:rPr>
        <w:t xml:space="preserve">nt, umeditate excesivă, salanizare, alcalinizare, alunecări de teren etc. </w:t>
      </w:r>
    </w:p>
    <w:p w14:paraId="72EC5F50" w14:textId="77777777" w:rsidR="00B32CEC" w:rsidRPr="00A73566" w:rsidRDefault="00B32CEC" w:rsidP="00313433">
      <w:pPr>
        <w:pStyle w:val="NoSpacing"/>
        <w:ind w:firstLine="567"/>
        <w:jc w:val="both"/>
        <w:rPr>
          <w:rFonts w:ascii="Times New Roman" w:hAnsi="Times New Roman" w:cs="Times New Roman"/>
        </w:rPr>
      </w:pPr>
      <w:r w:rsidRPr="00A73566">
        <w:rPr>
          <w:rFonts w:ascii="Times New Roman" w:hAnsi="Times New Roman" w:cs="Times New Roman"/>
        </w:rPr>
        <w:t xml:space="preserve">Conform datelor instituțiilor științifice din domeniul solului, starea actuală a învelişului de sol este nesatisfăcătoare pe circa 50 % din terenurile agricole și critică pe circa 10%. </w:t>
      </w:r>
    </w:p>
    <w:p w14:paraId="711172DA" w14:textId="77777777" w:rsidR="00B32CEC" w:rsidRPr="00A73566" w:rsidRDefault="00B32CEC" w:rsidP="00F662AC">
      <w:pPr>
        <w:pStyle w:val="NoSpacing"/>
        <w:jc w:val="both"/>
        <w:rPr>
          <w:rFonts w:ascii="Times New Roman" w:hAnsi="Times New Roman" w:cs="Times New Roman"/>
        </w:rPr>
      </w:pPr>
      <w:r w:rsidRPr="00A73566">
        <w:rPr>
          <w:rFonts w:ascii="Times New Roman" w:hAnsi="Times New Roman" w:cs="Times New Roman"/>
        </w:rPr>
        <w:t xml:space="preserve">Protecţia, ameliorarea şi utilizarea durabilă a solurilor devine unul dintre principalele obiective strategice în politica statului. Degradarea solurilor terenurilor agricole de calitate superioară provoacă prejudicii enorme domeniului agricol. </w:t>
      </w:r>
    </w:p>
    <w:p w14:paraId="456FF986" w14:textId="77777777" w:rsidR="00B32CEC" w:rsidRPr="00A73566" w:rsidRDefault="00B32CEC" w:rsidP="00F662AC">
      <w:pPr>
        <w:spacing w:after="0"/>
        <w:rPr>
          <w:rFonts w:ascii="Times New Roman" w:hAnsi="Times New Roman" w:cs="Times New Roman"/>
          <w:lang w:val="ro-RO"/>
        </w:rPr>
      </w:pPr>
      <w:r w:rsidRPr="00A73566">
        <w:rPr>
          <w:rFonts w:ascii="Times New Roman" w:hAnsi="Times New Roman" w:cs="Times New Roman"/>
          <w:lang w:val="ro-RO"/>
        </w:rPr>
        <w:t xml:space="preserve">Conform informației din Cadastrul funciar suprafața terenurilor cu destinație agricolă constituie, pentru anul 2008 – 1 939 114 ha, iar pentru anul 2019 – 2 019 359 ha. Iar suprafața terenurilor erodate conform informației Î.S. „IPOT” în anul 2008 constituia circa 877 644 ha, iar în anul 2019 – circa 1 015 693 ha, atestându-se o creștere de circa 16 %. </w:t>
      </w:r>
    </w:p>
    <w:p w14:paraId="73C46BE8" w14:textId="485AB6FD" w:rsidR="00B32CEC" w:rsidRPr="00A73566" w:rsidRDefault="00B32CEC" w:rsidP="00313433">
      <w:pPr>
        <w:spacing w:after="0"/>
        <w:ind w:firstLine="567"/>
        <w:rPr>
          <w:rFonts w:ascii="Times New Roman" w:hAnsi="Times New Roman" w:cs="Times New Roman"/>
          <w:lang w:val="ro-RO"/>
        </w:rPr>
      </w:pPr>
      <w:r w:rsidRPr="00A73566">
        <w:rPr>
          <w:rFonts w:ascii="Times New Roman" w:hAnsi="Times New Roman" w:cs="Times New Roman"/>
          <w:lang w:val="ro-RO"/>
        </w:rPr>
        <w:t>Cauzele principale ale degradării solului sunt: nerespectarea rotației culturilor în asolamente, reducerea culturilor furajere și leguminoase, reducerea utilizării îngrășămintelor organice și minerale, lucrarea necorespunzătoare a solului, modificarea condiţiilor hidrologice, defrişarea pădurilor și a fâșiilor de protecție a câmpurilor</w:t>
      </w:r>
      <w:r w:rsidRPr="00A73566">
        <w:rPr>
          <w:rFonts w:ascii="Times New Roman" w:hAnsi="Times New Roman" w:cs="Times New Roman"/>
          <w:shd w:val="clear" w:color="auto" w:fill="FFFFFF"/>
          <w:lang w:val="ro-RO"/>
        </w:rPr>
        <w:t xml:space="preserve">, </w:t>
      </w:r>
      <w:r w:rsidRPr="00A73566">
        <w:rPr>
          <w:rFonts w:ascii="Times New Roman" w:hAnsi="Times New Roman" w:cs="Times New Roman"/>
          <w:lang w:val="ro-RO"/>
        </w:rPr>
        <w:t xml:space="preserve">gestionarea necorespunzătoare a pășunilor și utilizarea necorespunzătoare a </w:t>
      </w:r>
      <w:r w:rsidR="00313433">
        <w:rPr>
          <w:rFonts w:ascii="Times New Roman" w:hAnsi="Times New Roman" w:cs="Times New Roman"/>
          <w:lang w:val="ro-RO"/>
        </w:rPr>
        <w:t>utilajelor grele în agricultură.</w:t>
      </w:r>
    </w:p>
    <w:p w14:paraId="516CA881" w14:textId="77777777" w:rsidR="00B32CEC" w:rsidRPr="00A73566" w:rsidRDefault="00B32CEC" w:rsidP="00313433">
      <w:pPr>
        <w:spacing w:after="0"/>
        <w:ind w:firstLine="567"/>
        <w:rPr>
          <w:rFonts w:ascii="Times New Roman" w:hAnsi="Times New Roman" w:cs="Times New Roman"/>
          <w:lang w:val="ro-RO"/>
        </w:rPr>
      </w:pPr>
      <w:r w:rsidRPr="00A73566">
        <w:rPr>
          <w:rFonts w:ascii="Times New Roman" w:hAnsi="Times New Roman" w:cs="Times New Roman"/>
          <w:lang w:val="ro-RO"/>
        </w:rPr>
        <w:t>Datele instituțiilor științifice din domeniul solului</w:t>
      </w:r>
      <w:r w:rsidRPr="00A73566">
        <w:rPr>
          <w:rFonts w:ascii="Times New Roman" w:hAnsi="Times New Roman" w:cs="Times New Roman"/>
          <w:shd w:val="clear" w:color="auto" w:fill="FFFFFF"/>
          <w:lang w:val="ro-RO"/>
        </w:rPr>
        <w:t xml:space="preserve"> stabilesc cele mai avansate forme de degradare a solurilor și anume: soluri cu eroziune în adâncime (ravene), soluri afectate de alunecări active, soluri cu exces permanent de umiditate, soluri soloneţizate şi salinizate, soluri și biocenoze afectate și distruse (degradate biologic), soluri distruse prin lucrări de excavare, soluri colmatate cu depozite de pedolit slab humifere, soluri compactate și soluri desfundate.</w:t>
      </w:r>
    </w:p>
    <w:p w14:paraId="50893534" w14:textId="696C6663" w:rsidR="00B32CEC" w:rsidRPr="00A73566" w:rsidRDefault="00B32CEC" w:rsidP="00313433">
      <w:pPr>
        <w:spacing w:after="0"/>
        <w:ind w:firstLine="567"/>
        <w:rPr>
          <w:rFonts w:ascii="Times New Roman" w:hAnsi="Times New Roman" w:cs="Times New Roman"/>
          <w:b/>
          <w:lang w:val="ro-RO"/>
        </w:rPr>
      </w:pPr>
      <w:r w:rsidRPr="00A73566">
        <w:rPr>
          <w:rFonts w:ascii="Times New Roman" w:hAnsi="Times New Roman" w:cs="Times New Roman"/>
          <w:lang w:val="ro-RO"/>
        </w:rPr>
        <w:t xml:space="preserve">Cea mai avansată formă de degradare </w:t>
      </w:r>
      <w:r w:rsidR="00313433">
        <w:rPr>
          <w:rFonts w:ascii="Times New Roman" w:hAnsi="Times New Roman" w:cs="Times New Roman"/>
          <w:lang w:val="ro-RO"/>
        </w:rPr>
        <w:t xml:space="preserve">o reprezintă </w:t>
      </w:r>
      <w:r w:rsidRPr="00A73566">
        <w:rPr>
          <w:rFonts w:ascii="Times New Roman" w:hAnsi="Times New Roman" w:cs="Times New Roman"/>
          <w:bCs/>
          <w:i/>
          <w:lang w:val="ro-RO"/>
        </w:rPr>
        <w:t>solurile cu eroziune în adâncime</w:t>
      </w:r>
      <w:r w:rsidRPr="00A73566">
        <w:rPr>
          <w:rFonts w:ascii="Times New Roman" w:hAnsi="Times New Roman" w:cs="Times New Roman"/>
          <w:bCs/>
          <w:lang w:val="ro-RO"/>
        </w:rPr>
        <w:t xml:space="preserve"> </w:t>
      </w:r>
      <w:r w:rsidRPr="00A73566">
        <w:rPr>
          <w:rFonts w:ascii="Times New Roman" w:hAnsi="Times New Roman" w:cs="Times New Roman"/>
          <w:lang w:val="ro-RO"/>
        </w:rPr>
        <w:t xml:space="preserve">– prin ravene. O metodă efectivă de combatere a eroziunii de adâncime este împădurirea și aplicarea unor măsuri hidrotehnice simple. </w:t>
      </w:r>
    </w:p>
    <w:p w14:paraId="3ACAEBA6" w14:textId="77777777" w:rsidR="00B32CEC" w:rsidRPr="00A73566" w:rsidRDefault="00B32CEC" w:rsidP="00313433">
      <w:pPr>
        <w:pStyle w:val="NoSpacing"/>
        <w:ind w:firstLine="567"/>
        <w:jc w:val="both"/>
        <w:rPr>
          <w:rFonts w:ascii="Times New Roman" w:hAnsi="Times New Roman" w:cs="Times New Roman"/>
        </w:rPr>
      </w:pPr>
      <w:r w:rsidRPr="00A73566">
        <w:rPr>
          <w:rFonts w:ascii="Times New Roman" w:hAnsi="Times New Roman" w:cs="Times New Roman"/>
          <w:bCs/>
        </w:rPr>
        <w:t xml:space="preserve">Ce ține de </w:t>
      </w:r>
      <w:r w:rsidRPr="00A73566">
        <w:rPr>
          <w:rFonts w:ascii="Times New Roman" w:hAnsi="Times New Roman" w:cs="Times New Roman"/>
          <w:bCs/>
          <w:i/>
        </w:rPr>
        <w:t>soluri afectate de alunecări active</w:t>
      </w:r>
      <w:r w:rsidRPr="00A73566">
        <w:rPr>
          <w:rFonts w:ascii="Times New Roman" w:hAnsi="Times New Roman" w:cs="Times New Roman"/>
          <w:bCs/>
        </w:rPr>
        <w:t xml:space="preserve">, acestea </w:t>
      </w:r>
      <w:r w:rsidRPr="00A73566">
        <w:rPr>
          <w:rFonts w:ascii="Times New Roman" w:hAnsi="Times New Roman" w:cs="Times New Roman"/>
        </w:rPr>
        <w:t>deterioreză complet sau parțială învelișul de sol. Cea mai simplă și eficientă soluție este împădurirea terenurilor.</w:t>
      </w:r>
    </w:p>
    <w:p w14:paraId="15BF1E64" w14:textId="77777777" w:rsidR="00B32CEC" w:rsidRPr="00A73566" w:rsidRDefault="00B32CEC" w:rsidP="00F662AC">
      <w:pPr>
        <w:pStyle w:val="NoSpacing"/>
        <w:jc w:val="both"/>
        <w:rPr>
          <w:rFonts w:ascii="Times New Roman" w:hAnsi="Times New Roman" w:cs="Times New Roman"/>
        </w:rPr>
      </w:pPr>
      <w:r w:rsidRPr="00A73566">
        <w:rPr>
          <w:rFonts w:ascii="Times New Roman" w:hAnsi="Times New Roman" w:cs="Times New Roman"/>
        </w:rPr>
        <w:t xml:space="preserve">Formarea și evoluția solurilor nealuviale </w:t>
      </w:r>
      <w:r w:rsidRPr="00A73566">
        <w:rPr>
          <w:rFonts w:ascii="Times New Roman" w:hAnsi="Times New Roman" w:cs="Times New Roman"/>
          <w:i/>
        </w:rPr>
        <w:t>cu exces permanent de umiditate</w:t>
      </w:r>
      <w:r w:rsidRPr="00A73566">
        <w:rPr>
          <w:rFonts w:ascii="Times New Roman" w:hAnsi="Times New Roman" w:cs="Times New Roman"/>
        </w:rPr>
        <w:t xml:space="preserve"> este condiționată de stagnarea îndelungată a apelor pluviale, apariția la suprafață a izvoarelor de coastă sau a apelor pedofreatice. Pentru ameliorarea acestora sunt necesare efectuarea lucrărilor de desecare prin canale deschise, menținerea apelor freatice sub nivelul critic prin amenajarea drenajului subteran și drenarea-desecarea terenurilor cu exces de apă combinat (pluvial și freatic). În rezultat, </w:t>
      </w:r>
      <w:r w:rsidRPr="00A73566">
        <w:rPr>
          <w:rFonts w:ascii="Times New Roman" w:hAnsi="Times New Roman" w:cs="Times New Roman"/>
          <w:bCs/>
        </w:rPr>
        <w:t xml:space="preserve">solurile cu exces permanent de umiditate </w:t>
      </w:r>
      <w:r w:rsidRPr="00A73566">
        <w:rPr>
          <w:rFonts w:ascii="Times New Roman" w:hAnsi="Times New Roman" w:cs="Times New Roman"/>
        </w:rPr>
        <w:t>duc la scăderea recoltei, salinizarea secundară și reducerea productivității solurilor.</w:t>
      </w:r>
    </w:p>
    <w:p w14:paraId="5FFDA90F" w14:textId="0E23F339" w:rsidR="00B32CEC" w:rsidRPr="00A73566" w:rsidRDefault="00B32CEC" w:rsidP="00313433">
      <w:pPr>
        <w:pStyle w:val="NoSpacing"/>
        <w:ind w:firstLine="567"/>
        <w:jc w:val="both"/>
        <w:rPr>
          <w:rFonts w:ascii="Times New Roman" w:hAnsi="Times New Roman" w:cs="Times New Roman"/>
        </w:rPr>
      </w:pPr>
      <w:r w:rsidRPr="00A73566">
        <w:rPr>
          <w:rFonts w:ascii="Times New Roman" w:hAnsi="Times New Roman" w:cs="Times New Roman"/>
        </w:rPr>
        <w:t>Soluri</w:t>
      </w:r>
      <w:r w:rsidR="00313433">
        <w:rPr>
          <w:rFonts w:ascii="Times New Roman" w:hAnsi="Times New Roman" w:cs="Times New Roman"/>
        </w:rPr>
        <w:t>le afectate de săruri este cauza</w:t>
      </w:r>
      <w:r w:rsidRPr="00A73566">
        <w:rPr>
          <w:rFonts w:ascii="Times New Roman" w:hAnsi="Times New Roman" w:cs="Times New Roman"/>
        </w:rPr>
        <w:t xml:space="preserve"> principală a deşertificării şi este o formă gravă de degradare a solului. Solurile solonețizate și solonețurile necesită o ameliorare chimică costisitoare, însoțită de construcții de drenaj în luncile râurilor. </w:t>
      </w:r>
    </w:p>
    <w:p w14:paraId="214B9046" w14:textId="77777777" w:rsidR="00B32CEC" w:rsidRPr="00A73566" w:rsidRDefault="00B32CEC" w:rsidP="00F662AC">
      <w:pPr>
        <w:pStyle w:val="NoSpacing"/>
        <w:jc w:val="both"/>
        <w:rPr>
          <w:rFonts w:ascii="Times New Roman" w:hAnsi="Times New Roman" w:cs="Times New Roman"/>
        </w:rPr>
      </w:pPr>
      <w:r w:rsidRPr="00A73566">
        <w:rPr>
          <w:rFonts w:ascii="Times New Roman" w:hAnsi="Times New Roman" w:cs="Times New Roman"/>
        </w:rPr>
        <w:t>Exploatarea intensivă a terenurilor arabile duc la d</w:t>
      </w:r>
      <w:r w:rsidRPr="00A73566">
        <w:rPr>
          <w:rFonts w:ascii="Times New Roman" w:hAnsi="Times New Roman" w:cs="Times New Roman"/>
          <w:bCs/>
        </w:rPr>
        <w:t xml:space="preserve">egradarea biologică a solului apare ca </w:t>
      </w:r>
      <w:r w:rsidRPr="00A73566">
        <w:rPr>
          <w:rFonts w:ascii="Times New Roman" w:hAnsi="Times New Roman" w:cs="Times New Roman"/>
        </w:rPr>
        <w:t>rezultat al degradării fizice, chimice și altor forme de degradare, care au un impact major asupra distrugerii structurii și reducerii capacității de producere a solurilor.</w:t>
      </w:r>
    </w:p>
    <w:p w14:paraId="6AEA8F84" w14:textId="77777777" w:rsidR="00B32CEC" w:rsidRPr="00A73566" w:rsidRDefault="00B32CEC" w:rsidP="00F662AC">
      <w:pPr>
        <w:pStyle w:val="NoSpacing"/>
        <w:jc w:val="both"/>
        <w:rPr>
          <w:rFonts w:ascii="Times New Roman" w:eastAsia="Times New Roman" w:hAnsi="Times New Roman" w:cs="Times New Roman"/>
          <w:bCs/>
        </w:rPr>
      </w:pPr>
      <w:r w:rsidRPr="00A73566">
        <w:rPr>
          <w:rFonts w:ascii="Times New Roman" w:hAnsi="Times New Roman" w:cs="Times New Roman"/>
          <w:bCs/>
        </w:rPr>
        <w:t xml:space="preserve">De asemenea, eroziunea prin apă provoacă spălarea pedolitului de pe versanți și acumularea lui pe glacisurile versanților și în depresiuni (vâlcele, văgăuni, văi) și, în consecință, duce la degradarea și reducerea capacității lor productive. </w:t>
      </w:r>
    </w:p>
    <w:p w14:paraId="2BD53678" w14:textId="2CDFE1CE" w:rsidR="0004254E" w:rsidRDefault="0004254E" w:rsidP="00F662A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lang w:val="ro-RO"/>
        </w:rPr>
      </w:pPr>
      <w:r w:rsidRPr="00A73566">
        <w:rPr>
          <w:rFonts w:ascii="Times New Roman" w:eastAsia="Calibri" w:hAnsi="Times New Roman" w:cs="Times New Roman"/>
          <w:lang w:val="ro-RO"/>
        </w:rPr>
        <w:t>Solurile afectate de săruri este cauza principală a deșertificării şi este o formă gravă de degradare a solului. Solurile solonețizate și solonețurile necesită o ameliorare chimică costisitoare și construcții de drenaj în luncile râurilor. Exploatarea intensivă a terenurilor arabile duce la d</w:t>
      </w:r>
      <w:r w:rsidRPr="00A73566">
        <w:rPr>
          <w:rFonts w:ascii="Times New Roman" w:eastAsia="Calibri" w:hAnsi="Times New Roman" w:cs="Times New Roman"/>
          <w:bCs/>
          <w:lang w:val="ro-RO"/>
        </w:rPr>
        <w:t xml:space="preserve">egradarea biologică a solului, </w:t>
      </w:r>
      <w:r w:rsidRPr="00A73566">
        <w:rPr>
          <w:rFonts w:ascii="Times New Roman" w:eastAsia="Calibri" w:hAnsi="Times New Roman" w:cs="Times New Roman"/>
          <w:lang w:val="ro-RO"/>
        </w:rPr>
        <w:t>reducându-i capacitatea de producere.</w:t>
      </w:r>
    </w:p>
    <w:p w14:paraId="2F3B5568" w14:textId="77777777" w:rsidR="00313433" w:rsidRPr="00A73566" w:rsidRDefault="00313433" w:rsidP="00F662A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lang w:val="ro-RO"/>
        </w:rPr>
      </w:pPr>
    </w:p>
    <w:p w14:paraId="46BD17F4" w14:textId="77777777" w:rsidR="00284BC6" w:rsidRDefault="00284BC6" w:rsidP="00313433">
      <w:pPr>
        <w:pStyle w:val="NoSpacing"/>
        <w:ind w:firstLine="567"/>
        <w:jc w:val="both"/>
        <w:rPr>
          <w:rFonts w:ascii="Times New Roman" w:hAnsi="Times New Roman" w:cs="Times New Roman"/>
        </w:rPr>
      </w:pPr>
      <w:r w:rsidRPr="00A73566">
        <w:rPr>
          <w:rFonts w:ascii="Times New Roman" w:hAnsi="Times New Roman" w:cs="Times New Roman"/>
        </w:rPr>
        <w:t>Pentru a avea efecte pozitive asupra resurselor de sol este necesar de:</w:t>
      </w:r>
    </w:p>
    <w:p w14:paraId="4E265297" w14:textId="77777777" w:rsidR="00313433" w:rsidRPr="00A73566" w:rsidRDefault="00313433" w:rsidP="00313433">
      <w:pPr>
        <w:pStyle w:val="NoSpacing"/>
        <w:ind w:firstLine="567"/>
        <w:jc w:val="both"/>
        <w:rPr>
          <w:rFonts w:ascii="Times New Roman" w:hAnsi="Times New Roman" w:cs="Times New Roman"/>
        </w:rPr>
      </w:pPr>
    </w:p>
    <w:p w14:paraId="5F4CD344" w14:textId="09085782" w:rsidR="00284BC6" w:rsidRPr="00A73566" w:rsidRDefault="00313433" w:rsidP="00FF2B36">
      <w:pPr>
        <w:pStyle w:val="NoSpacing"/>
        <w:numPr>
          <w:ilvl w:val="0"/>
          <w:numId w:val="27"/>
        </w:numPr>
        <w:jc w:val="both"/>
        <w:rPr>
          <w:rFonts w:ascii="Times New Roman" w:hAnsi="Times New Roman" w:cs="Times New Roman"/>
          <w:shd w:val="clear" w:color="auto" w:fill="FFFFFF"/>
        </w:rPr>
      </w:pPr>
      <w:r>
        <w:rPr>
          <w:rFonts w:ascii="Times New Roman" w:hAnsi="Times New Roman" w:cs="Times New Roman"/>
          <w:shd w:val="clear" w:color="auto" w:fill="FFFFFF"/>
        </w:rPr>
        <w:t>A</w:t>
      </w:r>
      <w:r w:rsidR="00284BC6" w:rsidRPr="00A73566">
        <w:rPr>
          <w:rFonts w:ascii="Times New Roman" w:hAnsi="Times New Roman" w:cs="Times New Roman"/>
          <w:shd w:val="clear" w:color="auto" w:fill="FFFFFF"/>
        </w:rPr>
        <w:t xml:space="preserve"> proteja solul împotriva acțiunii mecanice a apei și a vântului (categorie care cuprinde complexul de lucrări de prevenire și combatere (control) a eroziunii solului);</w:t>
      </w:r>
    </w:p>
    <w:p w14:paraId="2151B990" w14:textId="6551519D" w:rsidR="00284BC6" w:rsidRPr="00A73566" w:rsidRDefault="00313433" w:rsidP="00FF2B36">
      <w:pPr>
        <w:pStyle w:val="NoSpacing"/>
        <w:numPr>
          <w:ilvl w:val="0"/>
          <w:numId w:val="27"/>
        </w:numPr>
        <w:jc w:val="both"/>
        <w:rPr>
          <w:rFonts w:ascii="Times New Roman" w:hAnsi="Times New Roman" w:cs="Times New Roman"/>
          <w:shd w:val="clear" w:color="auto" w:fill="FFFFFF"/>
        </w:rPr>
      </w:pPr>
      <w:r>
        <w:rPr>
          <w:rFonts w:ascii="Times New Roman" w:hAnsi="Times New Roman" w:cs="Times New Roman"/>
          <w:shd w:val="clear" w:color="auto" w:fill="FFFFFF"/>
        </w:rPr>
        <w:t>A</w:t>
      </w:r>
      <w:r w:rsidR="00284BC6" w:rsidRPr="00A73566">
        <w:rPr>
          <w:rFonts w:ascii="Times New Roman" w:hAnsi="Times New Roman" w:cs="Times New Roman"/>
          <w:shd w:val="clear" w:color="auto" w:fill="FFFFFF"/>
        </w:rPr>
        <w:t xml:space="preserve"> reface (a completa) deficitul de umiditate în sol (categorie care cuprinde irigațiile);</w:t>
      </w:r>
    </w:p>
    <w:p w14:paraId="57488554" w14:textId="63E309AE"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shd w:val="clear" w:color="auto" w:fill="FFFFFF"/>
        </w:rPr>
        <w:t>A</w:t>
      </w:r>
      <w:r w:rsidR="00284BC6" w:rsidRPr="00A73566">
        <w:rPr>
          <w:rFonts w:ascii="Times New Roman" w:hAnsi="Times New Roman" w:cs="Times New Roman"/>
          <w:shd w:val="clear" w:color="auto" w:fill="FFFFFF"/>
        </w:rPr>
        <w:t xml:space="preserve"> preveni sau a elimina excesul de apă din sol, de la suprafața acestuia (categorie în care se încadrează desecarea și drenajul);</w:t>
      </w:r>
    </w:p>
    <w:p w14:paraId="142FD451" w14:textId="0580BDC6" w:rsidR="00284BC6" w:rsidRPr="00A73566" w:rsidRDefault="00313433" w:rsidP="00FF2B36">
      <w:pPr>
        <w:pStyle w:val="NoSpacing"/>
        <w:numPr>
          <w:ilvl w:val="0"/>
          <w:numId w:val="27"/>
        </w:numPr>
        <w:jc w:val="both"/>
        <w:rPr>
          <w:rFonts w:ascii="Times New Roman" w:hAnsi="Times New Roman" w:cs="Times New Roman"/>
          <w:shd w:val="clear" w:color="auto" w:fill="FFFFFF"/>
        </w:rPr>
      </w:pPr>
      <w:r>
        <w:rPr>
          <w:rFonts w:ascii="Times New Roman" w:hAnsi="Times New Roman" w:cs="Times New Roman"/>
          <w:shd w:val="clear" w:color="auto" w:fill="FFFFFF"/>
        </w:rPr>
        <w:t>A</w:t>
      </w:r>
      <w:r w:rsidR="00284BC6" w:rsidRPr="00A73566">
        <w:rPr>
          <w:rFonts w:ascii="Times New Roman" w:hAnsi="Times New Roman" w:cs="Times New Roman"/>
          <w:shd w:val="clear" w:color="auto" w:fill="FFFFFF"/>
        </w:rPr>
        <w:t xml:space="preserve"> restabili solurile (categorie în care se încadrează lucrările de construcție și exploatare a obiectelor hidrotehnice, lucrările de decopertare selectivă şi de copertare a terenurilor deteriorate sau degradate, lucrările de ameliorare a solurilor alcalice și saline);</w:t>
      </w:r>
    </w:p>
    <w:p w14:paraId="09F0D104" w14:textId="21E82A19"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P</w:t>
      </w:r>
      <w:r w:rsidR="00284BC6" w:rsidRPr="00A73566">
        <w:rPr>
          <w:rFonts w:ascii="Times New Roman" w:hAnsi="Times New Roman" w:cs="Times New Roman"/>
        </w:rPr>
        <w:t>ractici de lucrări de conservare a solului;</w:t>
      </w:r>
    </w:p>
    <w:p w14:paraId="768F32A8" w14:textId="3DFF1BDD"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C</w:t>
      </w:r>
      <w:r w:rsidR="00284BC6" w:rsidRPr="00A73566">
        <w:rPr>
          <w:rFonts w:ascii="Times New Roman" w:hAnsi="Times New Roman" w:cs="Times New Roman"/>
        </w:rPr>
        <w:t>ulturi de acoperire a solului în timpul iernii;</w:t>
      </w:r>
    </w:p>
    <w:p w14:paraId="6E975DAD" w14:textId="742F468E"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A</w:t>
      </w:r>
      <w:r w:rsidR="00284BC6" w:rsidRPr="00A73566">
        <w:rPr>
          <w:rFonts w:ascii="Times New Roman" w:hAnsi="Times New Roman" w:cs="Times New Roman"/>
        </w:rPr>
        <w:t>menajarea şi menţinerea zonelor-tampon cultivate cu iarbă;</w:t>
      </w:r>
    </w:p>
    <w:p w14:paraId="3FF19F6C" w14:textId="67ACCFDA"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C</w:t>
      </w:r>
      <w:r w:rsidR="00284BC6" w:rsidRPr="00A73566">
        <w:rPr>
          <w:rFonts w:ascii="Times New Roman" w:hAnsi="Times New Roman" w:cs="Times New Roman"/>
        </w:rPr>
        <w:t>onstruirea/reconstrucția pe terenurile agricole irigate a câmpurilor în pantă;</w:t>
      </w:r>
    </w:p>
    <w:p w14:paraId="337DC987" w14:textId="2A890F6A"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U</w:t>
      </w:r>
      <w:r w:rsidR="00284BC6" w:rsidRPr="00A73566">
        <w:rPr>
          <w:rFonts w:ascii="Times New Roman" w:hAnsi="Times New Roman" w:cs="Times New Roman"/>
        </w:rPr>
        <w:t>tilizarea materialului organogen (gunoiul de grajd natural);</w:t>
      </w:r>
    </w:p>
    <w:p w14:paraId="7BA90AF8" w14:textId="7DCF0A43" w:rsidR="00284BC6" w:rsidRPr="00A7356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C</w:t>
      </w:r>
      <w:r w:rsidR="00284BC6" w:rsidRPr="00A73566">
        <w:rPr>
          <w:rFonts w:ascii="Times New Roman" w:hAnsi="Times New Roman" w:cs="Times New Roman"/>
        </w:rPr>
        <w:t>onversia către agricultura ecologică;</w:t>
      </w:r>
    </w:p>
    <w:p w14:paraId="0457A9AC" w14:textId="73FEB87C" w:rsidR="00284BC6" w:rsidRDefault="00313433" w:rsidP="00FF2B36">
      <w:pPr>
        <w:pStyle w:val="NoSpacing"/>
        <w:numPr>
          <w:ilvl w:val="0"/>
          <w:numId w:val="27"/>
        </w:numPr>
        <w:jc w:val="both"/>
        <w:rPr>
          <w:rFonts w:ascii="Times New Roman" w:hAnsi="Times New Roman" w:cs="Times New Roman"/>
        </w:rPr>
      </w:pPr>
      <w:r>
        <w:rPr>
          <w:rFonts w:ascii="Times New Roman" w:hAnsi="Times New Roman" w:cs="Times New Roman"/>
        </w:rPr>
        <w:t>R</w:t>
      </w:r>
      <w:r w:rsidR="00284BC6" w:rsidRPr="00A73566">
        <w:rPr>
          <w:rFonts w:ascii="Times New Roman" w:hAnsi="Times New Roman" w:cs="Times New Roman"/>
        </w:rPr>
        <w:t>otaţia culturilor şi sporirea efectivului de animale.</w:t>
      </w:r>
    </w:p>
    <w:p w14:paraId="12483580" w14:textId="77777777" w:rsidR="00313433" w:rsidRPr="00A73566" w:rsidRDefault="00313433" w:rsidP="00313433">
      <w:pPr>
        <w:pStyle w:val="NoSpacing"/>
        <w:ind w:left="1146"/>
        <w:jc w:val="both"/>
        <w:rPr>
          <w:rFonts w:ascii="Times New Roman" w:hAnsi="Times New Roman" w:cs="Times New Roman"/>
        </w:rPr>
      </w:pPr>
    </w:p>
    <w:p w14:paraId="144820E9" w14:textId="4D951794" w:rsidR="00781CB7" w:rsidRPr="00A73566" w:rsidRDefault="002E19D6" w:rsidP="00313433">
      <w:pPr>
        <w:spacing w:after="0"/>
        <w:ind w:firstLine="567"/>
        <w:rPr>
          <w:rFonts w:ascii="Times New Roman" w:hAnsi="Times New Roman" w:cs="Times New Roman"/>
          <w:lang w:val="ro-RO"/>
        </w:rPr>
      </w:pPr>
      <w:r>
        <w:rPr>
          <w:rFonts w:ascii="Times New Roman" w:hAnsi="Times New Roman" w:cs="Times New Roman"/>
          <w:lang w:val="ro-RO"/>
        </w:rPr>
        <w:t>În ultime</w:t>
      </w:r>
      <w:r w:rsidR="00F662AC" w:rsidRPr="00A73566">
        <w:rPr>
          <w:rFonts w:ascii="Times New Roman" w:hAnsi="Times New Roman" w:cs="Times New Roman"/>
          <w:lang w:val="ro-RO"/>
        </w:rPr>
        <w:t>le 3 decenii evoluția suprafețelor însămânțate în totalul suprafețelor agricole a înregistrat distorsiuni semnificative</w:t>
      </w:r>
      <w:r w:rsidR="00B848E5" w:rsidRPr="00A73566">
        <w:rPr>
          <w:rFonts w:ascii="Times New Roman" w:hAnsi="Times New Roman" w:cs="Times New Roman"/>
          <w:lang w:val="ro-RO"/>
        </w:rPr>
        <w:t>, în care creșterile au alternat curent cu descreșterile.</w:t>
      </w:r>
    </w:p>
    <w:p w14:paraId="06DEFAD3" w14:textId="296CC77B" w:rsidR="00B848E5" w:rsidRPr="00D74E73" w:rsidRDefault="006B32D4" w:rsidP="000D0ED7">
      <w:pPr>
        <w:pStyle w:val="Caption"/>
        <w:framePr w:wrap="around"/>
        <w:jc w:val="both"/>
        <w:rPr>
          <w:rFonts w:ascii="Times New Roman" w:hAnsi="Times New Roman" w:cs="Times New Roman"/>
          <w:sz w:val="18"/>
          <w:szCs w:val="18"/>
          <w:lang w:val="ro-RO"/>
        </w:rPr>
      </w:pPr>
      <w:bookmarkStart w:id="91" w:name="_Toc84501621"/>
      <w:r w:rsidRPr="00D74E73">
        <w:rPr>
          <w:rFonts w:ascii="Times New Roman" w:hAnsi="Times New Roman" w:cs="Times New Roman"/>
          <w:sz w:val="18"/>
          <w:szCs w:val="18"/>
          <w:lang w:val="ro-RO"/>
        </w:rPr>
        <w:t xml:space="preserve">Figura </w:t>
      </w:r>
      <w:r w:rsidR="000F10F9" w:rsidRPr="00D74E73">
        <w:rPr>
          <w:rFonts w:ascii="Times New Roman" w:hAnsi="Times New Roman" w:cs="Times New Roman"/>
          <w:sz w:val="18"/>
          <w:szCs w:val="18"/>
          <w:lang w:val="ro-RO"/>
        </w:rPr>
        <w:t>1</w:t>
      </w:r>
      <w:r w:rsidR="00D545A8" w:rsidRPr="00D74E73">
        <w:rPr>
          <w:rFonts w:ascii="Times New Roman" w:hAnsi="Times New Roman" w:cs="Times New Roman"/>
          <w:sz w:val="18"/>
          <w:szCs w:val="18"/>
          <w:lang w:val="ro-RO"/>
        </w:rPr>
        <w:t>1</w:t>
      </w:r>
      <w:r w:rsidRPr="00D74E73">
        <w:rPr>
          <w:rFonts w:ascii="Times New Roman" w:hAnsi="Times New Roman" w:cs="Times New Roman"/>
          <w:sz w:val="18"/>
          <w:szCs w:val="18"/>
          <w:lang w:val="ro-RO"/>
        </w:rPr>
        <w:t xml:space="preserve">. </w:t>
      </w:r>
      <w:r w:rsidR="00B848E5" w:rsidRPr="00D74E73">
        <w:rPr>
          <w:rFonts w:ascii="Times New Roman" w:hAnsi="Times New Roman" w:cs="Times New Roman"/>
          <w:sz w:val="18"/>
          <w:szCs w:val="18"/>
          <w:lang w:val="ro-RO"/>
        </w:rPr>
        <w:t>Suprafețele însămânțate din Republica Moldova (1993-2020)</w:t>
      </w:r>
      <w:bookmarkEnd w:id="91"/>
    </w:p>
    <w:p w14:paraId="334919B7" w14:textId="26424C54" w:rsidR="00B848E5" w:rsidRPr="00A73566" w:rsidRDefault="00C12527" w:rsidP="00B848E5">
      <w:pPr>
        <w:rPr>
          <w:rFonts w:ascii="Times New Roman" w:hAnsi="Times New Roman" w:cs="Times New Roman"/>
          <w:lang w:val="ro-RO"/>
        </w:rPr>
      </w:pPr>
      <w:r w:rsidRPr="00A73566">
        <w:rPr>
          <w:rFonts w:ascii="Times New Roman" w:hAnsi="Times New Roman" w:cs="Times New Roman"/>
          <w:noProof/>
          <w:lang w:val="en-US"/>
        </w:rPr>
        <w:drawing>
          <wp:inline distT="0" distB="0" distL="0" distR="0" wp14:anchorId="41BB7746" wp14:editId="40DEBCDC">
            <wp:extent cx="5660758" cy="2091446"/>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95148" cy="2214991"/>
                    </a:xfrm>
                    <a:prstGeom prst="rect">
                      <a:avLst/>
                    </a:prstGeom>
                    <a:noFill/>
                  </pic:spPr>
                </pic:pic>
              </a:graphicData>
            </a:graphic>
          </wp:inline>
        </w:drawing>
      </w:r>
    </w:p>
    <w:p w14:paraId="69F96EA1" w14:textId="6A0D9B24" w:rsidR="00B61E86" w:rsidRPr="00D74E73" w:rsidRDefault="00B848E5" w:rsidP="00B848E5">
      <w:pPr>
        <w:rPr>
          <w:rFonts w:ascii="Times New Roman" w:hAnsi="Times New Roman" w:cs="Times New Roman"/>
          <w:color w:val="BFBFBF" w:themeColor="background1" w:themeShade="BF"/>
          <w:sz w:val="18"/>
          <w:szCs w:val="18"/>
          <w:lang w:val="ro-RO"/>
        </w:rPr>
      </w:pPr>
      <w:r w:rsidRPr="00D74E73">
        <w:rPr>
          <w:rFonts w:ascii="Times New Roman" w:hAnsi="Times New Roman" w:cs="Times New Roman"/>
          <w:bCs/>
          <w:color w:val="BFBFBF" w:themeColor="background1" w:themeShade="BF"/>
          <w:sz w:val="18"/>
          <w:szCs w:val="18"/>
          <w:lang w:val="ro-RO"/>
        </w:rPr>
        <w:t>Sursa</w:t>
      </w:r>
      <w:r w:rsidR="00781CB7" w:rsidRPr="00D74E73">
        <w:rPr>
          <w:rFonts w:ascii="Times New Roman" w:hAnsi="Times New Roman" w:cs="Times New Roman"/>
          <w:bCs/>
          <w:color w:val="BFBFBF" w:themeColor="background1" w:themeShade="BF"/>
          <w:sz w:val="18"/>
          <w:szCs w:val="18"/>
          <w:lang w:val="ro-RO"/>
        </w:rPr>
        <w:t>:</w:t>
      </w:r>
      <w:r w:rsidR="00781CB7" w:rsidRPr="00D74E73">
        <w:rPr>
          <w:rFonts w:ascii="Times New Roman" w:hAnsi="Times New Roman" w:cs="Times New Roman"/>
          <w:b/>
          <w:color w:val="BFBFBF" w:themeColor="background1" w:themeShade="BF"/>
          <w:sz w:val="18"/>
          <w:szCs w:val="18"/>
          <w:lang w:val="ro-RO"/>
        </w:rPr>
        <w:t xml:space="preserve"> </w:t>
      </w:r>
      <w:r w:rsidR="00B61E86" w:rsidRPr="00D74E73">
        <w:rPr>
          <w:rFonts w:ascii="Times New Roman" w:hAnsi="Times New Roman" w:cs="Times New Roman"/>
          <w:color w:val="BFBFBF" w:themeColor="background1" w:themeShade="BF"/>
          <w:sz w:val="18"/>
          <w:szCs w:val="18"/>
          <w:lang w:val="ro-RO"/>
        </w:rPr>
        <w:t>BNS</w:t>
      </w:r>
    </w:p>
    <w:p w14:paraId="17107D37" w14:textId="646D2191" w:rsidR="00551210" w:rsidRPr="00A73566" w:rsidRDefault="00551210" w:rsidP="00313433">
      <w:pPr>
        <w:ind w:firstLine="567"/>
        <w:rPr>
          <w:rFonts w:ascii="Times New Roman" w:hAnsi="Times New Roman" w:cs="Times New Roman"/>
          <w:lang w:val="ro-RO"/>
        </w:rPr>
      </w:pPr>
      <w:bookmarkStart w:id="92" w:name="_Toc84501615"/>
      <w:r w:rsidRPr="00A73566">
        <w:rPr>
          <w:rFonts w:ascii="Times New Roman" w:hAnsi="Times New Roman" w:cs="Times New Roman"/>
          <w:lang w:val="ro-RO"/>
        </w:rPr>
        <w:t>Cele mai semnificative constatări legate de dinamica suprafețelor agricole se referă la:</w:t>
      </w:r>
    </w:p>
    <w:p w14:paraId="6EA0561C" w14:textId="77777777" w:rsidR="00551210" w:rsidRPr="00A73566" w:rsidRDefault="00551210" w:rsidP="00E720EE">
      <w:pPr>
        <w:pStyle w:val="ListParagraph"/>
        <w:numPr>
          <w:ilvl w:val="0"/>
          <w:numId w:val="7"/>
        </w:num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color w:val="auto"/>
          <w:lang w:val="ro-RO"/>
        </w:rPr>
      </w:pPr>
      <w:r w:rsidRPr="00A73566">
        <w:rPr>
          <w:rFonts w:ascii="Times New Roman" w:eastAsia="Calibri" w:hAnsi="Times New Roman" w:cs="Times New Roman"/>
          <w:color w:val="auto"/>
          <w:lang w:val="ro-RO"/>
        </w:rPr>
        <w:t>Reducerea cu cca 13.6%, a suprafețelor însămânțate în perioada 1993-2020, în condițiile unei relative stabilități a suprafeței însămânțate cu cereale și leguminoase – boabe (+5%) și o creștere importantă a suprafețelor plantate cu culturi tehnice (+75.5%);</w:t>
      </w:r>
    </w:p>
    <w:p w14:paraId="181453AE" w14:textId="77777777" w:rsidR="00551210" w:rsidRPr="00A73566" w:rsidRDefault="00551210" w:rsidP="00E720EE">
      <w:pPr>
        <w:pStyle w:val="ListParagraph"/>
        <w:numPr>
          <w:ilvl w:val="0"/>
          <w:numId w:val="7"/>
        </w:num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color w:val="auto"/>
          <w:lang w:val="ro-RO"/>
        </w:rPr>
      </w:pPr>
      <w:r w:rsidRPr="00A73566">
        <w:rPr>
          <w:rFonts w:ascii="Times New Roman" w:eastAsia="Calibri" w:hAnsi="Times New Roman" w:cs="Times New Roman"/>
          <w:color w:val="auto"/>
          <w:lang w:val="ro-RO"/>
        </w:rPr>
        <w:t>Cadrul culturilor tehnice unde se atestă o creștere puternică (de peste 3 ori) a suprafețelor plantate cu floarea soarelui și o reducere semnificativă (de aproximativ 6 ori) a suprafețelor de sfeclă de zahăr (de la 83 mii ha în 1993 la 14 mii ha în 2020);</w:t>
      </w:r>
    </w:p>
    <w:p w14:paraId="3F7C34C0" w14:textId="369A916F" w:rsidR="003C09DD" w:rsidRPr="00C22682" w:rsidRDefault="00551210" w:rsidP="003C09DD">
      <w:pPr>
        <w:pStyle w:val="ListParagraph"/>
        <w:numPr>
          <w:ilvl w:val="0"/>
          <w:numId w:val="7"/>
        </w:num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color w:val="auto"/>
          <w:lang w:val="ro-RO"/>
        </w:rPr>
      </w:pPr>
      <w:r w:rsidRPr="00A73566">
        <w:rPr>
          <w:rFonts w:ascii="Times New Roman" w:eastAsia="Calibri" w:hAnsi="Times New Roman" w:cs="Times New Roman"/>
          <w:color w:val="auto"/>
          <w:lang w:val="ro-RO"/>
        </w:rPr>
        <w:t>Dinamica specifică pe categorii de culturi agricole pentru perioadă de referință unde se detașează creșterea celor mai preponderente suprafețe plantate cu culturi tehnice (+75.7%) și cu cereale și leguminoase (+5%)</w:t>
      </w:r>
      <w:r w:rsidR="00240A6A" w:rsidRPr="00A73566">
        <w:rPr>
          <w:rFonts w:ascii="Times New Roman" w:eastAsia="Calibri" w:hAnsi="Times New Roman" w:cs="Times New Roman"/>
          <w:color w:val="auto"/>
          <w:lang w:val="ro-RO"/>
        </w:rPr>
        <w:t>.</w:t>
      </w:r>
    </w:p>
    <w:p w14:paraId="73DD7DE5" w14:textId="16AF644D" w:rsidR="00A56BBF" w:rsidRPr="00D74E73" w:rsidRDefault="00A56BBF" w:rsidP="000D0ED7">
      <w:pPr>
        <w:pStyle w:val="Caption"/>
        <w:framePr w:wrap="around"/>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 xml:space="preserve">Tabelul </w:t>
      </w:r>
      <w:r w:rsidRPr="00D74E73">
        <w:rPr>
          <w:rFonts w:ascii="Times New Roman" w:hAnsi="Times New Roman" w:cs="Times New Roman"/>
          <w:sz w:val="18"/>
          <w:szCs w:val="18"/>
          <w:lang w:val="ro-RO"/>
        </w:rPr>
        <w:fldChar w:fldCharType="begin"/>
      </w:r>
      <w:r w:rsidRPr="00D74E73">
        <w:rPr>
          <w:rFonts w:ascii="Times New Roman" w:hAnsi="Times New Roman" w:cs="Times New Roman"/>
          <w:sz w:val="18"/>
          <w:szCs w:val="18"/>
          <w:lang w:val="ro-RO"/>
        </w:rPr>
        <w:instrText xml:space="preserve"> SEQ Tabelul \* ARABIC </w:instrText>
      </w:r>
      <w:r w:rsidRPr="00D74E73">
        <w:rPr>
          <w:rFonts w:ascii="Times New Roman" w:hAnsi="Times New Roman" w:cs="Times New Roman"/>
          <w:sz w:val="18"/>
          <w:szCs w:val="18"/>
          <w:lang w:val="ro-RO"/>
        </w:rPr>
        <w:fldChar w:fldCharType="separate"/>
      </w:r>
      <w:r w:rsidR="009A2BC5" w:rsidRPr="00D74E73">
        <w:rPr>
          <w:rFonts w:ascii="Times New Roman" w:hAnsi="Times New Roman" w:cs="Times New Roman"/>
          <w:noProof/>
          <w:sz w:val="18"/>
          <w:szCs w:val="18"/>
          <w:lang w:val="ro-RO"/>
        </w:rPr>
        <w:t>1</w:t>
      </w:r>
      <w:r w:rsidRPr="00D74E73">
        <w:rPr>
          <w:rFonts w:ascii="Times New Roman" w:hAnsi="Times New Roman" w:cs="Times New Roman"/>
          <w:sz w:val="18"/>
          <w:szCs w:val="18"/>
          <w:lang w:val="ro-RO"/>
        </w:rPr>
        <w:fldChar w:fldCharType="end"/>
      </w:r>
      <w:r w:rsidRPr="00D74E73">
        <w:rPr>
          <w:rFonts w:ascii="Times New Roman" w:hAnsi="Times New Roman" w:cs="Times New Roman"/>
          <w:sz w:val="18"/>
          <w:szCs w:val="18"/>
          <w:lang w:val="ro-RO"/>
        </w:rPr>
        <w:t>.</w:t>
      </w:r>
      <w:r w:rsidR="00230456" w:rsidRPr="00D74E73">
        <w:rPr>
          <w:rFonts w:ascii="Times New Roman" w:hAnsi="Times New Roman" w:cs="Times New Roman"/>
          <w:sz w:val="18"/>
          <w:szCs w:val="18"/>
          <w:lang w:val="ro-RO"/>
        </w:rPr>
        <w:t xml:space="preserve"> Ritmul de creștere a suprafeșelor culturilor agricole, %</w:t>
      </w:r>
      <w:bookmarkEnd w:id="92"/>
    </w:p>
    <w:tbl>
      <w:tblPr>
        <w:tblStyle w:val="Civittatable"/>
        <w:tblW w:w="9674" w:type="dxa"/>
        <w:tblInd w:w="-5" w:type="dxa"/>
        <w:tblLook w:val="04A0" w:firstRow="1" w:lastRow="0" w:firstColumn="1" w:lastColumn="0" w:noHBand="0" w:noVBand="1"/>
      </w:tblPr>
      <w:tblGrid>
        <w:gridCol w:w="5360"/>
        <w:gridCol w:w="4314"/>
      </w:tblGrid>
      <w:tr w:rsidR="00B848E5" w:rsidRPr="00A73566" w14:paraId="27D4F92C" w14:textId="77777777" w:rsidTr="00C22682">
        <w:trPr>
          <w:cnfStyle w:val="100000000000" w:firstRow="1" w:lastRow="0" w:firstColumn="0" w:lastColumn="0" w:oddVBand="0" w:evenVBand="0" w:oddHBand="0" w:evenHBand="0" w:firstRowFirstColumn="0" w:firstRowLastColumn="0" w:lastRowFirstColumn="0" w:lastRowLastColumn="0"/>
          <w:trHeight w:val="175"/>
        </w:trPr>
        <w:tc>
          <w:tcPr>
            <w:tcW w:w="5360" w:type="dxa"/>
            <w:noWrap/>
            <w:hideMark/>
          </w:tcPr>
          <w:p w14:paraId="58330A13" w14:textId="77777777" w:rsidR="00B848E5" w:rsidRPr="002E19D6" w:rsidRDefault="00B848E5" w:rsidP="003A7E15">
            <w:pPr>
              <w:spacing w:after="0"/>
              <w:jc w:val="center"/>
              <w:rPr>
                <w:rFonts w:ascii="Times New Roman" w:eastAsia="Times New Roman" w:hAnsi="Times New Roman" w:cs="Times New Roman"/>
                <w:b/>
                <w:iCs/>
                <w:sz w:val="18"/>
                <w:szCs w:val="18"/>
                <w:lang w:val="ro-RO"/>
              </w:rPr>
            </w:pPr>
            <w:r w:rsidRPr="002E19D6">
              <w:rPr>
                <w:rFonts w:ascii="Times New Roman" w:eastAsia="Times New Roman" w:hAnsi="Times New Roman" w:cs="Times New Roman"/>
                <w:b/>
                <w:iCs/>
                <w:sz w:val="18"/>
                <w:szCs w:val="18"/>
                <w:lang w:val="ro-RO"/>
              </w:rPr>
              <w:t>Culturi agricole</w:t>
            </w:r>
          </w:p>
        </w:tc>
        <w:tc>
          <w:tcPr>
            <w:tcW w:w="4314" w:type="dxa"/>
            <w:noWrap/>
            <w:hideMark/>
          </w:tcPr>
          <w:p w14:paraId="39164EAC" w14:textId="77777777" w:rsidR="00B848E5" w:rsidRPr="002E19D6" w:rsidRDefault="00B848E5" w:rsidP="003A7E15">
            <w:pPr>
              <w:spacing w:after="0"/>
              <w:jc w:val="center"/>
              <w:rPr>
                <w:rFonts w:ascii="Times New Roman" w:eastAsia="Times New Roman" w:hAnsi="Times New Roman" w:cs="Times New Roman"/>
                <w:b/>
                <w:iCs/>
                <w:sz w:val="18"/>
                <w:szCs w:val="18"/>
                <w:lang w:val="ro-RO"/>
              </w:rPr>
            </w:pPr>
            <w:r w:rsidRPr="002E19D6">
              <w:rPr>
                <w:rFonts w:ascii="Times New Roman" w:eastAsia="Times New Roman" w:hAnsi="Times New Roman" w:cs="Times New Roman"/>
                <w:b/>
                <w:iCs/>
                <w:sz w:val="18"/>
                <w:szCs w:val="18"/>
                <w:lang w:val="ro-RO"/>
              </w:rPr>
              <w:t>Ritmul (%)</w:t>
            </w:r>
          </w:p>
        </w:tc>
      </w:tr>
      <w:tr w:rsidR="00B848E5" w:rsidRPr="00A73566" w14:paraId="6583CAED" w14:textId="77777777" w:rsidTr="00C22682">
        <w:trPr>
          <w:cnfStyle w:val="000000100000" w:firstRow="0" w:lastRow="0" w:firstColumn="0" w:lastColumn="0" w:oddVBand="0" w:evenVBand="0" w:oddHBand="1" w:evenHBand="0" w:firstRowFirstColumn="0" w:firstRowLastColumn="0" w:lastRowFirstColumn="0" w:lastRowLastColumn="0"/>
          <w:trHeight w:val="175"/>
        </w:trPr>
        <w:tc>
          <w:tcPr>
            <w:tcW w:w="5360" w:type="dxa"/>
            <w:noWrap/>
          </w:tcPr>
          <w:p w14:paraId="3067DAE9" w14:textId="77777777"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Suprafața însămânțata</w:t>
            </w:r>
          </w:p>
        </w:tc>
        <w:tc>
          <w:tcPr>
            <w:tcW w:w="4314" w:type="dxa"/>
            <w:noWrap/>
          </w:tcPr>
          <w:p w14:paraId="1B45F2E4"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-13.6%</w:t>
            </w:r>
          </w:p>
        </w:tc>
      </w:tr>
      <w:tr w:rsidR="00B848E5" w:rsidRPr="00A73566" w14:paraId="79F60C38" w14:textId="77777777" w:rsidTr="00C22682">
        <w:trPr>
          <w:cnfStyle w:val="000000010000" w:firstRow="0" w:lastRow="0" w:firstColumn="0" w:lastColumn="0" w:oddVBand="0" w:evenVBand="0" w:oddHBand="0" w:evenHBand="1" w:firstRowFirstColumn="0" w:firstRowLastColumn="0" w:lastRowFirstColumn="0" w:lastRowLastColumn="0"/>
          <w:trHeight w:val="175"/>
        </w:trPr>
        <w:tc>
          <w:tcPr>
            <w:tcW w:w="5360" w:type="dxa"/>
            <w:noWrap/>
            <w:hideMark/>
          </w:tcPr>
          <w:p w14:paraId="0C0CC57C" w14:textId="77777777"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 xml:space="preserve">Cereale si leguminoase - boabe </w:t>
            </w:r>
          </w:p>
        </w:tc>
        <w:tc>
          <w:tcPr>
            <w:tcW w:w="4314" w:type="dxa"/>
            <w:noWrap/>
            <w:hideMark/>
          </w:tcPr>
          <w:p w14:paraId="6100E24A"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5.0%</w:t>
            </w:r>
          </w:p>
        </w:tc>
      </w:tr>
      <w:tr w:rsidR="00B848E5" w:rsidRPr="00A73566" w14:paraId="34D2FD16" w14:textId="77777777" w:rsidTr="00C22682">
        <w:trPr>
          <w:cnfStyle w:val="000000100000" w:firstRow="0" w:lastRow="0" w:firstColumn="0" w:lastColumn="0" w:oddVBand="0" w:evenVBand="0" w:oddHBand="1" w:evenHBand="0" w:firstRowFirstColumn="0" w:firstRowLastColumn="0" w:lastRowFirstColumn="0" w:lastRowLastColumn="0"/>
          <w:trHeight w:val="175"/>
        </w:trPr>
        <w:tc>
          <w:tcPr>
            <w:tcW w:w="5360" w:type="dxa"/>
            <w:noWrap/>
            <w:hideMark/>
          </w:tcPr>
          <w:p w14:paraId="6F3FAA4A" w14:textId="77777777"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Culturi tehnice</w:t>
            </w:r>
          </w:p>
        </w:tc>
        <w:tc>
          <w:tcPr>
            <w:tcW w:w="4314" w:type="dxa"/>
            <w:noWrap/>
            <w:hideMark/>
          </w:tcPr>
          <w:p w14:paraId="7874D316"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75.7%</w:t>
            </w:r>
          </w:p>
        </w:tc>
      </w:tr>
      <w:tr w:rsidR="00B848E5" w:rsidRPr="00A73566" w14:paraId="1820D03C" w14:textId="77777777" w:rsidTr="00C22682">
        <w:trPr>
          <w:cnfStyle w:val="000000010000" w:firstRow="0" w:lastRow="0" w:firstColumn="0" w:lastColumn="0" w:oddVBand="0" w:evenVBand="0" w:oddHBand="0" w:evenHBand="1" w:firstRowFirstColumn="0" w:firstRowLastColumn="0" w:lastRowFirstColumn="0" w:lastRowLastColumn="0"/>
          <w:trHeight w:val="175"/>
        </w:trPr>
        <w:tc>
          <w:tcPr>
            <w:tcW w:w="5360" w:type="dxa"/>
            <w:noWrap/>
            <w:hideMark/>
          </w:tcPr>
          <w:p w14:paraId="1D4405D8" w14:textId="77777777"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Cartofi, legume si bostănoase</w:t>
            </w:r>
          </w:p>
        </w:tc>
        <w:tc>
          <w:tcPr>
            <w:tcW w:w="4314" w:type="dxa"/>
            <w:noWrap/>
            <w:hideMark/>
          </w:tcPr>
          <w:p w14:paraId="55A0E292"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-19.2%</w:t>
            </w:r>
          </w:p>
        </w:tc>
      </w:tr>
      <w:tr w:rsidR="00B848E5" w:rsidRPr="00A73566" w14:paraId="2A18BF6D" w14:textId="77777777" w:rsidTr="00C22682">
        <w:trPr>
          <w:cnfStyle w:val="000000100000" w:firstRow="0" w:lastRow="0" w:firstColumn="0" w:lastColumn="0" w:oddVBand="0" w:evenVBand="0" w:oddHBand="1" w:evenHBand="0" w:firstRowFirstColumn="0" w:firstRowLastColumn="0" w:lastRowFirstColumn="0" w:lastRowLastColumn="0"/>
          <w:trHeight w:val="175"/>
        </w:trPr>
        <w:tc>
          <w:tcPr>
            <w:tcW w:w="5360" w:type="dxa"/>
            <w:noWrap/>
            <w:hideMark/>
          </w:tcPr>
          <w:p w14:paraId="3DE1556E" w14:textId="77777777"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Legume</w:t>
            </w:r>
          </w:p>
        </w:tc>
        <w:tc>
          <w:tcPr>
            <w:tcW w:w="4314" w:type="dxa"/>
            <w:noWrap/>
            <w:hideMark/>
          </w:tcPr>
          <w:p w14:paraId="08972951"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-56.1%</w:t>
            </w:r>
          </w:p>
        </w:tc>
      </w:tr>
      <w:tr w:rsidR="00B848E5" w:rsidRPr="00A73566" w14:paraId="49DD18A4" w14:textId="77777777" w:rsidTr="00C22682">
        <w:trPr>
          <w:cnfStyle w:val="000000010000" w:firstRow="0" w:lastRow="0" w:firstColumn="0" w:lastColumn="0" w:oddVBand="0" w:evenVBand="0" w:oddHBand="0" w:evenHBand="1" w:firstRowFirstColumn="0" w:firstRowLastColumn="0" w:lastRowFirstColumn="0" w:lastRowLastColumn="0"/>
          <w:trHeight w:val="175"/>
        </w:trPr>
        <w:tc>
          <w:tcPr>
            <w:tcW w:w="5360" w:type="dxa"/>
            <w:noWrap/>
            <w:hideMark/>
          </w:tcPr>
          <w:p w14:paraId="12747884" w14:textId="454FDC52" w:rsidR="00B848E5" w:rsidRPr="002E19D6" w:rsidRDefault="00B848E5" w:rsidP="003A7E15">
            <w:pPr>
              <w:spacing w:after="0"/>
              <w:jc w:val="left"/>
              <w:rPr>
                <w:rFonts w:ascii="Times New Roman" w:eastAsia="Times New Roman" w:hAnsi="Times New Roman" w:cs="Times New Roman"/>
                <w:b/>
                <w:bCs/>
                <w:color w:val="000000"/>
                <w:sz w:val="18"/>
                <w:szCs w:val="18"/>
                <w:lang w:val="ro-RO"/>
              </w:rPr>
            </w:pPr>
            <w:r w:rsidRPr="002E19D6">
              <w:rPr>
                <w:rFonts w:ascii="Times New Roman" w:eastAsia="Times New Roman" w:hAnsi="Times New Roman" w:cs="Times New Roman"/>
                <w:b/>
                <w:bCs/>
                <w:color w:val="000000"/>
                <w:sz w:val="18"/>
                <w:szCs w:val="18"/>
                <w:lang w:val="ro-RO"/>
              </w:rPr>
              <w:t>Plante de nutreț</w:t>
            </w:r>
          </w:p>
        </w:tc>
        <w:tc>
          <w:tcPr>
            <w:tcW w:w="4314" w:type="dxa"/>
            <w:noWrap/>
            <w:hideMark/>
          </w:tcPr>
          <w:p w14:paraId="1940111C" w14:textId="77777777" w:rsidR="00B848E5" w:rsidRPr="002E19D6" w:rsidRDefault="00B848E5" w:rsidP="00781CB7">
            <w:pPr>
              <w:tabs>
                <w:tab w:val="left" w:pos="736"/>
              </w:tabs>
              <w:spacing w:after="0"/>
              <w:ind w:right="369"/>
              <w:jc w:val="center"/>
              <w:rPr>
                <w:rFonts w:ascii="Times New Roman" w:eastAsia="Times New Roman" w:hAnsi="Times New Roman" w:cs="Times New Roman"/>
                <w:bCs/>
                <w:color w:val="000000"/>
                <w:sz w:val="18"/>
                <w:szCs w:val="18"/>
                <w:lang w:val="ro-RO"/>
              </w:rPr>
            </w:pPr>
            <w:r w:rsidRPr="002E19D6">
              <w:rPr>
                <w:rFonts w:ascii="Times New Roman" w:eastAsia="Times New Roman" w:hAnsi="Times New Roman" w:cs="Times New Roman"/>
                <w:bCs/>
                <w:color w:val="000000"/>
                <w:sz w:val="18"/>
                <w:szCs w:val="18"/>
                <w:lang w:val="ro-RO"/>
              </w:rPr>
              <w:t>-89.1%</w:t>
            </w:r>
          </w:p>
        </w:tc>
      </w:tr>
    </w:tbl>
    <w:p w14:paraId="1B008384" w14:textId="1C412D4D" w:rsidR="003C09DD" w:rsidRPr="00E313DD" w:rsidRDefault="00230456" w:rsidP="00781CB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BFBFBF" w:themeColor="background1" w:themeShade="BF"/>
          <w:sz w:val="18"/>
          <w:szCs w:val="18"/>
          <w:lang w:val="ro-RO"/>
        </w:rPr>
      </w:pPr>
      <w:r w:rsidRPr="00E313DD">
        <w:rPr>
          <w:rFonts w:ascii="Times New Roman" w:hAnsi="Times New Roman" w:cs="Times New Roman"/>
          <w:bCs/>
          <w:color w:val="BFBFBF" w:themeColor="background1" w:themeShade="BF"/>
          <w:sz w:val="18"/>
          <w:szCs w:val="18"/>
          <w:lang w:val="ro-RO"/>
        </w:rPr>
        <w:t>Sursa:</w:t>
      </w:r>
      <w:r w:rsidR="00781CB7" w:rsidRPr="00E313DD">
        <w:rPr>
          <w:rFonts w:ascii="Times New Roman" w:hAnsi="Times New Roman" w:cs="Times New Roman"/>
          <w:color w:val="BFBFBF" w:themeColor="background1" w:themeShade="BF"/>
          <w:sz w:val="18"/>
          <w:szCs w:val="18"/>
          <w:lang w:val="ro-RO"/>
        </w:rPr>
        <w:t xml:space="preserve"> E</w:t>
      </w:r>
      <w:r w:rsidRPr="00E313DD">
        <w:rPr>
          <w:rFonts w:ascii="Times New Roman" w:hAnsi="Times New Roman" w:cs="Times New Roman"/>
          <w:color w:val="BFBFBF" w:themeColor="background1" w:themeShade="BF"/>
          <w:sz w:val="18"/>
          <w:szCs w:val="18"/>
          <w:lang w:val="ro-RO"/>
        </w:rPr>
        <w:t>laborat de autori în baza datelor BNS</w:t>
      </w:r>
    </w:p>
    <w:p w14:paraId="420731A1" w14:textId="0F159F27" w:rsidR="00B848E5" w:rsidRPr="00A73566" w:rsidRDefault="00B848E5" w:rsidP="00313433">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structura suprafețelor agricole predomină cu pondere de cca 62</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2% </w:t>
      </w:r>
      <w:r w:rsidR="00313433">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cereale și leguminoasele, iar cumulat cu culturile tehnice acestea dețin 92</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2% din suprafețele însămânțate.</w:t>
      </w:r>
    </w:p>
    <w:p w14:paraId="6C51F803" w14:textId="67D82E19" w:rsidR="00A56BBF" w:rsidRPr="00D74E73" w:rsidRDefault="00A56BBF" w:rsidP="000D0ED7">
      <w:pPr>
        <w:pStyle w:val="Caption"/>
        <w:framePr w:wrap="around"/>
        <w:jc w:val="both"/>
        <w:rPr>
          <w:rFonts w:ascii="Times New Roman" w:hAnsi="Times New Roman" w:cs="Times New Roman"/>
          <w:sz w:val="18"/>
          <w:szCs w:val="18"/>
          <w:lang w:val="ro-RO"/>
        </w:rPr>
      </w:pPr>
      <w:bookmarkStart w:id="93" w:name="_Toc84501616"/>
      <w:r w:rsidRPr="00D74E73">
        <w:rPr>
          <w:rFonts w:ascii="Times New Roman" w:hAnsi="Times New Roman" w:cs="Times New Roman"/>
          <w:sz w:val="18"/>
          <w:szCs w:val="18"/>
          <w:lang w:val="ro-RO"/>
        </w:rPr>
        <w:t xml:space="preserve">Tabelul </w:t>
      </w:r>
      <w:r w:rsidRPr="00D74E73">
        <w:rPr>
          <w:rFonts w:ascii="Times New Roman" w:hAnsi="Times New Roman" w:cs="Times New Roman"/>
          <w:sz w:val="18"/>
          <w:szCs w:val="18"/>
          <w:lang w:val="ro-RO"/>
        </w:rPr>
        <w:fldChar w:fldCharType="begin"/>
      </w:r>
      <w:r w:rsidRPr="00D74E73">
        <w:rPr>
          <w:rFonts w:ascii="Times New Roman" w:hAnsi="Times New Roman" w:cs="Times New Roman"/>
          <w:sz w:val="18"/>
          <w:szCs w:val="18"/>
          <w:lang w:val="ro-RO"/>
        </w:rPr>
        <w:instrText xml:space="preserve"> SEQ Tabelul \* ARABIC </w:instrText>
      </w:r>
      <w:r w:rsidRPr="00D74E73">
        <w:rPr>
          <w:rFonts w:ascii="Times New Roman" w:hAnsi="Times New Roman" w:cs="Times New Roman"/>
          <w:sz w:val="18"/>
          <w:szCs w:val="18"/>
          <w:lang w:val="ro-RO"/>
        </w:rPr>
        <w:fldChar w:fldCharType="separate"/>
      </w:r>
      <w:r w:rsidR="009A2BC5" w:rsidRPr="00D74E73">
        <w:rPr>
          <w:rFonts w:ascii="Times New Roman" w:hAnsi="Times New Roman" w:cs="Times New Roman"/>
          <w:noProof/>
          <w:sz w:val="18"/>
          <w:szCs w:val="18"/>
          <w:lang w:val="ro-RO"/>
        </w:rPr>
        <w:t>2</w:t>
      </w:r>
      <w:r w:rsidRPr="00D74E73">
        <w:rPr>
          <w:rFonts w:ascii="Times New Roman" w:hAnsi="Times New Roman" w:cs="Times New Roman"/>
          <w:sz w:val="18"/>
          <w:szCs w:val="18"/>
          <w:lang w:val="ro-RO"/>
        </w:rPr>
        <w:fldChar w:fldCharType="end"/>
      </w:r>
      <w:r w:rsidRPr="00D74E73">
        <w:rPr>
          <w:rFonts w:ascii="Times New Roman" w:hAnsi="Times New Roman" w:cs="Times New Roman"/>
          <w:sz w:val="18"/>
          <w:szCs w:val="18"/>
          <w:lang w:val="ro-RO"/>
        </w:rPr>
        <w:t xml:space="preserve">. </w:t>
      </w:r>
      <w:r w:rsidR="00B61E86" w:rsidRPr="00D74E73">
        <w:rPr>
          <w:rFonts w:ascii="Times New Roman" w:hAnsi="Times New Roman" w:cs="Times New Roman"/>
          <w:sz w:val="18"/>
          <w:szCs w:val="18"/>
          <w:lang w:val="ro-RO"/>
        </w:rPr>
        <w:t>Structura suprafețelor agricole, %</w:t>
      </w:r>
      <w:bookmarkEnd w:id="93"/>
    </w:p>
    <w:tbl>
      <w:tblPr>
        <w:tblStyle w:val="Civittatable"/>
        <w:tblW w:w="4987" w:type="pct"/>
        <w:tblInd w:w="-5" w:type="dxa"/>
        <w:tblLayout w:type="fixed"/>
        <w:tblLook w:val="04A0" w:firstRow="1" w:lastRow="0" w:firstColumn="1" w:lastColumn="0" w:noHBand="0" w:noVBand="1"/>
      </w:tblPr>
      <w:tblGrid>
        <w:gridCol w:w="2838"/>
        <w:gridCol w:w="1675"/>
        <w:gridCol w:w="3053"/>
        <w:gridCol w:w="1844"/>
      </w:tblGrid>
      <w:tr w:rsidR="00B848E5" w:rsidRPr="00A73566" w14:paraId="704AC6CF" w14:textId="77777777" w:rsidTr="00313433">
        <w:trPr>
          <w:cnfStyle w:val="100000000000" w:firstRow="1" w:lastRow="0" w:firstColumn="0" w:lastColumn="0" w:oddVBand="0" w:evenVBand="0" w:oddHBand="0" w:evenHBand="0" w:firstRowFirstColumn="0" w:firstRowLastColumn="0" w:lastRowFirstColumn="0" w:lastRowLastColumn="0"/>
          <w:trHeight w:val="260"/>
        </w:trPr>
        <w:tc>
          <w:tcPr>
            <w:tcW w:w="1508" w:type="pct"/>
            <w:noWrap/>
          </w:tcPr>
          <w:p w14:paraId="2907D677" w14:textId="77777777" w:rsidR="00B848E5" w:rsidRPr="00A73566" w:rsidRDefault="00B848E5" w:rsidP="003A7E15">
            <w:pPr>
              <w:spacing w:after="0"/>
              <w:ind w:left="-57" w:right="-57"/>
              <w:rPr>
                <w:rFonts w:ascii="Times New Roman" w:eastAsia="Times New Roman" w:hAnsi="Times New Roman" w:cs="Times New Roman"/>
                <w:b/>
                <w:bCs/>
                <w:sz w:val="22"/>
                <w:lang w:val="ro-RO" w:eastAsia="ro-RO"/>
              </w:rPr>
            </w:pPr>
          </w:p>
        </w:tc>
        <w:tc>
          <w:tcPr>
            <w:tcW w:w="890" w:type="pct"/>
            <w:noWrap/>
          </w:tcPr>
          <w:p w14:paraId="2CBB5911" w14:textId="77777777" w:rsidR="00B848E5" w:rsidRPr="00A73566" w:rsidRDefault="00B848E5" w:rsidP="003A7E15">
            <w:pPr>
              <w:spacing w:after="0"/>
              <w:ind w:left="-57" w:right="-57"/>
              <w:rPr>
                <w:rFonts w:ascii="Times New Roman" w:eastAsia="Times New Roman" w:hAnsi="Times New Roman" w:cs="Times New Roman"/>
                <w:b/>
                <w:bCs/>
                <w:iCs/>
                <w:sz w:val="22"/>
                <w:lang w:val="ro-RO" w:eastAsia="ro-RO"/>
              </w:rPr>
            </w:pPr>
            <w:r w:rsidRPr="00A73566">
              <w:rPr>
                <w:rFonts w:ascii="Times New Roman" w:eastAsia="Times New Roman" w:hAnsi="Times New Roman" w:cs="Times New Roman"/>
                <w:b/>
                <w:bCs/>
                <w:iCs/>
                <w:lang w:val="ro-RO" w:eastAsia="ro-RO"/>
              </w:rPr>
              <w:t>Structura în 2020 (%)</w:t>
            </w:r>
          </w:p>
        </w:tc>
        <w:tc>
          <w:tcPr>
            <w:tcW w:w="1622" w:type="pct"/>
            <w:noWrap/>
          </w:tcPr>
          <w:p w14:paraId="2A549FBE" w14:textId="730D4DA8" w:rsidR="00B848E5" w:rsidRPr="00A73566" w:rsidRDefault="00B848E5" w:rsidP="00EE11F2">
            <w:pPr>
              <w:spacing w:after="0"/>
              <w:ind w:left="-57" w:right="-57"/>
              <w:rPr>
                <w:rFonts w:ascii="Times New Roman" w:eastAsia="Times New Roman" w:hAnsi="Times New Roman" w:cs="Times New Roman"/>
                <w:b/>
                <w:bCs/>
                <w:iCs/>
                <w:sz w:val="22"/>
                <w:lang w:val="ro-RO" w:eastAsia="ro-RO"/>
              </w:rPr>
            </w:pPr>
            <w:r w:rsidRPr="00A73566">
              <w:rPr>
                <w:rFonts w:ascii="Times New Roman" w:eastAsia="Times New Roman" w:hAnsi="Times New Roman" w:cs="Times New Roman"/>
                <w:b/>
                <w:bCs/>
                <w:iCs/>
                <w:lang w:val="ro-RO" w:eastAsia="ro-RO"/>
              </w:rPr>
              <w:t xml:space="preserve">Modificări structurale </w:t>
            </w:r>
            <w:r w:rsidR="00EE11F2" w:rsidRPr="00A73566">
              <w:rPr>
                <w:rFonts w:ascii="Times New Roman" w:eastAsia="Times New Roman" w:hAnsi="Times New Roman" w:cs="Times New Roman"/>
                <w:b/>
                <w:bCs/>
                <w:iCs/>
                <w:lang w:val="ro-RO" w:eastAsia="ro-RO"/>
              </w:rPr>
              <w:t xml:space="preserve"> </w:t>
            </w:r>
            <w:r w:rsidRPr="00A73566">
              <w:rPr>
                <w:rFonts w:ascii="Times New Roman" w:eastAsia="Times New Roman" w:hAnsi="Times New Roman" w:cs="Times New Roman"/>
                <w:b/>
                <w:bCs/>
                <w:iCs/>
                <w:lang w:val="ro-RO" w:eastAsia="ro-RO"/>
              </w:rPr>
              <w:t>2020/1993 (pp)</w:t>
            </w:r>
          </w:p>
        </w:tc>
        <w:tc>
          <w:tcPr>
            <w:tcW w:w="980" w:type="pct"/>
            <w:noWrap/>
          </w:tcPr>
          <w:p w14:paraId="0B810934" w14:textId="77777777" w:rsidR="00B848E5" w:rsidRPr="00A73566" w:rsidRDefault="00B848E5" w:rsidP="003A7E15">
            <w:pPr>
              <w:spacing w:after="0"/>
              <w:ind w:left="-57" w:right="-57"/>
              <w:rPr>
                <w:rFonts w:ascii="Times New Roman" w:eastAsia="Times New Roman" w:hAnsi="Times New Roman" w:cs="Times New Roman"/>
                <w:b/>
                <w:bCs/>
                <w:iCs/>
                <w:sz w:val="22"/>
                <w:lang w:val="ro-RO" w:eastAsia="ro-RO"/>
              </w:rPr>
            </w:pPr>
            <w:r w:rsidRPr="00A73566">
              <w:rPr>
                <w:rFonts w:ascii="Times New Roman" w:eastAsia="Times New Roman" w:hAnsi="Times New Roman" w:cs="Times New Roman"/>
                <w:b/>
                <w:bCs/>
                <w:iCs/>
                <w:lang w:val="ro-RO" w:eastAsia="ro-RO"/>
              </w:rPr>
              <w:t>SLOPE 1993-2020 (pp)</w:t>
            </w:r>
          </w:p>
        </w:tc>
      </w:tr>
      <w:tr w:rsidR="00B848E5" w:rsidRPr="00A73566" w14:paraId="52964AC4" w14:textId="77777777" w:rsidTr="00313433">
        <w:trPr>
          <w:cnfStyle w:val="000000100000" w:firstRow="0" w:lastRow="0" w:firstColumn="0" w:lastColumn="0" w:oddVBand="0" w:evenVBand="0" w:oddHBand="1" w:evenHBand="0" w:firstRowFirstColumn="0" w:firstRowLastColumn="0" w:lastRowFirstColumn="0" w:lastRowLastColumn="0"/>
          <w:trHeight w:val="260"/>
        </w:trPr>
        <w:tc>
          <w:tcPr>
            <w:tcW w:w="1508" w:type="pct"/>
            <w:noWrap/>
          </w:tcPr>
          <w:p w14:paraId="7FB9F8DE" w14:textId="77777777" w:rsidR="00B848E5" w:rsidRPr="00A73566" w:rsidRDefault="00B848E5" w:rsidP="003A7E15">
            <w:pPr>
              <w:spacing w:after="0"/>
              <w:ind w:left="-57" w:right="-57"/>
              <w:rPr>
                <w:rFonts w:ascii="Times New Roman" w:eastAsia="Times New Roman" w:hAnsi="Times New Roman" w:cs="Times New Roman"/>
                <w:b/>
                <w:bCs/>
                <w:color w:val="000000"/>
                <w:sz w:val="22"/>
                <w:lang w:val="ro-RO" w:eastAsia="ro-RO"/>
              </w:rPr>
            </w:pPr>
            <w:r w:rsidRPr="00A73566">
              <w:rPr>
                <w:rFonts w:ascii="Times New Roman" w:eastAsia="Times New Roman" w:hAnsi="Times New Roman" w:cs="Times New Roman"/>
                <w:b/>
                <w:bCs/>
                <w:color w:val="000000"/>
                <w:lang w:val="ro-RO" w:eastAsia="ro-RO"/>
              </w:rPr>
              <w:t>Cereale si leguminoase – boabe</w:t>
            </w:r>
          </w:p>
        </w:tc>
        <w:tc>
          <w:tcPr>
            <w:tcW w:w="890" w:type="pct"/>
            <w:noWrap/>
          </w:tcPr>
          <w:p w14:paraId="1C8D5EA7"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62.2</w:t>
            </w:r>
          </w:p>
        </w:tc>
        <w:tc>
          <w:tcPr>
            <w:tcW w:w="1622" w:type="pct"/>
            <w:noWrap/>
          </w:tcPr>
          <w:p w14:paraId="7674E5D6"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11.04</w:t>
            </w:r>
          </w:p>
        </w:tc>
        <w:tc>
          <w:tcPr>
            <w:tcW w:w="980" w:type="pct"/>
            <w:noWrap/>
          </w:tcPr>
          <w:p w14:paraId="7DA23348"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0.26</w:t>
            </w:r>
          </w:p>
        </w:tc>
      </w:tr>
      <w:tr w:rsidR="00B848E5" w:rsidRPr="00A73566" w14:paraId="0246AEC8" w14:textId="77777777" w:rsidTr="00313433">
        <w:trPr>
          <w:cnfStyle w:val="000000010000" w:firstRow="0" w:lastRow="0" w:firstColumn="0" w:lastColumn="0" w:oddVBand="0" w:evenVBand="0" w:oddHBand="0" w:evenHBand="1" w:firstRowFirstColumn="0" w:firstRowLastColumn="0" w:lastRowFirstColumn="0" w:lastRowLastColumn="0"/>
          <w:trHeight w:val="260"/>
        </w:trPr>
        <w:tc>
          <w:tcPr>
            <w:tcW w:w="1508" w:type="pct"/>
            <w:noWrap/>
            <w:hideMark/>
          </w:tcPr>
          <w:p w14:paraId="6ABF138C" w14:textId="77777777" w:rsidR="00B848E5" w:rsidRPr="00A73566" w:rsidRDefault="00B848E5" w:rsidP="003A7E15">
            <w:pPr>
              <w:spacing w:after="0"/>
              <w:ind w:left="-57" w:right="-57"/>
              <w:rPr>
                <w:rFonts w:ascii="Times New Roman" w:eastAsia="Times New Roman" w:hAnsi="Times New Roman" w:cs="Times New Roman"/>
                <w:b/>
                <w:bCs/>
                <w:color w:val="000000"/>
                <w:sz w:val="22"/>
                <w:lang w:val="ro-RO" w:eastAsia="ro-RO"/>
              </w:rPr>
            </w:pPr>
            <w:r w:rsidRPr="00A73566">
              <w:rPr>
                <w:rFonts w:ascii="Times New Roman" w:eastAsia="Times New Roman" w:hAnsi="Times New Roman" w:cs="Times New Roman"/>
                <w:b/>
                <w:bCs/>
                <w:color w:val="000000"/>
                <w:lang w:val="ro-RO" w:eastAsia="ro-RO"/>
              </w:rPr>
              <w:t>Culturi tehnice</w:t>
            </w:r>
          </w:p>
        </w:tc>
        <w:tc>
          <w:tcPr>
            <w:tcW w:w="890" w:type="pct"/>
            <w:noWrap/>
            <w:hideMark/>
          </w:tcPr>
          <w:p w14:paraId="3F5DD39A"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30.0</w:t>
            </w:r>
          </w:p>
        </w:tc>
        <w:tc>
          <w:tcPr>
            <w:tcW w:w="1622" w:type="pct"/>
            <w:noWrap/>
            <w:hideMark/>
          </w:tcPr>
          <w:p w14:paraId="0D8B8A73"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15.26</w:t>
            </w:r>
          </w:p>
        </w:tc>
        <w:tc>
          <w:tcPr>
            <w:tcW w:w="980" w:type="pct"/>
            <w:noWrap/>
            <w:hideMark/>
          </w:tcPr>
          <w:p w14:paraId="3D4B068A"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0.56</w:t>
            </w:r>
          </w:p>
        </w:tc>
      </w:tr>
      <w:tr w:rsidR="00B848E5" w:rsidRPr="00A73566" w14:paraId="66CB2DF0" w14:textId="77777777" w:rsidTr="00313433">
        <w:trPr>
          <w:cnfStyle w:val="000000100000" w:firstRow="0" w:lastRow="0" w:firstColumn="0" w:lastColumn="0" w:oddVBand="0" w:evenVBand="0" w:oddHBand="1" w:evenHBand="0" w:firstRowFirstColumn="0" w:firstRowLastColumn="0" w:lastRowFirstColumn="0" w:lastRowLastColumn="0"/>
          <w:trHeight w:val="273"/>
        </w:trPr>
        <w:tc>
          <w:tcPr>
            <w:tcW w:w="1508" w:type="pct"/>
            <w:noWrap/>
            <w:hideMark/>
          </w:tcPr>
          <w:p w14:paraId="6CABEF8B" w14:textId="77777777" w:rsidR="00B848E5" w:rsidRPr="00A73566" w:rsidRDefault="00B848E5" w:rsidP="003A7E15">
            <w:pPr>
              <w:spacing w:after="0"/>
              <w:ind w:left="-57" w:right="-57"/>
              <w:rPr>
                <w:rFonts w:ascii="Times New Roman" w:eastAsia="Times New Roman" w:hAnsi="Times New Roman" w:cs="Times New Roman"/>
                <w:b/>
                <w:bCs/>
                <w:color w:val="000000"/>
                <w:sz w:val="22"/>
                <w:lang w:val="ro-RO" w:eastAsia="ro-RO"/>
              </w:rPr>
            </w:pPr>
            <w:r w:rsidRPr="00A73566">
              <w:rPr>
                <w:rFonts w:ascii="Times New Roman" w:eastAsia="Times New Roman" w:hAnsi="Times New Roman" w:cs="Times New Roman"/>
                <w:b/>
                <w:bCs/>
                <w:color w:val="000000"/>
                <w:lang w:val="ro-RO" w:eastAsia="ro-RO"/>
              </w:rPr>
              <w:t>Cartofi, legume si bostănoase</w:t>
            </w:r>
          </w:p>
        </w:tc>
        <w:tc>
          <w:tcPr>
            <w:tcW w:w="890" w:type="pct"/>
            <w:noWrap/>
            <w:hideMark/>
          </w:tcPr>
          <w:p w14:paraId="1B118CE1"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4.5</w:t>
            </w:r>
          </w:p>
        </w:tc>
        <w:tc>
          <w:tcPr>
            <w:tcW w:w="1622" w:type="pct"/>
            <w:noWrap/>
            <w:hideMark/>
          </w:tcPr>
          <w:p w14:paraId="0B565501"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-4.33</w:t>
            </w:r>
          </w:p>
        </w:tc>
        <w:tc>
          <w:tcPr>
            <w:tcW w:w="980" w:type="pct"/>
            <w:noWrap/>
            <w:hideMark/>
          </w:tcPr>
          <w:p w14:paraId="0A07C2DC"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-0.20</w:t>
            </w:r>
          </w:p>
        </w:tc>
      </w:tr>
      <w:tr w:rsidR="00B848E5" w:rsidRPr="00A73566" w14:paraId="45C247C5" w14:textId="77777777" w:rsidTr="00313433">
        <w:trPr>
          <w:cnfStyle w:val="000000010000" w:firstRow="0" w:lastRow="0" w:firstColumn="0" w:lastColumn="0" w:oddVBand="0" w:evenVBand="0" w:oddHBand="0" w:evenHBand="1" w:firstRowFirstColumn="0" w:firstRowLastColumn="0" w:lastRowFirstColumn="0" w:lastRowLastColumn="0"/>
          <w:trHeight w:val="260"/>
        </w:trPr>
        <w:tc>
          <w:tcPr>
            <w:tcW w:w="1508" w:type="pct"/>
            <w:noWrap/>
            <w:hideMark/>
          </w:tcPr>
          <w:p w14:paraId="1BAE3CFC" w14:textId="77777777" w:rsidR="00B848E5" w:rsidRPr="00A73566" w:rsidRDefault="00B848E5" w:rsidP="003A7E15">
            <w:pPr>
              <w:spacing w:after="0"/>
              <w:ind w:left="-57" w:right="-57"/>
              <w:rPr>
                <w:rFonts w:ascii="Times New Roman" w:eastAsia="Times New Roman" w:hAnsi="Times New Roman" w:cs="Times New Roman"/>
                <w:b/>
                <w:bCs/>
                <w:color w:val="000000"/>
                <w:sz w:val="22"/>
                <w:lang w:val="ro-RO" w:eastAsia="ro-RO"/>
              </w:rPr>
            </w:pPr>
            <w:r w:rsidRPr="00A73566">
              <w:rPr>
                <w:rFonts w:ascii="Times New Roman" w:eastAsia="Times New Roman" w:hAnsi="Times New Roman" w:cs="Times New Roman"/>
                <w:b/>
                <w:bCs/>
                <w:color w:val="000000"/>
                <w:lang w:val="ro-RO" w:eastAsia="ro-RO"/>
              </w:rPr>
              <w:t>Plante de nutreț</w:t>
            </w:r>
          </w:p>
        </w:tc>
        <w:tc>
          <w:tcPr>
            <w:tcW w:w="890" w:type="pct"/>
            <w:noWrap/>
            <w:hideMark/>
          </w:tcPr>
          <w:p w14:paraId="06665F80"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3.2</w:t>
            </w:r>
          </w:p>
        </w:tc>
        <w:tc>
          <w:tcPr>
            <w:tcW w:w="1622" w:type="pct"/>
            <w:noWrap/>
            <w:hideMark/>
          </w:tcPr>
          <w:p w14:paraId="206A5DB6"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-22.04</w:t>
            </w:r>
          </w:p>
        </w:tc>
        <w:tc>
          <w:tcPr>
            <w:tcW w:w="980" w:type="pct"/>
            <w:noWrap/>
            <w:hideMark/>
          </w:tcPr>
          <w:p w14:paraId="2B99C90A" w14:textId="77777777" w:rsidR="00B848E5" w:rsidRPr="00A73566" w:rsidRDefault="00B848E5" w:rsidP="003A7E15">
            <w:pPr>
              <w:spacing w:after="0"/>
              <w:ind w:left="-57" w:right="-57"/>
              <w:rPr>
                <w:rFonts w:ascii="Times New Roman" w:eastAsia="Times New Roman" w:hAnsi="Times New Roman" w:cs="Times New Roman"/>
                <w:color w:val="000000"/>
                <w:sz w:val="22"/>
                <w:lang w:val="ro-RO" w:eastAsia="ro-RO"/>
              </w:rPr>
            </w:pPr>
            <w:r w:rsidRPr="00A73566">
              <w:rPr>
                <w:rFonts w:ascii="Times New Roman" w:eastAsia="Times New Roman" w:hAnsi="Times New Roman" w:cs="Times New Roman"/>
                <w:color w:val="000000"/>
                <w:lang w:val="ro-RO" w:eastAsia="ro-RO"/>
              </w:rPr>
              <w:t>-0.62</w:t>
            </w:r>
          </w:p>
        </w:tc>
      </w:tr>
    </w:tbl>
    <w:p w14:paraId="1992A195" w14:textId="64BA331D" w:rsidR="00B61E86" w:rsidRPr="00D74E73" w:rsidRDefault="00B61E86" w:rsidP="000D0ED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BFBFBF" w:themeColor="background1" w:themeShade="BF"/>
          <w:sz w:val="18"/>
          <w:szCs w:val="18"/>
          <w:lang w:val="ro-RO"/>
        </w:rPr>
      </w:pPr>
      <w:r w:rsidRPr="00D74E73">
        <w:rPr>
          <w:rFonts w:ascii="Times New Roman" w:hAnsi="Times New Roman" w:cs="Times New Roman"/>
          <w:bCs/>
          <w:color w:val="BFBFBF" w:themeColor="background1" w:themeShade="BF"/>
          <w:sz w:val="18"/>
          <w:szCs w:val="18"/>
          <w:lang w:val="ro-RO"/>
        </w:rPr>
        <w:t>Sursa:</w:t>
      </w:r>
      <w:r w:rsidRPr="00D74E73">
        <w:rPr>
          <w:rFonts w:ascii="Times New Roman" w:hAnsi="Times New Roman" w:cs="Times New Roman"/>
          <w:color w:val="BFBFBF" w:themeColor="background1" w:themeShade="BF"/>
          <w:sz w:val="18"/>
          <w:szCs w:val="18"/>
          <w:lang w:val="ro-RO"/>
        </w:rPr>
        <w:t xml:space="preserve"> </w:t>
      </w:r>
      <w:r w:rsidR="00C12527" w:rsidRPr="00D74E73">
        <w:rPr>
          <w:rFonts w:ascii="Times New Roman" w:hAnsi="Times New Roman" w:cs="Times New Roman"/>
          <w:color w:val="BFBFBF" w:themeColor="background1" w:themeShade="BF"/>
          <w:sz w:val="18"/>
          <w:szCs w:val="18"/>
          <w:lang w:val="ro-RO"/>
        </w:rPr>
        <w:t>E</w:t>
      </w:r>
      <w:r w:rsidRPr="00D74E73">
        <w:rPr>
          <w:rFonts w:ascii="Times New Roman" w:hAnsi="Times New Roman" w:cs="Times New Roman"/>
          <w:color w:val="BFBFBF" w:themeColor="background1" w:themeShade="BF"/>
          <w:sz w:val="18"/>
          <w:szCs w:val="18"/>
          <w:lang w:val="ro-RO"/>
        </w:rPr>
        <w:t>laborat de autori în baza datelor BNS, 2021</w:t>
      </w:r>
    </w:p>
    <w:p w14:paraId="5DF84306" w14:textId="2782E5FA" w:rsidR="00313433" w:rsidRPr="00A73566" w:rsidRDefault="00B848E5" w:rsidP="00313433">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aceste condiții cele mai consistente modificări structurale favorabile le revin suprafețelor destinate culturilor tehnice, care în perioada 1993</w:t>
      </w:r>
      <w:r w:rsidR="00781CB7"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w:t>
      </w:r>
      <w:r w:rsidR="00781CB7"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2020 s-au dublat (+15</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3 p</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p</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și celor destinate cerealelor și leguminoaselor (+1</w:t>
      </w:r>
      <w:r w:rsidR="00781CB7" w:rsidRPr="00A73566">
        <w:rPr>
          <w:rFonts w:ascii="Times New Roman" w:hAnsi="Times New Roman" w:cs="Times New Roman"/>
          <w:color w:val="000000" w:themeColor="text1"/>
          <w:lang w:val="ro-RO"/>
        </w:rPr>
        <w:t xml:space="preserve">1 </w:t>
      </w:r>
      <w:r w:rsidRPr="00A73566">
        <w:rPr>
          <w:rFonts w:ascii="Times New Roman" w:hAnsi="Times New Roman" w:cs="Times New Roman"/>
          <w:color w:val="000000" w:themeColor="text1"/>
          <w:lang w:val="ro-RO"/>
        </w:rPr>
        <w:t>p</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p</w:t>
      </w:r>
      <w:r w:rsidR="00781CB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w:t>
      </w:r>
    </w:p>
    <w:p w14:paraId="6F1FBA01" w14:textId="12913895" w:rsidR="00B848E5" w:rsidRPr="00D74E73" w:rsidRDefault="00DC5D52" w:rsidP="000D0ED7">
      <w:pPr>
        <w:pStyle w:val="Caption"/>
        <w:framePr w:wrap="around"/>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 xml:space="preserve">Figura </w:t>
      </w:r>
      <w:r w:rsidR="00D545A8" w:rsidRPr="00D74E73">
        <w:rPr>
          <w:rFonts w:ascii="Times New Roman" w:hAnsi="Times New Roman" w:cs="Times New Roman"/>
          <w:sz w:val="18"/>
          <w:szCs w:val="18"/>
          <w:lang w:val="ro-RO"/>
        </w:rPr>
        <w:t>12</w:t>
      </w:r>
      <w:r w:rsidRPr="00D74E73">
        <w:rPr>
          <w:rFonts w:ascii="Times New Roman" w:hAnsi="Times New Roman" w:cs="Times New Roman"/>
          <w:sz w:val="18"/>
          <w:szCs w:val="18"/>
          <w:lang w:val="ro-RO"/>
        </w:rPr>
        <w:t xml:space="preserve">. </w:t>
      </w:r>
      <w:r w:rsidR="00B848E5" w:rsidRPr="00D74E73">
        <w:rPr>
          <w:rFonts w:ascii="Times New Roman" w:hAnsi="Times New Roman" w:cs="Times New Roman"/>
          <w:sz w:val="18"/>
          <w:szCs w:val="18"/>
          <w:lang w:val="ro-RO"/>
        </w:rPr>
        <w:t>Suprafețele însămânțate din Republica Moldova,  după culturi agricole (1993-2020)</w:t>
      </w:r>
    </w:p>
    <w:p w14:paraId="2F2FAE87" w14:textId="6823DB23" w:rsidR="00B848E5" w:rsidRPr="00A73566" w:rsidRDefault="00B848E5" w:rsidP="00B848E5">
      <w:pPr>
        <w:rPr>
          <w:rFonts w:ascii="Times New Roman" w:hAnsi="Times New Roman" w:cs="Times New Roman"/>
          <w:sz w:val="20"/>
          <w:szCs w:val="20"/>
          <w:lang w:val="ro-RO"/>
        </w:rPr>
      </w:pPr>
      <w:r w:rsidRPr="00A73566">
        <w:rPr>
          <w:rFonts w:ascii="Times New Roman" w:hAnsi="Times New Roman" w:cs="Times New Roman"/>
          <w:noProof/>
          <w:color w:val="000000" w:themeColor="text1"/>
          <w:lang w:val="en-US"/>
        </w:rPr>
        <w:drawing>
          <wp:inline distT="0" distB="0" distL="0" distR="0" wp14:anchorId="74D7F950" wp14:editId="2E717968">
            <wp:extent cx="6013938" cy="193357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68759" cy="1951201"/>
                    </a:xfrm>
                    <a:prstGeom prst="rect">
                      <a:avLst/>
                    </a:prstGeom>
                    <a:noFill/>
                    <a:ln>
                      <a:noFill/>
                    </a:ln>
                  </pic:spPr>
                </pic:pic>
              </a:graphicData>
            </a:graphic>
          </wp:inline>
        </w:drawing>
      </w:r>
    </w:p>
    <w:p w14:paraId="0BD8A3D7" w14:textId="7A4DAF36" w:rsidR="00B61E86" w:rsidRPr="00D74E73" w:rsidRDefault="00B61E86" w:rsidP="00B61E86">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BFBFBF" w:themeColor="background1" w:themeShade="BF"/>
          <w:sz w:val="18"/>
          <w:szCs w:val="18"/>
          <w:lang w:val="ro-RO"/>
        </w:rPr>
      </w:pPr>
      <w:r w:rsidRPr="00D74E73">
        <w:rPr>
          <w:rFonts w:ascii="Times New Roman" w:hAnsi="Times New Roman" w:cs="Times New Roman"/>
          <w:bCs/>
          <w:color w:val="BFBFBF" w:themeColor="background1" w:themeShade="BF"/>
          <w:sz w:val="18"/>
          <w:szCs w:val="18"/>
          <w:lang w:val="ro-RO"/>
        </w:rPr>
        <w:t>Sursa</w:t>
      </w:r>
      <w:r w:rsidRPr="00D74E73">
        <w:rPr>
          <w:rFonts w:ascii="Times New Roman" w:hAnsi="Times New Roman" w:cs="Times New Roman"/>
          <w:b/>
          <w:color w:val="BFBFBF" w:themeColor="background1" w:themeShade="BF"/>
          <w:sz w:val="18"/>
          <w:szCs w:val="18"/>
          <w:lang w:val="ro-RO"/>
        </w:rPr>
        <w:t>:</w:t>
      </w:r>
      <w:r w:rsidRPr="00D74E73">
        <w:rPr>
          <w:rFonts w:ascii="Times New Roman" w:hAnsi="Times New Roman" w:cs="Times New Roman"/>
          <w:color w:val="BFBFBF" w:themeColor="background1" w:themeShade="BF"/>
          <w:sz w:val="18"/>
          <w:szCs w:val="18"/>
          <w:lang w:val="ro-RO"/>
        </w:rPr>
        <w:t xml:space="preserve"> </w:t>
      </w:r>
      <w:r w:rsidR="00CE098D" w:rsidRPr="00D74E73">
        <w:rPr>
          <w:rFonts w:ascii="Times New Roman" w:hAnsi="Times New Roman" w:cs="Times New Roman"/>
          <w:color w:val="BFBFBF" w:themeColor="background1" w:themeShade="BF"/>
          <w:sz w:val="18"/>
          <w:szCs w:val="18"/>
          <w:lang w:val="ro-RO"/>
        </w:rPr>
        <w:t xml:space="preserve">Elaborat </w:t>
      </w:r>
      <w:r w:rsidRPr="00D74E73">
        <w:rPr>
          <w:rFonts w:ascii="Times New Roman" w:hAnsi="Times New Roman" w:cs="Times New Roman"/>
          <w:color w:val="BFBFBF" w:themeColor="background1" w:themeShade="BF"/>
          <w:sz w:val="18"/>
          <w:szCs w:val="18"/>
          <w:lang w:val="ro-RO"/>
        </w:rPr>
        <w:t>de autori în baza datelor BNS, 2021</w:t>
      </w:r>
    </w:p>
    <w:p w14:paraId="323CC7D2" w14:textId="08FF5B27" w:rsidR="00551210" w:rsidRPr="00A73566" w:rsidRDefault="00551210" w:rsidP="00C22682">
      <w:pPr>
        <w:ind w:firstLine="567"/>
        <w:rPr>
          <w:rFonts w:ascii="Times New Roman" w:hAnsi="Times New Roman" w:cs="Times New Roman"/>
          <w:color w:val="000000" w:themeColor="text1"/>
          <w:lang w:val="ro-RO"/>
        </w:rPr>
      </w:pPr>
      <w:bookmarkStart w:id="94" w:name="_Toc84501617"/>
      <w:r w:rsidRPr="00A73566">
        <w:rPr>
          <w:rFonts w:ascii="Times New Roman" w:hAnsi="Times New Roman" w:cs="Times New Roman"/>
          <w:color w:val="000000" w:themeColor="text1"/>
          <w:lang w:val="ro-RO"/>
        </w:rPr>
        <w:t>Ponderea suprafețelor destinate culturilor tehnice a înregistrat în perioada 1993-2020 o creștere medie anuală de cca 0.56 pp, iar cea însămânțată cu cereale și leguminoase a crescu</w:t>
      </w:r>
      <w:r w:rsidR="00D74E73">
        <w:rPr>
          <w:rFonts w:ascii="Times New Roman" w:hAnsi="Times New Roman" w:cs="Times New Roman"/>
          <w:color w:val="000000" w:themeColor="text1"/>
          <w:lang w:val="ro-RO"/>
        </w:rPr>
        <w:t>t în medie pe an cu cca 0.26 pp.</w:t>
      </w:r>
    </w:p>
    <w:p w14:paraId="60CA8C44" w14:textId="2B4313DC" w:rsidR="00551210" w:rsidRPr="00A73566" w:rsidRDefault="00551210"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aceeași perioadă, deși dețin ponderi minore, au fost afectate pozițiile structurale ale culturilor de cartofi, legume și bostănoase și a plantelor de nutreț, ponderea cărora în perioada de referință s-a redus de două ori (de la 8.8 la 4.5%) și, respectiv, de 8 ori (de la 25.2% la 3.2%). Prin urmare, dacă se va ține cont de o productivitate aproximativ constantă a plantelor de nutreț, din reducerea masivă a suprafețelor se pot deduce proporțiile degradării domeni</w:t>
      </w:r>
      <w:r w:rsidR="00D74E73">
        <w:rPr>
          <w:rFonts w:ascii="Times New Roman" w:hAnsi="Times New Roman" w:cs="Times New Roman"/>
          <w:color w:val="000000" w:themeColor="text1"/>
          <w:lang w:val="ro-RO"/>
        </w:rPr>
        <w:t>ului zootehnic din republică.</w:t>
      </w:r>
    </w:p>
    <w:p w14:paraId="557409C2" w14:textId="39CB92D7" w:rsidR="00551210" w:rsidRPr="00A73566" w:rsidRDefault="00551210"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Dinamica suprafețelor însămânțate în ultimii aproape 30 de ani </w:t>
      </w:r>
      <w:r w:rsidR="00485CB7"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denotă o relativă stabilizare a reducerii suprafețelor însămânțate. În condițiile evoluției retrospective, ne putem aștepta, spre un eventual orizont previzional</w:t>
      </w:r>
      <w:r w:rsidR="00485CB7" w:rsidRPr="00A73566">
        <w:rPr>
          <w:rFonts w:ascii="Times New Roman" w:hAnsi="Times New Roman" w:cs="Times New Roman"/>
          <w:color w:val="000000" w:themeColor="text1"/>
          <w:lang w:val="ro-RO"/>
        </w:rPr>
        <w:t xml:space="preserve"> către </w:t>
      </w:r>
      <w:r w:rsidR="00714ADD" w:rsidRPr="00A73566">
        <w:rPr>
          <w:rFonts w:ascii="Times New Roman" w:hAnsi="Times New Roman" w:cs="Times New Roman"/>
          <w:color w:val="000000" w:themeColor="text1"/>
          <w:lang w:val="ro-RO"/>
        </w:rPr>
        <w:t>2030</w:t>
      </w:r>
      <w:r w:rsidRPr="00A73566">
        <w:rPr>
          <w:rFonts w:ascii="Times New Roman" w:hAnsi="Times New Roman" w:cs="Times New Roman"/>
          <w:color w:val="000000" w:themeColor="text1"/>
          <w:lang w:val="ro-RO"/>
        </w:rPr>
        <w:t xml:space="preserve">, la cote ale suprafețelor însămânțate cuprinse între 1385 și 1542 mii ha. Astfel, conform unei variante optimiste, către </w:t>
      </w:r>
      <w:r w:rsidR="00714ADD"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anul</w:t>
      </w:r>
      <w:r w:rsidR="00714ADD" w:rsidRPr="00A73566">
        <w:rPr>
          <w:rFonts w:ascii="Times New Roman" w:hAnsi="Times New Roman" w:cs="Times New Roman"/>
          <w:color w:val="000000" w:themeColor="text1"/>
          <w:lang w:val="ro-RO"/>
        </w:rPr>
        <w:t xml:space="preserve"> 2030</w:t>
      </w:r>
      <w:r w:rsidR="008F4C22"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ne putem aștepta la o pierdere de circa 1% a suprafețelor însămânțate față de situația din prezent, sau -7.62% față de anul 1993. Conform variantei pesimiste, pierderile suprafețelor însămânțate vor reprezenta -1.6% față de situația din prezent și -17% față de anul inițial al analizei. </w:t>
      </w:r>
    </w:p>
    <w:p w14:paraId="5FA73762" w14:textId="77777777" w:rsidR="00551210" w:rsidRPr="00A73566" w:rsidRDefault="00551210"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Pentru recuperarea suprafețelor pierdute</w:t>
      </w:r>
      <w:r w:rsidRPr="00A73566" w:rsidDel="00F805E5">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o soluție ar fi elaborarea și punerea în aplicare a unor politici de valorificare rațională a suprafețelor omise din sistemul agricol (inclusiv prin schimbarea regimului de proprietate), fapt ce va permite revenirea/ extinderea la cotele anterioare de până la perioada de recesiune.</w:t>
      </w:r>
    </w:p>
    <w:p w14:paraId="2D0497A0" w14:textId="77777777" w:rsidR="00551210" w:rsidRPr="00A73566" w:rsidRDefault="00551210"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Pe lângă suprafețele însămânțate, au fost afectate de recesiuni substanțiale și suprafețele plantațiilor multianuale. </w:t>
      </w:r>
    </w:p>
    <w:p w14:paraId="61B7ED93" w14:textId="4199C8CB" w:rsidR="00B57541" w:rsidRPr="00A73566" w:rsidRDefault="00551210"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perioada 1993 – 2020, suprafața plantațiilor multianuale s-a redus de cca 1.7 ori, de la 445 mii ha la 263 mii ha (-40.9%).</w:t>
      </w:r>
    </w:p>
    <w:p w14:paraId="68221656" w14:textId="092B338C" w:rsidR="00B57541" w:rsidRPr="00D74E73" w:rsidRDefault="00B57541" w:rsidP="00A73566">
      <w:pPr>
        <w:pStyle w:val="Caption"/>
        <w:framePr w:wrap="around"/>
        <w:spacing w:before="120"/>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 xml:space="preserve">Tabelul </w:t>
      </w:r>
      <w:r w:rsidRPr="00D74E73">
        <w:rPr>
          <w:rFonts w:ascii="Times New Roman" w:hAnsi="Times New Roman" w:cs="Times New Roman"/>
          <w:sz w:val="18"/>
          <w:szCs w:val="18"/>
          <w:lang w:val="ro-RO"/>
        </w:rPr>
        <w:fldChar w:fldCharType="begin"/>
      </w:r>
      <w:r w:rsidRPr="00D74E73">
        <w:rPr>
          <w:rFonts w:ascii="Times New Roman" w:hAnsi="Times New Roman" w:cs="Times New Roman"/>
          <w:sz w:val="18"/>
          <w:szCs w:val="18"/>
          <w:lang w:val="ro-RO"/>
        </w:rPr>
        <w:instrText xml:space="preserve"> SEQ Tabelul \* ARABIC </w:instrText>
      </w:r>
      <w:r w:rsidRPr="00D74E73">
        <w:rPr>
          <w:rFonts w:ascii="Times New Roman" w:hAnsi="Times New Roman" w:cs="Times New Roman"/>
          <w:sz w:val="18"/>
          <w:szCs w:val="18"/>
          <w:lang w:val="ro-RO"/>
        </w:rPr>
        <w:fldChar w:fldCharType="separate"/>
      </w:r>
      <w:r w:rsidR="009A2BC5" w:rsidRPr="00D74E73">
        <w:rPr>
          <w:rFonts w:ascii="Times New Roman" w:hAnsi="Times New Roman" w:cs="Times New Roman"/>
          <w:noProof/>
          <w:sz w:val="18"/>
          <w:szCs w:val="18"/>
          <w:lang w:val="ro-RO"/>
        </w:rPr>
        <w:t>3</w:t>
      </w:r>
      <w:r w:rsidRPr="00D74E73">
        <w:rPr>
          <w:rFonts w:ascii="Times New Roman" w:hAnsi="Times New Roman" w:cs="Times New Roman"/>
          <w:sz w:val="18"/>
          <w:szCs w:val="18"/>
          <w:lang w:val="ro-RO"/>
        </w:rPr>
        <w:fldChar w:fldCharType="end"/>
      </w:r>
      <w:r w:rsidRPr="00D74E73">
        <w:rPr>
          <w:rFonts w:ascii="Times New Roman" w:hAnsi="Times New Roman" w:cs="Times New Roman"/>
          <w:sz w:val="18"/>
          <w:szCs w:val="18"/>
          <w:lang w:val="ro-RO"/>
        </w:rPr>
        <w:t>. Ritmul de creștere a suprafețelor culturilor multianuale, %</w:t>
      </w:r>
      <w:r w:rsidR="00A1636A" w:rsidRPr="00D74E73">
        <w:rPr>
          <w:rFonts w:ascii="Times New Roman" w:hAnsi="Times New Roman" w:cs="Times New Roman"/>
          <w:sz w:val="18"/>
          <w:szCs w:val="18"/>
          <w:lang w:val="ro-RO"/>
        </w:rPr>
        <w:t xml:space="preserve"> cu excepția plantațiilor viticole</w:t>
      </w:r>
    </w:p>
    <w:tbl>
      <w:tblPr>
        <w:tblStyle w:val="Civittatable"/>
        <w:tblW w:w="4986" w:type="pct"/>
        <w:tblInd w:w="-5" w:type="dxa"/>
        <w:tblLook w:val="04A0" w:firstRow="1" w:lastRow="0" w:firstColumn="1" w:lastColumn="0" w:noHBand="0" w:noVBand="1"/>
      </w:tblPr>
      <w:tblGrid>
        <w:gridCol w:w="4799"/>
        <w:gridCol w:w="4610"/>
      </w:tblGrid>
      <w:tr w:rsidR="00B57541" w:rsidRPr="00C22682" w14:paraId="683B0AD9" w14:textId="77777777" w:rsidTr="00C22682">
        <w:trPr>
          <w:cnfStyle w:val="100000000000" w:firstRow="1" w:lastRow="0" w:firstColumn="0" w:lastColumn="0" w:oddVBand="0" w:evenVBand="0" w:oddHBand="0" w:evenHBand="0" w:firstRowFirstColumn="0" w:firstRowLastColumn="0" w:lastRowFirstColumn="0" w:lastRowLastColumn="0"/>
          <w:trHeight w:val="161"/>
        </w:trPr>
        <w:tc>
          <w:tcPr>
            <w:tcW w:w="2550" w:type="pct"/>
            <w:noWrap/>
            <w:hideMark/>
          </w:tcPr>
          <w:p w14:paraId="7EBFDDB2" w14:textId="77777777" w:rsidR="00B57541" w:rsidRPr="00C22682" w:rsidRDefault="00B57541" w:rsidP="00C03906">
            <w:pPr>
              <w:spacing w:after="0"/>
              <w:jc w:val="left"/>
              <w:rPr>
                <w:rFonts w:ascii="Times New Roman" w:eastAsia="Times New Roman" w:hAnsi="Times New Roman" w:cs="Times New Roman"/>
                <w:b/>
                <w:iCs/>
                <w:sz w:val="18"/>
                <w:szCs w:val="18"/>
                <w:lang w:val="ro-RO"/>
              </w:rPr>
            </w:pPr>
            <w:r w:rsidRPr="00C22682">
              <w:rPr>
                <w:rFonts w:ascii="Times New Roman" w:eastAsia="Times New Roman" w:hAnsi="Times New Roman" w:cs="Times New Roman"/>
                <w:b/>
                <w:iCs/>
                <w:sz w:val="18"/>
                <w:szCs w:val="18"/>
                <w:lang w:val="ro-RO"/>
              </w:rPr>
              <w:t>Specii multianuale</w:t>
            </w:r>
          </w:p>
        </w:tc>
        <w:tc>
          <w:tcPr>
            <w:tcW w:w="2450" w:type="pct"/>
            <w:noWrap/>
            <w:hideMark/>
          </w:tcPr>
          <w:p w14:paraId="21A8EA8E" w14:textId="77777777" w:rsidR="00B57541" w:rsidRPr="00C22682" w:rsidRDefault="00B57541" w:rsidP="00C03906">
            <w:pPr>
              <w:spacing w:after="0"/>
              <w:jc w:val="center"/>
              <w:rPr>
                <w:rFonts w:ascii="Times New Roman" w:eastAsia="Times New Roman" w:hAnsi="Times New Roman" w:cs="Times New Roman"/>
                <w:b/>
                <w:iCs/>
                <w:sz w:val="18"/>
                <w:szCs w:val="18"/>
                <w:lang w:val="ro-RO"/>
              </w:rPr>
            </w:pPr>
            <w:r w:rsidRPr="00C22682">
              <w:rPr>
                <w:rFonts w:ascii="Times New Roman" w:eastAsia="Times New Roman" w:hAnsi="Times New Roman" w:cs="Times New Roman"/>
                <w:b/>
                <w:iCs/>
                <w:sz w:val="18"/>
                <w:szCs w:val="18"/>
                <w:lang w:val="ro-RO"/>
              </w:rPr>
              <w:t>Ritmul 2020/1993 (%)</w:t>
            </w:r>
          </w:p>
        </w:tc>
      </w:tr>
      <w:tr w:rsidR="00B57541" w:rsidRPr="00C22682" w14:paraId="28125239" w14:textId="77777777" w:rsidTr="00C22682">
        <w:trPr>
          <w:cnfStyle w:val="000000100000" w:firstRow="0" w:lastRow="0" w:firstColumn="0" w:lastColumn="0" w:oddVBand="0" w:evenVBand="0" w:oddHBand="1" w:evenHBand="0" w:firstRowFirstColumn="0" w:firstRowLastColumn="0" w:lastRowFirstColumn="0" w:lastRowLastColumn="0"/>
          <w:trHeight w:val="161"/>
        </w:trPr>
        <w:tc>
          <w:tcPr>
            <w:tcW w:w="2550" w:type="pct"/>
            <w:noWrap/>
            <w:hideMark/>
          </w:tcPr>
          <w:p w14:paraId="3C1C08B0" w14:textId="77777777" w:rsidR="00B57541" w:rsidRPr="00C22682" w:rsidRDefault="00B57541" w:rsidP="00C03906">
            <w:pPr>
              <w:spacing w:after="0"/>
              <w:rPr>
                <w:rFonts w:ascii="Times New Roman" w:eastAsia="Times New Roman" w:hAnsi="Times New Roman" w:cs="Times New Roman"/>
                <w:b/>
                <w:bCs/>
                <w:color w:val="000000"/>
                <w:sz w:val="18"/>
                <w:szCs w:val="18"/>
                <w:lang w:val="ro-RO"/>
              </w:rPr>
            </w:pPr>
            <w:r w:rsidRPr="00C22682">
              <w:rPr>
                <w:rFonts w:ascii="Times New Roman" w:eastAsia="Times New Roman" w:hAnsi="Times New Roman" w:cs="Times New Roman"/>
                <w:b/>
                <w:bCs/>
                <w:color w:val="000000"/>
                <w:sz w:val="18"/>
                <w:szCs w:val="18"/>
                <w:lang w:val="ro-RO"/>
              </w:rPr>
              <w:t>Suprafața - total</w:t>
            </w:r>
          </w:p>
        </w:tc>
        <w:tc>
          <w:tcPr>
            <w:tcW w:w="2450" w:type="pct"/>
            <w:noWrap/>
            <w:hideMark/>
          </w:tcPr>
          <w:p w14:paraId="1A862A52" w14:textId="77777777" w:rsidR="00B57541" w:rsidRPr="00C22682" w:rsidRDefault="00B57541" w:rsidP="00C03906">
            <w:pPr>
              <w:spacing w:after="0"/>
              <w:ind w:right="1454"/>
              <w:jc w:val="right"/>
              <w:rPr>
                <w:rFonts w:ascii="Times New Roman" w:eastAsia="Times New Roman" w:hAnsi="Times New Roman" w:cs="Times New Roman"/>
                <w:b/>
                <w:color w:val="000000"/>
                <w:sz w:val="18"/>
                <w:szCs w:val="18"/>
                <w:lang w:val="ro-RO"/>
              </w:rPr>
            </w:pPr>
            <w:r w:rsidRPr="00C22682">
              <w:rPr>
                <w:rFonts w:ascii="Times New Roman" w:eastAsia="Times New Roman" w:hAnsi="Times New Roman" w:cs="Times New Roman"/>
                <w:b/>
                <w:color w:val="000000"/>
                <w:sz w:val="18"/>
                <w:szCs w:val="18"/>
                <w:lang w:val="ro-RO"/>
              </w:rPr>
              <w:t>-40.9</w:t>
            </w:r>
          </w:p>
        </w:tc>
      </w:tr>
      <w:tr w:rsidR="00B57541" w:rsidRPr="00C22682" w14:paraId="776CDB3A" w14:textId="77777777" w:rsidTr="00C22682">
        <w:trPr>
          <w:cnfStyle w:val="000000010000" w:firstRow="0" w:lastRow="0" w:firstColumn="0" w:lastColumn="0" w:oddVBand="0" w:evenVBand="0" w:oddHBand="0" w:evenHBand="1" w:firstRowFirstColumn="0" w:firstRowLastColumn="0" w:lastRowFirstColumn="0" w:lastRowLastColumn="0"/>
          <w:trHeight w:val="161"/>
        </w:trPr>
        <w:tc>
          <w:tcPr>
            <w:tcW w:w="2550" w:type="pct"/>
            <w:noWrap/>
            <w:hideMark/>
          </w:tcPr>
          <w:p w14:paraId="61E924A7" w14:textId="77777777" w:rsidR="00B57541" w:rsidRPr="00C22682" w:rsidRDefault="00B57541" w:rsidP="00C03906">
            <w:pPr>
              <w:spacing w:after="0"/>
              <w:rPr>
                <w:rFonts w:ascii="Times New Roman" w:eastAsia="Times New Roman" w:hAnsi="Times New Roman" w:cs="Times New Roman"/>
                <w:b/>
                <w:bCs/>
                <w:color w:val="000000"/>
                <w:sz w:val="18"/>
                <w:szCs w:val="18"/>
                <w:lang w:val="ro-RO"/>
              </w:rPr>
            </w:pPr>
            <w:r w:rsidRPr="00C22682">
              <w:rPr>
                <w:rFonts w:ascii="Times New Roman" w:eastAsia="Times New Roman" w:hAnsi="Times New Roman" w:cs="Times New Roman"/>
                <w:b/>
                <w:bCs/>
                <w:color w:val="000000"/>
                <w:sz w:val="18"/>
                <w:szCs w:val="18"/>
                <w:lang w:val="ro-RO"/>
              </w:rPr>
              <w:t>Fructe, pomușoare si nuci - total</w:t>
            </w:r>
          </w:p>
        </w:tc>
        <w:tc>
          <w:tcPr>
            <w:tcW w:w="2450" w:type="pct"/>
            <w:noWrap/>
            <w:hideMark/>
          </w:tcPr>
          <w:p w14:paraId="4830139A" w14:textId="77777777" w:rsidR="00B57541" w:rsidRPr="00C22682" w:rsidRDefault="00B57541" w:rsidP="00C03906">
            <w:pPr>
              <w:spacing w:after="0"/>
              <w:ind w:right="1454"/>
              <w:jc w:val="right"/>
              <w:rPr>
                <w:rFonts w:ascii="Times New Roman" w:eastAsia="Times New Roman" w:hAnsi="Times New Roman" w:cs="Times New Roman"/>
                <w:b/>
                <w:color w:val="000000"/>
                <w:sz w:val="18"/>
                <w:szCs w:val="18"/>
                <w:lang w:val="ro-RO"/>
              </w:rPr>
            </w:pPr>
            <w:r w:rsidRPr="00C22682">
              <w:rPr>
                <w:rFonts w:ascii="Times New Roman" w:eastAsia="Times New Roman" w:hAnsi="Times New Roman" w:cs="Times New Roman"/>
                <w:b/>
                <w:color w:val="000000"/>
                <w:sz w:val="18"/>
                <w:szCs w:val="18"/>
                <w:lang w:val="ro-RO"/>
              </w:rPr>
              <w:t>-43.4</w:t>
            </w:r>
          </w:p>
        </w:tc>
      </w:tr>
      <w:tr w:rsidR="00B57541" w:rsidRPr="00C22682" w14:paraId="1AD85CF7" w14:textId="77777777" w:rsidTr="00C22682">
        <w:trPr>
          <w:cnfStyle w:val="000000100000" w:firstRow="0" w:lastRow="0" w:firstColumn="0" w:lastColumn="0" w:oddVBand="0" w:evenVBand="0" w:oddHBand="1" w:evenHBand="0" w:firstRowFirstColumn="0" w:firstRowLastColumn="0" w:lastRowFirstColumn="0" w:lastRowLastColumn="0"/>
          <w:trHeight w:val="161"/>
        </w:trPr>
        <w:tc>
          <w:tcPr>
            <w:tcW w:w="2550" w:type="pct"/>
            <w:noWrap/>
            <w:hideMark/>
          </w:tcPr>
          <w:p w14:paraId="26232992"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Fructe sămânțoase</w:t>
            </w:r>
          </w:p>
        </w:tc>
        <w:tc>
          <w:tcPr>
            <w:tcW w:w="2450" w:type="pct"/>
            <w:noWrap/>
            <w:hideMark/>
          </w:tcPr>
          <w:p w14:paraId="2DFE964A"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-60.0</w:t>
            </w:r>
          </w:p>
        </w:tc>
      </w:tr>
      <w:tr w:rsidR="00B57541" w:rsidRPr="00C22682" w14:paraId="53BCAD28" w14:textId="77777777" w:rsidTr="00C22682">
        <w:trPr>
          <w:cnfStyle w:val="000000010000" w:firstRow="0" w:lastRow="0" w:firstColumn="0" w:lastColumn="0" w:oddVBand="0" w:evenVBand="0" w:oddHBand="0" w:evenHBand="1" w:firstRowFirstColumn="0" w:firstRowLastColumn="0" w:lastRowFirstColumn="0" w:lastRowLastColumn="0"/>
          <w:trHeight w:val="161"/>
        </w:trPr>
        <w:tc>
          <w:tcPr>
            <w:tcW w:w="2550" w:type="pct"/>
            <w:noWrap/>
            <w:hideMark/>
          </w:tcPr>
          <w:p w14:paraId="79733F87"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Meri</w:t>
            </w:r>
          </w:p>
        </w:tc>
        <w:tc>
          <w:tcPr>
            <w:tcW w:w="2450" w:type="pct"/>
            <w:noWrap/>
            <w:hideMark/>
          </w:tcPr>
          <w:p w14:paraId="5559090A"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-45.1</w:t>
            </w:r>
          </w:p>
        </w:tc>
      </w:tr>
      <w:tr w:rsidR="00B57541" w:rsidRPr="00C22682" w14:paraId="24D343B5" w14:textId="77777777" w:rsidTr="00C22682">
        <w:trPr>
          <w:cnfStyle w:val="000000100000" w:firstRow="0" w:lastRow="0" w:firstColumn="0" w:lastColumn="0" w:oddVBand="0" w:evenVBand="0" w:oddHBand="1" w:evenHBand="0" w:firstRowFirstColumn="0" w:firstRowLastColumn="0" w:lastRowFirstColumn="0" w:lastRowLastColumn="0"/>
          <w:trHeight w:val="161"/>
        </w:trPr>
        <w:tc>
          <w:tcPr>
            <w:tcW w:w="2550" w:type="pct"/>
            <w:noWrap/>
            <w:hideMark/>
          </w:tcPr>
          <w:p w14:paraId="084BC049"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Fructe sâmburoase</w:t>
            </w:r>
          </w:p>
        </w:tc>
        <w:tc>
          <w:tcPr>
            <w:tcW w:w="2450" w:type="pct"/>
            <w:noWrap/>
            <w:hideMark/>
          </w:tcPr>
          <w:p w14:paraId="5D1C6172"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-48.8</w:t>
            </w:r>
          </w:p>
        </w:tc>
      </w:tr>
      <w:tr w:rsidR="00B57541" w:rsidRPr="00C22682" w14:paraId="16C0F057" w14:textId="77777777" w:rsidTr="00C22682">
        <w:trPr>
          <w:cnfStyle w:val="000000010000" w:firstRow="0" w:lastRow="0" w:firstColumn="0" w:lastColumn="0" w:oddVBand="0" w:evenVBand="0" w:oddHBand="0" w:evenHBand="1" w:firstRowFirstColumn="0" w:firstRowLastColumn="0" w:lastRowFirstColumn="0" w:lastRowLastColumn="0"/>
          <w:trHeight w:val="161"/>
        </w:trPr>
        <w:tc>
          <w:tcPr>
            <w:tcW w:w="2550" w:type="pct"/>
            <w:noWrap/>
            <w:hideMark/>
          </w:tcPr>
          <w:p w14:paraId="57D942CE"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Prune</w:t>
            </w:r>
          </w:p>
        </w:tc>
        <w:tc>
          <w:tcPr>
            <w:tcW w:w="2450" w:type="pct"/>
            <w:noWrap/>
            <w:hideMark/>
          </w:tcPr>
          <w:p w14:paraId="44E4C0B0"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-29.0</w:t>
            </w:r>
          </w:p>
        </w:tc>
      </w:tr>
      <w:tr w:rsidR="00B57541" w:rsidRPr="00C22682" w14:paraId="1E8B1AF1" w14:textId="77777777" w:rsidTr="00C22682">
        <w:trPr>
          <w:cnfStyle w:val="000000100000" w:firstRow="0" w:lastRow="0" w:firstColumn="0" w:lastColumn="0" w:oddVBand="0" w:evenVBand="0" w:oddHBand="1" w:evenHBand="0" w:firstRowFirstColumn="0" w:firstRowLastColumn="0" w:lastRowFirstColumn="0" w:lastRowLastColumn="0"/>
          <w:trHeight w:val="161"/>
        </w:trPr>
        <w:tc>
          <w:tcPr>
            <w:tcW w:w="2550" w:type="pct"/>
            <w:noWrap/>
            <w:hideMark/>
          </w:tcPr>
          <w:p w14:paraId="02D0E944"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Vișini</w:t>
            </w:r>
          </w:p>
        </w:tc>
        <w:tc>
          <w:tcPr>
            <w:tcW w:w="2450" w:type="pct"/>
            <w:noWrap/>
            <w:hideMark/>
          </w:tcPr>
          <w:p w14:paraId="239176E6"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-20.0</w:t>
            </w:r>
          </w:p>
        </w:tc>
      </w:tr>
      <w:tr w:rsidR="00B57541" w:rsidRPr="00C22682" w14:paraId="323A85A7" w14:textId="77777777" w:rsidTr="00C22682">
        <w:trPr>
          <w:cnfStyle w:val="000000010000" w:firstRow="0" w:lastRow="0" w:firstColumn="0" w:lastColumn="0" w:oddVBand="0" w:evenVBand="0" w:oddHBand="0" w:evenHBand="1" w:firstRowFirstColumn="0" w:firstRowLastColumn="0" w:lastRowFirstColumn="0" w:lastRowLastColumn="0"/>
          <w:trHeight w:val="161"/>
        </w:trPr>
        <w:tc>
          <w:tcPr>
            <w:tcW w:w="2550" w:type="pct"/>
            <w:noWrap/>
            <w:hideMark/>
          </w:tcPr>
          <w:p w14:paraId="599561AC"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Piersici</w:t>
            </w:r>
          </w:p>
        </w:tc>
        <w:tc>
          <w:tcPr>
            <w:tcW w:w="2450" w:type="pct"/>
            <w:noWrap/>
            <w:hideMark/>
          </w:tcPr>
          <w:p w14:paraId="52D0E052"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-50.0</w:t>
            </w:r>
          </w:p>
        </w:tc>
      </w:tr>
      <w:tr w:rsidR="00B57541" w:rsidRPr="00C22682" w14:paraId="6AE70B38" w14:textId="77777777" w:rsidTr="00C22682">
        <w:trPr>
          <w:cnfStyle w:val="000000100000" w:firstRow="0" w:lastRow="0" w:firstColumn="0" w:lastColumn="0" w:oddVBand="0" w:evenVBand="0" w:oddHBand="1" w:evenHBand="0" w:firstRowFirstColumn="0" w:firstRowLastColumn="0" w:lastRowFirstColumn="0" w:lastRowLastColumn="0"/>
          <w:trHeight w:val="161"/>
        </w:trPr>
        <w:tc>
          <w:tcPr>
            <w:tcW w:w="2550" w:type="pct"/>
            <w:noWrap/>
            <w:hideMark/>
          </w:tcPr>
          <w:p w14:paraId="0A2625AC"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Pomușoare</w:t>
            </w:r>
          </w:p>
        </w:tc>
        <w:tc>
          <w:tcPr>
            <w:tcW w:w="2450" w:type="pct"/>
            <w:noWrap/>
            <w:hideMark/>
          </w:tcPr>
          <w:p w14:paraId="747FEE54"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100.0</w:t>
            </w:r>
          </w:p>
        </w:tc>
      </w:tr>
      <w:tr w:rsidR="00B57541" w:rsidRPr="00C22682" w14:paraId="369B40E7" w14:textId="77777777" w:rsidTr="00C22682">
        <w:trPr>
          <w:cnfStyle w:val="000000010000" w:firstRow="0" w:lastRow="0" w:firstColumn="0" w:lastColumn="0" w:oddVBand="0" w:evenVBand="0" w:oddHBand="0" w:evenHBand="1" w:firstRowFirstColumn="0" w:firstRowLastColumn="0" w:lastRowFirstColumn="0" w:lastRowLastColumn="0"/>
          <w:trHeight w:val="161"/>
        </w:trPr>
        <w:tc>
          <w:tcPr>
            <w:tcW w:w="2550" w:type="pct"/>
            <w:noWrap/>
            <w:hideMark/>
          </w:tcPr>
          <w:p w14:paraId="3CA6432D" w14:textId="77777777" w:rsidR="00B57541" w:rsidRPr="00C22682" w:rsidRDefault="00B57541" w:rsidP="00C03906">
            <w:pPr>
              <w:spacing w:after="0"/>
              <w:rPr>
                <w:rFonts w:ascii="Times New Roman" w:eastAsia="Times New Roman" w:hAnsi="Times New Roman" w:cs="Times New Roman"/>
                <w:bCs/>
                <w:color w:val="000000"/>
                <w:sz w:val="18"/>
                <w:szCs w:val="18"/>
                <w:lang w:val="ro-RO"/>
              </w:rPr>
            </w:pPr>
            <w:r w:rsidRPr="00C22682">
              <w:rPr>
                <w:rFonts w:ascii="Times New Roman" w:eastAsia="Times New Roman" w:hAnsi="Times New Roman" w:cs="Times New Roman"/>
                <w:bCs/>
                <w:color w:val="000000"/>
                <w:sz w:val="18"/>
                <w:szCs w:val="18"/>
                <w:lang w:val="ro-RO"/>
              </w:rPr>
              <w:t>Nuci</w:t>
            </w:r>
          </w:p>
        </w:tc>
        <w:tc>
          <w:tcPr>
            <w:tcW w:w="2450" w:type="pct"/>
            <w:noWrap/>
            <w:hideMark/>
          </w:tcPr>
          <w:p w14:paraId="516BFB79" w14:textId="77777777" w:rsidR="00B57541" w:rsidRPr="00C22682" w:rsidRDefault="00B57541" w:rsidP="00C03906">
            <w:pPr>
              <w:spacing w:after="0"/>
              <w:ind w:right="1454"/>
              <w:jc w:val="right"/>
              <w:rPr>
                <w:rFonts w:ascii="Times New Roman" w:eastAsia="Times New Roman" w:hAnsi="Times New Roman" w:cs="Times New Roman"/>
                <w:color w:val="000000"/>
                <w:sz w:val="18"/>
                <w:szCs w:val="18"/>
                <w:lang w:val="ro-RO"/>
              </w:rPr>
            </w:pPr>
            <w:r w:rsidRPr="00C22682">
              <w:rPr>
                <w:rFonts w:ascii="Times New Roman" w:eastAsia="Times New Roman" w:hAnsi="Times New Roman" w:cs="Times New Roman"/>
                <w:color w:val="000000"/>
                <w:sz w:val="18"/>
                <w:szCs w:val="18"/>
                <w:lang w:val="ro-RO"/>
              </w:rPr>
              <w:t>105.9</w:t>
            </w:r>
          </w:p>
        </w:tc>
      </w:tr>
    </w:tbl>
    <w:p w14:paraId="7D159FA0" w14:textId="1147A2F5" w:rsidR="00B57541" w:rsidRPr="00D74E73" w:rsidRDefault="00B57541" w:rsidP="00B57541">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color w:val="BFBFBF" w:themeColor="background1" w:themeShade="BF"/>
          <w:sz w:val="18"/>
          <w:szCs w:val="18"/>
          <w:lang w:val="ro-RO"/>
        </w:rPr>
      </w:pPr>
      <w:r w:rsidRPr="00D74E73">
        <w:rPr>
          <w:rFonts w:ascii="Times New Roman" w:hAnsi="Times New Roman" w:cs="Times New Roman"/>
          <w:bCs/>
          <w:color w:val="BFBFBF" w:themeColor="background1" w:themeShade="BF"/>
          <w:sz w:val="18"/>
          <w:szCs w:val="18"/>
          <w:lang w:val="ro-RO"/>
        </w:rPr>
        <w:t>Sursa: Elaborat de autori în baza datelor BNS</w:t>
      </w:r>
    </w:p>
    <w:bookmarkEnd w:id="94"/>
    <w:p w14:paraId="75330D51" w14:textId="77777777" w:rsidR="00B57541" w:rsidRPr="00A73566" w:rsidRDefault="00B57541"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Un element important reprezintă dinamica favorabilă (+27%) a suprafețelor plantațiilor multianuale începând cu anul 2007, aceasta fiind determinată, în mare parte, de creștere de 7 ori a suprafeței plantațiilor de nuci și, respectiv, de 4 ori a plantațiilor de pomușoare.</w:t>
      </w:r>
    </w:p>
    <w:p w14:paraId="16F8E04F" w14:textId="496D919C" w:rsidR="00B57541" w:rsidRPr="00A73566" w:rsidRDefault="00B57541"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Estimarea funcției putere și determinarea intervalelor de încredere pentru aceasta ne sugerează o stabilizare a suprafețelor plantate cu fructe</w:t>
      </w:r>
      <w:r w:rsidR="00243937"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pomușoare și nuci în baza variantei optimiste (fig.13), încât spre orizontul </w:t>
      </w:r>
      <w:r w:rsidR="008F4C22" w:rsidRPr="00A73566">
        <w:rPr>
          <w:rFonts w:ascii="Times New Roman" w:hAnsi="Times New Roman" w:cs="Times New Roman"/>
          <w:color w:val="000000" w:themeColor="text1"/>
          <w:lang w:val="ro-RO"/>
        </w:rPr>
        <w:t>20</w:t>
      </w:r>
      <w:r w:rsidR="00316231" w:rsidRPr="00A73566">
        <w:rPr>
          <w:rFonts w:ascii="Times New Roman" w:hAnsi="Times New Roman" w:cs="Times New Roman"/>
          <w:color w:val="000000" w:themeColor="text1"/>
          <w:lang w:val="ro-RO"/>
        </w:rPr>
        <w:t>27</w:t>
      </w:r>
      <w:r w:rsidR="008F4C22"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se va ajunge la o suprafață de cca 135 mii hectare (-4.7% față de anul 2020), în timp ce varianta pesimistă indică spre orizontul previzional o reducere consistentă a suprafeței până la nivelul de 84 mii hectare (-40.5% față de 2020).</w:t>
      </w:r>
      <w:r w:rsidR="00D81518"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O alternativă mai favorabilă, fundamentată pe creșterea suprafeței înregistrată începând cu anul 2007, sugerează într-o variantă optimistă o suprafață circa 185 mii hectare (+30%</w:t>
      </w:r>
      <w:r w:rsidR="00316231"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față</w:t>
      </w:r>
      <w:r w:rsidR="00316231"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de 2020), în timp ce varianta pesimistă indică spre anul </w:t>
      </w:r>
      <w:r w:rsidR="008F4C22" w:rsidRPr="00A73566">
        <w:rPr>
          <w:rFonts w:ascii="Times New Roman" w:hAnsi="Times New Roman" w:cs="Times New Roman"/>
          <w:color w:val="000000" w:themeColor="text1"/>
          <w:lang w:val="ro-RO"/>
        </w:rPr>
        <w:t xml:space="preserve">2027 </w:t>
      </w:r>
      <w:r w:rsidRPr="00A73566">
        <w:rPr>
          <w:rFonts w:ascii="Times New Roman" w:hAnsi="Times New Roman" w:cs="Times New Roman"/>
          <w:color w:val="000000" w:themeColor="text1"/>
          <w:lang w:val="ro-RO"/>
        </w:rPr>
        <w:t>o creștere a suprafeței până la 155 mii hectare (+10% față de 2020).</w:t>
      </w:r>
    </w:p>
    <w:p w14:paraId="591EBC91" w14:textId="5E72B360" w:rsidR="00DC3799" w:rsidRPr="00A73566" w:rsidRDefault="00DC3799" w:rsidP="00C2268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Suprafețele totale de plantații viticole înregistrează o descreștere, cu un indice mediu anual de cca 2%. În anul 2014 suprafața totală a plantațiilor viticole au fost de 140,4, dintre care 133,7 mii ha pe rod. Către anul 2020, suprafața totală a plantațiilor viticole s-a redus la 121,2 mii ha, dintre care productive 114,1 mii ha (fig. 13). În gospodăriile producție marfă suprafața plantațiilor viticole s-au diminuat, cele cu soiuri de struguri pentru vin de la 76,3 mii ha în 2014, la 60,2 mii ha, cele cu soiuri de struguri pentru masă de la 15,7 mii ha în 2014, la 13,3 mii ha în 2020. Între anii 2014-2020 s-au plantat, în total cca 10 mii ha, fiind de peste două ori mai puțin decât în perioada 2007-2013. Pe parcursul anilor 2014-2020 au fost defrișate cca 2,6 mii hectare în an</w:t>
      </w:r>
      <w:r w:rsidR="00710185" w:rsidRPr="00A73566">
        <w:rPr>
          <w:rFonts w:ascii="Times New Roman" w:hAnsi="Times New Roman" w:cs="Times New Roman"/>
          <w:color w:val="000000" w:themeColor="text1"/>
          <w:sz w:val="24"/>
          <w:szCs w:val="24"/>
          <w:lang w:val="ro-RO"/>
        </w:rPr>
        <w:t>.</w:t>
      </w:r>
    </w:p>
    <w:p w14:paraId="2936FBB3" w14:textId="12BBE3EE" w:rsidR="00B848E5" w:rsidRPr="00D74E73" w:rsidRDefault="00E43E72" w:rsidP="00914BD2">
      <w:pPr>
        <w:pStyle w:val="Caption"/>
        <w:framePr w:wrap="around"/>
        <w:spacing w:before="0" w:after="0"/>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w:t>
      </w:r>
      <w:r w:rsidR="00D545A8" w:rsidRPr="00D74E73">
        <w:rPr>
          <w:rFonts w:ascii="Times New Roman" w:hAnsi="Times New Roman" w:cs="Times New Roman"/>
          <w:sz w:val="18"/>
          <w:szCs w:val="18"/>
          <w:lang w:val="ro-RO"/>
        </w:rPr>
        <w:t xml:space="preserve"> 1</w:t>
      </w:r>
      <w:r w:rsidR="00B57541" w:rsidRPr="00D74E73">
        <w:rPr>
          <w:rFonts w:ascii="Times New Roman" w:hAnsi="Times New Roman" w:cs="Times New Roman"/>
          <w:sz w:val="18"/>
          <w:szCs w:val="18"/>
          <w:lang w:val="ro-RO"/>
        </w:rPr>
        <w:t>3</w:t>
      </w:r>
      <w:r w:rsidRPr="00D74E73">
        <w:rPr>
          <w:rFonts w:ascii="Times New Roman" w:hAnsi="Times New Roman" w:cs="Times New Roman"/>
          <w:sz w:val="18"/>
          <w:szCs w:val="18"/>
          <w:lang w:val="ro-RO"/>
        </w:rPr>
        <w:t xml:space="preserve">. </w:t>
      </w:r>
      <w:r w:rsidR="00B848E5" w:rsidRPr="00D74E73">
        <w:rPr>
          <w:rFonts w:ascii="Times New Roman" w:hAnsi="Times New Roman" w:cs="Times New Roman"/>
          <w:sz w:val="18"/>
          <w:szCs w:val="18"/>
          <w:lang w:val="ro-RO"/>
        </w:rPr>
        <w:t xml:space="preserve">Suprafețele plantate cu </w:t>
      </w:r>
      <w:r w:rsidRPr="00D74E73">
        <w:rPr>
          <w:rFonts w:ascii="Times New Roman" w:hAnsi="Times New Roman" w:cs="Times New Roman"/>
          <w:sz w:val="18"/>
          <w:szCs w:val="18"/>
          <w:lang w:val="ro-RO"/>
        </w:rPr>
        <w:t>viță de vie</w:t>
      </w:r>
      <w:r w:rsidR="00B848E5" w:rsidRPr="00D74E73">
        <w:rPr>
          <w:rFonts w:ascii="Times New Roman" w:hAnsi="Times New Roman" w:cs="Times New Roman"/>
          <w:sz w:val="18"/>
          <w:szCs w:val="18"/>
          <w:lang w:val="ro-RO"/>
        </w:rPr>
        <w:t xml:space="preserve"> (1993-2020)</w:t>
      </w:r>
    </w:p>
    <w:p w14:paraId="3D62CE01" w14:textId="3925FE2B" w:rsidR="00B848E5" w:rsidRPr="00A73566" w:rsidRDefault="00DC3799" w:rsidP="00C22682">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ind w:right="89"/>
        <w:contextualSpacing/>
        <w:rPr>
          <w:rFonts w:ascii="Times New Roman" w:hAnsi="Times New Roman" w:cs="Times New Roman"/>
          <w:color w:val="000000" w:themeColor="text1"/>
          <w:lang w:val="ro-RO"/>
        </w:rPr>
      </w:pPr>
      <w:r w:rsidRPr="00A73566">
        <w:rPr>
          <w:noProof/>
          <w:lang w:val="en-US"/>
        </w:rPr>
        <w:drawing>
          <wp:inline distT="0" distB="0" distL="0" distR="0" wp14:anchorId="5B24DF4E" wp14:editId="1F5A45D7">
            <wp:extent cx="6040120" cy="1178011"/>
            <wp:effectExtent l="0" t="0" r="17780" b="317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61A6ECD" w14:textId="0630CAB4" w:rsidR="009B131C" w:rsidRPr="00D74E73" w:rsidRDefault="00B61E86" w:rsidP="00781CB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color w:val="000000" w:themeColor="text1"/>
          <w:sz w:val="18"/>
          <w:szCs w:val="18"/>
          <w:lang w:val="ro-RO"/>
        </w:rPr>
      </w:pPr>
      <w:r w:rsidRPr="00A73566">
        <w:rPr>
          <w:rFonts w:ascii="Times New Roman" w:hAnsi="Times New Roman" w:cs="Times New Roman"/>
          <w:b/>
          <w:color w:val="000000" w:themeColor="text1"/>
          <w:sz w:val="20"/>
          <w:szCs w:val="20"/>
          <w:lang w:val="ro-RO"/>
        </w:rPr>
        <w:t xml:space="preserve"> </w:t>
      </w:r>
      <w:r w:rsidRPr="00D74E73">
        <w:rPr>
          <w:rFonts w:ascii="Times New Roman" w:hAnsi="Times New Roman" w:cs="Times New Roman"/>
          <w:bCs/>
          <w:color w:val="BFBFBF" w:themeColor="background1" w:themeShade="BF"/>
          <w:sz w:val="18"/>
          <w:szCs w:val="18"/>
          <w:lang w:val="ro-RO"/>
        </w:rPr>
        <w:t xml:space="preserve">Sursa: </w:t>
      </w:r>
      <w:r w:rsidR="00316231" w:rsidRPr="00D74E73">
        <w:rPr>
          <w:rFonts w:ascii="Times New Roman" w:hAnsi="Times New Roman" w:cs="Times New Roman"/>
          <w:bCs/>
          <w:color w:val="BFBFBF" w:themeColor="background1" w:themeShade="BF"/>
          <w:sz w:val="18"/>
          <w:szCs w:val="18"/>
          <w:lang w:val="ro-RO"/>
        </w:rPr>
        <w:t>E</w:t>
      </w:r>
      <w:r w:rsidRPr="00D74E73">
        <w:rPr>
          <w:rFonts w:ascii="Times New Roman" w:hAnsi="Times New Roman" w:cs="Times New Roman"/>
          <w:bCs/>
          <w:color w:val="BFBFBF" w:themeColor="background1" w:themeShade="BF"/>
          <w:sz w:val="18"/>
          <w:szCs w:val="18"/>
          <w:lang w:val="ro-RO"/>
        </w:rPr>
        <w:t>laborată în baza datelor BNS, 2021</w:t>
      </w:r>
    </w:p>
    <w:p w14:paraId="69679B3B" w14:textId="0F1FFD43" w:rsidR="00C22682" w:rsidRPr="00A73566" w:rsidRDefault="00B57541" w:rsidP="00C22682">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Extinderea activităților agricole poate fi determinată și de creșterea numărului de întreprinderi  cu activități agricole. Astfel, în perioada </w:t>
      </w:r>
      <w:r w:rsidR="00692962" w:rsidRPr="00A73566">
        <w:rPr>
          <w:rFonts w:ascii="Times New Roman" w:hAnsi="Times New Roman" w:cs="Times New Roman"/>
          <w:color w:val="000000" w:themeColor="text1"/>
          <w:lang w:val="ro-RO"/>
        </w:rPr>
        <w:t>de analiză</w:t>
      </w:r>
      <w:r w:rsidRPr="00A73566">
        <w:rPr>
          <w:rFonts w:ascii="Times New Roman" w:hAnsi="Times New Roman" w:cs="Times New Roman"/>
          <w:color w:val="000000" w:themeColor="text1"/>
          <w:lang w:val="ro-RO"/>
        </w:rPr>
        <w:t xml:space="preserve"> numărul de întreprinderi agricol</w:t>
      </w:r>
      <w:r w:rsidR="007F13F6" w:rsidRPr="00A73566">
        <w:rPr>
          <w:rFonts w:ascii="Times New Roman" w:hAnsi="Times New Roman" w:cs="Times New Roman"/>
          <w:color w:val="000000" w:themeColor="text1"/>
          <w:lang w:val="ro-RO"/>
        </w:rPr>
        <w:t>e</w:t>
      </w:r>
      <w:r w:rsidRPr="00A73566">
        <w:rPr>
          <w:rFonts w:ascii="Times New Roman" w:hAnsi="Times New Roman" w:cs="Times New Roman"/>
          <w:color w:val="000000" w:themeColor="text1"/>
          <w:lang w:val="ro-RO"/>
        </w:rPr>
        <w:t xml:space="preserve">, la fel ca și ponderea acestora în numărul total de întreprinderi din republică, a continuat să crească, dinamica generală fiind caracterizată </w:t>
      </w:r>
      <w:r w:rsidR="007F13F6"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de</w:t>
      </w:r>
      <w:r w:rsidR="007F13F6"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ritm de circa +40% și respectiv +1.62 puncte procentuale. Deci, este evident că populația angajată în agricultură se orientează tot mai mult  spre activități individuale.</w:t>
      </w:r>
    </w:p>
    <w:p w14:paraId="4A675EAB" w14:textId="77777777" w:rsidR="0080785B" w:rsidRPr="00A73566" w:rsidRDefault="0080785B" w:rsidP="0080785B">
      <w:pPr>
        <w:pStyle w:val="Heading3"/>
        <w:rPr>
          <w:rFonts w:ascii="Times New Roman" w:hAnsi="Times New Roman" w:cs="Times New Roman"/>
          <w:lang w:val="ro-RO"/>
        </w:rPr>
      </w:pPr>
      <w:bookmarkStart w:id="95" w:name="_Toc88132103"/>
      <w:r w:rsidRPr="00A73566">
        <w:rPr>
          <w:rFonts w:ascii="Times New Roman" w:hAnsi="Times New Roman" w:cs="Times New Roman"/>
          <w:lang w:val="ro-RO"/>
        </w:rPr>
        <w:t>Schimbările climatice</w:t>
      </w:r>
      <w:bookmarkEnd w:id="95"/>
      <w:r w:rsidRPr="00A73566">
        <w:rPr>
          <w:rFonts w:ascii="Times New Roman" w:hAnsi="Times New Roman" w:cs="Times New Roman"/>
          <w:lang w:val="ro-RO"/>
        </w:rPr>
        <w:t xml:space="preserve"> </w:t>
      </w:r>
    </w:p>
    <w:p w14:paraId="7AA791B8"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Analiza datelor meteo din ultimii 75 de ani arată că parametri principalii ai climei din Republica Moldova au fost supuși multiplelor fenomene climatice, unele din ele  influențând vădit procesului de creștere în ramura agricolă. </w:t>
      </w:r>
    </w:p>
    <w:p w14:paraId="098E4A9D" w14:textId="33D933B9" w:rsidR="0080785B" w:rsidRDefault="0080785B" w:rsidP="00D74E73">
      <w:pPr>
        <w:spacing w:before="240"/>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Indiciile de majorare a temperaturilor anuale pentru perioada analizată (1945 - 2020) au constituit: de la +9,250 C la +11,40 C (cu +2.150 C, sau cu +0.02870 C anual), (fig. 26). La prima etapă (a.a. 1945-1975), s-a înregistrat și fenomenul de scădere a indicilor temperaturilor anuale: de la +9.250 C până la +8.950 C (sau -0.30 C, ceea ce constituie în medie -0,010 C pentru fiecare an.</w:t>
      </w:r>
      <w:r w:rsidRPr="00A73566">
        <w:rPr>
          <w:rFonts w:ascii="Times New Roman" w:hAnsi="Times New Roman" w:cs="Times New Roman"/>
          <w:color w:val="000000" w:themeColor="text1"/>
          <w:sz w:val="24"/>
          <w:szCs w:val="24"/>
          <w:lang w:val="ro-RO"/>
        </w:rPr>
        <w:t xml:space="preserve">  </w:t>
      </w:r>
    </w:p>
    <w:p w14:paraId="68A1545E" w14:textId="77777777" w:rsidR="008F286C" w:rsidRPr="00D74E73" w:rsidRDefault="008F286C" w:rsidP="008F286C">
      <w:pPr>
        <w:ind w:firstLine="567"/>
        <w:rPr>
          <w:rFonts w:ascii="Times New Roman" w:hAnsi="Times New Roman" w:cs="Times New Roman"/>
          <w:color w:val="000000" w:themeColor="text1"/>
          <w:sz w:val="16"/>
          <w:szCs w:val="16"/>
          <w:lang w:val="ro-RO"/>
        </w:rPr>
      </w:pPr>
    </w:p>
    <w:p w14:paraId="32D12BCC" w14:textId="686D2E41" w:rsidR="0080785B" w:rsidRPr="00D74E73" w:rsidRDefault="000F10F9" w:rsidP="00D74E73">
      <w:pPr>
        <w:pStyle w:val="Caption"/>
        <w:framePr w:wrap="around"/>
        <w:spacing w:before="0"/>
        <w:jc w:val="both"/>
        <w:rPr>
          <w:rFonts w:ascii="Times New Roman" w:hAnsi="Times New Roman" w:cs="Times New Roman"/>
          <w:sz w:val="18"/>
          <w:szCs w:val="18"/>
          <w:lang w:val="ro-RO"/>
        </w:rPr>
      </w:pPr>
      <w:r w:rsidRPr="00D74E73">
        <w:rPr>
          <w:rFonts w:ascii="Times New Roman" w:hAnsi="Times New Roman" w:cs="Times New Roman"/>
          <w:sz w:val="18"/>
          <w:szCs w:val="18"/>
          <w:lang w:val="ro-RO"/>
        </w:rPr>
        <w:t>Figura 14</w:t>
      </w:r>
      <w:r w:rsidR="0080785B" w:rsidRPr="00D74E73">
        <w:rPr>
          <w:rFonts w:ascii="Times New Roman" w:hAnsi="Times New Roman" w:cs="Times New Roman"/>
          <w:sz w:val="18"/>
          <w:szCs w:val="18"/>
          <w:lang w:val="ro-RO"/>
        </w:rPr>
        <w:t>. Schimbarea climei şi evoluţia dezvoltării agriculturii din Republica Moldova, 1945-2020</w:t>
      </w:r>
    </w:p>
    <w:p w14:paraId="1D8A04E2" w14:textId="77777777" w:rsidR="0080785B" w:rsidRPr="00A73566" w:rsidRDefault="0080785B" w:rsidP="0080785B">
      <w:pPr>
        <w:pStyle w:val="NoSpacing"/>
        <w:jc w:val="both"/>
        <w:rPr>
          <w:rFonts w:ascii="Times New Roman" w:hAnsi="Times New Roman" w:cs="Times New Roman"/>
          <w:sz w:val="24"/>
          <w:szCs w:val="24"/>
        </w:rPr>
      </w:pPr>
      <w:r w:rsidRPr="00A73566">
        <w:rPr>
          <w:rFonts w:ascii="Times New Roman" w:hAnsi="Times New Roman" w:cs="Times New Roman"/>
          <w:noProof/>
          <w:sz w:val="24"/>
          <w:szCs w:val="24"/>
          <w:lang w:val="en-US"/>
        </w:rPr>
        <w:drawing>
          <wp:inline distT="0" distB="0" distL="0" distR="0" wp14:anchorId="2CF89372" wp14:editId="75ED71B7">
            <wp:extent cx="5943600" cy="2936630"/>
            <wp:effectExtent l="0" t="0" r="0" b="1651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B4026B" w14:textId="75DB2626" w:rsidR="00C22682" w:rsidRPr="00E313DD" w:rsidRDefault="0080785B" w:rsidP="00E313DD">
      <w:pPr>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elaborat</w:t>
      </w:r>
      <w:r w:rsidR="00E313DD">
        <w:rPr>
          <w:rFonts w:ascii="Times New Roman" w:hAnsi="Times New Roman" w:cs="Times New Roman"/>
          <w:iCs/>
          <w:color w:val="BFBFBF" w:themeColor="background1" w:themeShade="BF"/>
          <w:sz w:val="18"/>
          <w:szCs w:val="18"/>
          <w:lang w:val="ro-RO"/>
        </w:rPr>
        <w:t>ă de autori în baza datelor SHS</w:t>
      </w:r>
    </w:p>
    <w:p w14:paraId="77520B85" w14:textId="77777777" w:rsidR="0080785B" w:rsidRPr="00A73566" w:rsidRDefault="0080785B" w:rsidP="00C22682">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consecință, trendul majorării temperaturilor anuale în ultimii 45 ani (1975-2020) a fost de: +2,450 C (+0,0540 C per 1 an), inclusiv pentru ultimii 20 de ani (2000-2020): cu +1,800 C (sau +0,090 C per 1 an), dar ultimii 10 ani (a.a. 2011-2020): cu +0,940 C (sau +0,0940 C per 1 an), adică de 1,74 ori mai intensiv în comparație cu indicatorul mediu.</w:t>
      </w:r>
    </w:p>
    <w:p w14:paraId="411B482A" w14:textId="41427DB7" w:rsidR="003C09DD"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Paralel, volumul precipitațiilor atmosferice se apreciază după alte criterii: majorarea de la 480,0 mm până la 576,0 mm (sau +2,9 mm per 1 an) – înregistrate pentru perioada a. a. 1945-1986. În perioada ultimilor 35 de ani (1985-2020), dimpotrivă, a fost înregistrată scăderea volumului de precipitații atmosferice: de la 576 mm până la 538,0 mm (sau cu -1,09 mm anual).</w:t>
      </w:r>
    </w:p>
    <w:p w14:paraId="2D7D289A" w14:textId="77777777" w:rsidR="002E19D6" w:rsidRDefault="002E19D6" w:rsidP="00C22682">
      <w:pPr>
        <w:ind w:firstLine="567"/>
        <w:rPr>
          <w:rFonts w:ascii="Times New Roman" w:hAnsi="Times New Roman" w:cs="Times New Roman"/>
          <w:color w:val="000000" w:themeColor="text1"/>
          <w:lang w:val="ro-RO"/>
        </w:rPr>
      </w:pPr>
    </w:p>
    <w:p w14:paraId="358B77BC" w14:textId="77777777" w:rsidR="002E19D6" w:rsidRDefault="002E19D6" w:rsidP="00C22682">
      <w:pPr>
        <w:ind w:firstLine="567"/>
        <w:rPr>
          <w:rFonts w:ascii="Times New Roman" w:hAnsi="Times New Roman" w:cs="Times New Roman"/>
          <w:color w:val="000000" w:themeColor="text1"/>
          <w:lang w:val="ro-RO"/>
        </w:rPr>
      </w:pPr>
    </w:p>
    <w:p w14:paraId="427D2E54" w14:textId="77777777" w:rsidR="002E19D6" w:rsidRDefault="002E19D6" w:rsidP="00C22682">
      <w:pPr>
        <w:ind w:firstLine="567"/>
        <w:rPr>
          <w:rFonts w:ascii="Times New Roman" w:hAnsi="Times New Roman" w:cs="Times New Roman"/>
          <w:color w:val="000000" w:themeColor="text1"/>
          <w:lang w:val="ro-RO"/>
        </w:rPr>
      </w:pPr>
    </w:p>
    <w:p w14:paraId="57672DD9" w14:textId="77777777" w:rsidR="002E19D6" w:rsidRDefault="002E19D6" w:rsidP="00C22682">
      <w:pPr>
        <w:ind w:firstLine="567"/>
        <w:rPr>
          <w:rFonts w:ascii="Times New Roman" w:hAnsi="Times New Roman" w:cs="Times New Roman"/>
          <w:color w:val="000000" w:themeColor="text1"/>
          <w:lang w:val="ro-RO"/>
        </w:rPr>
      </w:pPr>
    </w:p>
    <w:p w14:paraId="2C56B5CD" w14:textId="77777777" w:rsidR="002E19D6" w:rsidRDefault="002E19D6" w:rsidP="00C22682">
      <w:pPr>
        <w:ind w:firstLine="567"/>
        <w:rPr>
          <w:rFonts w:ascii="Times New Roman" w:hAnsi="Times New Roman" w:cs="Times New Roman"/>
          <w:color w:val="000000" w:themeColor="text1"/>
          <w:lang w:val="ro-RO"/>
        </w:rPr>
      </w:pPr>
    </w:p>
    <w:p w14:paraId="15893664" w14:textId="77777777" w:rsidR="002E19D6" w:rsidRPr="00C22682" w:rsidRDefault="002E19D6" w:rsidP="00C22682">
      <w:pPr>
        <w:ind w:firstLine="567"/>
        <w:rPr>
          <w:rFonts w:ascii="Times New Roman" w:hAnsi="Times New Roman" w:cs="Times New Roman"/>
          <w:color w:val="000000" w:themeColor="text1"/>
          <w:lang w:val="ro-RO"/>
        </w:rPr>
      </w:pPr>
    </w:p>
    <w:p w14:paraId="4F6ADF45" w14:textId="3BAD9BCC" w:rsidR="0080785B" w:rsidRPr="008F286C" w:rsidRDefault="000F10F9" w:rsidP="0080785B">
      <w:pPr>
        <w:pStyle w:val="Caption"/>
        <w:framePr w:wrap="around"/>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Figura 15</w:t>
      </w:r>
      <w:r w:rsidR="0080785B" w:rsidRPr="008F286C">
        <w:rPr>
          <w:rFonts w:ascii="Times New Roman" w:hAnsi="Times New Roman" w:cs="Times New Roman"/>
          <w:sz w:val="18"/>
          <w:szCs w:val="18"/>
          <w:lang w:val="ro-RO"/>
        </w:rPr>
        <w:t>. Dinamica indexelor volumului de precipitaţii atmosferice   1946 - 2020</w:t>
      </w:r>
    </w:p>
    <w:p w14:paraId="5204406B" w14:textId="77777777" w:rsidR="0080785B" w:rsidRPr="00A73566" w:rsidRDefault="0080785B" w:rsidP="0080785B">
      <w:pPr>
        <w:ind w:left="142"/>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6373F7B4" wp14:editId="7B113926">
            <wp:extent cx="5855677" cy="2927350"/>
            <wp:effectExtent l="0" t="0" r="12065" b="635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28275C" w14:textId="77777777" w:rsidR="0080785B" w:rsidRPr="008F286C" w:rsidRDefault="0080785B" w:rsidP="0080785B">
      <w:pPr>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Elaborată de autori în baza datelor SHS</w:t>
      </w:r>
    </w:p>
    <w:p w14:paraId="077AA9C6"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Instabilitatea principalilor indicatori meteo, temperatura aerului și scăderea volumelor de precipitații a avut drept consecință scăderea nivelului de productivitate a principalelor culturi agricole. Conform datele din perioada 1946-2014, observam ritmuri de scădere a nivelului de productivitate apreciate ca: -0,245 q/ha – pentru cultura grâului de toamnă, -0.25 q/ha – pentru cultura porumbului, -0.119 q/ha – pentru cultura de floarea-soarelui, -0.052 q/ha – pentru cultura sfeclei de zahăr, -0.099 q/ha – pentru struguri și -0.055 q/ha – pentru culturi pomicole pentru fiecare +1% de temperaturi anuale.</w:t>
      </w:r>
    </w:p>
    <w:p w14:paraId="07CFD0FF" w14:textId="1F3CFAC0"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Indicatorii specifici meteo ce caracterizează clima Moldovei sunt: instabilitatea temperaturile anuale: de la 7.760 C până la +12 C, și volumele precipitațiilor: de la 236 mm până la 765. 3mm. Analiza datelor mai arată că anii agricoli cu temperaturi maximale au fost fixate în 21.6%, iar cele cu temperaturi reduse în  45. 9% de ani studiați. </w:t>
      </w:r>
    </w:p>
    <w:p w14:paraId="4A9185BA"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Odată cu procesul de majorare a indicilor temperaturilor aerului (de la +7.56 0 C până la + 12 C) s-a fixat scăderea coeficientului fotosintetic a plantelor culturilor agricole (q/ha pentru fiecare +10 C). Cea mai conservativă a fost reacția plantelor culturii sfecla de zahăr, dar cele mai volatile au fost culturile pomicole și vița-de-vie, iar grâul de toamnă și porumbul au ocupat o poziție medie. (Fig. 28). Un criteriu, care caracterizează suplimentar fenomenul de schimbare a climei, este și a.n. „extremizaţia climei” care se apreciază prin procesul majorării temperaturilor sezonului de vară paralel cu scăderea temperaturilor de iernare, ce se demonstrează prin a. n. „coeficientul continental” (Kcont), în comparație cu datele medii multianuale.  </w:t>
      </w:r>
    </w:p>
    <w:p w14:paraId="33A94420" w14:textId="41451AD4" w:rsidR="00C22682"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Analiza datelor multianuale (1945-2020) au demonstrat că anii cu cel mai înalt nivel de recoltă a culturilor agricole, s-au caracterizat prin cele mai modeste indice a Kcont: iarna cu temperaturile ridicate (t0 C= -1,50 C…-1,80 C, sau cu +0,70 C…+0,40 C) mai sus de „norma” multianuală (-2,20 C), în coordonare cu nivelul modest a temperaturilor sezonului de vară (+18,150 C…+19,00 C), ce se apreciază cu Kcont = 0,86-0,90 un. (tabelul 4). Cea mai accentuată reacție a plantelor la majorarea nivelului Kcont. au avut-o culturile pomicole (scăderea cu -56,0%), sfecla de zahăr (-52,1%), grâu de toamnă (-47,2%) și porumbul (-29,2%), mai puțin vița de vie (-35,6%) și floarea-soarelui (-43,1%).</w:t>
      </w:r>
    </w:p>
    <w:p w14:paraId="4BF867A7" w14:textId="77777777" w:rsidR="002E19D6" w:rsidRDefault="002E19D6" w:rsidP="00C22682">
      <w:pPr>
        <w:ind w:firstLine="567"/>
        <w:rPr>
          <w:rFonts w:ascii="Times New Roman" w:hAnsi="Times New Roman" w:cs="Times New Roman"/>
          <w:color w:val="000000" w:themeColor="text1"/>
          <w:lang w:val="ro-RO"/>
        </w:rPr>
      </w:pPr>
    </w:p>
    <w:p w14:paraId="13AD5CE5" w14:textId="77777777" w:rsidR="002E19D6" w:rsidRDefault="002E19D6" w:rsidP="00C22682">
      <w:pPr>
        <w:ind w:firstLine="567"/>
        <w:rPr>
          <w:rFonts w:ascii="Times New Roman" w:hAnsi="Times New Roman" w:cs="Times New Roman"/>
          <w:color w:val="000000" w:themeColor="text1"/>
          <w:lang w:val="ro-RO"/>
        </w:rPr>
      </w:pPr>
    </w:p>
    <w:p w14:paraId="1322FFB3" w14:textId="77777777" w:rsidR="008F286C" w:rsidRPr="00C22682" w:rsidRDefault="008F286C" w:rsidP="00C22682">
      <w:pPr>
        <w:ind w:firstLine="567"/>
        <w:rPr>
          <w:rFonts w:ascii="Times New Roman" w:hAnsi="Times New Roman" w:cs="Times New Roman"/>
          <w:color w:val="000000" w:themeColor="text1"/>
          <w:lang w:val="ro-RO"/>
        </w:rPr>
      </w:pPr>
    </w:p>
    <w:p w14:paraId="16BD1192" w14:textId="526D7E00" w:rsidR="0080785B" w:rsidRPr="008F286C" w:rsidRDefault="0080785B" w:rsidP="00C22682">
      <w:pPr>
        <w:pStyle w:val="Caption"/>
        <w:framePr w:wrap="around"/>
        <w:spacing w:before="0" w:after="0"/>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 xml:space="preserve">Tabelul </w:t>
      </w:r>
      <w:r w:rsidRPr="008F286C">
        <w:rPr>
          <w:rFonts w:ascii="Times New Roman" w:hAnsi="Times New Roman" w:cs="Times New Roman"/>
          <w:sz w:val="18"/>
          <w:szCs w:val="18"/>
          <w:lang w:val="ro-RO"/>
        </w:rPr>
        <w:fldChar w:fldCharType="begin"/>
      </w:r>
      <w:r w:rsidRPr="008F286C">
        <w:rPr>
          <w:rFonts w:ascii="Times New Roman" w:hAnsi="Times New Roman" w:cs="Times New Roman"/>
          <w:sz w:val="18"/>
          <w:szCs w:val="18"/>
          <w:lang w:val="ro-RO"/>
        </w:rPr>
        <w:instrText xml:space="preserve"> SEQ Tabelul \* ARABIC </w:instrText>
      </w:r>
      <w:r w:rsidRPr="008F286C">
        <w:rPr>
          <w:rFonts w:ascii="Times New Roman" w:hAnsi="Times New Roman" w:cs="Times New Roman"/>
          <w:sz w:val="18"/>
          <w:szCs w:val="18"/>
          <w:lang w:val="ro-RO"/>
        </w:rPr>
        <w:fldChar w:fldCharType="separate"/>
      </w:r>
      <w:r w:rsidR="009A2BC5" w:rsidRPr="008F286C">
        <w:rPr>
          <w:rFonts w:ascii="Times New Roman" w:hAnsi="Times New Roman" w:cs="Times New Roman"/>
          <w:noProof/>
          <w:sz w:val="18"/>
          <w:szCs w:val="18"/>
          <w:lang w:val="ro-RO"/>
        </w:rPr>
        <w:t>4</w:t>
      </w:r>
      <w:r w:rsidRPr="008F286C">
        <w:rPr>
          <w:rFonts w:ascii="Times New Roman" w:hAnsi="Times New Roman" w:cs="Times New Roman"/>
          <w:sz w:val="18"/>
          <w:szCs w:val="18"/>
          <w:lang w:val="ro-RO"/>
        </w:rPr>
        <w:fldChar w:fldCharType="end"/>
      </w:r>
      <w:r w:rsidRPr="008F286C">
        <w:rPr>
          <w:rFonts w:ascii="Times New Roman" w:hAnsi="Times New Roman" w:cs="Times New Roman"/>
          <w:sz w:val="18"/>
          <w:szCs w:val="18"/>
          <w:lang w:val="ro-RO"/>
        </w:rPr>
        <w:t xml:space="preserve">. Dinamica nivelului de productivitate a culturilor agricole în dependență de indicii Kcont. (1945-2020) </w:t>
      </w:r>
    </w:p>
    <w:p w14:paraId="77EF682D" w14:textId="77777777" w:rsidR="003C09DD" w:rsidRPr="008F286C" w:rsidRDefault="003C09DD" w:rsidP="00C22682">
      <w:pPr>
        <w:spacing w:after="0"/>
        <w:rPr>
          <w:sz w:val="16"/>
          <w:szCs w:val="16"/>
          <w:lang w:val="ro-RO"/>
        </w:rPr>
      </w:pPr>
    </w:p>
    <w:tbl>
      <w:tblPr>
        <w:tblStyle w:val="Civittatable"/>
        <w:tblW w:w="9489" w:type="dxa"/>
        <w:tblInd w:w="-5" w:type="dxa"/>
        <w:tblLayout w:type="fixed"/>
        <w:tblLook w:val="04A0" w:firstRow="1" w:lastRow="0" w:firstColumn="1" w:lastColumn="0" w:noHBand="0" w:noVBand="1"/>
      </w:tblPr>
      <w:tblGrid>
        <w:gridCol w:w="426"/>
        <w:gridCol w:w="992"/>
        <w:gridCol w:w="425"/>
        <w:gridCol w:w="117"/>
        <w:gridCol w:w="522"/>
        <w:gridCol w:w="657"/>
        <w:gridCol w:w="648"/>
        <w:gridCol w:w="662"/>
        <w:gridCol w:w="564"/>
        <w:gridCol w:w="619"/>
        <w:gridCol w:w="605"/>
        <w:gridCol w:w="660"/>
        <w:gridCol w:w="648"/>
        <w:gridCol w:w="617"/>
        <w:gridCol w:w="648"/>
        <w:gridCol w:w="671"/>
        <w:gridCol w:w="8"/>
      </w:tblGrid>
      <w:tr w:rsidR="0080785B" w:rsidRPr="00A73566" w14:paraId="618A7D0B" w14:textId="77777777" w:rsidTr="00F072FA">
        <w:trPr>
          <w:cnfStyle w:val="100000000000" w:firstRow="1" w:lastRow="0" w:firstColumn="0" w:lastColumn="0" w:oddVBand="0" w:evenVBand="0" w:oddHBand="0" w:evenHBand="0" w:firstRowFirstColumn="0" w:firstRowLastColumn="0" w:lastRowFirstColumn="0" w:lastRowLastColumn="0"/>
          <w:trHeight w:val="338"/>
        </w:trPr>
        <w:tc>
          <w:tcPr>
            <w:tcW w:w="426" w:type="dxa"/>
          </w:tcPr>
          <w:p w14:paraId="6E57D07F" w14:textId="77777777" w:rsidR="0080785B" w:rsidRPr="00A73566" w:rsidRDefault="0080785B" w:rsidP="0080785B">
            <w:pPr>
              <w:spacing w:after="0"/>
              <w:rPr>
                <w:rFonts w:ascii="Times New Roman" w:hAnsi="Times New Roman" w:cs="Times New Roman"/>
                <w:sz w:val="17"/>
                <w:szCs w:val="17"/>
                <w:lang w:val="ro-RO"/>
              </w:rPr>
            </w:pPr>
          </w:p>
        </w:tc>
        <w:tc>
          <w:tcPr>
            <w:tcW w:w="992" w:type="dxa"/>
          </w:tcPr>
          <w:p w14:paraId="39E69CC3" w14:textId="77777777" w:rsidR="0080785B" w:rsidRPr="00A73566" w:rsidRDefault="0080785B" w:rsidP="0080785B">
            <w:pPr>
              <w:spacing w:after="0"/>
              <w:rPr>
                <w:rFonts w:ascii="Times New Roman" w:hAnsi="Times New Roman" w:cs="Times New Roman"/>
                <w:sz w:val="17"/>
                <w:szCs w:val="17"/>
                <w:lang w:val="ro-RO"/>
              </w:rPr>
            </w:pPr>
          </w:p>
        </w:tc>
        <w:tc>
          <w:tcPr>
            <w:tcW w:w="425" w:type="dxa"/>
          </w:tcPr>
          <w:p w14:paraId="5F18ABCC" w14:textId="77777777" w:rsidR="0080785B" w:rsidRPr="00A73566" w:rsidRDefault="0080785B" w:rsidP="0080785B">
            <w:pPr>
              <w:spacing w:after="0"/>
              <w:rPr>
                <w:rFonts w:ascii="Times New Roman" w:hAnsi="Times New Roman" w:cs="Times New Roman"/>
                <w:sz w:val="17"/>
                <w:szCs w:val="17"/>
                <w:lang w:val="ro-RO"/>
              </w:rPr>
            </w:pPr>
          </w:p>
        </w:tc>
        <w:tc>
          <w:tcPr>
            <w:tcW w:w="7646" w:type="dxa"/>
            <w:gridSpan w:val="14"/>
          </w:tcPr>
          <w:p w14:paraId="50838B79" w14:textId="77777777" w:rsidR="0080785B" w:rsidRPr="00A73566" w:rsidRDefault="0080785B" w:rsidP="00F072FA">
            <w:pPr>
              <w:spacing w:after="0"/>
              <w:jc w:val="center"/>
              <w:rPr>
                <w:rFonts w:ascii="Times New Roman" w:hAnsi="Times New Roman" w:cs="Times New Roman"/>
                <w:b/>
                <w:sz w:val="17"/>
                <w:szCs w:val="17"/>
                <w:lang w:val="ro-RO"/>
              </w:rPr>
            </w:pPr>
            <w:r w:rsidRPr="00A73566">
              <w:rPr>
                <w:rFonts w:ascii="Times New Roman" w:hAnsi="Times New Roman" w:cs="Times New Roman"/>
                <w:b/>
                <w:sz w:val="17"/>
                <w:szCs w:val="17"/>
                <w:lang w:val="ro-RO"/>
              </w:rPr>
              <w:t>Nivelul de productivitate (q/ha)</w:t>
            </w:r>
          </w:p>
        </w:tc>
      </w:tr>
      <w:tr w:rsidR="0080785B" w:rsidRPr="00A73566" w14:paraId="389D08A6" w14:textId="77777777" w:rsidTr="00F072FA">
        <w:trPr>
          <w:cnfStyle w:val="000000100000" w:firstRow="0" w:lastRow="0" w:firstColumn="0" w:lastColumn="0" w:oddVBand="0" w:evenVBand="0" w:oddHBand="1" w:evenHBand="0" w:firstRowFirstColumn="0" w:firstRowLastColumn="0" w:lastRowFirstColumn="0" w:lastRowLastColumn="0"/>
          <w:trHeight w:val="338"/>
        </w:trPr>
        <w:tc>
          <w:tcPr>
            <w:tcW w:w="426" w:type="dxa"/>
            <w:vMerge w:val="restart"/>
            <w:vAlign w:val="center"/>
          </w:tcPr>
          <w:p w14:paraId="18EBF1E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Nr</w:t>
            </w:r>
          </w:p>
        </w:tc>
        <w:tc>
          <w:tcPr>
            <w:tcW w:w="992" w:type="dxa"/>
            <w:vMerge w:val="restart"/>
            <w:vAlign w:val="center"/>
          </w:tcPr>
          <w:p w14:paraId="2EABFBC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Kcont.</w:t>
            </w:r>
          </w:p>
        </w:tc>
        <w:tc>
          <w:tcPr>
            <w:tcW w:w="542" w:type="dxa"/>
            <w:gridSpan w:val="2"/>
            <w:vMerge w:val="restart"/>
            <w:vAlign w:val="center"/>
          </w:tcPr>
          <w:p w14:paraId="16E667AC"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Ani</w:t>
            </w:r>
          </w:p>
        </w:tc>
        <w:tc>
          <w:tcPr>
            <w:tcW w:w="1179" w:type="dxa"/>
            <w:gridSpan w:val="2"/>
            <w:vAlign w:val="center"/>
          </w:tcPr>
          <w:p w14:paraId="2023E05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Grâu</w:t>
            </w:r>
          </w:p>
          <w:p w14:paraId="1B614B0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de toamnă</w:t>
            </w:r>
          </w:p>
        </w:tc>
        <w:tc>
          <w:tcPr>
            <w:tcW w:w="1310" w:type="dxa"/>
            <w:gridSpan w:val="2"/>
            <w:vAlign w:val="center"/>
          </w:tcPr>
          <w:p w14:paraId="7E894ACC"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Porumb</w:t>
            </w:r>
          </w:p>
        </w:tc>
        <w:tc>
          <w:tcPr>
            <w:tcW w:w="1183" w:type="dxa"/>
            <w:gridSpan w:val="2"/>
            <w:vAlign w:val="center"/>
          </w:tcPr>
          <w:p w14:paraId="740777D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Floarea-soarelui</w:t>
            </w:r>
          </w:p>
        </w:tc>
        <w:tc>
          <w:tcPr>
            <w:tcW w:w="1265" w:type="dxa"/>
            <w:gridSpan w:val="2"/>
            <w:vAlign w:val="center"/>
          </w:tcPr>
          <w:p w14:paraId="5D8D0CC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Sfecla de zahăr</w:t>
            </w:r>
          </w:p>
        </w:tc>
        <w:tc>
          <w:tcPr>
            <w:tcW w:w="1265" w:type="dxa"/>
            <w:gridSpan w:val="2"/>
            <w:vAlign w:val="center"/>
          </w:tcPr>
          <w:p w14:paraId="0731205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Struguri</w:t>
            </w:r>
          </w:p>
        </w:tc>
        <w:tc>
          <w:tcPr>
            <w:tcW w:w="1327" w:type="dxa"/>
            <w:gridSpan w:val="3"/>
            <w:vAlign w:val="center"/>
          </w:tcPr>
          <w:p w14:paraId="02B36E5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Fructe</w:t>
            </w:r>
          </w:p>
        </w:tc>
      </w:tr>
      <w:tr w:rsidR="00F072FA" w:rsidRPr="00A73566" w14:paraId="0102F899" w14:textId="77777777" w:rsidTr="00F072FA">
        <w:trPr>
          <w:gridAfter w:val="1"/>
          <w:cnfStyle w:val="000000010000" w:firstRow="0" w:lastRow="0" w:firstColumn="0" w:lastColumn="0" w:oddVBand="0" w:evenVBand="0" w:oddHBand="0" w:evenHBand="1" w:firstRowFirstColumn="0" w:firstRowLastColumn="0" w:lastRowFirstColumn="0" w:lastRowLastColumn="0"/>
          <w:wAfter w:w="8" w:type="dxa"/>
          <w:trHeight w:val="338"/>
        </w:trPr>
        <w:tc>
          <w:tcPr>
            <w:tcW w:w="426" w:type="dxa"/>
            <w:vMerge/>
            <w:vAlign w:val="center"/>
          </w:tcPr>
          <w:p w14:paraId="7B61AA9C" w14:textId="77777777" w:rsidR="0080785B" w:rsidRPr="00A73566" w:rsidRDefault="0080785B" w:rsidP="0080785B">
            <w:pPr>
              <w:spacing w:before="0" w:after="0"/>
              <w:jc w:val="center"/>
              <w:rPr>
                <w:rFonts w:ascii="Times New Roman" w:hAnsi="Times New Roman" w:cs="Times New Roman"/>
                <w:sz w:val="17"/>
                <w:szCs w:val="17"/>
                <w:lang w:val="ro-RO"/>
              </w:rPr>
            </w:pPr>
          </w:p>
        </w:tc>
        <w:tc>
          <w:tcPr>
            <w:tcW w:w="992" w:type="dxa"/>
            <w:vMerge/>
            <w:vAlign w:val="center"/>
          </w:tcPr>
          <w:p w14:paraId="6CDB1F80" w14:textId="77777777" w:rsidR="0080785B" w:rsidRPr="00A73566" w:rsidRDefault="0080785B" w:rsidP="0080785B">
            <w:pPr>
              <w:spacing w:before="0" w:after="0"/>
              <w:jc w:val="center"/>
              <w:rPr>
                <w:rFonts w:ascii="Times New Roman" w:hAnsi="Times New Roman" w:cs="Times New Roman"/>
                <w:sz w:val="17"/>
                <w:szCs w:val="17"/>
                <w:lang w:val="ro-RO"/>
              </w:rPr>
            </w:pPr>
          </w:p>
        </w:tc>
        <w:tc>
          <w:tcPr>
            <w:tcW w:w="542" w:type="dxa"/>
            <w:gridSpan w:val="2"/>
            <w:vMerge/>
            <w:vAlign w:val="center"/>
          </w:tcPr>
          <w:p w14:paraId="2D546305" w14:textId="77777777" w:rsidR="0080785B" w:rsidRPr="00A73566" w:rsidRDefault="0080785B" w:rsidP="0080785B">
            <w:pPr>
              <w:spacing w:before="0" w:after="0"/>
              <w:jc w:val="center"/>
              <w:rPr>
                <w:rFonts w:ascii="Times New Roman" w:hAnsi="Times New Roman" w:cs="Times New Roman"/>
                <w:sz w:val="17"/>
                <w:szCs w:val="17"/>
                <w:lang w:val="ro-RO"/>
              </w:rPr>
            </w:pPr>
          </w:p>
        </w:tc>
        <w:tc>
          <w:tcPr>
            <w:tcW w:w="522" w:type="dxa"/>
            <w:vAlign w:val="center"/>
          </w:tcPr>
          <w:p w14:paraId="1967717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57" w:type="dxa"/>
            <w:vAlign w:val="center"/>
          </w:tcPr>
          <w:p w14:paraId="3079848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c>
          <w:tcPr>
            <w:tcW w:w="648" w:type="dxa"/>
            <w:vAlign w:val="center"/>
          </w:tcPr>
          <w:p w14:paraId="40DD164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62" w:type="dxa"/>
            <w:vAlign w:val="center"/>
          </w:tcPr>
          <w:p w14:paraId="7CABFA8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c>
          <w:tcPr>
            <w:tcW w:w="564" w:type="dxa"/>
            <w:vAlign w:val="center"/>
          </w:tcPr>
          <w:p w14:paraId="6CB7065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19" w:type="dxa"/>
            <w:vAlign w:val="center"/>
          </w:tcPr>
          <w:p w14:paraId="447B878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c>
          <w:tcPr>
            <w:tcW w:w="605" w:type="dxa"/>
            <w:vAlign w:val="center"/>
          </w:tcPr>
          <w:p w14:paraId="520B485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60" w:type="dxa"/>
            <w:vAlign w:val="center"/>
          </w:tcPr>
          <w:p w14:paraId="15E32CF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c>
          <w:tcPr>
            <w:tcW w:w="648" w:type="dxa"/>
            <w:vAlign w:val="center"/>
          </w:tcPr>
          <w:p w14:paraId="473FCC4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17" w:type="dxa"/>
            <w:vAlign w:val="center"/>
          </w:tcPr>
          <w:p w14:paraId="758C988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c>
          <w:tcPr>
            <w:tcW w:w="648" w:type="dxa"/>
            <w:vAlign w:val="center"/>
          </w:tcPr>
          <w:p w14:paraId="2DC38F7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q/ha</w:t>
            </w:r>
          </w:p>
        </w:tc>
        <w:tc>
          <w:tcPr>
            <w:tcW w:w="671" w:type="dxa"/>
            <w:vAlign w:val="center"/>
          </w:tcPr>
          <w:p w14:paraId="426392C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w:t>
            </w:r>
          </w:p>
        </w:tc>
      </w:tr>
      <w:tr w:rsidR="00F072FA" w:rsidRPr="00A73566" w14:paraId="5A911FAE" w14:textId="77777777" w:rsidTr="00F072FA">
        <w:trPr>
          <w:gridAfter w:val="1"/>
          <w:cnfStyle w:val="000000100000" w:firstRow="0" w:lastRow="0" w:firstColumn="0" w:lastColumn="0" w:oddVBand="0" w:evenVBand="0" w:oddHBand="1" w:evenHBand="0" w:firstRowFirstColumn="0" w:firstRowLastColumn="0" w:lastRowFirstColumn="0" w:lastRowLastColumn="0"/>
          <w:wAfter w:w="8" w:type="dxa"/>
          <w:trHeight w:val="338"/>
        </w:trPr>
        <w:tc>
          <w:tcPr>
            <w:tcW w:w="426" w:type="dxa"/>
            <w:vAlign w:val="center"/>
          </w:tcPr>
          <w:p w14:paraId="6A07B54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w:t>
            </w:r>
          </w:p>
        </w:tc>
        <w:tc>
          <w:tcPr>
            <w:tcW w:w="992" w:type="dxa"/>
            <w:vAlign w:val="center"/>
          </w:tcPr>
          <w:p w14:paraId="44C38C9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Până la 0.9</w:t>
            </w:r>
          </w:p>
        </w:tc>
        <w:tc>
          <w:tcPr>
            <w:tcW w:w="542" w:type="dxa"/>
            <w:gridSpan w:val="2"/>
            <w:vAlign w:val="center"/>
          </w:tcPr>
          <w:p w14:paraId="1CF5499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w:t>
            </w:r>
          </w:p>
        </w:tc>
        <w:tc>
          <w:tcPr>
            <w:tcW w:w="522" w:type="dxa"/>
            <w:vAlign w:val="center"/>
          </w:tcPr>
          <w:p w14:paraId="0914B2F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29.1</w:t>
            </w:r>
          </w:p>
        </w:tc>
        <w:tc>
          <w:tcPr>
            <w:tcW w:w="657" w:type="dxa"/>
            <w:vAlign w:val="center"/>
          </w:tcPr>
          <w:p w14:paraId="7A22A5C3"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116.4</w:t>
            </w:r>
          </w:p>
        </w:tc>
        <w:tc>
          <w:tcPr>
            <w:tcW w:w="648" w:type="dxa"/>
            <w:vAlign w:val="center"/>
          </w:tcPr>
          <w:p w14:paraId="1E3E299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34.2</w:t>
            </w:r>
          </w:p>
        </w:tc>
        <w:tc>
          <w:tcPr>
            <w:tcW w:w="662" w:type="dxa"/>
            <w:vAlign w:val="center"/>
          </w:tcPr>
          <w:p w14:paraId="51CE7A8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120.4</w:t>
            </w:r>
          </w:p>
        </w:tc>
        <w:tc>
          <w:tcPr>
            <w:tcW w:w="564" w:type="dxa"/>
            <w:vAlign w:val="center"/>
          </w:tcPr>
          <w:p w14:paraId="793F130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18.1</w:t>
            </w:r>
          </w:p>
        </w:tc>
        <w:tc>
          <w:tcPr>
            <w:tcW w:w="619" w:type="dxa"/>
            <w:vAlign w:val="center"/>
          </w:tcPr>
          <w:p w14:paraId="03CA2E7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122.3</w:t>
            </w:r>
          </w:p>
        </w:tc>
        <w:tc>
          <w:tcPr>
            <w:tcW w:w="605" w:type="dxa"/>
            <w:vAlign w:val="center"/>
          </w:tcPr>
          <w:p w14:paraId="7E6652B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303.0</w:t>
            </w:r>
          </w:p>
        </w:tc>
        <w:tc>
          <w:tcPr>
            <w:tcW w:w="660" w:type="dxa"/>
            <w:vAlign w:val="center"/>
          </w:tcPr>
          <w:p w14:paraId="36811AF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122.3</w:t>
            </w:r>
          </w:p>
        </w:tc>
        <w:tc>
          <w:tcPr>
            <w:tcW w:w="648" w:type="dxa"/>
            <w:vAlign w:val="center"/>
          </w:tcPr>
          <w:p w14:paraId="11F53F5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44.0</w:t>
            </w:r>
          </w:p>
        </w:tc>
        <w:tc>
          <w:tcPr>
            <w:tcW w:w="617" w:type="dxa"/>
            <w:vAlign w:val="center"/>
          </w:tcPr>
          <w:p w14:paraId="088BC7D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95.2</w:t>
            </w:r>
          </w:p>
        </w:tc>
        <w:tc>
          <w:tcPr>
            <w:tcW w:w="648" w:type="dxa"/>
            <w:vAlign w:val="center"/>
          </w:tcPr>
          <w:p w14:paraId="757F72A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66.7</w:t>
            </w:r>
          </w:p>
        </w:tc>
        <w:tc>
          <w:tcPr>
            <w:tcW w:w="671" w:type="dxa"/>
            <w:vAlign w:val="center"/>
          </w:tcPr>
          <w:p w14:paraId="355D624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137.5</w:t>
            </w:r>
          </w:p>
        </w:tc>
      </w:tr>
      <w:tr w:rsidR="00F072FA" w:rsidRPr="00A73566" w14:paraId="2604DB15" w14:textId="77777777" w:rsidTr="00F072FA">
        <w:trPr>
          <w:gridAfter w:val="1"/>
          <w:cnfStyle w:val="000000010000" w:firstRow="0" w:lastRow="0" w:firstColumn="0" w:lastColumn="0" w:oddVBand="0" w:evenVBand="0" w:oddHBand="0" w:evenHBand="1" w:firstRowFirstColumn="0" w:firstRowLastColumn="0" w:lastRowFirstColumn="0" w:lastRowLastColumn="0"/>
          <w:wAfter w:w="8" w:type="dxa"/>
          <w:trHeight w:val="357"/>
        </w:trPr>
        <w:tc>
          <w:tcPr>
            <w:tcW w:w="426" w:type="dxa"/>
            <w:vAlign w:val="center"/>
          </w:tcPr>
          <w:p w14:paraId="0C792BC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w:t>
            </w:r>
          </w:p>
        </w:tc>
        <w:tc>
          <w:tcPr>
            <w:tcW w:w="992" w:type="dxa"/>
            <w:vAlign w:val="center"/>
          </w:tcPr>
          <w:p w14:paraId="1F915BC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0.91-0.95</w:t>
            </w:r>
          </w:p>
        </w:tc>
        <w:tc>
          <w:tcPr>
            <w:tcW w:w="542" w:type="dxa"/>
            <w:gridSpan w:val="2"/>
            <w:vAlign w:val="center"/>
          </w:tcPr>
          <w:p w14:paraId="267A4C5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18</w:t>
            </w:r>
          </w:p>
        </w:tc>
        <w:tc>
          <w:tcPr>
            <w:tcW w:w="522" w:type="dxa"/>
            <w:vAlign w:val="center"/>
          </w:tcPr>
          <w:p w14:paraId="3CCE784C"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26.6</w:t>
            </w:r>
          </w:p>
        </w:tc>
        <w:tc>
          <w:tcPr>
            <w:tcW w:w="657" w:type="dxa"/>
            <w:vAlign w:val="center"/>
          </w:tcPr>
          <w:p w14:paraId="57E9D04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106.4</w:t>
            </w:r>
          </w:p>
        </w:tc>
        <w:tc>
          <w:tcPr>
            <w:tcW w:w="648" w:type="dxa"/>
            <w:vAlign w:val="center"/>
          </w:tcPr>
          <w:p w14:paraId="3FE8175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32.5</w:t>
            </w:r>
          </w:p>
        </w:tc>
        <w:tc>
          <w:tcPr>
            <w:tcW w:w="662" w:type="dxa"/>
            <w:vAlign w:val="center"/>
          </w:tcPr>
          <w:p w14:paraId="45D580B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114.4</w:t>
            </w:r>
          </w:p>
        </w:tc>
        <w:tc>
          <w:tcPr>
            <w:tcW w:w="564" w:type="dxa"/>
            <w:vAlign w:val="center"/>
          </w:tcPr>
          <w:p w14:paraId="2AB7A0DB"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15.5</w:t>
            </w:r>
          </w:p>
        </w:tc>
        <w:tc>
          <w:tcPr>
            <w:tcW w:w="619" w:type="dxa"/>
            <w:vAlign w:val="center"/>
          </w:tcPr>
          <w:p w14:paraId="61A2CA1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104.0</w:t>
            </w:r>
          </w:p>
        </w:tc>
        <w:tc>
          <w:tcPr>
            <w:tcW w:w="605" w:type="dxa"/>
            <w:vAlign w:val="center"/>
          </w:tcPr>
          <w:p w14:paraId="3D30FBE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272.0</w:t>
            </w:r>
          </w:p>
        </w:tc>
        <w:tc>
          <w:tcPr>
            <w:tcW w:w="660" w:type="dxa"/>
            <w:vAlign w:val="center"/>
          </w:tcPr>
          <w:p w14:paraId="1B3D85D2"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110.0</w:t>
            </w:r>
          </w:p>
        </w:tc>
        <w:tc>
          <w:tcPr>
            <w:tcW w:w="648" w:type="dxa"/>
            <w:vAlign w:val="center"/>
          </w:tcPr>
          <w:p w14:paraId="2243912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47.9</w:t>
            </w:r>
          </w:p>
        </w:tc>
        <w:tc>
          <w:tcPr>
            <w:tcW w:w="617" w:type="dxa"/>
            <w:vAlign w:val="center"/>
          </w:tcPr>
          <w:p w14:paraId="152419B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103.7</w:t>
            </w:r>
          </w:p>
        </w:tc>
        <w:tc>
          <w:tcPr>
            <w:tcW w:w="648" w:type="dxa"/>
            <w:vAlign w:val="center"/>
          </w:tcPr>
          <w:p w14:paraId="24FAB90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55.4</w:t>
            </w:r>
          </w:p>
        </w:tc>
        <w:tc>
          <w:tcPr>
            <w:tcW w:w="671" w:type="dxa"/>
            <w:vAlign w:val="center"/>
          </w:tcPr>
          <w:p w14:paraId="4199029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114.2</w:t>
            </w:r>
          </w:p>
        </w:tc>
      </w:tr>
      <w:tr w:rsidR="00F072FA" w:rsidRPr="00A73566" w14:paraId="4792FFB5" w14:textId="77777777" w:rsidTr="00F072FA">
        <w:trPr>
          <w:gridAfter w:val="1"/>
          <w:cnfStyle w:val="000000100000" w:firstRow="0" w:lastRow="0" w:firstColumn="0" w:lastColumn="0" w:oddVBand="0" w:evenVBand="0" w:oddHBand="1" w:evenHBand="0" w:firstRowFirstColumn="0" w:firstRowLastColumn="0" w:lastRowFirstColumn="0" w:lastRowLastColumn="0"/>
          <w:wAfter w:w="8" w:type="dxa"/>
          <w:trHeight w:val="338"/>
        </w:trPr>
        <w:tc>
          <w:tcPr>
            <w:tcW w:w="426" w:type="dxa"/>
            <w:vAlign w:val="center"/>
          </w:tcPr>
          <w:p w14:paraId="23557D03"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w:t>
            </w:r>
          </w:p>
        </w:tc>
        <w:tc>
          <w:tcPr>
            <w:tcW w:w="992" w:type="dxa"/>
            <w:vAlign w:val="center"/>
          </w:tcPr>
          <w:p w14:paraId="21A9A167"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0.96-1.04</w:t>
            </w:r>
          </w:p>
        </w:tc>
        <w:tc>
          <w:tcPr>
            <w:tcW w:w="542" w:type="dxa"/>
            <w:gridSpan w:val="2"/>
            <w:vAlign w:val="center"/>
          </w:tcPr>
          <w:p w14:paraId="03A1A092"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27</w:t>
            </w:r>
          </w:p>
        </w:tc>
        <w:tc>
          <w:tcPr>
            <w:tcW w:w="522" w:type="dxa"/>
            <w:vAlign w:val="center"/>
          </w:tcPr>
          <w:p w14:paraId="6A99C4B2"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26.2</w:t>
            </w:r>
          </w:p>
        </w:tc>
        <w:tc>
          <w:tcPr>
            <w:tcW w:w="657" w:type="dxa"/>
            <w:vAlign w:val="center"/>
          </w:tcPr>
          <w:p w14:paraId="281BE1B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104.8</w:t>
            </w:r>
          </w:p>
        </w:tc>
        <w:tc>
          <w:tcPr>
            <w:tcW w:w="648" w:type="dxa"/>
            <w:vAlign w:val="center"/>
          </w:tcPr>
          <w:p w14:paraId="50AE14E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30.5</w:t>
            </w:r>
          </w:p>
        </w:tc>
        <w:tc>
          <w:tcPr>
            <w:tcW w:w="662" w:type="dxa"/>
            <w:vAlign w:val="center"/>
          </w:tcPr>
          <w:p w14:paraId="41648DFA"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107.4</w:t>
            </w:r>
          </w:p>
        </w:tc>
        <w:tc>
          <w:tcPr>
            <w:tcW w:w="564" w:type="dxa"/>
            <w:vAlign w:val="center"/>
          </w:tcPr>
          <w:p w14:paraId="49A7822B"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14.6</w:t>
            </w:r>
          </w:p>
        </w:tc>
        <w:tc>
          <w:tcPr>
            <w:tcW w:w="619" w:type="dxa"/>
            <w:vAlign w:val="center"/>
          </w:tcPr>
          <w:p w14:paraId="3A39770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98.0</w:t>
            </w:r>
          </w:p>
        </w:tc>
        <w:tc>
          <w:tcPr>
            <w:tcW w:w="605" w:type="dxa"/>
            <w:vAlign w:val="center"/>
          </w:tcPr>
          <w:p w14:paraId="49970A8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263.0</w:t>
            </w:r>
          </w:p>
        </w:tc>
        <w:tc>
          <w:tcPr>
            <w:tcW w:w="660" w:type="dxa"/>
            <w:vAlign w:val="center"/>
          </w:tcPr>
          <w:p w14:paraId="427A9FA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106.1</w:t>
            </w:r>
          </w:p>
        </w:tc>
        <w:tc>
          <w:tcPr>
            <w:tcW w:w="648" w:type="dxa"/>
            <w:vAlign w:val="center"/>
          </w:tcPr>
          <w:p w14:paraId="754A8FC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47.7</w:t>
            </w:r>
          </w:p>
        </w:tc>
        <w:tc>
          <w:tcPr>
            <w:tcW w:w="617" w:type="dxa"/>
            <w:vAlign w:val="center"/>
          </w:tcPr>
          <w:p w14:paraId="487A5FD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103.2</w:t>
            </w:r>
          </w:p>
        </w:tc>
        <w:tc>
          <w:tcPr>
            <w:tcW w:w="648" w:type="dxa"/>
            <w:vAlign w:val="center"/>
          </w:tcPr>
          <w:p w14:paraId="19BABA75"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52.7</w:t>
            </w:r>
          </w:p>
        </w:tc>
        <w:tc>
          <w:tcPr>
            <w:tcW w:w="671" w:type="dxa"/>
            <w:vAlign w:val="center"/>
          </w:tcPr>
          <w:p w14:paraId="2B8FD2B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108.6</w:t>
            </w:r>
          </w:p>
        </w:tc>
      </w:tr>
      <w:tr w:rsidR="00F072FA" w:rsidRPr="00A73566" w14:paraId="45080055" w14:textId="77777777" w:rsidTr="00F072FA">
        <w:trPr>
          <w:gridAfter w:val="1"/>
          <w:cnfStyle w:val="000000010000" w:firstRow="0" w:lastRow="0" w:firstColumn="0" w:lastColumn="0" w:oddVBand="0" w:evenVBand="0" w:oddHBand="0" w:evenHBand="1" w:firstRowFirstColumn="0" w:firstRowLastColumn="0" w:lastRowFirstColumn="0" w:lastRowLastColumn="0"/>
          <w:wAfter w:w="8" w:type="dxa"/>
          <w:trHeight w:val="338"/>
        </w:trPr>
        <w:tc>
          <w:tcPr>
            <w:tcW w:w="426" w:type="dxa"/>
            <w:vAlign w:val="center"/>
          </w:tcPr>
          <w:p w14:paraId="6D68A50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w:t>
            </w:r>
          </w:p>
        </w:tc>
        <w:tc>
          <w:tcPr>
            <w:tcW w:w="992" w:type="dxa"/>
            <w:vAlign w:val="center"/>
          </w:tcPr>
          <w:p w14:paraId="6291164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1.05-1.10</w:t>
            </w:r>
          </w:p>
        </w:tc>
        <w:tc>
          <w:tcPr>
            <w:tcW w:w="542" w:type="dxa"/>
            <w:gridSpan w:val="2"/>
            <w:vAlign w:val="center"/>
          </w:tcPr>
          <w:p w14:paraId="731075E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15</w:t>
            </w:r>
          </w:p>
        </w:tc>
        <w:tc>
          <w:tcPr>
            <w:tcW w:w="522" w:type="dxa"/>
            <w:vAlign w:val="center"/>
          </w:tcPr>
          <w:p w14:paraId="5989515A"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24.3</w:t>
            </w:r>
          </w:p>
        </w:tc>
        <w:tc>
          <w:tcPr>
            <w:tcW w:w="657" w:type="dxa"/>
            <w:vAlign w:val="center"/>
          </w:tcPr>
          <w:p w14:paraId="0402C98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97.2</w:t>
            </w:r>
          </w:p>
        </w:tc>
        <w:tc>
          <w:tcPr>
            <w:tcW w:w="648" w:type="dxa"/>
            <w:vAlign w:val="center"/>
          </w:tcPr>
          <w:p w14:paraId="79FA261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28.0</w:t>
            </w:r>
          </w:p>
        </w:tc>
        <w:tc>
          <w:tcPr>
            <w:tcW w:w="662" w:type="dxa"/>
            <w:vAlign w:val="center"/>
          </w:tcPr>
          <w:p w14:paraId="0C944FB2"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98.6</w:t>
            </w:r>
          </w:p>
        </w:tc>
        <w:tc>
          <w:tcPr>
            <w:tcW w:w="564" w:type="dxa"/>
            <w:vAlign w:val="center"/>
          </w:tcPr>
          <w:p w14:paraId="30C22593"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13.6</w:t>
            </w:r>
          </w:p>
        </w:tc>
        <w:tc>
          <w:tcPr>
            <w:tcW w:w="619" w:type="dxa"/>
            <w:vAlign w:val="center"/>
          </w:tcPr>
          <w:p w14:paraId="23283DF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91.3</w:t>
            </w:r>
          </w:p>
        </w:tc>
        <w:tc>
          <w:tcPr>
            <w:tcW w:w="605" w:type="dxa"/>
            <w:vAlign w:val="center"/>
          </w:tcPr>
          <w:p w14:paraId="59DCE93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229.0</w:t>
            </w:r>
          </w:p>
        </w:tc>
        <w:tc>
          <w:tcPr>
            <w:tcW w:w="660" w:type="dxa"/>
            <w:vAlign w:val="center"/>
          </w:tcPr>
          <w:p w14:paraId="0AECCD30"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92.45</w:t>
            </w:r>
          </w:p>
        </w:tc>
        <w:tc>
          <w:tcPr>
            <w:tcW w:w="648" w:type="dxa"/>
            <w:vAlign w:val="center"/>
          </w:tcPr>
          <w:p w14:paraId="39885FD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43.4</w:t>
            </w:r>
          </w:p>
        </w:tc>
        <w:tc>
          <w:tcPr>
            <w:tcW w:w="617" w:type="dxa"/>
            <w:vAlign w:val="center"/>
          </w:tcPr>
          <w:p w14:paraId="3FD26851"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93.9</w:t>
            </w:r>
          </w:p>
        </w:tc>
        <w:tc>
          <w:tcPr>
            <w:tcW w:w="648" w:type="dxa"/>
            <w:vAlign w:val="center"/>
          </w:tcPr>
          <w:p w14:paraId="05F8CCC3"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47.7</w:t>
            </w:r>
          </w:p>
        </w:tc>
        <w:tc>
          <w:tcPr>
            <w:tcW w:w="671" w:type="dxa"/>
            <w:vAlign w:val="center"/>
          </w:tcPr>
          <w:p w14:paraId="34D40672"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98.3</w:t>
            </w:r>
          </w:p>
        </w:tc>
      </w:tr>
      <w:tr w:rsidR="00F072FA" w:rsidRPr="00A73566" w14:paraId="2FC098A6" w14:textId="77777777" w:rsidTr="00F072FA">
        <w:trPr>
          <w:gridAfter w:val="1"/>
          <w:cnfStyle w:val="000000100000" w:firstRow="0" w:lastRow="0" w:firstColumn="0" w:lastColumn="0" w:oddVBand="0" w:evenVBand="0" w:oddHBand="1" w:evenHBand="0" w:firstRowFirstColumn="0" w:firstRowLastColumn="0" w:lastRowFirstColumn="0" w:lastRowLastColumn="0"/>
          <w:wAfter w:w="8" w:type="dxa"/>
          <w:trHeight w:val="338"/>
        </w:trPr>
        <w:tc>
          <w:tcPr>
            <w:tcW w:w="426" w:type="dxa"/>
            <w:vAlign w:val="center"/>
          </w:tcPr>
          <w:p w14:paraId="5F018A3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5</w:t>
            </w:r>
          </w:p>
        </w:tc>
        <w:tc>
          <w:tcPr>
            <w:tcW w:w="992" w:type="dxa"/>
            <w:vAlign w:val="center"/>
          </w:tcPr>
          <w:p w14:paraId="591FD81D" w14:textId="77777777" w:rsidR="0080785B" w:rsidRPr="00A73566" w:rsidRDefault="0080785B" w:rsidP="0080785B">
            <w:pPr>
              <w:spacing w:before="0" w:after="0"/>
              <w:jc w:val="center"/>
              <w:rPr>
                <w:rFonts w:ascii="Times New Roman" w:hAnsi="Times New Roman" w:cs="Times New Roman"/>
                <w:sz w:val="17"/>
                <w:szCs w:val="17"/>
                <w:u w:val="single"/>
                <w:lang w:val="ro-RO"/>
              </w:rPr>
            </w:pPr>
            <w:r w:rsidRPr="00A73566">
              <w:rPr>
                <w:rFonts w:ascii="Times New Roman" w:hAnsi="Times New Roman" w:cs="Times New Roman"/>
                <w:sz w:val="17"/>
                <w:szCs w:val="17"/>
                <w:u w:val="single"/>
                <w:lang w:val="ro-RO"/>
              </w:rPr>
              <w:t xml:space="preserve">&gt; </w:t>
            </w:r>
            <w:r w:rsidRPr="00A73566">
              <w:rPr>
                <w:rFonts w:ascii="Times New Roman" w:hAnsi="Times New Roman" w:cs="Times New Roman"/>
                <w:sz w:val="17"/>
                <w:szCs w:val="17"/>
                <w:lang w:val="ro-RO"/>
              </w:rPr>
              <w:t>1.11</w:t>
            </w:r>
          </w:p>
        </w:tc>
        <w:tc>
          <w:tcPr>
            <w:tcW w:w="542" w:type="dxa"/>
            <w:gridSpan w:val="2"/>
            <w:vAlign w:val="center"/>
          </w:tcPr>
          <w:p w14:paraId="35B2A79A"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w:t>
            </w:r>
          </w:p>
        </w:tc>
        <w:tc>
          <w:tcPr>
            <w:tcW w:w="522" w:type="dxa"/>
            <w:vAlign w:val="center"/>
          </w:tcPr>
          <w:p w14:paraId="21D49B56"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17.3</w:t>
            </w:r>
          </w:p>
        </w:tc>
        <w:tc>
          <w:tcPr>
            <w:tcW w:w="657" w:type="dxa"/>
            <w:vAlign w:val="center"/>
          </w:tcPr>
          <w:p w14:paraId="7457E44B"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69.2</w:t>
            </w:r>
          </w:p>
        </w:tc>
        <w:tc>
          <w:tcPr>
            <w:tcW w:w="648" w:type="dxa"/>
            <w:vAlign w:val="center"/>
          </w:tcPr>
          <w:p w14:paraId="6ADDF7F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20.8</w:t>
            </w:r>
          </w:p>
        </w:tc>
        <w:tc>
          <w:tcPr>
            <w:tcW w:w="662" w:type="dxa"/>
            <w:vAlign w:val="center"/>
          </w:tcPr>
          <w:p w14:paraId="607EE67E"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98.2</w:t>
            </w:r>
          </w:p>
        </w:tc>
        <w:tc>
          <w:tcPr>
            <w:tcW w:w="564" w:type="dxa"/>
            <w:vAlign w:val="center"/>
          </w:tcPr>
          <w:p w14:paraId="7F5D6449"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11.8</w:t>
            </w:r>
          </w:p>
        </w:tc>
        <w:tc>
          <w:tcPr>
            <w:tcW w:w="619" w:type="dxa"/>
            <w:vAlign w:val="center"/>
          </w:tcPr>
          <w:p w14:paraId="3CDD2FAB"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79.2</w:t>
            </w:r>
          </w:p>
        </w:tc>
        <w:tc>
          <w:tcPr>
            <w:tcW w:w="605" w:type="dxa"/>
            <w:vAlign w:val="center"/>
          </w:tcPr>
          <w:p w14:paraId="0C7A835F"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172.0</w:t>
            </w:r>
          </w:p>
        </w:tc>
        <w:tc>
          <w:tcPr>
            <w:tcW w:w="660" w:type="dxa"/>
            <w:vAlign w:val="center"/>
          </w:tcPr>
          <w:p w14:paraId="530E9B9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69.4</w:t>
            </w:r>
          </w:p>
        </w:tc>
        <w:tc>
          <w:tcPr>
            <w:tcW w:w="648" w:type="dxa"/>
            <w:vAlign w:val="center"/>
          </w:tcPr>
          <w:p w14:paraId="7273E604"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31.45</w:t>
            </w:r>
          </w:p>
        </w:tc>
        <w:tc>
          <w:tcPr>
            <w:tcW w:w="617" w:type="dxa"/>
            <w:vAlign w:val="center"/>
          </w:tcPr>
          <w:p w14:paraId="634C1273"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68.1</w:t>
            </w:r>
          </w:p>
        </w:tc>
        <w:tc>
          <w:tcPr>
            <w:tcW w:w="648" w:type="dxa"/>
            <w:vAlign w:val="center"/>
          </w:tcPr>
          <w:p w14:paraId="786CAE4D"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39.35</w:t>
            </w:r>
          </w:p>
        </w:tc>
        <w:tc>
          <w:tcPr>
            <w:tcW w:w="671" w:type="dxa"/>
            <w:vAlign w:val="center"/>
          </w:tcPr>
          <w:p w14:paraId="7C67A8B8" w14:textId="77777777" w:rsidR="0080785B" w:rsidRPr="00A73566" w:rsidRDefault="0080785B" w:rsidP="0080785B">
            <w:pPr>
              <w:spacing w:before="0" w:after="0"/>
              <w:jc w:val="center"/>
              <w:rPr>
                <w:rFonts w:ascii="Times New Roman" w:hAnsi="Times New Roman" w:cs="Times New Roman"/>
                <w:sz w:val="17"/>
                <w:szCs w:val="17"/>
                <w:lang w:val="ro-RO"/>
              </w:rPr>
            </w:pPr>
            <w:r w:rsidRPr="00A73566">
              <w:rPr>
                <w:rFonts w:ascii="Times New Roman" w:hAnsi="Times New Roman" w:cs="Times New Roman"/>
                <w:sz w:val="17"/>
                <w:szCs w:val="17"/>
                <w:lang w:val="ro-RO"/>
              </w:rPr>
              <w:t>81.1</w:t>
            </w:r>
          </w:p>
        </w:tc>
      </w:tr>
    </w:tbl>
    <w:p w14:paraId="20C093BE" w14:textId="2C5148B7" w:rsidR="00F072FA" w:rsidRPr="008F286C" w:rsidRDefault="0080785B" w:rsidP="00C22682">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Elaborat</w:t>
      </w:r>
      <w:r w:rsidR="00C22682" w:rsidRPr="008F286C">
        <w:rPr>
          <w:rFonts w:ascii="Times New Roman" w:hAnsi="Times New Roman" w:cs="Times New Roman"/>
          <w:iCs/>
          <w:color w:val="BFBFBF" w:themeColor="background1" w:themeShade="BF"/>
          <w:sz w:val="18"/>
          <w:szCs w:val="18"/>
          <w:lang w:val="ro-RO"/>
        </w:rPr>
        <w:t>ă de autori în baza datelor SHS</w:t>
      </w:r>
    </w:p>
    <w:p w14:paraId="27AFC8AB" w14:textId="1631301C"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Reacția culturilor</w:t>
      </w:r>
      <w:r w:rsidR="007F13F6"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agricole la fenomenul scăderii volumului de precipitații atmosferice (în perioada  1946-2020) a fost destul de accentuată. </w:t>
      </w:r>
      <w:r w:rsidR="007F13F6" w:rsidRPr="00A73566">
        <w:rPr>
          <w:rFonts w:ascii="Times New Roman" w:hAnsi="Times New Roman" w:cs="Times New Roman"/>
          <w:color w:val="000000" w:themeColor="text1"/>
          <w:lang w:val="ro-RO"/>
        </w:rPr>
        <w:t>M</w:t>
      </w:r>
      <w:r w:rsidRPr="00A73566">
        <w:rPr>
          <w:rFonts w:ascii="Times New Roman" w:hAnsi="Times New Roman" w:cs="Times New Roman"/>
          <w:color w:val="000000" w:themeColor="text1"/>
          <w:lang w:val="ro-RO"/>
        </w:rPr>
        <w:t xml:space="preserve">inimizarea volumelor de precipitații anuale: de la 544,2 mm (media multianuală) cu -141,5 mm. (-26,0%), a condus la scăderea nivelului de productivitate: cu -3,9 q/ha (sau -0,15 q/ha pentru fiecare -1,0% de precipitații) – pentru cultura grâul de toamnă; cu -6,70 q/ha (sau -0,258 q/ha) – pentru porumb; -0,95 q/ha (sau -0,0365 q/ha) – pentru floarea-soarelui; -2,0 q/ha (sau -0,077 q/ha) – pentru viţa de vie şi -2,7 q/ha (sau -0,104 q/ha pentru fiecare -1,0% de precipitații) – pentru culturile pomicole. </w:t>
      </w:r>
    </w:p>
    <w:p w14:paraId="1DB2063D"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După calculele datelor multianuale se poate de concluzionat: în anii secetoși reacția la deficitul de umiditate (pentru fiecare -20mm de precipitații) s-au înregistrat: -0,56 q/ha (-2,3%) scăderea nivelului de recoltă la cultura griului de toamnă; -0,96 q/ha (-3,37%)-pentru porumb; -0,29 q/ha  (-1,99%)-pentru floarea-soarelui; -4,84 q/ha (-2,1%)-pentru sfecla de zahăr; -0,4 q/ha (-0,93%)-pentru struguri şi +0,1 q/ha (+0,2%)-pentru fructe (pentru fiecare -20mm.)</w:t>
      </w:r>
    </w:p>
    <w:p w14:paraId="51A61BE4"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Influenta consolidată a factorilor meteo (temperaturile şi volumul de precipitații anuale), demonstrată prin indicatorul „coeficientul hidrotermal (CHT)”, a fost apreciat pentru perioada (a.a. 1946-2020) cu o creștere proporțională a nivelului de productivitate a culturilor agricole. (tabelul 5).</w:t>
      </w:r>
    </w:p>
    <w:p w14:paraId="6C88C979"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Pentru culturile: grâu de toamnă, floarea-soarelui, struguri şi culturi pomicole, trendul de majorare proporțională a nivelului de productivitate a fost accentuat în latitudinea indicilor CHT de la 0,89 până la 1,30 un., dar după depășirea nivelului optimal (CHT &gt; 1,31), invers a fost înregistrată scăderea nivelului de recolte: (-10,0%; -7,4%; -21,6% şi -20,6% - corespunzător). Pentru culturile porumbul și sfecla de zahăr, fenomenul indicilor optime de CHT nu a fost stabilit şi nivelul de productivitate s majorat proporțional în toată latitudinea de  CHT studiate (tabelul 6). Nivelul de corelație („r”) dintre indicii anuali a CHT și productivitatea griului de toamnă a constituit: r = +0,334, porumbului: r= +0,579; floarea-soarelui: r= +0,314 și sfeclei de zahăr: r = +0,391 unități. Cu o reacție mai accentuată s-au caracterizat plantele fructifere, porumbul, grâul de toamnă şi sfecla de zahăr.</w:t>
      </w:r>
    </w:p>
    <w:p w14:paraId="56A62A61" w14:textId="77777777" w:rsidR="0080785B" w:rsidRPr="00A73566" w:rsidRDefault="0080785B" w:rsidP="00C22682">
      <w:pPr>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cazul scenariului de răcirea globală a climei, scăderea temperaturilor anuale va provoca majorarea nivelului de productivitate a culturilor agricole. Pentru fiecare scădere cu -1,00 C de temperaturi anuale s-au înregistrat: +2,6 q/ha (+10,7%); +0,56 q/ha (+1,94%); +0,14 q/ha (+1,01%); +2,92 q/ha (+1,28%); +3,35 q/ha (+7,25%) şi +4,90 q/ha (+10,1%)- corespunzător pentru culturile date, realizate în latitudinea temperaturilor anuale da la 7,80C până la +9,350C. Temperaturilor reduse ale sezonului de vară au cea mai bună influență.</w:t>
      </w:r>
    </w:p>
    <w:p w14:paraId="3FB4BC28" w14:textId="77777777" w:rsidR="0080785B" w:rsidRPr="00A73566" w:rsidRDefault="0080785B" w:rsidP="00C22682">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Cât privește nivelul de umiditate optimală (636,6 mm, sau +90 mm, ori +16,5%- la volumul mediu multianual), s-au înregistrat: pentru cultura grâul de toamnă: +0,49 q/ha (+2,0%) pentru fiecare +20mm de precipitații, pentru porumb: +0,60 q/ha (sau+2,1%); floarea-soarelui: +0,23 q/ha (+1,57%); sfecla de zahăr: +0,38 q/ha (+0,17%); struguri: +0,94 q/ha (+2,03%) şi pentru fructe: +0,21 q/ha (+0,44%). Ulterior, în anii cu nivelul de umiditate majorat (în volum şi mai exagerat- cu +23,9%, sau până 684,0mm) a scăzut nivelul de productivitate a culturilor agricole, până la: -0,56%; -0,19%; -1,7%; +1,35%; +0,33% şi -0,35%, corespunzător, pentru fiecare cultură.</w:t>
      </w:r>
    </w:p>
    <w:p w14:paraId="13A31A1C" w14:textId="28DA3381" w:rsidR="0080785B" w:rsidRPr="00A73566" w:rsidRDefault="0080785B" w:rsidP="00731039">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Așadar, plantele </w:t>
      </w:r>
      <w:r w:rsidR="007F13F6"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culturii de grâu de toamnă au demonstrat o reacție negativă (cea) mai accentuată la condițiile secetoase în sezoanele: toamnă, primăvară și vară; porumbul -în primăvară și vară; floarea-soarelui- în iarna și primăvară; sfecla de zahăr-în iarna, primăvara și vara; vița de vie - în iarna și primăvară,  fructele- în iarnă și primăvară.</w:t>
      </w:r>
    </w:p>
    <w:p w14:paraId="732D53E6" w14:textId="2A55EC1A" w:rsidR="0080785B" w:rsidRPr="00A73566" w:rsidRDefault="0080785B" w:rsidP="00731039">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Scăderea nivelului de recoltă a culturilor agricole, localizate pe soluri erodate (care se apreciază cu 950 mii ha) sunt mult mai sensibile (cu 25-35%) la influenta fenomenului secetei.</w:t>
      </w:r>
    </w:p>
    <w:p w14:paraId="1DDD3006" w14:textId="4988102D" w:rsidR="00731039" w:rsidRPr="00A73566" w:rsidRDefault="00284BC6" w:rsidP="00731039">
      <w:pPr>
        <w:shd w:val="clear" w:color="auto" w:fill="FFFFFF"/>
        <w:ind w:firstLine="567"/>
        <w:rPr>
          <w:rFonts w:ascii="Times New Roman" w:hAnsi="Times New Roman" w:cs="Times New Roman"/>
          <w:lang w:val="ro-RO"/>
        </w:rPr>
      </w:pPr>
      <w:r w:rsidRPr="00A73566">
        <w:rPr>
          <w:rFonts w:ascii="Times New Roman" w:hAnsi="Times New Roman" w:cs="Times New Roman"/>
          <w:lang w:val="ro-RO"/>
        </w:rPr>
        <w:t>Astfel, datorită</w:t>
      </w:r>
      <w:r w:rsidR="000B688B" w:rsidRPr="00A73566">
        <w:rPr>
          <w:rFonts w:ascii="Times New Roman" w:hAnsi="Times New Roman" w:cs="Times New Roman"/>
          <w:lang w:val="ro-RO"/>
        </w:rPr>
        <w:t xml:space="preserve"> expunerii geografice, a peisajului și a situării în zona climatică temperat-continentală, Republica Moldova este extrem de vulnerabilă la schimbările climatice și este foarte des expusă la pericolele cauzate de diverse fenomene hidrometeorologice naturale. Pe parcursul ultimilor 20 de ani, au existat 6 ani de secetă devastatoare (2000, 2003, 2007, 2012, 2015 și 2020) care au afectat aproximativ 75% din teritoriul țării; 9 ani au intrat în top 10 cei mai fierbinți ani din istoria observațiilor meteorologice, în timp ce 2016 și 2020 au devenit cei mai fierbinți ani din istoria observațiilor meteorologice naționale. În cea mai mare parte a ultimilor ani, cele mai frecvent înregistrate fenomene în Moldova au fost: înghețuri târzii de primăvară (a doua decadă a lunii aprilie - a doua decadă a lunii mai), grindină (a treia decadă a lunii aprilie - a treia decadă a lunii iulie), temperaturi excesiv de ridicate și insolație extremă (a doua decadă a lunii mai - a treia decadă a lunii august), înghețuri timpurii de toamnă (a doua decadă a lunii octombrie), inundații și ploi torențiale (a doua decadă a lunii aprilie - a treia decadă a lunii iunie); toate acestea conduc la o scădere semnificativă a productivității agricole, a calității generale a produselor și la o incidență mai frecventă a dăunătorilor și bolilor. </w:t>
      </w:r>
    </w:p>
    <w:p w14:paraId="3D4F6601" w14:textId="2A57E245" w:rsidR="00FE30B7" w:rsidRPr="00731039" w:rsidRDefault="000B688B" w:rsidP="00731039">
      <w:pPr>
        <w:shd w:val="clear" w:color="auto" w:fill="FFFFFF"/>
        <w:ind w:firstLine="567"/>
        <w:rPr>
          <w:rFonts w:ascii="Times New Roman" w:hAnsi="Times New Roman" w:cs="Times New Roman"/>
          <w:lang w:val="ro-RO"/>
        </w:rPr>
      </w:pPr>
      <w:r w:rsidRPr="00A73566">
        <w:rPr>
          <w:rFonts w:ascii="Times New Roman" w:hAnsi="Times New Roman" w:cs="Times New Roman"/>
          <w:lang w:val="ro-RO"/>
        </w:rPr>
        <w:t xml:space="preserve">Costul total actual al lipsei de acțiune în ceea ce privește adaptarea la schimbările climatice este estimat la aproximativ 600 de milioane USD, echivalentul a 6,5% din PIB-ul țării. În comparație, costurile directe ale schimbărilor climatice până în </w:t>
      </w:r>
      <w:r w:rsidR="00284BC6" w:rsidRPr="00A73566">
        <w:rPr>
          <w:rFonts w:ascii="Times New Roman" w:hAnsi="Times New Roman" w:cs="Times New Roman"/>
          <w:lang w:val="ro-RO"/>
        </w:rPr>
        <w:t xml:space="preserve">anul </w:t>
      </w:r>
      <w:r w:rsidRPr="00A73566">
        <w:rPr>
          <w:rFonts w:ascii="Times New Roman" w:hAnsi="Times New Roman" w:cs="Times New Roman"/>
          <w:lang w:val="ro-RO"/>
        </w:rPr>
        <w:t xml:space="preserve">2050 (adică scăderea producției cauzată de schimbările climatice, plus creșterea pagubelor și a costurilor de prevenire) se estimează </w:t>
      </w:r>
      <w:r w:rsidR="00284BC6" w:rsidRPr="00A73566">
        <w:rPr>
          <w:rFonts w:ascii="Times New Roman" w:hAnsi="Times New Roman" w:cs="Times New Roman"/>
          <w:lang w:val="ro-RO"/>
        </w:rPr>
        <w:t xml:space="preserve">la </w:t>
      </w:r>
      <w:r w:rsidRPr="00A73566">
        <w:rPr>
          <w:rFonts w:ascii="Times New Roman" w:hAnsi="Times New Roman" w:cs="Times New Roman"/>
          <w:lang w:val="ro-RO"/>
        </w:rPr>
        <w:t xml:space="preserve">aproximativ 1,3 miliarde USD, din care 70% </w:t>
      </w:r>
      <w:r w:rsidR="00284BC6" w:rsidRPr="00A73566">
        <w:rPr>
          <w:rFonts w:ascii="Times New Roman" w:hAnsi="Times New Roman" w:cs="Times New Roman"/>
          <w:lang w:val="ro-RO"/>
        </w:rPr>
        <w:t xml:space="preserve">vor fi </w:t>
      </w:r>
      <w:r w:rsidRPr="00A73566">
        <w:rPr>
          <w:rFonts w:ascii="Times New Roman" w:hAnsi="Times New Roman" w:cs="Times New Roman"/>
          <w:lang w:val="ro-RO"/>
        </w:rPr>
        <w:t xml:space="preserve">suportate </w:t>
      </w:r>
      <w:r w:rsidR="00284BC6" w:rsidRPr="00A73566">
        <w:rPr>
          <w:rFonts w:ascii="Times New Roman" w:hAnsi="Times New Roman" w:cs="Times New Roman"/>
          <w:lang w:val="ro-RO"/>
        </w:rPr>
        <w:t xml:space="preserve">de </w:t>
      </w:r>
      <w:r w:rsidRPr="00A73566">
        <w:rPr>
          <w:rFonts w:ascii="Times New Roman" w:hAnsi="Times New Roman" w:cs="Times New Roman"/>
          <w:lang w:val="ro-RO"/>
        </w:rPr>
        <w:t>sectorul agricol.</w:t>
      </w:r>
    </w:p>
    <w:p w14:paraId="0F292517" w14:textId="67F9E7A6" w:rsidR="00FE30B7" w:rsidRPr="00A73566" w:rsidRDefault="00FE30B7" w:rsidP="001A4CD8">
      <w:pPr>
        <w:pStyle w:val="Heading3"/>
        <w:rPr>
          <w:rFonts w:ascii="Times New Roman" w:hAnsi="Times New Roman" w:cs="Times New Roman"/>
          <w:lang w:val="ro-RO"/>
        </w:rPr>
      </w:pPr>
      <w:bookmarkStart w:id="96" w:name="_Toc88132104"/>
      <w:r w:rsidRPr="00A73566">
        <w:rPr>
          <w:rFonts w:ascii="Times New Roman" w:hAnsi="Times New Roman" w:cs="Times New Roman"/>
          <w:lang w:val="ro-RO"/>
        </w:rPr>
        <w:t>Infrastructura de irigare</w:t>
      </w:r>
      <w:r w:rsidR="00E80B0E" w:rsidRPr="00A73566">
        <w:rPr>
          <w:rFonts w:ascii="Times New Roman" w:hAnsi="Times New Roman" w:cs="Times New Roman"/>
          <w:lang w:val="ro-RO"/>
        </w:rPr>
        <w:t xml:space="preserve"> și managementul apelor</w:t>
      </w:r>
      <w:bookmarkEnd w:id="96"/>
      <w:r w:rsidR="00E80B0E" w:rsidRPr="00A73566">
        <w:rPr>
          <w:rFonts w:ascii="Times New Roman" w:hAnsi="Times New Roman" w:cs="Times New Roman"/>
          <w:lang w:val="ro-RO"/>
        </w:rPr>
        <w:t xml:space="preserve"> </w:t>
      </w:r>
    </w:p>
    <w:p w14:paraId="063DD30A" w14:textId="662025FF" w:rsidR="0071003D" w:rsidRPr="00E03D1A" w:rsidRDefault="0071003D" w:rsidP="00E03D1A">
      <w:pPr>
        <w:spacing w:after="0"/>
        <w:ind w:firstLine="567"/>
        <w:jc w:val="left"/>
        <w:rPr>
          <w:rFonts w:ascii="Times New Roman" w:hAnsi="Times New Roman" w:cs="Times New Roman"/>
          <w:b/>
          <w:i/>
          <w:lang w:val="ro-RO"/>
        </w:rPr>
      </w:pPr>
      <w:r w:rsidRPr="00E03D1A">
        <w:rPr>
          <w:rFonts w:ascii="Times New Roman" w:hAnsi="Times New Roman" w:cs="Times New Roman"/>
          <w:b/>
          <w:i/>
          <w:lang w:val="ro-RO"/>
        </w:rPr>
        <w:t>Infrastructura de irigare</w:t>
      </w:r>
      <w:r w:rsidR="00E03D1A">
        <w:rPr>
          <w:rFonts w:ascii="Times New Roman" w:hAnsi="Times New Roman" w:cs="Times New Roman"/>
          <w:b/>
          <w:i/>
          <w:lang w:val="ro-RO"/>
        </w:rPr>
        <w:t xml:space="preserve">. </w:t>
      </w:r>
      <w:r w:rsidRPr="00A73566">
        <w:rPr>
          <w:rFonts w:ascii="Times New Roman" w:eastAsia="Calibri" w:hAnsi="Times New Roman" w:cs="Times New Roman"/>
          <w:lang w:val="ro-RO"/>
        </w:rPr>
        <w:t xml:space="preserve">Seceta care persistă în urma schimbărilor climaterice afectează producția agricolă și, implicit, securitatea alimentară a țării. </w:t>
      </w:r>
    </w:p>
    <w:p w14:paraId="0CD5DCF6" w14:textId="77777777" w:rsidR="0071003D" w:rsidRPr="00A73566" w:rsidRDefault="0071003D" w:rsidP="0071003D">
      <w:pPr>
        <w:spacing w:after="0"/>
        <w:rPr>
          <w:rFonts w:ascii="Times New Roman" w:eastAsia="Calibri" w:hAnsi="Times New Roman" w:cs="Times New Roman"/>
          <w:lang w:val="ro-RO"/>
        </w:rPr>
      </w:pPr>
      <w:r w:rsidRPr="00A73566">
        <w:rPr>
          <w:rFonts w:ascii="Times New Roman" w:eastAsia="Calibri" w:hAnsi="Times New Roman" w:cs="Times New Roman"/>
          <w:lang w:val="ro-RO"/>
        </w:rPr>
        <w:t xml:space="preserve">Irigaţia este principala măsură eficientă de optimizare a regimului de umiditate a solului în perioada de vegetaţie a plantelor. </w:t>
      </w:r>
    </w:p>
    <w:p w14:paraId="038A70EF" w14:textId="77777777" w:rsidR="0071003D" w:rsidRPr="00A73566" w:rsidRDefault="0071003D" w:rsidP="008F286C">
      <w:pPr>
        <w:spacing w:after="0"/>
        <w:ind w:firstLine="567"/>
        <w:rPr>
          <w:rFonts w:ascii="Times New Roman" w:hAnsi="Times New Roman" w:cs="Times New Roman"/>
          <w:lang w:val="ro-RO"/>
        </w:rPr>
      </w:pPr>
      <w:r w:rsidRPr="00A73566">
        <w:rPr>
          <w:rFonts w:ascii="Times New Roman" w:hAnsi="Times New Roman" w:cs="Times New Roman"/>
          <w:lang w:val="ro-RO"/>
        </w:rPr>
        <w:t xml:space="preserve">Producția globala agricolă, pe ramuri ale agriculturii, este în descreștere în ultimii ani. Conform datelor </w:t>
      </w:r>
      <w:r w:rsidRPr="00A73566">
        <w:rPr>
          <w:rFonts w:ascii="Times New Roman" w:hAnsi="Times New Roman" w:cs="Times New Roman"/>
          <w:i/>
          <w:iCs/>
          <w:lang w:val="ro-RO"/>
        </w:rPr>
        <w:t>Biroului Național de Statistică</w:t>
      </w:r>
      <w:r w:rsidRPr="00A73566">
        <w:rPr>
          <w:rFonts w:ascii="Times New Roman" w:hAnsi="Times New Roman" w:cs="Times New Roman"/>
          <w:lang w:val="ro-RO"/>
        </w:rPr>
        <w:t xml:space="preserve"> (BNS), această scădere în 2020 a fost determinată în mare măsură de scăderea producției vegetale cu 35,9 % și producției animaliere cu 3,8 %, fiind resimțit impactul secetei aride, condițiilor climatice nefavorabile din anul curent.</w:t>
      </w:r>
    </w:p>
    <w:p w14:paraId="711B30B3" w14:textId="2153930A" w:rsidR="0071003D" w:rsidRPr="00A73566" w:rsidRDefault="0071003D" w:rsidP="00731039">
      <w:pPr>
        <w:spacing w:after="0"/>
        <w:ind w:firstLine="567"/>
        <w:rPr>
          <w:rFonts w:ascii="Times New Roman" w:hAnsi="Times New Roman" w:cs="Times New Roman"/>
          <w:b/>
          <w:i/>
          <w:lang w:val="ro-RO"/>
        </w:rPr>
      </w:pPr>
      <w:r w:rsidRPr="00A73566">
        <w:rPr>
          <w:rFonts w:ascii="Times New Roman" w:hAnsi="Times New Roman" w:cs="Times New Roman"/>
          <w:lang w:val="ro-RO"/>
        </w:rPr>
        <w:t xml:space="preserve">Analiza suprafețelor terenurilor din fondul funciar al Republicii Moldova (la 01.01.2021), constată că suprafața terenurilor </w:t>
      </w:r>
      <w:r w:rsidRPr="00A73566">
        <w:rPr>
          <w:rFonts w:ascii="Times New Roman" w:hAnsi="Times New Roman" w:cs="Times New Roman"/>
          <w:bCs/>
          <w:i/>
          <w:lang w:val="ro-RO"/>
        </w:rPr>
        <w:t>amenajate pentru irigare</w:t>
      </w:r>
      <w:r w:rsidRPr="00A73566">
        <w:rPr>
          <w:rFonts w:ascii="Times New Roman" w:hAnsi="Times New Roman" w:cs="Times New Roman"/>
          <w:bCs/>
          <w:lang w:val="ro-RO"/>
        </w:rPr>
        <w:t xml:space="preserve"> </w:t>
      </w:r>
      <w:r w:rsidRPr="00A73566">
        <w:rPr>
          <w:rFonts w:ascii="Times New Roman" w:hAnsi="Times New Roman" w:cs="Times New Roman"/>
          <w:lang w:val="ro-RO"/>
        </w:rPr>
        <w:t>constituie</w:t>
      </w:r>
      <w:r w:rsidRPr="00A73566">
        <w:rPr>
          <w:rFonts w:ascii="Times New Roman" w:hAnsi="Times New Roman" w:cs="Times New Roman"/>
          <w:shd w:val="clear" w:color="auto" w:fill="FFFFFF"/>
          <w:lang w:val="ro-RO"/>
        </w:rPr>
        <w:t xml:space="preserve"> </w:t>
      </w:r>
      <w:r w:rsidRPr="00A73566">
        <w:rPr>
          <w:rFonts w:ascii="Times New Roman" w:hAnsi="Times New Roman" w:cs="Times New Roman"/>
          <w:lang w:val="ro-RO"/>
        </w:rPr>
        <w:t xml:space="preserve">217 941,48 </w:t>
      </w:r>
      <w:r w:rsidRPr="00A73566">
        <w:rPr>
          <w:rFonts w:ascii="Times New Roman" w:hAnsi="Times New Roman" w:cs="Times New Roman"/>
          <w:bCs/>
          <w:lang w:val="ro-RO"/>
        </w:rPr>
        <w:t xml:space="preserve">ha, din care </w:t>
      </w:r>
      <w:r w:rsidRPr="00A73566">
        <w:rPr>
          <w:rFonts w:ascii="Times New Roman" w:hAnsi="Times New Roman" w:cs="Times New Roman"/>
          <w:lang w:val="ro-RO"/>
        </w:rPr>
        <w:t xml:space="preserve">terenurile arabile ocupă </w:t>
      </w:r>
      <w:r w:rsidRPr="00A73566">
        <w:rPr>
          <w:rFonts w:ascii="Times New Roman" w:hAnsi="Times New Roman" w:cs="Times New Roman"/>
          <w:bCs/>
          <w:lang w:val="ro-RO"/>
        </w:rPr>
        <w:t>93,5 %</w:t>
      </w:r>
      <w:r w:rsidRPr="00A73566">
        <w:rPr>
          <w:rFonts w:ascii="Times New Roman" w:hAnsi="Times New Roman" w:cs="Times New Roman"/>
          <w:lang w:val="ro-RO"/>
        </w:rPr>
        <w:t xml:space="preserve">, </w:t>
      </w:r>
      <w:r w:rsidRPr="00A73566">
        <w:rPr>
          <w:rFonts w:ascii="Times New Roman" w:hAnsi="Times New Roman" w:cs="Times New Roman"/>
          <w:bCs/>
          <w:lang w:val="ro-RO"/>
        </w:rPr>
        <w:t xml:space="preserve">plantații multianuale – 6,0 %, includ </w:t>
      </w:r>
      <w:r w:rsidRPr="00A73566">
        <w:rPr>
          <w:rFonts w:ascii="Times New Roman" w:hAnsi="Times New Roman" w:cs="Times New Roman"/>
          <w:lang w:val="ro-RO" w:eastAsia="ro-RO"/>
        </w:rPr>
        <w:t xml:space="preserve">livezi 5,0 % și plantații viticole 0,9 %. </w:t>
      </w:r>
      <w:r w:rsidRPr="00A73566">
        <w:rPr>
          <w:rFonts w:ascii="Times New Roman" w:hAnsi="Times New Roman" w:cs="Times New Roman"/>
          <w:shd w:val="clear" w:color="auto" w:fill="FFFFFF"/>
          <w:lang w:val="ro-RO"/>
        </w:rPr>
        <w:t>Supraf</w:t>
      </w:r>
      <w:r w:rsidR="00803F18">
        <w:rPr>
          <w:rFonts w:ascii="Times New Roman" w:hAnsi="Times New Roman" w:cs="Times New Roman"/>
          <w:shd w:val="clear" w:color="auto" w:fill="FFFFFF"/>
          <w:lang w:val="ro-RO"/>
        </w:rPr>
        <w:t>ața terenurilor desecate  const</w:t>
      </w:r>
      <w:r w:rsidRPr="00A73566">
        <w:rPr>
          <w:rFonts w:ascii="Times New Roman" w:hAnsi="Times New Roman" w:cs="Times New Roman"/>
          <w:shd w:val="clear" w:color="auto" w:fill="FFFFFF"/>
          <w:lang w:val="ro-RO"/>
        </w:rPr>
        <w:t>ituie 58,20 mii hectare.</w:t>
      </w:r>
    </w:p>
    <w:p w14:paraId="3B2845DA" w14:textId="77777777" w:rsidR="0071003D" w:rsidRPr="00A73566" w:rsidRDefault="0071003D" w:rsidP="0071003D">
      <w:pPr>
        <w:spacing w:after="0"/>
        <w:rPr>
          <w:rFonts w:ascii="Times New Roman" w:eastAsia="Calibri" w:hAnsi="Times New Roman" w:cs="Times New Roman"/>
          <w:lang w:val="ro-RO"/>
        </w:rPr>
      </w:pPr>
      <w:r w:rsidRPr="00A73566">
        <w:rPr>
          <w:rFonts w:ascii="Times New Roman" w:eastAsia="Calibri" w:hAnsi="Times New Roman" w:cs="Times New Roman"/>
          <w:lang w:val="ro-RO"/>
        </w:rPr>
        <w:t>Din cele 300,0 mii ha terenuri irigate în 1989, în prezent pot fi asigurate cu irigare circa 40,0 mii ha.</w:t>
      </w:r>
      <w:r w:rsidRPr="00A73566">
        <w:rPr>
          <w:rFonts w:ascii="Times New Roman" w:eastAsia="Times New Roman" w:hAnsi="Times New Roman" w:cs="Times New Roman"/>
          <w:bCs/>
          <w:lang w:val="ro-RO"/>
        </w:rPr>
        <w:t xml:space="preserve"> </w:t>
      </w:r>
      <w:r w:rsidRPr="00A73566">
        <w:rPr>
          <w:rFonts w:ascii="Times New Roman" w:eastAsia="Calibri" w:hAnsi="Times New Roman" w:cs="Times New Roman"/>
          <w:lang w:val="ro-RO"/>
        </w:rPr>
        <w:t xml:space="preserve">Iar în ultimii ani suprafața s-a redus drastic, astfel că în prezent se irigă circa 4,0-7,0 mii ha (suprafața fizică), ceea ce constituie doar 5 % din suprafața terenurilor de referință. </w:t>
      </w:r>
    </w:p>
    <w:p w14:paraId="130C9BBB" w14:textId="77777777" w:rsidR="0071003D" w:rsidRPr="00A73566" w:rsidRDefault="0071003D" w:rsidP="0071003D">
      <w:pPr>
        <w:spacing w:after="0"/>
        <w:rPr>
          <w:rFonts w:ascii="Times New Roman" w:eastAsia="Calibri" w:hAnsi="Times New Roman" w:cs="Times New Roman"/>
          <w:lang w:val="ro-RO"/>
        </w:rPr>
      </w:pPr>
      <w:r w:rsidRPr="00A73566">
        <w:rPr>
          <w:rFonts w:ascii="Times New Roman" w:eastAsia="Calibri" w:hAnsi="Times New Roman" w:cs="Times New Roman"/>
          <w:lang w:val="ro-RO"/>
        </w:rPr>
        <w:t>Ulterior, suprafața terenurilor amenajate pentru irigare a fost extinsă până la 320 mii ha în 1992, la care s-au utilizat resursele de apă în volum total de 692 mln m</w:t>
      </w:r>
      <w:r w:rsidRPr="00A73566">
        <w:rPr>
          <w:rFonts w:ascii="Times New Roman" w:eastAsia="Calibri" w:hAnsi="Times New Roman" w:cs="Times New Roman"/>
          <w:vertAlign w:val="superscript"/>
          <w:lang w:val="ro-RO"/>
        </w:rPr>
        <w:t>3</w:t>
      </w:r>
      <w:r w:rsidRPr="00A73566">
        <w:rPr>
          <w:rFonts w:ascii="Times New Roman" w:eastAsia="Calibri" w:hAnsi="Times New Roman" w:cs="Times New Roman"/>
          <w:lang w:val="ro-RO"/>
        </w:rPr>
        <w:t>, inclusiv din Nistru (64%), Prut (25%) și alte surse (11%).</w:t>
      </w:r>
    </w:p>
    <w:p w14:paraId="70196EA1" w14:textId="20C8558F" w:rsidR="0071003D" w:rsidRPr="00A73566" w:rsidRDefault="0071003D" w:rsidP="00731039">
      <w:pPr>
        <w:spacing w:after="0"/>
        <w:ind w:firstLine="567"/>
        <w:rPr>
          <w:rFonts w:ascii="Times New Roman" w:eastAsia="Calibri" w:hAnsi="Times New Roman" w:cs="Times New Roman"/>
          <w:lang w:val="ro-RO"/>
        </w:rPr>
      </w:pPr>
      <w:r w:rsidRPr="00A73566">
        <w:rPr>
          <w:rFonts w:ascii="Times New Roman" w:eastAsia="Calibri" w:hAnsi="Times New Roman" w:cs="Times New Roman"/>
          <w:lang w:val="ro-RO"/>
        </w:rPr>
        <w:t>Conform datelor Agenției „Apele Moldovei”, în țară sunt 78 de sisteme centralizate de irigare cu aria de acoperire a 131 688 ha. Starea tehnică în care se află sistemele centralizate de irigare în prezent este dezastruoasă (</w:t>
      </w:r>
      <w:r w:rsidRPr="00A73566">
        <w:rPr>
          <w:rFonts w:ascii="Times New Roman" w:eastAsia="Calibri" w:hAnsi="Times New Roman" w:cs="Times New Roman"/>
          <w:bCs/>
          <w:lang w:val="ro-RO"/>
        </w:rPr>
        <w:t>51%</w:t>
      </w:r>
      <w:r w:rsidRPr="00A73566">
        <w:rPr>
          <w:rFonts w:ascii="Times New Roman" w:eastAsia="Calibri" w:hAnsi="Times New Roman" w:cs="Times New Roman"/>
          <w:lang w:val="ro-RO"/>
        </w:rPr>
        <w:t xml:space="preserve"> din totalul celor 78 SCI sunt ruinate/distruse, </w:t>
      </w:r>
      <w:r w:rsidRPr="00A73566">
        <w:rPr>
          <w:rFonts w:ascii="Times New Roman" w:eastAsia="Calibri" w:hAnsi="Times New Roman" w:cs="Times New Roman"/>
          <w:bCs/>
          <w:lang w:val="ro-RO"/>
        </w:rPr>
        <w:t>22%</w:t>
      </w:r>
      <w:r w:rsidRPr="00A73566">
        <w:rPr>
          <w:rFonts w:ascii="Times New Roman" w:eastAsia="Calibri" w:hAnsi="Times New Roman" w:cs="Times New Roman"/>
          <w:lang w:val="ro-RO"/>
        </w:rPr>
        <w:t xml:space="preserve"> – sunt nefuncționale; </w:t>
      </w:r>
      <w:r w:rsidRPr="00A73566">
        <w:rPr>
          <w:rFonts w:ascii="Times New Roman" w:eastAsia="Calibri" w:hAnsi="Times New Roman" w:cs="Times New Roman"/>
          <w:bCs/>
          <w:lang w:val="ro-RO"/>
        </w:rPr>
        <w:t>27%</w:t>
      </w:r>
      <w:r w:rsidRPr="00A73566">
        <w:rPr>
          <w:rFonts w:ascii="Times New Roman" w:eastAsia="Calibri" w:hAnsi="Times New Roman" w:cs="Times New Roman"/>
          <w:lang w:val="ro-RO"/>
        </w:rPr>
        <w:t xml:space="preserve"> – sunt funcționale/parțial.</w:t>
      </w:r>
    </w:p>
    <w:p w14:paraId="53585B17" w14:textId="1AC4AF9C" w:rsidR="0071003D" w:rsidRPr="00A73566" w:rsidRDefault="0071003D" w:rsidP="0071003D">
      <w:pPr>
        <w:spacing w:after="0"/>
        <w:rPr>
          <w:rFonts w:ascii="Times New Roman" w:eastAsia="Calibri" w:hAnsi="Times New Roman" w:cs="Times New Roman"/>
          <w:lang w:val="ro-RO"/>
        </w:rPr>
      </w:pPr>
      <w:r w:rsidRPr="00A73566">
        <w:rPr>
          <w:rFonts w:ascii="Times New Roman" w:eastAsia="Calibri" w:hAnsi="Times New Roman" w:cs="Times New Roman"/>
          <w:lang w:val="ro-RO"/>
        </w:rPr>
        <w:t xml:space="preserve">Din cauza exploatării acestora de peste 60 de ani și a distrugerii infrastructurii de irigare, s-au redus substanțial suprafețele terenurilor irigate și, în consecință, au fost afectate volumul și calitatea producției agricole. </w:t>
      </w:r>
      <w:r w:rsidRPr="00A73566">
        <w:rPr>
          <w:rFonts w:ascii="Times New Roman" w:eastAsia="Calibri" w:hAnsi="Times New Roman" w:cs="Times New Roman"/>
          <w:bCs/>
          <w:shd w:val="clear" w:color="auto" w:fill="FFFFFF"/>
          <w:lang w:val="ro-RO"/>
        </w:rPr>
        <w:t>Ținând cont de starea tehnică a sistemelor de desecare, în prezent este necesară reabilitarea sistemelor acestora.</w:t>
      </w:r>
    </w:p>
    <w:p w14:paraId="7FAB5439" w14:textId="77777777" w:rsidR="0071003D" w:rsidRPr="00A73566" w:rsidRDefault="0071003D" w:rsidP="00731039">
      <w:pPr>
        <w:spacing w:after="0"/>
        <w:ind w:firstLine="708"/>
        <w:jc w:val="center"/>
        <w:rPr>
          <w:rFonts w:ascii="Times New Roman" w:eastAsia="Calibri" w:hAnsi="Times New Roman" w:cs="Times New Roman"/>
          <w:bCs/>
          <w:shd w:val="clear" w:color="auto" w:fill="FFFFFF"/>
          <w:lang w:val="ro-RO"/>
        </w:rPr>
      </w:pPr>
    </w:p>
    <w:p w14:paraId="0A6C9961" w14:textId="29AE15CB" w:rsidR="0071003D" w:rsidRPr="00E03D1A" w:rsidRDefault="0071003D" w:rsidP="00E03D1A">
      <w:pPr>
        <w:spacing w:after="0"/>
        <w:ind w:firstLine="567"/>
        <w:jc w:val="left"/>
        <w:rPr>
          <w:rFonts w:ascii="Calibri" w:eastAsia="Calibri" w:hAnsi="Calibri" w:cs="Tunga"/>
          <w:b/>
          <w:i/>
          <w:iCs/>
          <w:lang w:val="ro-RO"/>
        </w:rPr>
      </w:pPr>
      <w:r w:rsidRPr="00E03D1A">
        <w:rPr>
          <w:rFonts w:ascii="Times New Roman" w:eastAsia="Calibri" w:hAnsi="Times New Roman" w:cs="Times New Roman"/>
          <w:b/>
          <w:bCs/>
          <w:i/>
          <w:iCs/>
          <w:shd w:val="clear" w:color="auto" w:fill="FFFFFF"/>
          <w:lang w:val="ro-RO"/>
        </w:rPr>
        <w:t>Managementul apelor în agricultură</w:t>
      </w:r>
      <w:r w:rsidR="00E03D1A">
        <w:rPr>
          <w:rFonts w:ascii="Calibri" w:eastAsia="Calibri" w:hAnsi="Calibri" w:cs="Tunga"/>
          <w:b/>
          <w:i/>
          <w:iCs/>
          <w:lang w:val="ro-RO"/>
        </w:rPr>
        <w:t xml:space="preserve">. </w:t>
      </w:r>
      <w:r w:rsidRPr="00A73566">
        <w:rPr>
          <w:rFonts w:ascii="Times New Roman" w:hAnsi="Times New Roman" w:cs="Times New Roman"/>
          <w:bCs/>
          <w:lang w:val="ro-RO"/>
        </w:rPr>
        <w:t>Resursele apelor de suprafață în Republica Moldova sunt reprezentate de 6500 cursuri de apă permanente sau intermitente cu o lungime totală de circa 27 000 km, inclusiv râurile mari: Nistru (652 km), Prut (705 km), Răut (286 km).</w:t>
      </w:r>
    </w:p>
    <w:p w14:paraId="0344D0AB" w14:textId="19077248" w:rsidR="0071003D" w:rsidRPr="00A73566" w:rsidRDefault="0071003D" w:rsidP="008F286C">
      <w:pPr>
        <w:spacing w:after="0"/>
        <w:ind w:firstLine="567"/>
        <w:rPr>
          <w:rFonts w:ascii="Times New Roman" w:hAnsi="Times New Roman" w:cs="Times New Roman"/>
          <w:bCs/>
          <w:lang w:val="ro-RO"/>
        </w:rPr>
      </w:pPr>
      <w:r w:rsidRPr="00A73566">
        <w:rPr>
          <w:rFonts w:ascii="Times New Roman" w:hAnsi="Times New Roman" w:cs="Times New Roman"/>
          <w:lang w:val="ro-RO"/>
        </w:rPr>
        <w:t>Cele mai importante resurse de apă de suprafață (72 % din resurse disponibile sau 4000 mln m</w:t>
      </w:r>
      <w:r w:rsidRPr="00A73566">
        <w:rPr>
          <w:rFonts w:ascii="Times New Roman" w:hAnsi="Times New Roman" w:cs="Times New Roman"/>
          <w:vertAlign w:val="superscript"/>
          <w:lang w:val="ro-RO"/>
        </w:rPr>
        <w:t>3</w:t>
      </w:r>
      <w:r w:rsidRPr="00A73566">
        <w:rPr>
          <w:rFonts w:ascii="Times New Roman" w:hAnsi="Times New Roman" w:cs="Times New Roman"/>
          <w:lang w:val="ro-RO"/>
        </w:rPr>
        <w:t xml:space="preserve">/an) sunt </w:t>
      </w:r>
      <w:r w:rsidR="00803F18">
        <w:rPr>
          <w:rFonts w:ascii="Times New Roman" w:hAnsi="Times New Roman" w:cs="Times New Roman"/>
          <w:lang w:val="ro-RO"/>
        </w:rPr>
        <w:t>aduse din exteriorul țării cu râ</w:t>
      </w:r>
      <w:r w:rsidRPr="00A73566">
        <w:rPr>
          <w:rFonts w:ascii="Times New Roman" w:hAnsi="Times New Roman" w:cs="Times New Roman"/>
          <w:lang w:val="ro-RO"/>
        </w:rPr>
        <w:t>urile transfrontaliere Nistru și Prut, care sunt gestionate în comun cu Ucraina și România în baza acordurilor interstatale.</w:t>
      </w:r>
    </w:p>
    <w:p w14:paraId="0205ECF8" w14:textId="77777777" w:rsidR="0071003D" w:rsidRPr="00A73566" w:rsidRDefault="0071003D" w:rsidP="008F286C">
      <w:pPr>
        <w:spacing w:after="0"/>
        <w:rPr>
          <w:rFonts w:ascii="Times New Roman" w:hAnsi="Times New Roman" w:cs="Times New Roman"/>
          <w:bCs/>
          <w:lang w:val="ro-RO"/>
        </w:rPr>
      </w:pPr>
      <w:r w:rsidRPr="00A73566">
        <w:rPr>
          <w:rFonts w:ascii="Times New Roman" w:hAnsi="Times New Roman" w:cs="Times New Roman"/>
          <w:lang w:val="ro-RO"/>
        </w:rPr>
        <w:t>Volumul apelor de suprafață, care potențial poate fi concentrat în interiorul țării în mai mult de 4000 de bazine de acumulare, constituie circa 1 320 mln m</w:t>
      </w:r>
      <w:r w:rsidRPr="00A73566">
        <w:rPr>
          <w:rFonts w:ascii="Times New Roman" w:hAnsi="Times New Roman" w:cs="Times New Roman"/>
          <w:vertAlign w:val="superscript"/>
          <w:lang w:val="ro-RO"/>
        </w:rPr>
        <w:t>3</w:t>
      </w:r>
      <w:r w:rsidRPr="00A73566">
        <w:rPr>
          <w:rFonts w:ascii="Times New Roman" w:hAnsi="Times New Roman" w:cs="Times New Roman"/>
          <w:lang w:val="ro-RO"/>
        </w:rPr>
        <w:t>, dintre care disponibile pentru utilizare sunt 800 mln m</w:t>
      </w:r>
      <w:r w:rsidRPr="00A73566">
        <w:rPr>
          <w:rFonts w:ascii="Times New Roman" w:hAnsi="Times New Roman" w:cs="Times New Roman"/>
          <w:vertAlign w:val="superscript"/>
          <w:lang w:val="ro-RO"/>
        </w:rPr>
        <w:t>3</w:t>
      </w:r>
      <w:r w:rsidRPr="00A73566">
        <w:rPr>
          <w:rFonts w:ascii="Times New Roman" w:hAnsi="Times New Roman" w:cs="Times New Roman"/>
          <w:lang w:val="ro-RO"/>
        </w:rPr>
        <w:t>/an sau 14 % din totalul resurselor de apă disponibile.</w:t>
      </w:r>
    </w:p>
    <w:p w14:paraId="38608617" w14:textId="77777777" w:rsidR="0071003D" w:rsidRPr="00A73566" w:rsidRDefault="0071003D" w:rsidP="0071003D">
      <w:pPr>
        <w:spacing w:after="0"/>
        <w:rPr>
          <w:rFonts w:ascii="Times New Roman" w:hAnsi="Times New Roman" w:cs="Times New Roman"/>
          <w:bCs/>
          <w:lang w:val="ro-RO"/>
        </w:rPr>
      </w:pPr>
      <w:r w:rsidRPr="00A73566">
        <w:rPr>
          <w:rFonts w:ascii="Times New Roman" w:hAnsi="Times New Roman" w:cs="Times New Roman"/>
          <w:lang w:val="ro-RO"/>
        </w:rPr>
        <w:t>În anii '80 ai secolului trecut sectorul de irigare reprezenta principalul utilizator de apă. Însă, din diferite motive dinamica utilizării apei în ultimii ani s-a schimbat considerabil.</w:t>
      </w:r>
    </w:p>
    <w:p w14:paraId="6A050055" w14:textId="4216BE08" w:rsidR="0071003D" w:rsidRPr="00A73566" w:rsidRDefault="0071003D" w:rsidP="0071003D">
      <w:pPr>
        <w:spacing w:after="0"/>
        <w:rPr>
          <w:rFonts w:ascii="Times New Roman" w:eastAsia="Times New Roman" w:hAnsi="Times New Roman" w:cs="Times New Roman"/>
          <w:lang w:val="ro-RO" w:eastAsia="zh-CN"/>
        </w:rPr>
      </w:pPr>
      <w:r w:rsidRPr="00A73566">
        <w:rPr>
          <w:rFonts w:ascii="Times New Roman" w:eastAsia="Times New Roman" w:hAnsi="Times New Roman" w:cs="Times New Roman"/>
          <w:lang w:val="ro-RO" w:eastAsia="zh-CN"/>
        </w:rPr>
        <w:t>Volumul relativ redus de ape folosite la irigație este condiționat atât de particularitățile naturale (debitul redus și insuficiența de precipitații, riscul spori</w:t>
      </w:r>
      <w:r w:rsidR="00803F18">
        <w:rPr>
          <w:rFonts w:ascii="Times New Roman" w:eastAsia="Times New Roman" w:hAnsi="Times New Roman" w:cs="Times New Roman"/>
          <w:lang w:val="ro-RO" w:eastAsia="zh-CN"/>
        </w:rPr>
        <w:t>t de salinizare a solurilor), câ</w:t>
      </w:r>
      <w:r w:rsidRPr="00A73566">
        <w:rPr>
          <w:rFonts w:ascii="Times New Roman" w:eastAsia="Times New Roman" w:hAnsi="Times New Roman" w:cs="Times New Roman"/>
          <w:lang w:val="ro-RO" w:eastAsia="zh-CN"/>
        </w:rPr>
        <w:t>t și de posibilitățile tehnico</w:t>
      </w:r>
      <w:r w:rsidR="00803F18">
        <w:rPr>
          <w:rFonts w:ascii="Times New Roman" w:eastAsia="Times New Roman" w:hAnsi="Times New Roman" w:cs="Times New Roman"/>
          <w:lang w:val="ro-RO" w:eastAsia="zh-CN"/>
        </w:rPr>
        <w:t xml:space="preserve"> </w:t>
      </w:r>
      <w:r w:rsidRPr="00A73566">
        <w:rPr>
          <w:rFonts w:ascii="Times New Roman" w:eastAsia="Times New Roman" w:hAnsi="Times New Roman" w:cs="Times New Roman"/>
          <w:lang w:val="ro-RO" w:eastAsia="zh-CN"/>
        </w:rPr>
        <w:t xml:space="preserve">-economice de utilizare a apei pentru irigare. </w:t>
      </w:r>
    </w:p>
    <w:p w14:paraId="5CEAA939" w14:textId="74CB3F74" w:rsidR="0071003D" w:rsidRPr="00A73566" w:rsidRDefault="0071003D" w:rsidP="00731039">
      <w:pPr>
        <w:spacing w:after="0"/>
        <w:ind w:firstLine="567"/>
        <w:rPr>
          <w:rFonts w:ascii="Times New Roman" w:hAnsi="Times New Roman" w:cs="Times New Roman"/>
          <w:lang w:val="ro-RO"/>
        </w:rPr>
      </w:pPr>
      <w:r w:rsidRPr="00A73566">
        <w:rPr>
          <w:rFonts w:ascii="Times New Roman" w:eastAsia="Times New Roman" w:hAnsi="Times New Roman" w:cs="Times New Roman"/>
          <w:lang w:val="ro-RO" w:eastAsia="zh-CN"/>
        </w:rPr>
        <w:t xml:space="preserve">Astfel, consumul maxim al apei pentru irigare se atestă în raioanele situate în proximitatea </w:t>
      </w:r>
      <w:r w:rsidR="00803F18">
        <w:rPr>
          <w:rFonts w:ascii="Times New Roman" w:eastAsia="Times New Roman" w:hAnsi="Times New Roman" w:cs="Times New Roman"/>
          <w:lang w:val="ro-RO" w:eastAsia="zh-CN"/>
        </w:rPr>
        <w:t>râ</w:t>
      </w:r>
      <w:r w:rsidRPr="00A73566">
        <w:rPr>
          <w:rFonts w:ascii="Times New Roman" w:eastAsia="Times New Roman" w:hAnsi="Times New Roman" w:cs="Times New Roman"/>
          <w:lang w:val="ro-RO" w:eastAsia="zh-CN"/>
        </w:rPr>
        <w:t>urilor Nistru și Prut, care dispun de capacități mari de captare, transportare și utilizare a apei în aceste scopuri, inclusiv (în descreștere) Dubăsari, Ștefan Vodă, Anenii Noi, Briceni, Soroca, Edineț, Ungheni, Căușeni, Râșcani.</w:t>
      </w:r>
    </w:p>
    <w:p w14:paraId="316AE293" w14:textId="77777777" w:rsidR="0071003D" w:rsidRPr="00A73566" w:rsidRDefault="0071003D" w:rsidP="00731039">
      <w:pPr>
        <w:spacing w:after="0"/>
        <w:ind w:firstLine="567"/>
        <w:rPr>
          <w:rFonts w:ascii="Times New Roman" w:hAnsi="Times New Roman" w:cs="Times New Roman"/>
          <w:lang w:val="ro-RO"/>
        </w:rPr>
      </w:pPr>
      <w:r w:rsidRPr="00A73566">
        <w:rPr>
          <w:rFonts w:ascii="Times New Roman" w:hAnsi="Times New Roman" w:cs="Times New Roman"/>
          <w:lang w:val="ro-RO"/>
        </w:rPr>
        <w:t xml:space="preserve">Se atestă că în ultimii ani esențial a scăzut captarea apei pentru irigare din fl. Nistru și r. Prut. În același timp, resursele de apă al acestor râuri permit majorarea cantității apei captate pentru irigare. </w:t>
      </w:r>
    </w:p>
    <w:p w14:paraId="6C82E655" w14:textId="77777777" w:rsidR="0071003D" w:rsidRPr="00A73566" w:rsidRDefault="0071003D" w:rsidP="0071003D">
      <w:pPr>
        <w:shd w:val="clear" w:color="auto" w:fill="FFFFFF"/>
        <w:spacing w:after="0"/>
        <w:rPr>
          <w:rFonts w:ascii="Times New Roman" w:eastAsia="Times New Roman" w:hAnsi="Times New Roman" w:cs="Times New Roman"/>
          <w:lang w:val="ro-RO"/>
        </w:rPr>
      </w:pPr>
      <w:r w:rsidRPr="00A73566">
        <w:rPr>
          <w:rFonts w:ascii="Times New Roman" w:hAnsi="Times New Roman" w:cs="Times New Roman"/>
          <w:i/>
          <w:iCs/>
          <w:lang w:val="ro-RO"/>
        </w:rPr>
        <w:t>Zone cu potențial de irigare semnificativ</w:t>
      </w:r>
      <w:r w:rsidRPr="00A73566">
        <w:rPr>
          <w:rFonts w:ascii="Times New Roman" w:hAnsi="Times New Roman" w:cs="Times New Roman"/>
          <w:lang w:val="ro-RO"/>
        </w:rPr>
        <w:t xml:space="preserve">, care pot fi asigurate cu apă, în perspectiva sunt terenurile agricole amplasate istoric în aria de acoperire a sistemelor centrale de irigare de-a lungul râurilor Nistru (64 %), Prut (25 %) și bazine de acumulare în interiorul țării (11 %), care sunt și principalele surse de apă pentru irigare. Suprafața acestor terenuri este de circa </w:t>
      </w:r>
      <w:r w:rsidRPr="00A73566">
        <w:rPr>
          <w:rFonts w:ascii="Times New Roman" w:hAnsi="Times New Roman" w:cs="Times New Roman"/>
          <w:bCs/>
          <w:lang w:val="ro-RO"/>
        </w:rPr>
        <w:t>300 mii ha</w:t>
      </w:r>
      <w:r w:rsidRPr="00A73566">
        <w:rPr>
          <w:rFonts w:ascii="Times New Roman" w:hAnsi="Times New Roman" w:cs="Times New Roman"/>
          <w:lang w:val="ro-RO"/>
        </w:rPr>
        <w:t>.</w:t>
      </w:r>
    </w:p>
    <w:p w14:paraId="74CB4F46" w14:textId="77777777" w:rsidR="0071003D" w:rsidRPr="00A73566" w:rsidRDefault="0071003D" w:rsidP="00731039">
      <w:pPr>
        <w:spacing w:after="0"/>
        <w:ind w:firstLine="567"/>
        <w:rPr>
          <w:rFonts w:ascii="Times New Roman" w:hAnsi="Times New Roman" w:cs="Times New Roman"/>
          <w:lang w:val="ro-RO"/>
        </w:rPr>
      </w:pPr>
      <w:r w:rsidRPr="00A73566">
        <w:rPr>
          <w:rFonts w:ascii="Times New Roman" w:hAnsi="Times New Roman" w:cs="Times New Roman"/>
          <w:lang w:val="ro-RO"/>
        </w:rPr>
        <w:t>În Republica Moldova sunt peste 4000 de bazine de acumulare (iazuri și lacuri de acumulare), dintre care 28 cu un volum de peste 1 mil. m</w:t>
      </w:r>
      <w:r w:rsidRPr="00A73566">
        <w:rPr>
          <w:rFonts w:ascii="Times New Roman" w:hAnsi="Times New Roman" w:cs="Times New Roman"/>
          <w:vertAlign w:val="superscript"/>
          <w:lang w:val="ro-RO"/>
        </w:rPr>
        <w:t>3</w:t>
      </w:r>
      <w:r w:rsidRPr="00A73566">
        <w:rPr>
          <w:rFonts w:ascii="Times New Roman" w:hAnsi="Times New Roman" w:cs="Times New Roman"/>
          <w:lang w:val="ro-RO"/>
        </w:rPr>
        <w:t>. Din numărul total al bazinelor de acumulare, 47 sunt în gestiunea entității responsabile de gospodărirea apelor, restul – sunt gestionate de autoritățile administrației publice locale. 42 de bazine sunt destinate irigării-pisciculturii și 5 – pisciculturii.</w:t>
      </w:r>
    </w:p>
    <w:p w14:paraId="36AD2F22" w14:textId="77777777" w:rsidR="0071003D" w:rsidRPr="00A73566" w:rsidRDefault="0071003D" w:rsidP="0071003D">
      <w:pPr>
        <w:spacing w:after="0"/>
        <w:rPr>
          <w:rFonts w:ascii="Times New Roman" w:hAnsi="Times New Roman" w:cs="Times New Roman"/>
          <w:lang w:val="ro-RO"/>
        </w:rPr>
      </w:pPr>
      <w:r w:rsidRPr="00A73566">
        <w:rPr>
          <w:rFonts w:ascii="Times New Roman" w:hAnsi="Times New Roman" w:cs="Times New Roman"/>
          <w:lang w:val="ro-RO"/>
        </w:rPr>
        <w:t xml:space="preserve">Sursele principale de apă pentru irigare: Nistrul, Prutul, râulețele mai mici, bazinele de acumulare (lacurile, iazurile) per total dispun de cantități suficiente pentru a asigura necesarul de apă pentru irigare a sectorului agricol, pentru întreaga suprafață, de terenuri estimate irigabile de 300 000 ha. Doar în practică, această cantitate, nu este disponibilă proporțional în perioada critică pentru irigare, a culturilor strategice. </w:t>
      </w:r>
    </w:p>
    <w:p w14:paraId="2CF60B30" w14:textId="77777777" w:rsidR="0071003D" w:rsidRPr="00A73566" w:rsidRDefault="0071003D" w:rsidP="0071003D">
      <w:pPr>
        <w:spacing w:after="0"/>
        <w:rPr>
          <w:rFonts w:ascii="Times New Roman" w:hAnsi="Times New Roman" w:cs="Times New Roman"/>
          <w:lang w:val="ro-RO"/>
        </w:rPr>
      </w:pPr>
      <w:r w:rsidRPr="00A73566">
        <w:rPr>
          <w:rFonts w:ascii="Times New Roman" w:hAnsi="Times New Roman" w:cs="Times New Roman"/>
          <w:lang w:val="ro-RO"/>
        </w:rPr>
        <w:t>Din aceste considerente, este foarte important de a lua în calcul disponibilitatea și utilizarea eficientă a resurselor de apă existente, cât și posibilitatea de a dezvolta capacități de reținere și acumulare a apei, în rezervoare noi alternative din interiorul țării, în sezonul când sunt ploi din abundență, în acest fel rezolvând/diminuând parțial și problema pericolului de inundații, fiind propuse spre implementare măsuri și acțiuni, care vor asigura/crește competitivitatea sectorului.</w:t>
      </w:r>
    </w:p>
    <w:p w14:paraId="394AEE13" w14:textId="0AEE0A06" w:rsidR="00FE30B7" w:rsidRPr="00A73566" w:rsidRDefault="00FE30B7" w:rsidP="00731039">
      <w:pPr>
        <w:ind w:firstLine="567"/>
        <w:rPr>
          <w:rFonts w:ascii="Times New Roman" w:hAnsi="Times New Roman" w:cs="Times New Roman"/>
          <w:lang w:val="ro-RO"/>
        </w:rPr>
      </w:pPr>
      <w:r w:rsidRPr="00A73566">
        <w:rPr>
          <w:rFonts w:ascii="Times New Roman" w:eastAsia="Times New Roman" w:hAnsi="Times New Roman" w:cs="Times New Roman"/>
          <w:lang w:val="ro-RO" w:eastAsia="zh-CN"/>
        </w:rPr>
        <w:t xml:space="preserve">Pentru asigurarea sectorului agricol cu volumul necesar de apă pentru irigare </w:t>
      </w:r>
      <w:r w:rsidRPr="00A73566">
        <w:rPr>
          <w:rFonts w:ascii="Times New Roman" w:hAnsi="Times New Roman" w:cs="Times New Roman"/>
          <w:lang w:val="ro-RO"/>
        </w:rPr>
        <w:t xml:space="preserve">este important de luat în calcul disponibilitatea și utilizarea eficientă a resurselor de apă existente (apa din râurile si bazinele acvatice), precum și posibilitatea de valorificare și dezvoltare a surselor alternative, cum ar fi: captarea și stocarea apelor în afara sezonului de irigare - atunci când debiturile râurilor sunt mult mai mari ca în perioada de vară; captarea și acumularea apelor rezultate din precipitațiile atmosferice – rezolvând/diminuând totodată si problema inundațiilor, epurarea si captarea apelor reziduale; precum si alte metode disponibile. În acest sens, trebuie utilizate atât capacitățile existente, cat și altele noi, cum ar fi construcția bazinelor moderne de stocare, dotate cu </w:t>
      </w:r>
      <w:r w:rsidR="00C52C53" w:rsidRPr="00A73566">
        <w:rPr>
          <w:rFonts w:ascii="Times New Roman" w:hAnsi="Times New Roman" w:cs="Times New Roman"/>
          <w:lang w:val="ro-RO"/>
        </w:rPr>
        <w:t>G</w:t>
      </w:r>
      <w:r w:rsidRPr="00A73566">
        <w:rPr>
          <w:rFonts w:ascii="Times New Roman" w:hAnsi="Times New Roman" w:cs="Times New Roman"/>
          <w:lang w:val="ro-RO"/>
        </w:rPr>
        <w:t xml:space="preserve">eomembrane. Pentru regiunile în care sunt mai puține surse de apă tradiționale pot fi utilizate apele subterane, doar că în acest caz este imperativ necesar de luat în considerare calitatea apei, pentru a nu prejudicia </w:t>
      </w:r>
      <w:r w:rsidR="0071003D" w:rsidRPr="00A73566">
        <w:rPr>
          <w:rFonts w:ascii="Times New Roman" w:hAnsi="Times New Roman" w:cs="Times New Roman"/>
          <w:lang w:val="ro-RO"/>
        </w:rPr>
        <w:t xml:space="preserve">calitatea </w:t>
      </w:r>
      <w:r w:rsidRPr="00A73566">
        <w:rPr>
          <w:rFonts w:ascii="Times New Roman" w:hAnsi="Times New Roman" w:cs="Times New Roman"/>
          <w:lang w:val="ro-RO"/>
        </w:rPr>
        <w:t>solului</w:t>
      </w:r>
      <w:r w:rsidR="0071003D" w:rsidRPr="00A73566">
        <w:rPr>
          <w:rFonts w:ascii="Times New Roman" w:hAnsi="Times New Roman" w:cs="Times New Roman"/>
          <w:lang w:val="ro-RO"/>
        </w:rPr>
        <w:t xml:space="preserve"> și de a exclude pericolul de salinizare și solonetizare</w:t>
      </w:r>
      <w:r w:rsidRPr="00A73566">
        <w:rPr>
          <w:rFonts w:ascii="Times New Roman" w:hAnsi="Times New Roman" w:cs="Times New Roman"/>
          <w:lang w:val="ro-RO"/>
        </w:rPr>
        <w:t>.</w:t>
      </w:r>
    </w:p>
    <w:p w14:paraId="1CDEE143" w14:textId="77777777" w:rsidR="00EB4729" w:rsidRPr="00A73566" w:rsidRDefault="00EB4729" w:rsidP="00EB4729">
      <w:pPr>
        <w:pStyle w:val="Heading3"/>
        <w:rPr>
          <w:rFonts w:ascii="Times New Roman" w:eastAsia="Calibri" w:hAnsi="Times New Roman" w:cs="Times New Roman"/>
          <w:b/>
          <w:szCs w:val="24"/>
          <w:lang w:val="ro-RO"/>
        </w:rPr>
      </w:pPr>
      <w:bookmarkStart w:id="97" w:name="_Toc88132105"/>
      <w:r w:rsidRPr="00A73566">
        <w:rPr>
          <w:rFonts w:ascii="Times New Roman" w:hAnsi="Times New Roman" w:cs="Times New Roman"/>
          <w:lang w:val="ro-RO"/>
        </w:rPr>
        <w:t>Agricultura ecologică</w:t>
      </w:r>
      <w:bookmarkEnd w:id="97"/>
    </w:p>
    <w:p w14:paraId="2D74866E" w14:textId="45C4A0D3" w:rsidR="00EB4729" w:rsidRPr="00A73566" w:rsidRDefault="00EB4729" w:rsidP="003C09DD">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În Republica Moldova există toate condițiile climatice pentru dezvoltarea agriculturii ecologice. </w:t>
      </w:r>
      <w:r w:rsidR="003C09DD" w:rsidRPr="00A73566">
        <w:rPr>
          <w:rFonts w:ascii="Times New Roman" w:eastAsia="Calibri" w:hAnsi="Times New Roman" w:cs="Times New Roman"/>
          <w:lang w:val="ro-RO"/>
        </w:rPr>
        <w:t>E</w:t>
      </w:r>
      <w:r w:rsidRPr="00A73566">
        <w:rPr>
          <w:rFonts w:ascii="Times New Roman" w:eastAsia="Calibri" w:hAnsi="Times New Roman" w:cs="Times New Roman"/>
          <w:lang w:val="ro-RO"/>
        </w:rPr>
        <w:t xml:space="preserve">voluțiile în acest domeniu </w:t>
      </w:r>
      <w:r w:rsidR="003C09DD" w:rsidRPr="00A73566">
        <w:rPr>
          <w:rFonts w:ascii="Times New Roman" w:eastAsia="Calibri" w:hAnsi="Times New Roman" w:cs="Times New Roman"/>
          <w:lang w:val="ro-RO"/>
        </w:rPr>
        <w:t xml:space="preserve">însă, </w:t>
      </w:r>
      <w:r w:rsidRPr="00A73566">
        <w:rPr>
          <w:rFonts w:ascii="Times New Roman" w:eastAsia="Calibri" w:hAnsi="Times New Roman" w:cs="Times New Roman"/>
          <w:lang w:val="ro-RO"/>
        </w:rPr>
        <w:t xml:space="preserve">încă nu sunt pe măsura potențialul său. Dacă </w:t>
      </w:r>
      <w:r w:rsidR="00A63CD0"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 xml:space="preserve">în 2017 suprafața totală a terenurilor certificate în sistem ecologic era de 75686,1 ha, în 2019 aceasta s-a redus la 28 546,6 ha, din care 22,1 mii ha certificate în sistem ecologic și 6365 ha în conversie. Astfel, doar 1,1% din suprafața agricolă </w:t>
      </w:r>
      <w:r w:rsidR="00A63CD0"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a Republicii Moldova este cultivată în sistem ecologic. Pentru comparație, media în UE este de 8,5%, iar Comisia Europeană țintește o proporție de 25% până în 2030.</w:t>
      </w:r>
    </w:p>
    <w:p w14:paraId="6A56018D" w14:textId="77777777" w:rsidR="00EB4729" w:rsidRPr="00A73566" w:rsidRDefault="00EB4729" w:rsidP="00731039">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Conform datelor din Atlasul Agriculturii Ecologice, în anul 2020 erau înregistrați 152 de operatori, preponderent fermieri, 71 de culturi și 53 de produse ecologice.</w:t>
      </w:r>
    </w:p>
    <w:p w14:paraId="00866507" w14:textId="77777777" w:rsidR="00EB4729" w:rsidRPr="00A73566" w:rsidRDefault="00EB4729" w:rsidP="00731039">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Producția agroalimentară ecologică este reglementată  de Legea nr. 115-XVI din 09.06.2005, dar aceasta se aliniază la reglementări europene abrogate. O armonizare cu legislația europeană în materie a fost inițiată în 2019, odată cu transpunerea prevederilor Regulamentului UE 2018/848 privind producția ecologică și etichetarea produselor ecologice.</w:t>
      </w:r>
    </w:p>
    <w:p w14:paraId="77D91085" w14:textId="02C07D0E" w:rsidR="00EB4729" w:rsidRPr="00731039" w:rsidRDefault="00EB4729" w:rsidP="00731039">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Controlul producției ecologice este efectuat în paralel de organisme de inspecție și certificare, unele recunoscute, altele nerecunoscute de Comisia Europeană. Aceeași dualitate persistă și la colectarea datelor statistice: datele sunt colectate și de MAIA, ca autoritate națională competentă, și de Comisia Europeană. Respectiv, o bună parte din agenții economici își certifică producția agroalimentară în baza Regulamentului UE, nefiind înregistrați în Republica Moldova, iar o altă parte - la organismele de control naționale, în baza Legii 115/2005, care nu este în corespundere cu standardele UE</w:t>
      </w:r>
      <w:r w:rsidRPr="00A73566">
        <w:rPr>
          <w:rFonts w:ascii="Times New Roman" w:eastAsia="Calibri" w:hAnsi="Times New Roman" w:cs="Times New Roman"/>
          <w:vertAlign w:val="superscript"/>
          <w:lang w:val="ro-RO"/>
        </w:rPr>
        <w:footnoteReference w:id="1"/>
      </w:r>
      <w:r w:rsidRPr="00A73566">
        <w:rPr>
          <w:rFonts w:ascii="Times New Roman" w:eastAsia="Calibri" w:hAnsi="Times New Roman" w:cs="Times New Roman"/>
          <w:lang w:val="ro-RO"/>
        </w:rPr>
        <w:t>. În consecință, produsele certificate cu standard ecologic moldovenesc nu pot ajunge pe piața europeană și astfel se restrânge și mai mult piața de desfacere pentru operatorii ecologici din Republica Moldova.</w:t>
      </w:r>
    </w:p>
    <w:p w14:paraId="5D5BB274" w14:textId="77777777" w:rsidR="00EB4729" w:rsidRPr="00A73566" w:rsidRDefault="00EB4729" w:rsidP="00731039">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O problemă ce vizează în egală măsură agricultura ecologică și cea tradițională este lipsa cronică a personalului calificat, iar o mare parte din cei angajați lucrează în regim sezonier.</w:t>
      </w:r>
    </w:p>
    <w:p w14:paraId="32E5317E" w14:textId="4F478433" w:rsidR="00E80B0E" w:rsidRPr="00A73566" w:rsidRDefault="00EB4729" w:rsidP="00731039">
      <w:pPr>
        <w:spacing w:after="160"/>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Fermele ecologice din Republica Moldova cultivă, în mare parte, culturi anuale cerealiere. În structura de producție ecologică 75% revin producerii, 11% - procesării, </w:t>
      </w:r>
      <w:r w:rsidR="00A63CD0" w:rsidRPr="00A73566">
        <w:rPr>
          <w:rFonts w:ascii="Times New Roman" w:eastAsia="Calibri" w:hAnsi="Times New Roman" w:cs="Times New Roman"/>
          <w:lang w:val="ro-RO"/>
        </w:rPr>
        <w:t>10</w:t>
      </w:r>
      <w:r w:rsidRPr="00A73566">
        <w:rPr>
          <w:rFonts w:ascii="Times New Roman" w:eastAsia="Calibri" w:hAnsi="Times New Roman" w:cs="Times New Roman"/>
          <w:lang w:val="ro-RO"/>
        </w:rPr>
        <w:t>% - zootehniei și doar 4,</w:t>
      </w:r>
      <w:r w:rsidR="00A63CD0" w:rsidRPr="00A73566">
        <w:rPr>
          <w:rFonts w:ascii="Times New Roman" w:eastAsia="Calibri" w:hAnsi="Times New Roman" w:cs="Times New Roman"/>
          <w:lang w:val="ro-RO"/>
        </w:rPr>
        <w:t>%</w:t>
      </w:r>
      <w:r w:rsidRPr="00A73566">
        <w:rPr>
          <w:rFonts w:ascii="Times New Roman" w:eastAsia="Calibri" w:hAnsi="Times New Roman" w:cs="Times New Roman"/>
          <w:lang w:val="ro-RO"/>
        </w:rPr>
        <w:t xml:space="preserve"> comerțului.</w:t>
      </w:r>
    </w:p>
    <w:p w14:paraId="14AF2948" w14:textId="45B8FA9E" w:rsidR="00731039" w:rsidRDefault="00A63CD0" w:rsidP="00731039">
      <w:pPr>
        <w:ind w:firstLine="567"/>
        <w:rPr>
          <w:rFonts w:ascii="Times New Roman" w:hAnsi="Times New Roman" w:cs="Times New Roman"/>
          <w:color w:val="000000" w:themeColor="text1"/>
          <w:lang w:val="ro-RO"/>
        </w:rPr>
      </w:pPr>
      <w:r w:rsidRPr="008F286C">
        <w:rPr>
          <w:rFonts w:ascii="Times New Roman" w:eastAsia="Calibri" w:hAnsi="Times New Roman" w:cs="Times New Roman"/>
          <w:lang w:val="ro-RO"/>
        </w:rPr>
        <w:t>Principalele constatări pentru acest domeniu</w:t>
      </w:r>
      <w:r w:rsidR="00E80B0E" w:rsidRPr="008F286C">
        <w:rPr>
          <w:rFonts w:ascii="Times New Roman" w:eastAsia="Calibri" w:hAnsi="Times New Roman" w:cs="Times New Roman"/>
          <w:lang w:val="ro-RO"/>
        </w:rPr>
        <w:t xml:space="preserve"> </w:t>
      </w:r>
      <w:r w:rsidRPr="008F286C">
        <w:rPr>
          <w:rFonts w:ascii="Times New Roman" w:eastAsia="Calibri" w:hAnsi="Times New Roman" w:cs="Times New Roman"/>
          <w:lang w:val="ro-RO"/>
        </w:rPr>
        <w:t>se rezumă la</w:t>
      </w:r>
      <w:r w:rsidR="00E80B0E" w:rsidRPr="008F286C">
        <w:rPr>
          <w:rFonts w:ascii="Times New Roman" w:eastAsia="Calibri" w:hAnsi="Times New Roman" w:cs="Times New Roman"/>
          <w:lang w:val="ro-RO"/>
        </w:rPr>
        <w:t>: a</w:t>
      </w:r>
      <w:r w:rsidRPr="008F286C">
        <w:rPr>
          <w:rFonts w:ascii="Times New Roman" w:eastAsia="Calibri" w:hAnsi="Times New Roman" w:cs="Times New Roman"/>
          <w:lang w:val="ro-RO"/>
        </w:rPr>
        <w:t xml:space="preserve">) </w:t>
      </w:r>
      <w:r w:rsidR="00E80B0E" w:rsidRPr="008F286C">
        <w:rPr>
          <w:rFonts w:ascii="Times New Roman" w:hAnsi="Times New Roman" w:cs="Times New Roman"/>
          <w:color w:val="000000" w:themeColor="text1"/>
          <w:lang w:val="ro-RO"/>
        </w:rPr>
        <w:t>Politicile și practicile</w:t>
      </w:r>
      <w:r w:rsidRPr="008F286C">
        <w:rPr>
          <w:rFonts w:ascii="Times New Roman" w:hAnsi="Times New Roman" w:cs="Times New Roman"/>
          <w:color w:val="000000" w:themeColor="text1"/>
          <w:lang w:val="ro-RO"/>
        </w:rPr>
        <w:t xml:space="preserve"> naționale</w:t>
      </w:r>
      <w:r w:rsidR="00E80B0E" w:rsidRPr="008F286C">
        <w:rPr>
          <w:rFonts w:ascii="Times New Roman" w:hAnsi="Times New Roman" w:cs="Times New Roman"/>
          <w:color w:val="000000" w:themeColor="text1"/>
          <w:lang w:val="ro-RO"/>
        </w:rPr>
        <w:t xml:space="preserve"> privind producția ecologică nu sunt conforme cu standardele UE</w:t>
      </w:r>
      <w:r w:rsidRPr="008F286C">
        <w:rPr>
          <w:rFonts w:ascii="Times New Roman" w:hAnsi="Times New Roman" w:cs="Times New Roman"/>
          <w:color w:val="000000" w:themeColor="text1"/>
          <w:lang w:val="ro-RO"/>
        </w:rPr>
        <w:t xml:space="preserve">; b) </w:t>
      </w:r>
      <w:r w:rsidR="00E80B0E" w:rsidRPr="008F286C">
        <w:rPr>
          <w:rFonts w:ascii="Times New Roman" w:hAnsi="Times New Roman" w:cs="Times New Roman"/>
          <w:color w:val="000000" w:themeColor="text1"/>
          <w:lang w:val="ro-RO"/>
        </w:rPr>
        <w:t>Certificatele ecologice moldovenești nu sunt recunoscute în UE, fapt ce îngustează piața de desfacere pentru operatorii ecologici din Republica Moldova</w:t>
      </w:r>
      <w:r w:rsidR="00731039" w:rsidRPr="008F286C">
        <w:rPr>
          <w:rFonts w:ascii="Times New Roman" w:hAnsi="Times New Roman" w:cs="Times New Roman"/>
          <w:color w:val="000000" w:themeColor="text1"/>
          <w:lang w:val="ro-RO"/>
        </w:rPr>
        <w:t>;</w:t>
      </w:r>
      <w:r w:rsidRPr="008F286C">
        <w:rPr>
          <w:rFonts w:ascii="Times New Roman" w:hAnsi="Times New Roman" w:cs="Times New Roman"/>
          <w:color w:val="000000" w:themeColor="text1"/>
          <w:lang w:val="ro-RO"/>
        </w:rPr>
        <w:t xml:space="preserve"> c) </w:t>
      </w:r>
      <w:r w:rsidR="00E80B0E" w:rsidRPr="008F286C">
        <w:rPr>
          <w:rFonts w:ascii="Times New Roman" w:hAnsi="Times New Roman" w:cs="Times New Roman"/>
          <w:color w:val="000000" w:themeColor="text1"/>
          <w:lang w:val="ro-RO"/>
        </w:rPr>
        <w:t>Nu există suficiente capacități de control a conversiei masivelor, a tehnologiilor de certificare, a materiei prime și a produselor ecologice</w:t>
      </w:r>
      <w:r w:rsidR="00731039" w:rsidRPr="008F286C">
        <w:rPr>
          <w:rFonts w:ascii="Times New Roman" w:hAnsi="Times New Roman" w:cs="Times New Roman"/>
          <w:color w:val="000000" w:themeColor="text1"/>
          <w:lang w:val="ro-RO"/>
        </w:rPr>
        <w:t>;</w:t>
      </w:r>
      <w:r w:rsidRPr="008F286C">
        <w:rPr>
          <w:rFonts w:ascii="Times New Roman" w:hAnsi="Times New Roman" w:cs="Times New Roman"/>
          <w:color w:val="000000" w:themeColor="text1"/>
          <w:lang w:val="ro-RO"/>
        </w:rPr>
        <w:t xml:space="preserve"> d) </w:t>
      </w:r>
      <w:r w:rsidR="00E80B0E" w:rsidRPr="008F286C">
        <w:rPr>
          <w:rFonts w:ascii="Times New Roman" w:hAnsi="Times New Roman" w:cs="Times New Roman"/>
          <w:color w:val="000000" w:themeColor="text1"/>
          <w:lang w:val="ro-RO"/>
        </w:rPr>
        <w:t xml:space="preserve">Domeniul se confruntă cu o lipsă cronică de specialiști. </w:t>
      </w:r>
      <w:r w:rsidR="00731039" w:rsidRPr="008F286C">
        <w:rPr>
          <w:rFonts w:ascii="Times New Roman" w:hAnsi="Times New Roman" w:cs="Times New Roman"/>
          <w:color w:val="000000" w:themeColor="text1"/>
          <w:lang w:val="ro-RO"/>
        </w:rPr>
        <w:t xml:space="preserve">De asemenea </w:t>
      </w:r>
      <w:r w:rsidR="00E80B0E" w:rsidRPr="008F286C">
        <w:rPr>
          <w:rFonts w:ascii="Times New Roman" w:hAnsi="Times New Roman" w:cs="Times New Roman"/>
          <w:color w:val="000000" w:themeColor="text1"/>
          <w:lang w:val="ro-RO"/>
        </w:rPr>
        <w:t xml:space="preserve">lipsesc capacitățile locale de producție a preparatelor biologice de luptă contra bolilor și vătămătorilor. </w:t>
      </w:r>
    </w:p>
    <w:p w14:paraId="7CD16DE4" w14:textId="77777777" w:rsidR="002E19D6" w:rsidRDefault="002E19D6" w:rsidP="00731039">
      <w:pPr>
        <w:ind w:firstLine="567"/>
        <w:rPr>
          <w:rFonts w:ascii="Times New Roman" w:hAnsi="Times New Roman" w:cs="Times New Roman"/>
          <w:color w:val="000000" w:themeColor="text1"/>
          <w:lang w:val="ro-RO"/>
        </w:rPr>
      </w:pPr>
    </w:p>
    <w:p w14:paraId="0971C695" w14:textId="77777777" w:rsidR="002E19D6" w:rsidRDefault="002E19D6" w:rsidP="00731039">
      <w:pPr>
        <w:ind w:firstLine="567"/>
        <w:rPr>
          <w:rFonts w:ascii="Times New Roman" w:hAnsi="Times New Roman" w:cs="Times New Roman"/>
          <w:color w:val="000000" w:themeColor="text1"/>
          <w:lang w:val="ro-RO"/>
        </w:rPr>
      </w:pPr>
    </w:p>
    <w:p w14:paraId="6CDBF441" w14:textId="77777777" w:rsidR="002E19D6" w:rsidRDefault="002E19D6" w:rsidP="00731039">
      <w:pPr>
        <w:ind w:firstLine="567"/>
        <w:rPr>
          <w:rFonts w:ascii="Times New Roman" w:hAnsi="Times New Roman" w:cs="Times New Roman"/>
          <w:color w:val="000000" w:themeColor="text1"/>
          <w:lang w:val="ro-RO"/>
        </w:rPr>
      </w:pPr>
    </w:p>
    <w:p w14:paraId="4D364F4F" w14:textId="77777777" w:rsidR="002E19D6" w:rsidRDefault="002E19D6" w:rsidP="00731039">
      <w:pPr>
        <w:ind w:firstLine="567"/>
        <w:rPr>
          <w:rFonts w:ascii="Times New Roman" w:hAnsi="Times New Roman" w:cs="Times New Roman"/>
          <w:color w:val="000000" w:themeColor="text1"/>
          <w:lang w:val="ro-RO"/>
        </w:rPr>
      </w:pPr>
    </w:p>
    <w:p w14:paraId="378D608B" w14:textId="77777777" w:rsidR="002E19D6" w:rsidRDefault="002E19D6" w:rsidP="00731039">
      <w:pPr>
        <w:ind w:firstLine="567"/>
        <w:rPr>
          <w:rFonts w:ascii="Times New Roman" w:hAnsi="Times New Roman" w:cs="Times New Roman"/>
          <w:color w:val="000000" w:themeColor="text1"/>
          <w:lang w:val="ro-RO"/>
        </w:rPr>
      </w:pPr>
    </w:p>
    <w:p w14:paraId="45BD7BFA" w14:textId="77777777" w:rsidR="002E19D6" w:rsidRDefault="002E19D6" w:rsidP="00731039">
      <w:pPr>
        <w:ind w:firstLine="567"/>
        <w:rPr>
          <w:rFonts w:ascii="Times New Roman" w:hAnsi="Times New Roman" w:cs="Times New Roman"/>
          <w:color w:val="000000" w:themeColor="text1"/>
          <w:lang w:val="ro-RO"/>
        </w:rPr>
      </w:pPr>
    </w:p>
    <w:p w14:paraId="114A0A9A" w14:textId="77777777" w:rsidR="002E19D6" w:rsidRDefault="002E19D6" w:rsidP="00731039">
      <w:pPr>
        <w:ind w:firstLine="567"/>
        <w:rPr>
          <w:rFonts w:ascii="Times New Roman" w:hAnsi="Times New Roman" w:cs="Times New Roman"/>
          <w:color w:val="000000" w:themeColor="text1"/>
          <w:lang w:val="ro-RO"/>
        </w:rPr>
      </w:pPr>
    </w:p>
    <w:p w14:paraId="6085752F" w14:textId="77777777" w:rsidR="002E19D6" w:rsidRDefault="002E19D6" w:rsidP="00731039">
      <w:pPr>
        <w:ind w:firstLine="567"/>
        <w:rPr>
          <w:rFonts w:ascii="Times New Roman" w:hAnsi="Times New Roman" w:cs="Times New Roman"/>
          <w:color w:val="000000" w:themeColor="text1"/>
          <w:lang w:val="ro-RO"/>
        </w:rPr>
      </w:pPr>
    </w:p>
    <w:p w14:paraId="7AED7199" w14:textId="77777777" w:rsidR="002E19D6" w:rsidRDefault="002E19D6" w:rsidP="00731039">
      <w:pPr>
        <w:ind w:firstLine="567"/>
        <w:rPr>
          <w:rFonts w:ascii="Times New Roman" w:hAnsi="Times New Roman" w:cs="Times New Roman"/>
          <w:color w:val="000000" w:themeColor="text1"/>
          <w:lang w:val="ro-RO"/>
        </w:rPr>
      </w:pPr>
    </w:p>
    <w:p w14:paraId="022BFF82" w14:textId="77777777" w:rsidR="002E19D6" w:rsidRPr="008F286C" w:rsidRDefault="002E19D6" w:rsidP="00731039">
      <w:pPr>
        <w:ind w:firstLine="567"/>
        <w:rPr>
          <w:rFonts w:ascii="Times New Roman" w:hAnsi="Times New Roman" w:cs="Times New Roman"/>
          <w:color w:val="000000" w:themeColor="text1"/>
          <w:lang w:val="ro-RO"/>
        </w:rPr>
      </w:pPr>
    </w:p>
    <w:p w14:paraId="3EB501E2" w14:textId="56FA72C1" w:rsidR="00793D84" w:rsidRPr="00A73566" w:rsidRDefault="00793D84" w:rsidP="00793D84">
      <w:pPr>
        <w:pStyle w:val="Heading3"/>
        <w:rPr>
          <w:rFonts w:ascii="Times New Roman" w:hAnsi="Times New Roman" w:cs="Times New Roman"/>
          <w:lang w:val="ro-RO"/>
        </w:rPr>
      </w:pPr>
      <w:bookmarkStart w:id="98" w:name="_Toc88132106"/>
      <w:r w:rsidRPr="00A73566">
        <w:rPr>
          <w:rFonts w:ascii="Times New Roman" w:hAnsi="Times New Roman" w:cs="Times New Roman"/>
          <w:lang w:val="ro-RO"/>
        </w:rPr>
        <w:t>Investițiile</w:t>
      </w:r>
      <w:bookmarkEnd w:id="98"/>
    </w:p>
    <w:p w14:paraId="4E0AF03D" w14:textId="76A3CD5F" w:rsidR="00731039" w:rsidRPr="00A73566" w:rsidRDefault="00793D84" w:rsidP="00731039">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Investițiile reprezintă un element de resurse capabil să impulsioneze într-o măsură mai mare sau mai mică nivelul de dezvoltare. Dinamica volumului investițiilor realizate în agricultură, în perioada 2000-20</w:t>
      </w:r>
      <w:r w:rsidR="00D4764D" w:rsidRPr="00A73566">
        <w:rPr>
          <w:rFonts w:ascii="Times New Roman" w:hAnsi="Times New Roman" w:cs="Times New Roman"/>
          <w:color w:val="000000" w:themeColor="text1"/>
          <w:lang w:val="ro-RO"/>
        </w:rPr>
        <w:t>20</w:t>
      </w:r>
      <w:r w:rsidRPr="00A73566">
        <w:rPr>
          <w:rFonts w:ascii="Times New Roman" w:hAnsi="Times New Roman" w:cs="Times New Roman"/>
          <w:color w:val="000000" w:themeColor="text1"/>
          <w:lang w:val="ro-RO"/>
        </w:rPr>
        <w:t xml:space="preserve"> arată o evoluție </w:t>
      </w:r>
      <w:r w:rsidR="00D4764D" w:rsidRPr="00A73566">
        <w:rPr>
          <w:rFonts w:ascii="Times New Roman" w:hAnsi="Times New Roman" w:cs="Times New Roman"/>
          <w:color w:val="000000" w:themeColor="text1"/>
          <w:lang w:val="ro-RO"/>
        </w:rPr>
        <w:t xml:space="preserve">ascendentă </w:t>
      </w:r>
      <w:r w:rsidRPr="00A73566">
        <w:rPr>
          <w:rFonts w:ascii="Times New Roman" w:hAnsi="Times New Roman" w:cs="Times New Roman"/>
          <w:color w:val="000000" w:themeColor="text1"/>
          <w:lang w:val="ro-RO"/>
        </w:rPr>
        <w:t>cu un ritm mediu anual de creștere de circa 1,4%.</w:t>
      </w:r>
    </w:p>
    <w:p w14:paraId="2914D10C" w14:textId="7EFAC33A" w:rsidR="00C52C53" w:rsidRPr="008F286C" w:rsidRDefault="008F286C" w:rsidP="007D4138">
      <w:pPr>
        <w:pStyle w:val="Caption"/>
        <w:framePr w:w="0" w:wrap="auto" w:vAnchor="margin" w:yAlign="inline"/>
        <w:jc w:val="both"/>
        <w:rPr>
          <w:rFonts w:ascii="Times New Roman" w:hAnsi="Times New Roman" w:cs="Times New Roman"/>
          <w:sz w:val="18"/>
          <w:szCs w:val="18"/>
          <w:lang w:val="ro-RO"/>
        </w:rPr>
      </w:pPr>
      <w:r w:rsidRPr="00A73566">
        <w:rPr>
          <w:rFonts w:ascii="Times New Roman" w:hAnsi="Times New Roman" w:cs="Times New Roman"/>
          <w:iCs/>
          <w:noProof/>
          <w:color w:val="BFBFBF" w:themeColor="background1" w:themeShade="BF"/>
          <w:lang w:val="en-US"/>
        </w:rPr>
        <w:drawing>
          <wp:anchor distT="0" distB="0" distL="114300" distR="114300" simplePos="0" relativeHeight="251664896" behindDoc="1" locked="0" layoutInCell="1" allowOverlap="1" wp14:anchorId="5DCC42CC" wp14:editId="5977343F">
            <wp:simplePos x="0" y="0"/>
            <wp:positionH relativeFrom="margin">
              <wp:posOffset>1270</wp:posOffset>
            </wp:positionH>
            <wp:positionV relativeFrom="paragraph">
              <wp:posOffset>236855</wp:posOffset>
            </wp:positionV>
            <wp:extent cx="5758180" cy="1811020"/>
            <wp:effectExtent l="0" t="0" r="0" b="0"/>
            <wp:wrapTight wrapText="bothSides">
              <wp:wrapPolygon edited="0">
                <wp:start x="0" y="0"/>
                <wp:lineTo x="0" y="21358"/>
                <wp:lineTo x="21509" y="21358"/>
                <wp:lineTo x="2150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8180" cy="1811020"/>
                    </a:xfrm>
                    <a:prstGeom prst="rect">
                      <a:avLst/>
                    </a:prstGeom>
                    <a:noFill/>
                  </pic:spPr>
                </pic:pic>
              </a:graphicData>
            </a:graphic>
            <wp14:sizeRelH relativeFrom="margin">
              <wp14:pctWidth>0</wp14:pctWidth>
            </wp14:sizeRelH>
            <wp14:sizeRelV relativeFrom="margin">
              <wp14:pctHeight>0</wp14:pctHeight>
            </wp14:sizeRelV>
          </wp:anchor>
        </w:drawing>
      </w:r>
      <w:r w:rsidR="007D4138" w:rsidRPr="008F286C">
        <w:rPr>
          <w:rFonts w:ascii="Times New Roman" w:hAnsi="Times New Roman" w:cs="Times New Roman"/>
          <w:sz w:val="18"/>
          <w:szCs w:val="18"/>
          <w:lang w:val="ro-RO"/>
        </w:rPr>
        <w:t>Figura 16. dinamica investițiilor în agricultură în 2000-2020</w:t>
      </w:r>
    </w:p>
    <w:p w14:paraId="7A6020E0" w14:textId="48A8636A" w:rsidR="007D4138" w:rsidRPr="00A73566" w:rsidRDefault="007D4138" w:rsidP="007D4138">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lang w:val="ro-RO"/>
        </w:rPr>
      </w:pPr>
    </w:p>
    <w:p w14:paraId="1E8D04B8" w14:textId="77777777" w:rsidR="008F286C" w:rsidRDefault="008F286C" w:rsidP="00731039">
      <w:pPr>
        <w:ind w:firstLine="567"/>
        <w:rPr>
          <w:rFonts w:ascii="Times New Roman" w:hAnsi="Times New Roman" w:cs="Times New Roman"/>
          <w:iCs/>
          <w:color w:val="BFBFBF" w:themeColor="background1" w:themeShade="BF"/>
          <w:sz w:val="18"/>
          <w:szCs w:val="18"/>
          <w:lang w:val="ro-RO"/>
        </w:rPr>
      </w:pPr>
    </w:p>
    <w:p w14:paraId="22FAC39D" w14:textId="77777777" w:rsidR="008F286C" w:rsidRDefault="008F286C" w:rsidP="00731039">
      <w:pPr>
        <w:ind w:firstLine="567"/>
        <w:rPr>
          <w:rFonts w:ascii="Times New Roman" w:hAnsi="Times New Roman" w:cs="Times New Roman"/>
          <w:color w:val="000000" w:themeColor="text1"/>
          <w:lang w:val="ro-RO"/>
        </w:rPr>
      </w:pPr>
    </w:p>
    <w:p w14:paraId="1C84F338" w14:textId="2898DFA9" w:rsidR="000C0E63" w:rsidRPr="00A73566" w:rsidRDefault="000C0E63" w:rsidP="00731039">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Extrapolarea ritmurilor cu care s-a manifestat ponderea investițiilor în agricultură, față de volumul total al investițiilor pentru perioada</w:t>
      </w:r>
      <w:r w:rsidR="00D4764D"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2000-20</w:t>
      </w:r>
      <w:r w:rsidR="00D4764D" w:rsidRPr="00A73566">
        <w:rPr>
          <w:rFonts w:ascii="Times New Roman" w:hAnsi="Times New Roman" w:cs="Times New Roman"/>
          <w:color w:val="000000" w:themeColor="text1"/>
          <w:lang w:val="ro-RO"/>
        </w:rPr>
        <w:t>20</w:t>
      </w:r>
      <w:r w:rsidRPr="00A73566">
        <w:rPr>
          <w:rFonts w:ascii="Times New Roman" w:hAnsi="Times New Roman" w:cs="Times New Roman"/>
          <w:color w:val="000000" w:themeColor="text1"/>
          <w:lang w:val="ro-RO"/>
        </w:rPr>
        <w:t>, arată o cotă a investițiilor spre orizontul previzional (2030) de circa 11,5% (varianta de reper), în timp ce cota minimală se plasează la nivelul de 7,8% și cea maximală va urca la nivelul de 16,8%. Prin urmare, în condiții de evoluție constantă a volumului de investiții și a deflatorului elementelor de investiții ne putem aștepta spre orizontul previzional la un volum de investiții în agricultură cuprins între 3,4 și 7,3 mld lei (prețuri curente).</w:t>
      </w:r>
    </w:p>
    <w:p w14:paraId="0D222C4F" w14:textId="4539531D" w:rsidR="00793D84" w:rsidRPr="008F286C" w:rsidRDefault="00793D84" w:rsidP="00E03D1A">
      <w:pPr>
        <w:pStyle w:val="Caption"/>
        <w:framePr w:wrap="around"/>
        <w:spacing w:after="0"/>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Figura 1</w:t>
      </w:r>
      <w:r w:rsidR="000F10F9" w:rsidRPr="008F286C">
        <w:rPr>
          <w:rFonts w:ascii="Times New Roman" w:hAnsi="Times New Roman" w:cs="Times New Roman"/>
          <w:sz w:val="18"/>
          <w:szCs w:val="18"/>
          <w:lang w:val="ro-RO"/>
        </w:rPr>
        <w:t>7</w:t>
      </w:r>
      <w:r w:rsidRPr="008F286C">
        <w:rPr>
          <w:rFonts w:ascii="Times New Roman" w:hAnsi="Times New Roman" w:cs="Times New Roman"/>
          <w:sz w:val="18"/>
          <w:szCs w:val="18"/>
          <w:lang w:val="ro-RO"/>
        </w:rPr>
        <w:t>. Estimarea investițiilor în agricultură, 2020-2030</w:t>
      </w:r>
    </w:p>
    <w:p w14:paraId="730A7CE2" w14:textId="58277445" w:rsidR="00793D84" w:rsidRPr="00A73566" w:rsidRDefault="00BA641B" w:rsidP="00793D84">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themeColor="text1"/>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7DB55DF8" wp14:editId="4993AC48">
            <wp:extent cx="5895229" cy="1802423"/>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2205" cy="1829015"/>
                    </a:xfrm>
                    <a:prstGeom prst="rect">
                      <a:avLst/>
                    </a:prstGeom>
                    <a:noFill/>
                  </pic:spPr>
                </pic:pic>
              </a:graphicData>
            </a:graphic>
          </wp:inline>
        </w:drawing>
      </w:r>
    </w:p>
    <w:p w14:paraId="7465CE0E" w14:textId="3B3600C9" w:rsidR="00793D84" w:rsidRPr="008F286C" w:rsidRDefault="00793D84" w:rsidP="000C0E63">
      <w:pPr>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 xml:space="preserve">Sursa: Estimări </w:t>
      </w:r>
      <w:r w:rsidR="000C0E63" w:rsidRPr="008F286C">
        <w:rPr>
          <w:rFonts w:ascii="Times New Roman" w:hAnsi="Times New Roman" w:cs="Times New Roman"/>
          <w:iCs/>
          <w:color w:val="BFBFBF" w:themeColor="background1" w:themeShade="BF"/>
          <w:sz w:val="18"/>
          <w:szCs w:val="18"/>
          <w:lang w:val="ro-RO"/>
        </w:rPr>
        <w:t>autorilor</w:t>
      </w:r>
    </w:p>
    <w:p w14:paraId="34A0A89E" w14:textId="07F65909" w:rsidR="00B848E5" w:rsidRPr="00A73566" w:rsidRDefault="00C6021E" w:rsidP="00B14AA7">
      <w:pPr>
        <w:pStyle w:val="Heading2"/>
        <w:rPr>
          <w:rFonts w:ascii="Times New Roman" w:hAnsi="Times New Roman" w:cs="Times New Roman"/>
          <w:lang w:val="ro-RO"/>
        </w:rPr>
      </w:pPr>
      <w:bookmarkStart w:id="99" w:name="_Toc88132107"/>
      <w:r w:rsidRPr="00A73566">
        <w:rPr>
          <w:rFonts w:ascii="Times New Roman" w:hAnsi="Times New Roman" w:cs="Times New Roman"/>
          <w:lang w:val="ro-RO"/>
        </w:rPr>
        <w:t xml:space="preserve">Evoluția </w:t>
      </w:r>
      <w:r w:rsidR="008F6674" w:rsidRPr="00A73566">
        <w:rPr>
          <w:rFonts w:ascii="Times New Roman" w:hAnsi="Times New Roman" w:cs="Times New Roman"/>
          <w:lang w:val="ro-RO"/>
        </w:rPr>
        <w:t>s</w:t>
      </w:r>
      <w:r w:rsidRPr="00A73566">
        <w:rPr>
          <w:rFonts w:ascii="Times New Roman" w:hAnsi="Times New Roman" w:cs="Times New Roman"/>
          <w:lang w:val="ro-RO"/>
        </w:rPr>
        <w:t xml:space="preserve">ectorului </w:t>
      </w:r>
      <w:r w:rsidR="008F6674" w:rsidRPr="00A73566">
        <w:rPr>
          <w:rFonts w:ascii="Times New Roman" w:hAnsi="Times New Roman" w:cs="Times New Roman"/>
          <w:lang w:val="ro-RO"/>
        </w:rPr>
        <w:t>a</w:t>
      </w:r>
      <w:r w:rsidR="00B848E5" w:rsidRPr="00A73566">
        <w:rPr>
          <w:rFonts w:ascii="Times New Roman" w:hAnsi="Times New Roman" w:cs="Times New Roman"/>
          <w:lang w:val="ro-RO"/>
        </w:rPr>
        <w:t>gro</w:t>
      </w:r>
      <w:r w:rsidR="008F6674" w:rsidRPr="00A73566">
        <w:rPr>
          <w:rFonts w:ascii="Times New Roman" w:hAnsi="Times New Roman" w:cs="Times New Roman"/>
          <w:lang w:val="ro-RO"/>
        </w:rPr>
        <w:t>a</w:t>
      </w:r>
      <w:r w:rsidR="00B848E5" w:rsidRPr="00A73566">
        <w:rPr>
          <w:rFonts w:ascii="Times New Roman" w:hAnsi="Times New Roman" w:cs="Times New Roman"/>
          <w:lang w:val="ro-RO"/>
        </w:rPr>
        <w:t>limentar</w:t>
      </w:r>
      <w:bookmarkEnd w:id="99"/>
    </w:p>
    <w:p w14:paraId="12719768" w14:textId="42B3260C" w:rsidR="00B848E5" w:rsidRPr="00A73566" w:rsidRDefault="006B2473" w:rsidP="00B848E5">
      <w:pPr>
        <w:pStyle w:val="Heading3"/>
        <w:rPr>
          <w:rFonts w:ascii="Times New Roman" w:hAnsi="Times New Roman" w:cs="Times New Roman"/>
          <w:lang w:val="ro-RO"/>
        </w:rPr>
      </w:pPr>
      <w:bookmarkStart w:id="100" w:name="_Toc88132108"/>
      <w:r w:rsidRPr="00A73566">
        <w:rPr>
          <w:rFonts w:ascii="Times New Roman" w:hAnsi="Times New Roman" w:cs="Times New Roman"/>
          <w:lang w:val="ro-RO"/>
        </w:rPr>
        <w:t>PRODUCȚIA VEGETALĂ</w:t>
      </w:r>
      <w:bookmarkEnd w:id="100"/>
    </w:p>
    <w:p w14:paraId="0B9B92BE" w14:textId="63FDF6B5" w:rsidR="00C52C53" w:rsidRPr="00A73566" w:rsidRDefault="00AF7ECE" w:rsidP="00731039">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perioada 1995-2020, dinamica generală a diverselor categorii de producție agricolă a înregistrat evoluții destul de distorsionate, în mare parte, negative. De exemplu, cea mai importantă categorie de producție, din punct de vedere a ponderii față de total - cerealele și leguminoasele – s-a manifestat cu un ritm de dinamică negativ de cca -32,0%, în condițiile unei creșteri medii anuale de 14,7 mii tone. În același timp, producția de legume și cea de plante de nutreț a degradat considerabil atât din punct de vedere al dinamicii generale, cât și ca dinamică medie anuală.</w:t>
      </w:r>
    </w:p>
    <w:p w14:paraId="418B77BC" w14:textId="36EF8F56" w:rsidR="00AF7ECE" w:rsidRPr="008F286C" w:rsidRDefault="00AF7ECE" w:rsidP="00AF7ECE">
      <w:pPr>
        <w:pStyle w:val="Caption"/>
        <w:framePr w:wrap="around"/>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Figura 18. Producția culturilor agricole, 1995-2020</w:t>
      </w:r>
    </w:p>
    <w:p w14:paraId="1E7D4722" w14:textId="067E5209" w:rsidR="00AF7ECE" w:rsidRPr="00A73566" w:rsidRDefault="006B2473"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themeColor="text1"/>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74ECCABB" wp14:editId="574F7903">
            <wp:extent cx="5957910" cy="1538654"/>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81784" cy="1544820"/>
                    </a:xfrm>
                    <a:prstGeom prst="rect">
                      <a:avLst/>
                    </a:prstGeom>
                    <a:noFill/>
                  </pic:spPr>
                </pic:pic>
              </a:graphicData>
            </a:graphic>
          </wp:inline>
        </w:drawing>
      </w:r>
    </w:p>
    <w:p w14:paraId="471EA30A" w14:textId="77777777" w:rsidR="00AF7ECE" w:rsidRPr="008F286C" w:rsidRDefault="00AF7ECE"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 xml:space="preserve">Sursa: BNS </w:t>
      </w:r>
    </w:p>
    <w:p w14:paraId="07BB2772" w14:textId="77777777" w:rsidR="00731039" w:rsidRDefault="00AF7ECE"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Variația puternică oscilatorie, de la an la an, a producției pe grupe mari de culturi agricole, nu ne permite identificarea unor legități stricte de manifestare, deși este evidentă o reducere generală a producției în perioada de referință (1995-2020). </w:t>
      </w:r>
    </w:p>
    <w:p w14:paraId="3DFFF889" w14:textId="77777777" w:rsidR="008F286C" w:rsidRDefault="008F286C"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color w:val="000000" w:themeColor="text1"/>
          <w:lang w:val="ro-RO"/>
        </w:rPr>
      </w:pPr>
    </w:p>
    <w:p w14:paraId="7D619F9B" w14:textId="31E4F756" w:rsidR="00AF7ECE" w:rsidRDefault="00AF7ECE"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cazul producției pot fi evidențiate două sub-perioade: </w:t>
      </w:r>
    </w:p>
    <w:p w14:paraId="37F17D8D" w14:textId="77777777" w:rsidR="00731039" w:rsidRPr="00A73566" w:rsidRDefault="00731039"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color w:val="000000" w:themeColor="text1"/>
          <w:lang w:val="ro-RO"/>
        </w:rPr>
      </w:pPr>
    </w:p>
    <w:p w14:paraId="2534E982" w14:textId="77777777" w:rsidR="00AF7ECE" w:rsidRPr="00A73566" w:rsidRDefault="00AF7ECE" w:rsidP="00E720EE">
      <w:pPr>
        <w:pStyle w:val="ListParagraph"/>
        <w:numPr>
          <w:ilvl w:val="0"/>
          <w:numId w:val="6"/>
        </w:numPr>
        <w:shd w:val="clear" w:color="auto" w:fill="FFFFFF"/>
        <w:tabs>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Sub-perioada 1995-2000 în care s-a redus de aproape două ori (de la 10,3 mii tone în 1995 la 5.2 mii tone în 2000) volumul producției de culturi agricole;</w:t>
      </w:r>
    </w:p>
    <w:p w14:paraId="084627AF" w14:textId="7A15E754" w:rsidR="00D81518" w:rsidRPr="00731039" w:rsidRDefault="00AF7ECE" w:rsidP="00D81518">
      <w:pPr>
        <w:pStyle w:val="ListParagraph"/>
        <w:numPr>
          <w:ilvl w:val="0"/>
          <w:numId w:val="6"/>
        </w:numPr>
        <w:shd w:val="clear" w:color="auto" w:fill="FFFFFF"/>
        <w:tabs>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Sub-perioada 2000-2020 caracterizată de fluctuații în jurul cotei de 5590 mii tone, cu valori minimale în anii 2007 și 2012.</w:t>
      </w:r>
    </w:p>
    <w:p w14:paraId="5BE5DEEC" w14:textId="77777777" w:rsidR="00AF7ECE" w:rsidRPr="008F286C" w:rsidRDefault="00AF7ECE" w:rsidP="00AF7ECE">
      <w:pPr>
        <w:pStyle w:val="Caption"/>
        <w:framePr w:wrap="around"/>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Tabelul 5. Variația producției agricole, 1995-2020, %, mii tone</w:t>
      </w:r>
    </w:p>
    <w:tbl>
      <w:tblPr>
        <w:tblStyle w:val="Civittatable"/>
        <w:tblW w:w="4796" w:type="pct"/>
        <w:tblInd w:w="226" w:type="dxa"/>
        <w:tblLayout w:type="fixed"/>
        <w:tblLook w:val="04A0" w:firstRow="1" w:lastRow="0" w:firstColumn="1" w:lastColumn="0" w:noHBand="0" w:noVBand="1"/>
      </w:tblPr>
      <w:tblGrid>
        <w:gridCol w:w="2228"/>
        <w:gridCol w:w="992"/>
        <w:gridCol w:w="590"/>
        <w:gridCol w:w="1265"/>
        <w:gridCol w:w="1014"/>
        <w:gridCol w:w="1589"/>
        <w:gridCol w:w="1372"/>
      </w:tblGrid>
      <w:tr w:rsidR="00AF7ECE" w:rsidRPr="008F286C" w14:paraId="11502305" w14:textId="77777777" w:rsidTr="00265797">
        <w:trPr>
          <w:cnfStyle w:val="100000000000" w:firstRow="1" w:lastRow="0" w:firstColumn="0" w:lastColumn="0" w:oddVBand="0" w:evenVBand="0" w:oddHBand="0" w:evenHBand="0" w:firstRowFirstColumn="0" w:firstRowLastColumn="0" w:lastRowFirstColumn="0" w:lastRowLastColumn="0"/>
          <w:trHeight w:val="91"/>
        </w:trPr>
        <w:tc>
          <w:tcPr>
            <w:tcW w:w="1231" w:type="pct"/>
            <w:vMerge w:val="restart"/>
            <w:noWrap/>
          </w:tcPr>
          <w:p w14:paraId="1CA5E12C" w14:textId="77777777" w:rsidR="00AF7ECE" w:rsidRPr="008F286C" w:rsidRDefault="00AF7ECE" w:rsidP="00C03906">
            <w:pPr>
              <w:jc w:val="center"/>
              <w:rPr>
                <w:rFonts w:ascii="Times New Roman" w:eastAsia="Times New Roman" w:hAnsi="Times New Roman" w:cs="Times New Roman"/>
                <w:b/>
                <w:bCs/>
                <w:sz w:val="18"/>
                <w:szCs w:val="18"/>
                <w:lang w:val="ro-RO" w:eastAsia="ro-RO"/>
              </w:rPr>
            </w:pPr>
            <w:r w:rsidRPr="008F286C">
              <w:rPr>
                <w:rFonts w:ascii="Times New Roman" w:eastAsia="Times New Roman" w:hAnsi="Times New Roman" w:cs="Times New Roman"/>
                <w:b/>
                <w:bCs/>
                <w:sz w:val="18"/>
                <w:szCs w:val="18"/>
                <w:lang w:val="ro-RO" w:eastAsia="ro-RO"/>
              </w:rPr>
              <w:t>Categorii de produse</w:t>
            </w:r>
          </w:p>
        </w:tc>
        <w:tc>
          <w:tcPr>
            <w:tcW w:w="874" w:type="pct"/>
            <w:gridSpan w:val="2"/>
            <w:noWrap/>
          </w:tcPr>
          <w:p w14:paraId="22BC1BDE" w14:textId="77777777" w:rsidR="00AF7ECE" w:rsidRPr="008F286C" w:rsidRDefault="00AF7ECE" w:rsidP="00C03906">
            <w:pPr>
              <w:jc w:val="center"/>
              <w:rPr>
                <w:rFonts w:ascii="Times New Roman" w:eastAsia="Times New Roman" w:hAnsi="Times New Roman" w:cs="Times New Roman"/>
                <w:b/>
                <w:bCs/>
                <w:sz w:val="18"/>
                <w:szCs w:val="18"/>
                <w:lang w:val="ro-RO" w:eastAsia="ro-RO"/>
              </w:rPr>
            </w:pPr>
            <w:r w:rsidRPr="008F286C">
              <w:rPr>
                <w:rFonts w:ascii="Times New Roman" w:eastAsia="Times New Roman" w:hAnsi="Times New Roman" w:cs="Times New Roman"/>
                <w:b/>
                <w:bCs/>
                <w:sz w:val="18"/>
                <w:szCs w:val="18"/>
                <w:lang w:val="ro-RO" w:eastAsia="ro-RO"/>
              </w:rPr>
              <w:t>Producția, mii tone</w:t>
            </w:r>
          </w:p>
        </w:tc>
        <w:tc>
          <w:tcPr>
            <w:tcW w:w="699" w:type="pct"/>
            <w:vMerge w:val="restart"/>
          </w:tcPr>
          <w:p w14:paraId="2585E70C" w14:textId="77777777" w:rsidR="00AF7ECE" w:rsidRPr="008F286C" w:rsidRDefault="00AF7ECE" w:rsidP="00C03906">
            <w:pPr>
              <w:jc w:val="center"/>
              <w:rPr>
                <w:rFonts w:ascii="Times New Roman" w:hAnsi="Times New Roman" w:cs="Times New Roman"/>
                <w:b/>
                <w:bCs/>
                <w:sz w:val="18"/>
                <w:szCs w:val="18"/>
                <w:lang w:val="ro-RO"/>
              </w:rPr>
            </w:pPr>
            <w:r w:rsidRPr="008F286C">
              <w:rPr>
                <w:rFonts w:ascii="Times New Roman" w:eastAsia="Times New Roman" w:hAnsi="Times New Roman" w:cs="Times New Roman"/>
                <w:b/>
                <w:bCs/>
                <w:sz w:val="18"/>
                <w:szCs w:val="18"/>
                <w:lang w:val="ro-RO" w:eastAsia="ro-RO"/>
              </w:rPr>
              <w:t>Dinamica</w:t>
            </w:r>
          </w:p>
        </w:tc>
        <w:tc>
          <w:tcPr>
            <w:tcW w:w="560" w:type="pct"/>
            <w:vMerge w:val="restart"/>
            <w:noWrap/>
          </w:tcPr>
          <w:p w14:paraId="1CFD7135" w14:textId="77777777" w:rsidR="00AF7ECE" w:rsidRPr="008F286C" w:rsidRDefault="00AF7ECE" w:rsidP="00C03906">
            <w:pPr>
              <w:jc w:val="center"/>
              <w:rPr>
                <w:rFonts w:ascii="Times New Roman" w:eastAsia="Times New Roman" w:hAnsi="Times New Roman" w:cs="Times New Roman"/>
                <w:b/>
                <w:bCs/>
                <w:sz w:val="18"/>
                <w:szCs w:val="18"/>
                <w:lang w:val="ro-RO" w:eastAsia="ro-RO"/>
              </w:rPr>
            </w:pPr>
            <w:r w:rsidRPr="008F286C">
              <w:rPr>
                <w:rFonts w:ascii="Times New Roman" w:eastAsia="Times New Roman" w:hAnsi="Times New Roman" w:cs="Times New Roman"/>
                <w:b/>
                <w:bCs/>
                <w:sz w:val="18"/>
                <w:szCs w:val="18"/>
                <w:lang w:val="ro-RO" w:eastAsia="ro-RO"/>
              </w:rPr>
              <w:t>Ritmul 2020/1995</w:t>
            </w:r>
          </w:p>
        </w:tc>
        <w:tc>
          <w:tcPr>
            <w:tcW w:w="878" w:type="pct"/>
            <w:vMerge w:val="restart"/>
          </w:tcPr>
          <w:p w14:paraId="41ECBA6C" w14:textId="77777777" w:rsidR="00AF7ECE" w:rsidRPr="008F286C" w:rsidRDefault="00AF7ECE" w:rsidP="00C03906">
            <w:pPr>
              <w:jc w:val="center"/>
              <w:rPr>
                <w:rFonts w:ascii="Times New Roman" w:eastAsia="Times New Roman" w:hAnsi="Times New Roman" w:cs="Times New Roman"/>
                <w:b/>
                <w:bCs/>
                <w:sz w:val="18"/>
                <w:szCs w:val="18"/>
                <w:lang w:val="ro-RO" w:eastAsia="ro-RO"/>
              </w:rPr>
            </w:pPr>
            <w:r w:rsidRPr="008F286C">
              <w:rPr>
                <w:rFonts w:ascii="Times New Roman" w:eastAsia="Times New Roman" w:hAnsi="Times New Roman" w:cs="Times New Roman"/>
                <w:b/>
                <w:bCs/>
                <w:sz w:val="18"/>
                <w:szCs w:val="18"/>
                <w:lang w:val="ro-RO" w:eastAsia="ro-RO"/>
              </w:rPr>
              <w:t>Dinamica medie anuală 1995-2020</w:t>
            </w:r>
          </w:p>
        </w:tc>
        <w:tc>
          <w:tcPr>
            <w:tcW w:w="758" w:type="pct"/>
            <w:vMerge w:val="restart"/>
          </w:tcPr>
          <w:p w14:paraId="31B8959B" w14:textId="77777777" w:rsidR="00AF7ECE" w:rsidRPr="008F286C" w:rsidRDefault="00AF7ECE" w:rsidP="00C03906">
            <w:pPr>
              <w:jc w:val="center"/>
              <w:rPr>
                <w:rFonts w:ascii="Times New Roman" w:eastAsia="Times New Roman" w:hAnsi="Times New Roman" w:cs="Times New Roman"/>
                <w:b/>
                <w:bCs/>
                <w:sz w:val="18"/>
                <w:szCs w:val="18"/>
                <w:lang w:val="ro-RO" w:eastAsia="ro-RO"/>
              </w:rPr>
            </w:pPr>
            <w:r w:rsidRPr="008F286C">
              <w:rPr>
                <w:rFonts w:ascii="Times New Roman" w:eastAsia="Times New Roman" w:hAnsi="Times New Roman" w:cs="Times New Roman"/>
                <w:b/>
                <w:bCs/>
                <w:sz w:val="18"/>
                <w:szCs w:val="18"/>
                <w:lang w:val="ro-RO" w:eastAsia="ro-RO"/>
              </w:rPr>
              <w:t>Modificările structurale (pp)</w:t>
            </w:r>
          </w:p>
        </w:tc>
      </w:tr>
      <w:tr w:rsidR="00AF7ECE" w:rsidRPr="008F286C" w14:paraId="0AB90640" w14:textId="77777777" w:rsidTr="00265797">
        <w:trPr>
          <w:cnfStyle w:val="000000100000" w:firstRow="0" w:lastRow="0" w:firstColumn="0" w:lastColumn="0" w:oddVBand="0" w:evenVBand="0" w:oddHBand="1" w:evenHBand="0" w:firstRowFirstColumn="0" w:firstRowLastColumn="0" w:lastRowFirstColumn="0" w:lastRowLastColumn="0"/>
          <w:trHeight w:val="91"/>
        </w:trPr>
        <w:tc>
          <w:tcPr>
            <w:tcW w:w="1231" w:type="pct"/>
            <w:vMerge/>
            <w:noWrap/>
          </w:tcPr>
          <w:p w14:paraId="4A5C23C6" w14:textId="77777777" w:rsidR="00AF7ECE" w:rsidRPr="008F286C" w:rsidRDefault="00AF7ECE" w:rsidP="00C03906">
            <w:pPr>
              <w:jc w:val="center"/>
              <w:rPr>
                <w:rFonts w:ascii="Times New Roman" w:eastAsia="Times New Roman" w:hAnsi="Times New Roman" w:cs="Times New Roman"/>
                <w:color w:val="FFFFFF" w:themeColor="background1"/>
                <w:sz w:val="18"/>
                <w:szCs w:val="18"/>
                <w:lang w:val="ro-RO" w:eastAsia="ro-RO"/>
              </w:rPr>
            </w:pPr>
          </w:p>
        </w:tc>
        <w:tc>
          <w:tcPr>
            <w:tcW w:w="548" w:type="pct"/>
            <w:shd w:val="clear" w:color="auto" w:fill="134753" w:themeFill="text2"/>
            <w:noWrap/>
          </w:tcPr>
          <w:p w14:paraId="4BD53C2B"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r w:rsidRPr="008F286C">
              <w:rPr>
                <w:rFonts w:ascii="Times New Roman" w:eastAsia="Times New Roman" w:hAnsi="Times New Roman" w:cs="Times New Roman"/>
                <w:b/>
                <w:color w:val="FFFFFF" w:themeColor="background1"/>
                <w:sz w:val="18"/>
                <w:szCs w:val="18"/>
                <w:lang w:val="ro-RO" w:eastAsia="ro-RO"/>
              </w:rPr>
              <w:t>1995</w:t>
            </w:r>
          </w:p>
        </w:tc>
        <w:tc>
          <w:tcPr>
            <w:tcW w:w="326" w:type="pct"/>
            <w:shd w:val="clear" w:color="auto" w:fill="134753" w:themeFill="text2"/>
            <w:noWrap/>
          </w:tcPr>
          <w:p w14:paraId="4E722446"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r w:rsidRPr="008F286C">
              <w:rPr>
                <w:rFonts w:ascii="Times New Roman" w:eastAsia="Times New Roman" w:hAnsi="Times New Roman" w:cs="Times New Roman"/>
                <w:b/>
                <w:color w:val="FFFFFF" w:themeColor="background1"/>
                <w:sz w:val="18"/>
                <w:szCs w:val="18"/>
                <w:lang w:val="ro-RO" w:eastAsia="ro-RO"/>
              </w:rPr>
              <w:t>2020</w:t>
            </w:r>
          </w:p>
        </w:tc>
        <w:tc>
          <w:tcPr>
            <w:tcW w:w="699" w:type="pct"/>
            <w:vMerge/>
          </w:tcPr>
          <w:p w14:paraId="0BE6656E"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p>
        </w:tc>
        <w:tc>
          <w:tcPr>
            <w:tcW w:w="560" w:type="pct"/>
            <w:vMerge/>
            <w:noWrap/>
          </w:tcPr>
          <w:p w14:paraId="20CDD1D4"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p>
        </w:tc>
        <w:tc>
          <w:tcPr>
            <w:tcW w:w="878" w:type="pct"/>
            <w:vMerge/>
          </w:tcPr>
          <w:p w14:paraId="12F77395"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p>
        </w:tc>
        <w:tc>
          <w:tcPr>
            <w:tcW w:w="758" w:type="pct"/>
            <w:vMerge/>
          </w:tcPr>
          <w:p w14:paraId="3A19CC22" w14:textId="77777777" w:rsidR="00AF7ECE" w:rsidRPr="008F286C" w:rsidRDefault="00AF7ECE" w:rsidP="00C03906">
            <w:pPr>
              <w:jc w:val="center"/>
              <w:rPr>
                <w:rFonts w:ascii="Times New Roman" w:eastAsia="Times New Roman" w:hAnsi="Times New Roman" w:cs="Times New Roman"/>
                <w:b/>
                <w:color w:val="FFFFFF" w:themeColor="background1"/>
                <w:sz w:val="18"/>
                <w:szCs w:val="18"/>
                <w:lang w:val="ro-RO" w:eastAsia="ro-RO"/>
              </w:rPr>
            </w:pPr>
          </w:p>
        </w:tc>
      </w:tr>
      <w:tr w:rsidR="00AF7ECE" w:rsidRPr="008F286C" w14:paraId="605E2593" w14:textId="77777777" w:rsidTr="00265797">
        <w:trPr>
          <w:cnfStyle w:val="000000010000" w:firstRow="0" w:lastRow="0" w:firstColumn="0" w:lastColumn="0" w:oddVBand="0" w:evenVBand="0" w:oddHBand="0" w:evenHBand="1" w:firstRowFirstColumn="0" w:firstRowLastColumn="0" w:lastRowFirstColumn="0" w:lastRowLastColumn="0"/>
          <w:trHeight w:val="91"/>
        </w:trPr>
        <w:tc>
          <w:tcPr>
            <w:tcW w:w="1231" w:type="pct"/>
            <w:noWrap/>
          </w:tcPr>
          <w:p w14:paraId="77318D2E" w14:textId="77777777" w:rsidR="00AF7ECE" w:rsidRPr="008F286C" w:rsidRDefault="00AF7ECE" w:rsidP="00C03906">
            <w:pPr>
              <w:ind w:left="-57" w:right="-57"/>
              <w:jc w:val="right"/>
              <w:rPr>
                <w:rFonts w:ascii="Times New Roman" w:eastAsia="Times New Roman" w:hAnsi="Times New Roman" w:cs="Times New Roman"/>
                <w:b/>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Cereale si leguminoase</w:t>
            </w:r>
          </w:p>
        </w:tc>
        <w:tc>
          <w:tcPr>
            <w:tcW w:w="548" w:type="pct"/>
            <w:noWrap/>
          </w:tcPr>
          <w:p w14:paraId="430205F0"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2389</w:t>
            </w:r>
          </w:p>
        </w:tc>
        <w:tc>
          <w:tcPr>
            <w:tcW w:w="326" w:type="pct"/>
            <w:noWrap/>
          </w:tcPr>
          <w:p w14:paraId="3FAA9524" w14:textId="77777777" w:rsidR="00AF7ECE" w:rsidRPr="008F286C" w:rsidRDefault="00AF7ECE" w:rsidP="00C03906">
            <w:pPr>
              <w:jc w:val="center"/>
              <w:rPr>
                <w:rFonts w:ascii="Times New Roman" w:eastAsia="Times New Roman" w:hAnsi="Times New Roman" w:cs="Times New Roman"/>
                <w:b/>
                <w:bCs/>
                <w:color w:val="000000"/>
                <w:sz w:val="18"/>
                <w:szCs w:val="18"/>
                <w:lang w:val="ro-RO" w:eastAsia="ro-RO"/>
              </w:rPr>
            </w:pPr>
            <w:r w:rsidRPr="008F286C">
              <w:rPr>
                <w:rFonts w:ascii="Times New Roman" w:eastAsia="Times New Roman" w:hAnsi="Times New Roman" w:cs="Times New Roman"/>
                <w:b/>
                <w:bCs/>
                <w:color w:val="000000"/>
                <w:sz w:val="18"/>
                <w:szCs w:val="18"/>
                <w:lang w:val="ro-RO" w:eastAsia="ro-RO"/>
              </w:rPr>
              <w:t>1505</w:t>
            </w:r>
          </w:p>
        </w:tc>
        <w:tc>
          <w:tcPr>
            <w:tcW w:w="699" w:type="pct"/>
          </w:tcPr>
          <w:p w14:paraId="0E284E76"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noProof/>
                <w:color w:val="000000"/>
                <w:sz w:val="18"/>
                <w:szCs w:val="18"/>
                <w:lang w:val="en-US"/>
              </w:rPr>
              <w:drawing>
                <wp:inline distT="0" distB="0" distL="0" distR="0" wp14:anchorId="1AD047D6" wp14:editId="4360A0ED">
                  <wp:extent cx="720000" cy="173052"/>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0000" cy="173052"/>
                          </a:xfrm>
                          <a:prstGeom prst="rect">
                            <a:avLst/>
                          </a:prstGeom>
                          <a:noFill/>
                          <a:ln>
                            <a:noFill/>
                          </a:ln>
                        </pic:spPr>
                      </pic:pic>
                    </a:graphicData>
                  </a:graphic>
                </wp:inline>
              </w:drawing>
            </w:r>
          </w:p>
        </w:tc>
        <w:tc>
          <w:tcPr>
            <w:tcW w:w="560" w:type="pct"/>
            <w:noWrap/>
          </w:tcPr>
          <w:p w14:paraId="3B56CA2D"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-37.0%</w:t>
            </w:r>
          </w:p>
        </w:tc>
        <w:tc>
          <w:tcPr>
            <w:tcW w:w="878" w:type="pct"/>
          </w:tcPr>
          <w:p w14:paraId="0B96FADD"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+18.8 mii t</w:t>
            </w:r>
          </w:p>
        </w:tc>
        <w:tc>
          <w:tcPr>
            <w:tcW w:w="758" w:type="pct"/>
          </w:tcPr>
          <w:p w14:paraId="3A22B3F2"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18.8</w:t>
            </w:r>
          </w:p>
        </w:tc>
      </w:tr>
      <w:tr w:rsidR="00AF7ECE" w:rsidRPr="008F286C" w14:paraId="30FA70F3" w14:textId="77777777" w:rsidTr="00265797">
        <w:trPr>
          <w:cnfStyle w:val="000000100000" w:firstRow="0" w:lastRow="0" w:firstColumn="0" w:lastColumn="0" w:oddVBand="0" w:evenVBand="0" w:oddHBand="1" w:evenHBand="0" w:firstRowFirstColumn="0" w:firstRowLastColumn="0" w:lastRowFirstColumn="0" w:lastRowLastColumn="0"/>
          <w:trHeight w:val="91"/>
        </w:trPr>
        <w:tc>
          <w:tcPr>
            <w:tcW w:w="1231" w:type="pct"/>
            <w:noWrap/>
            <w:hideMark/>
          </w:tcPr>
          <w:p w14:paraId="16D4705E" w14:textId="77777777" w:rsidR="00AF7ECE" w:rsidRPr="008F286C" w:rsidRDefault="00AF7ECE" w:rsidP="00C03906">
            <w:pPr>
              <w:ind w:left="-57" w:right="-57"/>
              <w:jc w:val="right"/>
              <w:rPr>
                <w:rFonts w:ascii="Times New Roman" w:eastAsia="Times New Roman" w:hAnsi="Times New Roman" w:cs="Times New Roman"/>
                <w:b/>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Culturi tehnice</w:t>
            </w:r>
          </w:p>
        </w:tc>
        <w:tc>
          <w:tcPr>
            <w:tcW w:w="548" w:type="pct"/>
            <w:noWrap/>
            <w:hideMark/>
          </w:tcPr>
          <w:p w14:paraId="6EE77234"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1945</w:t>
            </w:r>
          </w:p>
        </w:tc>
        <w:tc>
          <w:tcPr>
            <w:tcW w:w="326" w:type="pct"/>
            <w:noWrap/>
            <w:hideMark/>
          </w:tcPr>
          <w:p w14:paraId="40152D9A"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996</w:t>
            </w:r>
          </w:p>
        </w:tc>
        <w:tc>
          <w:tcPr>
            <w:tcW w:w="699" w:type="pct"/>
          </w:tcPr>
          <w:p w14:paraId="07833867"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eastAsia="Times New Roman" w:hAnsi="Times New Roman" w:cs="Times New Roman"/>
                <w:noProof/>
                <w:color w:val="000000"/>
                <w:sz w:val="18"/>
                <w:szCs w:val="18"/>
                <w:lang w:val="en-US"/>
              </w:rPr>
              <w:drawing>
                <wp:inline distT="0" distB="0" distL="0" distR="0" wp14:anchorId="6D0A892C" wp14:editId="483D5E76">
                  <wp:extent cx="720000" cy="197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0000" cy="197775"/>
                          </a:xfrm>
                          <a:prstGeom prst="rect">
                            <a:avLst/>
                          </a:prstGeom>
                          <a:noFill/>
                          <a:ln>
                            <a:noFill/>
                          </a:ln>
                        </pic:spPr>
                      </pic:pic>
                    </a:graphicData>
                  </a:graphic>
                </wp:inline>
              </w:drawing>
            </w:r>
          </w:p>
        </w:tc>
        <w:tc>
          <w:tcPr>
            <w:tcW w:w="560" w:type="pct"/>
            <w:noWrap/>
            <w:hideMark/>
          </w:tcPr>
          <w:p w14:paraId="50177785"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hAnsi="Times New Roman" w:cs="Times New Roman"/>
                <w:color w:val="000000"/>
                <w:sz w:val="18"/>
                <w:szCs w:val="18"/>
                <w:lang w:val="ro-RO"/>
              </w:rPr>
              <w:t>-48.8%</w:t>
            </w:r>
          </w:p>
        </w:tc>
        <w:tc>
          <w:tcPr>
            <w:tcW w:w="878" w:type="pct"/>
          </w:tcPr>
          <w:p w14:paraId="2F511AAF"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-6.6 mii t</w:t>
            </w:r>
          </w:p>
        </w:tc>
        <w:tc>
          <w:tcPr>
            <w:tcW w:w="758" w:type="pct"/>
          </w:tcPr>
          <w:p w14:paraId="55797E98"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8.9</w:t>
            </w:r>
          </w:p>
        </w:tc>
      </w:tr>
      <w:tr w:rsidR="00AF7ECE" w:rsidRPr="008F286C" w14:paraId="3797BA2C" w14:textId="77777777" w:rsidTr="00265797">
        <w:trPr>
          <w:cnfStyle w:val="000000010000" w:firstRow="0" w:lastRow="0" w:firstColumn="0" w:lastColumn="0" w:oddVBand="0" w:evenVBand="0" w:oddHBand="0" w:evenHBand="1" w:firstRowFirstColumn="0" w:firstRowLastColumn="0" w:lastRowFirstColumn="0" w:lastRowLastColumn="0"/>
          <w:trHeight w:val="91"/>
        </w:trPr>
        <w:tc>
          <w:tcPr>
            <w:tcW w:w="1231" w:type="pct"/>
            <w:noWrap/>
            <w:hideMark/>
          </w:tcPr>
          <w:p w14:paraId="12CBEB0E" w14:textId="77777777" w:rsidR="00AF7ECE" w:rsidRPr="008F286C" w:rsidRDefault="00AF7ECE" w:rsidP="00C03906">
            <w:pPr>
              <w:ind w:left="-57" w:right="-57"/>
              <w:jc w:val="right"/>
              <w:rPr>
                <w:rFonts w:ascii="Times New Roman" w:eastAsia="Times New Roman" w:hAnsi="Times New Roman" w:cs="Times New Roman"/>
                <w:b/>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Cartofi, legume si bostănoase</w:t>
            </w:r>
          </w:p>
        </w:tc>
        <w:tc>
          <w:tcPr>
            <w:tcW w:w="548" w:type="pct"/>
            <w:noWrap/>
            <w:hideMark/>
          </w:tcPr>
          <w:p w14:paraId="34052438"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3668</w:t>
            </w:r>
          </w:p>
        </w:tc>
        <w:tc>
          <w:tcPr>
            <w:tcW w:w="326" w:type="pct"/>
            <w:noWrap/>
            <w:hideMark/>
          </w:tcPr>
          <w:p w14:paraId="444B51A9"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985</w:t>
            </w:r>
          </w:p>
        </w:tc>
        <w:tc>
          <w:tcPr>
            <w:tcW w:w="699" w:type="pct"/>
          </w:tcPr>
          <w:p w14:paraId="188887A7"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eastAsia="Times New Roman" w:hAnsi="Times New Roman" w:cs="Times New Roman"/>
                <w:noProof/>
                <w:color w:val="000000"/>
                <w:sz w:val="18"/>
                <w:szCs w:val="18"/>
                <w:lang w:val="en-US"/>
              </w:rPr>
              <w:drawing>
                <wp:anchor distT="0" distB="0" distL="114300" distR="114300" simplePos="0" relativeHeight="251651584" behindDoc="1" locked="0" layoutInCell="1" allowOverlap="1" wp14:anchorId="755DA9E8" wp14:editId="254C2FB4">
                  <wp:simplePos x="0" y="0"/>
                  <wp:positionH relativeFrom="column">
                    <wp:posOffset>10795</wp:posOffset>
                  </wp:positionH>
                  <wp:positionV relativeFrom="paragraph">
                    <wp:posOffset>128088</wp:posOffset>
                  </wp:positionV>
                  <wp:extent cx="719455" cy="219075"/>
                  <wp:effectExtent l="0" t="0" r="4445" b="0"/>
                  <wp:wrapTight wrapText="bothSides">
                    <wp:wrapPolygon edited="0">
                      <wp:start x="381" y="2504"/>
                      <wp:lineTo x="381" y="10017"/>
                      <wp:lineTo x="5338" y="16278"/>
                      <wp:lineTo x="8770" y="18783"/>
                      <wp:lineTo x="20971" y="18783"/>
                      <wp:lineTo x="21352" y="15026"/>
                      <wp:lineTo x="18302" y="13774"/>
                      <wp:lineTo x="2669" y="2504"/>
                      <wp:lineTo x="381" y="250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945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0" w:type="pct"/>
            <w:noWrap/>
            <w:hideMark/>
          </w:tcPr>
          <w:p w14:paraId="48C8E18B"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hAnsi="Times New Roman" w:cs="Times New Roman"/>
                <w:color w:val="000000"/>
                <w:sz w:val="18"/>
                <w:szCs w:val="18"/>
                <w:lang w:val="ro-RO"/>
              </w:rPr>
              <w:t>-73.1%</w:t>
            </w:r>
          </w:p>
        </w:tc>
        <w:tc>
          <w:tcPr>
            <w:tcW w:w="878" w:type="pct"/>
          </w:tcPr>
          <w:p w14:paraId="5D815D19"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-69.0 mii t</w:t>
            </w:r>
          </w:p>
        </w:tc>
        <w:tc>
          <w:tcPr>
            <w:tcW w:w="758" w:type="pct"/>
          </w:tcPr>
          <w:p w14:paraId="46DD6C7C"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-8.1</w:t>
            </w:r>
          </w:p>
        </w:tc>
      </w:tr>
      <w:tr w:rsidR="00AF7ECE" w:rsidRPr="008F286C" w14:paraId="2C8EE3F2" w14:textId="77777777" w:rsidTr="00265797">
        <w:trPr>
          <w:cnfStyle w:val="000000100000" w:firstRow="0" w:lastRow="0" w:firstColumn="0" w:lastColumn="0" w:oddVBand="0" w:evenVBand="0" w:oddHBand="1" w:evenHBand="0" w:firstRowFirstColumn="0" w:firstRowLastColumn="0" w:lastRowFirstColumn="0" w:lastRowLastColumn="0"/>
          <w:trHeight w:val="91"/>
        </w:trPr>
        <w:tc>
          <w:tcPr>
            <w:tcW w:w="1231" w:type="pct"/>
            <w:noWrap/>
            <w:hideMark/>
          </w:tcPr>
          <w:p w14:paraId="52CDFDC1" w14:textId="77777777" w:rsidR="00AF7ECE" w:rsidRPr="008F286C" w:rsidRDefault="00AF7ECE" w:rsidP="00C03906">
            <w:pPr>
              <w:ind w:left="-57" w:right="-57"/>
              <w:jc w:val="right"/>
              <w:rPr>
                <w:rFonts w:ascii="Times New Roman" w:eastAsia="Times New Roman" w:hAnsi="Times New Roman" w:cs="Times New Roman"/>
                <w:b/>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Plante de nutreț</w:t>
            </w:r>
          </w:p>
        </w:tc>
        <w:tc>
          <w:tcPr>
            <w:tcW w:w="548" w:type="pct"/>
            <w:noWrap/>
            <w:hideMark/>
          </w:tcPr>
          <w:p w14:paraId="438CB1CD"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2312</w:t>
            </w:r>
          </w:p>
        </w:tc>
        <w:tc>
          <w:tcPr>
            <w:tcW w:w="326" w:type="pct"/>
            <w:noWrap/>
            <w:hideMark/>
          </w:tcPr>
          <w:p w14:paraId="078DD367"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eastAsia="Times New Roman" w:hAnsi="Times New Roman" w:cs="Times New Roman"/>
                <w:color w:val="000000"/>
                <w:sz w:val="18"/>
                <w:szCs w:val="18"/>
                <w:lang w:val="ro-RO" w:eastAsia="ro-RO"/>
              </w:rPr>
              <w:t>100</w:t>
            </w:r>
          </w:p>
        </w:tc>
        <w:tc>
          <w:tcPr>
            <w:tcW w:w="699" w:type="pct"/>
          </w:tcPr>
          <w:p w14:paraId="66F3C64C"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eastAsia="Times New Roman" w:hAnsi="Times New Roman" w:cs="Times New Roman"/>
                <w:noProof/>
                <w:color w:val="000000"/>
                <w:sz w:val="18"/>
                <w:szCs w:val="18"/>
                <w:lang w:val="en-US"/>
              </w:rPr>
              <w:drawing>
                <wp:inline distT="0" distB="0" distL="0" distR="0" wp14:anchorId="76CEE122" wp14:editId="799FBFE5">
                  <wp:extent cx="720000" cy="193467"/>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20000" cy="193467"/>
                          </a:xfrm>
                          <a:prstGeom prst="rect">
                            <a:avLst/>
                          </a:prstGeom>
                          <a:noFill/>
                          <a:ln>
                            <a:noFill/>
                          </a:ln>
                        </pic:spPr>
                      </pic:pic>
                    </a:graphicData>
                  </a:graphic>
                </wp:inline>
              </w:drawing>
            </w:r>
          </w:p>
        </w:tc>
        <w:tc>
          <w:tcPr>
            <w:tcW w:w="560" w:type="pct"/>
            <w:noWrap/>
            <w:hideMark/>
          </w:tcPr>
          <w:p w14:paraId="310B2E12" w14:textId="77777777" w:rsidR="00AF7ECE" w:rsidRPr="008F286C" w:rsidRDefault="00AF7ECE" w:rsidP="00C03906">
            <w:pPr>
              <w:jc w:val="center"/>
              <w:rPr>
                <w:rFonts w:ascii="Times New Roman" w:eastAsia="Times New Roman" w:hAnsi="Times New Roman" w:cs="Times New Roman"/>
                <w:color w:val="000000"/>
                <w:sz w:val="18"/>
                <w:szCs w:val="18"/>
                <w:lang w:val="ro-RO" w:eastAsia="ro-RO"/>
              </w:rPr>
            </w:pPr>
            <w:r w:rsidRPr="008F286C">
              <w:rPr>
                <w:rFonts w:ascii="Times New Roman" w:hAnsi="Times New Roman" w:cs="Times New Roman"/>
                <w:color w:val="000000"/>
                <w:sz w:val="18"/>
                <w:szCs w:val="18"/>
                <w:lang w:val="ro-RO"/>
              </w:rPr>
              <w:t>-95.7%</w:t>
            </w:r>
          </w:p>
        </w:tc>
        <w:tc>
          <w:tcPr>
            <w:tcW w:w="878" w:type="pct"/>
          </w:tcPr>
          <w:p w14:paraId="14F347ED"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-49.6 mii t</w:t>
            </w:r>
          </w:p>
        </w:tc>
        <w:tc>
          <w:tcPr>
            <w:tcW w:w="758" w:type="pct"/>
          </w:tcPr>
          <w:p w14:paraId="541B0B57" w14:textId="77777777" w:rsidR="00AF7ECE" w:rsidRPr="008F286C" w:rsidRDefault="00AF7ECE" w:rsidP="00C03906">
            <w:pPr>
              <w:jc w:val="center"/>
              <w:rPr>
                <w:rFonts w:ascii="Times New Roman" w:hAnsi="Times New Roman" w:cs="Times New Roman"/>
                <w:color w:val="000000"/>
                <w:sz w:val="18"/>
                <w:szCs w:val="18"/>
                <w:lang w:val="ro-RO"/>
              </w:rPr>
            </w:pPr>
            <w:r w:rsidRPr="008F286C">
              <w:rPr>
                <w:rFonts w:ascii="Times New Roman" w:hAnsi="Times New Roman" w:cs="Times New Roman"/>
                <w:color w:val="000000"/>
                <w:sz w:val="18"/>
                <w:szCs w:val="18"/>
                <w:lang w:val="ro-RO"/>
              </w:rPr>
              <w:t>-19.6</w:t>
            </w:r>
          </w:p>
        </w:tc>
      </w:tr>
    </w:tbl>
    <w:p w14:paraId="00CB7E81" w14:textId="375CDEB1" w:rsidR="00AF7ECE" w:rsidRPr="008F286C" w:rsidRDefault="00AF7ECE"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elaborat de autori în baza datelor BNS</w:t>
      </w:r>
    </w:p>
    <w:p w14:paraId="13CCFBE3" w14:textId="2760FBC9" w:rsidR="00AF7ECE" w:rsidRPr="00A73566" w:rsidRDefault="00AF7ECE"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24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Profilul evident al Republicii Moldova în anul 2020 a fost cel de producător de cereale si leguminoase, cu o dinamică în creștere a ponderii acestor culturi de la 23,2% în 1995 până la 42.0% în 2020 (+18,8 pp), în condițiile unei creșteri medii anuală de cca +0,86 pp, cu ponderea maximală în anul 2019 (54,7%). </w:t>
      </w:r>
    </w:p>
    <w:p w14:paraId="1121C6D3" w14:textId="262D398E" w:rsidR="00AF7ECE" w:rsidRPr="00A73566" w:rsidRDefault="00AF7ECE" w:rsidP="00731039">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24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Următoarele poziții sunt deținute de culturile tehnice și de cartofi, legume și bostănoase, acestora revenindu-le în 2020 cote de 27,8% și, respectiv, 27,5%, cu o creștere de +8,92 p. p. a ponderii Culturilor tehnice și o reducere de -8,10 p. p. pentru ponderea culturilor de cartofi, legume si bostănoase.</w:t>
      </w:r>
    </w:p>
    <w:p w14:paraId="57D546A5" w14:textId="77777777" w:rsidR="00AF7ECE" w:rsidRPr="00A73566" w:rsidRDefault="00AF7ECE" w:rsidP="00265797">
      <w:pPr>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Cea mai mare scădere a înregistrat-o volumul de producție a plantelor de nutreț care s-a micșorat de cca 23 de ori, de la cca 2,3 mln tone în 1995 la cca 100 mii tone spre 2020, iar cota parte a acestei culturi a scăzut cu cca 19,6 p. p. (de la 22,4% în 1995 la 2,8% în 2020).</w:t>
      </w:r>
    </w:p>
    <w:p w14:paraId="2C041869" w14:textId="77777777" w:rsidR="00AF7ECE" w:rsidRPr="00A73566" w:rsidRDefault="00AF7ECE" w:rsidP="00731039">
      <w:pPr>
        <w:contextualSpacing/>
        <w:rPr>
          <w:rFonts w:ascii="Times New Roman" w:hAnsi="Times New Roman" w:cs="Times New Roman"/>
          <w:color w:val="000000" w:themeColor="text1"/>
          <w:lang w:val="ro-RO"/>
        </w:rPr>
      </w:pPr>
    </w:p>
    <w:p w14:paraId="2D9385E3" w14:textId="454BA6D2" w:rsidR="00AF7ECE" w:rsidRPr="00265797" w:rsidRDefault="00AF7ECE" w:rsidP="00265797">
      <w:pPr>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Astfel, modificările structurale produse în perioada de referință, atestate anterior, indică o dinamică ascendentă a cotei primei categorii - cereale si leguminoase – concurentă cu dinamica cotei culturilor tehnice, care, de fapt, se manifestă relativ stabil în timp, în detrimentul culturilor de cartofi, legume și bostănoase și a plantelor de nutreț .</w:t>
      </w:r>
    </w:p>
    <w:p w14:paraId="5B0F4C6A" w14:textId="16858FC2" w:rsidR="00AF7ECE" w:rsidRPr="008F286C" w:rsidRDefault="00AF7ECE" w:rsidP="00AF7ECE">
      <w:pPr>
        <w:pStyle w:val="Caption"/>
        <w:framePr w:wrap="around"/>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Figu</w:t>
      </w:r>
      <w:r w:rsidR="000F10F9" w:rsidRPr="008F286C">
        <w:rPr>
          <w:rFonts w:ascii="Times New Roman" w:hAnsi="Times New Roman" w:cs="Times New Roman"/>
          <w:sz w:val="18"/>
          <w:szCs w:val="18"/>
          <w:lang w:val="ro-RO"/>
        </w:rPr>
        <w:t>ra 19</w:t>
      </w:r>
      <w:r w:rsidRPr="008F286C">
        <w:rPr>
          <w:rFonts w:ascii="Times New Roman" w:hAnsi="Times New Roman" w:cs="Times New Roman"/>
          <w:sz w:val="18"/>
          <w:szCs w:val="18"/>
          <w:lang w:val="ro-RO"/>
        </w:rPr>
        <w:t>. Modificările structurale a producției pe culturi agricole (1995-2020)</w:t>
      </w:r>
    </w:p>
    <w:p w14:paraId="74F368E7" w14:textId="49BBF97C" w:rsidR="00AF7ECE" w:rsidRPr="00A73566" w:rsidRDefault="006007A4"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themeColor="text1"/>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7E6B4BC6" wp14:editId="563113CD">
            <wp:extent cx="5996305" cy="2329962"/>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41260" cy="2347430"/>
                    </a:xfrm>
                    <a:prstGeom prst="rect">
                      <a:avLst/>
                    </a:prstGeom>
                    <a:noFill/>
                  </pic:spPr>
                </pic:pic>
              </a:graphicData>
            </a:graphic>
          </wp:inline>
        </w:drawing>
      </w:r>
    </w:p>
    <w:p w14:paraId="390C636C" w14:textId="77777777" w:rsidR="00AF7ECE" w:rsidRPr="008F286C" w:rsidRDefault="00AF7ECE"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A73566">
        <w:rPr>
          <w:rFonts w:ascii="Times New Roman" w:hAnsi="Times New Roman" w:cs="Times New Roman"/>
          <w:iCs/>
          <w:color w:val="BFBFBF" w:themeColor="background1" w:themeShade="BF"/>
          <w:lang w:val="ro-RO"/>
        </w:rPr>
        <w:t xml:space="preserve"> </w:t>
      </w:r>
      <w:r w:rsidRPr="008F286C">
        <w:rPr>
          <w:rFonts w:ascii="Times New Roman" w:hAnsi="Times New Roman" w:cs="Times New Roman"/>
          <w:iCs/>
          <w:color w:val="BFBFBF" w:themeColor="background1" w:themeShade="BF"/>
          <w:sz w:val="18"/>
          <w:szCs w:val="18"/>
          <w:lang w:val="ro-RO"/>
        </w:rPr>
        <w:t>Sursa: Elaborată de autori în baza datelor BNS</w:t>
      </w:r>
    </w:p>
    <w:p w14:paraId="2B4F09AA"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Comparând situațiile productivității culturilor agricole din anul 2020 cele din 1993, în marea majoritate a cazurilor se observă reduceri ale nivelului de productivitate, ceea ar putea să denote caracterul arbitrar al caracterizării dinamicii prin ritmul dinamicii. În acest caz, pentru a surprinde o tendință de lungă durată, o soluție ar fi identificarea parametrilor medii anuali ai dinamicii productivității, exprimați prin coeficienții de regresie liniară pentru perioada 1993-2020.</w:t>
      </w:r>
    </w:p>
    <w:p w14:paraId="12329A06"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Cu toate că ritmurile dinamicii pentru 2020 față de 1993, sub incidențe distructive (secetă ++), au înregistrat aproape exhaustiv (cu mici excepții) valori negative, dinamica generală a cerealelor și leguminoaselor pentru perioada 1993-2020 a cunoscut o creștere medie anuală pozitivă (+0,33 p. p.), printre cele mai favorabile fiind culturile de hrișcă, care au înregistrat o creștere medie anuală de cca 3 p. p., ovăs (+0,86 p. p.), porumbul pentru boabe și altele (figura. 21).</w:t>
      </w:r>
    </w:p>
    <w:p w14:paraId="3A4B94CC" w14:textId="27E0F0BF" w:rsidR="00AF7ECE" w:rsidRPr="008F286C" w:rsidRDefault="000F10F9" w:rsidP="00AF7ECE">
      <w:pPr>
        <w:pStyle w:val="Caption"/>
        <w:framePr w:wrap="around"/>
        <w:jc w:val="both"/>
        <w:rPr>
          <w:rFonts w:ascii="Times New Roman" w:hAnsi="Times New Roman" w:cs="Times New Roman"/>
          <w:sz w:val="18"/>
          <w:szCs w:val="18"/>
          <w:lang w:val="ro-RO"/>
        </w:rPr>
      </w:pPr>
      <w:r w:rsidRPr="008F286C">
        <w:rPr>
          <w:rFonts w:ascii="Times New Roman" w:hAnsi="Times New Roman" w:cs="Times New Roman"/>
          <w:sz w:val="18"/>
          <w:szCs w:val="18"/>
          <w:lang w:val="ro-RO"/>
        </w:rPr>
        <w:t>Figura 20</w:t>
      </w:r>
      <w:r w:rsidR="00AF7ECE" w:rsidRPr="008F286C">
        <w:rPr>
          <w:rFonts w:ascii="Times New Roman" w:hAnsi="Times New Roman" w:cs="Times New Roman"/>
          <w:sz w:val="18"/>
          <w:szCs w:val="18"/>
          <w:lang w:val="ro-RO"/>
        </w:rPr>
        <w:t xml:space="preserve">. Modificarea medie anuală a ritmurilor dinamicii producției </w:t>
      </w:r>
      <w:r w:rsidR="00BA2B48" w:rsidRPr="008F286C">
        <w:rPr>
          <w:rFonts w:ascii="Times New Roman" w:hAnsi="Times New Roman" w:cs="Times New Roman"/>
          <w:sz w:val="18"/>
          <w:szCs w:val="18"/>
          <w:lang w:val="ro-RO"/>
        </w:rPr>
        <w:t>AGRICOLE</w:t>
      </w:r>
      <w:r w:rsidR="00AF7ECE" w:rsidRPr="008F286C">
        <w:rPr>
          <w:rFonts w:ascii="Times New Roman" w:hAnsi="Times New Roman" w:cs="Times New Roman"/>
          <w:sz w:val="18"/>
          <w:szCs w:val="18"/>
          <w:lang w:val="ro-RO"/>
        </w:rPr>
        <w:t>, 1993-2020</w:t>
      </w:r>
    </w:p>
    <w:tbl>
      <w:tblPr>
        <w:tblStyle w:val="TableGrid"/>
        <w:tblW w:w="9268" w:type="dxa"/>
        <w:tblLook w:val="04A0" w:firstRow="1" w:lastRow="0" w:firstColumn="1" w:lastColumn="0" w:noHBand="0" w:noVBand="1"/>
      </w:tblPr>
      <w:tblGrid>
        <w:gridCol w:w="3108"/>
        <w:gridCol w:w="2965"/>
        <w:gridCol w:w="3362"/>
      </w:tblGrid>
      <w:tr w:rsidR="00BA2B48" w:rsidRPr="00A73566" w14:paraId="0D3733EE" w14:textId="77777777" w:rsidTr="00491479">
        <w:trPr>
          <w:trHeight w:val="431"/>
        </w:trPr>
        <w:tc>
          <w:tcPr>
            <w:tcW w:w="2987" w:type="dxa"/>
          </w:tcPr>
          <w:p w14:paraId="34E67008" w14:textId="33487BDE" w:rsidR="00BA2B48" w:rsidRPr="008F286C"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
                <w:caps/>
                <w:color w:val="134753" w:themeColor="text2"/>
                <w:sz w:val="18"/>
                <w:szCs w:val="18"/>
                <w:lang w:val="ro-RO"/>
              </w:rPr>
            </w:pPr>
            <w:r w:rsidRPr="008F286C">
              <w:rPr>
                <w:rFonts w:ascii="Times New Roman" w:hAnsi="Times New Roman" w:cs="Times New Roman"/>
                <w:b/>
                <w:caps/>
                <w:color w:val="134753" w:themeColor="text2"/>
                <w:sz w:val="18"/>
                <w:szCs w:val="18"/>
                <w:lang w:val="ro-RO"/>
              </w:rPr>
              <w:t>cereale și leguminoase</w:t>
            </w:r>
          </w:p>
        </w:tc>
        <w:tc>
          <w:tcPr>
            <w:tcW w:w="2850" w:type="dxa"/>
          </w:tcPr>
          <w:p w14:paraId="0764AD9D" w14:textId="3EA483AA" w:rsidR="00BA2B48" w:rsidRPr="008F286C"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
                <w:caps/>
                <w:color w:val="134753" w:themeColor="text2"/>
                <w:sz w:val="18"/>
                <w:szCs w:val="18"/>
                <w:lang w:val="ro-RO"/>
              </w:rPr>
            </w:pPr>
            <w:r w:rsidRPr="008F286C">
              <w:rPr>
                <w:rFonts w:ascii="Times New Roman" w:hAnsi="Times New Roman" w:cs="Times New Roman"/>
                <w:b/>
                <w:caps/>
                <w:color w:val="134753" w:themeColor="text2"/>
                <w:sz w:val="18"/>
                <w:szCs w:val="18"/>
                <w:lang w:val="ro-RO"/>
              </w:rPr>
              <w:t>culturilor tehnice</w:t>
            </w:r>
          </w:p>
        </w:tc>
        <w:tc>
          <w:tcPr>
            <w:tcW w:w="3431" w:type="dxa"/>
          </w:tcPr>
          <w:p w14:paraId="3C65172F" w14:textId="080BD58A" w:rsidR="00BA2B48" w:rsidRPr="008F286C"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
                <w:caps/>
                <w:color w:val="134753" w:themeColor="text2"/>
                <w:sz w:val="18"/>
                <w:szCs w:val="18"/>
                <w:lang w:val="ro-RO"/>
              </w:rPr>
            </w:pPr>
            <w:r w:rsidRPr="008F286C">
              <w:rPr>
                <w:rFonts w:ascii="Times New Roman" w:hAnsi="Times New Roman" w:cs="Times New Roman"/>
                <w:b/>
                <w:caps/>
                <w:color w:val="134753" w:themeColor="text2"/>
                <w:sz w:val="18"/>
                <w:szCs w:val="18"/>
                <w:lang w:val="ro-RO"/>
              </w:rPr>
              <w:t>cartofi, legume si bostănoase</w:t>
            </w:r>
          </w:p>
        </w:tc>
      </w:tr>
      <w:tr w:rsidR="00BA2B48" w:rsidRPr="00A73566" w14:paraId="62E007B2" w14:textId="77777777" w:rsidTr="00491479">
        <w:trPr>
          <w:trHeight w:val="2073"/>
        </w:trPr>
        <w:tc>
          <w:tcPr>
            <w:tcW w:w="2987" w:type="dxa"/>
          </w:tcPr>
          <w:p w14:paraId="19CFDA60" w14:textId="48B6F019" w:rsidR="00BA2B48" w:rsidRPr="00A73566"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2D25D450" wp14:editId="1F4EC3C0">
                  <wp:extent cx="1943100" cy="1165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66449" cy="1179707"/>
                          </a:xfrm>
                          <a:prstGeom prst="rect">
                            <a:avLst/>
                          </a:prstGeom>
                          <a:noFill/>
                        </pic:spPr>
                      </pic:pic>
                    </a:graphicData>
                  </a:graphic>
                </wp:inline>
              </w:drawing>
            </w:r>
          </w:p>
        </w:tc>
        <w:tc>
          <w:tcPr>
            <w:tcW w:w="2850" w:type="dxa"/>
          </w:tcPr>
          <w:p w14:paraId="55F94F18" w14:textId="53DA8035" w:rsidR="00BA2B48" w:rsidRPr="00A73566"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00755177" wp14:editId="392AB9F5">
                  <wp:extent cx="1842135" cy="1266825"/>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0721" cy="1279606"/>
                          </a:xfrm>
                          <a:prstGeom prst="rect">
                            <a:avLst/>
                          </a:prstGeom>
                          <a:noFill/>
                        </pic:spPr>
                      </pic:pic>
                    </a:graphicData>
                  </a:graphic>
                </wp:inline>
              </w:drawing>
            </w:r>
          </w:p>
        </w:tc>
        <w:tc>
          <w:tcPr>
            <w:tcW w:w="3431" w:type="dxa"/>
          </w:tcPr>
          <w:p w14:paraId="585C2ABA" w14:textId="3D669334" w:rsidR="00BA2B48" w:rsidRPr="00A73566" w:rsidRDefault="00BA2B48" w:rsidP="00AF7ECE">
            <w:pPr>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232A079C" wp14:editId="1F60FEBA">
                  <wp:extent cx="2110409" cy="127635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35113" cy="1291290"/>
                          </a:xfrm>
                          <a:prstGeom prst="rect">
                            <a:avLst/>
                          </a:prstGeom>
                          <a:noFill/>
                        </pic:spPr>
                      </pic:pic>
                    </a:graphicData>
                  </a:graphic>
                </wp:inline>
              </w:drawing>
            </w:r>
          </w:p>
        </w:tc>
      </w:tr>
    </w:tbl>
    <w:p w14:paraId="6926B270" w14:textId="61301E21" w:rsidR="00AF7ECE" w:rsidRPr="008F286C" w:rsidRDefault="00AF7ECE" w:rsidP="00AF7ECE">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Elaborată de autori în baza datelor BNS</w:t>
      </w:r>
    </w:p>
    <w:p w14:paraId="0C986EA0" w14:textId="45914EC3"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cazul culturilor tehnice dinamica roadei medii a fost favorabilă pentru soia și sfecla de zahăr, în timp ce cele mai afectate au fost rapița și tutunul, al căror ritm mediu anual a fost de -0,84 p. p. și respectiv -</w:t>
      </w:r>
      <w:r w:rsidR="003C09DD"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0,05 p. p.</w:t>
      </w:r>
    </w:p>
    <w:p w14:paraId="667F4E55" w14:textId="6B95FEB2"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contextualSpacing/>
        <w:rPr>
          <w:rFonts w:ascii="Times New Roman" w:hAnsi="Times New Roman" w:cs="Times New Roman"/>
          <w:color w:val="000000" w:themeColor="text1"/>
          <w:lang w:val="ro-RO"/>
        </w:rPr>
      </w:pPr>
    </w:p>
    <w:p w14:paraId="6C4FD1D4" w14:textId="0B072B85"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perioada de referință</w:t>
      </w:r>
      <w:r w:rsidR="00265797">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roada medie a cartofilor, legumelor si bostănoaselor a fost caracterizată de o dinamică recesivă în marea parte a culturilor, printre cele mai afectate fiind tomatele (-2 p. p. pe an) bostanii și ardeii grași cu o reducere medie anuală de cca -1,21 pp.</w:t>
      </w:r>
    </w:p>
    <w:p w14:paraId="64FC7367" w14:textId="11AD0CFE"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Fiind mai puțin afectată de factorii climatici (în special, de secetă) producția plantațiilor multianuale are o dinamică mai stabilă. </w:t>
      </w:r>
      <w:r w:rsidR="00E40F57"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După o reducere consistentă a producției de fructe, pomușoare si nuci, din perioada 1993-1999, se înregistrează o ascensiune generală, iar indicele mediu cu bază în lanț pentru întreaga perioadă a fost pozitiv cu o ascensiune de cca (+1.07%).</w:t>
      </w:r>
      <w:r w:rsidR="00E40F57"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Începând cu anul 1999, în evoluția producției de fructe, pomușoare si nuci s-a înregistrat o dinamică generală favorabilă, cu o creștere medie anuală de cca 22.5 mii tone sau +1.05% anual.</w:t>
      </w:r>
    </w:p>
    <w:p w14:paraId="43E430B3"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Evoluția producției de struguri este aproximativ similară dinamicii producției de fructe, pomușoare si nuci, cu o descreștere pronunțată până în anul 1999 și o creștere pentru perioada ulterioară.  Astfel, pentru întreaga perioadă avem o creștere nesemnificativă de +1,6 mii tone pe an. Și în cazul producției de struguri se va insista pe separarea perioadei pentru care se dispune de o dinamică generală pozitivă, cu creșterea medie anuală de cca +22,4 mii tone și dinamica încetinită de cca -1,85 pp. </w:t>
      </w:r>
    </w:p>
    <w:p w14:paraId="242D2DA7"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Reducerea generală a suprafeței plantațiilor multianuale, însoțită de o relativă stabilitate a volumului fizic al producției pentru perioada 1993-2020, a condus la creșterea productivității atât a fructelor, pomușoarelor si nucilor, cât și a strugurilor.</w:t>
      </w:r>
    </w:p>
    <w:p w14:paraId="743D2559"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general, productivitatea fructelor, pomușoarelor și nucilor a urmat o dinamică aproximativ similară producției cu creșteri alternante cu descreșteri, cu o dinamică generală de +0,9 chintale la hectar, și indici cu bază în lanț destul de accidentați în prima jumătate a perioadei de referință și relativ mai stabili începând cu anul 2004.</w:t>
      </w:r>
    </w:p>
    <w:p w14:paraId="68CEC4AF" w14:textId="77777777" w:rsidR="00AF7ECE"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 doua sub-perioadă de evoluție a producției de fructe, pomușoare și nuci este caracterizată de o creștere mai pronunțată (+2 chintale la hectar pe an), tendința generală a indicilor de dinamică fiind și în acest caz negativă de cca -0,9 pp pe an, încât se atestă o încetinire a productivității fructelor, pomușoarelor și nucilor. </w:t>
      </w:r>
    </w:p>
    <w:p w14:paraId="46F484FA" w14:textId="2463C3E3" w:rsidR="00710185" w:rsidRPr="00A73566" w:rsidRDefault="00AF7ECE"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O estimare de perspectivă a nivelului productivității </w:t>
      </w:r>
      <w:r w:rsidR="00710185" w:rsidRPr="00A73566">
        <w:rPr>
          <w:rFonts w:ascii="Times New Roman" w:hAnsi="Times New Roman" w:cs="Times New Roman"/>
          <w:color w:val="000000" w:themeColor="text1"/>
          <w:lang w:val="ro-RO"/>
        </w:rPr>
        <w:t xml:space="preserve">plantațiilor multianuale </w:t>
      </w:r>
      <w:r w:rsidRPr="00A73566">
        <w:rPr>
          <w:rFonts w:ascii="Times New Roman" w:hAnsi="Times New Roman" w:cs="Times New Roman"/>
          <w:color w:val="000000" w:themeColor="text1"/>
          <w:lang w:val="ro-RO"/>
        </w:rPr>
        <w:t xml:space="preserve">pentru următorii 10 ani sugerează o creștere pentru toate cele trei variante de evoluție. Astfel, varianta de reper presupune o creștere a nivelului productivității fructelor, pomușoarelor și nucilor spre orizontul 2030 de cca 83 chintale/ha </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(+45% </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față </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de</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2020), în timp ce</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 varianta pesimistă indică o creștere de cca 5,1%, celei optimiste revenindu-i o creștere </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de cca </w:t>
      </w:r>
      <w:r w:rsidR="006007A4"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86%. De fapt, varianta optimistă se apropie de nivelul maximal al productivității (99 chintale/ha), înregistrat în Republica Moldova în anul 1983.</w:t>
      </w:r>
    </w:p>
    <w:p w14:paraId="40F7AB76" w14:textId="20C447BD" w:rsidR="00AF7ECE" w:rsidRPr="008F286C" w:rsidRDefault="00AF7ECE" w:rsidP="00710185">
      <w:pPr>
        <w:pStyle w:val="Caption"/>
        <w:framePr w:wrap="around"/>
        <w:rPr>
          <w:rFonts w:ascii="Times New Roman" w:hAnsi="Times New Roman" w:cs="Times New Roman"/>
          <w:sz w:val="18"/>
          <w:szCs w:val="18"/>
          <w:lang w:val="ro-RO"/>
        </w:rPr>
      </w:pPr>
      <w:r w:rsidRPr="008F286C">
        <w:rPr>
          <w:rFonts w:ascii="Times New Roman" w:hAnsi="Times New Roman" w:cs="Times New Roman"/>
          <w:sz w:val="18"/>
          <w:szCs w:val="18"/>
          <w:lang w:val="ro-RO"/>
        </w:rPr>
        <w:t>Figura 2</w:t>
      </w:r>
      <w:r w:rsidR="000F10F9" w:rsidRPr="008F286C">
        <w:rPr>
          <w:rFonts w:ascii="Times New Roman" w:hAnsi="Times New Roman" w:cs="Times New Roman"/>
          <w:sz w:val="18"/>
          <w:szCs w:val="18"/>
          <w:lang w:val="ro-RO"/>
        </w:rPr>
        <w:t>1</w:t>
      </w:r>
      <w:r w:rsidRPr="008F286C">
        <w:rPr>
          <w:rFonts w:ascii="Times New Roman" w:hAnsi="Times New Roman" w:cs="Times New Roman"/>
          <w:sz w:val="18"/>
          <w:szCs w:val="18"/>
          <w:lang w:val="ro-RO"/>
        </w:rPr>
        <w:t xml:space="preserve">. Prospecții ale productivității </w:t>
      </w:r>
      <w:r w:rsidR="00710185" w:rsidRPr="008F286C">
        <w:rPr>
          <w:rFonts w:ascii="Times New Roman" w:hAnsi="Times New Roman" w:cs="Times New Roman"/>
          <w:sz w:val="18"/>
          <w:szCs w:val="18"/>
          <w:lang w:val="ro-RO"/>
        </w:rPr>
        <w:t>pe categoria plantatii  multianuale</w:t>
      </w:r>
    </w:p>
    <w:p w14:paraId="7879ACCC" w14:textId="7A6F7B4D" w:rsidR="00AF7ECE" w:rsidRPr="00A73566" w:rsidRDefault="006007A4"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contextualSpacing/>
        <w:jc w:val="left"/>
        <w:rPr>
          <w:rFonts w:ascii="Times New Roman" w:hAnsi="Times New Roman" w:cs="Times New Roman"/>
          <w:color w:val="000000" w:themeColor="text1"/>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26F2DC97" wp14:editId="2B4550AC">
            <wp:extent cx="5793740" cy="2144887"/>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83870" cy="2178254"/>
                    </a:xfrm>
                    <a:prstGeom prst="rect">
                      <a:avLst/>
                    </a:prstGeom>
                    <a:noFill/>
                  </pic:spPr>
                </pic:pic>
              </a:graphicData>
            </a:graphic>
          </wp:inline>
        </w:drawing>
      </w:r>
    </w:p>
    <w:p w14:paraId="1C690BB4" w14:textId="5D8BFF3A" w:rsidR="00265797" w:rsidRPr="00E03D1A" w:rsidRDefault="00AF7ECE" w:rsidP="00E03D1A">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line="360" w:lineRule="auto"/>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w:t>
      </w:r>
      <w:r w:rsidR="00E03D1A">
        <w:rPr>
          <w:rFonts w:ascii="Times New Roman" w:hAnsi="Times New Roman" w:cs="Times New Roman"/>
          <w:iCs/>
          <w:color w:val="BFBFBF" w:themeColor="background1" w:themeShade="BF"/>
          <w:sz w:val="18"/>
          <w:szCs w:val="18"/>
          <w:lang w:val="ro-RO"/>
        </w:rPr>
        <w:t>ă de autori în baza datelor BNS</w:t>
      </w:r>
    </w:p>
    <w:p w14:paraId="5F33F381" w14:textId="77777777" w:rsidR="00AF7ECE" w:rsidRPr="00A73566" w:rsidRDefault="00AF7ECE" w:rsidP="00E40F57">
      <w:pPr>
        <w:pStyle w:val="Focus"/>
        <w:rPr>
          <w:rFonts w:ascii="Times New Roman" w:hAnsi="Times New Roman" w:cs="Times New Roman"/>
          <w:lang w:val="ro-RO"/>
        </w:rPr>
      </w:pPr>
      <w:r w:rsidRPr="00A73566">
        <w:rPr>
          <w:rFonts w:ascii="Times New Roman" w:hAnsi="Times New Roman" w:cs="Times New Roman"/>
          <w:lang w:val="ro-RO"/>
        </w:rPr>
        <w:t>Constatări</w:t>
      </w:r>
    </w:p>
    <w:p w14:paraId="6711825D" w14:textId="77777777" w:rsidR="00AF7ECE" w:rsidRPr="00A73566" w:rsidRDefault="00AF7ECE" w:rsidP="00E720EE">
      <w:pPr>
        <w:pStyle w:val="ListParagraph"/>
        <w:numPr>
          <w:ilvl w:val="0"/>
          <w:numId w:val="9"/>
        </w:numPr>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Dinamica generală a diverselor categorii de producție agricolă în perioada 1995-2020 a înregistrat evoluții destul de distorsionate, în marea sa majoritate negative.</w:t>
      </w:r>
    </w:p>
    <w:p w14:paraId="25C31635" w14:textId="77777777" w:rsidR="00AF7ECE" w:rsidRPr="00A73566" w:rsidRDefault="00AF7ECE" w:rsidP="00E720EE">
      <w:pPr>
        <w:pStyle w:val="ListParagraph"/>
        <w:numPr>
          <w:ilvl w:val="0"/>
          <w:numId w:val="9"/>
        </w:numPr>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ultimii 15 ani se constată o modificare a structurii culturilor agricole, constatându-se o creștere a ponderi culturilor cerealiere în detrimentul culturilor furajere și a legumelor. </w:t>
      </w:r>
    </w:p>
    <w:p w14:paraId="3B60BD63" w14:textId="1D8821A6" w:rsidR="00265797" w:rsidRDefault="00AF7ECE" w:rsidP="00265797">
      <w:pPr>
        <w:pStyle w:val="ListParagraph"/>
        <w:numPr>
          <w:ilvl w:val="0"/>
          <w:numId w:val="9"/>
        </w:numPr>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Productivitatea pentru culturile fitotehnice în ultimii 10 ani au o dinamic moderată cu o tendință generală de creștere</w:t>
      </w:r>
      <w:r w:rsidR="00407B60" w:rsidRPr="00A73566">
        <w:rPr>
          <w:rFonts w:ascii="Times New Roman" w:hAnsi="Times New Roman" w:cs="Times New Roman"/>
          <w:color w:val="000000" w:themeColor="text1"/>
          <w:lang w:val="ro-RO"/>
        </w:rPr>
        <w:t>.</w:t>
      </w:r>
    </w:p>
    <w:p w14:paraId="0A7F9D86" w14:textId="77777777" w:rsidR="00265797" w:rsidRPr="00265797" w:rsidRDefault="00265797" w:rsidP="00265797">
      <w:pPr>
        <w:pStyle w:val="ListParagraph"/>
        <w:rPr>
          <w:rFonts w:ascii="Times New Roman" w:hAnsi="Times New Roman" w:cs="Times New Roman"/>
          <w:color w:val="000000" w:themeColor="text1"/>
          <w:sz w:val="24"/>
          <w:szCs w:val="24"/>
          <w:lang w:val="ro-RO"/>
        </w:rPr>
      </w:pPr>
    </w:p>
    <w:p w14:paraId="7E12411D" w14:textId="02F54AAB" w:rsidR="00B848E5" w:rsidRPr="00A73566" w:rsidRDefault="00610EE2" w:rsidP="00B848E5">
      <w:pPr>
        <w:pStyle w:val="Heading3"/>
        <w:rPr>
          <w:rFonts w:ascii="Times New Roman" w:hAnsi="Times New Roman" w:cs="Times New Roman"/>
          <w:lang w:val="ro-RO"/>
        </w:rPr>
      </w:pPr>
      <w:bookmarkStart w:id="101" w:name="_Toc88132109"/>
      <w:r w:rsidRPr="00A73566">
        <w:rPr>
          <w:rFonts w:ascii="Times New Roman" w:hAnsi="Times New Roman" w:cs="Times New Roman"/>
          <w:lang w:val="ro-RO"/>
        </w:rPr>
        <w:t>Zootehnie</w:t>
      </w:r>
      <w:bookmarkEnd w:id="101"/>
    </w:p>
    <w:p w14:paraId="4CBBCEE0" w14:textId="4AB26808" w:rsidR="00D81518" w:rsidRPr="00A73566" w:rsidRDefault="00E40F57"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perioada pentru care sunt disponibile date comparabile (1993-2020), sectorul zootehnic din Republica Moldova a degradat substanțial prin reducerea considerabilă a efectivului de vite și păsări. Astfel, în perioada de referință numărul total de bovine, porcine, ovine, caprine și cabaline s-a redus de cca 3.7 ori, în condițiile unei reduceri mai accentuate a bovinelor (de 8.9 ori, dintre care vacile de 5.7 </w:t>
      </w:r>
      <w:r w:rsidR="00265797">
        <w:rPr>
          <w:rFonts w:ascii="Times New Roman" w:hAnsi="Times New Roman" w:cs="Times New Roman"/>
          <w:color w:val="000000" w:themeColor="text1"/>
          <w:lang w:val="ro-RO"/>
        </w:rPr>
        <w:t>ori) și porcinele (de 4.4 ori).</w:t>
      </w:r>
    </w:p>
    <w:p w14:paraId="51C579EE" w14:textId="613CDA14" w:rsidR="00E40F57" w:rsidRPr="00E313DD" w:rsidRDefault="00E40F57" w:rsidP="00E313DD">
      <w:pPr>
        <w:pStyle w:val="Caption"/>
        <w:framePr w:wrap="around"/>
        <w:spacing w:after="0"/>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Tabelul 6. Dinamica produc</w:t>
      </w:r>
      <w:r w:rsidR="00207FE0" w:rsidRPr="00E313DD">
        <w:rPr>
          <w:rFonts w:ascii="Times New Roman" w:hAnsi="Times New Roman" w:cs="Times New Roman"/>
          <w:sz w:val="18"/>
          <w:szCs w:val="18"/>
          <w:lang w:val="ro-RO"/>
        </w:rPr>
        <w:t>ț</w:t>
      </w:r>
      <w:r w:rsidRPr="00E313DD">
        <w:rPr>
          <w:rFonts w:ascii="Times New Roman" w:hAnsi="Times New Roman" w:cs="Times New Roman"/>
          <w:sz w:val="18"/>
          <w:szCs w:val="18"/>
          <w:lang w:val="ro-RO"/>
        </w:rPr>
        <w:t>iei zootehnice, 1993-2021, %</w:t>
      </w:r>
    </w:p>
    <w:tbl>
      <w:tblPr>
        <w:tblStyle w:val="Civittatable"/>
        <w:tblW w:w="5000" w:type="pct"/>
        <w:tblInd w:w="-5" w:type="dxa"/>
        <w:tblLook w:val="04A0" w:firstRow="1" w:lastRow="0" w:firstColumn="1" w:lastColumn="0" w:noHBand="0" w:noVBand="1"/>
      </w:tblPr>
      <w:tblGrid>
        <w:gridCol w:w="1172"/>
        <w:gridCol w:w="689"/>
        <w:gridCol w:w="652"/>
        <w:gridCol w:w="710"/>
        <w:gridCol w:w="938"/>
        <w:gridCol w:w="1126"/>
        <w:gridCol w:w="606"/>
        <w:gridCol w:w="606"/>
        <w:gridCol w:w="1243"/>
        <w:gridCol w:w="952"/>
        <w:gridCol w:w="741"/>
      </w:tblGrid>
      <w:tr w:rsidR="00265797" w:rsidRPr="00E313DD" w14:paraId="0E09C62D" w14:textId="77777777" w:rsidTr="00265797">
        <w:trPr>
          <w:cnfStyle w:val="100000000000" w:firstRow="1" w:lastRow="0" w:firstColumn="0" w:lastColumn="0" w:oddVBand="0" w:evenVBand="0" w:oddHBand="0" w:evenHBand="0" w:firstRowFirstColumn="0" w:firstRowLastColumn="0" w:lastRowFirstColumn="0" w:lastRowLastColumn="0"/>
          <w:trHeight w:val="153"/>
        </w:trPr>
        <w:tc>
          <w:tcPr>
            <w:tcW w:w="627" w:type="pct"/>
            <w:vMerge w:val="restart"/>
            <w:noWrap/>
            <w:hideMark/>
          </w:tcPr>
          <w:p w14:paraId="1FE387D7" w14:textId="77777777" w:rsidR="00C92489" w:rsidRPr="00E313DD" w:rsidRDefault="00C92489" w:rsidP="00C03906">
            <w:pPr>
              <w:jc w:val="center"/>
              <w:rPr>
                <w:rFonts w:ascii="Times New Roman" w:eastAsia="Times New Roman" w:hAnsi="Times New Roman" w:cs="Times New Roman"/>
                <w:sz w:val="16"/>
                <w:szCs w:val="16"/>
                <w:lang w:val="ro-RO"/>
              </w:rPr>
            </w:pPr>
          </w:p>
        </w:tc>
        <w:tc>
          <w:tcPr>
            <w:tcW w:w="722" w:type="pct"/>
            <w:gridSpan w:val="2"/>
            <w:noWrap/>
          </w:tcPr>
          <w:p w14:paraId="76DEF78D" w14:textId="7777777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Număr</w:t>
            </w:r>
          </w:p>
        </w:tc>
        <w:tc>
          <w:tcPr>
            <w:tcW w:w="864" w:type="pct"/>
            <w:gridSpan w:val="2"/>
          </w:tcPr>
          <w:p w14:paraId="655AA33B" w14:textId="2429E4C8"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Transformat în Unități Convenționale</w:t>
            </w:r>
          </w:p>
        </w:tc>
        <w:tc>
          <w:tcPr>
            <w:tcW w:w="588" w:type="pct"/>
            <w:vMerge w:val="restart"/>
            <w:noWrap/>
            <w:hideMark/>
          </w:tcPr>
          <w:p w14:paraId="62CBE21E" w14:textId="3019B5A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Dinamica</w:t>
            </w:r>
          </w:p>
        </w:tc>
        <w:tc>
          <w:tcPr>
            <w:tcW w:w="648" w:type="pct"/>
            <w:gridSpan w:val="2"/>
          </w:tcPr>
          <w:p w14:paraId="42AE8984" w14:textId="7777777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Structura (%)</w:t>
            </w:r>
          </w:p>
        </w:tc>
        <w:tc>
          <w:tcPr>
            <w:tcW w:w="649" w:type="pct"/>
            <w:noWrap/>
          </w:tcPr>
          <w:p w14:paraId="3CDE6704" w14:textId="7777777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Indice (ori)</w:t>
            </w:r>
          </w:p>
        </w:tc>
        <w:tc>
          <w:tcPr>
            <w:tcW w:w="515" w:type="pct"/>
          </w:tcPr>
          <w:p w14:paraId="3B22EB08" w14:textId="7777777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Indice (%)</w:t>
            </w:r>
          </w:p>
        </w:tc>
        <w:tc>
          <w:tcPr>
            <w:tcW w:w="387" w:type="pct"/>
            <w:vMerge w:val="restart"/>
            <w:noWrap/>
          </w:tcPr>
          <w:p w14:paraId="459F5EEF" w14:textId="77777777" w:rsidR="00C92489" w:rsidRPr="00E313DD" w:rsidRDefault="00C92489" w:rsidP="00C03906">
            <w:pPr>
              <w:jc w:val="center"/>
              <w:rPr>
                <w:rFonts w:ascii="Times New Roman" w:eastAsia="Times New Roman" w:hAnsi="Times New Roman" w:cs="Times New Roman"/>
                <w:b/>
                <w:bCs/>
                <w:sz w:val="16"/>
                <w:szCs w:val="16"/>
                <w:lang w:val="ro-RO"/>
              </w:rPr>
            </w:pPr>
            <w:r w:rsidRPr="00E313DD">
              <w:rPr>
                <w:rFonts w:ascii="Times New Roman" w:eastAsia="Times New Roman" w:hAnsi="Times New Roman" w:cs="Times New Roman"/>
                <w:b/>
                <w:bCs/>
                <w:sz w:val="16"/>
                <w:szCs w:val="16"/>
                <w:lang w:val="ro-RO"/>
              </w:rPr>
              <w:t>slope</w:t>
            </w:r>
          </w:p>
        </w:tc>
      </w:tr>
      <w:tr w:rsidR="00265797" w:rsidRPr="00E313DD" w14:paraId="399B34C2" w14:textId="77777777" w:rsidTr="00265797">
        <w:trPr>
          <w:cnfStyle w:val="000000100000" w:firstRow="0" w:lastRow="0" w:firstColumn="0" w:lastColumn="0" w:oddVBand="0" w:evenVBand="0" w:oddHBand="1" w:evenHBand="0" w:firstRowFirstColumn="0" w:firstRowLastColumn="0" w:lastRowFirstColumn="0" w:lastRowLastColumn="0"/>
          <w:trHeight w:val="153"/>
        </w:trPr>
        <w:tc>
          <w:tcPr>
            <w:tcW w:w="627" w:type="pct"/>
            <w:vMerge/>
            <w:noWrap/>
          </w:tcPr>
          <w:p w14:paraId="28046D89" w14:textId="77777777" w:rsidR="00C92489" w:rsidRPr="00E313DD" w:rsidRDefault="00C92489" w:rsidP="00C03906">
            <w:pPr>
              <w:jc w:val="center"/>
              <w:rPr>
                <w:rFonts w:ascii="Times New Roman" w:eastAsia="Times New Roman" w:hAnsi="Times New Roman" w:cs="Times New Roman"/>
                <w:sz w:val="16"/>
                <w:szCs w:val="16"/>
                <w:lang w:val="ro-RO"/>
              </w:rPr>
            </w:pPr>
          </w:p>
        </w:tc>
        <w:tc>
          <w:tcPr>
            <w:tcW w:w="371" w:type="pct"/>
            <w:shd w:val="clear" w:color="auto" w:fill="134753" w:themeFill="text2"/>
            <w:noWrap/>
          </w:tcPr>
          <w:p w14:paraId="4CEAFBA8"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1993</w:t>
            </w:r>
          </w:p>
        </w:tc>
        <w:tc>
          <w:tcPr>
            <w:tcW w:w="351" w:type="pct"/>
            <w:shd w:val="clear" w:color="auto" w:fill="134753" w:themeFill="text2"/>
            <w:noWrap/>
          </w:tcPr>
          <w:p w14:paraId="6DC54288"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2021</w:t>
            </w:r>
          </w:p>
        </w:tc>
        <w:tc>
          <w:tcPr>
            <w:tcW w:w="372" w:type="pct"/>
            <w:shd w:val="clear" w:color="auto" w:fill="134753" w:themeFill="text2"/>
          </w:tcPr>
          <w:p w14:paraId="4A76F158" w14:textId="595E212E" w:rsidR="00C92489" w:rsidRPr="00E313DD" w:rsidRDefault="00C92489" w:rsidP="00C03906">
            <w:pPr>
              <w:jc w:val="center"/>
              <w:rPr>
                <w:rFonts w:ascii="Times New Roman" w:eastAsia="Times New Roman" w:hAnsi="Times New Roman" w:cs="Times New Roman"/>
                <w:b/>
                <w:bCs/>
                <w:caps/>
                <w:color w:val="FFFFFF" w:themeColor="background1"/>
                <w:sz w:val="16"/>
                <w:szCs w:val="16"/>
                <w:lang w:val="ro-RO"/>
              </w:rPr>
            </w:pPr>
            <w:r w:rsidRPr="00E313DD">
              <w:rPr>
                <w:rFonts w:ascii="Times New Roman" w:eastAsia="Times New Roman" w:hAnsi="Times New Roman" w:cs="Times New Roman"/>
                <w:b/>
                <w:bCs/>
                <w:caps/>
                <w:color w:val="FFFFFF" w:themeColor="background1"/>
                <w:sz w:val="16"/>
                <w:szCs w:val="16"/>
                <w:lang w:val="ro-RO"/>
              </w:rPr>
              <w:t>1993</w:t>
            </w:r>
          </w:p>
        </w:tc>
        <w:tc>
          <w:tcPr>
            <w:tcW w:w="492" w:type="pct"/>
            <w:shd w:val="clear" w:color="auto" w:fill="134753" w:themeFill="text2"/>
          </w:tcPr>
          <w:p w14:paraId="48FE51BA" w14:textId="0B2BB6AF" w:rsidR="00C92489" w:rsidRPr="00E313DD" w:rsidRDefault="00C92489" w:rsidP="00C03906">
            <w:pPr>
              <w:jc w:val="center"/>
              <w:rPr>
                <w:rFonts w:ascii="Times New Roman" w:eastAsia="Times New Roman" w:hAnsi="Times New Roman" w:cs="Times New Roman"/>
                <w:b/>
                <w:bCs/>
                <w:caps/>
                <w:color w:val="FFFFFF" w:themeColor="background1"/>
                <w:sz w:val="16"/>
                <w:szCs w:val="16"/>
                <w:lang w:val="ro-RO"/>
              </w:rPr>
            </w:pPr>
            <w:r w:rsidRPr="00E313DD">
              <w:rPr>
                <w:rFonts w:ascii="Times New Roman" w:eastAsia="Times New Roman" w:hAnsi="Times New Roman" w:cs="Times New Roman"/>
                <w:b/>
                <w:bCs/>
                <w:caps/>
                <w:color w:val="FFFFFF" w:themeColor="background1"/>
                <w:sz w:val="16"/>
                <w:szCs w:val="16"/>
                <w:lang w:val="ro-RO"/>
              </w:rPr>
              <w:t>2021</w:t>
            </w:r>
          </w:p>
        </w:tc>
        <w:tc>
          <w:tcPr>
            <w:tcW w:w="588" w:type="pct"/>
            <w:vMerge/>
            <w:shd w:val="clear" w:color="auto" w:fill="134753" w:themeFill="text2"/>
            <w:noWrap/>
          </w:tcPr>
          <w:p w14:paraId="439647D4" w14:textId="6134FDED"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p>
        </w:tc>
        <w:tc>
          <w:tcPr>
            <w:tcW w:w="324" w:type="pct"/>
            <w:shd w:val="clear" w:color="auto" w:fill="134753" w:themeFill="text2"/>
          </w:tcPr>
          <w:p w14:paraId="774E638F"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1993</w:t>
            </w:r>
          </w:p>
        </w:tc>
        <w:tc>
          <w:tcPr>
            <w:tcW w:w="324" w:type="pct"/>
            <w:shd w:val="clear" w:color="auto" w:fill="134753" w:themeFill="text2"/>
          </w:tcPr>
          <w:p w14:paraId="154E5319"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2021</w:t>
            </w:r>
          </w:p>
        </w:tc>
        <w:tc>
          <w:tcPr>
            <w:tcW w:w="649" w:type="pct"/>
            <w:shd w:val="clear" w:color="auto" w:fill="134753" w:themeFill="text2"/>
            <w:noWrap/>
          </w:tcPr>
          <w:p w14:paraId="78D69A27"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1993/2021</w:t>
            </w:r>
          </w:p>
        </w:tc>
        <w:tc>
          <w:tcPr>
            <w:tcW w:w="515" w:type="pct"/>
            <w:shd w:val="clear" w:color="auto" w:fill="134753" w:themeFill="text2"/>
            <w:noWrap/>
          </w:tcPr>
          <w:p w14:paraId="5BE4D396" w14:textId="77777777" w:rsidR="00C92489" w:rsidRPr="00E313DD" w:rsidRDefault="00C92489" w:rsidP="00C03906">
            <w:pPr>
              <w:jc w:val="center"/>
              <w:rPr>
                <w:rFonts w:ascii="Times New Roman" w:eastAsia="Times New Roman" w:hAnsi="Times New Roman" w:cs="Times New Roman"/>
                <w:b/>
                <w:bCs/>
                <w:color w:val="FFFFFF" w:themeColor="background1"/>
                <w:sz w:val="16"/>
                <w:szCs w:val="16"/>
                <w:lang w:val="ro-RO"/>
              </w:rPr>
            </w:pPr>
            <w:r w:rsidRPr="00E313DD">
              <w:rPr>
                <w:rFonts w:ascii="Times New Roman" w:eastAsia="Times New Roman" w:hAnsi="Times New Roman" w:cs="Times New Roman"/>
                <w:b/>
                <w:bCs/>
                <w:color w:val="FFFFFF" w:themeColor="background1"/>
                <w:sz w:val="16"/>
                <w:szCs w:val="16"/>
                <w:lang w:val="ro-RO"/>
              </w:rPr>
              <w:t>2021/1993</w:t>
            </w:r>
          </w:p>
        </w:tc>
        <w:tc>
          <w:tcPr>
            <w:tcW w:w="387" w:type="pct"/>
            <w:vMerge/>
            <w:noWrap/>
          </w:tcPr>
          <w:p w14:paraId="7496006C" w14:textId="77777777" w:rsidR="00C92489" w:rsidRPr="00E313DD" w:rsidRDefault="00C92489" w:rsidP="00C03906">
            <w:pPr>
              <w:jc w:val="center"/>
              <w:rPr>
                <w:rFonts w:ascii="Times New Roman" w:eastAsia="Times New Roman" w:hAnsi="Times New Roman" w:cs="Times New Roman"/>
                <w:b/>
                <w:bCs/>
                <w:color w:val="000000"/>
                <w:sz w:val="16"/>
                <w:szCs w:val="16"/>
                <w:lang w:val="ro-RO"/>
              </w:rPr>
            </w:pPr>
          </w:p>
        </w:tc>
      </w:tr>
      <w:tr w:rsidR="00265797" w:rsidRPr="00E313DD" w14:paraId="21A5629C" w14:textId="77777777" w:rsidTr="00265797">
        <w:trPr>
          <w:cnfStyle w:val="000000010000" w:firstRow="0" w:lastRow="0" w:firstColumn="0" w:lastColumn="0" w:oddVBand="0" w:evenVBand="0" w:oddHBand="0" w:evenHBand="1" w:firstRowFirstColumn="0" w:firstRowLastColumn="0" w:lastRowFirstColumn="0" w:lastRowLastColumn="0"/>
          <w:trHeight w:val="153"/>
        </w:trPr>
        <w:tc>
          <w:tcPr>
            <w:tcW w:w="627" w:type="pct"/>
            <w:noWrap/>
            <w:hideMark/>
          </w:tcPr>
          <w:p w14:paraId="1243C455"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Animale total</w:t>
            </w:r>
          </w:p>
        </w:tc>
        <w:tc>
          <w:tcPr>
            <w:tcW w:w="371" w:type="pct"/>
            <w:noWrap/>
            <w:hideMark/>
          </w:tcPr>
          <w:p w14:paraId="4CCF99CA" w14:textId="60EAA2C8" w:rsidR="00C92489" w:rsidRPr="00E313DD" w:rsidRDefault="0071003D" w:rsidP="00265797">
            <w:pPr>
              <w:snapToGrid w:val="0"/>
              <w:spacing w:after="0"/>
              <w:jc w:val="center"/>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color w:val="000000"/>
                <w:sz w:val="16"/>
                <w:szCs w:val="16"/>
                <w:lang w:val="ro-RO"/>
              </w:rPr>
              <w:t>x</w:t>
            </w:r>
          </w:p>
        </w:tc>
        <w:tc>
          <w:tcPr>
            <w:tcW w:w="351" w:type="pct"/>
            <w:noWrap/>
            <w:hideMark/>
          </w:tcPr>
          <w:p w14:paraId="534BBAF7" w14:textId="2473BF14" w:rsidR="00C92489" w:rsidRPr="00E313DD" w:rsidRDefault="0071003D" w:rsidP="00265797">
            <w:pPr>
              <w:snapToGrid w:val="0"/>
              <w:spacing w:after="0"/>
              <w:jc w:val="center"/>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color w:val="000000"/>
                <w:sz w:val="16"/>
                <w:szCs w:val="16"/>
                <w:lang w:val="ro-RO"/>
              </w:rPr>
              <w:t>x</w:t>
            </w:r>
          </w:p>
        </w:tc>
        <w:tc>
          <w:tcPr>
            <w:tcW w:w="372" w:type="pct"/>
          </w:tcPr>
          <w:p w14:paraId="66364128" w14:textId="78065ACA" w:rsidR="00C92489" w:rsidRPr="00E313DD" w:rsidRDefault="00C92489" w:rsidP="00265797">
            <w:pPr>
              <w:snapToGrid w:val="0"/>
              <w:spacing w:after="0"/>
              <w:jc w:val="center"/>
              <w:rPr>
                <w:rFonts w:ascii="Times New Roman" w:eastAsia="Times New Roman" w:hAnsi="Times New Roman" w:cs="Times New Roman"/>
                <w:b/>
                <w:bCs/>
                <w:noProof/>
                <w:color w:val="000000"/>
                <w:sz w:val="16"/>
                <w:szCs w:val="16"/>
                <w:lang w:val="ro-RO"/>
              </w:rPr>
            </w:pPr>
            <w:r w:rsidRPr="00E313DD">
              <w:rPr>
                <w:rFonts w:ascii="Times New Roman" w:eastAsia="Times New Roman" w:hAnsi="Times New Roman" w:cs="Times New Roman"/>
                <w:b/>
                <w:bCs/>
                <w:noProof/>
                <w:color w:val="000000"/>
                <w:sz w:val="16"/>
                <w:szCs w:val="16"/>
                <w:lang w:val="ro-RO"/>
              </w:rPr>
              <w:t>1430,6</w:t>
            </w:r>
          </w:p>
        </w:tc>
        <w:tc>
          <w:tcPr>
            <w:tcW w:w="492" w:type="pct"/>
          </w:tcPr>
          <w:p w14:paraId="0484FF92" w14:textId="26D5FA49" w:rsidR="00C92489" w:rsidRPr="00E313DD" w:rsidRDefault="00C92489" w:rsidP="00265797">
            <w:pPr>
              <w:snapToGrid w:val="0"/>
              <w:spacing w:after="0"/>
              <w:jc w:val="center"/>
              <w:rPr>
                <w:rFonts w:ascii="Times New Roman" w:eastAsia="Times New Roman" w:hAnsi="Times New Roman" w:cs="Times New Roman"/>
                <w:b/>
                <w:bCs/>
                <w:noProof/>
                <w:color w:val="000000"/>
                <w:sz w:val="16"/>
                <w:szCs w:val="16"/>
                <w:lang w:val="ro-RO"/>
              </w:rPr>
            </w:pPr>
            <w:r w:rsidRPr="00E313DD">
              <w:rPr>
                <w:rFonts w:ascii="Times New Roman" w:eastAsia="Times New Roman" w:hAnsi="Times New Roman" w:cs="Times New Roman"/>
                <w:b/>
                <w:bCs/>
                <w:noProof/>
                <w:color w:val="000000"/>
                <w:sz w:val="16"/>
                <w:szCs w:val="16"/>
                <w:lang w:val="ro-RO"/>
              </w:rPr>
              <w:t>288,7</w:t>
            </w:r>
          </w:p>
        </w:tc>
        <w:tc>
          <w:tcPr>
            <w:tcW w:w="588" w:type="pct"/>
            <w:noWrap/>
            <w:hideMark/>
          </w:tcPr>
          <w:p w14:paraId="1B5074BE" w14:textId="5F92243C" w:rsidR="00C92489" w:rsidRPr="00E313DD" w:rsidRDefault="00C92489" w:rsidP="00265797">
            <w:pPr>
              <w:snapToGrid w:val="0"/>
              <w:spacing w:after="0"/>
              <w:jc w:val="center"/>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noProof/>
                <w:color w:val="000000"/>
                <w:sz w:val="16"/>
                <w:szCs w:val="16"/>
                <w:lang w:val="en-US"/>
              </w:rPr>
              <w:drawing>
                <wp:inline distT="0" distB="0" distL="0" distR="0" wp14:anchorId="0964BC06" wp14:editId="788DE73A">
                  <wp:extent cx="577850" cy="1981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789B5CC9" w14:textId="77777777" w:rsidR="00C92489" w:rsidRPr="00E313DD" w:rsidRDefault="00C92489" w:rsidP="00265797">
            <w:pPr>
              <w:snapToGrid w:val="0"/>
              <w:spacing w:after="0"/>
              <w:jc w:val="right"/>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color w:val="000000"/>
                <w:sz w:val="16"/>
                <w:szCs w:val="16"/>
                <w:lang w:val="ro-RO"/>
              </w:rPr>
              <w:t>100.0</w:t>
            </w:r>
          </w:p>
        </w:tc>
        <w:tc>
          <w:tcPr>
            <w:tcW w:w="324" w:type="pct"/>
          </w:tcPr>
          <w:p w14:paraId="7B437AF6" w14:textId="77777777" w:rsidR="00C92489" w:rsidRPr="00E313DD" w:rsidRDefault="00C92489" w:rsidP="00265797">
            <w:pPr>
              <w:snapToGrid w:val="0"/>
              <w:spacing w:after="0"/>
              <w:jc w:val="right"/>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color w:val="000000"/>
                <w:sz w:val="16"/>
                <w:szCs w:val="16"/>
                <w:lang w:val="ro-RO"/>
              </w:rPr>
              <w:t>100.0</w:t>
            </w:r>
          </w:p>
        </w:tc>
        <w:tc>
          <w:tcPr>
            <w:tcW w:w="649" w:type="pct"/>
            <w:noWrap/>
            <w:hideMark/>
          </w:tcPr>
          <w:p w14:paraId="66D11797" w14:textId="672E1700" w:rsidR="00C92489" w:rsidRPr="00E313DD" w:rsidRDefault="00C92489" w:rsidP="00265797">
            <w:pPr>
              <w:snapToGrid w:val="0"/>
              <w:spacing w:after="0"/>
              <w:jc w:val="right"/>
              <w:rPr>
                <w:rFonts w:ascii="Times New Roman" w:eastAsia="Times New Roman" w:hAnsi="Times New Roman" w:cs="Times New Roman"/>
                <w:b/>
                <w:bCs/>
                <w:color w:val="000000"/>
                <w:sz w:val="16"/>
                <w:szCs w:val="16"/>
                <w:lang w:val="ro-RO"/>
              </w:rPr>
            </w:pPr>
            <w:r w:rsidRPr="00E313DD">
              <w:rPr>
                <w:rFonts w:ascii="Times New Roman" w:eastAsia="Times New Roman" w:hAnsi="Times New Roman" w:cs="Times New Roman"/>
                <w:b/>
                <w:bCs/>
                <w:color w:val="000000"/>
                <w:sz w:val="16"/>
                <w:szCs w:val="16"/>
                <w:lang w:val="ro-RO"/>
              </w:rPr>
              <w:t>4,9</w:t>
            </w:r>
          </w:p>
        </w:tc>
        <w:tc>
          <w:tcPr>
            <w:tcW w:w="515" w:type="pct"/>
            <w:noWrap/>
            <w:hideMark/>
          </w:tcPr>
          <w:p w14:paraId="7E82EF2B" w14:textId="6E3539B5" w:rsidR="00C92489" w:rsidRPr="00E313DD" w:rsidRDefault="00815264" w:rsidP="00265797">
            <w:pPr>
              <w:snapToGrid w:val="0"/>
              <w:spacing w:after="0"/>
              <w:jc w:val="right"/>
              <w:rPr>
                <w:rFonts w:ascii="Times New Roman" w:eastAsia="Times New Roman" w:hAnsi="Times New Roman" w:cs="Times New Roman"/>
                <w:b/>
                <w:color w:val="000000"/>
                <w:sz w:val="16"/>
                <w:szCs w:val="16"/>
                <w:lang w:val="ro-RO"/>
              </w:rPr>
            </w:pPr>
            <w:r w:rsidRPr="00E313DD">
              <w:rPr>
                <w:rFonts w:ascii="Times New Roman" w:eastAsia="Times New Roman" w:hAnsi="Times New Roman" w:cs="Times New Roman"/>
                <w:b/>
                <w:color w:val="000000"/>
                <w:sz w:val="16"/>
                <w:szCs w:val="16"/>
                <w:lang w:val="ro-RO"/>
              </w:rPr>
              <w:t>20,2</w:t>
            </w:r>
          </w:p>
        </w:tc>
        <w:tc>
          <w:tcPr>
            <w:tcW w:w="387" w:type="pct"/>
            <w:noWrap/>
            <w:hideMark/>
          </w:tcPr>
          <w:p w14:paraId="001E335F" w14:textId="0AF3D3C3" w:rsidR="00C92489" w:rsidRPr="00E313DD" w:rsidRDefault="00C92489" w:rsidP="00265797">
            <w:pPr>
              <w:snapToGrid w:val="0"/>
              <w:spacing w:after="0"/>
              <w:jc w:val="right"/>
              <w:rPr>
                <w:rFonts w:ascii="Times New Roman" w:eastAsia="Times New Roman" w:hAnsi="Times New Roman" w:cs="Times New Roman"/>
                <w:b/>
                <w:color w:val="000000"/>
                <w:sz w:val="16"/>
                <w:szCs w:val="16"/>
                <w:lang w:val="ro-RO"/>
              </w:rPr>
            </w:pPr>
            <w:r w:rsidRPr="00E313DD">
              <w:rPr>
                <w:rFonts w:ascii="Times New Roman" w:eastAsia="Times New Roman" w:hAnsi="Times New Roman" w:cs="Times New Roman"/>
                <w:b/>
                <w:color w:val="000000"/>
                <w:sz w:val="16"/>
                <w:szCs w:val="16"/>
                <w:lang w:val="ro-RO"/>
              </w:rPr>
              <w:t>-</w:t>
            </w:r>
            <w:r w:rsidR="00815264" w:rsidRPr="00E313DD">
              <w:rPr>
                <w:rFonts w:ascii="Times New Roman" w:eastAsia="Times New Roman" w:hAnsi="Times New Roman" w:cs="Times New Roman"/>
                <w:b/>
                <w:color w:val="000000"/>
                <w:sz w:val="16"/>
                <w:szCs w:val="16"/>
                <w:lang w:val="ro-RO"/>
              </w:rPr>
              <w:t>79,8</w:t>
            </w:r>
          </w:p>
        </w:tc>
      </w:tr>
      <w:tr w:rsidR="00265797" w:rsidRPr="00E313DD" w14:paraId="670AB5DB" w14:textId="77777777" w:rsidTr="00265797">
        <w:trPr>
          <w:cnfStyle w:val="000000100000" w:firstRow="0" w:lastRow="0" w:firstColumn="0" w:lastColumn="0" w:oddVBand="0" w:evenVBand="0" w:oddHBand="1" w:evenHBand="0" w:firstRowFirstColumn="0" w:firstRowLastColumn="0" w:lastRowFirstColumn="0" w:lastRowLastColumn="0"/>
          <w:trHeight w:val="153"/>
        </w:trPr>
        <w:tc>
          <w:tcPr>
            <w:tcW w:w="627" w:type="pct"/>
            <w:noWrap/>
            <w:hideMark/>
          </w:tcPr>
          <w:p w14:paraId="49386BE7"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Bovine/</w:t>
            </w:r>
          </w:p>
          <w:p w14:paraId="60C4BCC2" w14:textId="14906BE4"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excl. vaci</w:t>
            </w:r>
          </w:p>
        </w:tc>
        <w:tc>
          <w:tcPr>
            <w:tcW w:w="371" w:type="pct"/>
            <w:noWrap/>
            <w:hideMark/>
          </w:tcPr>
          <w:p w14:paraId="0387BDAF" w14:textId="6A111F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970.0/</w:t>
            </w:r>
          </w:p>
          <w:p w14:paraId="768A4EA4" w14:textId="33806F23"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567.0</w:t>
            </w:r>
          </w:p>
        </w:tc>
        <w:tc>
          <w:tcPr>
            <w:tcW w:w="351" w:type="pct"/>
            <w:noWrap/>
            <w:hideMark/>
          </w:tcPr>
          <w:p w14:paraId="61347239" w14:textId="2DF11224"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108.9/</w:t>
            </w:r>
          </w:p>
          <w:p w14:paraId="32F7E68F" w14:textId="23CC276C"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37.7</w:t>
            </w:r>
          </w:p>
        </w:tc>
        <w:tc>
          <w:tcPr>
            <w:tcW w:w="372" w:type="pct"/>
          </w:tcPr>
          <w:p w14:paraId="0BB62262" w14:textId="2748B6E6"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425,2</w:t>
            </w:r>
          </w:p>
        </w:tc>
        <w:tc>
          <w:tcPr>
            <w:tcW w:w="492" w:type="pct"/>
          </w:tcPr>
          <w:p w14:paraId="16EFEDC6" w14:textId="2B9D56F8"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28,3</w:t>
            </w:r>
          </w:p>
        </w:tc>
        <w:tc>
          <w:tcPr>
            <w:tcW w:w="588" w:type="pct"/>
            <w:noWrap/>
            <w:hideMark/>
          </w:tcPr>
          <w:p w14:paraId="6B54D4E3" w14:textId="7D4D3B7C"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76EC8CFC" wp14:editId="6BE9958E">
                  <wp:extent cx="577850" cy="1981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3077F99C" w14:textId="470F8ED2" w:rsidR="00C92489" w:rsidRPr="00E313DD" w:rsidRDefault="00815264"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29,</w:t>
            </w:r>
            <w:r w:rsidR="00510550" w:rsidRPr="00E313DD">
              <w:rPr>
                <w:rFonts w:ascii="Times New Roman" w:hAnsi="Times New Roman" w:cs="Times New Roman"/>
                <w:color w:val="000000"/>
                <w:sz w:val="16"/>
                <w:szCs w:val="16"/>
                <w:lang w:val="ro-RO"/>
              </w:rPr>
              <w:t>8</w:t>
            </w:r>
          </w:p>
        </w:tc>
        <w:tc>
          <w:tcPr>
            <w:tcW w:w="324" w:type="pct"/>
          </w:tcPr>
          <w:p w14:paraId="05AF93F1" w14:textId="3AE6E3DC"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9,8</w:t>
            </w:r>
          </w:p>
        </w:tc>
        <w:tc>
          <w:tcPr>
            <w:tcW w:w="649" w:type="pct"/>
            <w:noWrap/>
            <w:hideMark/>
          </w:tcPr>
          <w:p w14:paraId="3BCB35DB" w14:textId="46C03308"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15,0</w:t>
            </w:r>
          </w:p>
        </w:tc>
        <w:tc>
          <w:tcPr>
            <w:tcW w:w="515" w:type="pct"/>
            <w:noWrap/>
            <w:hideMark/>
          </w:tcPr>
          <w:p w14:paraId="7DDDD9F6" w14:textId="56729804" w:rsidR="00C92489" w:rsidRPr="00E313DD" w:rsidRDefault="00815264"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6,7</w:t>
            </w:r>
          </w:p>
        </w:tc>
        <w:tc>
          <w:tcPr>
            <w:tcW w:w="387" w:type="pct"/>
            <w:noWrap/>
            <w:hideMark/>
          </w:tcPr>
          <w:p w14:paraId="42FFB68A" w14:textId="053EB0B1"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w:t>
            </w:r>
            <w:r w:rsidR="00815264" w:rsidRPr="00E313DD">
              <w:rPr>
                <w:rFonts w:ascii="Times New Roman" w:eastAsia="Times New Roman" w:hAnsi="Times New Roman" w:cs="Times New Roman"/>
                <w:color w:val="000000"/>
                <w:sz w:val="16"/>
                <w:szCs w:val="16"/>
                <w:lang w:val="ro-RO"/>
              </w:rPr>
              <w:t>93,3</w:t>
            </w:r>
          </w:p>
        </w:tc>
      </w:tr>
      <w:tr w:rsidR="00265797" w:rsidRPr="00E313DD" w14:paraId="3CEA6E45" w14:textId="77777777" w:rsidTr="00265797">
        <w:trPr>
          <w:cnfStyle w:val="000000010000" w:firstRow="0" w:lastRow="0" w:firstColumn="0" w:lastColumn="0" w:oddVBand="0" w:evenVBand="0" w:oddHBand="0" w:evenHBand="1" w:firstRowFirstColumn="0" w:firstRowLastColumn="0" w:lastRowFirstColumn="0" w:lastRowLastColumn="0"/>
          <w:trHeight w:val="153"/>
        </w:trPr>
        <w:tc>
          <w:tcPr>
            <w:tcW w:w="627" w:type="pct"/>
            <w:noWrap/>
            <w:hideMark/>
          </w:tcPr>
          <w:p w14:paraId="20EF77B7"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Vaci</w:t>
            </w:r>
          </w:p>
        </w:tc>
        <w:tc>
          <w:tcPr>
            <w:tcW w:w="371" w:type="pct"/>
            <w:noWrap/>
            <w:hideMark/>
          </w:tcPr>
          <w:p w14:paraId="1DD06333"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403.0</w:t>
            </w:r>
          </w:p>
        </w:tc>
        <w:tc>
          <w:tcPr>
            <w:tcW w:w="351" w:type="pct"/>
            <w:noWrap/>
            <w:hideMark/>
          </w:tcPr>
          <w:p w14:paraId="5E7A6C73"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71.2</w:t>
            </w:r>
          </w:p>
        </w:tc>
        <w:tc>
          <w:tcPr>
            <w:tcW w:w="372" w:type="pct"/>
          </w:tcPr>
          <w:p w14:paraId="0DD7C288" w14:textId="4E1E3186"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403,0</w:t>
            </w:r>
          </w:p>
        </w:tc>
        <w:tc>
          <w:tcPr>
            <w:tcW w:w="492" w:type="pct"/>
          </w:tcPr>
          <w:p w14:paraId="3CA9EBCC" w14:textId="775EBBD1"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71,2</w:t>
            </w:r>
          </w:p>
        </w:tc>
        <w:tc>
          <w:tcPr>
            <w:tcW w:w="588" w:type="pct"/>
            <w:noWrap/>
            <w:hideMark/>
          </w:tcPr>
          <w:p w14:paraId="199F5836" w14:textId="0D8183CC"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7B1B6C15" wp14:editId="660E5970">
                  <wp:extent cx="577850" cy="1981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1107E0B1" w14:textId="510D249B"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28,2</w:t>
            </w:r>
          </w:p>
        </w:tc>
        <w:tc>
          <w:tcPr>
            <w:tcW w:w="324" w:type="pct"/>
          </w:tcPr>
          <w:p w14:paraId="7643AE4E" w14:textId="004231E4"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24,7</w:t>
            </w:r>
          </w:p>
        </w:tc>
        <w:tc>
          <w:tcPr>
            <w:tcW w:w="649" w:type="pct"/>
            <w:noWrap/>
            <w:hideMark/>
          </w:tcPr>
          <w:p w14:paraId="1D82D588"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5.7</w:t>
            </w:r>
          </w:p>
        </w:tc>
        <w:tc>
          <w:tcPr>
            <w:tcW w:w="515" w:type="pct"/>
            <w:noWrap/>
            <w:hideMark/>
          </w:tcPr>
          <w:p w14:paraId="3F468B29"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17.7</w:t>
            </w:r>
          </w:p>
        </w:tc>
        <w:tc>
          <w:tcPr>
            <w:tcW w:w="387" w:type="pct"/>
            <w:noWrap/>
            <w:hideMark/>
          </w:tcPr>
          <w:p w14:paraId="10558C0C"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-11.0</w:t>
            </w:r>
          </w:p>
        </w:tc>
      </w:tr>
      <w:tr w:rsidR="00265797" w:rsidRPr="00E313DD" w14:paraId="73D9C83C" w14:textId="77777777" w:rsidTr="00265797">
        <w:trPr>
          <w:cnfStyle w:val="000000100000" w:firstRow="0" w:lastRow="0" w:firstColumn="0" w:lastColumn="0" w:oddVBand="0" w:evenVBand="0" w:oddHBand="1" w:evenHBand="0" w:firstRowFirstColumn="0" w:firstRowLastColumn="0" w:lastRowFirstColumn="0" w:lastRowLastColumn="0"/>
          <w:trHeight w:val="153"/>
        </w:trPr>
        <w:tc>
          <w:tcPr>
            <w:tcW w:w="627" w:type="pct"/>
            <w:noWrap/>
            <w:hideMark/>
          </w:tcPr>
          <w:p w14:paraId="0895129B"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Porcine</w:t>
            </w:r>
          </w:p>
        </w:tc>
        <w:tc>
          <w:tcPr>
            <w:tcW w:w="371" w:type="pct"/>
            <w:noWrap/>
            <w:hideMark/>
          </w:tcPr>
          <w:p w14:paraId="59F76700"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1487.0</w:t>
            </w:r>
          </w:p>
        </w:tc>
        <w:tc>
          <w:tcPr>
            <w:tcW w:w="351" w:type="pct"/>
            <w:noWrap/>
            <w:hideMark/>
          </w:tcPr>
          <w:p w14:paraId="033748AA"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339.5</w:t>
            </w:r>
          </w:p>
        </w:tc>
        <w:tc>
          <w:tcPr>
            <w:tcW w:w="372" w:type="pct"/>
          </w:tcPr>
          <w:p w14:paraId="48EE41B1" w14:textId="08582E7A"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371,7</w:t>
            </w:r>
          </w:p>
        </w:tc>
        <w:tc>
          <w:tcPr>
            <w:tcW w:w="492" w:type="pct"/>
          </w:tcPr>
          <w:p w14:paraId="52CD7473" w14:textId="39FBA103"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84,9</w:t>
            </w:r>
          </w:p>
        </w:tc>
        <w:tc>
          <w:tcPr>
            <w:tcW w:w="588" w:type="pct"/>
            <w:noWrap/>
            <w:hideMark/>
          </w:tcPr>
          <w:p w14:paraId="7AEB572E" w14:textId="5DC7BDE9"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4F8A089C" wp14:editId="7D792A3A">
                  <wp:extent cx="577850" cy="1981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317C6D1C" w14:textId="0680BAAB" w:rsidR="00C92489" w:rsidRPr="00E313DD" w:rsidRDefault="00815264"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25,9</w:t>
            </w:r>
          </w:p>
        </w:tc>
        <w:tc>
          <w:tcPr>
            <w:tcW w:w="324" w:type="pct"/>
          </w:tcPr>
          <w:p w14:paraId="0D729D39" w14:textId="1385E680"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29,4</w:t>
            </w:r>
          </w:p>
        </w:tc>
        <w:tc>
          <w:tcPr>
            <w:tcW w:w="649" w:type="pct"/>
            <w:noWrap/>
            <w:hideMark/>
          </w:tcPr>
          <w:p w14:paraId="01064337"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4.4</w:t>
            </w:r>
          </w:p>
        </w:tc>
        <w:tc>
          <w:tcPr>
            <w:tcW w:w="515" w:type="pct"/>
            <w:noWrap/>
            <w:hideMark/>
          </w:tcPr>
          <w:p w14:paraId="684D4E99"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22.8</w:t>
            </w:r>
          </w:p>
        </w:tc>
        <w:tc>
          <w:tcPr>
            <w:tcW w:w="387" w:type="pct"/>
            <w:noWrap/>
            <w:hideMark/>
          </w:tcPr>
          <w:p w14:paraId="78CD3792"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-24.1</w:t>
            </w:r>
          </w:p>
        </w:tc>
      </w:tr>
      <w:tr w:rsidR="00265797" w:rsidRPr="00E313DD" w14:paraId="56395F34" w14:textId="77777777" w:rsidTr="00265797">
        <w:trPr>
          <w:cnfStyle w:val="000000010000" w:firstRow="0" w:lastRow="0" w:firstColumn="0" w:lastColumn="0" w:oddVBand="0" w:evenVBand="0" w:oddHBand="0" w:evenHBand="1" w:firstRowFirstColumn="0" w:firstRowLastColumn="0" w:lastRowFirstColumn="0" w:lastRowLastColumn="0"/>
          <w:trHeight w:val="153"/>
        </w:trPr>
        <w:tc>
          <w:tcPr>
            <w:tcW w:w="627" w:type="pct"/>
            <w:noWrap/>
            <w:hideMark/>
          </w:tcPr>
          <w:p w14:paraId="04E38ABB"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Ovine</w:t>
            </w:r>
          </w:p>
        </w:tc>
        <w:tc>
          <w:tcPr>
            <w:tcW w:w="371" w:type="pct"/>
            <w:noWrap/>
            <w:hideMark/>
          </w:tcPr>
          <w:p w14:paraId="284DCED3"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1294.0</w:t>
            </w:r>
          </w:p>
        </w:tc>
        <w:tc>
          <w:tcPr>
            <w:tcW w:w="351" w:type="pct"/>
            <w:noWrap/>
            <w:hideMark/>
          </w:tcPr>
          <w:p w14:paraId="4C04328B"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474.4</w:t>
            </w:r>
          </w:p>
        </w:tc>
        <w:tc>
          <w:tcPr>
            <w:tcW w:w="372" w:type="pct"/>
          </w:tcPr>
          <w:p w14:paraId="78C7FE95" w14:textId="535CE72A"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181,1</w:t>
            </w:r>
          </w:p>
        </w:tc>
        <w:tc>
          <w:tcPr>
            <w:tcW w:w="492" w:type="pct"/>
          </w:tcPr>
          <w:p w14:paraId="2E0C8711" w14:textId="2E1D1797"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66,4</w:t>
            </w:r>
          </w:p>
        </w:tc>
        <w:tc>
          <w:tcPr>
            <w:tcW w:w="588" w:type="pct"/>
            <w:noWrap/>
            <w:hideMark/>
          </w:tcPr>
          <w:p w14:paraId="5813D9AF" w14:textId="2EF953B1"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2C55DFF1" wp14:editId="757CF78A">
                  <wp:extent cx="577850" cy="1981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0C92EA97" w14:textId="12E87D14" w:rsidR="00C92489" w:rsidRPr="00E313DD" w:rsidRDefault="00815264"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12,7</w:t>
            </w:r>
          </w:p>
        </w:tc>
        <w:tc>
          <w:tcPr>
            <w:tcW w:w="324" w:type="pct"/>
          </w:tcPr>
          <w:p w14:paraId="7B3E586D" w14:textId="7C131AE0"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23,0</w:t>
            </w:r>
          </w:p>
        </w:tc>
        <w:tc>
          <w:tcPr>
            <w:tcW w:w="649" w:type="pct"/>
            <w:noWrap/>
            <w:hideMark/>
          </w:tcPr>
          <w:p w14:paraId="21D348EF"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2.7</w:t>
            </w:r>
          </w:p>
        </w:tc>
        <w:tc>
          <w:tcPr>
            <w:tcW w:w="515" w:type="pct"/>
            <w:noWrap/>
            <w:hideMark/>
          </w:tcPr>
          <w:p w14:paraId="41A1ABB3"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36.7</w:t>
            </w:r>
          </w:p>
        </w:tc>
        <w:tc>
          <w:tcPr>
            <w:tcW w:w="387" w:type="pct"/>
            <w:noWrap/>
            <w:hideMark/>
          </w:tcPr>
          <w:p w14:paraId="7244D8AD"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-26.1</w:t>
            </w:r>
          </w:p>
        </w:tc>
      </w:tr>
      <w:tr w:rsidR="00265797" w:rsidRPr="00E313DD" w14:paraId="3A5E310F" w14:textId="77777777" w:rsidTr="00265797">
        <w:trPr>
          <w:cnfStyle w:val="000000100000" w:firstRow="0" w:lastRow="0" w:firstColumn="0" w:lastColumn="0" w:oddVBand="0" w:evenVBand="0" w:oddHBand="1" w:evenHBand="0" w:firstRowFirstColumn="0" w:firstRowLastColumn="0" w:lastRowFirstColumn="0" w:lastRowLastColumn="0"/>
          <w:trHeight w:val="153"/>
        </w:trPr>
        <w:tc>
          <w:tcPr>
            <w:tcW w:w="627" w:type="pct"/>
            <w:noWrap/>
            <w:hideMark/>
          </w:tcPr>
          <w:p w14:paraId="72063F8E"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Caprine</w:t>
            </w:r>
          </w:p>
        </w:tc>
        <w:tc>
          <w:tcPr>
            <w:tcW w:w="371" w:type="pct"/>
            <w:noWrap/>
            <w:hideMark/>
          </w:tcPr>
          <w:p w14:paraId="74C1197A"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63.0</w:t>
            </w:r>
          </w:p>
        </w:tc>
        <w:tc>
          <w:tcPr>
            <w:tcW w:w="351" w:type="pct"/>
            <w:noWrap/>
            <w:hideMark/>
          </w:tcPr>
          <w:p w14:paraId="2EFB56EE"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142.0</w:t>
            </w:r>
          </w:p>
        </w:tc>
        <w:tc>
          <w:tcPr>
            <w:tcW w:w="372" w:type="pct"/>
          </w:tcPr>
          <w:p w14:paraId="3315FF13" w14:textId="2D1ED3D3"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8,8</w:t>
            </w:r>
          </w:p>
        </w:tc>
        <w:tc>
          <w:tcPr>
            <w:tcW w:w="492" w:type="pct"/>
          </w:tcPr>
          <w:p w14:paraId="5705D23F" w14:textId="12B10292"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19,9</w:t>
            </w:r>
          </w:p>
        </w:tc>
        <w:tc>
          <w:tcPr>
            <w:tcW w:w="588" w:type="pct"/>
            <w:noWrap/>
            <w:hideMark/>
          </w:tcPr>
          <w:p w14:paraId="7B42BACE" w14:textId="31A661E1"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563164EA" wp14:editId="3FF9418B">
                  <wp:extent cx="577850" cy="19812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4A056294" w14:textId="03FB0B30" w:rsidR="00C92489" w:rsidRPr="00E313DD" w:rsidRDefault="00815264"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0,6</w:t>
            </w:r>
          </w:p>
        </w:tc>
        <w:tc>
          <w:tcPr>
            <w:tcW w:w="324" w:type="pct"/>
          </w:tcPr>
          <w:p w14:paraId="4BA3976A" w14:textId="50E8D96C"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6,9</w:t>
            </w:r>
          </w:p>
        </w:tc>
        <w:tc>
          <w:tcPr>
            <w:tcW w:w="649" w:type="pct"/>
            <w:noWrap/>
            <w:hideMark/>
          </w:tcPr>
          <w:p w14:paraId="5DF49A91"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0.4</w:t>
            </w:r>
          </w:p>
        </w:tc>
        <w:tc>
          <w:tcPr>
            <w:tcW w:w="515" w:type="pct"/>
            <w:noWrap/>
            <w:hideMark/>
          </w:tcPr>
          <w:p w14:paraId="0BDA9D72"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225.4</w:t>
            </w:r>
          </w:p>
        </w:tc>
        <w:tc>
          <w:tcPr>
            <w:tcW w:w="387" w:type="pct"/>
            <w:noWrap/>
            <w:hideMark/>
          </w:tcPr>
          <w:p w14:paraId="5CD6E00D"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2.7</w:t>
            </w:r>
          </w:p>
        </w:tc>
      </w:tr>
      <w:tr w:rsidR="00265797" w:rsidRPr="00E313DD" w14:paraId="47191E44" w14:textId="77777777" w:rsidTr="00265797">
        <w:trPr>
          <w:cnfStyle w:val="000000010000" w:firstRow="0" w:lastRow="0" w:firstColumn="0" w:lastColumn="0" w:oddVBand="0" w:evenVBand="0" w:oddHBand="0" w:evenHBand="1" w:firstRowFirstColumn="0" w:firstRowLastColumn="0" w:lastRowFirstColumn="0" w:lastRowLastColumn="0"/>
          <w:trHeight w:val="100"/>
        </w:trPr>
        <w:tc>
          <w:tcPr>
            <w:tcW w:w="627" w:type="pct"/>
            <w:noWrap/>
            <w:hideMark/>
          </w:tcPr>
          <w:p w14:paraId="4A8CDA39" w14:textId="77777777" w:rsidR="00C92489" w:rsidRPr="00E313DD" w:rsidRDefault="00C92489" w:rsidP="00265797">
            <w:pPr>
              <w:snapToGrid w:val="0"/>
              <w:spacing w:after="0"/>
              <w:jc w:val="lef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Cabaline</w:t>
            </w:r>
          </w:p>
        </w:tc>
        <w:tc>
          <w:tcPr>
            <w:tcW w:w="371" w:type="pct"/>
            <w:noWrap/>
            <w:hideMark/>
          </w:tcPr>
          <w:p w14:paraId="189CAB61"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51.0</w:t>
            </w:r>
          </w:p>
        </w:tc>
        <w:tc>
          <w:tcPr>
            <w:tcW w:w="351" w:type="pct"/>
            <w:noWrap/>
            <w:hideMark/>
          </w:tcPr>
          <w:p w14:paraId="4D676694"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22.6</w:t>
            </w:r>
          </w:p>
        </w:tc>
        <w:tc>
          <w:tcPr>
            <w:tcW w:w="372" w:type="pct"/>
          </w:tcPr>
          <w:p w14:paraId="5E21D395" w14:textId="2BBC685E"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40,8</w:t>
            </w:r>
          </w:p>
        </w:tc>
        <w:tc>
          <w:tcPr>
            <w:tcW w:w="492" w:type="pct"/>
          </w:tcPr>
          <w:p w14:paraId="12CD47B9" w14:textId="75FCA301" w:rsidR="00C92489" w:rsidRPr="00E313DD" w:rsidRDefault="00C92489" w:rsidP="00265797">
            <w:pPr>
              <w:snapToGrid w:val="0"/>
              <w:spacing w:after="0"/>
              <w:jc w:val="center"/>
              <w:rPr>
                <w:rFonts w:ascii="Times New Roman" w:eastAsia="Times New Roman" w:hAnsi="Times New Roman" w:cs="Times New Roman"/>
                <w:noProof/>
                <w:color w:val="000000"/>
                <w:sz w:val="16"/>
                <w:szCs w:val="16"/>
                <w:lang w:val="ro-RO"/>
              </w:rPr>
            </w:pPr>
            <w:r w:rsidRPr="00E313DD">
              <w:rPr>
                <w:rFonts w:ascii="Times New Roman" w:eastAsia="Times New Roman" w:hAnsi="Times New Roman" w:cs="Times New Roman"/>
                <w:noProof/>
                <w:color w:val="000000"/>
                <w:sz w:val="16"/>
                <w:szCs w:val="16"/>
                <w:lang w:val="ro-RO"/>
              </w:rPr>
              <w:t>18,0</w:t>
            </w:r>
          </w:p>
        </w:tc>
        <w:tc>
          <w:tcPr>
            <w:tcW w:w="588" w:type="pct"/>
            <w:noWrap/>
            <w:hideMark/>
          </w:tcPr>
          <w:p w14:paraId="12D71A67" w14:textId="155FAF1A" w:rsidR="00C92489" w:rsidRPr="00E313DD" w:rsidRDefault="00C92489" w:rsidP="00265797">
            <w:pPr>
              <w:snapToGrid w:val="0"/>
              <w:spacing w:after="0"/>
              <w:jc w:val="center"/>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noProof/>
                <w:color w:val="000000"/>
                <w:sz w:val="16"/>
                <w:szCs w:val="16"/>
                <w:lang w:val="en-US"/>
              </w:rPr>
              <w:drawing>
                <wp:inline distT="0" distB="0" distL="0" distR="0" wp14:anchorId="585457D9" wp14:editId="36BAFE51">
                  <wp:extent cx="577850" cy="19812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7850" cy="198120"/>
                          </a:xfrm>
                          <a:prstGeom prst="rect">
                            <a:avLst/>
                          </a:prstGeom>
                          <a:noFill/>
                          <a:ln>
                            <a:noFill/>
                          </a:ln>
                        </pic:spPr>
                      </pic:pic>
                    </a:graphicData>
                  </a:graphic>
                </wp:inline>
              </w:drawing>
            </w:r>
          </w:p>
        </w:tc>
        <w:tc>
          <w:tcPr>
            <w:tcW w:w="324" w:type="pct"/>
          </w:tcPr>
          <w:p w14:paraId="611CA4B4" w14:textId="0FE9EBCA"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2,8</w:t>
            </w:r>
          </w:p>
        </w:tc>
        <w:tc>
          <w:tcPr>
            <w:tcW w:w="324" w:type="pct"/>
          </w:tcPr>
          <w:p w14:paraId="22E76B94" w14:textId="1C0758E9" w:rsidR="00C92489" w:rsidRPr="00E313DD" w:rsidRDefault="00510550"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hAnsi="Times New Roman" w:cs="Times New Roman"/>
                <w:color w:val="000000"/>
                <w:sz w:val="16"/>
                <w:szCs w:val="16"/>
                <w:lang w:val="ro-RO"/>
              </w:rPr>
              <w:t>6,2</w:t>
            </w:r>
          </w:p>
        </w:tc>
        <w:tc>
          <w:tcPr>
            <w:tcW w:w="649" w:type="pct"/>
            <w:noWrap/>
            <w:hideMark/>
          </w:tcPr>
          <w:p w14:paraId="2316CC9B"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2.3</w:t>
            </w:r>
          </w:p>
        </w:tc>
        <w:tc>
          <w:tcPr>
            <w:tcW w:w="515" w:type="pct"/>
            <w:noWrap/>
            <w:hideMark/>
          </w:tcPr>
          <w:p w14:paraId="3CB426DB"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44.3</w:t>
            </w:r>
          </w:p>
        </w:tc>
        <w:tc>
          <w:tcPr>
            <w:tcW w:w="387" w:type="pct"/>
            <w:noWrap/>
            <w:hideMark/>
          </w:tcPr>
          <w:p w14:paraId="66438383" w14:textId="77777777" w:rsidR="00C92489" w:rsidRPr="00E313DD" w:rsidRDefault="00C92489" w:rsidP="00265797">
            <w:pPr>
              <w:snapToGrid w:val="0"/>
              <w:spacing w:after="0"/>
              <w:jc w:val="right"/>
              <w:rPr>
                <w:rFonts w:ascii="Times New Roman" w:eastAsia="Times New Roman" w:hAnsi="Times New Roman" w:cs="Times New Roman"/>
                <w:color w:val="000000"/>
                <w:sz w:val="16"/>
                <w:szCs w:val="16"/>
                <w:lang w:val="ro-RO"/>
              </w:rPr>
            </w:pPr>
            <w:r w:rsidRPr="00E313DD">
              <w:rPr>
                <w:rFonts w:ascii="Times New Roman" w:eastAsia="Times New Roman" w:hAnsi="Times New Roman" w:cs="Times New Roman"/>
                <w:color w:val="000000"/>
                <w:sz w:val="16"/>
                <w:szCs w:val="16"/>
                <w:lang w:val="ro-RO"/>
              </w:rPr>
              <w:t>-1.3</w:t>
            </w:r>
          </w:p>
        </w:tc>
      </w:tr>
    </w:tbl>
    <w:p w14:paraId="29AB0333" w14:textId="77777777" w:rsidR="00E40F57" w:rsidRPr="00E313DD"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Elaborată de autori în baza datelor BNS</w:t>
      </w:r>
    </w:p>
    <w:p w14:paraId="20A695F8" w14:textId="16E6486E" w:rsidR="00E40F57" w:rsidRDefault="00E40F57"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Astfel, se constată un proces de modificări structurale în favoarea</w:t>
      </w:r>
      <w:r w:rsidR="002B6DBE" w:rsidRPr="00A73566">
        <w:rPr>
          <w:rFonts w:ascii="Times New Roman" w:hAnsi="Times New Roman" w:cs="Times New Roman"/>
          <w:color w:val="000000" w:themeColor="text1"/>
          <w:lang w:val="ro-RO"/>
        </w:rPr>
        <w:t xml:space="preserve"> porcinelor (+3,5 pp),</w:t>
      </w:r>
      <w:r w:rsidRPr="00A73566">
        <w:rPr>
          <w:rFonts w:ascii="Times New Roman" w:hAnsi="Times New Roman" w:cs="Times New Roman"/>
          <w:color w:val="000000" w:themeColor="text1"/>
          <w:lang w:val="ro-RO"/>
        </w:rPr>
        <w:t xml:space="preserve"> ovinelor (+10,</w:t>
      </w:r>
      <w:r w:rsidR="002B6DBE" w:rsidRPr="00A73566">
        <w:rPr>
          <w:rFonts w:ascii="Times New Roman" w:hAnsi="Times New Roman" w:cs="Times New Roman"/>
          <w:color w:val="000000" w:themeColor="text1"/>
          <w:lang w:val="ro-RO"/>
        </w:rPr>
        <w:t xml:space="preserve">3 </w:t>
      </w:r>
      <w:r w:rsidRPr="00A73566">
        <w:rPr>
          <w:rFonts w:ascii="Times New Roman" w:hAnsi="Times New Roman" w:cs="Times New Roman"/>
          <w:color w:val="000000" w:themeColor="text1"/>
          <w:lang w:val="ro-RO"/>
        </w:rPr>
        <w:t>pp),</w:t>
      </w:r>
      <w:r w:rsidR="002B6DBE" w:rsidRPr="00A73566">
        <w:rPr>
          <w:rFonts w:ascii="Times New Roman" w:hAnsi="Times New Roman" w:cs="Times New Roman"/>
          <w:color w:val="000000" w:themeColor="text1"/>
          <w:lang w:val="ro-RO"/>
        </w:rPr>
        <w:t xml:space="preserve"> caprinelor (+6,3 pp), precum și a cabalinelor (+3,4 pp),</w:t>
      </w:r>
      <w:r w:rsidRPr="00A73566">
        <w:rPr>
          <w:rFonts w:ascii="Times New Roman" w:hAnsi="Times New Roman" w:cs="Times New Roman"/>
          <w:color w:val="000000" w:themeColor="text1"/>
          <w:lang w:val="ro-RO"/>
        </w:rPr>
        <w:t xml:space="preserve"> </w:t>
      </w:r>
      <w:r w:rsidR="002B6DBE" w:rsidRPr="00A73566">
        <w:rPr>
          <w:rFonts w:ascii="Times New Roman" w:hAnsi="Times New Roman" w:cs="Times New Roman"/>
          <w:color w:val="000000" w:themeColor="text1"/>
          <w:lang w:val="ro-RO"/>
        </w:rPr>
        <w:t>însă cu o diminuare pronunțată a efectivului de vaci</w:t>
      </w:r>
      <w:r w:rsidR="00E719E5" w:rsidRPr="00A73566">
        <w:rPr>
          <w:rFonts w:ascii="Times New Roman" w:hAnsi="Times New Roman" w:cs="Times New Roman"/>
          <w:color w:val="000000" w:themeColor="text1"/>
          <w:lang w:val="ro-RO"/>
        </w:rPr>
        <w:t xml:space="preserve"> (- 3,5 pp)</w:t>
      </w:r>
      <w:r w:rsidR="002B6DBE" w:rsidRPr="00A73566">
        <w:rPr>
          <w:rFonts w:ascii="Times New Roman" w:hAnsi="Times New Roman" w:cs="Times New Roman"/>
          <w:color w:val="000000" w:themeColor="text1"/>
          <w:lang w:val="ro-RO"/>
        </w:rPr>
        <w:t xml:space="preserve"> mulgătoare</w:t>
      </w:r>
      <w:r w:rsidR="00E719E5" w:rsidRPr="00A73566">
        <w:rPr>
          <w:rFonts w:ascii="Times New Roman" w:hAnsi="Times New Roman" w:cs="Times New Roman"/>
          <w:color w:val="000000" w:themeColor="text1"/>
          <w:lang w:val="ro-RO"/>
        </w:rPr>
        <w:t xml:space="preserve"> și în special a efectivului de bovine (- 20,0 pp)</w:t>
      </w:r>
      <w:r w:rsidRPr="00A73566">
        <w:rPr>
          <w:rFonts w:ascii="Times New Roman" w:hAnsi="Times New Roman" w:cs="Times New Roman"/>
          <w:color w:val="000000" w:themeColor="text1"/>
          <w:lang w:val="ro-RO"/>
        </w:rPr>
        <w:t>.</w:t>
      </w:r>
    </w:p>
    <w:p w14:paraId="517E7D6C" w14:textId="77777777" w:rsidR="00265797" w:rsidRPr="00A73566" w:rsidRDefault="00265797" w:rsidP="0026579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rPr>
          <w:rFonts w:ascii="Times New Roman" w:hAnsi="Times New Roman" w:cs="Times New Roman"/>
          <w:color w:val="000000" w:themeColor="text1"/>
          <w:lang w:val="ro-RO"/>
        </w:rPr>
      </w:pPr>
    </w:p>
    <w:p w14:paraId="31D407C9" w14:textId="34C37F42" w:rsidR="00E40F57" w:rsidRPr="00E313DD" w:rsidRDefault="00E40F57" w:rsidP="00E03D1A">
      <w:pPr>
        <w:pStyle w:val="Caption"/>
        <w:framePr w:wrap="around"/>
        <w:spacing w:after="0"/>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Figura 2</w:t>
      </w:r>
      <w:r w:rsidR="000F10F9" w:rsidRPr="00E313DD">
        <w:rPr>
          <w:rFonts w:ascii="Times New Roman" w:hAnsi="Times New Roman" w:cs="Times New Roman"/>
          <w:sz w:val="18"/>
          <w:szCs w:val="18"/>
          <w:lang w:val="ro-RO"/>
        </w:rPr>
        <w:t>2</w:t>
      </w:r>
      <w:r w:rsidRPr="00E313DD">
        <w:rPr>
          <w:rFonts w:ascii="Times New Roman" w:hAnsi="Times New Roman" w:cs="Times New Roman"/>
          <w:sz w:val="18"/>
          <w:szCs w:val="18"/>
          <w:lang w:val="ro-RO"/>
        </w:rPr>
        <w:t xml:space="preserve">. </w:t>
      </w:r>
      <w:r w:rsidR="000F10F9" w:rsidRPr="00E313DD">
        <w:rPr>
          <w:rFonts w:ascii="Times New Roman" w:hAnsi="Times New Roman" w:cs="Times New Roman"/>
          <w:sz w:val="18"/>
          <w:szCs w:val="18"/>
          <w:lang w:val="ro-RO"/>
        </w:rPr>
        <w:t xml:space="preserve">figura </w:t>
      </w:r>
      <w:r w:rsidRPr="00E313DD">
        <w:rPr>
          <w:rFonts w:ascii="Times New Roman" w:hAnsi="Times New Roman" w:cs="Times New Roman"/>
          <w:sz w:val="18"/>
          <w:szCs w:val="18"/>
          <w:lang w:val="ro-RO"/>
        </w:rPr>
        <w:t>Efectivul de animale în Republica Moldova, 1993-2021</w:t>
      </w:r>
    </w:p>
    <w:p w14:paraId="2E3B88CE" w14:textId="043BA4E3" w:rsidR="00E40F57" w:rsidRPr="00A73566" w:rsidRDefault="006007A4"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color w:val="000000" w:themeColor="text1"/>
          <w:sz w:val="24"/>
          <w:szCs w:val="24"/>
          <w:lang w:val="ro-RO"/>
        </w:rPr>
      </w:pPr>
      <w:r w:rsidRPr="00A73566">
        <w:rPr>
          <w:rFonts w:ascii="Times New Roman" w:hAnsi="Times New Roman" w:cs="Times New Roman"/>
          <w:noProof/>
          <w:color w:val="000000" w:themeColor="text1"/>
          <w:sz w:val="24"/>
          <w:szCs w:val="24"/>
          <w:lang w:val="en-US"/>
        </w:rPr>
        <w:drawing>
          <wp:inline distT="0" distB="0" distL="0" distR="0" wp14:anchorId="43FF3392" wp14:editId="1B02DBDD">
            <wp:extent cx="5896498" cy="2070538"/>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0069" cy="2082326"/>
                    </a:xfrm>
                    <a:prstGeom prst="rect">
                      <a:avLst/>
                    </a:prstGeom>
                    <a:noFill/>
                  </pic:spPr>
                </pic:pic>
              </a:graphicData>
            </a:graphic>
          </wp:inline>
        </w:drawing>
      </w:r>
    </w:p>
    <w:p w14:paraId="3CFC180F" w14:textId="77777777" w:rsidR="00E40F57" w:rsidRPr="00E313DD"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Elaborată de autori în baza datelor BNS</w:t>
      </w:r>
    </w:p>
    <w:p w14:paraId="2E33CD65" w14:textId="455B36F4" w:rsidR="00E40F57" w:rsidRPr="00A73566" w:rsidRDefault="00E40F57" w:rsidP="00265797">
      <w:pPr>
        <w:spacing w:before="120"/>
        <w:ind w:firstLine="567"/>
        <w:rPr>
          <w:rFonts w:ascii="Times New Roman" w:hAnsi="Times New Roman" w:cs="Times New Roman"/>
          <w:lang w:val="ro-RO"/>
        </w:rPr>
      </w:pPr>
      <w:r w:rsidRPr="00A73566">
        <w:rPr>
          <w:rFonts w:ascii="Times New Roman" w:hAnsi="Times New Roman" w:cs="Times New Roman"/>
          <w:lang w:val="ro-RO"/>
        </w:rPr>
        <w:t>În ceea ce privește volumul producției zootehnice, în perioada de implementare a SNDAR 2014 -2020 volumul producției cărnii de toate tipurile a fost, în mare parte, stabil, fără creșteri majore. Astfel, în perioada 2014 – 2020, volumul producție</w:t>
      </w:r>
      <w:r w:rsidR="007B551A" w:rsidRPr="00A73566">
        <w:rPr>
          <w:rFonts w:ascii="Times New Roman" w:hAnsi="Times New Roman" w:cs="Times New Roman"/>
          <w:lang w:val="ro-RO"/>
        </w:rPr>
        <w:t>i</w:t>
      </w:r>
      <w:r w:rsidRPr="00A73566">
        <w:rPr>
          <w:rFonts w:ascii="Times New Roman" w:hAnsi="Times New Roman" w:cs="Times New Roman"/>
          <w:lang w:val="ro-RO"/>
        </w:rPr>
        <w:t xml:space="preserve"> </w:t>
      </w:r>
      <w:r w:rsidR="007B551A" w:rsidRPr="00A73566">
        <w:rPr>
          <w:rFonts w:ascii="Times New Roman" w:hAnsi="Times New Roman" w:cs="Times New Roman"/>
          <w:lang w:val="ro-RO"/>
        </w:rPr>
        <w:t>de carne de toate speciile</w:t>
      </w:r>
      <w:r w:rsidRPr="00A73566">
        <w:rPr>
          <w:rFonts w:ascii="Times New Roman" w:hAnsi="Times New Roman" w:cs="Times New Roman"/>
          <w:lang w:val="ro-RO"/>
        </w:rPr>
        <w:t xml:space="preserve"> a fost </w:t>
      </w:r>
      <w:r w:rsidR="007B551A" w:rsidRPr="00A73566">
        <w:rPr>
          <w:rFonts w:ascii="Times New Roman" w:hAnsi="Times New Roman" w:cs="Times New Roman"/>
          <w:lang w:val="ro-RO"/>
        </w:rPr>
        <w:t xml:space="preserve">relativ </w:t>
      </w:r>
      <w:r w:rsidRPr="00A73566">
        <w:rPr>
          <w:rFonts w:ascii="Times New Roman" w:hAnsi="Times New Roman" w:cs="Times New Roman"/>
          <w:lang w:val="ro-RO"/>
        </w:rPr>
        <w:t xml:space="preserve">constant, cu un trend slab de descreștere în cazul cărnii de </w:t>
      </w:r>
      <w:r w:rsidR="007B551A" w:rsidRPr="00A73566">
        <w:rPr>
          <w:rFonts w:ascii="Times New Roman" w:hAnsi="Times New Roman" w:cs="Times New Roman"/>
          <w:lang w:val="ro-RO"/>
        </w:rPr>
        <w:t>pasăre</w:t>
      </w:r>
      <w:r w:rsidRPr="00A73566">
        <w:rPr>
          <w:rFonts w:ascii="Times New Roman" w:hAnsi="Times New Roman" w:cs="Times New Roman"/>
          <w:lang w:val="ro-RO"/>
        </w:rPr>
        <w:t xml:space="preserve">. În același timp, în cazul porcinelor se constată o creștere de cca. 13.9%, totodată înregistrându-se fluctuații majore de la an la an a volumului de producție. </w:t>
      </w:r>
    </w:p>
    <w:p w14:paraId="3E72E817" w14:textId="77777777" w:rsidR="003C09DD" w:rsidRPr="00E313DD" w:rsidRDefault="003C09DD" w:rsidP="00E40F57">
      <w:pPr>
        <w:spacing w:before="120"/>
        <w:rPr>
          <w:rFonts w:ascii="Times New Roman" w:hAnsi="Times New Roman" w:cs="Times New Roman"/>
          <w:b/>
          <w:color w:val="134753" w:themeColor="text2"/>
          <w:sz w:val="18"/>
          <w:szCs w:val="18"/>
          <w:highlight w:val="red"/>
          <w:lang w:val="ro-RO"/>
        </w:rPr>
      </w:pPr>
    </w:p>
    <w:p w14:paraId="0C23B74A" w14:textId="515C4672" w:rsidR="000F10F9" w:rsidRPr="00E313DD" w:rsidRDefault="000F10F9" w:rsidP="00E40F57">
      <w:pPr>
        <w:spacing w:before="120"/>
        <w:rPr>
          <w:rFonts w:ascii="Times New Roman" w:hAnsi="Times New Roman" w:cs="Times New Roman"/>
          <w:b/>
          <w:color w:val="0E353E" w:themeColor="text2" w:themeShade="BF"/>
          <w:sz w:val="18"/>
          <w:szCs w:val="18"/>
          <w:lang w:val="ro-RO"/>
        </w:rPr>
      </w:pPr>
      <w:r w:rsidRPr="00E313DD">
        <w:rPr>
          <w:rFonts w:ascii="Times New Roman" w:hAnsi="Times New Roman" w:cs="Times New Roman"/>
          <w:b/>
          <w:color w:val="0E353E" w:themeColor="text2" w:themeShade="BF"/>
          <w:sz w:val="18"/>
          <w:szCs w:val="18"/>
          <w:lang w:val="ro-RO"/>
        </w:rPr>
        <w:t>FIGURA 23.</w:t>
      </w:r>
      <w:r w:rsidR="00E202F3" w:rsidRPr="00E313DD">
        <w:rPr>
          <w:rFonts w:ascii="Times New Roman" w:hAnsi="Times New Roman" w:cs="Times New Roman"/>
          <w:b/>
          <w:color w:val="0E353E" w:themeColor="text2" w:themeShade="BF"/>
          <w:sz w:val="18"/>
          <w:szCs w:val="18"/>
          <w:lang w:val="ro-RO"/>
        </w:rPr>
        <w:t xml:space="preserve"> </w:t>
      </w:r>
      <w:r w:rsidR="009F7D2F" w:rsidRPr="00E313DD">
        <w:rPr>
          <w:rFonts w:ascii="Times New Roman" w:hAnsi="Times New Roman" w:cs="Times New Roman"/>
          <w:b/>
          <w:color w:val="0E353E" w:themeColor="text2" w:themeShade="BF"/>
          <w:sz w:val="18"/>
          <w:szCs w:val="18"/>
          <w:lang w:val="ro-RO"/>
        </w:rPr>
        <w:t>DINAMICA PRODUCȚIEI DE CARNE, 2010 – 2020, MII TONE</w:t>
      </w:r>
    </w:p>
    <w:p w14:paraId="0FEFFFAA" w14:textId="77777777" w:rsidR="00E40F57" w:rsidRPr="00A73566" w:rsidRDefault="00E40F57" w:rsidP="00E40F57">
      <w:pPr>
        <w:spacing w:before="120"/>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2021E889" wp14:editId="3BAB3C7E">
            <wp:extent cx="5947410" cy="1899139"/>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9432906" w14:textId="29CF6058" w:rsidR="00265797" w:rsidRPr="00E313DD" w:rsidRDefault="00E40F57" w:rsidP="00E313DD">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w:t>
      </w:r>
      <w:r w:rsidR="00E313DD">
        <w:rPr>
          <w:rFonts w:ascii="Times New Roman" w:hAnsi="Times New Roman" w:cs="Times New Roman"/>
          <w:iCs/>
          <w:color w:val="BFBFBF" w:themeColor="background1" w:themeShade="BF"/>
          <w:sz w:val="18"/>
          <w:szCs w:val="18"/>
          <w:lang w:val="ro-RO"/>
        </w:rPr>
        <w:t>ă de autori în baza datelor BNS</w:t>
      </w:r>
    </w:p>
    <w:p w14:paraId="0B0B3D81" w14:textId="333C6E96" w:rsidR="00265797" w:rsidRPr="00A73566" w:rsidRDefault="00E40F57" w:rsidP="00265797">
      <w:pPr>
        <w:spacing w:before="120"/>
        <w:ind w:firstLine="567"/>
        <w:rPr>
          <w:rFonts w:ascii="Times New Roman" w:hAnsi="Times New Roman" w:cs="Times New Roman"/>
          <w:lang w:val="ro-RO"/>
        </w:rPr>
      </w:pPr>
      <w:r w:rsidRPr="00A73566">
        <w:rPr>
          <w:rFonts w:ascii="Times New Roman" w:hAnsi="Times New Roman" w:cs="Times New Roman"/>
          <w:lang w:val="ro-RO"/>
        </w:rPr>
        <w:t xml:space="preserve">Analiza gradului de autoaprovizionare cu produse alimentare a Republicii Moldova denotă un deficit al producției autohtone, practic la toate tipurile de carne. Astfel în anul 2019, gradul de autoaprovizionare cu carne de porc constituia doar 90.2%, în cazul cărnii de pasăre - 66.5%, iar în cazul cărnii de vită – 96.8%. </w:t>
      </w:r>
    </w:p>
    <w:p w14:paraId="068D7762" w14:textId="69709719" w:rsidR="00E40F57" w:rsidRPr="00E313DD" w:rsidRDefault="00E40F57" w:rsidP="00E313DD">
      <w:pPr>
        <w:pStyle w:val="Caption"/>
        <w:framePr w:wrap="around"/>
        <w:spacing w:before="0" w:after="0"/>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Figura 2</w:t>
      </w:r>
      <w:r w:rsidR="000F10F9" w:rsidRPr="00E313DD">
        <w:rPr>
          <w:rFonts w:ascii="Times New Roman" w:hAnsi="Times New Roman" w:cs="Times New Roman"/>
          <w:sz w:val="18"/>
          <w:szCs w:val="18"/>
          <w:lang w:val="ro-RO"/>
        </w:rPr>
        <w:t>4</w:t>
      </w:r>
      <w:r w:rsidRPr="00E313DD">
        <w:rPr>
          <w:rFonts w:ascii="Times New Roman" w:hAnsi="Times New Roman" w:cs="Times New Roman"/>
          <w:sz w:val="18"/>
          <w:szCs w:val="18"/>
          <w:lang w:val="ro-RO"/>
        </w:rPr>
        <w:t>. Producția de carnE de vită per categorie de producător, mii tone</w:t>
      </w:r>
    </w:p>
    <w:p w14:paraId="7C299070" w14:textId="77777777" w:rsidR="00E40F57" w:rsidRPr="00A73566" w:rsidRDefault="00E40F57" w:rsidP="00E40F57">
      <w:pPr>
        <w:spacing w:before="120"/>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3F7B9D70" wp14:editId="421DF31F">
            <wp:extent cx="5917223" cy="2327910"/>
            <wp:effectExtent l="0" t="0" r="762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1970E79" w14:textId="77777777" w:rsidR="00E40F57" w:rsidRPr="00E313DD"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Elaborată de autori în baza datelor BNS</w:t>
      </w:r>
    </w:p>
    <w:p w14:paraId="7B132679" w14:textId="677B0628" w:rsidR="00E40F57" w:rsidRDefault="00E40F57" w:rsidP="00265797">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Analiza evoluției volumului de producției per categorii de producători denotă o scădere continuă a producției de carne de vită în cadrul gospodăriilor populației și creșterea producției în cadrul întreprinderilor agricole. Astfel, către anul 2020 volumele de producție ale celor două categorii de producători practic s-au egalat. Păstrarea acestei tendințe presupune o dezvoltare lentă </w:t>
      </w:r>
      <w:r w:rsidR="00214AD3" w:rsidRPr="00A73566">
        <w:rPr>
          <w:rFonts w:ascii="Times New Roman" w:hAnsi="Times New Roman" w:cs="Times New Roman"/>
          <w:color w:val="000000" w:themeColor="text1"/>
          <w:lang w:val="ro-RO"/>
        </w:rPr>
        <w:t>a</w:t>
      </w:r>
      <w:r w:rsidRPr="00A73566">
        <w:rPr>
          <w:rFonts w:ascii="Times New Roman" w:hAnsi="Times New Roman" w:cs="Times New Roman"/>
          <w:color w:val="000000" w:themeColor="text1"/>
          <w:lang w:val="ro-RO"/>
        </w:rPr>
        <w:t xml:space="preserve"> sub-sectorului în următorii 10 ani. Astfel, în cazul păstrării tendi</w:t>
      </w:r>
      <w:r w:rsidR="00E6264D" w:rsidRPr="00A73566">
        <w:rPr>
          <w:rFonts w:ascii="Times New Roman" w:hAnsi="Times New Roman" w:cs="Times New Roman"/>
          <w:color w:val="000000" w:themeColor="text1"/>
          <w:lang w:val="ro-RO"/>
        </w:rPr>
        <w:t>nței respective, către anul 2027</w:t>
      </w:r>
      <w:r w:rsidRPr="00A73566">
        <w:rPr>
          <w:rFonts w:ascii="Times New Roman" w:hAnsi="Times New Roman" w:cs="Times New Roman"/>
          <w:color w:val="000000" w:themeColor="text1"/>
          <w:lang w:val="ro-RO"/>
        </w:rPr>
        <w:t xml:space="preserve"> se preconizează o producție totală de 16.4 mii tone de carne de vită (+25.3% față de 2020), dintre care 14.1 mii tone reprezentând producția întreprinderilor specializate (+125 % față de 2020) și doar 2.25 mii tone producția gospodăriilor casnice (-65.9% față de 2020).</w:t>
      </w:r>
    </w:p>
    <w:p w14:paraId="6CF5DAB1" w14:textId="77777777" w:rsidR="002E19D6" w:rsidRDefault="002E19D6" w:rsidP="00265797">
      <w:pPr>
        <w:ind w:firstLine="567"/>
        <w:rPr>
          <w:rFonts w:ascii="Times New Roman" w:hAnsi="Times New Roman" w:cs="Times New Roman"/>
          <w:color w:val="000000" w:themeColor="text1"/>
          <w:lang w:val="ro-RO"/>
        </w:rPr>
      </w:pPr>
    </w:p>
    <w:p w14:paraId="5965E49D" w14:textId="77777777" w:rsidR="002E19D6" w:rsidRDefault="002E19D6" w:rsidP="00265797">
      <w:pPr>
        <w:ind w:firstLine="567"/>
        <w:rPr>
          <w:rFonts w:ascii="Times New Roman" w:hAnsi="Times New Roman" w:cs="Times New Roman"/>
          <w:color w:val="000000" w:themeColor="text1"/>
          <w:lang w:val="ro-RO"/>
        </w:rPr>
      </w:pPr>
    </w:p>
    <w:p w14:paraId="35004941" w14:textId="77777777" w:rsidR="002E19D6" w:rsidRDefault="002E19D6" w:rsidP="00265797">
      <w:pPr>
        <w:ind w:firstLine="567"/>
        <w:rPr>
          <w:rFonts w:ascii="Times New Roman" w:hAnsi="Times New Roman" w:cs="Times New Roman"/>
          <w:color w:val="000000" w:themeColor="text1"/>
          <w:lang w:val="ro-RO"/>
        </w:rPr>
      </w:pPr>
    </w:p>
    <w:p w14:paraId="670723DE" w14:textId="77777777" w:rsidR="002E19D6" w:rsidRDefault="002E19D6" w:rsidP="00265797">
      <w:pPr>
        <w:ind w:firstLine="567"/>
        <w:rPr>
          <w:rFonts w:ascii="Times New Roman" w:hAnsi="Times New Roman" w:cs="Times New Roman"/>
          <w:color w:val="000000" w:themeColor="text1"/>
          <w:lang w:val="ro-RO"/>
        </w:rPr>
      </w:pPr>
    </w:p>
    <w:p w14:paraId="17F7F303" w14:textId="77777777" w:rsidR="002E19D6" w:rsidRPr="00A73566" w:rsidRDefault="002E19D6" w:rsidP="00265797">
      <w:pPr>
        <w:ind w:firstLine="567"/>
        <w:rPr>
          <w:rFonts w:ascii="Times New Roman" w:hAnsi="Times New Roman" w:cs="Times New Roman"/>
          <w:color w:val="000000" w:themeColor="text1"/>
          <w:lang w:val="ro-RO"/>
        </w:rPr>
      </w:pPr>
    </w:p>
    <w:p w14:paraId="28B7ED17" w14:textId="16055603" w:rsidR="00E40F57" w:rsidRPr="00E313DD" w:rsidRDefault="00E40F57" w:rsidP="00E313DD">
      <w:pPr>
        <w:pStyle w:val="Caption"/>
        <w:framePr w:wrap="around"/>
        <w:spacing w:before="0" w:after="0"/>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Figura 2</w:t>
      </w:r>
      <w:r w:rsidR="000F10F9" w:rsidRPr="00E313DD">
        <w:rPr>
          <w:rFonts w:ascii="Times New Roman" w:hAnsi="Times New Roman" w:cs="Times New Roman"/>
          <w:sz w:val="18"/>
          <w:szCs w:val="18"/>
          <w:lang w:val="ro-RO"/>
        </w:rPr>
        <w:t>5</w:t>
      </w:r>
      <w:r w:rsidRPr="00E313DD">
        <w:rPr>
          <w:rFonts w:ascii="Times New Roman" w:hAnsi="Times New Roman" w:cs="Times New Roman"/>
          <w:sz w:val="18"/>
          <w:szCs w:val="18"/>
          <w:lang w:val="ro-RO"/>
        </w:rPr>
        <w:t xml:space="preserve">. Producția </w:t>
      </w:r>
      <w:r w:rsidR="0071003D" w:rsidRPr="00E313DD">
        <w:rPr>
          <w:rFonts w:ascii="Times New Roman" w:hAnsi="Times New Roman" w:cs="Times New Roman"/>
          <w:sz w:val="18"/>
          <w:szCs w:val="18"/>
          <w:lang w:val="ro-RO"/>
        </w:rPr>
        <w:t xml:space="preserve">PRODUCERII </w:t>
      </w:r>
      <w:r w:rsidRPr="00E313DD">
        <w:rPr>
          <w:rFonts w:ascii="Times New Roman" w:hAnsi="Times New Roman" w:cs="Times New Roman"/>
          <w:sz w:val="18"/>
          <w:szCs w:val="18"/>
          <w:lang w:val="ro-RO"/>
        </w:rPr>
        <w:t>cărnii de porc, per categorie de producător, mii tone</w:t>
      </w:r>
    </w:p>
    <w:p w14:paraId="330F4C05" w14:textId="77777777" w:rsidR="00E40F57" w:rsidRPr="00A73566" w:rsidRDefault="00E40F57" w:rsidP="00E40F57">
      <w:pPr>
        <w:spacing w:before="120"/>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1A1E9DC0" wp14:editId="23969110">
            <wp:extent cx="5997575" cy="2252547"/>
            <wp:effectExtent l="0" t="0" r="0" 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CE42C49" w14:textId="77777777" w:rsidR="00E40F57" w:rsidRPr="00E313DD"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Elaborată de autori în baza datelor BNS</w:t>
      </w:r>
    </w:p>
    <w:p w14:paraId="0883EFDF" w14:textId="124565F4" w:rsidR="00E40F57" w:rsidRDefault="00E40F57" w:rsidP="00265797">
      <w:pPr>
        <w:spacing w:before="120"/>
        <w:ind w:firstLine="567"/>
        <w:rPr>
          <w:rFonts w:ascii="Times New Roman" w:hAnsi="Times New Roman" w:cs="Times New Roman"/>
          <w:lang w:val="ro-RO"/>
        </w:rPr>
      </w:pPr>
      <w:r w:rsidRPr="00A73566">
        <w:rPr>
          <w:rFonts w:ascii="Times New Roman" w:hAnsi="Times New Roman" w:cs="Times New Roman"/>
          <w:lang w:val="ro-RO"/>
        </w:rPr>
        <w:t>Cât privește carnea de porc, se co</w:t>
      </w:r>
      <w:r w:rsidR="00214AD3" w:rsidRPr="00A73566">
        <w:rPr>
          <w:rFonts w:ascii="Times New Roman" w:hAnsi="Times New Roman" w:cs="Times New Roman"/>
          <w:lang w:val="ro-RO"/>
        </w:rPr>
        <w:t>n</w:t>
      </w:r>
      <w:r w:rsidRPr="00A73566">
        <w:rPr>
          <w:rFonts w:ascii="Times New Roman" w:hAnsi="Times New Roman" w:cs="Times New Roman"/>
          <w:lang w:val="ro-RO"/>
        </w:rPr>
        <w:t xml:space="preserve">stată o tendință similară a evoluției volumului de producție, în funcție de categoria de producător. Astfel, în cazul întreprinderilor se constată o creștere constantă a volumului de producție (+79.9% față de 2014) și o descreștere continuă a producției de carne de porc în cadrul gospodăriilor populației (- 15.3% față de 2014). Păstrarea tendințelor curente de dezvoltare ale sectorului arată că în perioada 2021-2022 volumul producției de carne de la întreprinderi se va egala și chiar va fi mai mare decât cel al cărnii de porc produse în cadrul gospodăriilor populației. </w:t>
      </w:r>
    </w:p>
    <w:p w14:paraId="411A1AB0" w14:textId="77777777" w:rsidR="00E313DD" w:rsidRPr="00A73566" w:rsidRDefault="00E313DD" w:rsidP="00265797">
      <w:pPr>
        <w:spacing w:before="120"/>
        <w:ind w:firstLine="567"/>
        <w:rPr>
          <w:rFonts w:ascii="Times New Roman" w:hAnsi="Times New Roman" w:cs="Times New Roman"/>
          <w:lang w:val="ro-RO"/>
        </w:rPr>
      </w:pPr>
    </w:p>
    <w:p w14:paraId="48960186" w14:textId="435BDF5C" w:rsidR="00E40F57" w:rsidRPr="00E313DD" w:rsidRDefault="00E40F57" w:rsidP="00E313DD">
      <w:pPr>
        <w:pStyle w:val="Caption"/>
        <w:framePr w:wrap="around"/>
        <w:spacing w:before="0" w:after="0"/>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Figura 2</w:t>
      </w:r>
      <w:r w:rsidR="000F10F9" w:rsidRPr="00E313DD">
        <w:rPr>
          <w:rFonts w:ascii="Times New Roman" w:hAnsi="Times New Roman" w:cs="Times New Roman"/>
          <w:sz w:val="18"/>
          <w:szCs w:val="18"/>
          <w:lang w:val="ro-RO"/>
        </w:rPr>
        <w:t>6</w:t>
      </w:r>
      <w:r w:rsidRPr="00E313DD">
        <w:rPr>
          <w:rFonts w:ascii="Times New Roman" w:hAnsi="Times New Roman" w:cs="Times New Roman"/>
          <w:sz w:val="18"/>
          <w:szCs w:val="18"/>
          <w:lang w:val="ro-RO"/>
        </w:rPr>
        <w:t>. Producția cărnii de pasăre, per categorie de producător, mii tone</w:t>
      </w:r>
    </w:p>
    <w:p w14:paraId="3DC53E68" w14:textId="77777777" w:rsidR="00E40F57" w:rsidRPr="00A73566" w:rsidRDefault="00E40F57" w:rsidP="00265797">
      <w:pPr>
        <w:spacing w:before="120"/>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6247E322" wp14:editId="381FF6EB">
            <wp:extent cx="6066155" cy="2628900"/>
            <wp:effectExtent l="0" t="0" r="0" 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2F7F59F" w14:textId="77777777" w:rsidR="00E40F57" w:rsidRPr="00E313DD"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E313DD">
        <w:rPr>
          <w:rFonts w:ascii="Times New Roman" w:hAnsi="Times New Roman" w:cs="Times New Roman"/>
          <w:iCs/>
          <w:color w:val="BFBFBF" w:themeColor="background1" w:themeShade="BF"/>
          <w:sz w:val="18"/>
          <w:szCs w:val="18"/>
          <w:lang w:val="ro-RO"/>
        </w:rPr>
        <w:t>Sursa: Elaborată de autori în baza datelor BNS</w:t>
      </w:r>
    </w:p>
    <w:p w14:paraId="0D96A670" w14:textId="5C075E27" w:rsidR="00E40F57" w:rsidRPr="00A73566" w:rsidRDefault="00E40F57" w:rsidP="003C09DD">
      <w:pPr>
        <w:ind w:firstLine="567"/>
        <w:rPr>
          <w:rFonts w:ascii="Times New Roman" w:hAnsi="Times New Roman" w:cs="Times New Roman"/>
          <w:color w:val="000000" w:themeColor="text1"/>
          <w:lang w:val="ro-RO"/>
        </w:rPr>
      </w:pPr>
      <w:r w:rsidRPr="00A73566">
        <w:rPr>
          <w:rFonts w:ascii="Times New Roman" w:hAnsi="Times New Roman" w:cs="Times New Roman"/>
          <w:lang w:val="ro-RO"/>
        </w:rPr>
        <w:t xml:space="preserve">În cazul cărnii de </w:t>
      </w:r>
      <w:r w:rsidR="009C340A" w:rsidRPr="00A73566">
        <w:rPr>
          <w:rFonts w:ascii="Times New Roman" w:hAnsi="Times New Roman" w:cs="Times New Roman"/>
          <w:lang w:val="ro-RO"/>
        </w:rPr>
        <w:t>pasăre</w:t>
      </w:r>
      <w:r w:rsidRPr="00A73566">
        <w:rPr>
          <w:rFonts w:ascii="Times New Roman" w:hAnsi="Times New Roman" w:cs="Times New Roman"/>
          <w:lang w:val="ro-RO"/>
        </w:rPr>
        <w:t xml:space="preserve">, tendințele sunt mai evoluate decât la carnea de porc și de vită, iar egalarea producției în întreprinderi și în gospodăriile populației a avut loc încă în anul 2014. De atunci, volumul producției de carne de pasăre a scăzut continuu în gospodăriile </w:t>
      </w:r>
      <w:r w:rsidRPr="00A73566">
        <w:rPr>
          <w:rFonts w:ascii="Times New Roman" w:hAnsi="Times New Roman" w:cs="Times New Roman"/>
          <w:color w:val="000000" w:themeColor="text1"/>
          <w:lang w:val="ro-RO"/>
        </w:rPr>
        <w:t xml:space="preserve">populației, atingând valorilor de 17.7 mii de tone în 2020 față de 31.5 mii tone în 2014 (- 43.9%), în timp ce în cazul întreprinderilor volumul producției cărnii de pasăre a crescut cu peste 41%, atingând valoarea de 42.9% în 2020 față de 30.3% în 2014. </w:t>
      </w:r>
    </w:p>
    <w:p w14:paraId="62C57637" w14:textId="3D5054E9" w:rsidR="00265797" w:rsidRPr="00265797" w:rsidRDefault="00E40F57" w:rsidP="00265797">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Deși tendința de creștere a volumului producției în cadrul întreprinderilor este aproximativ egală cu cea de scădere a producției în cadrul gospodăriilor populației, aceasta rămâne ceva mai în urmă, fapt care în timp generează o creștere a deficitului de producție și, respectiv, conduce la scăderea ratei de autoaprovizionare cu </w:t>
      </w:r>
      <w:r w:rsidR="009C340A" w:rsidRPr="00A73566">
        <w:rPr>
          <w:rFonts w:ascii="Times New Roman" w:hAnsi="Times New Roman" w:cs="Times New Roman"/>
          <w:color w:val="000000" w:themeColor="text1"/>
          <w:lang w:val="ro-RO"/>
        </w:rPr>
        <w:t>acest tip de produs</w:t>
      </w:r>
      <w:r w:rsidRPr="00A73566">
        <w:rPr>
          <w:rFonts w:ascii="Times New Roman" w:hAnsi="Times New Roman" w:cs="Times New Roman"/>
          <w:color w:val="000000" w:themeColor="text1"/>
          <w:lang w:val="ro-RO"/>
        </w:rPr>
        <w:t xml:space="preserve">. </w:t>
      </w:r>
    </w:p>
    <w:p w14:paraId="12F63FB5" w14:textId="7E9E96D0" w:rsidR="00E40F57" w:rsidRPr="00E313DD" w:rsidRDefault="00E40F57" w:rsidP="00E313DD">
      <w:pPr>
        <w:pStyle w:val="Caption"/>
        <w:framePr w:wrap="around"/>
        <w:spacing w:before="0"/>
        <w:jc w:val="both"/>
        <w:rPr>
          <w:rFonts w:ascii="Times New Roman" w:hAnsi="Times New Roman" w:cs="Times New Roman"/>
          <w:color w:val="000000" w:themeColor="text1"/>
          <w:sz w:val="18"/>
          <w:szCs w:val="18"/>
          <w:lang w:val="ro-RO"/>
        </w:rPr>
      </w:pPr>
      <w:r w:rsidRPr="00E313DD">
        <w:rPr>
          <w:rFonts w:ascii="Times New Roman" w:hAnsi="Times New Roman" w:cs="Times New Roman"/>
          <w:sz w:val="18"/>
          <w:szCs w:val="18"/>
          <w:lang w:val="ro-RO"/>
        </w:rPr>
        <w:t xml:space="preserve">Figura </w:t>
      </w:r>
      <w:r w:rsidR="000F10F9" w:rsidRPr="00E313DD">
        <w:rPr>
          <w:rFonts w:ascii="Times New Roman" w:hAnsi="Times New Roman" w:cs="Times New Roman"/>
          <w:sz w:val="18"/>
          <w:szCs w:val="18"/>
          <w:lang w:val="ro-RO"/>
        </w:rPr>
        <w:t>27</w:t>
      </w:r>
      <w:r w:rsidRPr="00E313DD">
        <w:rPr>
          <w:rFonts w:ascii="Times New Roman" w:hAnsi="Times New Roman" w:cs="Times New Roman"/>
          <w:sz w:val="18"/>
          <w:szCs w:val="18"/>
          <w:lang w:val="ro-RO"/>
        </w:rPr>
        <w:t>. Productia principalelor produse de origine animală, 2010 – 2020, mii tone/</w:t>
      </w:r>
      <w:r w:rsidR="00D34F2F" w:rsidRPr="00E313DD">
        <w:rPr>
          <w:rFonts w:ascii="Times New Roman" w:hAnsi="Times New Roman" w:cs="Times New Roman"/>
          <w:sz w:val="18"/>
          <w:szCs w:val="18"/>
          <w:lang w:val="ro-RO"/>
        </w:rPr>
        <w:t xml:space="preserve"> </w:t>
      </w:r>
      <w:r w:rsidRPr="00E313DD">
        <w:rPr>
          <w:rFonts w:ascii="Times New Roman" w:hAnsi="Times New Roman" w:cs="Times New Roman"/>
          <w:sz w:val="18"/>
          <w:szCs w:val="18"/>
          <w:lang w:val="ro-RO"/>
        </w:rPr>
        <w:t>milioane bucăți/</w:t>
      </w:r>
      <w:r w:rsidR="00D34F2F" w:rsidRPr="00E313DD">
        <w:rPr>
          <w:rFonts w:ascii="Times New Roman" w:hAnsi="Times New Roman" w:cs="Times New Roman"/>
          <w:sz w:val="18"/>
          <w:szCs w:val="18"/>
          <w:lang w:val="ro-RO"/>
        </w:rPr>
        <w:t xml:space="preserve"> </w:t>
      </w:r>
      <w:r w:rsidRPr="00E313DD">
        <w:rPr>
          <w:rFonts w:ascii="Times New Roman" w:hAnsi="Times New Roman" w:cs="Times New Roman"/>
          <w:sz w:val="18"/>
          <w:szCs w:val="18"/>
          <w:lang w:val="ro-RO"/>
        </w:rPr>
        <w:t>tone,</w:t>
      </w:r>
    </w:p>
    <w:p w14:paraId="0BF6CE83" w14:textId="77777777" w:rsidR="00E40F57" w:rsidRPr="00A73566" w:rsidRDefault="00E40F57" w:rsidP="00E40F57">
      <w:pPr>
        <w:spacing w:before="120"/>
        <w:rPr>
          <w:rFonts w:ascii="Times New Roman" w:hAnsi="Times New Roman" w:cs="Times New Roman"/>
          <w:sz w:val="24"/>
          <w:szCs w:val="24"/>
          <w:lang w:val="ro-RO"/>
        </w:rPr>
      </w:pPr>
      <w:r w:rsidRPr="00A73566">
        <w:rPr>
          <w:rFonts w:ascii="Times New Roman" w:hAnsi="Times New Roman" w:cs="Times New Roman"/>
          <w:noProof/>
          <w:sz w:val="24"/>
          <w:szCs w:val="24"/>
          <w:lang w:val="en-US"/>
        </w:rPr>
        <w:drawing>
          <wp:inline distT="0" distB="0" distL="0" distR="0" wp14:anchorId="38AF1EE2" wp14:editId="3AABED8F">
            <wp:extent cx="5917325" cy="2984938"/>
            <wp:effectExtent l="0" t="0" r="7620" b="635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65D1D35" w14:textId="77777777" w:rsidR="00E40F57" w:rsidRPr="00F83699"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0D3634C7" w14:textId="0B41B89A" w:rsidR="00E40F57" w:rsidRPr="00A73566" w:rsidRDefault="00E40F57" w:rsidP="003C09DD">
      <w:pPr>
        <w:spacing w:before="120"/>
        <w:ind w:firstLine="567"/>
        <w:rPr>
          <w:rFonts w:ascii="Times New Roman" w:hAnsi="Times New Roman" w:cs="Times New Roman"/>
          <w:lang w:val="ro-RO"/>
        </w:rPr>
      </w:pPr>
      <w:r w:rsidRPr="00A73566">
        <w:rPr>
          <w:rFonts w:ascii="Times New Roman" w:hAnsi="Times New Roman" w:cs="Times New Roman"/>
          <w:lang w:val="ro-RO"/>
        </w:rPr>
        <w:t xml:space="preserve">În ceea ce privește produsele de origine animală, atele decât carnea, se constată o tendință negativă pentru toate produsele principale. Astfel, cea mai </w:t>
      </w:r>
      <w:r w:rsidR="009C340A" w:rsidRPr="00A73566">
        <w:rPr>
          <w:rFonts w:ascii="Times New Roman" w:hAnsi="Times New Roman" w:cs="Times New Roman"/>
          <w:lang w:val="ro-RO"/>
        </w:rPr>
        <w:t xml:space="preserve">negativă </w:t>
      </w:r>
      <w:r w:rsidRPr="00A73566">
        <w:rPr>
          <w:rFonts w:ascii="Times New Roman" w:hAnsi="Times New Roman" w:cs="Times New Roman"/>
          <w:lang w:val="ro-RO"/>
        </w:rPr>
        <w:t xml:space="preserve">tendință se atestă în cazul laptelui de vacă. Între 2014 – 2020 volumul producției de lapte de vacă a scăzut cu peste 40%, de la 485 mii tone în 2014 la doar 290 mii tone în 2020. </w:t>
      </w:r>
    </w:p>
    <w:p w14:paraId="73936472" w14:textId="77777777" w:rsidR="00E40F57" w:rsidRPr="00A73566" w:rsidRDefault="00E40F57" w:rsidP="00E40F57">
      <w:pPr>
        <w:spacing w:before="120"/>
        <w:rPr>
          <w:rFonts w:ascii="Times New Roman" w:hAnsi="Times New Roman" w:cs="Times New Roman"/>
          <w:lang w:val="ro-RO"/>
        </w:rPr>
      </w:pPr>
      <w:r w:rsidRPr="00A73566">
        <w:rPr>
          <w:rFonts w:ascii="Times New Roman" w:hAnsi="Times New Roman" w:cs="Times New Roman"/>
          <w:lang w:val="ro-RO"/>
        </w:rPr>
        <w:t xml:space="preserve">O situație similară se constată și în cazul lânii, a cărei producție, în perioada 2014 – 2020, a scăzut cu cca. 25%, de la 1947 tone la 1464 tone. </w:t>
      </w:r>
    </w:p>
    <w:p w14:paraId="640D7D8B" w14:textId="715CE2FD" w:rsidR="003C09DD" w:rsidRPr="00A73566" w:rsidRDefault="00E40F57" w:rsidP="00F83699">
      <w:pPr>
        <w:spacing w:before="120"/>
        <w:ind w:firstLine="567"/>
        <w:rPr>
          <w:rFonts w:ascii="Times New Roman" w:hAnsi="Times New Roman" w:cs="Times New Roman"/>
          <w:sz w:val="24"/>
          <w:szCs w:val="24"/>
          <w:lang w:val="ro-RO"/>
        </w:rPr>
      </w:pPr>
      <w:r w:rsidRPr="00A73566">
        <w:rPr>
          <w:rFonts w:ascii="Times New Roman" w:hAnsi="Times New Roman" w:cs="Times New Roman"/>
          <w:lang w:val="ro-RO"/>
        </w:rPr>
        <w:t xml:space="preserve">Singurul produs de origine animală care a înregistrat o evoluție stabilă reprezintă producția de ouă. Volumul acestora a fost constant pe întreaga perioadă de implementare a SNDAR 2014-2020 și, în linii mari, continuă tendința înregistrată în perioada de pre-implementare a SNDAR </w:t>
      </w:r>
      <w:r w:rsidR="009C340A" w:rsidRPr="00A73566">
        <w:rPr>
          <w:rFonts w:ascii="Times New Roman" w:hAnsi="Times New Roman" w:cs="Times New Roman"/>
          <w:lang w:val="ro-RO"/>
        </w:rPr>
        <w:t xml:space="preserve">2022 </w:t>
      </w:r>
      <w:r w:rsidRPr="00A73566">
        <w:rPr>
          <w:rFonts w:ascii="Times New Roman" w:hAnsi="Times New Roman" w:cs="Times New Roman"/>
          <w:lang w:val="ro-RO"/>
        </w:rPr>
        <w:t xml:space="preserve">– </w:t>
      </w:r>
      <w:r w:rsidR="009C340A" w:rsidRPr="00A73566">
        <w:rPr>
          <w:rFonts w:ascii="Times New Roman" w:hAnsi="Times New Roman" w:cs="Times New Roman"/>
          <w:lang w:val="ro-RO"/>
        </w:rPr>
        <w:t>2027</w:t>
      </w:r>
      <w:r w:rsidRPr="00A73566">
        <w:rPr>
          <w:rFonts w:ascii="Times New Roman" w:hAnsi="Times New Roman" w:cs="Times New Roman"/>
          <w:lang w:val="ro-RO"/>
        </w:rPr>
        <w:t>. Astfel, în perioada de referință</w:t>
      </w:r>
      <w:r w:rsidR="009C340A" w:rsidRPr="00A73566">
        <w:rPr>
          <w:rFonts w:ascii="Times New Roman" w:hAnsi="Times New Roman" w:cs="Times New Roman"/>
          <w:lang w:val="ro-RO"/>
        </w:rPr>
        <w:t>,</w:t>
      </w:r>
      <w:r w:rsidRPr="00A73566">
        <w:rPr>
          <w:rFonts w:ascii="Times New Roman" w:hAnsi="Times New Roman" w:cs="Times New Roman"/>
          <w:lang w:val="ro-RO"/>
        </w:rPr>
        <w:t xml:space="preserve"> volumul de producție de ouă de găină a scăzut cu doar 2.8%, de la 645 mln de bucăți în 2014 la 627.5 mln de bucăți în 2020, fiind, totodată, înregistrate rezultate superioare în perioada respectivă, precum cel de 707 mln de bucăți în anul 2017.</w:t>
      </w:r>
      <w:r w:rsidR="00F83699">
        <w:rPr>
          <w:rFonts w:ascii="Times New Roman" w:hAnsi="Times New Roman" w:cs="Times New Roman"/>
          <w:sz w:val="24"/>
          <w:szCs w:val="24"/>
          <w:lang w:val="ro-RO"/>
        </w:rPr>
        <w:t xml:space="preserve"> </w:t>
      </w:r>
    </w:p>
    <w:p w14:paraId="171CAB64" w14:textId="79D4C5A4" w:rsidR="00E40F57" w:rsidRPr="00E313DD" w:rsidRDefault="00E40F57" w:rsidP="00E40F57">
      <w:pPr>
        <w:pStyle w:val="Caption"/>
        <w:framePr w:wrap="around"/>
        <w:jc w:val="both"/>
        <w:rPr>
          <w:rFonts w:ascii="Times New Roman" w:hAnsi="Times New Roman" w:cs="Times New Roman"/>
          <w:sz w:val="18"/>
          <w:szCs w:val="18"/>
          <w:lang w:val="ro-RO"/>
        </w:rPr>
      </w:pPr>
      <w:r w:rsidRPr="00E313DD">
        <w:rPr>
          <w:rFonts w:ascii="Times New Roman" w:hAnsi="Times New Roman" w:cs="Times New Roman"/>
          <w:sz w:val="18"/>
          <w:szCs w:val="18"/>
          <w:lang w:val="ro-RO"/>
        </w:rPr>
        <w:t xml:space="preserve">Figura </w:t>
      </w:r>
      <w:r w:rsidR="000F10F9" w:rsidRPr="00E313DD">
        <w:rPr>
          <w:rFonts w:ascii="Times New Roman" w:hAnsi="Times New Roman" w:cs="Times New Roman"/>
          <w:sz w:val="18"/>
          <w:szCs w:val="18"/>
          <w:lang w:val="ro-RO"/>
        </w:rPr>
        <w:t>28</w:t>
      </w:r>
      <w:r w:rsidRPr="00E313DD">
        <w:rPr>
          <w:rFonts w:ascii="Times New Roman" w:hAnsi="Times New Roman" w:cs="Times New Roman"/>
          <w:sz w:val="18"/>
          <w:szCs w:val="18"/>
          <w:lang w:val="ro-RO"/>
        </w:rPr>
        <w:t>. Producția de lapte, per categorie de producător, 2010 – 2020, mii tone</w:t>
      </w:r>
    </w:p>
    <w:p w14:paraId="41E7D5FF" w14:textId="77777777" w:rsidR="00E40F57" w:rsidRPr="00A73566" w:rsidRDefault="00E40F57" w:rsidP="00F83699">
      <w:pPr>
        <w:pStyle w:val="NoSpacing"/>
        <w:tabs>
          <w:tab w:val="left" w:pos="8931"/>
        </w:tabs>
        <w:ind w:firstLine="142"/>
        <w:jc w:val="both"/>
        <w:rPr>
          <w:rFonts w:ascii="Times New Roman" w:hAnsi="Times New Roman" w:cs="Times New Roman"/>
          <w:sz w:val="24"/>
          <w:szCs w:val="24"/>
        </w:rPr>
      </w:pPr>
      <w:r w:rsidRPr="00A73566">
        <w:rPr>
          <w:rFonts w:ascii="Times New Roman" w:hAnsi="Times New Roman" w:cs="Times New Roman"/>
          <w:noProof/>
          <w:sz w:val="24"/>
          <w:szCs w:val="24"/>
          <w:lang w:val="en-US"/>
        </w:rPr>
        <w:drawing>
          <wp:inline distT="0" distB="0" distL="0" distR="0" wp14:anchorId="13DE9BEB" wp14:editId="59A4C365">
            <wp:extent cx="5556738" cy="2233246"/>
            <wp:effectExtent l="0" t="0" r="6350" b="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6097A17" w14:textId="77777777" w:rsidR="00E40F57" w:rsidRPr="00F83699"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649DB81E" w14:textId="2810D552" w:rsidR="00E40F57" w:rsidRPr="00A73566" w:rsidRDefault="00E40F57" w:rsidP="00F83699">
      <w:pPr>
        <w:pStyle w:val="NoSpacing"/>
        <w:ind w:firstLine="567"/>
        <w:jc w:val="both"/>
        <w:rPr>
          <w:rFonts w:ascii="Times New Roman" w:hAnsi="Times New Roman" w:cs="Times New Roman"/>
          <w:sz w:val="24"/>
          <w:szCs w:val="24"/>
        </w:rPr>
      </w:pPr>
      <w:r w:rsidRPr="00A73566">
        <w:rPr>
          <w:rFonts w:ascii="Times New Roman" w:hAnsi="Times New Roman" w:cs="Times New Roman"/>
        </w:rPr>
        <w:t>Un element aparte reprezintă analiza rezultatelor producției principalelor produse de origine animală după categoria de producător. Astfel, în cazul laptelui</w:t>
      </w:r>
      <w:r w:rsidR="009C340A" w:rsidRPr="00A73566">
        <w:rPr>
          <w:rFonts w:ascii="Times New Roman" w:hAnsi="Times New Roman" w:cs="Times New Roman"/>
        </w:rPr>
        <w:t xml:space="preserve"> de vacă,</w:t>
      </w:r>
      <w:r w:rsidRPr="00A73566">
        <w:rPr>
          <w:rFonts w:ascii="Times New Roman" w:hAnsi="Times New Roman" w:cs="Times New Roman"/>
        </w:rPr>
        <w:t xml:space="preserve"> se constată o stagnare a dezvoltării producției de lapte în cadrul </w:t>
      </w:r>
      <w:r w:rsidR="009C340A" w:rsidRPr="00A73566">
        <w:rPr>
          <w:rFonts w:ascii="Times New Roman" w:hAnsi="Times New Roman" w:cs="Times New Roman"/>
        </w:rPr>
        <w:t>întreprinderilor</w:t>
      </w:r>
      <w:r w:rsidRPr="00A73566">
        <w:rPr>
          <w:rFonts w:ascii="Times New Roman" w:hAnsi="Times New Roman" w:cs="Times New Roman"/>
        </w:rPr>
        <w:t xml:space="preserve">, volumul produs </w:t>
      </w:r>
      <w:r w:rsidR="009C340A" w:rsidRPr="00A73566">
        <w:rPr>
          <w:rFonts w:ascii="Times New Roman" w:hAnsi="Times New Roman" w:cs="Times New Roman"/>
        </w:rPr>
        <w:t xml:space="preserve">situându-se </w:t>
      </w:r>
      <w:r w:rsidRPr="00A73566">
        <w:rPr>
          <w:rFonts w:ascii="Times New Roman" w:hAnsi="Times New Roman" w:cs="Times New Roman"/>
        </w:rPr>
        <w:t xml:space="preserve">în jurul valorii de 22 – 23 mii tone de lapte anual. În același timp, în cazul producției în cadrul gospodăriilor populației se află într-o scădere continuă, atingând în anul 2020 valoarea de 267 mii tone față 464 mii tone în 2014 (- 43%). </w:t>
      </w:r>
    </w:p>
    <w:p w14:paraId="11AD492B" w14:textId="5B871B19" w:rsidR="00E40F57" w:rsidRPr="00E313DD" w:rsidRDefault="000F10F9" w:rsidP="00E40F57">
      <w:pPr>
        <w:pStyle w:val="Caption"/>
        <w:framePr w:wrap="around"/>
        <w:jc w:val="both"/>
        <w:rPr>
          <w:rFonts w:ascii="Times New Roman" w:hAnsi="Times New Roman" w:cs="Times New Roman"/>
          <w:color w:val="000000" w:themeColor="text1"/>
          <w:sz w:val="18"/>
          <w:szCs w:val="18"/>
          <w:lang w:val="ro-RO"/>
        </w:rPr>
      </w:pPr>
      <w:r w:rsidRPr="00E313DD">
        <w:rPr>
          <w:rFonts w:ascii="Times New Roman" w:hAnsi="Times New Roman" w:cs="Times New Roman"/>
          <w:sz w:val="18"/>
          <w:szCs w:val="18"/>
          <w:lang w:val="ro-RO"/>
        </w:rPr>
        <w:t>Figura 29</w:t>
      </w:r>
      <w:r w:rsidR="00E40F57" w:rsidRPr="00E313DD">
        <w:rPr>
          <w:rFonts w:ascii="Times New Roman" w:hAnsi="Times New Roman" w:cs="Times New Roman"/>
          <w:sz w:val="18"/>
          <w:szCs w:val="18"/>
          <w:lang w:val="ro-RO"/>
        </w:rPr>
        <w:t>. Producția de ouă, per categorie de producător, 2010 – 2020, mil bucăți</w:t>
      </w:r>
    </w:p>
    <w:p w14:paraId="3FDCAA2C" w14:textId="77777777" w:rsidR="00E40F57" w:rsidRPr="00A73566" w:rsidRDefault="00E40F57" w:rsidP="00E40F57">
      <w:pPr>
        <w:pStyle w:val="NoSpacing"/>
        <w:jc w:val="both"/>
        <w:rPr>
          <w:rFonts w:ascii="Times New Roman" w:hAnsi="Times New Roman" w:cs="Times New Roman"/>
          <w:sz w:val="24"/>
          <w:szCs w:val="24"/>
        </w:rPr>
      </w:pPr>
      <w:r w:rsidRPr="00F83699">
        <w:rPr>
          <w:rFonts w:ascii="Times New Roman" w:hAnsi="Times New Roman" w:cs="Times New Roman"/>
          <w:noProof/>
          <w:sz w:val="18"/>
          <w:szCs w:val="18"/>
          <w:lang w:val="en-US"/>
        </w:rPr>
        <w:drawing>
          <wp:inline distT="0" distB="0" distL="0" distR="0" wp14:anchorId="33312158" wp14:editId="7ED9059B">
            <wp:extent cx="5997575" cy="2193925"/>
            <wp:effectExtent l="0" t="0" r="0" b="3175"/>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F7932A1" w14:textId="77777777" w:rsidR="00E40F57" w:rsidRPr="00F83699" w:rsidRDefault="00E40F57" w:rsidP="00E40F57">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3797F965" w14:textId="09BFBDE2" w:rsidR="00E40F57" w:rsidRPr="00A73566" w:rsidRDefault="00E40F57" w:rsidP="00F83699">
      <w:pPr>
        <w:pStyle w:val="NoSpacing"/>
        <w:ind w:firstLine="567"/>
        <w:jc w:val="both"/>
        <w:rPr>
          <w:rFonts w:ascii="Times New Roman" w:hAnsi="Times New Roman" w:cs="Times New Roman"/>
        </w:rPr>
      </w:pPr>
      <w:r w:rsidRPr="00A73566">
        <w:rPr>
          <w:rFonts w:ascii="Times New Roman" w:hAnsi="Times New Roman" w:cs="Times New Roman"/>
        </w:rPr>
        <w:t>În cazul producției de ouă, analiza per categorie de producător denotă, în fond, aceleași tendințe ca și în cazul producție</w:t>
      </w:r>
      <w:r w:rsidR="009C340A" w:rsidRPr="00A73566">
        <w:rPr>
          <w:rFonts w:ascii="Times New Roman" w:hAnsi="Times New Roman" w:cs="Times New Roman"/>
        </w:rPr>
        <w:t>i</w:t>
      </w:r>
      <w:r w:rsidRPr="00A73566">
        <w:rPr>
          <w:rFonts w:ascii="Times New Roman" w:hAnsi="Times New Roman" w:cs="Times New Roman"/>
        </w:rPr>
        <w:t xml:space="preserve"> de lapte. Astfel, în perioada analizată se poate observa o constantă în ceea ce privește volumul de ouă produse în cadrul întreprinderilor, în timp ce în cazul producției în cadrul gospodăriilor populației se constată o tendință de scădere constantă a volumului de producție. </w:t>
      </w:r>
    </w:p>
    <w:p w14:paraId="4FC783FF" w14:textId="341FB4D0" w:rsidR="00E40F57" w:rsidRPr="00A73566" w:rsidRDefault="00E40F57" w:rsidP="00E40F57">
      <w:pPr>
        <w:pStyle w:val="NoSpacing"/>
        <w:jc w:val="both"/>
        <w:rPr>
          <w:rFonts w:ascii="Times New Roman" w:hAnsi="Times New Roman" w:cs="Times New Roman"/>
        </w:rPr>
      </w:pPr>
    </w:p>
    <w:p w14:paraId="27681652" w14:textId="77777777" w:rsidR="00E40F57" w:rsidRPr="00A73566" w:rsidRDefault="00E40F57" w:rsidP="00E40F57">
      <w:pPr>
        <w:pStyle w:val="Focus"/>
        <w:rPr>
          <w:rFonts w:ascii="Times New Roman" w:hAnsi="Times New Roman" w:cs="Times New Roman"/>
          <w:lang w:val="ro-RO"/>
        </w:rPr>
      </w:pPr>
      <w:bookmarkStart w:id="102" w:name="_Hlk86005666"/>
      <w:bookmarkStart w:id="103" w:name="_Hlk86003456"/>
      <w:r w:rsidRPr="00A73566">
        <w:rPr>
          <w:rFonts w:ascii="Times New Roman" w:hAnsi="Times New Roman" w:cs="Times New Roman"/>
          <w:lang w:val="ro-RO"/>
        </w:rPr>
        <w:t xml:space="preserve">Constatări </w:t>
      </w:r>
    </w:p>
    <w:bookmarkEnd w:id="102"/>
    <w:bookmarkEnd w:id="103"/>
    <w:p w14:paraId="14697676" w14:textId="77777777" w:rsidR="00C03906" w:rsidRPr="00A73566" w:rsidRDefault="00C03906" w:rsidP="00E720EE">
      <w:pPr>
        <w:pStyle w:val="NoSpacing"/>
        <w:numPr>
          <w:ilvl w:val="0"/>
          <w:numId w:val="8"/>
        </w:numPr>
        <w:jc w:val="both"/>
        <w:rPr>
          <w:rFonts w:ascii="Times New Roman" w:hAnsi="Times New Roman" w:cs="Times New Roman"/>
        </w:rPr>
      </w:pPr>
      <w:r w:rsidRPr="00A73566">
        <w:rPr>
          <w:rFonts w:ascii="Times New Roman" w:hAnsi="Times New Roman" w:cs="Times New Roman"/>
        </w:rPr>
        <w:t>Producția animalieră are o tendință slabă de creștere, însă chiar și așa este departe de a asigura nivelul de autoaprovizionare.</w:t>
      </w:r>
    </w:p>
    <w:p w14:paraId="18FA8C94" w14:textId="6760D434" w:rsidR="00C03906" w:rsidRPr="00A73566" w:rsidRDefault="00C03906" w:rsidP="00E720EE">
      <w:pPr>
        <w:pStyle w:val="NoSpacing"/>
        <w:numPr>
          <w:ilvl w:val="0"/>
          <w:numId w:val="8"/>
        </w:numPr>
        <w:jc w:val="both"/>
        <w:rPr>
          <w:rFonts w:ascii="Times New Roman" w:hAnsi="Times New Roman" w:cs="Times New Roman"/>
        </w:rPr>
      </w:pPr>
      <w:r w:rsidRPr="00A73566">
        <w:rPr>
          <w:rFonts w:ascii="Times New Roman" w:hAnsi="Times New Roman" w:cs="Times New Roman"/>
        </w:rPr>
        <w:t xml:space="preserve"> În ultimii 10 ani se constată o tendință vădită de concentra</w:t>
      </w:r>
      <w:r w:rsidR="00E6264D" w:rsidRPr="00A73566">
        <w:rPr>
          <w:rFonts w:ascii="Times New Roman" w:hAnsi="Times New Roman" w:cs="Times New Roman"/>
        </w:rPr>
        <w:t>r</w:t>
      </w:r>
      <w:r w:rsidRPr="00A73566">
        <w:rPr>
          <w:rFonts w:ascii="Times New Roman" w:hAnsi="Times New Roman" w:cs="Times New Roman"/>
        </w:rPr>
        <w:t>e a producției de carne în cadrul întreprinderilor agricole comparativ  cu producția în gospodăriile populației.</w:t>
      </w:r>
    </w:p>
    <w:p w14:paraId="3F686DF9" w14:textId="1B3D47DC" w:rsidR="00E40F57" w:rsidRDefault="00C03906" w:rsidP="00E720EE">
      <w:pPr>
        <w:pStyle w:val="NoSpacing"/>
        <w:numPr>
          <w:ilvl w:val="0"/>
          <w:numId w:val="8"/>
        </w:numPr>
        <w:jc w:val="both"/>
        <w:rPr>
          <w:rFonts w:ascii="Times New Roman" w:hAnsi="Times New Roman" w:cs="Times New Roman"/>
        </w:rPr>
      </w:pPr>
      <w:r w:rsidRPr="00A73566">
        <w:rPr>
          <w:rFonts w:ascii="Times New Roman" w:hAnsi="Times New Roman" w:cs="Times New Roman"/>
        </w:rPr>
        <w:t>În cazul producției de lapte se constată o scădere accentuată a producției în cadrul gospodăriilor populației, în timp ce în cazul întreprinderilor agricole creșterea este insuficientă pentru a acoperi cererea  pieței interne.</w:t>
      </w:r>
    </w:p>
    <w:p w14:paraId="08A49372" w14:textId="77777777" w:rsidR="00F83699" w:rsidRPr="00F83699" w:rsidRDefault="00F83699" w:rsidP="00F83699">
      <w:pPr>
        <w:pStyle w:val="NoSpacing"/>
        <w:ind w:left="720"/>
        <w:jc w:val="both"/>
        <w:rPr>
          <w:rFonts w:ascii="Times New Roman" w:hAnsi="Times New Roman" w:cs="Times New Roman"/>
          <w:sz w:val="16"/>
          <w:szCs w:val="16"/>
        </w:rPr>
      </w:pPr>
    </w:p>
    <w:p w14:paraId="062A17CF" w14:textId="436BEFF7" w:rsidR="00F533BB" w:rsidRPr="00A73566" w:rsidRDefault="00986E93" w:rsidP="00D01A7B">
      <w:pPr>
        <w:pStyle w:val="Heading3"/>
        <w:rPr>
          <w:rFonts w:ascii="Times New Roman" w:hAnsi="Times New Roman" w:cs="Times New Roman"/>
          <w:lang w:val="ro-RO"/>
        </w:rPr>
      </w:pPr>
      <w:bookmarkStart w:id="104" w:name="_Toc88132110"/>
      <w:r w:rsidRPr="00A73566">
        <w:rPr>
          <w:rFonts w:ascii="Times New Roman" w:hAnsi="Times New Roman" w:cs="Times New Roman"/>
          <w:lang w:val="ro-RO"/>
        </w:rPr>
        <w:t>I</w:t>
      </w:r>
      <w:r w:rsidR="00B300C2" w:rsidRPr="00A73566">
        <w:rPr>
          <w:rFonts w:ascii="Times New Roman" w:hAnsi="Times New Roman" w:cs="Times New Roman"/>
          <w:lang w:val="ro-RO"/>
        </w:rPr>
        <w:t xml:space="preserve">ndustria </w:t>
      </w:r>
      <w:r w:rsidR="00346556" w:rsidRPr="00A73566">
        <w:rPr>
          <w:rFonts w:ascii="Times New Roman" w:hAnsi="Times New Roman" w:cs="Times New Roman"/>
          <w:lang w:val="ro-RO"/>
        </w:rPr>
        <w:t>agroaliment</w:t>
      </w:r>
      <w:r w:rsidR="0092249C" w:rsidRPr="00A73566">
        <w:rPr>
          <w:rFonts w:ascii="Times New Roman" w:hAnsi="Times New Roman" w:cs="Times New Roman"/>
          <w:lang w:val="ro-RO"/>
        </w:rPr>
        <w:t>ar</w:t>
      </w:r>
      <w:r w:rsidR="00B300C2" w:rsidRPr="00A73566">
        <w:rPr>
          <w:rFonts w:ascii="Times New Roman" w:hAnsi="Times New Roman" w:cs="Times New Roman"/>
          <w:lang w:val="ro-RO"/>
        </w:rPr>
        <w:t>ă</w:t>
      </w:r>
      <w:bookmarkEnd w:id="104"/>
    </w:p>
    <w:p w14:paraId="504F04AA" w14:textId="28D467B5" w:rsidR="00D34F2F" w:rsidRDefault="00D34F2F" w:rsidP="00F83699">
      <w:pPr>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Producția agroalimentară deține cea mai mare pondere </w:t>
      </w:r>
      <w:r w:rsidR="0022713E" w:rsidRPr="00A73566">
        <w:rPr>
          <w:rFonts w:ascii="Times New Roman" w:eastAsia="Calibri" w:hAnsi="Times New Roman" w:cs="Times New Roman"/>
          <w:lang w:val="ro-RO"/>
        </w:rPr>
        <w:t xml:space="preserve">în </w:t>
      </w:r>
      <w:r w:rsidRPr="00A73566">
        <w:rPr>
          <w:rFonts w:ascii="Times New Roman" w:eastAsia="Calibri" w:hAnsi="Times New Roman" w:cs="Times New Roman"/>
          <w:lang w:val="ro-RO"/>
        </w:rPr>
        <w:t>producția industriala a Republicii Moldova. Totodată</w:t>
      </w:r>
      <w:r w:rsidR="0022713E" w:rsidRPr="00A73566">
        <w:rPr>
          <w:rFonts w:ascii="Times New Roman" w:eastAsia="Calibri" w:hAnsi="Times New Roman" w:cs="Times New Roman"/>
          <w:lang w:val="ro-RO"/>
        </w:rPr>
        <w:t>,</w:t>
      </w:r>
      <w:r w:rsidRPr="00A73566">
        <w:rPr>
          <w:rFonts w:ascii="Times New Roman" w:eastAsia="Calibri" w:hAnsi="Times New Roman" w:cs="Times New Roman"/>
          <w:lang w:val="ro-RO"/>
        </w:rPr>
        <w:t xml:space="preserve"> dezvoltarea acestui sector este neuniformă. Astfel, în perioada 2014-2020  valoarea totală a producției din industria prelucrătoare a avut o creștere de circa 41% comparativ cu o creștere de 37% a valorii producție în toate ramurile industriei. Cu toate acestea valoarea producției din industria alimentară a crescut doar cu circa 27%, a celei din industria de fabricare a băuturilor cu circa 9%, iar valoarea producției din industria de fabricare a produselor din tutun s-a redus cu circa 67%. Per total valoarea totală a producției agroalimentare a  crescut în această perioadă cu circa 20% . </w:t>
      </w:r>
    </w:p>
    <w:p w14:paraId="1E327B21" w14:textId="77777777" w:rsidR="002E19D6" w:rsidRDefault="002E19D6" w:rsidP="00F83699">
      <w:pPr>
        <w:ind w:firstLine="567"/>
        <w:rPr>
          <w:rFonts w:ascii="Times New Roman" w:eastAsia="Calibri" w:hAnsi="Times New Roman" w:cs="Times New Roman"/>
          <w:lang w:val="ro-RO"/>
        </w:rPr>
      </w:pPr>
    </w:p>
    <w:p w14:paraId="11AA6DF1" w14:textId="77777777" w:rsidR="002E19D6" w:rsidRDefault="002E19D6" w:rsidP="00F83699">
      <w:pPr>
        <w:ind w:firstLine="567"/>
        <w:rPr>
          <w:rFonts w:ascii="Times New Roman" w:eastAsia="Calibri" w:hAnsi="Times New Roman" w:cs="Times New Roman"/>
          <w:lang w:val="ro-RO"/>
        </w:rPr>
      </w:pPr>
    </w:p>
    <w:p w14:paraId="52487EEE" w14:textId="77777777" w:rsidR="002E19D6" w:rsidRDefault="002E19D6" w:rsidP="00F83699">
      <w:pPr>
        <w:ind w:firstLine="567"/>
        <w:rPr>
          <w:rFonts w:ascii="Times New Roman" w:eastAsia="Calibri" w:hAnsi="Times New Roman" w:cs="Times New Roman"/>
          <w:lang w:val="ro-RO"/>
        </w:rPr>
      </w:pPr>
    </w:p>
    <w:p w14:paraId="49810918" w14:textId="3C58EF34" w:rsidR="00F83699" w:rsidRPr="00F83699" w:rsidRDefault="00F83699" w:rsidP="00F83699">
      <w:pPr>
        <w:pStyle w:val="Caption"/>
        <w:framePr w:w="0" w:wrap="auto" w:vAnchor="margin" w:yAlign="inline"/>
        <w:rPr>
          <w:rFonts w:ascii="Times New Roman" w:hAnsi="Times New Roman" w:cs="Times New Roman"/>
          <w:sz w:val="18"/>
          <w:szCs w:val="18"/>
          <w:lang w:val="ro-RO"/>
        </w:rPr>
      </w:pPr>
      <w:r w:rsidRPr="00F83699">
        <w:rPr>
          <w:rFonts w:ascii="Times New Roman" w:hAnsi="Times New Roman" w:cs="Times New Roman"/>
          <w:sz w:val="18"/>
          <w:szCs w:val="18"/>
          <w:lang w:val="ro-RO"/>
        </w:rPr>
        <w:t>Tabelul 7. Valoarea producției industriale fabricate in sub sectorul agr</w:t>
      </w:r>
      <w:r>
        <w:rPr>
          <w:rFonts w:ascii="Times New Roman" w:hAnsi="Times New Roman" w:cs="Times New Roman"/>
          <w:sz w:val="18"/>
          <w:szCs w:val="18"/>
          <w:lang w:val="ro-RO"/>
        </w:rPr>
        <w:t>oalimentar, 2014-2020, Mld. MDL</w:t>
      </w:r>
    </w:p>
    <w:tbl>
      <w:tblPr>
        <w:tblW w:w="94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46"/>
        <w:gridCol w:w="690"/>
        <w:gridCol w:w="690"/>
        <w:gridCol w:w="690"/>
        <w:gridCol w:w="690"/>
        <w:gridCol w:w="690"/>
        <w:gridCol w:w="690"/>
        <w:gridCol w:w="690"/>
        <w:gridCol w:w="1661"/>
      </w:tblGrid>
      <w:tr w:rsidR="001F48CA" w:rsidRPr="00F83699" w14:paraId="54FC4100" w14:textId="77777777" w:rsidTr="00BA5BBA">
        <w:trPr>
          <w:trHeight w:val="287"/>
        </w:trPr>
        <w:tc>
          <w:tcPr>
            <w:tcW w:w="2946" w:type="dxa"/>
            <w:shd w:val="clear" w:color="auto" w:fill="2D788C" w:themeFill="accent3" w:themeFillShade="BF"/>
            <w:noWrap/>
            <w:vAlign w:val="bottom"/>
            <w:hideMark/>
          </w:tcPr>
          <w:p w14:paraId="4BEBBF70" w14:textId="77777777" w:rsidR="001F48CA" w:rsidRPr="00F83699" w:rsidRDefault="001F48CA" w:rsidP="00BA5BBA">
            <w:pPr>
              <w:spacing w:before="60" w:after="0"/>
              <w:jc w:val="left"/>
              <w:rPr>
                <w:rFonts w:ascii="Times New Roman" w:eastAsia="Times New Roman" w:hAnsi="Times New Roman" w:cs="Times New Roman"/>
                <w:color w:val="FFFFFF" w:themeColor="background1"/>
                <w:sz w:val="17"/>
                <w:szCs w:val="17"/>
                <w:lang w:val="ro-RO" w:eastAsia="ro-RO"/>
              </w:rPr>
            </w:pPr>
          </w:p>
        </w:tc>
        <w:tc>
          <w:tcPr>
            <w:tcW w:w="690" w:type="dxa"/>
            <w:shd w:val="clear" w:color="auto" w:fill="2D788C" w:themeFill="accent3" w:themeFillShade="BF"/>
            <w:noWrap/>
            <w:vAlign w:val="center"/>
            <w:hideMark/>
          </w:tcPr>
          <w:p w14:paraId="2E1C0EF8" w14:textId="77777777" w:rsidR="001F48CA" w:rsidRPr="00F83699" w:rsidRDefault="001F48CA" w:rsidP="00BA5BBA">
            <w:pPr>
              <w:spacing w:before="60"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2014</w:t>
            </w:r>
          </w:p>
        </w:tc>
        <w:tc>
          <w:tcPr>
            <w:tcW w:w="690" w:type="dxa"/>
            <w:shd w:val="clear" w:color="auto" w:fill="2D788C" w:themeFill="accent3" w:themeFillShade="BF"/>
            <w:noWrap/>
            <w:vAlign w:val="center"/>
            <w:hideMark/>
          </w:tcPr>
          <w:p w14:paraId="05770D6C" w14:textId="77777777" w:rsidR="001F48CA" w:rsidRPr="00F83699" w:rsidRDefault="001F48CA" w:rsidP="00BA5BBA">
            <w:pPr>
              <w:spacing w:before="60"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2015</w:t>
            </w:r>
          </w:p>
        </w:tc>
        <w:tc>
          <w:tcPr>
            <w:tcW w:w="690" w:type="dxa"/>
            <w:shd w:val="clear" w:color="auto" w:fill="2D788C" w:themeFill="accent3" w:themeFillShade="BF"/>
            <w:noWrap/>
            <w:vAlign w:val="center"/>
            <w:hideMark/>
          </w:tcPr>
          <w:p w14:paraId="434AAD18"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2016</w:t>
            </w:r>
          </w:p>
        </w:tc>
        <w:tc>
          <w:tcPr>
            <w:tcW w:w="690" w:type="dxa"/>
            <w:shd w:val="clear" w:color="auto" w:fill="2D788C" w:themeFill="accent3" w:themeFillShade="BF"/>
            <w:noWrap/>
            <w:vAlign w:val="center"/>
            <w:hideMark/>
          </w:tcPr>
          <w:p w14:paraId="22DF48CA"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2017</w:t>
            </w:r>
          </w:p>
        </w:tc>
        <w:tc>
          <w:tcPr>
            <w:tcW w:w="690" w:type="dxa"/>
            <w:shd w:val="clear" w:color="auto" w:fill="2D788C" w:themeFill="accent3" w:themeFillShade="BF"/>
            <w:noWrap/>
            <w:vAlign w:val="center"/>
            <w:hideMark/>
          </w:tcPr>
          <w:p w14:paraId="6AF82367"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2018</w:t>
            </w:r>
          </w:p>
        </w:tc>
        <w:tc>
          <w:tcPr>
            <w:tcW w:w="690" w:type="dxa"/>
            <w:shd w:val="clear" w:color="auto" w:fill="2D788C" w:themeFill="accent3" w:themeFillShade="BF"/>
            <w:noWrap/>
            <w:vAlign w:val="center"/>
            <w:hideMark/>
          </w:tcPr>
          <w:p w14:paraId="4C732532"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2019</w:t>
            </w:r>
          </w:p>
        </w:tc>
        <w:tc>
          <w:tcPr>
            <w:tcW w:w="690" w:type="dxa"/>
            <w:shd w:val="clear" w:color="auto" w:fill="2D788C" w:themeFill="accent3" w:themeFillShade="BF"/>
            <w:noWrap/>
            <w:vAlign w:val="center"/>
            <w:hideMark/>
          </w:tcPr>
          <w:p w14:paraId="7866D5E3"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2020</w:t>
            </w:r>
          </w:p>
        </w:tc>
        <w:tc>
          <w:tcPr>
            <w:tcW w:w="1661" w:type="dxa"/>
            <w:shd w:val="clear" w:color="auto" w:fill="2D788C" w:themeFill="accent3" w:themeFillShade="BF"/>
            <w:noWrap/>
            <w:vAlign w:val="center"/>
            <w:hideMark/>
          </w:tcPr>
          <w:p w14:paraId="1C2866CB" w14:textId="77777777" w:rsidR="001F48CA" w:rsidRPr="00F83699" w:rsidRDefault="001F48CA" w:rsidP="00BA5BBA">
            <w:pPr>
              <w:spacing w:after="0" w:line="276" w:lineRule="auto"/>
              <w:jc w:val="center"/>
              <w:rPr>
                <w:rFonts w:ascii="Times New Roman" w:eastAsia="Times New Roman" w:hAnsi="Times New Roman" w:cs="Times New Roman"/>
                <w:b/>
                <w:bCs/>
                <w:color w:val="FFFFFF" w:themeColor="background1"/>
                <w:sz w:val="17"/>
                <w:szCs w:val="17"/>
                <w:lang w:val="ro-RO" w:eastAsia="ro-RO"/>
              </w:rPr>
            </w:pPr>
            <w:r w:rsidRPr="00F83699">
              <w:rPr>
                <w:rFonts w:ascii="Times New Roman" w:eastAsia="Times New Roman" w:hAnsi="Times New Roman" w:cs="Times New Roman"/>
                <w:b/>
                <w:bCs/>
                <w:color w:val="FFFFFF" w:themeColor="background1"/>
                <w:sz w:val="17"/>
                <w:szCs w:val="17"/>
                <w:lang w:val="ro-RO" w:eastAsia="ro-RO"/>
              </w:rPr>
              <w:t>2020/2014, %</w:t>
            </w:r>
          </w:p>
        </w:tc>
      </w:tr>
      <w:tr w:rsidR="001F48CA" w:rsidRPr="00F83699" w14:paraId="67DA68C2" w14:textId="77777777" w:rsidTr="00BA5BBA">
        <w:trPr>
          <w:trHeight w:val="287"/>
        </w:trPr>
        <w:tc>
          <w:tcPr>
            <w:tcW w:w="2946" w:type="dxa"/>
            <w:shd w:val="clear" w:color="auto" w:fill="F2F2F2" w:themeFill="background1" w:themeFillShade="F2"/>
            <w:noWrap/>
            <w:vAlign w:val="bottom"/>
            <w:hideMark/>
          </w:tcPr>
          <w:p w14:paraId="6C56933C" w14:textId="77777777" w:rsidR="001F48CA" w:rsidRPr="00F83699" w:rsidRDefault="001F48CA" w:rsidP="00BA5BBA">
            <w:pPr>
              <w:spacing w:after="0"/>
              <w:rPr>
                <w:rFonts w:ascii="Times New Roman" w:eastAsia="Times New Roman" w:hAnsi="Times New Roman" w:cs="Times New Roman"/>
                <w:b/>
                <w:bCs/>
                <w:color w:val="000000"/>
                <w:sz w:val="17"/>
                <w:szCs w:val="17"/>
                <w:lang w:val="ro-RO" w:eastAsia="ro-RO"/>
              </w:rPr>
            </w:pPr>
            <w:r w:rsidRPr="00F83699">
              <w:rPr>
                <w:rFonts w:ascii="Times New Roman" w:eastAsia="Times New Roman" w:hAnsi="Times New Roman" w:cs="Times New Roman"/>
                <w:b/>
                <w:bCs/>
                <w:color w:val="000000"/>
                <w:sz w:val="17"/>
                <w:szCs w:val="17"/>
                <w:lang w:val="ro-RO" w:eastAsia="ro-RO"/>
              </w:rPr>
              <w:t>Industrie - total</w:t>
            </w:r>
          </w:p>
        </w:tc>
        <w:tc>
          <w:tcPr>
            <w:tcW w:w="690" w:type="dxa"/>
            <w:shd w:val="clear" w:color="auto" w:fill="F2F2F2" w:themeFill="background1" w:themeFillShade="F2"/>
            <w:noWrap/>
            <w:vAlign w:val="center"/>
            <w:hideMark/>
          </w:tcPr>
          <w:p w14:paraId="505B56C3"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43,5</w:t>
            </w:r>
          </w:p>
        </w:tc>
        <w:tc>
          <w:tcPr>
            <w:tcW w:w="690" w:type="dxa"/>
            <w:shd w:val="clear" w:color="auto" w:fill="F2F2F2" w:themeFill="background1" w:themeFillShade="F2"/>
            <w:noWrap/>
            <w:vAlign w:val="center"/>
            <w:hideMark/>
          </w:tcPr>
          <w:p w14:paraId="5B1C5B51"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45,7</w:t>
            </w:r>
          </w:p>
        </w:tc>
        <w:tc>
          <w:tcPr>
            <w:tcW w:w="690" w:type="dxa"/>
            <w:shd w:val="clear" w:color="auto" w:fill="F2F2F2" w:themeFill="background1" w:themeFillShade="F2"/>
            <w:noWrap/>
            <w:vAlign w:val="center"/>
            <w:hideMark/>
          </w:tcPr>
          <w:p w14:paraId="69E82284"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47,6</w:t>
            </w:r>
          </w:p>
        </w:tc>
        <w:tc>
          <w:tcPr>
            <w:tcW w:w="690" w:type="dxa"/>
            <w:shd w:val="clear" w:color="auto" w:fill="F2F2F2" w:themeFill="background1" w:themeFillShade="F2"/>
            <w:noWrap/>
            <w:vAlign w:val="center"/>
            <w:hideMark/>
          </w:tcPr>
          <w:p w14:paraId="098117F8"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52,7</w:t>
            </w:r>
          </w:p>
        </w:tc>
        <w:tc>
          <w:tcPr>
            <w:tcW w:w="690" w:type="dxa"/>
            <w:shd w:val="clear" w:color="auto" w:fill="F2F2F2" w:themeFill="background1" w:themeFillShade="F2"/>
            <w:noWrap/>
            <w:vAlign w:val="center"/>
            <w:hideMark/>
          </w:tcPr>
          <w:p w14:paraId="38813BCB"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56,2</w:t>
            </w:r>
          </w:p>
        </w:tc>
        <w:tc>
          <w:tcPr>
            <w:tcW w:w="690" w:type="dxa"/>
            <w:shd w:val="clear" w:color="auto" w:fill="F2F2F2" w:themeFill="background1" w:themeFillShade="F2"/>
            <w:noWrap/>
            <w:vAlign w:val="center"/>
            <w:hideMark/>
          </w:tcPr>
          <w:p w14:paraId="50DFA526"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59,3</w:t>
            </w:r>
          </w:p>
        </w:tc>
        <w:tc>
          <w:tcPr>
            <w:tcW w:w="690" w:type="dxa"/>
            <w:shd w:val="clear" w:color="auto" w:fill="F2F2F2" w:themeFill="background1" w:themeFillShade="F2"/>
            <w:noWrap/>
            <w:vAlign w:val="center"/>
            <w:hideMark/>
          </w:tcPr>
          <w:p w14:paraId="2ECF8ACE"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59,7</w:t>
            </w:r>
          </w:p>
        </w:tc>
        <w:tc>
          <w:tcPr>
            <w:tcW w:w="1661" w:type="dxa"/>
            <w:shd w:val="clear" w:color="auto" w:fill="DDECCF" w:themeFill="accent6" w:themeFillTint="33"/>
            <w:noWrap/>
            <w:vAlign w:val="center"/>
            <w:hideMark/>
          </w:tcPr>
          <w:p w14:paraId="6B0CDF2B" w14:textId="77777777" w:rsidR="001F48CA" w:rsidRPr="00F83699" w:rsidRDefault="001F48CA" w:rsidP="00BA5BBA">
            <w:pPr>
              <w:spacing w:before="60" w:after="0"/>
              <w:ind w:right="121"/>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137,0</w:t>
            </w:r>
          </w:p>
        </w:tc>
      </w:tr>
      <w:tr w:rsidR="001F48CA" w:rsidRPr="00F83699" w14:paraId="2764CBC3" w14:textId="77777777" w:rsidTr="00BA5BBA">
        <w:trPr>
          <w:trHeight w:val="287"/>
        </w:trPr>
        <w:tc>
          <w:tcPr>
            <w:tcW w:w="2946" w:type="dxa"/>
            <w:shd w:val="clear" w:color="auto" w:fill="F2F2F2" w:themeFill="background1" w:themeFillShade="F2"/>
            <w:noWrap/>
            <w:vAlign w:val="bottom"/>
            <w:hideMark/>
          </w:tcPr>
          <w:p w14:paraId="40F1C94C" w14:textId="77777777" w:rsidR="001F48CA" w:rsidRPr="00F83699" w:rsidRDefault="001F48CA" w:rsidP="00BA5BBA">
            <w:pPr>
              <w:spacing w:after="0"/>
              <w:jc w:val="left"/>
              <w:rPr>
                <w:rFonts w:ascii="Times New Roman" w:eastAsia="Times New Roman" w:hAnsi="Times New Roman" w:cs="Times New Roman"/>
                <w:b/>
                <w:bCs/>
                <w:color w:val="000000"/>
                <w:sz w:val="17"/>
                <w:szCs w:val="17"/>
                <w:lang w:val="ro-RO" w:eastAsia="ro-RO"/>
              </w:rPr>
            </w:pPr>
            <w:r w:rsidRPr="00F83699">
              <w:rPr>
                <w:rFonts w:ascii="Times New Roman" w:eastAsia="Times New Roman" w:hAnsi="Times New Roman" w:cs="Times New Roman"/>
                <w:b/>
                <w:bCs/>
                <w:color w:val="000000"/>
                <w:sz w:val="17"/>
                <w:szCs w:val="17"/>
                <w:lang w:val="ro-RO" w:eastAsia="ro-RO"/>
              </w:rPr>
              <w:t xml:space="preserve"> Industria prelucrătoare,                                   inclusiv</w:t>
            </w:r>
          </w:p>
        </w:tc>
        <w:tc>
          <w:tcPr>
            <w:tcW w:w="690" w:type="dxa"/>
            <w:shd w:val="clear" w:color="auto" w:fill="F2F2F2" w:themeFill="background1" w:themeFillShade="F2"/>
            <w:noWrap/>
            <w:vAlign w:val="center"/>
            <w:hideMark/>
          </w:tcPr>
          <w:p w14:paraId="16C434E4"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35,5</w:t>
            </w:r>
          </w:p>
        </w:tc>
        <w:tc>
          <w:tcPr>
            <w:tcW w:w="690" w:type="dxa"/>
            <w:shd w:val="clear" w:color="auto" w:fill="F2F2F2" w:themeFill="background1" w:themeFillShade="F2"/>
            <w:noWrap/>
            <w:vAlign w:val="center"/>
            <w:hideMark/>
          </w:tcPr>
          <w:p w14:paraId="002DBEDD"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37,7</w:t>
            </w:r>
          </w:p>
        </w:tc>
        <w:tc>
          <w:tcPr>
            <w:tcW w:w="690" w:type="dxa"/>
            <w:shd w:val="clear" w:color="auto" w:fill="F2F2F2" w:themeFill="background1" w:themeFillShade="F2"/>
            <w:noWrap/>
            <w:vAlign w:val="center"/>
            <w:hideMark/>
          </w:tcPr>
          <w:p w14:paraId="75FFC1F4"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39,7</w:t>
            </w:r>
          </w:p>
        </w:tc>
        <w:tc>
          <w:tcPr>
            <w:tcW w:w="690" w:type="dxa"/>
            <w:shd w:val="clear" w:color="auto" w:fill="F2F2F2" w:themeFill="background1" w:themeFillShade="F2"/>
            <w:noWrap/>
            <w:vAlign w:val="center"/>
            <w:hideMark/>
          </w:tcPr>
          <w:p w14:paraId="6FC0AB25"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43,9</w:t>
            </w:r>
          </w:p>
        </w:tc>
        <w:tc>
          <w:tcPr>
            <w:tcW w:w="690" w:type="dxa"/>
            <w:shd w:val="clear" w:color="auto" w:fill="F2F2F2" w:themeFill="background1" w:themeFillShade="F2"/>
            <w:noWrap/>
            <w:vAlign w:val="center"/>
            <w:hideMark/>
          </w:tcPr>
          <w:p w14:paraId="4D729C42"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46,5</w:t>
            </w:r>
          </w:p>
        </w:tc>
        <w:tc>
          <w:tcPr>
            <w:tcW w:w="690" w:type="dxa"/>
            <w:shd w:val="clear" w:color="auto" w:fill="F2F2F2" w:themeFill="background1" w:themeFillShade="F2"/>
            <w:noWrap/>
            <w:vAlign w:val="center"/>
            <w:hideMark/>
          </w:tcPr>
          <w:p w14:paraId="40E16685"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49,9</w:t>
            </w:r>
          </w:p>
        </w:tc>
        <w:tc>
          <w:tcPr>
            <w:tcW w:w="690" w:type="dxa"/>
            <w:shd w:val="clear" w:color="auto" w:fill="F2F2F2" w:themeFill="background1" w:themeFillShade="F2"/>
            <w:noWrap/>
            <w:vAlign w:val="center"/>
            <w:hideMark/>
          </w:tcPr>
          <w:p w14:paraId="2226CE4A"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50,0</w:t>
            </w:r>
          </w:p>
        </w:tc>
        <w:tc>
          <w:tcPr>
            <w:tcW w:w="1661" w:type="dxa"/>
            <w:shd w:val="clear" w:color="auto" w:fill="DDECCF" w:themeFill="accent6" w:themeFillTint="33"/>
            <w:noWrap/>
            <w:vAlign w:val="center"/>
            <w:hideMark/>
          </w:tcPr>
          <w:p w14:paraId="45C4BBC8" w14:textId="77777777" w:rsidR="001F48CA" w:rsidRPr="00F83699" w:rsidRDefault="001F48CA" w:rsidP="00BA5BBA">
            <w:pPr>
              <w:spacing w:before="60" w:after="0"/>
              <w:ind w:right="121"/>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141,1</w:t>
            </w:r>
          </w:p>
        </w:tc>
      </w:tr>
      <w:tr w:rsidR="001F48CA" w:rsidRPr="00F83699" w14:paraId="569DF9EB" w14:textId="77777777" w:rsidTr="00BA5BBA">
        <w:trPr>
          <w:trHeight w:val="287"/>
        </w:trPr>
        <w:tc>
          <w:tcPr>
            <w:tcW w:w="2946" w:type="dxa"/>
            <w:shd w:val="clear" w:color="auto" w:fill="F2F2F2" w:themeFill="background1" w:themeFillShade="F2"/>
            <w:noWrap/>
            <w:vAlign w:val="bottom"/>
            <w:hideMark/>
          </w:tcPr>
          <w:p w14:paraId="60E9C517" w14:textId="77777777" w:rsidR="001F48CA" w:rsidRPr="00F83699" w:rsidRDefault="001F48CA" w:rsidP="00BA5BBA">
            <w:pPr>
              <w:spacing w:after="0"/>
              <w:ind w:left="316"/>
              <w:rPr>
                <w:rFonts w:ascii="Times New Roman" w:eastAsia="Times New Roman" w:hAnsi="Times New Roman" w:cs="Times New Roman"/>
                <w:b/>
                <w:bCs/>
                <w:color w:val="000000"/>
                <w:sz w:val="17"/>
                <w:szCs w:val="17"/>
                <w:lang w:val="ro-RO" w:eastAsia="ro-RO"/>
              </w:rPr>
            </w:pPr>
            <w:r w:rsidRPr="00F83699">
              <w:rPr>
                <w:rFonts w:ascii="Times New Roman" w:eastAsia="Times New Roman" w:hAnsi="Times New Roman" w:cs="Times New Roman"/>
                <w:b/>
                <w:bCs/>
                <w:color w:val="000000"/>
                <w:sz w:val="17"/>
                <w:szCs w:val="17"/>
                <w:lang w:val="ro-RO" w:eastAsia="ro-RO"/>
              </w:rPr>
              <w:t>Industria alimentară</w:t>
            </w:r>
          </w:p>
        </w:tc>
        <w:tc>
          <w:tcPr>
            <w:tcW w:w="690" w:type="dxa"/>
            <w:shd w:val="clear" w:color="auto" w:fill="F2F2F2" w:themeFill="background1" w:themeFillShade="F2"/>
            <w:noWrap/>
            <w:vAlign w:val="center"/>
            <w:hideMark/>
          </w:tcPr>
          <w:p w14:paraId="033AE79D"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13,1</w:t>
            </w:r>
          </w:p>
        </w:tc>
        <w:tc>
          <w:tcPr>
            <w:tcW w:w="690" w:type="dxa"/>
            <w:shd w:val="clear" w:color="auto" w:fill="F2F2F2" w:themeFill="background1" w:themeFillShade="F2"/>
            <w:noWrap/>
            <w:vAlign w:val="center"/>
            <w:hideMark/>
          </w:tcPr>
          <w:p w14:paraId="05D426DD"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13,6</w:t>
            </w:r>
          </w:p>
        </w:tc>
        <w:tc>
          <w:tcPr>
            <w:tcW w:w="690" w:type="dxa"/>
            <w:shd w:val="clear" w:color="auto" w:fill="F2F2F2" w:themeFill="background1" w:themeFillShade="F2"/>
            <w:noWrap/>
            <w:vAlign w:val="center"/>
            <w:hideMark/>
          </w:tcPr>
          <w:p w14:paraId="36E3A1F0"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14,7</w:t>
            </w:r>
          </w:p>
        </w:tc>
        <w:tc>
          <w:tcPr>
            <w:tcW w:w="690" w:type="dxa"/>
            <w:shd w:val="clear" w:color="auto" w:fill="F2F2F2" w:themeFill="background1" w:themeFillShade="F2"/>
            <w:noWrap/>
            <w:vAlign w:val="center"/>
            <w:hideMark/>
          </w:tcPr>
          <w:p w14:paraId="55C840C1"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16,2</w:t>
            </w:r>
          </w:p>
        </w:tc>
        <w:tc>
          <w:tcPr>
            <w:tcW w:w="690" w:type="dxa"/>
            <w:shd w:val="clear" w:color="auto" w:fill="F2F2F2" w:themeFill="background1" w:themeFillShade="F2"/>
            <w:noWrap/>
            <w:vAlign w:val="center"/>
            <w:hideMark/>
          </w:tcPr>
          <w:p w14:paraId="7E690F17"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15,5</w:t>
            </w:r>
          </w:p>
        </w:tc>
        <w:tc>
          <w:tcPr>
            <w:tcW w:w="690" w:type="dxa"/>
            <w:shd w:val="clear" w:color="auto" w:fill="F2F2F2" w:themeFill="background1" w:themeFillShade="F2"/>
            <w:noWrap/>
            <w:vAlign w:val="center"/>
            <w:hideMark/>
          </w:tcPr>
          <w:p w14:paraId="1F74E389"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16,7</w:t>
            </w:r>
          </w:p>
        </w:tc>
        <w:tc>
          <w:tcPr>
            <w:tcW w:w="690" w:type="dxa"/>
            <w:shd w:val="clear" w:color="auto" w:fill="F2F2F2" w:themeFill="background1" w:themeFillShade="F2"/>
            <w:noWrap/>
            <w:vAlign w:val="center"/>
            <w:hideMark/>
          </w:tcPr>
          <w:p w14:paraId="6249D41C"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16,6</w:t>
            </w:r>
          </w:p>
        </w:tc>
        <w:tc>
          <w:tcPr>
            <w:tcW w:w="1661" w:type="dxa"/>
            <w:shd w:val="clear" w:color="auto" w:fill="DDECCF" w:themeFill="accent6" w:themeFillTint="33"/>
            <w:noWrap/>
            <w:vAlign w:val="center"/>
            <w:hideMark/>
          </w:tcPr>
          <w:p w14:paraId="455B321A" w14:textId="77777777" w:rsidR="001F48CA" w:rsidRPr="00F83699" w:rsidRDefault="001F48CA" w:rsidP="00BA5BBA">
            <w:pPr>
              <w:spacing w:before="60" w:after="0"/>
              <w:ind w:right="121"/>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126,6</w:t>
            </w:r>
          </w:p>
        </w:tc>
      </w:tr>
      <w:tr w:rsidR="001F48CA" w:rsidRPr="00F83699" w14:paraId="411DB70C" w14:textId="77777777" w:rsidTr="00BA5BBA">
        <w:trPr>
          <w:trHeight w:val="287"/>
        </w:trPr>
        <w:tc>
          <w:tcPr>
            <w:tcW w:w="2946" w:type="dxa"/>
            <w:shd w:val="clear" w:color="auto" w:fill="F2F2F2" w:themeFill="background1" w:themeFillShade="F2"/>
            <w:noWrap/>
            <w:vAlign w:val="bottom"/>
            <w:hideMark/>
          </w:tcPr>
          <w:p w14:paraId="05898A7C" w14:textId="77777777" w:rsidR="001F48CA" w:rsidRPr="00F83699" w:rsidRDefault="001F48CA" w:rsidP="00BA5BBA">
            <w:pPr>
              <w:spacing w:after="0"/>
              <w:ind w:left="316"/>
              <w:rPr>
                <w:rFonts w:ascii="Times New Roman" w:eastAsia="Times New Roman" w:hAnsi="Times New Roman" w:cs="Times New Roman"/>
                <w:b/>
                <w:bCs/>
                <w:color w:val="000000"/>
                <w:sz w:val="17"/>
                <w:szCs w:val="17"/>
                <w:lang w:val="ro-RO" w:eastAsia="ro-RO"/>
              </w:rPr>
            </w:pPr>
            <w:r w:rsidRPr="00F83699">
              <w:rPr>
                <w:rFonts w:ascii="Times New Roman" w:eastAsia="Times New Roman" w:hAnsi="Times New Roman" w:cs="Times New Roman"/>
                <w:b/>
                <w:bCs/>
                <w:color w:val="000000"/>
                <w:sz w:val="17"/>
                <w:szCs w:val="17"/>
                <w:lang w:val="ro-RO" w:eastAsia="ro-RO"/>
              </w:rPr>
              <w:t>Fabricarea băuturilor</w:t>
            </w:r>
          </w:p>
        </w:tc>
        <w:tc>
          <w:tcPr>
            <w:tcW w:w="690" w:type="dxa"/>
            <w:shd w:val="clear" w:color="auto" w:fill="F2F2F2" w:themeFill="background1" w:themeFillShade="F2"/>
            <w:noWrap/>
            <w:vAlign w:val="center"/>
            <w:hideMark/>
          </w:tcPr>
          <w:p w14:paraId="08926FEC"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4,6</w:t>
            </w:r>
          </w:p>
        </w:tc>
        <w:tc>
          <w:tcPr>
            <w:tcW w:w="690" w:type="dxa"/>
            <w:shd w:val="clear" w:color="auto" w:fill="F2F2F2" w:themeFill="background1" w:themeFillShade="F2"/>
            <w:noWrap/>
            <w:vAlign w:val="center"/>
            <w:hideMark/>
          </w:tcPr>
          <w:p w14:paraId="74DC5F0A"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4,8</w:t>
            </w:r>
          </w:p>
        </w:tc>
        <w:tc>
          <w:tcPr>
            <w:tcW w:w="690" w:type="dxa"/>
            <w:shd w:val="clear" w:color="auto" w:fill="F2F2F2" w:themeFill="background1" w:themeFillShade="F2"/>
            <w:noWrap/>
            <w:vAlign w:val="center"/>
            <w:hideMark/>
          </w:tcPr>
          <w:p w14:paraId="4536E636"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4,5</w:t>
            </w:r>
          </w:p>
        </w:tc>
        <w:tc>
          <w:tcPr>
            <w:tcW w:w="690" w:type="dxa"/>
            <w:shd w:val="clear" w:color="auto" w:fill="F2F2F2" w:themeFill="background1" w:themeFillShade="F2"/>
            <w:noWrap/>
            <w:vAlign w:val="center"/>
            <w:hideMark/>
          </w:tcPr>
          <w:p w14:paraId="662A8EE4"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4,9</w:t>
            </w:r>
          </w:p>
        </w:tc>
        <w:tc>
          <w:tcPr>
            <w:tcW w:w="690" w:type="dxa"/>
            <w:shd w:val="clear" w:color="auto" w:fill="F2F2F2" w:themeFill="background1" w:themeFillShade="F2"/>
            <w:noWrap/>
            <w:vAlign w:val="center"/>
            <w:hideMark/>
          </w:tcPr>
          <w:p w14:paraId="09B8A28A"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5,3</w:t>
            </w:r>
          </w:p>
        </w:tc>
        <w:tc>
          <w:tcPr>
            <w:tcW w:w="690" w:type="dxa"/>
            <w:shd w:val="clear" w:color="auto" w:fill="F2F2F2" w:themeFill="background1" w:themeFillShade="F2"/>
            <w:noWrap/>
            <w:vAlign w:val="center"/>
            <w:hideMark/>
          </w:tcPr>
          <w:p w14:paraId="0B403638"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5,2</w:t>
            </w:r>
          </w:p>
        </w:tc>
        <w:tc>
          <w:tcPr>
            <w:tcW w:w="690" w:type="dxa"/>
            <w:shd w:val="clear" w:color="auto" w:fill="F2F2F2" w:themeFill="background1" w:themeFillShade="F2"/>
            <w:noWrap/>
            <w:vAlign w:val="center"/>
            <w:hideMark/>
          </w:tcPr>
          <w:p w14:paraId="396CAAA8"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5,0</w:t>
            </w:r>
          </w:p>
        </w:tc>
        <w:tc>
          <w:tcPr>
            <w:tcW w:w="1661" w:type="dxa"/>
            <w:shd w:val="clear" w:color="auto" w:fill="DDECCF" w:themeFill="accent6" w:themeFillTint="33"/>
            <w:noWrap/>
            <w:vAlign w:val="center"/>
            <w:hideMark/>
          </w:tcPr>
          <w:p w14:paraId="18DBBE3C" w14:textId="77777777" w:rsidR="001F48CA" w:rsidRPr="00F83699" w:rsidRDefault="001F48CA" w:rsidP="00BA5BBA">
            <w:pPr>
              <w:spacing w:before="60" w:after="0"/>
              <w:ind w:right="121"/>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109,2</w:t>
            </w:r>
          </w:p>
        </w:tc>
      </w:tr>
      <w:tr w:rsidR="001F48CA" w:rsidRPr="00F83699" w14:paraId="33597DF0" w14:textId="77777777" w:rsidTr="00BA5BBA">
        <w:trPr>
          <w:trHeight w:val="287"/>
        </w:trPr>
        <w:tc>
          <w:tcPr>
            <w:tcW w:w="2946" w:type="dxa"/>
            <w:shd w:val="clear" w:color="auto" w:fill="F2F2F2" w:themeFill="background1" w:themeFillShade="F2"/>
            <w:noWrap/>
            <w:vAlign w:val="bottom"/>
            <w:hideMark/>
          </w:tcPr>
          <w:p w14:paraId="2C042A7E" w14:textId="77777777" w:rsidR="001F48CA" w:rsidRPr="00F83699" w:rsidRDefault="001F48CA" w:rsidP="00BA5BBA">
            <w:pPr>
              <w:spacing w:after="0"/>
              <w:ind w:left="316"/>
              <w:rPr>
                <w:rFonts w:ascii="Times New Roman" w:eastAsia="Times New Roman" w:hAnsi="Times New Roman" w:cs="Times New Roman"/>
                <w:b/>
                <w:bCs/>
                <w:color w:val="000000"/>
                <w:sz w:val="17"/>
                <w:szCs w:val="17"/>
                <w:lang w:val="ro-RO" w:eastAsia="ro-RO"/>
              </w:rPr>
            </w:pPr>
            <w:r w:rsidRPr="00F83699">
              <w:rPr>
                <w:rFonts w:ascii="Times New Roman" w:eastAsia="Times New Roman" w:hAnsi="Times New Roman" w:cs="Times New Roman"/>
                <w:b/>
                <w:bCs/>
                <w:color w:val="000000"/>
                <w:sz w:val="17"/>
                <w:szCs w:val="17"/>
                <w:lang w:val="ro-RO" w:eastAsia="ro-RO"/>
              </w:rPr>
              <w:t>Fabricarea produselor din tutun</w:t>
            </w:r>
          </w:p>
        </w:tc>
        <w:tc>
          <w:tcPr>
            <w:tcW w:w="690" w:type="dxa"/>
            <w:shd w:val="clear" w:color="auto" w:fill="F2F2F2" w:themeFill="background1" w:themeFillShade="F2"/>
            <w:noWrap/>
            <w:vAlign w:val="center"/>
            <w:hideMark/>
          </w:tcPr>
          <w:p w14:paraId="36DEE32A"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0,3</w:t>
            </w:r>
          </w:p>
        </w:tc>
        <w:tc>
          <w:tcPr>
            <w:tcW w:w="690" w:type="dxa"/>
            <w:shd w:val="clear" w:color="auto" w:fill="F2F2F2" w:themeFill="background1" w:themeFillShade="F2"/>
            <w:noWrap/>
            <w:vAlign w:val="center"/>
            <w:hideMark/>
          </w:tcPr>
          <w:p w14:paraId="1FBD8F5C"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690" w:type="dxa"/>
            <w:shd w:val="clear" w:color="auto" w:fill="F2F2F2" w:themeFill="background1" w:themeFillShade="F2"/>
            <w:noWrap/>
            <w:vAlign w:val="center"/>
            <w:hideMark/>
          </w:tcPr>
          <w:p w14:paraId="463192BD"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690" w:type="dxa"/>
            <w:shd w:val="clear" w:color="auto" w:fill="F2F2F2" w:themeFill="background1" w:themeFillShade="F2"/>
            <w:noWrap/>
            <w:vAlign w:val="center"/>
            <w:hideMark/>
          </w:tcPr>
          <w:p w14:paraId="76D74016"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690" w:type="dxa"/>
            <w:shd w:val="clear" w:color="auto" w:fill="F2F2F2" w:themeFill="background1" w:themeFillShade="F2"/>
            <w:noWrap/>
            <w:vAlign w:val="center"/>
            <w:hideMark/>
          </w:tcPr>
          <w:p w14:paraId="3AC28D9E"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0,1</w:t>
            </w:r>
          </w:p>
        </w:tc>
        <w:tc>
          <w:tcPr>
            <w:tcW w:w="690" w:type="dxa"/>
            <w:shd w:val="clear" w:color="auto" w:fill="F2F2F2" w:themeFill="background1" w:themeFillShade="F2"/>
            <w:noWrap/>
            <w:vAlign w:val="center"/>
            <w:hideMark/>
          </w:tcPr>
          <w:p w14:paraId="54BFC987"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0,1</w:t>
            </w:r>
          </w:p>
        </w:tc>
        <w:tc>
          <w:tcPr>
            <w:tcW w:w="690" w:type="dxa"/>
            <w:shd w:val="clear" w:color="auto" w:fill="F2F2F2" w:themeFill="background1" w:themeFillShade="F2"/>
            <w:noWrap/>
            <w:vAlign w:val="center"/>
            <w:hideMark/>
          </w:tcPr>
          <w:p w14:paraId="5CA325CB"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0,1</w:t>
            </w:r>
          </w:p>
        </w:tc>
        <w:tc>
          <w:tcPr>
            <w:tcW w:w="1661" w:type="dxa"/>
            <w:shd w:val="clear" w:color="auto" w:fill="DDECCF" w:themeFill="accent6" w:themeFillTint="33"/>
            <w:noWrap/>
            <w:vAlign w:val="center"/>
            <w:hideMark/>
          </w:tcPr>
          <w:p w14:paraId="79EDD035" w14:textId="77777777" w:rsidR="001F48CA" w:rsidRPr="00F83699" w:rsidRDefault="001F48CA" w:rsidP="00BA5BBA">
            <w:pPr>
              <w:spacing w:before="60" w:after="0"/>
              <w:jc w:val="center"/>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32,7</w:t>
            </w:r>
          </w:p>
        </w:tc>
      </w:tr>
    </w:tbl>
    <w:p w14:paraId="54524980" w14:textId="4A2E386A" w:rsidR="004327E3" w:rsidRPr="00F83699" w:rsidRDefault="004327E3" w:rsidP="004327E3">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562C593E" w14:textId="0B8C2A80" w:rsidR="00D34F2F" w:rsidRDefault="00D34F2F" w:rsidP="00F83699">
      <w:pPr>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În perioada 2014-2020 au avut loc de asemenea și schimbări in structura producției industriale. Astfel pe fundalul unei creșteri a ponderii industriei prelucrătoare in volumul total al producției industriale cu circa 3%, ponderea industriei alimentare în volumul total al producției industriale a scăzut cu circa 8%, ponderea industriei de fabricare a băuturilor s-a redus cu circa 20%, iar a industriei de fabricare a produselor de tutun cu circa 76%. Ponderea producției agroalimentare în volumul total al producției industriale a scăzut cu </w:t>
      </w:r>
      <w:r w:rsidR="00F83699">
        <w:rPr>
          <w:rFonts w:ascii="Times New Roman" w:eastAsia="Calibri" w:hAnsi="Times New Roman" w:cs="Times New Roman"/>
          <w:lang w:val="ro-RO"/>
        </w:rPr>
        <w:t>circa 12% în perioada 2014-2020.</w:t>
      </w:r>
    </w:p>
    <w:p w14:paraId="196D275F" w14:textId="781E3197" w:rsidR="00F83699" w:rsidRPr="00F83699" w:rsidRDefault="00F83699" w:rsidP="00F83699">
      <w:pPr>
        <w:pStyle w:val="Caption"/>
        <w:framePr w:w="0" w:wrap="auto" w:vAnchor="margin" w:yAlign="inline"/>
        <w:rPr>
          <w:rFonts w:ascii="Times New Roman" w:hAnsi="Times New Roman" w:cs="Times New Roman"/>
          <w:sz w:val="18"/>
          <w:szCs w:val="18"/>
          <w:lang w:val="ro-RO"/>
        </w:rPr>
      </w:pPr>
      <w:r w:rsidRPr="00F83699">
        <w:rPr>
          <w:rFonts w:ascii="Times New Roman" w:hAnsi="Times New Roman" w:cs="Times New Roman"/>
          <w:sz w:val="18"/>
          <w:szCs w:val="18"/>
          <w:lang w:val="ro-RO"/>
        </w:rPr>
        <w:t>Tabelul 8. Dinamica structurii producției industriale fabricate in sectorul agroalimentar, 2014-2020, %</w:t>
      </w:r>
    </w:p>
    <w:tbl>
      <w:tblPr>
        <w:tblW w:w="9526" w:type="dxa"/>
        <w:tblLook w:val="04A0" w:firstRow="1" w:lastRow="0" w:firstColumn="1" w:lastColumn="0" w:noHBand="0" w:noVBand="1"/>
      </w:tblPr>
      <w:tblGrid>
        <w:gridCol w:w="2490"/>
        <w:gridCol w:w="753"/>
        <w:gridCol w:w="753"/>
        <w:gridCol w:w="753"/>
        <w:gridCol w:w="753"/>
        <w:gridCol w:w="934"/>
        <w:gridCol w:w="753"/>
        <w:gridCol w:w="753"/>
        <w:gridCol w:w="1584"/>
      </w:tblGrid>
      <w:tr w:rsidR="001F48CA" w:rsidRPr="00F83699" w14:paraId="706EF830" w14:textId="77777777" w:rsidTr="00BA5BBA">
        <w:trPr>
          <w:trHeight w:val="505"/>
        </w:trPr>
        <w:tc>
          <w:tcPr>
            <w:tcW w:w="2490"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68442B44" w14:textId="77777777" w:rsidR="001F48CA" w:rsidRPr="00F83699" w:rsidRDefault="001F48CA" w:rsidP="00BA5BBA">
            <w:pPr>
              <w:rPr>
                <w:rFonts w:ascii="Times New Roman" w:hAnsi="Times New Roman" w:cs="Times New Roman"/>
                <w:sz w:val="17"/>
                <w:szCs w:val="17"/>
                <w:lang w:val="ro-RO"/>
              </w:rPr>
            </w:pP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1A3CC006"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2014</w:t>
            </w: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279F645F"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2015</w:t>
            </w: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28DA6136"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2016</w:t>
            </w: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5CD02025"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2017</w:t>
            </w:r>
          </w:p>
        </w:tc>
        <w:tc>
          <w:tcPr>
            <w:tcW w:w="934"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376E08E1"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2018</w:t>
            </w: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135766A0"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2019</w:t>
            </w:r>
          </w:p>
        </w:tc>
        <w:tc>
          <w:tcPr>
            <w:tcW w:w="753"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1B08B529"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2020</w:t>
            </w:r>
          </w:p>
        </w:tc>
        <w:tc>
          <w:tcPr>
            <w:tcW w:w="1584"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hideMark/>
          </w:tcPr>
          <w:p w14:paraId="381A9FBD" w14:textId="77777777" w:rsidR="001F48CA" w:rsidRPr="00F83699" w:rsidRDefault="001F48CA" w:rsidP="00BA5BBA">
            <w:pPr>
              <w:spacing w:after="0"/>
              <w:jc w:val="center"/>
              <w:rPr>
                <w:rFonts w:ascii="Times New Roman" w:eastAsia="Times New Roman" w:hAnsi="Times New Roman" w:cs="Times New Roman"/>
                <w:color w:val="FFFFFF" w:themeColor="background1"/>
                <w:sz w:val="17"/>
                <w:szCs w:val="17"/>
                <w:lang w:val="ro-RO" w:eastAsia="ro-RO"/>
              </w:rPr>
            </w:pPr>
            <w:r w:rsidRPr="00F83699">
              <w:rPr>
                <w:rFonts w:ascii="Times New Roman" w:eastAsia="Times New Roman" w:hAnsi="Times New Roman" w:cs="Times New Roman"/>
                <w:color w:val="FFFFFF" w:themeColor="background1"/>
                <w:sz w:val="17"/>
                <w:szCs w:val="17"/>
                <w:lang w:val="ro-RO" w:eastAsia="ro-RO"/>
              </w:rPr>
              <w:t>2020/2014, %</w:t>
            </w:r>
          </w:p>
        </w:tc>
      </w:tr>
      <w:tr w:rsidR="001F48CA" w:rsidRPr="00F83699" w14:paraId="3A87D392"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C34442B"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Industrie - total</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C2813D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88E0071"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AB3A0A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82709F2"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CB57C9B"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97A0B2B"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A0B47B0"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2DCA0753"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100,0</w:t>
            </w:r>
          </w:p>
        </w:tc>
      </w:tr>
      <w:tr w:rsidR="001F48CA" w:rsidRPr="00F83699" w14:paraId="27C93D10"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7CC4868"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Industria prelucrătoare, inclusiv</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3027262"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81,4</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FEAE0B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82,6</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0BB680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83,3</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093B4E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83,3</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D90F21E"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82,7</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CA53E3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84,0</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A50362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83,9</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23A75E2"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103,0</w:t>
            </w:r>
          </w:p>
        </w:tc>
      </w:tr>
      <w:tr w:rsidR="001F48CA" w:rsidRPr="00F83699" w14:paraId="31588819"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E38601B"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Industria alimentară</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3CBEF16"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30,1</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19FDB76"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29,8</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CB307B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30,8</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B3D07F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30,6</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F67B047"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27,5</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7E25EF2"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28,2</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2614ADE"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27,8</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19822880"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92,4</w:t>
            </w:r>
          </w:p>
        </w:tc>
      </w:tr>
      <w:tr w:rsidR="001F48CA" w:rsidRPr="00F83699" w14:paraId="2DBA554E"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C69F981"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Fabricarea băuturilor</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8959C3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10,5</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E968EF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10,6</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0F89C4A"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9,4</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C90799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9,4</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D95138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9,3</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B1B3069"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8,8</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D1CE41D"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8,4</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86820AC"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79,7</w:t>
            </w:r>
          </w:p>
        </w:tc>
      </w:tr>
      <w:tr w:rsidR="001F48CA" w:rsidRPr="00F83699" w14:paraId="52D41FCD"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0675D9C"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Fabricarea produselor din tutun</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87F266D"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0,8</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0F20DF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0,5</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10FC6C8"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0,5</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549A3A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0,3</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517EB9A"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1B633C3"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5EC77E2"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0,2</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3BC01436"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23,9</w:t>
            </w:r>
          </w:p>
        </w:tc>
      </w:tr>
      <w:tr w:rsidR="001F48CA" w:rsidRPr="00F83699" w14:paraId="63EBCC0C" w14:textId="77777777" w:rsidTr="00BA5BBA">
        <w:trPr>
          <w:trHeight w:val="296"/>
        </w:trPr>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ED4E08D" w14:textId="77777777" w:rsidR="001F48CA" w:rsidRPr="00F83699" w:rsidRDefault="001F48CA" w:rsidP="00BA5BBA">
            <w:pPr>
              <w:spacing w:after="0"/>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 xml:space="preserve">Sub-Total </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7B75C56"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41,4</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05E244A"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40,9</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6A2E495"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40,7</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227D65C"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40,3</w:t>
            </w:r>
          </w:p>
        </w:tc>
        <w:tc>
          <w:tcPr>
            <w:tcW w:w="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D576409"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37,1</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CA5743A"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37,2</w:t>
            </w:r>
          </w:p>
        </w:tc>
        <w:tc>
          <w:tcPr>
            <w:tcW w:w="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268AF6F"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36,4</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151F116A" w14:textId="77777777" w:rsidR="001F48CA" w:rsidRPr="00F83699" w:rsidRDefault="001F48CA" w:rsidP="00BA5BBA">
            <w:pPr>
              <w:spacing w:after="0"/>
              <w:jc w:val="right"/>
              <w:rPr>
                <w:rFonts w:ascii="Times New Roman" w:eastAsia="Times New Roman" w:hAnsi="Times New Roman" w:cs="Times New Roman"/>
                <w:color w:val="000000"/>
                <w:sz w:val="17"/>
                <w:szCs w:val="17"/>
                <w:lang w:val="ro-RO" w:eastAsia="ro-RO"/>
              </w:rPr>
            </w:pPr>
            <w:r w:rsidRPr="00F83699">
              <w:rPr>
                <w:rFonts w:ascii="Times New Roman" w:eastAsia="Times New Roman" w:hAnsi="Times New Roman" w:cs="Times New Roman"/>
                <w:color w:val="000000"/>
                <w:sz w:val="17"/>
                <w:szCs w:val="17"/>
                <w:lang w:val="ro-RO" w:eastAsia="ro-RO"/>
              </w:rPr>
              <w:t>87,9</w:t>
            </w:r>
          </w:p>
        </w:tc>
      </w:tr>
    </w:tbl>
    <w:p w14:paraId="48A69730" w14:textId="0505DCC3" w:rsidR="004327E3" w:rsidRPr="00F83699" w:rsidRDefault="004327E3" w:rsidP="004327E3">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57DED571" w14:textId="6B9ECFE1" w:rsidR="00D34F2F" w:rsidRPr="00A73566" w:rsidRDefault="00D34F2F" w:rsidP="00F83699">
      <w:pPr>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Sub sectoarele </w:t>
      </w:r>
      <w:r w:rsidR="00D43A2B" w:rsidRPr="00A73566">
        <w:rPr>
          <w:rFonts w:ascii="Times New Roman" w:eastAsia="Calibri" w:hAnsi="Times New Roman" w:cs="Times New Roman"/>
          <w:lang w:val="ro-RO"/>
        </w:rPr>
        <w:t>i</w:t>
      </w:r>
      <w:r w:rsidRPr="00A73566">
        <w:rPr>
          <w:rFonts w:ascii="Times New Roman" w:eastAsia="Calibri" w:hAnsi="Times New Roman" w:cs="Times New Roman"/>
          <w:lang w:val="ro-RO"/>
        </w:rPr>
        <w:t>ndustri</w:t>
      </w:r>
      <w:r w:rsidR="00D43A2B" w:rsidRPr="00A73566">
        <w:rPr>
          <w:rFonts w:ascii="Times New Roman" w:eastAsia="Calibri" w:hAnsi="Times New Roman" w:cs="Times New Roman"/>
          <w:lang w:val="ro-RO"/>
        </w:rPr>
        <w:t>ei</w:t>
      </w:r>
      <w:r w:rsidRPr="00A73566">
        <w:rPr>
          <w:rFonts w:ascii="Times New Roman" w:eastAsia="Calibri" w:hAnsi="Times New Roman" w:cs="Times New Roman"/>
          <w:lang w:val="ro-RO"/>
        </w:rPr>
        <w:t xml:space="preserve"> alimentar</w:t>
      </w:r>
      <w:r w:rsidR="00D43A2B" w:rsidRPr="00A73566">
        <w:rPr>
          <w:rFonts w:ascii="Times New Roman" w:eastAsia="Calibri" w:hAnsi="Times New Roman" w:cs="Times New Roman"/>
          <w:lang w:val="ro-RO"/>
        </w:rPr>
        <w:t>e și f</w:t>
      </w:r>
      <w:r w:rsidRPr="00A73566">
        <w:rPr>
          <w:rFonts w:ascii="Times New Roman" w:eastAsia="Calibri" w:hAnsi="Times New Roman" w:cs="Times New Roman"/>
          <w:lang w:val="ro-RO"/>
        </w:rPr>
        <w:t>abricarea băuturilor au o contribuție importanta în crearea locurilor de muncă. Astfel</w:t>
      </w:r>
      <w:r w:rsidR="0022713E" w:rsidRPr="00A73566">
        <w:rPr>
          <w:rFonts w:ascii="Times New Roman" w:eastAsia="Calibri" w:hAnsi="Times New Roman" w:cs="Times New Roman"/>
          <w:lang w:val="ro-RO"/>
        </w:rPr>
        <w:t>,</w:t>
      </w:r>
      <w:r w:rsidRPr="00A73566">
        <w:rPr>
          <w:rFonts w:ascii="Times New Roman" w:eastAsia="Calibri" w:hAnsi="Times New Roman" w:cs="Times New Roman"/>
          <w:lang w:val="ro-RO"/>
        </w:rPr>
        <w:t xml:space="preserve"> în anul 2020 circa o treime din numărul mediu anual al salariaților din industria prelucrătoare activau în aceste sub sectoare. Cu toate </w:t>
      </w:r>
      <w:r w:rsidR="00D43A2B" w:rsidRPr="00A73566">
        <w:rPr>
          <w:rFonts w:ascii="Times New Roman" w:eastAsia="Calibri" w:hAnsi="Times New Roman" w:cs="Times New Roman"/>
          <w:lang w:val="ro-RO"/>
        </w:rPr>
        <w:t xml:space="preserve">că în perioada 2014-2020 </w:t>
      </w:r>
      <w:r w:rsidRPr="00A73566">
        <w:rPr>
          <w:rFonts w:ascii="Times New Roman" w:eastAsia="Calibri" w:hAnsi="Times New Roman" w:cs="Times New Roman"/>
          <w:lang w:val="ro-RO"/>
        </w:rPr>
        <w:t xml:space="preserve">numărul mediu anual al salariaților din sectorul </w:t>
      </w:r>
      <w:r w:rsidR="00D43A2B" w:rsidRPr="00A73566">
        <w:rPr>
          <w:rFonts w:ascii="Times New Roman" w:eastAsia="Calibri" w:hAnsi="Times New Roman" w:cs="Times New Roman"/>
          <w:lang w:val="ro-RO"/>
        </w:rPr>
        <w:t>i</w:t>
      </w:r>
      <w:r w:rsidRPr="00A73566">
        <w:rPr>
          <w:rFonts w:ascii="Times New Roman" w:eastAsia="Calibri" w:hAnsi="Times New Roman" w:cs="Times New Roman"/>
          <w:lang w:val="ro-RO"/>
        </w:rPr>
        <w:t>ndustrie a crescut cu circa 10%</w:t>
      </w:r>
      <w:r w:rsidR="00D43A2B"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 xml:space="preserve">, în </w:t>
      </w:r>
      <w:r w:rsidR="00D43A2B" w:rsidRPr="00A73566">
        <w:rPr>
          <w:rFonts w:ascii="Times New Roman" w:eastAsia="Calibri" w:hAnsi="Times New Roman" w:cs="Times New Roman"/>
          <w:lang w:val="ro-RO"/>
        </w:rPr>
        <w:t>i</w:t>
      </w:r>
      <w:r w:rsidRPr="00A73566">
        <w:rPr>
          <w:rFonts w:ascii="Times New Roman" w:eastAsia="Calibri" w:hAnsi="Times New Roman" w:cs="Times New Roman"/>
          <w:lang w:val="ro-RO"/>
        </w:rPr>
        <w:t>ndustria alimentară acesta a rămas aproape neschimbat,</w:t>
      </w:r>
      <w:r w:rsidR="00D43A2B"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 xml:space="preserve">în sub sectorul </w:t>
      </w:r>
      <w:r w:rsidR="00D43A2B" w:rsidRPr="00A73566">
        <w:rPr>
          <w:rFonts w:ascii="Times New Roman" w:eastAsia="Calibri" w:hAnsi="Times New Roman" w:cs="Times New Roman"/>
          <w:lang w:val="ro-RO"/>
        </w:rPr>
        <w:t>f</w:t>
      </w:r>
      <w:r w:rsidRPr="00A73566">
        <w:rPr>
          <w:rFonts w:ascii="Times New Roman" w:eastAsia="Calibri" w:hAnsi="Times New Roman" w:cs="Times New Roman"/>
          <w:lang w:val="ro-RO"/>
        </w:rPr>
        <w:t xml:space="preserve">abricarea băuturilor el s-a redus cu circa 12%, iar în sub sectorul </w:t>
      </w:r>
      <w:r w:rsidR="00D43A2B" w:rsidRPr="00A73566">
        <w:rPr>
          <w:rFonts w:ascii="Times New Roman" w:eastAsia="Calibri" w:hAnsi="Times New Roman" w:cs="Times New Roman"/>
          <w:lang w:val="ro-RO"/>
        </w:rPr>
        <w:t>f</w:t>
      </w:r>
      <w:r w:rsidRPr="00A73566">
        <w:rPr>
          <w:rFonts w:ascii="Times New Roman" w:eastAsia="Calibri" w:hAnsi="Times New Roman" w:cs="Times New Roman"/>
          <w:lang w:val="ro-RO"/>
        </w:rPr>
        <w:t xml:space="preserve">abricarea produselor din tutun cu circa 58%. De asemenea a scăzut si ponderea acestor sub sectoare în numărul total al angajaților din sectorul industrial. </w:t>
      </w:r>
    </w:p>
    <w:p w14:paraId="1AAF264C" w14:textId="73CA74E7" w:rsidR="00D34F2F" w:rsidRPr="00A73566" w:rsidRDefault="00D34F2F" w:rsidP="00F83699">
      <w:pPr>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În aceiași perioadă numărul întreprinderilor în </w:t>
      </w:r>
      <w:r w:rsidR="004327E3" w:rsidRPr="00A73566">
        <w:rPr>
          <w:rFonts w:ascii="Times New Roman" w:eastAsia="Calibri" w:hAnsi="Times New Roman" w:cs="Times New Roman"/>
          <w:lang w:val="ro-RO"/>
        </w:rPr>
        <w:t>i</w:t>
      </w:r>
      <w:r w:rsidRPr="00A73566">
        <w:rPr>
          <w:rFonts w:ascii="Times New Roman" w:eastAsia="Calibri" w:hAnsi="Times New Roman" w:cs="Times New Roman"/>
          <w:lang w:val="ro-RO"/>
        </w:rPr>
        <w:t xml:space="preserve">ndustria alimentară a crescut cu circa 8%, în celelalte sub sectoare numărul de întreprinderi rămânând relativ constant . </w:t>
      </w:r>
    </w:p>
    <w:p w14:paraId="4C5CE7B5" w14:textId="741CF33E" w:rsidR="00D34F2F" w:rsidRPr="00F83699" w:rsidRDefault="00D34F2F" w:rsidP="00D34F2F">
      <w:pPr>
        <w:pStyle w:val="Caption"/>
        <w:framePr w:wrap="around"/>
        <w:rPr>
          <w:rFonts w:ascii="Times New Roman" w:hAnsi="Times New Roman" w:cs="Times New Roman"/>
          <w:sz w:val="18"/>
          <w:szCs w:val="18"/>
          <w:lang w:val="ro-RO"/>
        </w:rPr>
      </w:pPr>
      <w:r w:rsidRPr="00F83699">
        <w:rPr>
          <w:rFonts w:ascii="Times New Roman" w:hAnsi="Times New Roman" w:cs="Times New Roman"/>
          <w:sz w:val="18"/>
          <w:szCs w:val="18"/>
          <w:lang w:val="ro-RO"/>
        </w:rPr>
        <w:t xml:space="preserve">Tabelul </w:t>
      </w:r>
      <w:r w:rsidR="004327E3" w:rsidRPr="00F83699">
        <w:rPr>
          <w:rFonts w:ascii="Times New Roman" w:hAnsi="Times New Roman" w:cs="Times New Roman"/>
          <w:sz w:val="18"/>
          <w:szCs w:val="18"/>
          <w:lang w:val="ro-RO"/>
        </w:rPr>
        <w:t>9</w:t>
      </w:r>
      <w:r w:rsidRPr="00F83699">
        <w:rPr>
          <w:rFonts w:ascii="Times New Roman" w:hAnsi="Times New Roman" w:cs="Times New Roman"/>
          <w:sz w:val="18"/>
          <w:szCs w:val="18"/>
          <w:lang w:val="ro-RO"/>
        </w:rPr>
        <w:t>. Numărul de întreprinderi și de personal în sub sectoarele industriei agroalimentare, 2015-2020</w:t>
      </w:r>
    </w:p>
    <w:tbl>
      <w:tblPr>
        <w:tblW w:w="9520" w:type="dxa"/>
        <w:tblLook w:val="04A0" w:firstRow="1" w:lastRow="0" w:firstColumn="1" w:lastColumn="0" w:noHBand="0" w:noVBand="1"/>
      </w:tblPr>
      <w:tblGrid>
        <w:gridCol w:w="3225"/>
        <w:gridCol w:w="801"/>
        <w:gridCol w:w="801"/>
        <w:gridCol w:w="801"/>
        <w:gridCol w:w="801"/>
        <w:gridCol w:w="801"/>
        <w:gridCol w:w="806"/>
        <w:gridCol w:w="1484"/>
      </w:tblGrid>
      <w:tr w:rsidR="001F48CA" w:rsidRPr="00F83699" w14:paraId="2EA42C67" w14:textId="77777777" w:rsidTr="00F16D3A">
        <w:trPr>
          <w:trHeight w:val="503"/>
        </w:trPr>
        <w:tc>
          <w:tcPr>
            <w:tcW w:w="3225"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3FC37F48" w14:textId="77777777" w:rsidR="001F48CA" w:rsidRPr="00F83699" w:rsidRDefault="001F48CA" w:rsidP="00BA5BBA">
            <w:pPr>
              <w:rPr>
                <w:rFonts w:ascii="Times New Roman" w:hAnsi="Times New Roman" w:cs="Times New Roman"/>
                <w:color w:val="FFFFFF" w:themeColor="background1"/>
                <w:sz w:val="18"/>
                <w:szCs w:val="18"/>
                <w:lang w:val="ro-RO"/>
              </w:rPr>
            </w:pPr>
          </w:p>
        </w:tc>
        <w:tc>
          <w:tcPr>
            <w:tcW w:w="801"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49F6C3FF"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2015</w:t>
            </w:r>
          </w:p>
        </w:tc>
        <w:tc>
          <w:tcPr>
            <w:tcW w:w="801"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1AC9FB7C"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2016</w:t>
            </w:r>
          </w:p>
        </w:tc>
        <w:tc>
          <w:tcPr>
            <w:tcW w:w="801"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51C18276"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2017</w:t>
            </w:r>
          </w:p>
        </w:tc>
        <w:tc>
          <w:tcPr>
            <w:tcW w:w="801"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07B6CE79"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2018</w:t>
            </w:r>
          </w:p>
        </w:tc>
        <w:tc>
          <w:tcPr>
            <w:tcW w:w="801"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0B1BB720"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2019</w:t>
            </w:r>
          </w:p>
        </w:tc>
        <w:tc>
          <w:tcPr>
            <w:tcW w:w="806"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414CFED2"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2020</w:t>
            </w:r>
          </w:p>
        </w:tc>
        <w:tc>
          <w:tcPr>
            <w:tcW w:w="1484" w:type="dxa"/>
            <w:tcBorders>
              <w:top w:val="single" w:sz="4" w:space="0" w:color="auto"/>
              <w:left w:val="single" w:sz="4" w:space="0" w:color="auto"/>
              <w:bottom w:val="single" w:sz="4" w:space="0" w:color="FFFFFF" w:themeColor="background1"/>
              <w:right w:val="single" w:sz="4" w:space="0" w:color="auto"/>
            </w:tcBorders>
            <w:shd w:val="clear" w:color="auto" w:fill="144B58" w:themeFill="accent4" w:themeFillShade="40"/>
            <w:noWrap/>
            <w:vAlign w:val="bottom"/>
            <w:hideMark/>
          </w:tcPr>
          <w:p w14:paraId="41D8A0F8" w14:textId="77777777" w:rsidR="001F48CA" w:rsidRPr="00F83699" w:rsidRDefault="001F48CA" w:rsidP="00BA5BBA">
            <w:pPr>
              <w:spacing w:after="0"/>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color w:val="FFFFFF" w:themeColor="background1"/>
                <w:sz w:val="18"/>
                <w:szCs w:val="18"/>
                <w:lang w:val="ro-RO" w:eastAsia="ro-RO"/>
              </w:rPr>
              <w:t>2020/2015,%</w:t>
            </w:r>
          </w:p>
        </w:tc>
      </w:tr>
      <w:tr w:rsidR="001F48CA" w:rsidRPr="00F83699" w14:paraId="42210E55" w14:textId="77777777" w:rsidTr="00BA5BBA">
        <w:trPr>
          <w:trHeight w:val="304"/>
        </w:trPr>
        <w:tc>
          <w:tcPr>
            <w:tcW w:w="80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B482AE1" w14:textId="2B702113" w:rsidR="001F48CA" w:rsidRPr="00F83699" w:rsidRDefault="00E6264D" w:rsidP="00BA5BBA">
            <w:pPr>
              <w:spacing w:after="0"/>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 xml:space="preserve">   </w:t>
            </w:r>
            <w:r w:rsidR="001F48CA" w:rsidRPr="00F83699">
              <w:rPr>
                <w:rFonts w:ascii="Times New Roman" w:eastAsia="Times New Roman" w:hAnsi="Times New Roman" w:cs="Times New Roman"/>
                <w:color w:val="000000"/>
                <w:sz w:val="18"/>
                <w:szCs w:val="18"/>
                <w:lang w:val="ro-RO" w:eastAsia="ro-RO"/>
              </w:rPr>
              <w:t>Industria alimentara</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bottom"/>
          </w:tcPr>
          <w:p w14:paraId="4AA1F42C" w14:textId="77777777" w:rsidR="001F48CA" w:rsidRPr="00F83699" w:rsidRDefault="001F48CA" w:rsidP="00BA5BBA">
            <w:pPr>
              <w:spacing w:after="0"/>
              <w:rPr>
                <w:rFonts w:ascii="Times New Roman" w:eastAsia="Times New Roman" w:hAnsi="Times New Roman" w:cs="Times New Roman"/>
                <w:color w:val="000000"/>
                <w:sz w:val="18"/>
                <w:szCs w:val="18"/>
                <w:lang w:val="ro-RO" w:eastAsia="ro-RO"/>
              </w:rPr>
            </w:pPr>
          </w:p>
        </w:tc>
      </w:tr>
      <w:tr w:rsidR="001F48CA" w:rsidRPr="00F83699" w14:paraId="5B0523BD"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92F9E43" w14:textId="58D61AE6"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Numărul de î</w:t>
            </w:r>
            <w:r w:rsidR="001F48CA" w:rsidRPr="00F83699">
              <w:rPr>
                <w:rFonts w:ascii="Times New Roman" w:eastAsia="Times New Roman" w:hAnsi="Times New Roman" w:cs="Times New Roman"/>
                <w:color w:val="000000"/>
                <w:sz w:val="18"/>
                <w:szCs w:val="18"/>
                <w:lang w:val="ro-RO" w:eastAsia="ro-RO"/>
              </w:rPr>
              <w:t>ntreprinderi</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2D7197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932</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0F92C7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935</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22AE41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949</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27C11B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993</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CC002B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985</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D3484D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1004</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2D9079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107,7</w:t>
            </w:r>
          </w:p>
        </w:tc>
      </w:tr>
      <w:tr w:rsidR="001F48CA" w:rsidRPr="00F83699" w14:paraId="33AC79AF"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F38FB7A" w14:textId="3BAF880F"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w:t>
            </w:r>
            <w:r w:rsidR="001F48CA" w:rsidRPr="00F83699">
              <w:rPr>
                <w:rFonts w:ascii="Times New Roman" w:eastAsia="Times New Roman" w:hAnsi="Times New Roman" w:cs="Times New Roman"/>
                <w:color w:val="000000"/>
                <w:sz w:val="18"/>
                <w:szCs w:val="18"/>
                <w:lang w:val="ro-RO" w:eastAsia="ro-RO"/>
              </w:rPr>
              <w:t>rul mediu de personal</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81464C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24535</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16B81C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24718</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45DCA5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27051</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D29384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27097</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16134F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26965</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938D50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26608</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45107F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108,4</w:t>
            </w:r>
          </w:p>
        </w:tc>
      </w:tr>
      <w:tr w:rsidR="001F48CA" w:rsidRPr="00F83699" w14:paraId="402049AF" w14:textId="77777777" w:rsidTr="00BA5BBA">
        <w:trPr>
          <w:trHeight w:val="304"/>
        </w:trPr>
        <w:tc>
          <w:tcPr>
            <w:tcW w:w="80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AC50351" w14:textId="17927BEE" w:rsidR="001F48CA" w:rsidRPr="00F83699" w:rsidRDefault="00E6264D" w:rsidP="00BA5BBA">
            <w:pPr>
              <w:spacing w:after="0"/>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 xml:space="preserve">   </w:t>
            </w:r>
            <w:r w:rsidR="00803F18" w:rsidRPr="00F83699">
              <w:rPr>
                <w:rFonts w:ascii="Times New Roman" w:eastAsia="Times New Roman" w:hAnsi="Times New Roman" w:cs="Times New Roman"/>
                <w:color w:val="000000"/>
                <w:sz w:val="18"/>
                <w:szCs w:val="18"/>
                <w:lang w:val="ro-RO" w:eastAsia="ro-RO"/>
              </w:rPr>
              <w:t>Fabricarea bă</w:t>
            </w:r>
            <w:r w:rsidR="001F48CA" w:rsidRPr="00F83699">
              <w:rPr>
                <w:rFonts w:ascii="Times New Roman" w:eastAsia="Times New Roman" w:hAnsi="Times New Roman" w:cs="Times New Roman"/>
                <w:color w:val="000000"/>
                <w:sz w:val="18"/>
                <w:szCs w:val="18"/>
                <w:lang w:val="ro-RO" w:eastAsia="ro-RO"/>
              </w:rPr>
              <w:t>uturilor</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bottom"/>
          </w:tcPr>
          <w:p w14:paraId="731D24F9" w14:textId="77777777" w:rsidR="001F48CA" w:rsidRPr="00F83699" w:rsidRDefault="001F48CA" w:rsidP="00BA5BBA">
            <w:pPr>
              <w:spacing w:after="0"/>
              <w:rPr>
                <w:rFonts w:ascii="Times New Roman" w:eastAsia="Times New Roman" w:hAnsi="Times New Roman" w:cs="Times New Roman"/>
                <w:color w:val="000000"/>
                <w:sz w:val="18"/>
                <w:szCs w:val="18"/>
                <w:lang w:val="ro-RO" w:eastAsia="ro-RO"/>
              </w:rPr>
            </w:pPr>
          </w:p>
        </w:tc>
      </w:tr>
      <w:tr w:rsidR="001F48CA" w:rsidRPr="00F83699" w14:paraId="206270D4"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1B7A7B3" w14:textId="28BDC7B3"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Numărul de î</w:t>
            </w:r>
            <w:r w:rsidR="001F48CA" w:rsidRPr="00F83699">
              <w:rPr>
                <w:rFonts w:ascii="Times New Roman" w:eastAsia="Times New Roman" w:hAnsi="Times New Roman" w:cs="Times New Roman"/>
                <w:color w:val="000000"/>
                <w:sz w:val="18"/>
                <w:szCs w:val="18"/>
                <w:lang w:val="ro-RO" w:eastAsia="ro-RO"/>
              </w:rPr>
              <w:t>ntreprinderi</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DA951C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226</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3B3DBC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229</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603EF1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239</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FF8E26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237</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A11A1F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229</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17E7A4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228</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1C2707C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100,9</w:t>
            </w:r>
          </w:p>
        </w:tc>
      </w:tr>
      <w:tr w:rsidR="001F48CA" w:rsidRPr="00F83699" w14:paraId="6EF7367F"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B8F4170" w14:textId="6C87C2C7"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w:t>
            </w:r>
            <w:r w:rsidR="001F48CA" w:rsidRPr="00F83699">
              <w:rPr>
                <w:rFonts w:ascii="Times New Roman" w:eastAsia="Times New Roman" w:hAnsi="Times New Roman" w:cs="Times New Roman"/>
                <w:color w:val="000000"/>
                <w:sz w:val="18"/>
                <w:szCs w:val="18"/>
                <w:lang w:val="ro-RO" w:eastAsia="ro-RO"/>
              </w:rPr>
              <w:t>rul mediu de personal</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1CE706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9166</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7BA1B7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8934</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9BCA97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8864</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5BD9F5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9080</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69651B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8719</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FC9275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7937</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2F7940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86,6</w:t>
            </w:r>
          </w:p>
        </w:tc>
      </w:tr>
      <w:tr w:rsidR="001F48CA" w:rsidRPr="00F83699" w14:paraId="57C852DB" w14:textId="77777777" w:rsidTr="00BA5BBA">
        <w:trPr>
          <w:trHeight w:val="304"/>
        </w:trPr>
        <w:tc>
          <w:tcPr>
            <w:tcW w:w="80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CF29170" w14:textId="5A05CC01" w:rsidR="001F48CA" w:rsidRPr="00F83699" w:rsidRDefault="00E6264D" w:rsidP="00BA5BBA">
            <w:pPr>
              <w:spacing w:after="0"/>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 xml:space="preserve">   </w:t>
            </w:r>
            <w:r w:rsidR="001F48CA" w:rsidRPr="00F83699">
              <w:rPr>
                <w:rFonts w:ascii="Times New Roman" w:eastAsia="Times New Roman" w:hAnsi="Times New Roman" w:cs="Times New Roman"/>
                <w:color w:val="000000"/>
                <w:sz w:val="18"/>
                <w:szCs w:val="18"/>
                <w:lang w:val="ro-RO" w:eastAsia="ro-RO"/>
              </w:rPr>
              <w:t>Fabricarea produselor din tutun</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bottom"/>
          </w:tcPr>
          <w:p w14:paraId="20C24470" w14:textId="77777777" w:rsidR="001F48CA" w:rsidRPr="00F83699" w:rsidRDefault="001F48CA" w:rsidP="00BA5BBA">
            <w:pPr>
              <w:spacing w:after="0"/>
              <w:rPr>
                <w:rFonts w:ascii="Times New Roman" w:eastAsia="Times New Roman" w:hAnsi="Times New Roman" w:cs="Times New Roman"/>
                <w:color w:val="000000"/>
                <w:sz w:val="18"/>
                <w:szCs w:val="18"/>
                <w:lang w:val="ro-RO" w:eastAsia="ro-RO"/>
              </w:rPr>
            </w:pPr>
          </w:p>
        </w:tc>
      </w:tr>
      <w:tr w:rsidR="001F48CA" w:rsidRPr="00F83699" w14:paraId="4D4E792B"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B1F710D" w14:textId="3EC600F1"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Numărul de î</w:t>
            </w:r>
            <w:r w:rsidR="001F48CA" w:rsidRPr="00F83699">
              <w:rPr>
                <w:rFonts w:ascii="Times New Roman" w:eastAsia="Times New Roman" w:hAnsi="Times New Roman" w:cs="Times New Roman"/>
                <w:color w:val="000000"/>
                <w:sz w:val="18"/>
                <w:szCs w:val="18"/>
                <w:lang w:val="ro-RO" w:eastAsia="ro-RO"/>
              </w:rPr>
              <w:t>ntreprinderi</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040E33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45A0A4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D4A0AD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C8E659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DDB63D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492D63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70321B4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111,1</w:t>
            </w:r>
          </w:p>
        </w:tc>
      </w:tr>
      <w:tr w:rsidR="001F48CA" w:rsidRPr="00F83699" w14:paraId="2E5C521E" w14:textId="77777777" w:rsidTr="00F16D3A">
        <w:trPr>
          <w:trHeight w:val="304"/>
        </w:trPr>
        <w:tc>
          <w:tcPr>
            <w:tcW w:w="3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68B4DF2" w14:textId="37870EB1" w:rsidR="001F48CA" w:rsidRPr="00F83699" w:rsidRDefault="00803F18" w:rsidP="00BA5BBA">
            <w:pPr>
              <w:spacing w:after="0"/>
              <w:ind w:left="164"/>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Numă</w:t>
            </w:r>
            <w:r w:rsidR="001F48CA" w:rsidRPr="00F83699">
              <w:rPr>
                <w:rFonts w:ascii="Times New Roman" w:eastAsia="Times New Roman" w:hAnsi="Times New Roman" w:cs="Times New Roman"/>
                <w:color w:val="000000"/>
                <w:sz w:val="18"/>
                <w:szCs w:val="18"/>
                <w:lang w:val="ro-RO" w:eastAsia="ro-RO"/>
              </w:rPr>
              <w:t>rul mediu de personal</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93A294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492</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74DBBD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439</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C2C126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402</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1CAD77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344</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DB8556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313</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3B14F9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294</w:t>
            </w:r>
          </w:p>
        </w:tc>
        <w:tc>
          <w:tcPr>
            <w:tcW w:w="1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446775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59,8</w:t>
            </w:r>
          </w:p>
        </w:tc>
      </w:tr>
    </w:tbl>
    <w:p w14:paraId="39740167" w14:textId="44B0FF45" w:rsidR="00D43A2B" w:rsidRPr="00F83699" w:rsidRDefault="00D43A2B" w:rsidP="00D43A2B">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0B31E139" w14:textId="1D8EE27E" w:rsidR="00D34F2F" w:rsidRPr="00A73566" w:rsidRDefault="00D34F2F" w:rsidP="00F83699">
      <w:pPr>
        <w:ind w:firstLine="567"/>
        <w:rPr>
          <w:rFonts w:ascii="Times New Roman" w:eastAsia="Calibri" w:hAnsi="Times New Roman" w:cs="Times New Roman"/>
          <w:lang w:val="ro-RO"/>
        </w:rPr>
      </w:pPr>
      <w:r w:rsidRPr="00A73566">
        <w:rPr>
          <w:rFonts w:ascii="Times New Roman" w:eastAsia="Calibri" w:hAnsi="Times New Roman" w:cs="Times New Roman"/>
          <w:lang w:val="ro-RO"/>
        </w:rPr>
        <w:t xml:space="preserve">Situația din industria agroalimentară devine mai pronunțată fiind analizată dinamica producției produselor agroalimentare pe grupe de produse în perioada 2014-2020 comparativ cu perioada 2007-2013. Astfel, se poate observa o creștere destul de impunătoare a volumelor de  producție de carne și mezeluri, sucuri de fructe și legume, uleiuri brute, diverse produse lactate, furaje etc. care au crescut în mediu cu circa 30% în perioada 2014-2020 comparativ cu perioada 2007-2013.  Producția altor grupuri de produse agroalimentare cum ar fi  zahărul tos, anumite vinuri si produse alcoolice, anumite produse lactate, faina și produsele de panificație si patiserie au înregistrat o </w:t>
      </w:r>
      <w:r w:rsidR="00EB0CB4" w:rsidRPr="00A73566">
        <w:rPr>
          <w:rFonts w:ascii="Times New Roman" w:eastAsia="Calibri" w:hAnsi="Times New Roman" w:cs="Times New Roman"/>
          <w:lang w:val="ro-RO"/>
        </w:rPr>
        <w:t>stagnare (creștere modestă sau diminuare)</w:t>
      </w:r>
      <w:r w:rsidRPr="00A73566">
        <w:rPr>
          <w:rFonts w:ascii="Times New Roman" w:eastAsia="Calibri" w:hAnsi="Times New Roman" w:cs="Times New Roman"/>
          <w:lang w:val="ro-RO"/>
        </w:rPr>
        <w:t>. Totodată, producția de fructe prelucrate și conservate, băuturi nealcoolice, maioneze si alte sosuri emulsificate, paste făinoase, conserve de legume, fructe și carne, țigări, țigarete și tutun fermentat s-a redus in medie cu circa 30-40% in perioada menționată.</w:t>
      </w:r>
    </w:p>
    <w:p w14:paraId="139A0992" w14:textId="7772DD20" w:rsidR="00D34F2F" w:rsidRPr="00F83699" w:rsidRDefault="00D34F2F" w:rsidP="00D34F2F">
      <w:pPr>
        <w:pStyle w:val="Caption"/>
        <w:framePr w:wrap="around"/>
        <w:rPr>
          <w:rFonts w:ascii="Times New Roman" w:hAnsi="Times New Roman" w:cs="Times New Roman"/>
          <w:sz w:val="18"/>
          <w:szCs w:val="18"/>
          <w:lang w:val="ro-RO"/>
        </w:rPr>
      </w:pPr>
      <w:r w:rsidRPr="00F83699">
        <w:rPr>
          <w:rFonts w:ascii="Times New Roman" w:hAnsi="Times New Roman" w:cs="Times New Roman"/>
          <w:sz w:val="18"/>
          <w:szCs w:val="18"/>
          <w:lang w:val="ro-RO"/>
        </w:rPr>
        <w:t xml:space="preserve">Tabelul </w:t>
      </w:r>
      <w:r w:rsidR="00694CAB" w:rsidRPr="00F83699">
        <w:rPr>
          <w:rFonts w:ascii="Times New Roman" w:hAnsi="Times New Roman" w:cs="Times New Roman"/>
          <w:sz w:val="18"/>
          <w:szCs w:val="18"/>
          <w:lang w:val="ro-RO"/>
        </w:rPr>
        <w:t>10</w:t>
      </w:r>
      <w:r w:rsidRPr="00F83699">
        <w:rPr>
          <w:rFonts w:ascii="Times New Roman" w:hAnsi="Times New Roman" w:cs="Times New Roman"/>
          <w:sz w:val="18"/>
          <w:szCs w:val="18"/>
          <w:lang w:val="ro-RO"/>
        </w:rPr>
        <w:t xml:space="preserve">. Producția produselor agroalimentare, 2007-2020    </w:t>
      </w:r>
    </w:p>
    <w:tbl>
      <w:tblPr>
        <w:tblW w:w="9355" w:type="dxa"/>
        <w:tblLook w:val="04A0" w:firstRow="1" w:lastRow="0" w:firstColumn="1" w:lastColumn="0" w:noHBand="0" w:noVBand="1"/>
      </w:tblPr>
      <w:tblGrid>
        <w:gridCol w:w="5098"/>
        <w:gridCol w:w="1130"/>
        <w:gridCol w:w="1417"/>
        <w:gridCol w:w="1710"/>
      </w:tblGrid>
      <w:tr w:rsidR="001F48CA" w:rsidRPr="00F83699" w14:paraId="3A3A8C7D" w14:textId="77777777" w:rsidTr="00F16D3A">
        <w:trPr>
          <w:trHeight w:val="300"/>
        </w:trPr>
        <w:tc>
          <w:tcPr>
            <w:tcW w:w="5098" w:type="dxa"/>
            <w:tcBorders>
              <w:top w:val="single" w:sz="4" w:space="0" w:color="auto"/>
              <w:left w:val="single" w:sz="4" w:space="0" w:color="auto"/>
              <w:bottom w:val="single" w:sz="4" w:space="0" w:color="FFFFFF" w:themeColor="background1"/>
              <w:right w:val="single" w:sz="4" w:space="0" w:color="auto"/>
            </w:tcBorders>
            <w:shd w:val="clear" w:color="auto" w:fill="2D788C" w:themeFill="accent3" w:themeFillShade="BF"/>
            <w:noWrap/>
            <w:vAlign w:val="bottom"/>
            <w:hideMark/>
          </w:tcPr>
          <w:p w14:paraId="51FCBDAA" w14:textId="40D94B4F" w:rsidR="001F48CA" w:rsidRPr="00F83699" w:rsidRDefault="00F16D3A" w:rsidP="00F16D3A">
            <w:pPr>
              <w:spacing w:after="0"/>
              <w:jc w:val="center"/>
              <w:rPr>
                <w:rFonts w:ascii="Times New Roman" w:eastAsia="Times New Roman" w:hAnsi="Times New Roman" w:cs="Times New Roman"/>
                <w:color w:val="FFFFFF" w:themeColor="background1"/>
                <w:sz w:val="18"/>
                <w:szCs w:val="18"/>
                <w:lang w:val="ro-RO" w:eastAsia="ro-RO"/>
              </w:rPr>
            </w:pPr>
            <w:r w:rsidRPr="00F83699">
              <w:rPr>
                <w:rFonts w:ascii="Times New Roman" w:eastAsia="Times New Roman" w:hAnsi="Times New Roman" w:cs="Times New Roman"/>
                <w:b/>
                <w:bCs/>
                <w:color w:val="FFFFFF" w:themeColor="background1"/>
                <w:sz w:val="18"/>
                <w:szCs w:val="18"/>
                <w:lang w:val="ro-RO" w:eastAsia="ro-RO"/>
              </w:rPr>
              <w:t>Denumire produse</w:t>
            </w:r>
          </w:p>
        </w:tc>
        <w:tc>
          <w:tcPr>
            <w:tcW w:w="1130" w:type="dxa"/>
            <w:tcBorders>
              <w:top w:val="single" w:sz="4" w:space="0" w:color="auto"/>
              <w:left w:val="nil"/>
              <w:bottom w:val="single" w:sz="4" w:space="0" w:color="FFFFFF" w:themeColor="background1"/>
              <w:right w:val="single" w:sz="4" w:space="0" w:color="auto"/>
            </w:tcBorders>
            <w:shd w:val="clear" w:color="auto" w:fill="2D788C" w:themeFill="accent3" w:themeFillShade="BF"/>
            <w:noWrap/>
            <w:vAlign w:val="bottom"/>
            <w:hideMark/>
          </w:tcPr>
          <w:p w14:paraId="6804F46D" w14:textId="77777777" w:rsidR="001F48CA" w:rsidRPr="00F83699" w:rsidRDefault="001F48CA" w:rsidP="00BA5BBA">
            <w:pPr>
              <w:spacing w:after="0"/>
              <w:jc w:val="center"/>
              <w:rPr>
                <w:rFonts w:ascii="Times New Roman" w:eastAsia="Times New Roman" w:hAnsi="Times New Roman" w:cs="Times New Roman"/>
                <w:b/>
                <w:bCs/>
                <w:color w:val="FFFFFF" w:themeColor="background1"/>
                <w:sz w:val="18"/>
                <w:szCs w:val="18"/>
                <w:lang w:val="ro-RO" w:eastAsia="ro-RO"/>
              </w:rPr>
            </w:pPr>
            <w:r w:rsidRPr="00F83699">
              <w:rPr>
                <w:rFonts w:ascii="Times New Roman" w:eastAsia="Times New Roman" w:hAnsi="Times New Roman" w:cs="Times New Roman"/>
                <w:b/>
                <w:bCs/>
                <w:color w:val="FFFFFF" w:themeColor="background1"/>
                <w:sz w:val="18"/>
                <w:szCs w:val="18"/>
                <w:lang w:val="ro-RO" w:eastAsia="ro-RO"/>
              </w:rPr>
              <w:t>Media 2007-2013</w:t>
            </w:r>
          </w:p>
        </w:tc>
        <w:tc>
          <w:tcPr>
            <w:tcW w:w="1417" w:type="dxa"/>
            <w:tcBorders>
              <w:top w:val="single" w:sz="4" w:space="0" w:color="auto"/>
              <w:left w:val="nil"/>
              <w:bottom w:val="single" w:sz="4" w:space="0" w:color="FFFFFF" w:themeColor="background1"/>
              <w:right w:val="single" w:sz="4" w:space="0" w:color="auto"/>
            </w:tcBorders>
            <w:shd w:val="clear" w:color="auto" w:fill="2D788C" w:themeFill="accent3" w:themeFillShade="BF"/>
            <w:noWrap/>
            <w:vAlign w:val="bottom"/>
            <w:hideMark/>
          </w:tcPr>
          <w:p w14:paraId="2121F95A" w14:textId="77777777" w:rsidR="001F48CA" w:rsidRPr="00F83699" w:rsidRDefault="001F48CA" w:rsidP="00BA5BBA">
            <w:pPr>
              <w:spacing w:after="0"/>
              <w:jc w:val="center"/>
              <w:rPr>
                <w:rFonts w:ascii="Times New Roman" w:eastAsia="Times New Roman" w:hAnsi="Times New Roman" w:cs="Times New Roman"/>
                <w:b/>
                <w:bCs/>
                <w:color w:val="FFFFFF" w:themeColor="background1"/>
                <w:sz w:val="18"/>
                <w:szCs w:val="18"/>
                <w:lang w:val="ro-RO" w:eastAsia="ro-RO"/>
              </w:rPr>
            </w:pPr>
            <w:r w:rsidRPr="00F83699">
              <w:rPr>
                <w:rFonts w:ascii="Times New Roman" w:eastAsia="Times New Roman" w:hAnsi="Times New Roman" w:cs="Times New Roman"/>
                <w:b/>
                <w:bCs/>
                <w:color w:val="FFFFFF" w:themeColor="background1"/>
                <w:sz w:val="18"/>
                <w:szCs w:val="18"/>
                <w:lang w:val="ro-RO" w:eastAsia="ro-RO"/>
              </w:rPr>
              <w:t>Media 2014-2020</w:t>
            </w:r>
          </w:p>
        </w:tc>
        <w:tc>
          <w:tcPr>
            <w:tcW w:w="1710" w:type="dxa"/>
            <w:tcBorders>
              <w:top w:val="single" w:sz="4" w:space="0" w:color="auto"/>
              <w:left w:val="nil"/>
              <w:bottom w:val="single" w:sz="4" w:space="0" w:color="FFFFFF" w:themeColor="background1"/>
              <w:right w:val="single" w:sz="4" w:space="0" w:color="auto"/>
            </w:tcBorders>
            <w:shd w:val="clear" w:color="auto" w:fill="2D788C" w:themeFill="accent3" w:themeFillShade="BF"/>
            <w:noWrap/>
            <w:vAlign w:val="bottom"/>
            <w:hideMark/>
          </w:tcPr>
          <w:p w14:paraId="2F67BFEC" w14:textId="77777777" w:rsidR="001F48CA" w:rsidRPr="00F83699" w:rsidRDefault="001F48CA" w:rsidP="00BA5BBA">
            <w:pPr>
              <w:spacing w:after="0"/>
              <w:jc w:val="center"/>
              <w:rPr>
                <w:rFonts w:ascii="Times New Roman" w:eastAsia="Times New Roman" w:hAnsi="Times New Roman" w:cs="Times New Roman"/>
                <w:b/>
                <w:bCs/>
                <w:color w:val="FFFFFF" w:themeColor="background1"/>
                <w:sz w:val="18"/>
                <w:szCs w:val="18"/>
                <w:lang w:val="ro-RO" w:eastAsia="ro-RO"/>
              </w:rPr>
            </w:pPr>
            <w:r w:rsidRPr="00F83699">
              <w:rPr>
                <w:rFonts w:ascii="Times New Roman" w:eastAsia="Times New Roman" w:hAnsi="Times New Roman" w:cs="Times New Roman"/>
                <w:b/>
                <w:bCs/>
                <w:color w:val="FFFFFF" w:themeColor="background1"/>
                <w:sz w:val="18"/>
                <w:szCs w:val="18"/>
                <w:lang w:val="ro-RO" w:eastAsia="ro-RO"/>
              </w:rPr>
              <w:t>2014-2020/2007-2013, %</w:t>
            </w:r>
          </w:p>
        </w:tc>
      </w:tr>
      <w:tr w:rsidR="001F48CA" w:rsidRPr="00F83699" w14:paraId="75384A92"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32C6362"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Carne,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8EDADD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22,7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133326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53,5</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44225C3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235,9</w:t>
            </w:r>
          </w:p>
        </w:tc>
      </w:tr>
      <w:tr w:rsidR="001F48CA" w:rsidRPr="00F83699" w14:paraId="43A6EA1F"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B91C3C5"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Sucuri de fructe si legume, mii litri</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210127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36478,6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DA0438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54528,8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384B812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149,5</w:t>
            </w:r>
          </w:p>
        </w:tc>
      </w:tr>
      <w:tr w:rsidR="001F48CA" w:rsidRPr="00F83699" w14:paraId="58F6E9D9"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5707423"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Uleiuri brute nemodificate chimic,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6244A7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80,8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94A8D4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110,2</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6C1ABDF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136,4</w:t>
            </w:r>
          </w:p>
        </w:tc>
      </w:tr>
      <w:tr w:rsidR="001F48CA" w:rsidRPr="00F83699" w14:paraId="06EE0D35"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376155B"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Produse făinoase de cofetărie,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41E10A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26,6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071091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36,0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B779DD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135,3</w:t>
            </w:r>
          </w:p>
        </w:tc>
      </w:tr>
      <w:tr w:rsidR="001F48CA" w:rsidRPr="00F83699" w14:paraId="23CB81D6"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57D64A8"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..Vodca, mii L 100% alcool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68B84A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1962,2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16C76B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2596,6</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91272D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132,3</w:t>
            </w:r>
          </w:p>
        </w:tc>
      </w:tr>
      <w:tr w:rsidR="001F48CA" w:rsidRPr="00F83699" w14:paraId="57C80658"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140B446"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Cașcaval și brânză grase,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A50D0D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2039,6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968F27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2635,0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A2BA78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129,2</w:t>
            </w:r>
          </w:p>
        </w:tc>
      </w:tr>
      <w:tr w:rsidR="001F48CA" w:rsidRPr="00F83699" w14:paraId="17524899"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FA83F4D"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Înghețată si alte forme de gheata cu sau fără cacao, mii litri</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49144F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12697,7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40E8E7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16103,9</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2D7C5EE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126,8</w:t>
            </w:r>
          </w:p>
        </w:tc>
      </w:tr>
      <w:tr w:rsidR="001F48CA" w:rsidRPr="00F83699" w14:paraId="2E655C4B"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AB7C649"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Melasa,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73EBAE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34,2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C952EB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42,4</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22D496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123,9</w:t>
            </w:r>
          </w:p>
        </w:tc>
      </w:tr>
      <w:tr w:rsidR="001F48CA" w:rsidRPr="00F83699" w14:paraId="6214A79F"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0192705B"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Ape minerale si gazoase, mil. dal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9ED14F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74B4E7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13,9</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2F0EB3C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123,3</w:t>
            </w:r>
          </w:p>
        </w:tc>
      </w:tr>
      <w:tr w:rsidR="001F48CA" w:rsidRPr="00F83699" w14:paraId="53B08F59"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D6F6B08"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Nutrețuri gata pentru hrana animalelor,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669FDC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69,3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B3A90E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85,2</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40D5587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123,0</w:t>
            </w:r>
          </w:p>
        </w:tc>
      </w:tr>
      <w:tr w:rsidR="001F48CA" w:rsidRPr="00F83699" w14:paraId="2C390AA3"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37781E4D"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Mezeluri,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62F491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15,8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F12C38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18,8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7DE3EE4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118,7</w:t>
            </w:r>
          </w:p>
        </w:tc>
      </w:tr>
      <w:tr w:rsidR="001F48CA" w:rsidRPr="00F83699" w14:paraId="3B0064FF"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359D7F9"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Lapte prins, crema de lapte prins, iaurt, chefir, smântâna și alte produse fermentate,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8BF2D3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26101,3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9378FC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30700,7</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13944AA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117,6</w:t>
            </w:r>
          </w:p>
        </w:tc>
      </w:tr>
      <w:tr w:rsidR="001F48CA" w:rsidRPr="00F83699" w14:paraId="4FBD541E"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92F684D"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Lapte și frișcă cu conținut de grăsimi &lt;6%,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AC1076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62,7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6A459B1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73,1</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0B5B7C5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116,5</w:t>
            </w:r>
          </w:p>
        </w:tc>
      </w:tr>
      <w:tr w:rsidR="001F48CA" w:rsidRPr="00F83699" w14:paraId="1972907F"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D50E62E"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Unt,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39B400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3934,9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45F4847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4542,3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08BACD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115,4</w:t>
            </w:r>
          </w:p>
        </w:tc>
      </w:tr>
      <w:tr w:rsidR="001F48CA" w:rsidRPr="00F83699" w14:paraId="16B7F8DE"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5B1E0A30"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Vinuri naturale din struguri, mil. dal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A79BA2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13,5</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1AE7B83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15,5</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469329D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114,7</w:t>
            </w:r>
          </w:p>
        </w:tc>
      </w:tr>
      <w:tr w:rsidR="001F48CA" w:rsidRPr="00F83699" w14:paraId="03E0EB41"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2AD30A22"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Crupe, grișuri si aglomerate,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D3877A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noWrap/>
            <w:vAlign w:val="bottom"/>
            <w:hideMark/>
          </w:tcPr>
          <w:p w14:paraId="7A52BEB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5,9</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noWrap/>
            <w:vAlign w:val="bottom"/>
            <w:hideMark/>
          </w:tcPr>
          <w:p w14:paraId="536C7C1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112,3</w:t>
            </w:r>
          </w:p>
        </w:tc>
      </w:tr>
      <w:tr w:rsidR="001F48CA" w:rsidRPr="00F83699" w14:paraId="60EB5154"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66ADC3E0"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Lapte si frișcă in forma solida,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3340491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1429,6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44417DC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1520,3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1F82330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106,3</w:t>
            </w:r>
          </w:p>
        </w:tc>
      </w:tr>
      <w:tr w:rsidR="001F48CA" w:rsidRPr="00F83699" w14:paraId="50D74649"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3E9BE48C"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Zahăr tos,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7D9BB15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94,5</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58EE3DD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100,4</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46C6B9E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106,2</w:t>
            </w:r>
          </w:p>
        </w:tc>
      </w:tr>
      <w:tr w:rsidR="001F48CA" w:rsidRPr="00F83699" w14:paraId="5FDEB3AF"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6DB03728"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Vinuri spumante, mii dal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1C40F52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586,4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030A1B0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610,4</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35BAF1E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104,1</w:t>
            </w:r>
          </w:p>
        </w:tc>
      </w:tr>
      <w:tr w:rsidR="001F48CA" w:rsidRPr="00F83699" w14:paraId="336625E7"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7DA03B14"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Produse zaharoase de cofetărie,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07076DCC"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430BE49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3A4CE7D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102,3</w:t>
            </w:r>
          </w:p>
        </w:tc>
      </w:tr>
      <w:tr w:rsidR="001F48CA" w:rsidRPr="00F83699" w14:paraId="37C62D73"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70C8D4C0"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Pâine și produse de panificație,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6396AEA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130,2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26B8167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128,8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7F42911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98,9</w:t>
            </w:r>
          </w:p>
        </w:tc>
      </w:tr>
      <w:tr w:rsidR="001F48CA" w:rsidRPr="00F83699" w14:paraId="39B36CE9"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48CA70DD"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Faina,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1958B13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113,9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7A9275A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111,9</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5FB83AC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98,2</w:t>
            </w:r>
          </w:p>
        </w:tc>
      </w:tr>
      <w:tr w:rsidR="001F48CA" w:rsidRPr="00F83699" w14:paraId="147CA3E7"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3365FC37"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Divin, mii L 100% alcool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6A898E1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2473,9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3A1CE67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2339,0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01C2427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94,5</w:t>
            </w:r>
          </w:p>
        </w:tc>
      </w:tr>
      <w:tr w:rsidR="001F48CA" w:rsidRPr="00F83699" w14:paraId="4E1DD873"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0CA89224"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Rachiuri si lichioruri, mii L 100% alcool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39FB228E"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3208,4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bottom"/>
            <w:hideMark/>
          </w:tcPr>
          <w:p w14:paraId="72697341"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2950,0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188" w:themeFill="accent5" w:themeFillTint="99"/>
            <w:noWrap/>
            <w:vAlign w:val="bottom"/>
            <w:hideMark/>
          </w:tcPr>
          <w:p w14:paraId="5277845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91,9</w:t>
            </w:r>
          </w:p>
        </w:tc>
      </w:tr>
      <w:tr w:rsidR="001F48CA" w:rsidRPr="00F83699" w14:paraId="47ED5261"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6A05867F"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Fructe prelucrate și conservate,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7105A45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9,7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007F185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8,6</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26D4AC9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88,1</w:t>
            </w:r>
          </w:p>
        </w:tc>
      </w:tr>
      <w:tr w:rsidR="001F48CA" w:rsidRPr="00F83699" w14:paraId="1BE43537"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767E2372"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Băuturi nealcoolice, mil. dal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6022CA97"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1C2FE9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5,4</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20ACAFE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75,0</w:t>
            </w:r>
          </w:p>
        </w:tc>
      </w:tr>
      <w:tr w:rsidR="001F48CA" w:rsidRPr="00F83699" w14:paraId="73BA46FD"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1CDA36BB"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Maioneze si alte sosuri emulsificate,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7A725CCD"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804,1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105F1F8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596,8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2C487B9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74,2</w:t>
            </w:r>
          </w:p>
        </w:tc>
      </w:tr>
      <w:tr w:rsidR="001F48CA" w:rsidRPr="00F83699" w14:paraId="57CBC76A"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4C4250C5"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Paste făinoase,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27216EF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6,2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48AA7B3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4,6</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4F46522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73,7</w:t>
            </w:r>
          </w:p>
        </w:tc>
      </w:tr>
      <w:tr w:rsidR="001F48CA" w:rsidRPr="00F83699" w14:paraId="010C320C"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FAE0E64"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Conserve de legume si fructe,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136AE6DA"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28,1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0726E87B"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20,7</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7AB15B65"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73,7</w:t>
            </w:r>
          </w:p>
        </w:tc>
      </w:tr>
      <w:tr w:rsidR="001F48CA" w:rsidRPr="00F83699" w14:paraId="5872F876"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4BE8AFAE"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Conserve de carne,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8A87E54"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30332D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0,6</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1CC1F8D0"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45,3</w:t>
            </w:r>
          </w:p>
        </w:tc>
      </w:tr>
      <w:tr w:rsidR="001F48CA" w:rsidRPr="00F83699" w14:paraId="7F98F87B"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4DB2A9D9"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Vinuri de Porto, Madeira, Sheary, Tokay si altele, mii dal</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5A2AC1A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815,6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553D2A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314,0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6BC4FFD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38,5</w:t>
            </w:r>
          </w:p>
        </w:tc>
      </w:tr>
      <w:tr w:rsidR="001F48CA" w:rsidRPr="00F83699" w14:paraId="0AF5DEA1"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2A818B3C"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Țigări și țigarete de tutun sau amestecuri cu înlocuitori de tutun. mil. buc.</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46C73CB6"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4063,8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6470E9A2"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1307,5</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5ABFCBAF"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32,2</w:t>
            </w:r>
          </w:p>
        </w:tc>
      </w:tr>
      <w:tr w:rsidR="001F48CA" w:rsidRPr="00F83699" w14:paraId="109E32E4" w14:textId="77777777" w:rsidTr="00F16D3A">
        <w:trPr>
          <w:trHeight w:val="300"/>
        </w:trPr>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156A891A" w14:textId="77777777" w:rsidR="001F48CA" w:rsidRPr="00F83699" w:rsidRDefault="001F48CA" w:rsidP="00BA5BBA">
            <w:pPr>
              <w:spacing w:after="0"/>
              <w:rPr>
                <w:rFonts w:ascii="Times New Roman" w:eastAsia="Times New Roman" w:hAnsi="Times New Roman" w:cs="Times New Roman"/>
                <w:bCs/>
                <w:color w:val="000000"/>
                <w:sz w:val="18"/>
                <w:szCs w:val="18"/>
                <w:lang w:val="ro-RO" w:eastAsia="ro-RO"/>
              </w:rPr>
            </w:pPr>
            <w:r w:rsidRPr="00F83699">
              <w:rPr>
                <w:rFonts w:ascii="Times New Roman" w:eastAsia="Times New Roman" w:hAnsi="Times New Roman" w:cs="Times New Roman"/>
                <w:bCs/>
                <w:color w:val="000000"/>
                <w:sz w:val="18"/>
                <w:szCs w:val="18"/>
                <w:lang w:val="ro-RO" w:eastAsia="ro-RO"/>
              </w:rPr>
              <w:t>Tutun fermentat, mii tone</w:t>
            </w: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331A7048"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5,5</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bottom"/>
            <w:hideMark/>
          </w:tcPr>
          <w:p w14:paraId="185238B9"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1,0</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D694"/>
            <w:noWrap/>
            <w:vAlign w:val="bottom"/>
            <w:hideMark/>
          </w:tcPr>
          <w:p w14:paraId="2556DE63" w14:textId="77777777" w:rsidR="001F48CA" w:rsidRPr="00F83699" w:rsidRDefault="001F48CA" w:rsidP="00BA5BBA">
            <w:pPr>
              <w:spacing w:after="0"/>
              <w:jc w:val="right"/>
              <w:rPr>
                <w:rFonts w:ascii="Times New Roman" w:eastAsia="Times New Roman" w:hAnsi="Times New Roman" w:cs="Times New Roman"/>
                <w:color w:val="000000"/>
                <w:sz w:val="18"/>
                <w:szCs w:val="18"/>
                <w:lang w:val="ro-RO" w:eastAsia="ro-RO"/>
              </w:rPr>
            </w:pPr>
            <w:r w:rsidRPr="00F83699">
              <w:rPr>
                <w:rFonts w:ascii="Times New Roman" w:eastAsia="Times New Roman" w:hAnsi="Times New Roman" w:cs="Times New Roman"/>
                <w:color w:val="000000"/>
                <w:sz w:val="18"/>
                <w:szCs w:val="18"/>
                <w:lang w:val="ro-RO" w:eastAsia="ro-RO"/>
              </w:rPr>
              <w:t>18,6</w:t>
            </w:r>
          </w:p>
        </w:tc>
      </w:tr>
    </w:tbl>
    <w:p w14:paraId="1881DDA7" w14:textId="7536C1C9" w:rsidR="00D34F2F" w:rsidRPr="00F83699" w:rsidRDefault="00D34F2F" w:rsidP="00F16D3A">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 2020</w:t>
      </w:r>
    </w:p>
    <w:p w14:paraId="125D15CC" w14:textId="02562D36" w:rsidR="00D34F2F" w:rsidRPr="00A73566" w:rsidRDefault="00EB0CB4" w:rsidP="00F83699">
      <w:pPr>
        <w:ind w:firstLine="567"/>
        <w:rPr>
          <w:rFonts w:ascii="Times New Roman" w:hAnsi="Times New Roman" w:cs="Times New Roman"/>
          <w:lang w:val="ro-RO"/>
        </w:rPr>
      </w:pPr>
      <w:r w:rsidRPr="00A73566">
        <w:rPr>
          <w:rFonts w:ascii="Times New Roman" w:hAnsi="Times New Roman" w:cs="Times New Roman"/>
          <w:lang w:val="ro-RO"/>
        </w:rPr>
        <w:t>D</w:t>
      </w:r>
      <w:r w:rsidR="00D34F2F" w:rsidRPr="00A73566">
        <w:rPr>
          <w:rFonts w:ascii="Times New Roman" w:hAnsi="Times New Roman" w:cs="Times New Roman"/>
          <w:lang w:val="ro-RO"/>
        </w:rPr>
        <w:t>e menționat</w:t>
      </w:r>
      <w:r w:rsidRPr="00A73566">
        <w:rPr>
          <w:rFonts w:ascii="Times New Roman" w:hAnsi="Times New Roman" w:cs="Times New Roman"/>
          <w:lang w:val="ro-RO"/>
        </w:rPr>
        <w:t xml:space="preserve"> că</w:t>
      </w:r>
      <w:r w:rsidR="00D34F2F" w:rsidRPr="00A73566">
        <w:rPr>
          <w:rFonts w:ascii="Times New Roman" w:hAnsi="Times New Roman" w:cs="Times New Roman"/>
          <w:lang w:val="ro-RO"/>
        </w:rPr>
        <w:t xml:space="preserve"> </w:t>
      </w:r>
      <w:r w:rsidRPr="00A73566">
        <w:rPr>
          <w:rFonts w:ascii="Times New Roman" w:hAnsi="Times New Roman" w:cs="Times New Roman"/>
          <w:lang w:val="ro-RO"/>
        </w:rPr>
        <w:t xml:space="preserve"> odată cu </w:t>
      </w:r>
      <w:r w:rsidR="00D34F2F" w:rsidRPr="00A73566">
        <w:rPr>
          <w:rFonts w:ascii="Times New Roman" w:hAnsi="Times New Roman" w:cs="Times New Roman"/>
          <w:lang w:val="ro-RO"/>
        </w:rPr>
        <w:t xml:space="preserve">stagnarea sau reducerea volumelor de producție la unele produse si grupe de produse cum ar fi pastele făinoase, conservele de fructe, legume si carne, etc. aceste produse fiind în schimb înlocuite pe rafturile unităților comerciale cu mărfuri similare de import, fapt ce periclitează nu doar securitatea alimentară a Republicii Moldova, balanța comerciala si alți indicatori economici, dar are si un impact social ce tine de reducerea numărului de locuiri de munca si a nivelului de trai pentru locuitorii Republicii Moldova.   </w:t>
      </w:r>
    </w:p>
    <w:p w14:paraId="1819F559" w14:textId="70AA54AA" w:rsidR="00D34F2F" w:rsidRPr="00A73566" w:rsidRDefault="00D34F2F" w:rsidP="00F83699">
      <w:pPr>
        <w:ind w:firstLine="567"/>
        <w:rPr>
          <w:rFonts w:ascii="Times New Roman" w:hAnsi="Times New Roman" w:cs="Times New Roman"/>
          <w:lang w:val="ro-RO"/>
        </w:rPr>
      </w:pPr>
      <w:r w:rsidRPr="00A73566">
        <w:rPr>
          <w:rFonts w:ascii="Times New Roman" w:hAnsi="Times New Roman" w:cs="Times New Roman"/>
          <w:lang w:val="ro-RO"/>
        </w:rPr>
        <w:t xml:space="preserve">O alta cifra disonantă ține de creșterea continuă a volumului de produse lactate pe fundalul reducerii constante a producției locale de lapte marfă, </w:t>
      </w:r>
      <w:r w:rsidR="00EB0CB4" w:rsidRPr="00A73566">
        <w:rPr>
          <w:rFonts w:ascii="Times New Roman" w:hAnsi="Times New Roman" w:cs="Times New Roman"/>
          <w:lang w:val="ro-RO"/>
        </w:rPr>
        <w:t>ceea ce denotă importul materiei prime.</w:t>
      </w:r>
    </w:p>
    <w:p w14:paraId="38CE698D" w14:textId="355744C7" w:rsidR="00C03906" w:rsidRPr="00A73566" w:rsidRDefault="00C03906" w:rsidP="006C6F6E">
      <w:pPr>
        <w:spacing w:before="120"/>
        <w:ind w:firstLine="567"/>
        <w:rPr>
          <w:rFonts w:ascii="Times New Roman" w:hAnsi="Times New Roman" w:cs="Times New Roman"/>
          <w:lang w:val="ro-RO"/>
        </w:rPr>
      </w:pPr>
      <w:r w:rsidRPr="00A73566">
        <w:rPr>
          <w:rFonts w:ascii="Times New Roman" w:hAnsi="Times New Roman" w:cs="Times New Roman"/>
          <w:lang w:val="ro-RO"/>
        </w:rPr>
        <w:t xml:space="preserve">În perioada 2011-2020, volumul exporturilor agroalimentare a crescut cu circa 17%, de la 956,6 mln USD în 2011 la 1121,6 mln USD în anul 2020. Această creștere nu a fost uniforma nici pe parcursul perioadei, nici pe grupe de produse. Astfel exporturile de ”I. Animale vii si produse ale regnului animal” s-au redus în această perioada cu circa 11%, cu toate că în perioada 2014-2018 au avut o creștere semnificativă. De asemenea, au scăzut și volumele de exporturi la ”Alte produse agroalimentare” cu circa 14%. Totodată, categoriile de produse ”II. Produse ale regnului vegetal”, ”III. Grăsimi si uleiuri de origine animala sau vegetala” și ”IV. Produse ale industriei alimentare; băuturi, tutun” au înregistrat, în perioada 2011-2020, o creștere a volumului de exporturi de la 15% la 35%. </w:t>
      </w:r>
    </w:p>
    <w:p w14:paraId="61B42A1A" w14:textId="71A21AB2" w:rsidR="00C03906" w:rsidRPr="00A73566" w:rsidRDefault="00C03906" w:rsidP="006C6F6E">
      <w:pPr>
        <w:spacing w:before="120"/>
        <w:ind w:firstLine="567"/>
        <w:rPr>
          <w:rFonts w:ascii="Times New Roman" w:hAnsi="Times New Roman" w:cs="Times New Roman"/>
          <w:lang w:val="ro-RO"/>
        </w:rPr>
      </w:pPr>
      <w:r w:rsidRPr="00A73566">
        <w:rPr>
          <w:rFonts w:ascii="Times New Roman" w:hAnsi="Times New Roman" w:cs="Times New Roman"/>
          <w:lang w:val="ro-RO"/>
        </w:rPr>
        <w:t>Volumul total al exporturilor de produse agroalimentare a avut o creștere mai dinamică (17%) comparativ cu creșterea volumului total de exporturi al Republicii Moldova în perioada 2011-2014 de circa 11%, fapt ce dovedește anumite avantaje competitive ale exporturilor agroalimentare în comparație cu exporturile din alte sectoare ale economiei naționale. Aceasta se poate observa și din ponderea exporturilor agroalimentare în volumul total de exporturi care a crescut de la 43,2% în 2011 la 45,5% în 2020.</w:t>
      </w:r>
    </w:p>
    <w:p w14:paraId="7C637657" w14:textId="77777777" w:rsidR="00E313DD" w:rsidRPr="00A73566" w:rsidRDefault="00E313DD" w:rsidP="00C03906">
      <w:pPr>
        <w:spacing w:before="120"/>
        <w:rPr>
          <w:rFonts w:ascii="Times New Roman" w:hAnsi="Times New Roman" w:cs="Times New Roman"/>
          <w:sz w:val="24"/>
          <w:szCs w:val="24"/>
          <w:lang w:val="ro-RO"/>
        </w:rPr>
      </w:pPr>
    </w:p>
    <w:p w14:paraId="57C00627" w14:textId="035B9112" w:rsidR="00C03906" w:rsidRDefault="00C03906" w:rsidP="00E313DD">
      <w:pPr>
        <w:pStyle w:val="Caption"/>
        <w:framePr w:wrap="around"/>
        <w:spacing w:before="0" w:after="0"/>
        <w:jc w:val="both"/>
        <w:rPr>
          <w:rFonts w:ascii="Times New Roman" w:hAnsi="Times New Roman" w:cs="Times New Roman"/>
          <w:sz w:val="18"/>
          <w:szCs w:val="18"/>
          <w:lang w:val="ro-RO"/>
        </w:rPr>
      </w:pPr>
      <w:r w:rsidRPr="00F83699">
        <w:rPr>
          <w:rFonts w:ascii="Times New Roman" w:hAnsi="Times New Roman" w:cs="Times New Roman"/>
          <w:sz w:val="18"/>
          <w:szCs w:val="18"/>
          <w:lang w:val="ro-RO"/>
        </w:rPr>
        <w:t xml:space="preserve">Tabelul </w:t>
      </w:r>
      <w:r w:rsidR="00694CAB" w:rsidRPr="00F83699">
        <w:rPr>
          <w:rFonts w:ascii="Times New Roman" w:hAnsi="Times New Roman" w:cs="Times New Roman"/>
          <w:sz w:val="18"/>
          <w:szCs w:val="18"/>
          <w:lang w:val="ro-RO"/>
        </w:rPr>
        <w:t>11</w:t>
      </w:r>
      <w:r w:rsidRPr="00F83699">
        <w:rPr>
          <w:rFonts w:ascii="Times New Roman" w:hAnsi="Times New Roman" w:cs="Times New Roman"/>
          <w:sz w:val="18"/>
          <w:szCs w:val="18"/>
          <w:lang w:val="ro-RO"/>
        </w:rPr>
        <w:t xml:space="preserve">. Exporturile agroalimentare ale Republicii Moldova pe categorii de produse, 2011-2020, Mil. USD, % </w:t>
      </w:r>
    </w:p>
    <w:p w14:paraId="423A5C22" w14:textId="77777777" w:rsidR="002E19D6" w:rsidRPr="002E19D6" w:rsidRDefault="002E19D6" w:rsidP="002E19D6">
      <w:pPr>
        <w:rPr>
          <w:lang w:val="ro-RO"/>
        </w:rPr>
      </w:pPr>
    </w:p>
    <w:tbl>
      <w:tblPr>
        <w:tblStyle w:val="Civittatable"/>
        <w:tblW w:w="10052" w:type="dxa"/>
        <w:tblInd w:w="-5" w:type="dxa"/>
        <w:tblLook w:val="04A0" w:firstRow="1" w:lastRow="0" w:firstColumn="1" w:lastColumn="0" w:noHBand="0" w:noVBand="1"/>
      </w:tblPr>
      <w:tblGrid>
        <w:gridCol w:w="1614"/>
        <w:gridCol w:w="773"/>
        <w:gridCol w:w="773"/>
        <w:gridCol w:w="773"/>
        <w:gridCol w:w="773"/>
        <w:gridCol w:w="773"/>
        <w:gridCol w:w="773"/>
        <w:gridCol w:w="773"/>
        <w:gridCol w:w="773"/>
        <w:gridCol w:w="773"/>
        <w:gridCol w:w="773"/>
        <w:gridCol w:w="708"/>
      </w:tblGrid>
      <w:tr w:rsidR="00C03906" w:rsidRPr="00A73566" w14:paraId="552B3143" w14:textId="77777777" w:rsidTr="00C03906">
        <w:trPr>
          <w:cnfStyle w:val="100000000000" w:firstRow="1" w:lastRow="0" w:firstColumn="0" w:lastColumn="0" w:oddVBand="0" w:evenVBand="0" w:oddHBand="0" w:evenHBand="0" w:firstRowFirstColumn="0" w:firstRowLastColumn="0" w:lastRowFirstColumn="0" w:lastRowLastColumn="0"/>
          <w:trHeight w:val="274"/>
        </w:trPr>
        <w:tc>
          <w:tcPr>
            <w:tcW w:w="1614" w:type="dxa"/>
            <w:noWrap/>
            <w:hideMark/>
          </w:tcPr>
          <w:p w14:paraId="7CB8F6C8" w14:textId="77777777" w:rsidR="00C03906" w:rsidRPr="00A73566" w:rsidRDefault="00C03906" w:rsidP="00C03906">
            <w:pPr>
              <w:spacing w:after="0"/>
              <w:jc w:val="left"/>
              <w:rPr>
                <w:rFonts w:ascii="Times New Roman" w:eastAsia="Times New Roman" w:hAnsi="Times New Roman" w:cs="Times New Roman"/>
                <w:sz w:val="18"/>
                <w:szCs w:val="18"/>
                <w:lang w:val="ro-RO" w:eastAsia="ro-RO"/>
              </w:rPr>
            </w:pPr>
          </w:p>
        </w:tc>
        <w:tc>
          <w:tcPr>
            <w:tcW w:w="773" w:type="dxa"/>
            <w:noWrap/>
            <w:hideMark/>
          </w:tcPr>
          <w:p w14:paraId="5EE05715"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2011</w:t>
            </w:r>
          </w:p>
        </w:tc>
        <w:tc>
          <w:tcPr>
            <w:tcW w:w="773" w:type="dxa"/>
            <w:noWrap/>
            <w:hideMark/>
          </w:tcPr>
          <w:p w14:paraId="5F79A75B"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2012</w:t>
            </w:r>
          </w:p>
        </w:tc>
        <w:tc>
          <w:tcPr>
            <w:tcW w:w="773" w:type="dxa"/>
            <w:noWrap/>
            <w:hideMark/>
          </w:tcPr>
          <w:p w14:paraId="59162905"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2013</w:t>
            </w:r>
          </w:p>
        </w:tc>
        <w:tc>
          <w:tcPr>
            <w:tcW w:w="773" w:type="dxa"/>
            <w:noWrap/>
            <w:hideMark/>
          </w:tcPr>
          <w:p w14:paraId="42309249"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2014</w:t>
            </w:r>
          </w:p>
        </w:tc>
        <w:tc>
          <w:tcPr>
            <w:tcW w:w="773" w:type="dxa"/>
            <w:noWrap/>
            <w:hideMark/>
          </w:tcPr>
          <w:p w14:paraId="5C68E2D1"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2015</w:t>
            </w:r>
          </w:p>
        </w:tc>
        <w:tc>
          <w:tcPr>
            <w:tcW w:w="773" w:type="dxa"/>
            <w:noWrap/>
            <w:hideMark/>
          </w:tcPr>
          <w:p w14:paraId="3ED26622"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2016</w:t>
            </w:r>
          </w:p>
        </w:tc>
        <w:tc>
          <w:tcPr>
            <w:tcW w:w="773" w:type="dxa"/>
            <w:noWrap/>
            <w:hideMark/>
          </w:tcPr>
          <w:p w14:paraId="28A50A02"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2017</w:t>
            </w:r>
          </w:p>
        </w:tc>
        <w:tc>
          <w:tcPr>
            <w:tcW w:w="773" w:type="dxa"/>
            <w:noWrap/>
            <w:hideMark/>
          </w:tcPr>
          <w:p w14:paraId="5E7DB888"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2018</w:t>
            </w:r>
          </w:p>
        </w:tc>
        <w:tc>
          <w:tcPr>
            <w:tcW w:w="773" w:type="dxa"/>
            <w:noWrap/>
            <w:hideMark/>
          </w:tcPr>
          <w:p w14:paraId="181D1007"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2019</w:t>
            </w:r>
          </w:p>
        </w:tc>
        <w:tc>
          <w:tcPr>
            <w:tcW w:w="773" w:type="dxa"/>
            <w:noWrap/>
            <w:hideMark/>
          </w:tcPr>
          <w:p w14:paraId="2DFC8F1F"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2020</w:t>
            </w:r>
          </w:p>
        </w:tc>
        <w:tc>
          <w:tcPr>
            <w:tcW w:w="708" w:type="dxa"/>
            <w:noWrap/>
            <w:hideMark/>
          </w:tcPr>
          <w:p w14:paraId="4D0B630A"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2020/</w:t>
            </w:r>
          </w:p>
          <w:p w14:paraId="48E35B1D"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2011, %</w:t>
            </w:r>
          </w:p>
        </w:tc>
      </w:tr>
      <w:tr w:rsidR="00C03906" w:rsidRPr="00A73566" w14:paraId="09C0302E" w14:textId="77777777" w:rsidTr="00C03906">
        <w:trPr>
          <w:cnfStyle w:val="000000100000" w:firstRow="0" w:lastRow="0" w:firstColumn="0" w:lastColumn="0" w:oddVBand="0" w:evenVBand="0" w:oddHBand="1" w:evenHBand="0" w:firstRowFirstColumn="0" w:firstRowLastColumn="0" w:lastRowFirstColumn="0" w:lastRowLastColumn="0"/>
          <w:trHeight w:val="274"/>
        </w:trPr>
        <w:tc>
          <w:tcPr>
            <w:tcW w:w="1614" w:type="dxa"/>
            <w:noWrap/>
            <w:hideMark/>
          </w:tcPr>
          <w:p w14:paraId="750DCD59"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I. Animale vii si produse ale regnului animal</w:t>
            </w:r>
          </w:p>
        </w:tc>
        <w:tc>
          <w:tcPr>
            <w:tcW w:w="773" w:type="dxa"/>
            <w:noWrap/>
            <w:vAlign w:val="center"/>
            <w:hideMark/>
          </w:tcPr>
          <w:p w14:paraId="2D8BD2C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38.0</w:t>
            </w:r>
          </w:p>
        </w:tc>
        <w:tc>
          <w:tcPr>
            <w:tcW w:w="773" w:type="dxa"/>
            <w:noWrap/>
            <w:vAlign w:val="center"/>
            <w:hideMark/>
          </w:tcPr>
          <w:p w14:paraId="6821270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37.8</w:t>
            </w:r>
          </w:p>
        </w:tc>
        <w:tc>
          <w:tcPr>
            <w:tcW w:w="773" w:type="dxa"/>
            <w:noWrap/>
            <w:vAlign w:val="center"/>
            <w:hideMark/>
          </w:tcPr>
          <w:p w14:paraId="5AE32D7B"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37.2</w:t>
            </w:r>
          </w:p>
        </w:tc>
        <w:tc>
          <w:tcPr>
            <w:tcW w:w="773" w:type="dxa"/>
            <w:noWrap/>
            <w:vAlign w:val="center"/>
            <w:hideMark/>
          </w:tcPr>
          <w:p w14:paraId="58549DC6"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59.7</w:t>
            </w:r>
          </w:p>
        </w:tc>
        <w:tc>
          <w:tcPr>
            <w:tcW w:w="773" w:type="dxa"/>
            <w:noWrap/>
            <w:vAlign w:val="center"/>
            <w:hideMark/>
          </w:tcPr>
          <w:p w14:paraId="4135A9D1"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37.5</w:t>
            </w:r>
          </w:p>
        </w:tc>
        <w:tc>
          <w:tcPr>
            <w:tcW w:w="773" w:type="dxa"/>
            <w:noWrap/>
            <w:vAlign w:val="center"/>
            <w:hideMark/>
          </w:tcPr>
          <w:p w14:paraId="42C09E8D"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40.2</w:t>
            </w:r>
          </w:p>
        </w:tc>
        <w:tc>
          <w:tcPr>
            <w:tcW w:w="773" w:type="dxa"/>
            <w:noWrap/>
            <w:vAlign w:val="center"/>
            <w:hideMark/>
          </w:tcPr>
          <w:p w14:paraId="728F691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47.1</w:t>
            </w:r>
          </w:p>
        </w:tc>
        <w:tc>
          <w:tcPr>
            <w:tcW w:w="773" w:type="dxa"/>
            <w:noWrap/>
            <w:vAlign w:val="center"/>
            <w:hideMark/>
          </w:tcPr>
          <w:p w14:paraId="02BF06A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45.5</w:t>
            </w:r>
          </w:p>
        </w:tc>
        <w:tc>
          <w:tcPr>
            <w:tcW w:w="773" w:type="dxa"/>
            <w:noWrap/>
            <w:vAlign w:val="center"/>
            <w:hideMark/>
          </w:tcPr>
          <w:p w14:paraId="756ED4CF"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38.2</w:t>
            </w:r>
          </w:p>
        </w:tc>
        <w:tc>
          <w:tcPr>
            <w:tcW w:w="773" w:type="dxa"/>
            <w:noWrap/>
            <w:vAlign w:val="center"/>
            <w:hideMark/>
          </w:tcPr>
          <w:p w14:paraId="37E7067C"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33.9</w:t>
            </w:r>
          </w:p>
        </w:tc>
        <w:tc>
          <w:tcPr>
            <w:tcW w:w="708" w:type="dxa"/>
            <w:shd w:val="clear" w:color="auto" w:fill="DDECCF" w:themeFill="accent6" w:themeFillTint="33"/>
            <w:noWrap/>
            <w:vAlign w:val="center"/>
            <w:hideMark/>
          </w:tcPr>
          <w:p w14:paraId="34F08236" w14:textId="77777777" w:rsidR="00C03906" w:rsidRPr="00A73566" w:rsidRDefault="00C03906" w:rsidP="00C03906">
            <w:pPr>
              <w:spacing w:after="0"/>
              <w:ind w:right="121"/>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89.2</w:t>
            </w:r>
          </w:p>
        </w:tc>
      </w:tr>
      <w:tr w:rsidR="00C03906" w:rsidRPr="00A73566" w14:paraId="256C3B92" w14:textId="77777777" w:rsidTr="00C03906">
        <w:trPr>
          <w:cnfStyle w:val="000000010000" w:firstRow="0" w:lastRow="0" w:firstColumn="0" w:lastColumn="0" w:oddVBand="0" w:evenVBand="0" w:oddHBand="0" w:evenHBand="1" w:firstRowFirstColumn="0" w:firstRowLastColumn="0" w:lastRowFirstColumn="0" w:lastRowLastColumn="0"/>
          <w:trHeight w:val="274"/>
        </w:trPr>
        <w:tc>
          <w:tcPr>
            <w:tcW w:w="1614" w:type="dxa"/>
            <w:noWrap/>
            <w:hideMark/>
          </w:tcPr>
          <w:p w14:paraId="2D051108"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II. Produse ale regnului vegetal</w:t>
            </w:r>
          </w:p>
        </w:tc>
        <w:tc>
          <w:tcPr>
            <w:tcW w:w="773" w:type="dxa"/>
            <w:noWrap/>
            <w:vAlign w:val="center"/>
            <w:hideMark/>
          </w:tcPr>
          <w:p w14:paraId="366B1BDA"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471.0</w:t>
            </w:r>
          </w:p>
        </w:tc>
        <w:tc>
          <w:tcPr>
            <w:tcW w:w="773" w:type="dxa"/>
            <w:noWrap/>
            <w:vAlign w:val="center"/>
            <w:hideMark/>
          </w:tcPr>
          <w:p w14:paraId="461839A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360.5</w:t>
            </w:r>
          </w:p>
        </w:tc>
        <w:tc>
          <w:tcPr>
            <w:tcW w:w="773" w:type="dxa"/>
            <w:noWrap/>
            <w:vAlign w:val="center"/>
            <w:hideMark/>
          </w:tcPr>
          <w:p w14:paraId="2A68DC7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507.0</w:t>
            </w:r>
          </w:p>
        </w:tc>
        <w:tc>
          <w:tcPr>
            <w:tcW w:w="773" w:type="dxa"/>
            <w:noWrap/>
            <w:vAlign w:val="center"/>
            <w:hideMark/>
          </w:tcPr>
          <w:p w14:paraId="13DE936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549.7</w:t>
            </w:r>
          </w:p>
        </w:tc>
        <w:tc>
          <w:tcPr>
            <w:tcW w:w="773" w:type="dxa"/>
            <w:noWrap/>
            <w:vAlign w:val="center"/>
            <w:hideMark/>
          </w:tcPr>
          <w:p w14:paraId="5CCAA06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501.7</w:t>
            </w:r>
          </w:p>
        </w:tc>
        <w:tc>
          <w:tcPr>
            <w:tcW w:w="773" w:type="dxa"/>
            <w:noWrap/>
            <w:vAlign w:val="center"/>
            <w:hideMark/>
          </w:tcPr>
          <w:p w14:paraId="6478672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529.5</w:t>
            </w:r>
          </w:p>
        </w:tc>
        <w:tc>
          <w:tcPr>
            <w:tcW w:w="773" w:type="dxa"/>
            <w:noWrap/>
            <w:vAlign w:val="center"/>
            <w:hideMark/>
          </w:tcPr>
          <w:p w14:paraId="7A1A5E4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662.5</w:t>
            </w:r>
          </w:p>
        </w:tc>
        <w:tc>
          <w:tcPr>
            <w:tcW w:w="773" w:type="dxa"/>
            <w:noWrap/>
            <w:vAlign w:val="center"/>
            <w:hideMark/>
          </w:tcPr>
          <w:p w14:paraId="609F56C1"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686.8</w:t>
            </w:r>
          </w:p>
        </w:tc>
        <w:tc>
          <w:tcPr>
            <w:tcW w:w="773" w:type="dxa"/>
            <w:noWrap/>
            <w:vAlign w:val="center"/>
            <w:hideMark/>
          </w:tcPr>
          <w:p w14:paraId="5BD0144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721.1</w:t>
            </w:r>
          </w:p>
        </w:tc>
        <w:tc>
          <w:tcPr>
            <w:tcW w:w="773" w:type="dxa"/>
            <w:noWrap/>
            <w:vAlign w:val="center"/>
            <w:hideMark/>
          </w:tcPr>
          <w:p w14:paraId="58A71D1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571.4</w:t>
            </w:r>
          </w:p>
        </w:tc>
        <w:tc>
          <w:tcPr>
            <w:tcW w:w="708" w:type="dxa"/>
            <w:shd w:val="clear" w:color="auto" w:fill="DDECCF" w:themeFill="accent6" w:themeFillTint="33"/>
            <w:noWrap/>
            <w:vAlign w:val="center"/>
            <w:hideMark/>
          </w:tcPr>
          <w:p w14:paraId="1E14F79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121.3</w:t>
            </w:r>
          </w:p>
        </w:tc>
      </w:tr>
      <w:tr w:rsidR="00C03906" w:rsidRPr="00A73566" w14:paraId="349A155C" w14:textId="77777777" w:rsidTr="00C03906">
        <w:trPr>
          <w:cnfStyle w:val="000000100000" w:firstRow="0" w:lastRow="0" w:firstColumn="0" w:lastColumn="0" w:oddVBand="0" w:evenVBand="0" w:oddHBand="1" w:evenHBand="0" w:firstRowFirstColumn="0" w:firstRowLastColumn="0" w:lastRowFirstColumn="0" w:lastRowLastColumn="0"/>
          <w:trHeight w:val="274"/>
        </w:trPr>
        <w:tc>
          <w:tcPr>
            <w:tcW w:w="1614" w:type="dxa"/>
            <w:noWrap/>
            <w:hideMark/>
          </w:tcPr>
          <w:p w14:paraId="44361B58"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III. Grăsimi si uleiuri de origine animala sau vegetala</w:t>
            </w:r>
          </w:p>
        </w:tc>
        <w:tc>
          <w:tcPr>
            <w:tcW w:w="773" w:type="dxa"/>
            <w:noWrap/>
            <w:vAlign w:val="center"/>
            <w:hideMark/>
          </w:tcPr>
          <w:p w14:paraId="6AC3C77F"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77.5</w:t>
            </w:r>
          </w:p>
        </w:tc>
        <w:tc>
          <w:tcPr>
            <w:tcW w:w="773" w:type="dxa"/>
            <w:noWrap/>
            <w:vAlign w:val="center"/>
            <w:hideMark/>
          </w:tcPr>
          <w:p w14:paraId="73C94CB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89.7</w:t>
            </w:r>
          </w:p>
        </w:tc>
        <w:tc>
          <w:tcPr>
            <w:tcW w:w="773" w:type="dxa"/>
            <w:noWrap/>
            <w:vAlign w:val="center"/>
            <w:hideMark/>
          </w:tcPr>
          <w:p w14:paraId="0C920DA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44.0</w:t>
            </w:r>
          </w:p>
        </w:tc>
        <w:tc>
          <w:tcPr>
            <w:tcW w:w="773" w:type="dxa"/>
            <w:noWrap/>
            <w:vAlign w:val="center"/>
            <w:hideMark/>
          </w:tcPr>
          <w:p w14:paraId="5A22D0F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77.5</w:t>
            </w:r>
          </w:p>
        </w:tc>
        <w:tc>
          <w:tcPr>
            <w:tcW w:w="773" w:type="dxa"/>
            <w:noWrap/>
            <w:vAlign w:val="center"/>
            <w:hideMark/>
          </w:tcPr>
          <w:p w14:paraId="04B7023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72.0</w:t>
            </w:r>
          </w:p>
        </w:tc>
        <w:tc>
          <w:tcPr>
            <w:tcW w:w="773" w:type="dxa"/>
            <w:noWrap/>
            <w:vAlign w:val="center"/>
            <w:hideMark/>
          </w:tcPr>
          <w:p w14:paraId="7BDC250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54.3</w:t>
            </w:r>
          </w:p>
        </w:tc>
        <w:tc>
          <w:tcPr>
            <w:tcW w:w="773" w:type="dxa"/>
            <w:noWrap/>
            <w:vAlign w:val="center"/>
            <w:hideMark/>
          </w:tcPr>
          <w:p w14:paraId="4785A130"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53.7</w:t>
            </w:r>
          </w:p>
        </w:tc>
        <w:tc>
          <w:tcPr>
            <w:tcW w:w="773" w:type="dxa"/>
            <w:noWrap/>
            <w:vAlign w:val="center"/>
            <w:hideMark/>
          </w:tcPr>
          <w:p w14:paraId="6C857CE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66.9</w:t>
            </w:r>
          </w:p>
        </w:tc>
        <w:tc>
          <w:tcPr>
            <w:tcW w:w="773" w:type="dxa"/>
            <w:noWrap/>
            <w:vAlign w:val="center"/>
            <w:hideMark/>
          </w:tcPr>
          <w:p w14:paraId="5814F11F"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70.0</w:t>
            </w:r>
          </w:p>
        </w:tc>
        <w:tc>
          <w:tcPr>
            <w:tcW w:w="773" w:type="dxa"/>
            <w:noWrap/>
            <w:vAlign w:val="center"/>
            <w:hideMark/>
          </w:tcPr>
          <w:p w14:paraId="3673186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103.5</w:t>
            </w:r>
          </w:p>
        </w:tc>
        <w:tc>
          <w:tcPr>
            <w:tcW w:w="708" w:type="dxa"/>
            <w:shd w:val="clear" w:color="auto" w:fill="DDECCF" w:themeFill="accent6" w:themeFillTint="33"/>
            <w:noWrap/>
            <w:vAlign w:val="center"/>
            <w:hideMark/>
          </w:tcPr>
          <w:p w14:paraId="787B7DE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133.6</w:t>
            </w:r>
          </w:p>
        </w:tc>
      </w:tr>
      <w:tr w:rsidR="00C03906" w:rsidRPr="00A73566" w14:paraId="35906FBF" w14:textId="77777777" w:rsidTr="00C03906">
        <w:trPr>
          <w:cnfStyle w:val="000000010000" w:firstRow="0" w:lastRow="0" w:firstColumn="0" w:lastColumn="0" w:oddVBand="0" w:evenVBand="0" w:oddHBand="0" w:evenHBand="1" w:firstRowFirstColumn="0" w:firstRowLastColumn="0" w:lastRowFirstColumn="0" w:lastRowLastColumn="0"/>
          <w:trHeight w:val="274"/>
        </w:trPr>
        <w:tc>
          <w:tcPr>
            <w:tcW w:w="1614" w:type="dxa"/>
            <w:noWrap/>
            <w:hideMark/>
          </w:tcPr>
          <w:p w14:paraId="16322970"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 xml:space="preserve">IV. Produse ale industriei alimentare; băuturi. tutun </w:t>
            </w:r>
          </w:p>
        </w:tc>
        <w:tc>
          <w:tcPr>
            <w:tcW w:w="773" w:type="dxa"/>
            <w:noWrap/>
            <w:vAlign w:val="center"/>
            <w:hideMark/>
          </w:tcPr>
          <w:p w14:paraId="1D6C7E50"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330.6</w:t>
            </w:r>
          </w:p>
        </w:tc>
        <w:tc>
          <w:tcPr>
            <w:tcW w:w="773" w:type="dxa"/>
            <w:noWrap/>
            <w:vAlign w:val="center"/>
            <w:hideMark/>
          </w:tcPr>
          <w:p w14:paraId="6636879F"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390.9</w:t>
            </w:r>
          </w:p>
        </w:tc>
        <w:tc>
          <w:tcPr>
            <w:tcW w:w="773" w:type="dxa"/>
            <w:noWrap/>
            <w:vAlign w:val="center"/>
            <w:hideMark/>
          </w:tcPr>
          <w:p w14:paraId="54FDC051"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427.3</w:t>
            </w:r>
          </w:p>
        </w:tc>
        <w:tc>
          <w:tcPr>
            <w:tcW w:w="773" w:type="dxa"/>
            <w:noWrap/>
            <w:vAlign w:val="center"/>
            <w:hideMark/>
          </w:tcPr>
          <w:p w14:paraId="25C7D04C"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378.4</w:t>
            </w:r>
          </w:p>
        </w:tc>
        <w:tc>
          <w:tcPr>
            <w:tcW w:w="773" w:type="dxa"/>
            <w:noWrap/>
            <w:vAlign w:val="center"/>
            <w:hideMark/>
          </w:tcPr>
          <w:p w14:paraId="7D8ECA86"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303.3</w:t>
            </w:r>
          </w:p>
        </w:tc>
        <w:tc>
          <w:tcPr>
            <w:tcW w:w="773" w:type="dxa"/>
            <w:noWrap/>
            <w:vAlign w:val="center"/>
            <w:hideMark/>
          </w:tcPr>
          <w:p w14:paraId="69FC6B7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321.5</w:t>
            </w:r>
          </w:p>
        </w:tc>
        <w:tc>
          <w:tcPr>
            <w:tcW w:w="773" w:type="dxa"/>
            <w:noWrap/>
            <w:vAlign w:val="center"/>
            <w:hideMark/>
          </w:tcPr>
          <w:p w14:paraId="13B4A18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367.6</w:t>
            </w:r>
          </w:p>
        </w:tc>
        <w:tc>
          <w:tcPr>
            <w:tcW w:w="773" w:type="dxa"/>
            <w:noWrap/>
            <w:vAlign w:val="center"/>
            <w:hideMark/>
          </w:tcPr>
          <w:p w14:paraId="13A4BED0"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368.2</w:t>
            </w:r>
          </w:p>
        </w:tc>
        <w:tc>
          <w:tcPr>
            <w:tcW w:w="773" w:type="dxa"/>
            <w:noWrap/>
            <w:vAlign w:val="center"/>
            <w:hideMark/>
          </w:tcPr>
          <w:p w14:paraId="3238E916"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381.9</w:t>
            </w:r>
          </w:p>
        </w:tc>
        <w:tc>
          <w:tcPr>
            <w:tcW w:w="773" w:type="dxa"/>
            <w:noWrap/>
            <w:vAlign w:val="center"/>
            <w:hideMark/>
          </w:tcPr>
          <w:p w14:paraId="4C52BB5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379.0</w:t>
            </w:r>
          </w:p>
        </w:tc>
        <w:tc>
          <w:tcPr>
            <w:tcW w:w="708" w:type="dxa"/>
            <w:shd w:val="clear" w:color="auto" w:fill="DDECCF" w:themeFill="accent6" w:themeFillTint="33"/>
            <w:noWrap/>
            <w:vAlign w:val="center"/>
            <w:hideMark/>
          </w:tcPr>
          <w:p w14:paraId="1CE919D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114.6</w:t>
            </w:r>
          </w:p>
        </w:tc>
      </w:tr>
      <w:tr w:rsidR="00C03906" w:rsidRPr="00A73566" w14:paraId="2F8C7014" w14:textId="77777777" w:rsidTr="00C03906">
        <w:trPr>
          <w:cnfStyle w:val="000000100000" w:firstRow="0" w:lastRow="0" w:firstColumn="0" w:lastColumn="0" w:oddVBand="0" w:evenVBand="0" w:oddHBand="1" w:evenHBand="0" w:firstRowFirstColumn="0" w:firstRowLastColumn="0" w:lastRowFirstColumn="0" w:lastRowLastColumn="0"/>
          <w:trHeight w:val="274"/>
        </w:trPr>
        <w:tc>
          <w:tcPr>
            <w:tcW w:w="1614" w:type="dxa"/>
            <w:noWrap/>
            <w:hideMark/>
          </w:tcPr>
          <w:p w14:paraId="011BBFCB"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Alte produse agroalimentare</w:t>
            </w:r>
          </w:p>
        </w:tc>
        <w:tc>
          <w:tcPr>
            <w:tcW w:w="773" w:type="dxa"/>
            <w:noWrap/>
            <w:vAlign w:val="center"/>
            <w:hideMark/>
          </w:tcPr>
          <w:p w14:paraId="20997436"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39.5</w:t>
            </w:r>
          </w:p>
        </w:tc>
        <w:tc>
          <w:tcPr>
            <w:tcW w:w="773" w:type="dxa"/>
            <w:noWrap/>
            <w:vAlign w:val="center"/>
            <w:hideMark/>
          </w:tcPr>
          <w:p w14:paraId="3A0C0E91"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56.6</w:t>
            </w:r>
          </w:p>
        </w:tc>
        <w:tc>
          <w:tcPr>
            <w:tcW w:w="773" w:type="dxa"/>
            <w:noWrap/>
            <w:vAlign w:val="center"/>
            <w:hideMark/>
          </w:tcPr>
          <w:p w14:paraId="7B97929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54.8</w:t>
            </w:r>
          </w:p>
        </w:tc>
        <w:tc>
          <w:tcPr>
            <w:tcW w:w="773" w:type="dxa"/>
            <w:noWrap/>
            <w:vAlign w:val="center"/>
            <w:hideMark/>
          </w:tcPr>
          <w:p w14:paraId="00DEF4E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47.2</w:t>
            </w:r>
          </w:p>
        </w:tc>
        <w:tc>
          <w:tcPr>
            <w:tcW w:w="773" w:type="dxa"/>
            <w:noWrap/>
            <w:vAlign w:val="center"/>
            <w:hideMark/>
          </w:tcPr>
          <w:p w14:paraId="04664A8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40.6</w:t>
            </w:r>
          </w:p>
        </w:tc>
        <w:tc>
          <w:tcPr>
            <w:tcW w:w="773" w:type="dxa"/>
            <w:noWrap/>
            <w:vAlign w:val="center"/>
            <w:hideMark/>
          </w:tcPr>
          <w:p w14:paraId="6345627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34.5</w:t>
            </w:r>
          </w:p>
        </w:tc>
        <w:tc>
          <w:tcPr>
            <w:tcW w:w="773" w:type="dxa"/>
            <w:noWrap/>
            <w:vAlign w:val="center"/>
            <w:hideMark/>
          </w:tcPr>
          <w:p w14:paraId="77DEB976"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31.6</w:t>
            </w:r>
          </w:p>
        </w:tc>
        <w:tc>
          <w:tcPr>
            <w:tcW w:w="773" w:type="dxa"/>
            <w:noWrap/>
            <w:vAlign w:val="center"/>
            <w:hideMark/>
          </w:tcPr>
          <w:p w14:paraId="367DE31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38.3</w:t>
            </w:r>
          </w:p>
        </w:tc>
        <w:tc>
          <w:tcPr>
            <w:tcW w:w="773" w:type="dxa"/>
            <w:noWrap/>
            <w:vAlign w:val="center"/>
            <w:hideMark/>
          </w:tcPr>
          <w:p w14:paraId="167DFA0B"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38.3</w:t>
            </w:r>
          </w:p>
        </w:tc>
        <w:tc>
          <w:tcPr>
            <w:tcW w:w="773" w:type="dxa"/>
            <w:noWrap/>
            <w:vAlign w:val="center"/>
            <w:hideMark/>
          </w:tcPr>
          <w:p w14:paraId="79EE482B"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33.8</w:t>
            </w:r>
          </w:p>
        </w:tc>
        <w:tc>
          <w:tcPr>
            <w:tcW w:w="708" w:type="dxa"/>
            <w:shd w:val="clear" w:color="auto" w:fill="DDECCF" w:themeFill="accent6" w:themeFillTint="33"/>
            <w:noWrap/>
            <w:vAlign w:val="center"/>
            <w:hideMark/>
          </w:tcPr>
          <w:p w14:paraId="4553811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85.5</w:t>
            </w:r>
          </w:p>
        </w:tc>
      </w:tr>
      <w:tr w:rsidR="00C03906" w:rsidRPr="00A73566" w14:paraId="5838CB05" w14:textId="77777777" w:rsidTr="00C03906">
        <w:trPr>
          <w:cnfStyle w:val="000000010000" w:firstRow="0" w:lastRow="0" w:firstColumn="0" w:lastColumn="0" w:oddVBand="0" w:evenVBand="0" w:oddHBand="0" w:evenHBand="1" w:firstRowFirstColumn="0" w:firstRowLastColumn="0" w:lastRowFirstColumn="0" w:lastRowLastColumn="0"/>
          <w:trHeight w:val="274"/>
        </w:trPr>
        <w:tc>
          <w:tcPr>
            <w:tcW w:w="1614" w:type="dxa"/>
            <w:noWrap/>
            <w:hideMark/>
          </w:tcPr>
          <w:p w14:paraId="39B47A7F"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Total exporturi agroalimentare</w:t>
            </w:r>
          </w:p>
        </w:tc>
        <w:tc>
          <w:tcPr>
            <w:tcW w:w="773" w:type="dxa"/>
            <w:noWrap/>
            <w:vAlign w:val="center"/>
            <w:hideMark/>
          </w:tcPr>
          <w:p w14:paraId="5BCC1BB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956.6</w:t>
            </w:r>
          </w:p>
        </w:tc>
        <w:tc>
          <w:tcPr>
            <w:tcW w:w="773" w:type="dxa"/>
            <w:noWrap/>
            <w:vAlign w:val="center"/>
            <w:hideMark/>
          </w:tcPr>
          <w:p w14:paraId="404F7965"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935.5</w:t>
            </w:r>
          </w:p>
        </w:tc>
        <w:tc>
          <w:tcPr>
            <w:tcW w:w="773" w:type="dxa"/>
            <w:noWrap/>
            <w:vAlign w:val="center"/>
            <w:hideMark/>
          </w:tcPr>
          <w:p w14:paraId="43F0E99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1070.3</w:t>
            </w:r>
          </w:p>
        </w:tc>
        <w:tc>
          <w:tcPr>
            <w:tcW w:w="773" w:type="dxa"/>
            <w:noWrap/>
            <w:vAlign w:val="center"/>
            <w:hideMark/>
          </w:tcPr>
          <w:p w14:paraId="0C3E0DCA"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1112.6</w:t>
            </w:r>
          </w:p>
        </w:tc>
        <w:tc>
          <w:tcPr>
            <w:tcW w:w="773" w:type="dxa"/>
            <w:noWrap/>
            <w:vAlign w:val="center"/>
            <w:hideMark/>
          </w:tcPr>
          <w:p w14:paraId="43A3C03F"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955.0</w:t>
            </w:r>
          </w:p>
        </w:tc>
        <w:tc>
          <w:tcPr>
            <w:tcW w:w="773" w:type="dxa"/>
            <w:noWrap/>
            <w:vAlign w:val="center"/>
            <w:hideMark/>
          </w:tcPr>
          <w:p w14:paraId="7C12FDC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980.0</w:t>
            </w:r>
          </w:p>
        </w:tc>
        <w:tc>
          <w:tcPr>
            <w:tcW w:w="773" w:type="dxa"/>
            <w:noWrap/>
            <w:vAlign w:val="center"/>
            <w:hideMark/>
          </w:tcPr>
          <w:p w14:paraId="7F9E099D"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1162.5</w:t>
            </w:r>
          </w:p>
        </w:tc>
        <w:tc>
          <w:tcPr>
            <w:tcW w:w="773" w:type="dxa"/>
            <w:noWrap/>
            <w:vAlign w:val="center"/>
            <w:hideMark/>
          </w:tcPr>
          <w:p w14:paraId="6CE3BBE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1205.6</w:t>
            </w:r>
          </w:p>
        </w:tc>
        <w:tc>
          <w:tcPr>
            <w:tcW w:w="773" w:type="dxa"/>
            <w:noWrap/>
            <w:vAlign w:val="center"/>
            <w:hideMark/>
          </w:tcPr>
          <w:p w14:paraId="77AC6E1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1249.4</w:t>
            </w:r>
          </w:p>
        </w:tc>
        <w:tc>
          <w:tcPr>
            <w:tcW w:w="773" w:type="dxa"/>
            <w:noWrap/>
            <w:vAlign w:val="center"/>
            <w:hideMark/>
          </w:tcPr>
          <w:p w14:paraId="2D08A58D"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1121.6</w:t>
            </w:r>
          </w:p>
        </w:tc>
        <w:tc>
          <w:tcPr>
            <w:tcW w:w="708" w:type="dxa"/>
            <w:shd w:val="clear" w:color="auto" w:fill="DDECCF" w:themeFill="accent6" w:themeFillTint="33"/>
            <w:noWrap/>
            <w:vAlign w:val="center"/>
            <w:hideMark/>
          </w:tcPr>
          <w:p w14:paraId="3FC3DE6D"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117.2</w:t>
            </w:r>
          </w:p>
        </w:tc>
      </w:tr>
      <w:tr w:rsidR="00C03906" w:rsidRPr="00A73566" w14:paraId="471CBDB0" w14:textId="77777777" w:rsidTr="00C03906">
        <w:trPr>
          <w:cnfStyle w:val="000000100000" w:firstRow="0" w:lastRow="0" w:firstColumn="0" w:lastColumn="0" w:oddVBand="0" w:evenVBand="0" w:oddHBand="1" w:evenHBand="0" w:firstRowFirstColumn="0" w:firstRowLastColumn="0" w:lastRowFirstColumn="0" w:lastRowLastColumn="0"/>
          <w:trHeight w:val="274"/>
        </w:trPr>
        <w:tc>
          <w:tcPr>
            <w:tcW w:w="1614" w:type="dxa"/>
            <w:noWrap/>
            <w:hideMark/>
          </w:tcPr>
          <w:p w14:paraId="15D16D57"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 xml:space="preserve">Total exporturi </w:t>
            </w:r>
          </w:p>
        </w:tc>
        <w:tc>
          <w:tcPr>
            <w:tcW w:w="773" w:type="dxa"/>
            <w:noWrap/>
            <w:vAlign w:val="center"/>
            <w:hideMark/>
          </w:tcPr>
          <w:p w14:paraId="1E5C530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2216.8</w:t>
            </w:r>
          </w:p>
        </w:tc>
        <w:tc>
          <w:tcPr>
            <w:tcW w:w="773" w:type="dxa"/>
            <w:noWrap/>
            <w:vAlign w:val="center"/>
            <w:hideMark/>
          </w:tcPr>
          <w:p w14:paraId="56E95A9A"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2161.9</w:t>
            </w:r>
          </w:p>
        </w:tc>
        <w:tc>
          <w:tcPr>
            <w:tcW w:w="773" w:type="dxa"/>
            <w:noWrap/>
            <w:vAlign w:val="center"/>
            <w:hideMark/>
          </w:tcPr>
          <w:p w14:paraId="5145AED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2428.3</w:t>
            </w:r>
          </w:p>
        </w:tc>
        <w:tc>
          <w:tcPr>
            <w:tcW w:w="773" w:type="dxa"/>
            <w:noWrap/>
            <w:vAlign w:val="center"/>
            <w:hideMark/>
          </w:tcPr>
          <w:p w14:paraId="795179B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2339.5</w:t>
            </w:r>
          </w:p>
        </w:tc>
        <w:tc>
          <w:tcPr>
            <w:tcW w:w="773" w:type="dxa"/>
            <w:noWrap/>
            <w:vAlign w:val="center"/>
            <w:hideMark/>
          </w:tcPr>
          <w:p w14:paraId="45B68AB7"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1966.8</w:t>
            </w:r>
          </w:p>
        </w:tc>
        <w:tc>
          <w:tcPr>
            <w:tcW w:w="773" w:type="dxa"/>
            <w:noWrap/>
            <w:vAlign w:val="center"/>
            <w:hideMark/>
          </w:tcPr>
          <w:p w14:paraId="06F45B70"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2044.5</w:t>
            </w:r>
          </w:p>
        </w:tc>
        <w:tc>
          <w:tcPr>
            <w:tcW w:w="773" w:type="dxa"/>
            <w:noWrap/>
            <w:vAlign w:val="center"/>
            <w:hideMark/>
          </w:tcPr>
          <w:p w14:paraId="676479B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2425.0</w:t>
            </w:r>
          </w:p>
        </w:tc>
        <w:tc>
          <w:tcPr>
            <w:tcW w:w="773" w:type="dxa"/>
            <w:noWrap/>
            <w:vAlign w:val="center"/>
            <w:hideMark/>
          </w:tcPr>
          <w:p w14:paraId="149DDA11"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2706.2</w:t>
            </w:r>
          </w:p>
        </w:tc>
        <w:tc>
          <w:tcPr>
            <w:tcW w:w="773" w:type="dxa"/>
            <w:noWrap/>
            <w:vAlign w:val="center"/>
            <w:hideMark/>
          </w:tcPr>
          <w:p w14:paraId="06C3725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2779.2</w:t>
            </w:r>
          </w:p>
        </w:tc>
        <w:tc>
          <w:tcPr>
            <w:tcW w:w="773" w:type="dxa"/>
            <w:noWrap/>
            <w:vAlign w:val="center"/>
            <w:hideMark/>
          </w:tcPr>
          <w:p w14:paraId="1305C42E"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2467.1</w:t>
            </w:r>
          </w:p>
        </w:tc>
        <w:tc>
          <w:tcPr>
            <w:tcW w:w="708" w:type="dxa"/>
            <w:shd w:val="clear" w:color="auto" w:fill="DDECCF" w:themeFill="accent6" w:themeFillTint="33"/>
            <w:noWrap/>
            <w:vAlign w:val="center"/>
            <w:hideMark/>
          </w:tcPr>
          <w:p w14:paraId="5F43CD0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111.3</w:t>
            </w:r>
          </w:p>
        </w:tc>
      </w:tr>
      <w:tr w:rsidR="00C03906" w:rsidRPr="00A73566" w14:paraId="72131C4E" w14:textId="77777777" w:rsidTr="00C03906">
        <w:trPr>
          <w:cnfStyle w:val="000000010000" w:firstRow="0" w:lastRow="0" w:firstColumn="0" w:lastColumn="0" w:oddVBand="0" w:evenVBand="0" w:oddHBand="0" w:evenHBand="1" w:firstRowFirstColumn="0" w:firstRowLastColumn="0" w:lastRowFirstColumn="0" w:lastRowLastColumn="0"/>
          <w:trHeight w:val="274"/>
        </w:trPr>
        <w:tc>
          <w:tcPr>
            <w:tcW w:w="1614" w:type="dxa"/>
            <w:noWrap/>
            <w:hideMark/>
          </w:tcPr>
          <w:p w14:paraId="34A5DB5C" w14:textId="77777777" w:rsidR="00C03906" w:rsidRPr="00A73566" w:rsidRDefault="00C03906" w:rsidP="00C03906">
            <w:pPr>
              <w:spacing w:after="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Ponderea in total exporturi</w:t>
            </w:r>
          </w:p>
        </w:tc>
        <w:tc>
          <w:tcPr>
            <w:tcW w:w="773" w:type="dxa"/>
            <w:noWrap/>
            <w:vAlign w:val="center"/>
            <w:hideMark/>
          </w:tcPr>
          <w:p w14:paraId="59DD2AC4"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43.2</w:t>
            </w:r>
          </w:p>
        </w:tc>
        <w:tc>
          <w:tcPr>
            <w:tcW w:w="773" w:type="dxa"/>
            <w:noWrap/>
            <w:vAlign w:val="center"/>
            <w:hideMark/>
          </w:tcPr>
          <w:p w14:paraId="14BE92F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43.3</w:t>
            </w:r>
          </w:p>
        </w:tc>
        <w:tc>
          <w:tcPr>
            <w:tcW w:w="773" w:type="dxa"/>
            <w:noWrap/>
            <w:vAlign w:val="center"/>
            <w:hideMark/>
          </w:tcPr>
          <w:p w14:paraId="6E181D69"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44.1</w:t>
            </w:r>
          </w:p>
        </w:tc>
        <w:tc>
          <w:tcPr>
            <w:tcW w:w="773" w:type="dxa"/>
            <w:noWrap/>
            <w:vAlign w:val="center"/>
            <w:hideMark/>
          </w:tcPr>
          <w:p w14:paraId="2E2D3AA2"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47.6</w:t>
            </w:r>
          </w:p>
        </w:tc>
        <w:tc>
          <w:tcPr>
            <w:tcW w:w="773" w:type="dxa"/>
            <w:noWrap/>
            <w:vAlign w:val="center"/>
            <w:hideMark/>
          </w:tcPr>
          <w:p w14:paraId="182F2B80"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48.6</w:t>
            </w:r>
          </w:p>
        </w:tc>
        <w:tc>
          <w:tcPr>
            <w:tcW w:w="773" w:type="dxa"/>
            <w:noWrap/>
            <w:vAlign w:val="center"/>
            <w:hideMark/>
          </w:tcPr>
          <w:p w14:paraId="64A48E63"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47.9</w:t>
            </w:r>
          </w:p>
        </w:tc>
        <w:tc>
          <w:tcPr>
            <w:tcW w:w="773" w:type="dxa"/>
            <w:noWrap/>
            <w:vAlign w:val="center"/>
            <w:hideMark/>
          </w:tcPr>
          <w:p w14:paraId="17F7515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47.9</w:t>
            </w:r>
          </w:p>
        </w:tc>
        <w:tc>
          <w:tcPr>
            <w:tcW w:w="773" w:type="dxa"/>
            <w:noWrap/>
            <w:vAlign w:val="center"/>
            <w:hideMark/>
          </w:tcPr>
          <w:p w14:paraId="05F86D9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44.5</w:t>
            </w:r>
          </w:p>
        </w:tc>
        <w:tc>
          <w:tcPr>
            <w:tcW w:w="773" w:type="dxa"/>
            <w:noWrap/>
            <w:vAlign w:val="center"/>
            <w:hideMark/>
          </w:tcPr>
          <w:p w14:paraId="269124C8"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45.0</w:t>
            </w:r>
          </w:p>
        </w:tc>
        <w:tc>
          <w:tcPr>
            <w:tcW w:w="773" w:type="dxa"/>
            <w:noWrap/>
            <w:vAlign w:val="center"/>
            <w:hideMark/>
          </w:tcPr>
          <w:p w14:paraId="293CC7DA"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45.5</w:t>
            </w:r>
          </w:p>
        </w:tc>
        <w:tc>
          <w:tcPr>
            <w:tcW w:w="708" w:type="dxa"/>
            <w:shd w:val="clear" w:color="auto" w:fill="DDECCF" w:themeFill="accent6" w:themeFillTint="33"/>
            <w:noWrap/>
            <w:vAlign w:val="center"/>
            <w:hideMark/>
          </w:tcPr>
          <w:p w14:paraId="1BCBBCB5" w14:textId="77777777" w:rsidR="00C03906" w:rsidRPr="00A73566" w:rsidRDefault="00C03906" w:rsidP="00C03906">
            <w:pPr>
              <w:spacing w:after="0"/>
              <w:jc w:val="center"/>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105.4</w:t>
            </w:r>
          </w:p>
        </w:tc>
      </w:tr>
    </w:tbl>
    <w:p w14:paraId="2C317F8A" w14:textId="77777777" w:rsidR="00C03906" w:rsidRPr="00F83699" w:rsidRDefault="00C03906" w:rsidP="00C03906">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01F697B8" w14:textId="75E985B3" w:rsidR="00C03906" w:rsidRPr="00A73566" w:rsidRDefault="00C03906" w:rsidP="006C6F6E">
      <w:pPr>
        <w:spacing w:before="120"/>
        <w:ind w:firstLine="567"/>
        <w:rPr>
          <w:rFonts w:ascii="Times New Roman" w:hAnsi="Times New Roman" w:cs="Times New Roman"/>
          <w:sz w:val="24"/>
          <w:szCs w:val="24"/>
          <w:lang w:val="ro-RO"/>
        </w:rPr>
      </w:pPr>
      <w:r w:rsidRPr="00A73566">
        <w:rPr>
          <w:rFonts w:ascii="Times New Roman" w:hAnsi="Times New Roman" w:cs="Times New Roman"/>
          <w:lang w:val="ro-RO"/>
        </w:rPr>
        <w:t>Evoluția exporturilor agroalimentare pe parcursul perioadei analizate a fost diferită și funcție de arealul țărilor destinatare al acestor exporturi. Astfel, exporturile către țările CSI s-au redus în această perioadă de circa două ori. În același timp, exporturile agroalimentare către țările UE au crescut cu circa 48%, iar în alte țări, în afara UE si CSI, volumul acestor exporturi aproape s-a triplat.</w:t>
      </w:r>
    </w:p>
    <w:p w14:paraId="6C27255D" w14:textId="23D6F655" w:rsidR="00C03906" w:rsidRPr="00F83699" w:rsidRDefault="00C03906" w:rsidP="00E313DD">
      <w:pPr>
        <w:pStyle w:val="Caption"/>
        <w:framePr w:wrap="around"/>
        <w:spacing w:after="0"/>
        <w:jc w:val="both"/>
        <w:rPr>
          <w:rFonts w:ascii="Times New Roman" w:hAnsi="Times New Roman" w:cs="Times New Roman"/>
          <w:sz w:val="18"/>
          <w:szCs w:val="18"/>
          <w:lang w:val="ro-RO"/>
        </w:rPr>
      </w:pPr>
      <w:r w:rsidRPr="00F83699">
        <w:rPr>
          <w:rFonts w:ascii="Times New Roman" w:hAnsi="Times New Roman" w:cs="Times New Roman"/>
          <w:sz w:val="18"/>
          <w:szCs w:val="18"/>
          <w:lang w:val="ro-RO"/>
        </w:rPr>
        <w:t xml:space="preserve">Tabelul </w:t>
      </w:r>
      <w:r w:rsidR="00694CAB" w:rsidRPr="00F83699">
        <w:rPr>
          <w:rFonts w:ascii="Times New Roman" w:hAnsi="Times New Roman" w:cs="Times New Roman"/>
          <w:sz w:val="18"/>
          <w:szCs w:val="18"/>
          <w:lang w:val="ro-RO"/>
        </w:rPr>
        <w:t>12</w:t>
      </w:r>
      <w:r w:rsidRPr="00F83699">
        <w:rPr>
          <w:rFonts w:ascii="Times New Roman" w:hAnsi="Times New Roman" w:cs="Times New Roman"/>
          <w:sz w:val="18"/>
          <w:szCs w:val="18"/>
          <w:lang w:val="ro-RO"/>
        </w:rPr>
        <w:t xml:space="preserve">. Exporturile agroalimentare ale Republicii Moldova pe grupe de țări, 2011-2014, Mil. USD, % </w:t>
      </w:r>
    </w:p>
    <w:tbl>
      <w:tblPr>
        <w:tblStyle w:val="Civittatable"/>
        <w:tblW w:w="9643" w:type="dxa"/>
        <w:tblInd w:w="-5" w:type="dxa"/>
        <w:tblLook w:val="04A0" w:firstRow="1" w:lastRow="0" w:firstColumn="1" w:lastColumn="0" w:noHBand="0" w:noVBand="1"/>
      </w:tblPr>
      <w:tblGrid>
        <w:gridCol w:w="1514"/>
        <w:gridCol w:w="627"/>
        <w:gridCol w:w="627"/>
        <w:gridCol w:w="718"/>
        <w:gridCol w:w="718"/>
        <w:gridCol w:w="627"/>
        <w:gridCol w:w="627"/>
        <w:gridCol w:w="718"/>
        <w:gridCol w:w="718"/>
        <w:gridCol w:w="718"/>
        <w:gridCol w:w="718"/>
        <w:gridCol w:w="1313"/>
      </w:tblGrid>
      <w:tr w:rsidR="00C03906" w:rsidRPr="00A73566" w14:paraId="6F48139B" w14:textId="77777777" w:rsidTr="00C03906">
        <w:trPr>
          <w:cnfStyle w:val="100000000000" w:firstRow="1" w:lastRow="0" w:firstColumn="0" w:lastColumn="0" w:oddVBand="0" w:evenVBand="0" w:oddHBand="0" w:evenHBand="0" w:firstRowFirstColumn="0" w:firstRowLastColumn="0" w:lastRowFirstColumn="0" w:lastRowLastColumn="0"/>
          <w:trHeight w:val="169"/>
        </w:trPr>
        <w:tc>
          <w:tcPr>
            <w:tcW w:w="1514" w:type="dxa"/>
            <w:noWrap/>
            <w:hideMark/>
          </w:tcPr>
          <w:p w14:paraId="34D1517B" w14:textId="77777777" w:rsidR="00C03906" w:rsidRPr="00A73566" w:rsidRDefault="00C03906" w:rsidP="00C03906">
            <w:pPr>
              <w:spacing w:after="0"/>
              <w:jc w:val="left"/>
              <w:rPr>
                <w:rFonts w:ascii="Times New Roman" w:eastAsia="Times New Roman" w:hAnsi="Times New Roman" w:cs="Times New Roman"/>
                <w:sz w:val="18"/>
                <w:szCs w:val="18"/>
                <w:lang w:val="ro-RO" w:eastAsia="ro-RO"/>
              </w:rPr>
            </w:pPr>
          </w:p>
        </w:tc>
        <w:tc>
          <w:tcPr>
            <w:tcW w:w="627" w:type="dxa"/>
            <w:noWrap/>
            <w:hideMark/>
          </w:tcPr>
          <w:p w14:paraId="5D2FAD6E"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2011</w:t>
            </w:r>
          </w:p>
        </w:tc>
        <w:tc>
          <w:tcPr>
            <w:tcW w:w="627" w:type="dxa"/>
            <w:noWrap/>
            <w:hideMark/>
          </w:tcPr>
          <w:p w14:paraId="091D3553"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2012</w:t>
            </w:r>
          </w:p>
        </w:tc>
        <w:tc>
          <w:tcPr>
            <w:tcW w:w="718" w:type="dxa"/>
            <w:noWrap/>
            <w:hideMark/>
          </w:tcPr>
          <w:p w14:paraId="409354E5"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2013</w:t>
            </w:r>
          </w:p>
        </w:tc>
        <w:tc>
          <w:tcPr>
            <w:tcW w:w="718" w:type="dxa"/>
            <w:noWrap/>
            <w:hideMark/>
          </w:tcPr>
          <w:p w14:paraId="6F2CA151"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2014</w:t>
            </w:r>
          </w:p>
        </w:tc>
        <w:tc>
          <w:tcPr>
            <w:tcW w:w="627" w:type="dxa"/>
            <w:noWrap/>
            <w:hideMark/>
          </w:tcPr>
          <w:p w14:paraId="1E358F3F"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2015</w:t>
            </w:r>
          </w:p>
        </w:tc>
        <w:tc>
          <w:tcPr>
            <w:tcW w:w="627" w:type="dxa"/>
            <w:noWrap/>
            <w:hideMark/>
          </w:tcPr>
          <w:p w14:paraId="07C5303E"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2016</w:t>
            </w:r>
          </w:p>
        </w:tc>
        <w:tc>
          <w:tcPr>
            <w:tcW w:w="718" w:type="dxa"/>
            <w:noWrap/>
            <w:hideMark/>
          </w:tcPr>
          <w:p w14:paraId="32D87186"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2017</w:t>
            </w:r>
          </w:p>
        </w:tc>
        <w:tc>
          <w:tcPr>
            <w:tcW w:w="718" w:type="dxa"/>
            <w:noWrap/>
            <w:hideMark/>
          </w:tcPr>
          <w:p w14:paraId="3487E198"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2018</w:t>
            </w:r>
          </w:p>
        </w:tc>
        <w:tc>
          <w:tcPr>
            <w:tcW w:w="718" w:type="dxa"/>
            <w:noWrap/>
            <w:hideMark/>
          </w:tcPr>
          <w:p w14:paraId="5BE65BBC"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2019</w:t>
            </w:r>
          </w:p>
        </w:tc>
        <w:tc>
          <w:tcPr>
            <w:tcW w:w="718" w:type="dxa"/>
            <w:noWrap/>
            <w:hideMark/>
          </w:tcPr>
          <w:p w14:paraId="2F5A1B22"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2020</w:t>
            </w:r>
          </w:p>
        </w:tc>
        <w:tc>
          <w:tcPr>
            <w:tcW w:w="1313" w:type="dxa"/>
            <w:noWrap/>
            <w:hideMark/>
          </w:tcPr>
          <w:p w14:paraId="2ECFA70B" w14:textId="77777777" w:rsidR="00C03906" w:rsidRPr="00A73566" w:rsidRDefault="00C03906" w:rsidP="00C03906">
            <w:pPr>
              <w:spacing w:after="0"/>
              <w:jc w:val="center"/>
              <w:rPr>
                <w:rFonts w:ascii="Times New Roman" w:eastAsia="Times New Roman" w:hAnsi="Times New Roman" w:cs="Times New Roman"/>
                <w:b/>
                <w:bCs/>
                <w:sz w:val="18"/>
                <w:szCs w:val="18"/>
                <w:lang w:val="ro-RO" w:eastAsia="ro-RO"/>
              </w:rPr>
            </w:pPr>
            <w:r w:rsidRPr="00A73566">
              <w:rPr>
                <w:rFonts w:ascii="Times New Roman" w:eastAsia="Times New Roman" w:hAnsi="Times New Roman" w:cs="Times New Roman"/>
                <w:b/>
                <w:bCs/>
                <w:sz w:val="18"/>
                <w:szCs w:val="18"/>
                <w:lang w:val="ro-RO" w:eastAsia="ro-RO"/>
              </w:rPr>
              <w:t>2020/2011, %</w:t>
            </w:r>
          </w:p>
        </w:tc>
      </w:tr>
      <w:tr w:rsidR="00C03906" w:rsidRPr="00A73566" w14:paraId="74882F0F" w14:textId="77777777" w:rsidTr="00C03906">
        <w:trPr>
          <w:cnfStyle w:val="000000100000" w:firstRow="0" w:lastRow="0" w:firstColumn="0" w:lastColumn="0" w:oddVBand="0" w:evenVBand="0" w:oddHBand="1" w:evenHBand="0" w:firstRowFirstColumn="0" w:firstRowLastColumn="0" w:lastRowFirstColumn="0" w:lastRowLastColumn="0"/>
          <w:trHeight w:val="169"/>
        </w:trPr>
        <w:tc>
          <w:tcPr>
            <w:tcW w:w="1514" w:type="dxa"/>
            <w:noWrap/>
            <w:hideMark/>
          </w:tcPr>
          <w:p w14:paraId="3B250D81" w14:textId="77777777" w:rsidR="00C03906" w:rsidRPr="00A73566" w:rsidRDefault="00C03906" w:rsidP="00C03906">
            <w:pPr>
              <w:spacing w:after="6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UE</w:t>
            </w:r>
          </w:p>
        </w:tc>
        <w:tc>
          <w:tcPr>
            <w:tcW w:w="627" w:type="dxa"/>
            <w:noWrap/>
            <w:hideMark/>
          </w:tcPr>
          <w:p w14:paraId="1783F2CB"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398.5</w:t>
            </w:r>
          </w:p>
        </w:tc>
        <w:tc>
          <w:tcPr>
            <w:tcW w:w="627" w:type="dxa"/>
            <w:noWrap/>
            <w:hideMark/>
          </w:tcPr>
          <w:p w14:paraId="3C0622EC"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352.8</w:t>
            </w:r>
          </w:p>
        </w:tc>
        <w:tc>
          <w:tcPr>
            <w:tcW w:w="718" w:type="dxa"/>
            <w:noWrap/>
            <w:hideMark/>
          </w:tcPr>
          <w:p w14:paraId="52769505"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394.3</w:t>
            </w:r>
          </w:p>
        </w:tc>
        <w:tc>
          <w:tcPr>
            <w:tcW w:w="718" w:type="dxa"/>
            <w:noWrap/>
            <w:hideMark/>
          </w:tcPr>
          <w:p w14:paraId="2A3FC020"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459.4</w:t>
            </w:r>
          </w:p>
        </w:tc>
        <w:tc>
          <w:tcPr>
            <w:tcW w:w="627" w:type="dxa"/>
            <w:noWrap/>
            <w:hideMark/>
          </w:tcPr>
          <w:p w14:paraId="6ABA6743"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508.8</w:t>
            </w:r>
          </w:p>
        </w:tc>
        <w:tc>
          <w:tcPr>
            <w:tcW w:w="627" w:type="dxa"/>
            <w:noWrap/>
            <w:hideMark/>
          </w:tcPr>
          <w:p w14:paraId="0C1854CD"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555.5</w:t>
            </w:r>
          </w:p>
        </w:tc>
        <w:tc>
          <w:tcPr>
            <w:tcW w:w="718" w:type="dxa"/>
            <w:noWrap/>
            <w:hideMark/>
          </w:tcPr>
          <w:p w14:paraId="1C79FFB0"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669.2</w:t>
            </w:r>
          </w:p>
        </w:tc>
        <w:tc>
          <w:tcPr>
            <w:tcW w:w="718" w:type="dxa"/>
            <w:noWrap/>
            <w:hideMark/>
          </w:tcPr>
          <w:p w14:paraId="0F52B3CB"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660.4</w:t>
            </w:r>
          </w:p>
        </w:tc>
        <w:tc>
          <w:tcPr>
            <w:tcW w:w="718" w:type="dxa"/>
            <w:noWrap/>
            <w:hideMark/>
          </w:tcPr>
          <w:p w14:paraId="72C836B4"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618.7</w:t>
            </w:r>
          </w:p>
        </w:tc>
        <w:tc>
          <w:tcPr>
            <w:tcW w:w="718" w:type="dxa"/>
            <w:noWrap/>
            <w:hideMark/>
          </w:tcPr>
          <w:p w14:paraId="05E78DEE"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588.1</w:t>
            </w:r>
          </w:p>
        </w:tc>
        <w:tc>
          <w:tcPr>
            <w:tcW w:w="1313" w:type="dxa"/>
            <w:noWrap/>
            <w:hideMark/>
          </w:tcPr>
          <w:p w14:paraId="1F3CA4BA" w14:textId="77777777" w:rsidR="00C03906" w:rsidRPr="00A73566" w:rsidRDefault="00C03906" w:rsidP="00C03906">
            <w:pPr>
              <w:spacing w:after="60"/>
              <w:jc w:val="right"/>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147.6</w:t>
            </w:r>
          </w:p>
        </w:tc>
      </w:tr>
      <w:tr w:rsidR="00C03906" w:rsidRPr="00A73566" w14:paraId="29F945A4" w14:textId="77777777" w:rsidTr="00C03906">
        <w:trPr>
          <w:cnfStyle w:val="000000010000" w:firstRow="0" w:lastRow="0" w:firstColumn="0" w:lastColumn="0" w:oddVBand="0" w:evenVBand="0" w:oddHBand="0" w:evenHBand="1" w:firstRowFirstColumn="0" w:firstRowLastColumn="0" w:lastRowFirstColumn="0" w:lastRowLastColumn="0"/>
          <w:trHeight w:val="169"/>
        </w:trPr>
        <w:tc>
          <w:tcPr>
            <w:tcW w:w="1514" w:type="dxa"/>
            <w:noWrap/>
            <w:hideMark/>
          </w:tcPr>
          <w:p w14:paraId="27825B32" w14:textId="77777777" w:rsidR="00C03906" w:rsidRPr="00A73566" w:rsidRDefault="00C03906" w:rsidP="00C03906">
            <w:pPr>
              <w:spacing w:after="6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 xml:space="preserve">CSI </w:t>
            </w:r>
          </w:p>
        </w:tc>
        <w:tc>
          <w:tcPr>
            <w:tcW w:w="627" w:type="dxa"/>
            <w:noWrap/>
            <w:hideMark/>
          </w:tcPr>
          <w:p w14:paraId="4EF153AC"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448.9</w:t>
            </w:r>
          </w:p>
        </w:tc>
        <w:tc>
          <w:tcPr>
            <w:tcW w:w="627" w:type="dxa"/>
            <w:noWrap/>
            <w:hideMark/>
          </w:tcPr>
          <w:p w14:paraId="1B23C467"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447.4</w:t>
            </w:r>
          </w:p>
        </w:tc>
        <w:tc>
          <w:tcPr>
            <w:tcW w:w="718" w:type="dxa"/>
            <w:noWrap/>
            <w:hideMark/>
          </w:tcPr>
          <w:p w14:paraId="463271DE"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429.1</w:t>
            </w:r>
          </w:p>
        </w:tc>
        <w:tc>
          <w:tcPr>
            <w:tcW w:w="718" w:type="dxa"/>
            <w:noWrap/>
            <w:hideMark/>
          </w:tcPr>
          <w:p w14:paraId="1847324F"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389.9</w:t>
            </w:r>
          </w:p>
        </w:tc>
        <w:tc>
          <w:tcPr>
            <w:tcW w:w="627" w:type="dxa"/>
            <w:noWrap/>
            <w:hideMark/>
          </w:tcPr>
          <w:p w14:paraId="7E61C04F"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253.4</w:t>
            </w:r>
          </w:p>
        </w:tc>
        <w:tc>
          <w:tcPr>
            <w:tcW w:w="627" w:type="dxa"/>
            <w:noWrap/>
            <w:hideMark/>
          </w:tcPr>
          <w:p w14:paraId="071B9F13"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183.1</w:t>
            </w:r>
          </w:p>
        </w:tc>
        <w:tc>
          <w:tcPr>
            <w:tcW w:w="718" w:type="dxa"/>
            <w:noWrap/>
            <w:hideMark/>
          </w:tcPr>
          <w:p w14:paraId="49B23F7E"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223.7</w:t>
            </w:r>
          </w:p>
        </w:tc>
        <w:tc>
          <w:tcPr>
            <w:tcW w:w="718" w:type="dxa"/>
            <w:noWrap/>
            <w:hideMark/>
          </w:tcPr>
          <w:p w14:paraId="563AA954"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223.6</w:t>
            </w:r>
          </w:p>
        </w:tc>
        <w:tc>
          <w:tcPr>
            <w:tcW w:w="718" w:type="dxa"/>
            <w:noWrap/>
            <w:hideMark/>
          </w:tcPr>
          <w:p w14:paraId="237ECC37"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221.8</w:t>
            </w:r>
          </w:p>
        </w:tc>
        <w:tc>
          <w:tcPr>
            <w:tcW w:w="718" w:type="dxa"/>
            <w:noWrap/>
            <w:hideMark/>
          </w:tcPr>
          <w:p w14:paraId="526D2582"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222.9</w:t>
            </w:r>
          </w:p>
        </w:tc>
        <w:tc>
          <w:tcPr>
            <w:tcW w:w="1313" w:type="dxa"/>
            <w:noWrap/>
            <w:hideMark/>
          </w:tcPr>
          <w:p w14:paraId="4044C9AA" w14:textId="77777777" w:rsidR="00C03906" w:rsidRPr="00A73566" w:rsidRDefault="00C03906" w:rsidP="00C03906">
            <w:pPr>
              <w:spacing w:after="60"/>
              <w:jc w:val="right"/>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49.6</w:t>
            </w:r>
          </w:p>
        </w:tc>
      </w:tr>
      <w:tr w:rsidR="00C03906" w:rsidRPr="00A73566" w14:paraId="7500C7EC" w14:textId="77777777" w:rsidTr="00C03906">
        <w:trPr>
          <w:cnfStyle w:val="000000100000" w:firstRow="0" w:lastRow="0" w:firstColumn="0" w:lastColumn="0" w:oddVBand="0" w:evenVBand="0" w:oddHBand="1" w:evenHBand="0" w:firstRowFirstColumn="0" w:firstRowLastColumn="0" w:lastRowFirstColumn="0" w:lastRowLastColumn="0"/>
          <w:trHeight w:val="169"/>
        </w:trPr>
        <w:tc>
          <w:tcPr>
            <w:tcW w:w="1514" w:type="dxa"/>
            <w:noWrap/>
            <w:hideMark/>
          </w:tcPr>
          <w:p w14:paraId="5AF177F9" w14:textId="77777777" w:rsidR="00C03906" w:rsidRPr="00A73566" w:rsidRDefault="00C03906" w:rsidP="00C03906">
            <w:pPr>
              <w:spacing w:after="6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 xml:space="preserve">Ale țări </w:t>
            </w:r>
          </w:p>
        </w:tc>
        <w:tc>
          <w:tcPr>
            <w:tcW w:w="627" w:type="dxa"/>
            <w:noWrap/>
            <w:hideMark/>
          </w:tcPr>
          <w:p w14:paraId="7C946BA9"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109.2</w:t>
            </w:r>
          </w:p>
        </w:tc>
        <w:tc>
          <w:tcPr>
            <w:tcW w:w="627" w:type="dxa"/>
            <w:noWrap/>
            <w:hideMark/>
          </w:tcPr>
          <w:p w14:paraId="64F33B49"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135.4</w:t>
            </w:r>
          </w:p>
        </w:tc>
        <w:tc>
          <w:tcPr>
            <w:tcW w:w="718" w:type="dxa"/>
            <w:noWrap/>
            <w:hideMark/>
          </w:tcPr>
          <w:p w14:paraId="62365A53"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246.9</w:t>
            </w:r>
          </w:p>
        </w:tc>
        <w:tc>
          <w:tcPr>
            <w:tcW w:w="718" w:type="dxa"/>
            <w:noWrap/>
            <w:hideMark/>
          </w:tcPr>
          <w:p w14:paraId="5A341730"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263.2</w:t>
            </w:r>
          </w:p>
        </w:tc>
        <w:tc>
          <w:tcPr>
            <w:tcW w:w="627" w:type="dxa"/>
            <w:noWrap/>
            <w:hideMark/>
          </w:tcPr>
          <w:p w14:paraId="1B6A8201"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192.9</w:t>
            </w:r>
          </w:p>
        </w:tc>
        <w:tc>
          <w:tcPr>
            <w:tcW w:w="627" w:type="dxa"/>
            <w:noWrap/>
            <w:hideMark/>
          </w:tcPr>
          <w:p w14:paraId="600A139D"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241.5</w:t>
            </w:r>
          </w:p>
        </w:tc>
        <w:tc>
          <w:tcPr>
            <w:tcW w:w="718" w:type="dxa"/>
            <w:noWrap/>
            <w:hideMark/>
          </w:tcPr>
          <w:p w14:paraId="7D9F5129"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269.6</w:t>
            </w:r>
          </w:p>
        </w:tc>
        <w:tc>
          <w:tcPr>
            <w:tcW w:w="718" w:type="dxa"/>
            <w:noWrap/>
            <w:hideMark/>
          </w:tcPr>
          <w:p w14:paraId="63F99E02"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321.6</w:t>
            </w:r>
          </w:p>
        </w:tc>
        <w:tc>
          <w:tcPr>
            <w:tcW w:w="718" w:type="dxa"/>
            <w:noWrap/>
            <w:hideMark/>
          </w:tcPr>
          <w:p w14:paraId="7A2FA656"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408.9</w:t>
            </w:r>
          </w:p>
        </w:tc>
        <w:tc>
          <w:tcPr>
            <w:tcW w:w="718" w:type="dxa"/>
            <w:noWrap/>
            <w:hideMark/>
          </w:tcPr>
          <w:p w14:paraId="110D3BDD"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310.6</w:t>
            </w:r>
          </w:p>
        </w:tc>
        <w:tc>
          <w:tcPr>
            <w:tcW w:w="1313" w:type="dxa"/>
            <w:noWrap/>
            <w:hideMark/>
          </w:tcPr>
          <w:p w14:paraId="43BE4242" w14:textId="77777777" w:rsidR="00C03906" w:rsidRPr="00A73566" w:rsidRDefault="00C03906" w:rsidP="00C03906">
            <w:pPr>
              <w:spacing w:after="60"/>
              <w:jc w:val="right"/>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284.5</w:t>
            </w:r>
          </w:p>
        </w:tc>
      </w:tr>
      <w:tr w:rsidR="00C03906" w:rsidRPr="00A73566" w14:paraId="360FE8CA" w14:textId="77777777" w:rsidTr="00C03906">
        <w:trPr>
          <w:cnfStyle w:val="000000010000" w:firstRow="0" w:lastRow="0" w:firstColumn="0" w:lastColumn="0" w:oddVBand="0" w:evenVBand="0" w:oddHBand="0" w:evenHBand="1" w:firstRowFirstColumn="0" w:firstRowLastColumn="0" w:lastRowFirstColumn="0" w:lastRowLastColumn="0"/>
          <w:trHeight w:val="169"/>
        </w:trPr>
        <w:tc>
          <w:tcPr>
            <w:tcW w:w="1514" w:type="dxa"/>
            <w:noWrap/>
            <w:hideMark/>
          </w:tcPr>
          <w:p w14:paraId="3A02A2CB" w14:textId="77777777" w:rsidR="00C03906" w:rsidRPr="00A73566" w:rsidRDefault="00C03906" w:rsidP="00C03906">
            <w:pPr>
              <w:spacing w:after="60"/>
              <w:jc w:val="left"/>
              <w:rPr>
                <w:rFonts w:ascii="Times New Roman" w:eastAsia="Times New Roman" w:hAnsi="Times New Roman" w:cs="Times New Roman"/>
                <w:b/>
                <w:bCs/>
                <w:color w:val="000000"/>
                <w:sz w:val="18"/>
                <w:szCs w:val="18"/>
                <w:lang w:val="ro-RO" w:eastAsia="ro-RO"/>
              </w:rPr>
            </w:pPr>
            <w:r w:rsidRPr="00A73566">
              <w:rPr>
                <w:rFonts w:ascii="Times New Roman" w:eastAsia="Times New Roman" w:hAnsi="Times New Roman" w:cs="Times New Roman"/>
                <w:b/>
                <w:bCs/>
                <w:color w:val="000000"/>
                <w:sz w:val="18"/>
                <w:szCs w:val="18"/>
                <w:lang w:val="ro-RO" w:eastAsia="ro-RO"/>
              </w:rPr>
              <w:t>Total exporturi agroalimentare</w:t>
            </w:r>
          </w:p>
        </w:tc>
        <w:tc>
          <w:tcPr>
            <w:tcW w:w="627" w:type="dxa"/>
            <w:noWrap/>
            <w:hideMark/>
          </w:tcPr>
          <w:p w14:paraId="122C1B8B"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956.6</w:t>
            </w:r>
          </w:p>
        </w:tc>
        <w:tc>
          <w:tcPr>
            <w:tcW w:w="627" w:type="dxa"/>
            <w:noWrap/>
            <w:hideMark/>
          </w:tcPr>
          <w:p w14:paraId="41295626"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935.5</w:t>
            </w:r>
          </w:p>
        </w:tc>
        <w:tc>
          <w:tcPr>
            <w:tcW w:w="718" w:type="dxa"/>
            <w:noWrap/>
            <w:hideMark/>
          </w:tcPr>
          <w:p w14:paraId="69DAC18D"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1070.3</w:t>
            </w:r>
          </w:p>
        </w:tc>
        <w:tc>
          <w:tcPr>
            <w:tcW w:w="718" w:type="dxa"/>
            <w:noWrap/>
            <w:hideMark/>
          </w:tcPr>
          <w:p w14:paraId="08401E96"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1112.6</w:t>
            </w:r>
          </w:p>
        </w:tc>
        <w:tc>
          <w:tcPr>
            <w:tcW w:w="627" w:type="dxa"/>
            <w:noWrap/>
            <w:hideMark/>
          </w:tcPr>
          <w:p w14:paraId="1EE2043C"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955.0</w:t>
            </w:r>
          </w:p>
        </w:tc>
        <w:tc>
          <w:tcPr>
            <w:tcW w:w="627" w:type="dxa"/>
            <w:noWrap/>
            <w:hideMark/>
          </w:tcPr>
          <w:p w14:paraId="5FC93DEC"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980.0</w:t>
            </w:r>
          </w:p>
        </w:tc>
        <w:tc>
          <w:tcPr>
            <w:tcW w:w="718" w:type="dxa"/>
            <w:noWrap/>
            <w:hideMark/>
          </w:tcPr>
          <w:p w14:paraId="4659758E"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1162.5</w:t>
            </w:r>
          </w:p>
        </w:tc>
        <w:tc>
          <w:tcPr>
            <w:tcW w:w="718" w:type="dxa"/>
            <w:noWrap/>
            <w:hideMark/>
          </w:tcPr>
          <w:p w14:paraId="70FF94DC"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1205.6</w:t>
            </w:r>
          </w:p>
        </w:tc>
        <w:tc>
          <w:tcPr>
            <w:tcW w:w="718" w:type="dxa"/>
            <w:noWrap/>
            <w:hideMark/>
          </w:tcPr>
          <w:p w14:paraId="17FEB8AE"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1249.4</w:t>
            </w:r>
          </w:p>
        </w:tc>
        <w:tc>
          <w:tcPr>
            <w:tcW w:w="718" w:type="dxa"/>
            <w:noWrap/>
            <w:hideMark/>
          </w:tcPr>
          <w:p w14:paraId="21FFAF53" w14:textId="77777777" w:rsidR="00C03906" w:rsidRPr="00A73566" w:rsidRDefault="00C03906" w:rsidP="00C03906">
            <w:pPr>
              <w:spacing w:after="60"/>
              <w:jc w:val="right"/>
              <w:rPr>
                <w:rFonts w:ascii="Times New Roman" w:eastAsia="Calibri" w:hAnsi="Times New Roman" w:cs="Times New Roman"/>
                <w:color w:val="000000"/>
                <w:sz w:val="18"/>
                <w:szCs w:val="18"/>
                <w:lang w:val="ro-RO"/>
              </w:rPr>
            </w:pPr>
            <w:r w:rsidRPr="00A73566">
              <w:rPr>
                <w:rFonts w:ascii="Times New Roman" w:eastAsia="Calibri" w:hAnsi="Times New Roman" w:cs="Times New Roman"/>
                <w:color w:val="000000"/>
                <w:sz w:val="18"/>
                <w:szCs w:val="18"/>
                <w:lang w:val="ro-RO"/>
              </w:rPr>
              <w:t>1121.6</w:t>
            </w:r>
          </w:p>
        </w:tc>
        <w:tc>
          <w:tcPr>
            <w:tcW w:w="1313" w:type="dxa"/>
            <w:noWrap/>
            <w:hideMark/>
          </w:tcPr>
          <w:p w14:paraId="68F5BAE6" w14:textId="77777777" w:rsidR="00C03906" w:rsidRPr="00A73566" w:rsidRDefault="00C03906" w:rsidP="00C03906">
            <w:pPr>
              <w:spacing w:after="60"/>
              <w:jc w:val="right"/>
              <w:rPr>
                <w:rFonts w:ascii="Times New Roman" w:eastAsia="Times New Roman" w:hAnsi="Times New Roman" w:cs="Times New Roman"/>
                <w:color w:val="000000"/>
                <w:sz w:val="18"/>
                <w:szCs w:val="18"/>
                <w:lang w:val="ro-RO" w:eastAsia="ro-RO"/>
              </w:rPr>
            </w:pPr>
            <w:r w:rsidRPr="00A73566">
              <w:rPr>
                <w:rFonts w:ascii="Times New Roman" w:eastAsia="Times New Roman" w:hAnsi="Times New Roman" w:cs="Times New Roman"/>
                <w:color w:val="000000"/>
                <w:sz w:val="18"/>
                <w:szCs w:val="18"/>
                <w:lang w:val="ro-RO" w:eastAsia="ro-RO"/>
              </w:rPr>
              <w:t>117.2</w:t>
            </w:r>
          </w:p>
        </w:tc>
      </w:tr>
    </w:tbl>
    <w:p w14:paraId="1B62620E" w14:textId="77777777" w:rsidR="00C03906" w:rsidRPr="00F83699" w:rsidRDefault="00C03906" w:rsidP="00C03906">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F83699">
        <w:rPr>
          <w:rFonts w:ascii="Times New Roman" w:hAnsi="Times New Roman" w:cs="Times New Roman"/>
          <w:iCs/>
          <w:color w:val="BFBFBF" w:themeColor="background1" w:themeShade="BF"/>
          <w:sz w:val="18"/>
          <w:szCs w:val="18"/>
          <w:lang w:val="ro-RO"/>
        </w:rPr>
        <w:t>Sursa: Elaborată de autori în baza datelor BNS</w:t>
      </w:r>
    </w:p>
    <w:p w14:paraId="257876C6" w14:textId="43B6424D" w:rsidR="00C03906" w:rsidRPr="00A73566" w:rsidRDefault="00C03906" w:rsidP="006C6F6E">
      <w:pPr>
        <w:spacing w:before="120"/>
        <w:ind w:firstLine="567"/>
        <w:rPr>
          <w:rFonts w:ascii="Times New Roman" w:hAnsi="Times New Roman" w:cs="Times New Roman"/>
          <w:bCs/>
          <w:lang w:val="ro-RO"/>
        </w:rPr>
      </w:pPr>
      <w:r w:rsidRPr="00A73566">
        <w:rPr>
          <w:rFonts w:ascii="Times New Roman" w:hAnsi="Times New Roman" w:cs="Times New Roman"/>
          <w:lang w:val="ro-RO"/>
        </w:rPr>
        <w:t xml:space="preserve">Aceste evoluții au avut un impact serios asupra structurii exporturilor agroalimentare funcție de principalele grupe de țări destinatare. Astfel, ponderea țărilor CSI a scăzut de peste 2 ori, de la 46,9% în 2011 la 19,9% în 2020. Concomitent a crescut ponderea exporturilor agroalimentare în țările UE, de la 41,7% în 2011 la 52,4 în 2020, dar și în alte țări în afara UE și CSI, de la 11,4% în 2011 la 27,7% în 2020. </w:t>
      </w:r>
      <w:bookmarkStart w:id="105" w:name="_Hlk85997462"/>
    </w:p>
    <w:bookmarkEnd w:id="105"/>
    <w:p w14:paraId="1971583C" w14:textId="689A7161" w:rsidR="00C03906" w:rsidRPr="00A73566" w:rsidRDefault="00C03906" w:rsidP="006C6F6E">
      <w:pPr>
        <w:spacing w:before="120"/>
        <w:ind w:firstLine="567"/>
        <w:rPr>
          <w:rFonts w:ascii="Times New Roman" w:hAnsi="Times New Roman" w:cs="Times New Roman"/>
          <w:sz w:val="24"/>
          <w:szCs w:val="24"/>
          <w:lang w:val="ro-RO"/>
        </w:rPr>
      </w:pPr>
      <w:r w:rsidRPr="00A73566">
        <w:rPr>
          <w:rFonts w:ascii="Times New Roman" w:hAnsi="Times New Roman" w:cs="Times New Roman"/>
          <w:lang w:val="ro-RO"/>
        </w:rPr>
        <w:t xml:space="preserve">Analizând structura exporturilor agroalimentare pe principalele grupe de țări și categorii de produse, se pot observa anumite tendințe. Astfel, exporturile de ”I. Animale vii și produse ale regnului animal” în țările UE au crescut de peste nouă ori în perioada 2011-2020, comparativ cu exporturile în țările CSI care au scăzut de peste doua ori. Ca urmare a acestor evoluții, ponderea exporturilor în țările UE a crescut de peste zece ori, de la 2% în 2011 la circa 22% în 2020, ponderea exporturilor din această categorie în țările CSI s-a redus de peste două ori, de la circa 74% la circa 34%, iar ponderea altor țări din afara UE și CSI a crescut de la 24,5% la 44,8%, aceste țâri devenind principalul debușeu pentru exporturile Republicii Moldova </w:t>
      </w:r>
      <w:r w:rsidR="00694CAB" w:rsidRPr="00A73566">
        <w:rPr>
          <w:rFonts w:ascii="Times New Roman" w:hAnsi="Times New Roman" w:cs="Times New Roman"/>
          <w:lang w:val="ro-RO"/>
        </w:rPr>
        <w:t>la aceste</w:t>
      </w:r>
      <w:r w:rsidRPr="00A73566">
        <w:rPr>
          <w:rFonts w:ascii="Times New Roman" w:hAnsi="Times New Roman" w:cs="Times New Roman"/>
          <w:lang w:val="ro-RO"/>
        </w:rPr>
        <w:t xml:space="preserve"> produse ale regnului animal” . </w:t>
      </w:r>
    </w:p>
    <w:p w14:paraId="15C63FC7" w14:textId="046C6274" w:rsidR="00C03906" w:rsidRPr="00A73566" w:rsidRDefault="00C03906" w:rsidP="006C6F6E">
      <w:pPr>
        <w:spacing w:before="120"/>
        <w:ind w:firstLine="567"/>
        <w:rPr>
          <w:rFonts w:ascii="Times New Roman" w:hAnsi="Times New Roman" w:cs="Times New Roman"/>
          <w:sz w:val="24"/>
          <w:szCs w:val="24"/>
          <w:lang w:val="ro-RO"/>
        </w:rPr>
      </w:pPr>
      <w:r w:rsidRPr="00A73566">
        <w:rPr>
          <w:rFonts w:ascii="Times New Roman" w:eastAsia="Calibri" w:hAnsi="Times New Roman" w:cs="Times New Roman"/>
          <w:lang w:val="ro-RO"/>
        </w:rPr>
        <w:t>Exporturile din categoria ”II. Produse ale regnului vegetal” în țările UE a crescut în perioada analizată cu circa 33%, de la 219,9 mln USD în 2011 la 293,3 mln. USD</w:t>
      </w:r>
      <w:r w:rsidR="00694CAB"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 xml:space="preserve"> în 2020. În aceiași perioadă, exporturile acestor produse în țările CSI s-au redus cu circa 30 la sută, iar exporturile în alte țări în afara UE și CSI au crescut de circa 2,4 ori. Drept urmare, către anul 2020 circa</w:t>
      </w:r>
      <w:r w:rsidR="00694CAB"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 xml:space="preserve"> 51% </w:t>
      </w:r>
      <w:r w:rsidR="00694CAB" w:rsidRPr="00A73566">
        <w:rPr>
          <w:rFonts w:ascii="Times New Roman" w:eastAsia="Calibri" w:hAnsi="Times New Roman" w:cs="Times New Roman"/>
          <w:lang w:val="ro-RO"/>
        </w:rPr>
        <w:t xml:space="preserve"> </w:t>
      </w:r>
      <w:r w:rsidRPr="00A73566">
        <w:rPr>
          <w:rFonts w:ascii="Times New Roman" w:eastAsia="Calibri" w:hAnsi="Times New Roman" w:cs="Times New Roman"/>
          <w:lang w:val="ro-RO"/>
        </w:rPr>
        <w:t>din exporturi</w:t>
      </w:r>
      <w:r w:rsidR="00694CAB" w:rsidRPr="00A73566">
        <w:rPr>
          <w:rFonts w:ascii="Times New Roman" w:eastAsia="Calibri" w:hAnsi="Times New Roman" w:cs="Times New Roman"/>
          <w:lang w:val="ro-RO"/>
        </w:rPr>
        <w:t xml:space="preserve"> de produse vegetale</w:t>
      </w:r>
      <w:r w:rsidRPr="00A73566">
        <w:rPr>
          <w:rFonts w:ascii="Times New Roman" w:eastAsia="Calibri" w:hAnsi="Times New Roman" w:cs="Times New Roman"/>
          <w:lang w:val="ro-RO"/>
        </w:rPr>
        <w:t xml:space="preserve"> erau direcționate către țările UE, circa 23% către țările din CSI, iar celelalte circa 26% către alte țâri în afara UE si CSI</w:t>
      </w:r>
      <w:r w:rsidR="00407B60" w:rsidRPr="00A73566">
        <w:rPr>
          <w:rFonts w:ascii="Times New Roman" w:eastAsia="Calibri" w:hAnsi="Times New Roman" w:cs="Times New Roman"/>
          <w:lang w:val="ro-RO"/>
        </w:rPr>
        <w:t>.</w:t>
      </w:r>
      <w:r w:rsidRPr="00A73566">
        <w:rPr>
          <w:rFonts w:ascii="Times New Roman" w:eastAsia="Calibri" w:hAnsi="Times New Roman" w:cs="Times New Roman"/>
          <w:lang w:val="ro-RO"/>
        </w:rPr>
        <w:t xml:space="preserve"> </w:t>
      </w:r>
    </w:p>
    <w:p w14:paraId="402C6F36" w14:textId="7D2F25B0" w:rsidR="00C03906" w:rsidRPr="00A73566" w:rsidRDefault="00C03906" w:rsidP="006C6F6E">
      <w:pPr>
        <w:spacing w:after="160"/>
        <w:ind w:firstLine="567"/>
        <w:rPr>
          <w:rFonts w:ascii="Times New Roman" w:eastAsia="Times New Roman" w:hAnsi="Times New Roman" w:cs="Times New Roman"/>
          <w:bCs/>
          <w:color w:val="000000"/>
          <w:lang w:val="ro-RO" w:eastAsia="ro-RO"/>
        </w:rPr>
      </w:pPr>
      <w:r w:rsidRPr="00A73566">
        <w:rPr>
          <w:rFonts w:ascii="Times New Roman" w:eastAsia="Calibri" w:hAnsi="Times New Roman" w:cs="Times New Roman"/>
          <w:lang w:val="ro-RO"/>
        </w:rPr>
        <w:t xml:space="preserve">Exporturile din categoria ”III. Grăsimi și uleiuri de origine animală sau vegetală” în țările CSI, în perioada 2011-2014, au fost nesemnificative și în permanentă scădere, de la 3,1 mln USD în 2011 la doar 0,1 mln USD în 2020. În aceeași perioadă exporturile în țările UE au crescut cu circa 16%, de la 72,4 mln USD în 2011 la 84,4 mln USD în 2020, iar exporturile în alte țări în afara UE și CSI au crescut de peste 7 ori. Astfel, către anul 2020 circa 82% din exporturile </w:t>
      </w:r>
      <w:r w:rsidR="00694CAB" w:rsidRPr="00A73566">
        <w:rPr>
          <w:rFonts w:ascii="Times New Roman" w:eastAsia="Calibri" w:hAnsi="Times New Roman" w:cs="Times New Roman"/>
          <w:lang w:val="ro-RO"/>
        </w:rPr>
        <w:t>acestor produse</w:t>
      </w:r>
      <w:r w:rsidRPr="00A73566">
        <w:rPr>
          <w:rFonts w:ascii="Times New Roman" w:eastAsia="Calibri" w:hAnsi="Times New Roman" w:cs="Times New Roman"/>
          <w:lang w:val="ro-RO"/>
        </w:rPr>
        <w:t xml:space="preserve"> erau destinate țărilor UE, circa 18% către alte țâri în afara UE și CSI, și doar 0,1% către țările CSI</w:t>
      </w:r>
      <w:r w:rsidR="00407B60" w:rsidRPr="00A73566">
        <w:rPr>
          <w:rFonts w:ascii="Times New Roman" w:eastAsia="Calibri" w:hAnsi="Times New Roman" w:cs="Times New Roman"/>
          <w:lang w:val="ro-RO"/>
        </w:rPr>
        <w:t>.</w:t>
      </w:r>
      <w:r w:rsidRPr="00A73566">
        <w:rPr>
          <w:rFonts w:ascii="Times New Roman" w:eastAsia="Calibri" w:hAnsi="Times New Roman" w:cs="Times New Roman"/>
          <w:sz w:val="24"/>
          <w:szCs w:val="24"/>
          <w:lang w:val="ro-RO"/>
        </w:rPr>
        <w:t xml:space="preserve"> </w:t>
      </w:r>
    </w:p>
    <w:p w14:paraId="03B353AC" w14:textId="77777777" w:rsidR="00C03906" w:rsidRPr="00A73566" w:rsidRDefault="00C03906" w:rsidP="006C6F6E">
      <w:pPr>
        <w:spacing w:after="160"/>
        <w:ind w:firstLine="567"/>
        <w:rPr>
          <w:rFonts w:ascii="Times New Roman" w:eastAsia="Calibri" w:hAnsi="Times New Roman" w:cs="Times New Roman"/>
          <w:sz w:val="24"/>
          <w:szCs w:val="24"/>
          <w:lang w:val="ro-RO"/>
        </w:rPr>
      </w:pPr>
      <w:r w:rsidRPr="00A73566">
        <w:rPr>
          <w:rFonts w:ascii="Times New Roman" w:eastAsia="Calibri" w:hAnsi="Times New Roman" w:cs="Times New Roman"/>
          <w:lang w:val="ro-RO"/>
        </w:rPr>
        <w:t>Exporturile de ”IV. Produse ale industriei alimentare; băuturi și tutun”, în perioada 2011-2020, au crescut de circa două ori în țările UE și de circa 3,8 ori în alte țări în afară de UE și CSI. În același timp, exporturile către CSI au scăzut de circa 2,7 ori. Ca rezultat, s-a modificat și structura geografică a acestor exporturi. Astfel, către 2020, circa 47% din exporturile din această categorie erau orientate către țările UE, circa 33% către alte țări din afara UE și CSI, și doar circa 20% către țările din spațiul CSI (tabelul 14).</w:t>
      </w:r>
    </w:p>
    <w:p w14:paraId="4FCA01DC" w14:textId="77777777" w:rsidR="00C03906" w:rsidRPr="00A73566" w:rsidRDefault="00C03906" w:rsidP="00C03906">
      <w:pPr>
        <w:pStyle w:val="Focus"/>
        <w:rPr>
          <w:rFonts w:ascii="Times New Roman" w:hAnsi="Times New Roman" w:cs="Times New Roman"/>
          <w:lang w:val="ro-RO"/>
        </w:rPr>
      </w:pPr>
      <w:r w:rsidRPr="00A73566">
        <w:rPr>
          <w:rFonts w:ascii="Times New Roman" w:hAnsi="Times New Roman" w:cs="Times New Roman"/>
          <w:lang w:val="ro-RO"/>
        </w:rPr>
        <w:t>Constatări</w:t>
      </w:r>
    </w:p>
    <w:p w14:paraId="13B64013" w14:textId="77777777" w:rsidR="00C03906" w:rsidRPr="00A73566" w:rsidRDefault="00C03906" w:rsidP="00E720EE">
      <w:pPr>
        <w:pStyle w:val="ListParagraph"/>
        <w:numPr>
          <w:ilvl w:val="0"/>
          <w:numId w:val="10"/>
        </w:numPr>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perioada 2011-2020, exporturile agroalimentare ale Republicii Moldova au crescut cu circa 17 la sută, ceea ce este peste nivelul de creștere a volumului total de exporturi. Această creștere a avut loc în baza creșterii acestor exporturi către țările UE și către alte țări în afara spațiului UE și CSI, dar și pe fondul unei reduceri masive a exporturilor către țările CSI. </w:t>
      </w:r>
    </w:p>
    <w:p w14:paraId="2F80D70E" w14:textId="4DB4A32B" w:rsidR="0077528D" w:rsidRPr="00A73566" w:rsidRDefault="00C03906" w:rsidP="00E720EE">
      <w:pPr>
        <w:pStyle w:val="ListParagraph"/>
        <w:numPr>
          <w:ilvl w:val="0"/>
          <w:numId w:val="10"/>
        </w:numPr>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Structura exporturilor agroalimentare pe categorii de produse, în anul 2020, a fost dominata de exporturile de Produse vegetal</w:t>
      </w:r>
      <w:r w:rsidR="0077528D" w:rsidRPr="00A73566">
        <w:rPr>
          <w:rFonts w:ascii="Times New Roman" w:hAnsi="Times New Roman" w:cs="Times New Roman"/>
          <w:color w:val="000000" w:themeColor="text1"/>
          <w:lang w:val="ro-RO"/>
        </w:rPr>
        <w:t>e</w:t>
      </w:r>
      <w:r w:rsidRPr="00A73566">
        <w:rPr>
          <w:rFonts w:ascii="Times New Roman" w:hAnsi="Times New Roman" w:cs="Times New Roman"/>
          <w:color w:val="000000" w:themeColor="text1"/>
          <w:lang w:val="ro-RO"/>
        </w:rPr>
        <w:t xml:space="preserve"> cu o pondere de circa 51% din totalul exporturilor agroalimentare, fiind urmate de Produse ale industriei alimentare</w:t>
      </w:r>
      <w:r w:rsidR="0077528D" w:rsidRPr="00A73566">
        <w:rPr>
          <w:rFonts w:ascii="Times New Roman" w:hAnsi="Times New Roman" w:cs="Times New Roman"/>
          <w:color w:val="000000" w:themeColor="text1"/>
          <w:lang w:val="ro-RO"/>
        </w:rPr>
        <w:t xml:space="preserve"> (34%)</w:t>
      </w:r>
      <w:r w:rsidRPr="00A73566">
        <w:rPr>
          <w:rFonts w:ascii="Times New Roman" w:hAnsi="Times New Roman" w:cs="Times New Roman"/>
          <w:color w:val="000000" w:themeColor="text1"/>
          <w:lang w:val="ro-RO"/>
        </w:rPr>
        <w:t xml:space="preserve">. </w:t>
      </w:r>
      <w:r w:rsidR="0077528D" w:rsidRPr="00A73566">
        <w:rPr>
          <w:rFonts w:ascii="Times New Roman" w:hAnsi="Times New Roman" w:cs="Times New Roman"/>
          <w:color w:val="000000" w:themeColor="text1"/>
          <w:lang w:val="ro-RO"/>
        </w:rPr>
        <w:t xml:space="preserve"> Produsele de g</w:t>
      </w:r>
      <w:r w:rsidRPr="00A73566">
        <w:rPr>
          <w:rFonts w:ascii="Times New Roman" w:hAnsi="Times New Roman" w:cs="Times New Roman"/>
          <w:color w:val="000000" w:themeColor="text1"/>
          <w:lang w:val="ro-RO"/>
        </w:rPr>
        <w:t>răsimi și uleiuri a</w:t>
      </w:r>
      <w:r w:rsidR="0077528D" w:rsidRPr="00A73566">
        <w:rPr>
          <w:rFonts w:ascii="Times New Roman" w:hAnsi="Times New Roman" w:cs="Times New Roman"/>
          <w:color w:val="000000" w:themeColor="text1"/>
          <w:lang w:val="ro-RO"/>
        </w:rPr>
        <w:t>u</w:t>
      </w:r>
      <w:r w:rsidRPr="00A73566">
        <w:rPr>
          <w:rFonts w:ascii="Times New Roman" w:hAnsi="Times New Roman" w:cs="Times New Roman"/>
          <w:color w:val="000000" w:themeColor="text1"/>
          <w:lang w:val="ro-RO"/>
        </w:rPr>
        <w:t xml:space="preserve"> contribuit cu circa 9%, iar produse animal</w:t>
      </w:r>
      <w:r w:rsidR="0077528D" w:rsidRPr="00A73566">
        <w:rPr>
          <w:rFonts w:ascii="Times New Roman" w:hAnsi="Times New Roman" w:cs="Times New Roman"/>
          <w:color w:val="000000" w:themeColor="text1"/>
          <w:lang w:val="ro-RO"/>
        </w:rPr>
        <w:t>iere cu doar</w:t>
      </w:r>
      <w:r w:rsidRPr="00A73566">
        <w:rPr>
          <w:rFonts w:ascii="Times New Roman" w:hAnsi="Times New Roman" w:cs="Times New Roman"/>
          <w:color w:val="000000" w:themeColor="text1"/>
          <w:lang w:val="ro-RO"/>
        </w:rPr>
        <w:t xml:space="preserve"> 3%. </w:t>
      </w:r>
    </w:p>
    <w:p w14:paraId="69A8E0E5" w14:textId="40C63278" w:rsidR="004759CB" w:rsidRPr="006C6F6E" w:rsidRDefault="00C03906" w:rsidP="004759CB">
      <w:pPr>
        <w:pStyle w:val="ListParagraph"/>
        <w:numPr>
          <w:ilvl w:val="0"/>
          <w:numId w:val="10"/>
        </w:numPr>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Exportul principalelor categorii de produse agroalimentare este orientat preponderent către țările UE și doar exporturile  produse</w:t>
      </w:r>
      <w:r w:rsidR="0077528D" w:rsidRPr="00A73566">
        <w:rPr>
          <w:rFonts w:ascii="Times New Roman" w:hAnsi="Times New Roman" w:cs="Times New Roman"/>
          <w:color w:val="000000" w:themeColor="text1"/>
          <w:lang w:val="ro-RO"/>
        </w:rPr>
        <w:t>lor</w:t>
      </w:r>
      <w:r w:rsidRPr="00A73566">
        <w:rPr>
          <w:rFonts w:ascii="Times New Roman" w:hAnsi="Times New Roman" w:cs="Times New Roman"/>
          <w:color w:val="000000" w:themeColor="text1"/>
          <w:lang w:val="ro-RO"/>
        </w:rPr>
        <w:t xml:space="preserve"> animal</w:t>
      </w:r>
      <w:r w:rsidR="0077528D" w:rsidRPr="00A73566">
        <w:rPr>
          <w:rFonts w:ascii="Times New Roman" w:hAnsi="Times New Roman" w:cs="Times New Roman"/>
          <w:color w:val="000000" w:themeColor="text1"/>
          <w:lang w:val="ro-RO"/>
        </w:rPr>
        <w:t>iere</w:t>
      </w:r>
      <w:r w:rsidRPr="00A73566">
        <w:rPr>
          <w:rFonts w:ascii="Times New Roman" w:hAnsi="Times New Roman" w:cs="Times New Roman"/>
          <w:color w:val="000000" w:themeColor="text1"/>
          <w:lang w:val="ro-RO"/>
        </w:rPr>
        <w:t xml:space="preserve"> sunt orientate preponderent către țările din afara spațiului CSI și UE. </w:t>
      </w:r>
    </w:p>
    <w:p w14:paraId="4CDC93FD" w14:textId="797284E4" w:rsidR="00B848E5" w:rsidRPr="00A73566" w:rsidRDefault="00424C10" w:rsidP="00424C10">
      <w:pPr>
        <w:pStyle w:val="Heading2"/>
        <w:rPr>
          <w:rFonts w:ascii="Times New Roman" w:hAnsi="Times New Roman" w:cs="Times New Roman"/>
          <w:lang w:val="ro-RO"/>
        </w:rPr>
      </w:pPr>
      <w:bookmarkStart w:id="106" w:name="_Toc88132111"/>
      <w:r w:rsidRPr="00A73566">
        <w:rPr>
          <w:rFonts w:ascii="Times New Roman" w:hAnsi="Times New Roman" w:cs="Times New Roman"/>
          <w:lang w:val="ro-RO"/>
        </w:rPr>
        <w:t>Cercetare, educație, consultanță în agricultură și extensiune rurală</w:t>
      </w:r>
      <w:bookmarkEnd w:id="106"/>
      <w:r w:rsidR="00B848E5" w:rsidRPr="00A73566">
        <w:rPr>
          <w:rFonts w:ascii="Times New Roman" w:hAnsi="Times New Roman" w:cs="Times New Roman"/>
          <w:lang w:val="ro-RO"/>
        </w:rPr>
        <w:t xml:space="preserve"> </w:t>
      </w:r>
    </w:p>
    <w:p w14:paraId="1DB4701B" w14:textId="0F5C67A3"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Sistemul de cercetare și inovare, educație și extensiune rurală din Republica Moldova este</w:t>
      </w:r>
      <w:r w:rsidR="00CD012D" w:rsidRPr="00A73566">
        <w:rPr>
          <w:rFonts w:ascii="Times New Roman" w:hAnsi="Times New Roman" w:cs="Times New Roman"/>
          <w:lang w:val="ro-RO"/>
        </w:rPr>
        <w:t xml:space="preserve"> format din 5 Instituții Publice de cercetări științifice și transfer tehnologic, o instituție superioară de învățământ agr</w:t>
      </w:r>
      <w:r w:rsidR="00803F18">
        <w:rPr>
          <w:rFonts w:ascii="Times New Roman" w:hAnsi="Times New Roman" w:cs="Times New Roman"/>
          <w:lang w:val="ro-RO"/>
        </w:rPr>
        <w:t>i</w:t>
      </w:r>
      <w:r w:rsidR="00CD012D" w:rsidRPr="00A73566">
        <w:rPr>
          <w:rFonts w:ascii="Times New Roman" w:hAnsi="Times New Roman" w:cs="Times New Roman"/>
          <w:lang w:val="ro-RO"/>
        </w:rPr>
        <w:t>col - Universitatea Agrară de Stat din Moldova, 8 colegii agricole care asigură învățământul profesional tehnic și 25 prestatori de servicii de consultanță și formare a producătorilor agricoli</w:t>
      </w:r>
      <w:r w:rsidRPr="00A73566">
        <w:rPr>
          <w:rFonts w:ascii="Times New Roman" w:hAnsi="Times New Roman" w:cs="Times New Roman"/>
          <w:lang w:val="ro-RO"/>
        </w:rPr>
        <w:t xml:space="preserve">, </w:t>
      </w:r>
      <w:r w:rsidR="00CD012D" w:rsidRPr="00A73566">
        <w:rPr>
          <w:rFonts w:ascii="Times New Roman" w:hAnsi="Times New Roman" w:cs="Times New Roman"/>
          <w:lang w:val="ro-RO"/>
        </w:rPr>
        <w:t xml:space="preserve">care </w:t>
      </w:r>
      <w:r w:rsidRPr="00A73566">
        <w:rPr>
          <w:rFonts w:ascii="Times New Roman" w:hAnsi="Times New Roman" w:cs="Times New Roman"/>
          <w:lang w:val="ro-RO"/>
        </w:rPr>
        <w:t>în mare parte</w:t>
      </w:r>
      <w:r w:rsidR="00CD012D" w:rsidRPr="00A73566">
        <w:rPr>
          <w:rFonts w:ascii="Times New Roman" w:hAnsi="Times New Roman" w:cs="Times New Roman"/>
          <w:lang w:val="ro-RO"/>
        </w:rPr>
        <w:t xml:space="preserve"> sunt</w:t>
      </w:r>
      <w:r w:rsidRPr="00A73566">
        <w:rPr>
          <w:rFonts w:ascii="Times New Roman" w:hAnsi="Times New Roman" w:cs="Times New Roman"/>
          <w:lang w:val="ro-RO"/>
        </w:rPr>
        <w:t xml:space="preserve"> </w:t>
      </w:r>
      <w:r w:rsidR="00CD012D" w:rsidRPr="00A73566">
        <w:rPr>
          <w:rFonts w:ascii="Times New Roman" w:hAnsi="Times New Roman" w:cs="Times New Roman"/>
          <w:lang w:val="ro-RO"/>
        </w:rPr>
        <w:t xml:space="preserve">finanțați din bugetul </w:t>
      </w:r>
      <w:r w:rsidRPr="00A73566">
        <w:rPr>
          <w:rFonts w:ascii="Times New Roman" w:hAnsi="Times New Roman" w:cs="Times New Roman"/>
          <w:lang w:val="ro-RO"/>
        </w:rPr>
        <w:t>de stat</w:t>
      </w:r>
      <w:r w:rsidR="00CD012D" w:rsidRPr="00A73566">
        <w:rPr>
          <w:rFonts w:ascii="Times New Roman" w:hAnsi="Times New Roman" w:cs="Times New Roman"/>
          <w:lang w:val="ro-RO"/>
        </w:rPr>
        <w:t xml:space="preserve"> sau din proiecte de investiții și asistență tehnică atrase și gestionate de stat</w:t>
      </w:r>
      <w:r w:rsidRPr="00A73566">
        <w:rPr>
          <w:rFonts w:ascii="Times New Roman" w:hAnsi="Times New Roman" w:cs="Times New Roman"/>
          <w:lang w:val="ro-RO"/>
        </w:rPr>
        <w:t>. Finanțarea organizațiilor de drept public din domeniile cercetării și inovării și instituțiilor de învățământ nu se face în baza performanțelor şi, respectiv, nu stimulează o administrare eficientă a resurselor. Totodată, serviciile oferite sectorului public și celui privat sunt în prezent gratuite. Aceasta discrepanță duce la situația când echipamentele tehnice, metodele și instrumentele de cercetare utilizate sunt depășite și insuficiente, iar salariul personalului științific este destul de mic și necompetitiv pe piața muncii.</w:t>
      </w:r>
    </w:p>
    <w:p w14:paraId="2E3D8D1B" w14:textId="77777777"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Tendințele demografice au un impact negativ asupra potențialului științific. Astfel, din numărul total de 770 de persoane antrenate în activitatea organizațiilor de drept public din domeniile cercetării și inovării, ponderea personalului de cercetare și inovare este de 50,26 %, iar a personalului auxiliar – 49,74%.Din numărul total de cercetători ponderea celor care au atins vârsta de pensionare constituie 44,18%, ceea ce înseamnă că aproape fiecare al doilea cercetător științific din domeniul agricol este pensionar. Aceeași problemă este caracteristică și personalului didactic din instituțiile de învățământ profesional din sector, fapt ce denotă că tinerii specialiști nu sunt motivați să înceapă activitatea profesională în sistemul de învățământ din cauza condițiilor de muncă, a remunerării muncii și, eventual, al amplasării geografice a instituțiilor de învățământ etc.</w:t>
      </w:r>
    </w:p>
    <w:p w14:paraId="0A5B21B9" w14:textId="16517D3E"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 xml:space="preserve">Problemele acestui sector se reflectă în rata de angajare în câmpul muncii a absolvenților centrelor de excelență și colegiilor. Din 2013 și până în prezent </w:t>
      </w:r>
      <w:r w:rsidR="006C1F04" w:rsidRPr="00A73566">
        <w:rPr>
          <w:rFonts w:ascii="Times New Roman" w:hAnsi="Times New Roman" w:cs="Times New Roman"/>
          <w:lang w:val="ro-RO"/>
        </w:rPr>
        <w:t>această rată variază: în perioada 2013-2020 între 33% - 36%, în jur de 38 % își continuă studiile la universități, deschiderea propriilor afaceri de la 0% în 2013 la 2,8 % în 2020</w:t>
      </w:r>
      <w:r w:rsidR="00891E16" w:rsidRPr="00A73566">
        <w:rPr>
          <w:rFonts w:ascii="Times New Roman" w:hAnsi="Times New Roman" w:cs="Times New Roman"/>
          <w:lang w:val="ro-RO"/>
        </w:rPr>
        <w:t>.</w:t>
      </w:r>
    </w:p>
    <w:p w14:paraId="652972AC" w14:textId="77777777"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Rețelele existente de extensiune rurală oferă servicii în mare parte pentru fermierii care practică agricultura la scară mică, având o cotă nesemnificativă în producția agricolă și alimentară comercială. Cererea crescândă de servicii specializate și de înaltă calitate a multor producători agricoli comerciali nu poate fi satisfăcută în măsura necesară de prestatorii actuali de servicii. Serviciile de consultanță sunt oferite gratuit agricultorilor, în timp ce instituțiile care furnizează aceste servicii depind mult de finanțarea din partea statului.</w:t>
      </w:r>
    </w:p>
    <w:p w14:paraId="022120BB" w14:textId="7330057B"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 xml:space="preserve">Luat în totalitate, sistemul de </w:t>
      </w:r>
      <w:r w:rsidR="008A413E" w:rsidRPr="00A73566">
        <w:rPr>
          <w:rFonts w:ascii="Times New Roman" w:hAnsi="Times New Roman" w:cs="Times New Roman"/>
          <w:lang w:val="ro-RO"/>
        </w:rPr>
        <w:t>cercetare, educație, consultanță în agricultură și extensiune</w:t>
      </w:r>
      <w:r w:rsidR="008A413E" w:rsidRPr="00A73566" w:rsidDel="008A413E">
        <w:rPr>
          <w:rFonts w:ascii="Times New Roman" w:hAnsi="Times New Roman" w:cs="Times New Roman"/>
          <w:lang w:val="ro-RO"/>
        </w:rPr>
        <w:t xml:space="preserve"> </w:t>
      </w:r>
      <w:r w:rsidRPr="00A73566">
        <w:rPr>
          <w:rFonts w:ascii="Times New Roman" w:hAnsi="Times New Roman" w:cs="Times New Roman"/>
          <w:lang w:val="ro-RO"/>
        </w:rPr>
        <w:t>nu funcționează la capacitate optimă și nu se pliază pe necesitățile domeniului agroalimentar, existând o disproporție între investițiile în sistem și rezultatele obținute.</w:t>
      </w:r>
    </w:p>
    <w:p w14:paraId="4BF15D28" w14:textId="156ECD3F"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 xml:space="preserve">Sistemul de </w:t>
      </w:r>
      <w:r w:rsidR="001E51CE" w:rsidRPr="00A73566">
        <w:rPr>
          <w:rFonts w:ascii="Times New Roman" w:hAnsi="Times New Roman" w:cs="Times New Roman"/>
          <w:lang w:val="ro-RO"/>
        </w:rPr>
        <w:t>cercetare, educație, consultanță în agricultură și extensiune</w:t>
      </w:r>
      <w:r w:rsidRPr="00A73566">
        <w:rPr>
          <w:rFonts w:ascii="Times New Roman" w:hAnsi="Times New Roman" w:cs="Times New Roman"/>
          <w:lang w:val="ro-RO"/>
        </w:rPr>
        <w:t xml:space="preserve"> din domeniul agroalimentar nu funcționează ca un sistem integrat. Legătura dintre instituții, tematică și produsele reale ale domeniului de cercetare și necesitățile concrete ale fermierilor și ale oamenilor de afaceri practic lipsește. Proiectele de cercetare sunt formulate în baza capacităților existente ale institutelor științifice și nu țin cont în măsura necesară  de nevoile sectorului real, iar programele de formare profesională au doar menirea de a asigura supraviețuirea instituțiilor de învățământ. </w:t>
      </w:r>
    </w:p>
    <w:p w14:paraId="387E23A2" w14:textId="2F23B45D" w:rsidR="00B848E5" w:rsidRPr="00A73566" w:rsidRDefault="004518E0" w:rsidP="00497A73">
      <w:pPr>
        <w:pStyle w:val="Heading2"/>
        <w:rPr>
          <w:rFonts w:ascii="Times New Roman" w:hAnsi="Times New Roman" w:cs="Times New Roman"/>
          <w:lang w:val="ro-RO"/>
        </w:rPr>
      </w:pPr>
      <w:bookmarkStart w:id="107" w:name="_Toc88132112"/>
      <w:r w:rsidRPr="00A73566">
        <w:rPr>
          <w:rFonts w:ascii="Times New Roman" w:hAnsi="Times New Roman" w:cs="Times New Roman"/>
          <w:lang w:val="ro-RO"/>
        </w:rPr>
        <w:t>Dezvoltare</w:t>
      </w:r>
      <w:r w:rsidR="00126A04" w:rsidRPr="00A73566">
        <w:rPr>
          <w:rFonts w:ascii="Times New Roman" w:hAnsi="Times New Roman" w:cs="Times New Roman"/>
          <w:lang w:val="ro-RO"/>
        </w:rPr>
        <w:t>a</w:t>
      </w:r>
      <w:r w:rsidRPr="00A73566">
        <w:rPr>
          <w:rFonts w:ascii="Times New Roman" w:hAnsi="Times New Roman" w:cs="Times New Roman"/>
          <w:lang w:val="ro-RO"/>
        </w:rPr>
        <w:t xml:space="preserve"> </w:t>
      </w:r>
      <w:r w:rsidR="006E6CD7" w:rsidRPr="00A73566">
        <w:rPr>
          <w:rFonts w:ascii="Times New Roman" w:hAnsi="Times New Roman" w:cs="Times New Roman"/>
          <w:lang w:val="ro-RO"/>
        </w:rPr>
        <w:t>r</w:t>
      </w:r>
      <w:r w:rsidRPr="00A73566">
        <w:rPr>
          <w:rFonts w:ascii="Times New Roman" w:hAnsi="Times New Roman" w:cs="Times New Roman"/>
          <w:lang w:val="ro-RO"/>
        </w:rPr>
        <w:t>urală</w:t>
      </w:r>
      <w:bookmarkEnd w:id="107"/>
    </w:p>
    <w:p w14:paraId="30DB4BD4" w14:textId="67007F1A" w:rsidR="004358B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Progresul lent al dezvoltării rurale este influențat de un spectru larg de fenomene și procese interconectate, cum ar fi migrația în masă, scăderea ratei fertilității, îmbătrânirea populației, insuficiența serviciilor de bază, subdezvoltarea infrastructurii sociale, dar și lipsa locurilor de muncă. Majoritatea acestor procese își au cauze mult mai adânci de ordin sistemic și societal, iar evoluția lor denotă tendințe alarmante. Astfel, sporul natural al populației la nivel național a ajuns în 2019 la valoarea de -1.3 promile</w:t>
      </w:r>
      <w:r w:rsidRPr="00A73566">
        <w:rPr>
          <w:rStyle w:val="FootnoteReference"/>
          <w:rFonts w:ascii="Times New Roman" w:hAnsi="Times New Roman" w:cs="Times New Roman"/>
          <w:lang w:val="ro-RO"/>
        </w:rPr>
        <w:footnoteReference w:id="2"/>
      </w:r>
      <w:r w:rsidRPr="00A73566">
        <w:rPr>
          <w:rFonts w:ascii="Times New Roman" w:hAnsi="Times New Roman" w:cs="Times New Roman"/>
          <w:lang w:val="ro-RO"/>
        </w:rPr>
        <w:t>, fiind cea mai mică valoare din ultimii șapte ani și o dovadă a ineficienței măsurilor de ameliorare a crizei socio</w:t>
      </w:r>
      <w:r w:rsidR="00803F18">
        <w:rPr>
          <w:rFonts w:ascii="Times New Roman" w:hAnsi="Times New Roman" w:cs="Times New Roman"/>
          <w:lang w:val="ro-RO"/>
        </w:rPr>
        <w:t xml:space="preserve"> </w:t>
      </w:r>
      <w:r w:rsidRPr="00A73566">
        <w:rPr>
          <w:rFonts w:ascii="Times New Roman" w:hAnsi="Times New Roman" w:cs="Times New Roman"/>
          <w:lang w:val="ro-RO"/>
        </w:rPr>
        <w:t xml:space="preserve">-economice </w:t>
      </w:r>
      <w:r w:rsidR="004358BC" w:rsidRPr="00A73566">
        <w:rPr>
          <w:rFonts w:ascii="Times New Roman" w:hAnsi="Times New Roman" w:cs="Times New Roman"/>
          <w:lang w:val="ro-RO"/>
        </w:rPr>
        <w:t xml:space="preserve">de lungă durată.  </w:t>
      </w:r>
    </w:p>
    <w:p w14:paraId="51838ACF" w14:textId="2988265D" w:rsidR="004358BC" w:rsidRPr="006C6F6E" w:rsidRDefault="00740EB7" w:rsidP="00E313DD">
      <w:pPr>
        <w:pStyle w:val="Caption"/>
        <w:framePr w:wrap="around"/>
        <w:spacing w:after="0"/>
        <w:jc w:val="both"/>
        <w:rPr>
          <w:rFonts w:ascii="Times New Roman" w:hAnsi="Times New Roman" w:cs="Times New Roman"/>
          <w:sz w:val="18"/>
          <w:szCs w:val="18"/>
          <w:lang w:val="ro-RO"/>
        </w:rPr>
      </w:pPr>
      <w:r w:rsidRPr="006C6F6E">
        <w:rPr>
          <w:rFonts w:ascii="Times New Roman" w:hAnsi="Times New Roman" w:cs="Times New Roman"/>
          <w:sz w:val="18"/>
          <w:szCs w:val="18"/>
          <w:lang w:val="ro-RO"/>
        </w:rPr>
        <w:t xml:space="preserve">Figura </w:t>
      </w:r>
      <w:r w:rsidR="0076302A" w:rsidRPr="006C6F6E">
        <w:rPr>
          <w:rFonts w:ascii="Times New Roman" w:hAnsi="Times New Roman" w:cs="Times New Roman"/>
          <w:sz w:val="18"/>
          <w:szCs w:val="18"/>
          <w:lang w:val="ro-RO"/>
        </w:rPr>
        <w:t>3</w:t>
      </w:r>
      <w:r w:rsidR="000F10F9" w:rsidRPr="006C6F6E">
        <w:rPr>
          <w:rFonts w:ascii="Times New Roman" w:hAnsi="Times New Roman" w:cs="Times New Roman"/>
          <w:sz w:val="18"/>
          <w:szCs w:val="18"/>
          <w:lang w:val="ro-RO"/>
        </w:rPr>
        <w:t>0</w:t>
      </w:r>
      <w:r w:rsidRPr="006C6F6E">
        <w:rPr>
          <w:rFonts w:ascii="Times New Roman" w:hAnsi="Times New Roman" w:cs="Times New Roman"/>
          <w:sz w:val="18"/>
          <w:szCs w:val="18"/>
          <w:lang w:val="ro-RO"/>
        </w:rPr>
        <w:t xml:space="preserve">. </w:t>
      </w:r>
      <w:r w:rsidR="004358BC" w:rsidRPr="006C6F6E">
        <w:rPr>
          <w:rFonts w:ascii="Times New Roman" w:hAnsi="Times New Roman" w:cs="Times New Roman"/>
          <w:sz w:val="18"/>
          <w:szCs w:val="18"/>
          <w:lang w:val="ro-RO"/>
        </w:rPr>
        <w:t xml:space="preserve">Rata de ocupare în </w:t>
      </w:r>
      <w:r w:rsidR="005806A4" w:rsidRPr="006C6F6E">
        <w:rPr>
          <w:rFonts w:ascii="Times New Roman" w:hAnsi="Times New Roman" w:cs="Times New Roman"/>
          <w:sz w:val="18"/>
          <w:szCs w:val="18"/>
          <w:lang w:val="ro-RO"/>
        </w:rPr>
        <w:t>n</w:t>
      </w:r>
      <w:r w:rsidR="004358BC" w:rsidRPr="006C6F6E">
        <w:rPr>
          <w:rFonts w:ascii="Times New Roman" w:hAnsi="Times New Roman" w:cs="Times New Roman"/>
          <w:sz w:val="18"/>
          <w:szCs w:val="18"/>
          <w:lang w:val="ro-RO"/>
        </w:rPr>
        <w:t xml:space="preserve">ivel </w:t>
      </w:r>
      <w:r w:rsidR="005806A4" w:rsidRPr="006C6F6E">
        <w:rPr>
          <w:rFonts w:ascii="Times New Roman" w:hAnsi="Times New Roman" w:cs="Times New Roman"/>
          <w:sz w:val="18"/>
          <w:szCs w:val="18"/>
          <w:lang w:val="ro-RO"/>
        </w:rPr>
        <w:t>n</w:t>
      </w:r>
      <w:r w:rsidR="004358BC" w:rsidRPr="006C6F6E">
        <w:rPr>
          <w:rFonts w:ascii="Times New Roman" w:hAnsi="Times New Roman" w:cs="Times New Roman"/>
          <w:sz w:val="18"/>
          <w:szCs w:val="18"/>
          <w:lang w:val="ro-RO"/>
        </w:rPr>
        <w:t>ațional, %</w:t>
      </w:r>
    </w:p>
    <w:p w14:paraId="3E70F99F" w14:textId="4FF1A515" w:rsidR="004358BC" w:rsidRPr="00A73566" w:rsidRDefault="004358BC" w:rsidP="004358BC">
      <w:pPr>
        <w:rPr>
          <w:rFonts w:ascii="Times New Roman" w:hAnsi="Times New Roman" w:cs="Times New Roman"/>
          <w:lang w:val="ro-RO"/>
        </w:rPr>
      </w:pPr>
      <w:r w:rsidRPr="00E03D1A">
        <w:rPr>
          <w:rFonts w:ascii="Times New Roman" w:hAnsi="Times New Roman" w:cs="Times New Roman"/>
          <w:noProof/>
          <w:sz w:val="18"/>
          <w:szCs w:val="18"/>
          <w:lang w:val="en-US"/>
        </w:rPr>
        <w:drawing>
          <wp:inline distT="0" distB="0" distL="0" distR="0" wp14:anchorId="46571417" wp14:editId="7757EF52">
            <wp:extent cx="5934075" cy="1459523"/>
            <wp:effectExtent l="0" t="0" r="0" b="762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1493110F" w14:textId="427FE8DF" w:rsidR="009B40FA" w:rsidRPr="006C6F6E" w:rsidRDefault="0048006B" w:rsidP="0048006B">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6C6F6E">
        <w:rPr>
          <w:rFonts w:ascii="Times New Roman" w:hAnsi="Times New Roman" w:cs="Times New Roman"/>
          <w:iCs/>
          <w:color w:val="BFBFBF" w:themeColor="background1" w:themeShade="BF"/>
          <w:sz w:val="18"/>
          <w:szCs w:val="18"/>
          <w:lang w:val="ro-RO"/>
        </w:rPr>
        <w:t>Sursa: Elaborată de autori în baza datelor BNS</w:t>
      </w:r>
    </w:p>
    <w:p w14:paraId="49FF85B2" w14:textId="15517CF1"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Pe de altă parte, Republica Moldova rămâne să fie statul cu una din cele mai mici rate de ocupare la nivel european. În 2020, rata de ocupare în Moldova a fost de aproximativ 31.5%, media UE fiind de 68%.</w:t>
      </w:r>
      <w:r w:rsidR="00E313DD">
        <w:rPr>
          <w:rFonts w:ascii="Times New Roman" w:hAnsi="Times New Roman" w:cs="Times New Roman"/>
          <w:lang w:val="ro-RO"/>
        </w:rPr>
        <w:t xml:space="preserve"> </w:t>
      </w:r>
      <w:r w:rsidRPr="00A73566">
        <w:rPr>
          <w:rFonts w:ascii="Times New Roman" w:hAnsi="Times New Roman" w:cs="Times New Roman"/>
          <w:lang w:val="ro-RO"/>
        </w:rPr>
        <w:t>Agricultura rămâne principala activitate economică în mediul rural și singura activitate desfășurată de persoanele cu vârsta de peste 65 ani. Structura ocupării este relativ statică, cea mai mare pondere în sectorul agricol o au persoanele cu vârsta între 45-54 ani (24%), urmată fiind de activitățile ce țin de administrație publică locală, învățământ, sănătate și asistență socială, apoi de comerț și industrie, în care este încadrată o bună parte din populația mai tânără. Această structură reflectă o slabă diversificare a economiei din zona rurală, precum și o pondere scăzută a segmentelor puternic tehnologizate.</w:t>
      </w:r>
    </w:p>
    <w:p w14:paraId="6AB8E882" w14:textId="77777777"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În același timp, venitul mediu pe o persoană în mediul rural cu greu acoperă venitul minim de existență. Astfel, doar în anul 2015, venitul mediu pe o persoană a atins aceleași valori ca și minimul de existență (1658 MDL), iar în anul 2019 depășea doar cu 5.4% minimul de existență</w:t>
      </w:r>
      <w:r w:rsidRPr="00A73566">
        <w:rPr>
          <w:rStyle w:val="FootnoteReference"/>
          <w:rFonts w:ascii="Times New Roman" w:hAnsi="Times New Roman" w:cs="Times New Roman"/>
          <w:lang w:val="ro-RO"/>
        </w:rPr>
        <w:footnoteReference w:id="3"/>
      </w:r>
      <w:r w:rsidRPr="00A73566">
        <w:rPr>
          <w:rFonts w:ascii="Times New Roman" w:hAnsi="Times New Roman" w:cs="Times New Roman"/>
          <w:lang w:val="ro-RO"/>
        </w:rPr>
        <w:t xml:space="preserve">. </w:t>
      </w:r>
    </w:p>
    <w:p w14:paraId="52BCC42D" w14:textId="77777777"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Analiza surselor de venituri în mediul rural relevă că doar 5% din acestea vin dintr-o activitate individuală non-agricolă (comparativ cu 15% din activitatea individuală agricolă), în timp ce un sfert din veniturile populației din mediul rural reprezintă prestații sociale. O pondere la fel de mare în totalul veniturilor o au și remitențele (22.3%), care, pe de o parte, reprezintă un instrument de amortizare a sărăciei, iar, pe de alta, evidențiază amplitudinea fenomenului emigrării. Din totalul populației apte de muncă, care se află peste hotarele țării, cea mai mare pondere o au persoanele din mediul rural (70%), dintre care 37% au vârsta cuprinsă între 25-34 ani, iar 18% au vârsta cuprinsă între 16-24 ani. Aceste statistici vin să confirme faptul că mediul rural rămâne în continuare neatractiv pentru tineri din cauza lipsei oportunităților de angajare, a condițiilor precare de trai, precum și din cauza salariilor mici.</w:t>
      </w:r>
    </w:p>
    <w:p w14:paraId="2C0C685D" w14:textId="59447A25" w:rsidR="00C52C53"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Pe lângă spectrul îngust al ocupațiilor şi meseriilor solicitate în mediul rural, o altă cauză este şi infrastructura socială degradată şi subdezvoltată, care, inevitabil, determină o calitate a vieții net inferioară celei din mediul urban. Discrepanțe mari se observă și la gradul de dotare a locuințelor cu comodități. În mediul rural, accesul la rețeaua publică de apeduct o au doar cca. 50.5% din populație, doar 36.9% au acces la rețeaua de gaze naturale, doar 34% din locuințe au apă caldă și doar 16.6% au grup sanitar în interior</w:t>
      </w:r>
      <w:r w:rsidR="004358BC" w:rsidRPr="00A73566">
        <w:rPr>
          <w:rFonts w:ascii="Times New Roman" w:hAnsi="Times New Roman" w:cs="Times New Roman"/>
          <w:lang w:val="ro-RO"/>
        </w:rPr>
        <w:t xml:space="preserve">. </w:t>
      </w:r>
    </w:p>
    <w:p w14:paraId="180DE456" w14:textId="63DB32A3" w:rsidR="004358BC" w:rsidRPr="006C6F6E" w:rsidRDefault="001C59DE" w:rsidP="00E313DD">
      <w:pPr>
        <w:pStyle w:val="Caption"/>
        <w:framePr w:wrap="around"/>
        <w:spacing w:after="0"/>
        <w:jc w:val="both"/>
        <w:rPr>
          <w:rFonts w:ascii="Times New Roman" w:hAnsi="Times New Roman" w:cs="Times New Roman"/>
          <w:sz w:val="18"/>
          <w:szCs w:val="18"/>
          <w:lang w:val="ro-RO"/>
        </w:rPr>
      </w:pPr>
      <w:r w:rsidRPr="006C6F6E">
        <w:rPr>
          <w:rFonts w:ascii="Times New Roman" w:hAnsi="Times New Roman" w:cs="Times New Roman"/>
          <w:sz w:val="18"/>
          <w:szCs w:val="18"/>
          <w:lang w:val="ro-RO"/>
        </w:rPr>
        <w:t xml:space="preserve">Figura </w:t>
      </w:r>
      <w:r w:rsidR="0076302A" w:rsidRPr="006C6F6E">
        <w:rPr>
          <w:rFonts w:ascii="Times New Roman" w:hAnsi="Times New Roman" w:cs="Times New Roman"/>
          <w:sz w:val="18"/>
          <w:szCs w:val="18"/>
          <w:lang w:val="ro-RO"/>
        </w:rPr>
        <w:t>3</w:t>
      </w:r>
      <w:r w:rsidR="000F10F9" w:rsidRPr="006C6F6E">
        <w:rPr>
          <w:rFonts w:ascii="Times New Roman" w:hAnsi="Times New Roman" w:cs="Times New Roman"/>
          <w:sz w:val="18"/>
          <w:szCs w:val="18"/>
          <w:lang w:val="ro-RO"/>
        </w:rPr>
        <w:t>1</w:t>
      </w:r>
      <w:r w:rsidR="0048006B" w:rsidRPr="006C6F6E">
        <w:rPr>
          <w:rFonts w:ascii="Times New Roman" w:hAnsi="Times New Roman" w:cs="Times New Roman"/>
          <w:sz w:val="18"/>
          <w:szCs w:val="18"/>
          <w:lang w:val="ro-RO"/>
        </w:rPr>
        <w:t xml:space="preserve"> </w:t>
      </w:r>
      <w:r w:rsidRPr="006C6F6E">
        <w:rPr>
          <w:rFonts w:ascii="Times New Roman" w:hAnsi="Times New Roman" w:cs="Times New Roman"/>
          <w:sz w:val="18"/>
          <w:szCs w:val="18"/>
          <w:lang w:val="ro-RO"/>
        </w:rPr>
        <w:t xml:space="preserve">. </w:t>
      </w:r>
      <w:r w:rsidR="004358BC" w:rsidRPr="006C6F6E">
        <w:rPr>
          <w:rFonts w:ascii="Times New Roman" w:hAnsi="Times New Roman" w:cs="Times New Roman"/>
          <w:sz w:val="18"/>
          <w:szCs w:val="18"/>
          <w:lang w:val="ro-RO"/>
        </w:rPr>
        <w:t>Accesul la serviciile publice și infrastructura publică de bază</w:t>
      </w:r>
    </w:p>
    <w:p w14:paraId="67FD6386" w14:textId="5029E8C4" w:rsidR="004358BC" w:rsidRPr="00A73566" w:rsidRDefault="004358BC" w:rsidP="004358BC">
      <w:pPr>
        <w:rPr>
          <w:rFonts w:ascii="Times New Roman" w:hAnsi="Times New Roman" w:cs="Times New Roman"/>
          <w:lang w:val="ro-RO"/>
        </w:rPr>
      </w:pPr>
      <w:r w:rsidRPr="00A73566">
        <w:rPr>
          <w:rFonts w:ascii="Times New Roman" w:hAnsi="Times New Roman" w:cs="Times New Roman"/>
          <w:noProof/>
          <w:lang w:val="en-US"/>
        </w:rPr>
        <w:drawing>
          <wp:inline distT="0" distB="0" distL="0" distR="0" wp14:anchorId="4DB50574" wp14:editId="1E2D2A7D">
            <wp:extent cx="5846445" cy="1617785"/>
            <wp:effectExtent l="0" t="0" r="1905" b="190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FF090E3" w14:textId="624BC4E7" w:rsidR="001C59DE" w:rsidRPr="006C6F6E" w:rsidRDefault="0048006B" w:rsidP="0076302A">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6C6F6E">
        <w:rPr>
          <w:rFonts w:ascii="Times New Roman" w:hAnsi="Times New Roman" w:cs="Times New Roman"/>
          <w:iCs/>
          <w:color w:val="BFBFBF" w:themeColor="background1" w:themeShade="BF"/>
          <w:sz w:val="18"/>
          <w:szCs w:val="18"/>
          <w:lang w:val="ro-RO"/>
        </w:rPr>
        <w:t>Sursa: Elaborată de autori în baza datelor BNS</w:t>
      </w:r>
    </w:p>
    <w:p w14:paraId="1D0D36EE" w14:textId="77777777"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Accesul limitat, ineficiența și calitatea proastă a serviciilor publice (educația, sănătatea, transportul, apa) au generat excluziune socială, sărăcie persistentă și vulnerabilitatea la șocuri a populației din mediul rural. În combinație cu factorii economici, accesul limitat la serviciile publice și infrastructura publică subdezvoltată reprezintă principala cauză a stagnării în dezvoltarea mediului rural.</w:t>
      </w:r>
    </w:p>
    <w:p w14:paraId="23855BBB" w14:textId="77777777" w:rsidR="00E03D1A"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Cât privește percepția populației, conform BOP 2020</w:t>
      </w:r>
      <w:r w:rsidRPr="00A73566">
        <w:rPr>
          <w:rStyle w:val="FootnoteReference"/>
          <w:rFonts w:ascii="Times New Roman" w:hAnsi="Times New Roman" w:cs="Times New Roman"/>
          <w:lang w:val="ro-RO"/>
        </w:rPr>
        <w:footnoteReference w:id="4"/>
      </w:r>
      <w:r w:rsidRPr="00A73566">
        <w:rPr>
          <w:rFonts w:ascii="Times New Roman" w:hAnsi="Times New Roman" w:cs="Times New Roman"/>
          <w:lang w:val="ro-RO"/>
        </w:rPr>
        <w:t>, 83.8% din populația rurală se arată nemulțumită de acțiunile Guvernului în ceea ce privește asigurarea locurilor de muncă, creșterea nivelului de trai, a salariilor și pensiilor, combaterea corupției și dezvoltarea industriei și agriculturii, confirmând, de fapt, gravitatea problemelor abordare de această PPP. Aproximativ 60% sunt nemulțumiți de măsurile privind asistența medicală și 58% privind învățământul.</w:t>
      </w:r>
    </w:p>
    <w:p w14:paraId="06D33513" w14:textId="4E1CDDC3" w:rsidR="00C73ACC" w:rsidRPr="00A73566" w:rsidRDefault="00C73ACC" w:rsidP="006C6F6E">
      <w:pPr>
        <w:ind w:firstLine="567"/>
        <w:rPr>
          <w:rFonts w:ascii="Times New Roman" w:hAnsi="Times New Roman" w:cs="Times New Roman"/>
          <w:lang w:val="ro-RO"/>
        </w:rPr>
      </w:pPr>
      <w:r w:rsidRPr="00A73566">
        <w:rPr>
          <w:rFonts w:ascii="Times New Roman" w:hAnsi="Times New Roman" w:cs="Times New Roman"/>
          <w:lang w:val="ro-RO"/>
        </w:rPr>
        <w:t>Deși agricultura este principala activitate în mediul rural și sectorul care  încadrează peste 55% din populație, doar 20% consideră că sprijinirea micilor întreprinzători în sectorul agricol este o măsură ce ar trebui să fie întreprinsă pentru a îmbunătăți situația social-economică din țară. Aproape o treime din populație simte nevoia dezvoltării întreprinderilor industriale. Totodată, principalele îngrijorări ale populației rurale țin de asprirea sărăciei (41%), creșterea prețurilor (53%) și viitorul copiilor (54%).</w:t>
      </w:r>
    </w:p>
    <w:p w14:paraId="6FA7D0E6" w14:textId="77777777" w:rsidR="00C73ACC" w:rsidRPr="00A73566" w:rsidRDefault="00C73ACC" w:rsidP="006C6F6E">
      <w:pPr>
        <w:ind w:firstLine="567"/>
        <w:rPr>
          <w:rFonts w:ascii="Times New Roman" w:hAnsi="Times New Roman" w:cs="Times New Roman"/>
          <w:sz w:val="24"/>
          <w:szCs w:val="24"/>
          <w:lang w:val="ro-RO"/>
        </w:rPr>
      </w:pPr>
      <w:r w:rsidRPr="00A73566">
        <w:rPr>
          <w:rFonts w:ascii="Times New Roman" w:hAnsi="Times New Roman" w:cs="Times New Roman"/>
          <w:lang w:val="ro-RO"/>
        </w:rPr>
        <w:t xml:space="preserve">În ceea ce privește calitate serviciilor publice, 63% din populația rurală se arată nemulțumită de asistența medicală, 43% sunt nemulțumiți de calitatea transporturilor, iar 39% sunt nemulțumiți de calitatea educației. Fiind rugați să aprecieze veniturile actuale ale gospodăriilor, 37% din respondenții din mediul rural au afirmat că veniturile câștigate nu le ajung nici pentru strictul necesar, iar 40% au menționat că le ajung doar pentru strictul necesar. </w:t>
      </w:r>
    </w:p>
    <w:p w14:paraId="6F2A612D" w14:textId="7C8B36CF" w:rsidR="00DE224D" w:rsidRPr="006C6F6E" w:rsidRDefault="00EF005D" w:rsidP="006C6F6E">
      <w:pPr>
        <w:pStyle w:val="Heading2"/>
        <w:rPr>
          <w:rFonts w:ascii="Times New Roman" w:hAnsi="Times New Roman" w:cs="Times New Roman"/>
          <w:lang w:val="ro-RO"/>
        </w:rPr>
      </w:pPr>
      <w:bookmarkStart w:id="108" w:name="_Toc88132113"/>
      <w:r w:rsidRPr="00A73566">
        <w:rPr>
          <w:rFonts w:ascii="Times New Roman" w:hAnsi="Times New Roman" w:cs="Times New Roman"/>
          <w:lang w:val="ro-RO"/>
        </w:rPr>
        <w:t>Rezultatele implementării SNDAR 2014 – 2020</w:t>
      </w:r>
      <w:bookmarkEnd w:id="108"/>
    </w:p>
    <w:p w14:paraId="2F9BD90D" w14:textId="77777777" w:rsidR="00DE224D" w:rsidRPr="00A73566" w:rsidRDefault="00DE224D" w:rsidP="006C6F6E">
      <w:pPr>
        <w:spacing w:after="0"/>
        <w:ind w:firstLine="567"/>
        <w:rPr>
          <w:rFonts w:ascii="Times New Roman" w:hAnsi="Times New Roman" w:cs="Times New Roman"/>
          <w:lang w:val="ro-RO"/>
        </w:rPr>
      </w:pPr>
      <w:r w:rsidRPr="00A73566">
        <w:rPr>
          <w:rFonts w:ascii="Times New Roman" w:hAnsi="Times New Roman" w:cs="Times New Roman"/>
          <w:lang w:val="ro-RO"/>
        </w:rPr>
        <w:t xml:space="preserve">Obiectivul Strategiei Naționale de Dezvoltare Agricolă și Rurală 2014 – 2020 a constat în Asigurarea contribuției sectorului agroalimentar la atingerea și menținerea durabilă a scopurilor de dezvoltare națională economică și socială, iar Scopul Strategiei a reprezentat sporirea competitivității sectorului agroalimentar prin restructurare și modernizare amplă, îmbunătățirea calității vieții și a condițiilor de muncă în mediul rural, precum și crearea sinergiei între activitățile agroalimentare și mediul natura. </w:t>
      </w:r>
    </w:p>
    <w:p w14:paraId="73620763" w14:textId="421E4F28" w:rsidR="006468BB" w:rsidRDefault="00DE224D" w:rsidP="00DE224D">
      <w:pPr>
        <w:spacing w:after="0"/>
        <w:rPr>
          <w:rFonts w:ascii="Times New Roman" w:hAnsi="Times New Roman" w:cs="Times New Roman"/>
          <w:lang w:val="ro-RO"/>
        </w:rPr>
      </w:pPr>
      <w:r w:rsidRPr="00A73566">
        <w:rPr>
          <w:rFonts w:ascii="Times New Roman" w:hAnsi="Times New Roman" w:cs="Times New Roman"/>
          <w:lang w:val="ro-RO"/>
        </w:rPr>
        <w:t>În acest sens, în rezultatul implementării politicii naționale de dezvoltare agricolă și rurală prin intermediul SNDAR 2016 – 2020, în pofida existenței unei sinergii cu activitățile implementate în cadrul altor strategii și programe de politici publice sectoriale, precum și a investițiilor private, în mare parte Obiectivul și Scopul Strategie</w:t>
      </w:r>
      <w:r w:rsidR="00E03D1A">
        <w:rPr>
          <w:rFonts w:ascii="Times New Roman" w:hAnsi="Times New Roman" w:cs="Times New Roman"/>
          <w:lang w:val="ro-RO"/>
        </w:rPr>
        <w:t xml:space="preserve">i nu au fost atinse, și anume: </w:t>
      </w:r>
    </w:p>
    <w:p w14:paraId="1FCF7771" w14:textId="77777777" w:rsidR="00E03D1A" w:rsidRPr="00A73566" w:rsidRDefault="00E03D1A" w:rsidP="00DE224D">
      <w:pPr>
        <w:spacing w:after="0"/>
        <w:rPr>
          <w:rFonts w:ascii="Times New Roman" w:hAnsi="Times New Roman" w:cs="Times New Roman"/>
          <w:lang w:val="ro-RO"/>
        </w:rPr>
      </w:pPr>
    </w:p>
    <w:p w14:paraId="777FB873" w14:textId="77777777" w:rsidR="00DE224D" w:rsidRPr="00A73566" w:rsidRDefault="00DE224D" w:rsidP="00E03D1A">
      <w:pPr>
        <w:pStyle w:val="ListParagraph"/>
        <w:numPr>
          <w:ilvl w:val="0"/>
          <w:numId w:val="19"/>
        </w:numPr>
        <w:spacing w:after="0"/>
        <w:ind w:left="851" w:hanging="284"/>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Valoarea adăugată brută a Sectorului Agricol în economia națională a scăzut către anul 2019 cu 2.5 p.p. față de anul 2014.</w:t>
      </w:r>
      <w:r w:rsidRPr="00A73566">
        <w:rPr>
          <w:rFonts w:ascii="Times New Roman" w:hAnsi="Times New Roman" w:cs="Times New Roman"/>
          <w:color w:val="000000" w:themeColor="text1"/>
          <w:sz w:val="24"/>
          <w:szCs w:val="24"/>
          <w:lang w:val="ro-RO"/>
        </w:rPr>
        <w:t xml:space="preserve"> </w:t>
      </w:r>
    </w:p>
    <w:p w14:paraId="79D40D15" w14:textId="680CD614" w:rsidR="00DE224D" w:rsidRPr="00A73566" w:rsidRDefault="00DE224D"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Numărul angajaților în sectorul agricol din mediul rural a scăzut cu 3.4% către 2018</w:t>
      </w:r>
      <w:r w:rsidR="00E313DD" w:rsidRPr="00A73566">
        <w:rPr>
          <w:rStyle w:val="EndnoteReference"/>
          <w:rFonts w:ascii="Times New Roman" w:hAnsi="Times New Roman" w:cs="Times New Roman"/>
          <w:color w:val="000000" w:themeColor="text1"/>
          <w:lang w:val="ro-RO"/>
        </w:rPr>
        <w:endnoteReference w:id="1"/>
      </w:r>
      <w:r w:rsidR="00E313DD" w:rsidRPr="00A73566">
        <w:rPr>
          <w:rFonts w:ascii="Times New Roman" w:hAnsi="Times New Roman" w:cs="Times New Roman"/>
          <w:color w:val="000000" w:themeColor="text1"/>
          <w:lang w:val="ro-RO"/>
        </w:rPr>
        <w:t xml:space="preserve"> </w:t>
      </w:r>
      <w:r w:rsidRPr="00A73566">
        <w:rPr>
          <w:rFonts w:ascii="Times New Roman" w:hAnsi="Times New Roman" w:cs="Times New Roman"/>
          <w:color w:val="000000" w:themeColor="text1"/>
          <w:lang w:val="ro-RO"/>
        </w:rPr>
        <w:t xml:space="preserve">față de valorile înregistrate în anul 2014. În sectorul agricol numărul angajaților informali a crescut cu 3.5% comparativ cu anul 2014, în timp ce numărul celor angajați formal a scăzut cu 17.5%. În același timp, în cazul altor sectoare economice, în mediul rural se constată o scădere cu 2% a numărului de angajați formal și o scădere de 17%(!) a celor angajați informal. </w:t>
      </w:r>
    </w:p>
    <w:p w14:paraId="5706E1D4" w14:textId="77777777" w:rsidR="00DE224D" w:rsidRPr="00A73566" w:rsidRDefault="00DE224D"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Nivelul de autoaprovizionare pentru o bună parte din resurse alimentare cheie este inferior valorii de 100%, fără a fi înregistrate careva progrese în acest sens comparativ cu anul 2014. </w:t>
      </w:r>
    </w:p>
    <w:p w14:paraId="7C8D8FB7" w14:textId="77777777" w:rsidR="00C56511" w:rsidRPr="00A73566" w:rsidRDefault="00DE224D"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Ponderea exporturilor de mărfuri din grupa produselor agricole și industriei alimentare în totalul exporturilor a scăzut cu cca. 1 p.p. față de anul 2014, precum și nu a înregistrat creșteri substanțiale în întreaga perioadă de implementare a Strategiei în raport cu anul de referință 2014. </w:t>
      </w:r>
    </w:p>
    <w:p w14:paraId="7557A82F" w14:textId="165504A9" w:rsidR="00C56511" w:rsidRPr="00A73566" w:rsidRDefault="00DE224D"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Ponderea exporturilor de mărfuri din grupa produselor industriei alimentare în totalul exporturilor a înregistrat o scădere de 1 p.p. față de anul 2014 și de cca. 5 p.p. față de anul 2010. </w:t>
      </w:r>
    </w:p>
    <w:p w14:paraId="0BD6F618" w14:textId="77777777" w:rsidR="00C56511" w:rsidRPr="00A73566" w:rsidRDefault="00C56511" w:rsidP="00C56511">
      <w:pPr>
        <w:spacing w:after="0"/>
        <w:ind w:left="360"/>
        <w:rPr>
          <w:rFonts w:ascii="Times New Roman" w:hAnsi="Times New Roman" w:cs="Times New Roman"/>
          <w:color w:val="000000" w:themeColor="text1"/>
          <w:lang w:val="ro-RO"/>
        </w:rPr>
      </w:pPr>
    </w:p>
    <w:p w14:paraId="12C261FF" w14:textId="1798447E" w:rsidR="006468BB" w:rsidRPr="00A73566" w:rsidRDefault="00C56511" w:rsidP="00E03D1A">
      <w:pPr>
        <w:spacing w:after="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Totodată, în perioada de referință au fost înregistrate și un șir de progrese, care au facilitat de</w:t>
      </w:r>
      <w:r w:rsidR="00E03D1A">
        <w:rPr>
          <w:rFonts w:ascii="Times New Roman" w:hAnsi="Times New Roman" w:cs="Times New Roman"/>
          <w:color w:val="000000" w:themeColor="text1"/>
          <w:lang w:val="ro-RO"/>
        </w:rPr>
        <w:t xml:space="preserve">zvoltarea sectorului și anume: </w:t>
      </w:r>
    </w:p>
    <w:p w14:paraId="0457A9FE" w14:textId="3231938B" w:rsidR="00C56511" w:rsidRPr="00A73566" w:rsidRDefault="00C56511"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Nivelul investițiilor în active imobilizate în sectorul agricol, deși nu a crescut substanțial față de anul de raportare 2014, a fost constant pe întreaga perioadă de raportare</w:t>
      </w:r>
      <w:r w:rsidR="006C6F6E">
        <w:rPr>
          <w:rFonts w:ascii="Times New Roman" w:hAnsi="Times New Roman" w:cs="Times New Roman"/>
          <w:color w:val="000000" w:themeColor="text1"/>
          <w:lang w:val="ro-RO"/>
        </w:rPr>
        <w:t>.</w:t>
      </w:r>
    </w:p>
    <w:p w14:paraId="51688712" w14:textId="32F60A06" w:rsidR="00C56511" w:rsidRPr="00A73566" w:rsidRDefault="00C56511"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Producția globală agricolă a înregistrat creșteri ale valorii pe întreaga perioadă de referință (+25.9%)</w:t>
      </w:r>
      <w:r w:rsidR="006C6F6E">
        <w:rPr>
          <w:rFonts w:ascii="Times New Roman" w:hAnsi="Times New Roman" w:cs="Times New Roman"/>
          <w:color w:val="000000" w:themeColor="text1"/>
          <w:lang w:val="ro-RO"/>
        </w:rPr>
        <w:t>.</w:t>
      </w:r>
    </w:p>
    <w:p w14:paraId="61AB2E9C" w14:textId="3CDDFA7A" w:rsidR="00DE224D" w:rsidRPr="00E313DD" w:rsidRDefault="00C56511" w:rsidP="00E03D1A">
      <w:pPr>
        <w:pStyle w:val="ListParagraph"/>
        <w:numPr>
          <w:ilvl w:val="0"/>
          <w:numId w:val="19"/>
        </w:numPr>
        <w:spacing w:after="0"/>
        <w:ind w:left="851" w:hanging="284"/>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Numărul localităților rurale care au acces la sisteme publice de alimentare cu apă a crescut cu 61.8% comparativ cu anul 2014 (de la 427 la 724), iar a celor conectate la sisteme centralizate de canalizare cu cca. 10%. </w:t>
      </w:r>
    </w:p>
    <w:p w14:paraId="77CD860B" w14:textId="6BD239E1" w:rsidR="006A570C" w:rsidRPr="00A73566" w:rsidRDefault="006A570C" w:rsidP="00462F26">
      <w:pPr>
        <w:pStyle w:val="Heading3"/>
        <w:rPr>
          <w:rFonts w:ascii="Times New Roman" w:hAnsi="Times New Roman" w:cs="Times New Roman"/>
          <w:lang w:val="ro-RO"/>
        </w:rPr>
      </w:pPr>
      <w:bookmarkStart w:id="109" w:name="_Toc88132114"/>
      <w:r w:rsidRPr="00A73566">
        <w:rPr>
          <w:rFonts w:ascii="Times New Roman" w:hAnsi="Times New Roman" w:cs="Times New Roman"/>
          <w:lang w:val="ro-RO"/>
        </w:rPr>
        <w:t>REZULTATELE SPECIFICE ALE IMPLEMENTĂRII STRATEGIEI</w:t>
      </w:r>
      <w:bookmarkEnd w:id="109"/>
    </w:p>
    <w:p w14:paraId="0E0C7787" w14:textId="17054F92" w:rsidR="006A570C" w:rsidRPr="00A73566" w:rsidRDefault="006A570C" w:rsidP="006C6F6E">
      <w:pPr>
        <w:ind w:firstLine="567"/>
        <w:rPr>
          <w:rFonts w:ascii="Times New Roman" w:hAnsi="Times New Roman" w:cs="Times New Roman"/>
          <w:lang w:val="ro-RO"/>
        </w:rPr>
      </w:pPr>
      <w:r w:rsidRPr="00A73566">
        <w:rPr>
          <w:rFonts w:ascii="Times New Roman" w:hAnsi="Times New Roman" w:cs="Times New Roman"/>
          <w:lang w:val="ro-RO"/>
        </w:rPr>
        <w:t>În conformitate cu cele mai bune practici internaționale, evaluarea rezultatelor atinse în procesul de implementare a obiectivelor specifice a SNDAR 2014-2020 a fost efectuată în baza a patru dimensiuni distincte: relevanță, eficiență, eficacitate și impact.</w:t>
      </w:r>
    </w:p>
    <w:p w14:paraId="7115AB07" w14:textId="77777777" w:rsidR="0093644E" w:rsidRPr="00A73566" w:rsidRDefault="0093644E" w:rsidP="006C6F6E">
      <w:pPr>
        <w:pStyle w:val="NormalWeb"/>
        <w:snapToGrid w:val="0"/>
        <w:spacing w:before="60" w:beforeAutospacing="0" w:after="60" w:afterAutospacing="0"/>
        <w:ind w:firstLine="567"/>
        <w:jc w:val="both"/>
        <w:rPr>
          <w:bCs/>
          <w:sz w:val="22"/>
          <w:szCs w:val="22"/>
          <w:lang w:val="ro-RO" w:eastAsia="en-US"/>
        </w:rPr>
      </w:pPr>
      <w:r w:rsidRPr="00A73566">
        <w:rPr>
          <w:color w:val="000000"/>
          <w:sz w:val="22"/>
          <w:szCs w:val="22"/>
          <w:lang w:val="ro-RO"/>
        </w:rPr>
        <w:t>În procesul de evaluare a progresului intervențiilor incluse în planul de acțiuni al SNDAR au fost utilizate drept surse primare Rapoartele de Evaluare al SNDAR pentru anii 2014 -2020. Din informațiile prezentate în documentele date a fost extrasă informația relevantă intervenției date și a fost făcut un rezumat al acestora, astfel încât să fie posibilă cuantificarea rezultatelor în valori cât mai simpliste – procese administrative realizate, acte elaborate/aprobate, investiții realizate, instruiri perfectate, etc.</w:t>
      </w:r>
    </w:p>
    <w:p w14:paraId="60CD0CE6" w14:textId="77777777" w:rsidR="0093644E" w:rsidRPr="00A73566" w:rsidRDefault="0093644E" w:rsidP="006C6F6E">
      <w:pPr>
        <w:pStyle w:val="NormalWeb"/>
        <w:snapToGrid w:val="0"/>
        <w:spacing w:before="60" w:beforeAutospacing="0" w:after="60" w:afterAutospacing="0"/>
        <w:ind w:firstLine="567"/>
        <w:jc w:val="both"/>
        <w:rPr>
          <w:color w:val="000000"/>
          <w:sz w:val="22"/>
          <w:szCs w:val="22"/>
          <w:shd w:val="clear" w:color="auto" w:fill="FFFFFF"/>
          <w:lang w:val="ro-RO"/>
        </w:rPr>
      </w:pPr>
      <w:r w:rsidRPr="00A73566">
        <w:rPr>
          <w:color w:val="000000"/>
          <w:sz w:val="22"/>
          <w:szCs w:val="22"/>
          <w:lang w:val="ro-RO"/>
        </w:rPr>
        <w:t xml:space="preserve">În cadrul obiectivului O1 au fost incluse acțiuni noi precum: </w:t>
      </w:r>
      <w:r w:rsidRPr="00A73566">
        <w:rPr>
          <w:color w:val="000000"/>
          <w:sz w:val="22"/>
          <w:szCs w:val="22"/>
          <w:shd w:val="clear" w:color="auto" w:fill="FFFFFF"/>
          <w:lang w:val="ro-RO"/>
        </w:rPr>
        <w:t xml:space="preserve">Implementarea Obiectivelor de Dezvoltare Durabilă în domeniul agriculturii și siguranței alimentelor, Implementarea recomandărilor strategice elaborate de MARDE cu suportul FAO privind promovarea produselor agroalimentare autohtone pe piețele externe și pe piața internă, Facilitarea accesului la informații privind oportunitățile de dezvoltare a afacerilor și formarea profesională, etc. De asemenea, au fost excluse 9 acțiuni marcate ca realizate, iar acțiunile ce prevedeau implementarea principiului de e-Agricultură pe sectoare (15-19) au fost comasate în una singură ce prevede dezvoltarea conceptului de e-Agricultură în Republica Moldova. </w:t>
      </w:r>
    </w:p>
    <w:p w14:paraId="3574AB39" w14:textId="77777777" w:rsidR="0093644E" w:rsidRPr="00A73566" w:rsidRDefault="0093644E" w:rsidP="006C6F6E">
      <w:pPr>
        <w:pStyle w:val="NormalWeb"/>
        <w:snapToGrid w:val="0"/>
        <w:spacing w:before="60" w:beforeAutospacing="0" w:after="60" w:afterAutospacing="0"/>
        <w:ind w:firstLine="567"/>
        <w:jc w:val="both"/>
        <w:rPr>
          <w:sz w:val="22"/>
          <w:szCs w:val="22"/>
          <w:lang w:val="ro-RO"/>
        </w:rPr>
      </w:pPr>
      <w:r w:rsidRPr="00A73566">
        <w:rPr>
          <w:color w:val="000000"/>
          <w:sz w:val="22"/>
          <w:szCs w:val="22"/>
          <w:shd w:val="clear" w:color="auto" w:fill="FFFFFF"/>
          <w:lang w:val="ro-RO"/>
        </w:rPr>
        <w:t>Pentru obiectivul O2, pe lângă acțiunile realizate au fost excluse și acțiuni nerealizate precum: Extinderea suprafețelor de terenuri agricole irigate, Îmbunătățirea eficienței energetice şi creșterea utilizării resurselor regenerabile de energie, etc.</w:t>
      </w:r>
    </w:p>
    <w:p w14:paraId="57D9711D" w14:textId="2473D316" w:rsidR="0093644E" w:rsidRPr="00A73566" w:rsidRDefault="0093644E" w:rsidP="006C6F6E">
      <w:pPr>
        <w:pStyle w:val="NormalWeb"/>
        <w:snapToGrid w:val="0"/>
        <w:spacing w:before="60" w:beforeAutospacing="0" w:after="60" w:afterAutospacing="0"/>
        <w:ind w:firstLine="567"/>
        <w:jc w:val="both"/>
        <w:rPr>
          <w:sz w:val="22"/>
          <w:szCs w:val="22"/>
          <w:lang w:val="ro-RO"/>
        </w:rPr>
      </w:pPr>
      <w:r w:rsidRPr="00A73566">
        <w:rPr>
          <w:color w:val="000000"/>
          <w:sz w:val="22"/>
          <w:szCs w:val="22"/>
          <w:shd w:val="clear" w:color="auto" w:fill="FFFFFF"/>
          <w:lang w:val="ro-RO"/>
        </w:rPr>
        <w:t xml:space="preserve">Din acțiunile ce corespund obiectivului O3, doar două acțiuni din PA revizuit se regăsesc în Rapoartele de Evaluare a SNDAR:  Modernizarea şi/sau </w:t>
      </w:r>
      <w:r w:rsidR="00B85385" w:rsidRPr="00A73566">
        <w:rPr>
          <w:color w:val="000000"/>
          <w:sz w:val="22"/>
          <w:szCs w:val="22"/>
          <w:shd w:val="clear" w:color="auto" w:fill="FFFFFF"/>
          <w:lang w:val="ro-RO"/>
        </w:rPr>
        <w:t>construcția</w:t>
      </w:r>
      <w:r w:rsidRPr="00A73566">
        <w:rPr>
          <w:color w:val="000000"/>
          <w:sz w:val="22"/>
          <w:szCs w:val="22"/>
          <w:shd w:val="clear" w:color="auto" w:fill="FFFFFF"/>
          <w:lang w:val="ro-RO"/>
        </w:rPr>
        <w:t xml:space="preserve"> segmentelor de drum și </w:t>
      </w:r>
      <w:r w:rsidR="001F48CA" w:rsidRPr="00A73566">
        <w:rPr>
          <w:color w:val="000000"/>
          <w:sz w:val="22"/>
          <w:szCs w:val="22"/>
          <w:shd w:val="clear" w:color="auto" w:fill="FFFFFF"/>
          <w:lang w:val="ro-RO"/>
        </w:rPr>
        <w:t>c</w:t>
      </w:r>
      <w:r w:rsidRPr="00A73566">
        <w:rPr>
          <w:color w:val="000000"/>
          <w:sz w:val="22"/>
          <w:szCs w:val="22"/>
          <w:shd w:val="clear" w:color="auto" w:fill="FFFFFF"/>
          <w:lang w:val="ro-RO"/>
        </w:rPr>
        <w:t xml:space="preserve">rearea </w:t>
      </w:r>
      <w:r w:rsidR="00B85385" w:rsidRPr="00A73566">
        <w:rPr>
          <w:color w:val="000000"/>
          <w:sz w:val="22"/>
          <w:szCs w:val="22"/>
          <w:shd w:val="clear" w:color="auto" w:fill="FFFFFF"/>
          <w:lang w:val="ro-RO"/>
        </w:rPr>
        <w:t>și</w:t>
      </w:r>
      <w:r w:rsidRPr="00A73566">
        <w:rPr>
          <w:color w:val="000000"/>
          <w:sz w:val="22"/>
          <w:szCs w:val="22"/>
          <w:shd w:val="clear" w:color="auto" w:fill="FFFFFF"/>
          <w:lang w:val="ro-RO"/>
        </w:rPr>
        <w:t xml:space="preserve"> </w:t>
      </w:r>
      <w:r w:rsidR="00B85385" w:rsidRPr="00A73566">
        <w:rPr>
          <w:color w:val="000000"/>
          <w:sz w:val="22"/>
          <w:szCs w:val="22"/>
          <w:shd w:val="clear" w:color="auto" w:fill="FFFFFF"/>
          <w:lang w:val="ro-RO"/>
        </w:rPr>
        <w:t>funcționarea</w:t>
      </w:r>
      <w:r w:rsidRPr="00A73566">
        <w:rPr>
          <w:color w:val="000000"/>
          <w:sz w:val="22"/>
          <w:szCs w:val="22"/>
          <w:shd w:val="clear" w:color="auto" w:fill="FFFFFF"/>
          <w:lang w:val="ro-RO"/>
        </w:rPr>
        <w:t xml:space="preserve"> grupurilor de activitate locale în domeniul dezvoltării rurale, bazate pe cele mai bune practici şi principii ale Programului LEADER. Restul acțiunilor fie au fost omise fie înlocuite cu altele similare. Cele 4 acțiuni ce țineau de activitățile non-agricole (agroturism, meșteșuguri) au fost înlocuite prin: Diversificarea economiei rurale prin promovarea activităților non-agricole pentru locuitorii din mediul rural și Sprijinirea diversificării economiei rurale prin oferirea suportului exploatațiilor agricole să dezvolte activități non-agricole. La fel, au fost introduse și acțiuni complet noi precum: Sprijinirea activităților de renovare și dezvoltare a localităților rurale, inclusiv promovarea conservării și punerii în valoare a patrimoniului rural.</w:t>
      </w:r>
    </w:p>
    <w:p w14:paraId="4BD54358" w14:textId="40C8877F" w:rsidR="0093644E" w:rsidRPr="006C6F6E" w:rsidRDefault="0093644E" w:rsidP="0093644E">
      <w:pPr>
        <w:pStyle w:val="Caption"/>
        <w:framePr w:wrap="around"/>
        <w:rPr>
          <w:rFonts w:ascii="Times New Roman" w:hAnsi="Times New Roman" w:cs="Times New Roman"/>
          <w:sz w:val="18"/>
          <w:szCs w:val="18"/>
          <w:lang w:val="ro-RO"/>
        </w:rPr>
      </w:pPr>
      <w:r w:rsidRPr="006C6F6E">
        <w:rPr>
          <w:rFonts w:ascii="Times New Roman" w:hAnsi="Times New Roman" w:cs="Times New Roman"/>
          <w:sz w:val="18"/>
          <w:szCs w:val="18"/>
          <w:lang w:val="ro-RO"/>
        </w:rPr>
        <w:t xml:space="preserve">Tabelul </w:t>
      </w:r>
      <w:r w:rsidR="00CB76EE" w:rsidRPr="006C6F6E">
        <w:rPr>
          <w:rFonts w:ascii="Times New Roman" w:hAnsi="Times New Roman" w:cs="Times New Roman"/>
          <w:sz w:val="18"/>
          <w:szCs w:val="18"/>
          <w:lang w:val="ro-RO"/>
        </w:rPr>
        <w:t>13.</w:t>
      </w:r>
      <w:r w:rsidRPr="006C6F6E">
        <w:rPr>
          <w:rFonts w:ascii="Times New Roman" w:hAnsi="Times New Roman" w:cs="Times New Roman"/>
          <w:sz w:val="18"/>
          <w:szCs w:val="18"/>
          <w:lang w:val="ro-RO"/>
        </w:rPr>
        <w:t xml:space="preserve"> </w:t>
      </w:r>
      <w:r w:rsidR="00CB76EE" w:rsidRPr="006C6F6E">
        <w:rPr>
          <w:rFonts w:ascii="Times New Roman" w:hAnsi="Times New Roman" w:cs="Times New Roman"/>
          <w:sz w:val="18"/>
          <w:szCs w:val="18"/>
          <w:lang w:val="ro-RO"/>
        </w:rPr>
        <w:t xml:space="preserve">gradul de implemntare a </w:t>
      </w:r>
      <w:r w:rsidRPr="006C6F6E">
        <w:rPr>
          <w:rFonts w:ascii="Times New Roman" w:hAnsi="Times New Roman" w:cs="Times New Roman"/>
          <w:sz w:val="18"/>
          <w:szCs w:val="18"/>
          <w:lang w:val="ro-RO"/>
        </w:rPr>
        <w:t xml:space="preserve">Acțiunilor în SNDAR 2014 -2020 </w:t>
      </w:r>
    </w:p>
    <w:tbl>
      <w:tblPr>
        <w:tblStyle w:val="10"/>
        <w:tblW w:w="0" w:type="auto"/>
        <w:tblLook w:val="04A0" w:firstRow="1" w:lastRow="0" w:firstColumn="1" w:lastColumn="0" w:noHBand="0" w:noVBand="1"/>
      </w:tblPr>
      <w:tblGrid>
        <w:gridCol w:w="1350"/>
        <w:gridCol w:w="901"/>
        <w:gridCol w:w="901"/>
        <w:gridCol w:w="901"/>
        <w:gridCol w:w="896"/>
        <w:gridCol w:w="902"/>
        <w:gridCol w:w="896"/>
        <w:gridCol w:w="896"/>
        <w:gridCol w:w="896"/>
        <w:gridCol w:w="896"/>
      </w:tblGrid>
      <w:tr w:rsidR="005D330A" w:rsidRPr="006C6F6E" w14:paraId="018E54C5" w14:textId="77777777" w:rsidTr="00C52C53">
        <w:tc>
          <w:tcPr>
            <w:tcW w:w="135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2D788C" w:themeFill="accent3" w:themeFillShade="BF"/>
          </w:tcPr>
          <w:p w14:paraId="31FAE07A" w14:textId="254AC687" w:rsidR="005D330A" w:rsidRPr="006C6F6E" w:rsidRDefault="00814AB1" w:rsidP="00462D9E">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OBIECTIVE</w:t>
            </w:r>
          </w:p>
          <w:p w14:paraId="008275E0" w14:textId="40F9452B" w:rsidR="005D330A" w:rsidRPr="006C6F6E" w:rsidRDefault="00814AB1" w:rsidP="00462D9E">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ACȚIUNI</w:t>
            </w:r>
          </w:p>
        </w:tc>
        <w:tc>
          <w:tcPr>
            <w:tcW w:w="270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27F0C5C7"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OBIECTIV GENERAL 1</w:t>
            </w:r>
          </w:p>
        </w:tc>
        <w:tc>
          <w:tcPr>
            <w:tcW w:w="26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5AE02DFF"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OBIECTIV GENERRAL 2</w:t>
            </w:r>
          </w:p>
        </w:tc>
        <w:tc>
          <w:tcPr>
            <w:tcW w:w="268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655178A6"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OBIECTIV GENERAL 3</w:t>
            </w:r>
          </w:p>
        </w:tc>
      </w:tr>
      <w:tr w:rsidR="005D330A" w:rsidRPr="006C6F6E" w14:paraId="7FEE6739" w14:textId="77777777" w:rsidTr="00C52C53">
        <w:tc>
          <w:tcPr>
            <w:tcW w:w="1350" w:type="dxa"/>
            <w:vMerge/>
            <w:tcBorders>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4C56C296"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3773D71A"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1.1</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720FC0E2"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1.2</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61678008"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1.3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5AA79C54"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2.1</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6B253228"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2.2</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0D021B1A"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2.3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24D65D95"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3.1</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4ED0EC41"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3.2</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7C7D9" w:themeFill="accent3" w:themeFillTint="99"/>
          </w:tcPr>
          <w:p w14:paraId="40044C42"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OS 3.3</w:t>
            </w:r>
          </w:p>
        </w:tc>
      </w:tr>
      <w:tr w:rsidR="005D330A" w:rsidRPr="006C6F6E" w14:paraId="77823C8B" w14:textId="77777777" w:rsidTr="00C52C53">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77FB0172"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Total acțiuni</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3736979"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15</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DA238ED"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36E9A37"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6</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1EF9B7"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5E8AC5"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FE5E44"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73211B"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C9F0D0"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7281389"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w:t>
            </w:r>
          </w:p>
        </w:tc>
      </w:tr>
      <w:tr w:rsidR="005D330A" w:rsidRPr="006C6F6E" w14:paraId="2D248E5F" w14:textId="77777777" w:rsidTr="00C52C53">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5A598F2A"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Acțiuni realizate</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8D6230A"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A0AF5E0"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2</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87518A"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5</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F4FF9B2"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2ADDFB"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992C87D"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F22493D"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1607D3A"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DB112A2"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w:t>
            </w:r>
          </w:p>
        </w:tc>
      </w:tr>
      <w:tr w:rsidR="005D330A" w:rsidRPr="006C6F6E" w14:paraId="1837661D" w14:textId="77777777" w:rsidTr="00C52C53">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D788C" w:themeFill="accent3" w:themeFillShade="BF"/>
          </w:tcPr>
          <w:p w14:paraId="6E768ADB" w14:textId="77777777" w:rsidR="005D330A" w:rsidRPr="006C6F6E" w:rsidRDefault="005D330A" w:rsidP="005D330A">
            <w:pPr>
              <w:pStyle w:val="NormalWeb"/>
              <w:snapToGrid w:val="0"/>
              <w:spacing w:before="60" w:beforeAutospacing="0" w:after="60" w:afterAutospacing="0"/>
              <w:jc w:val="center"/>
              <w:rPr>
                <w:b/>
                <w:bCs/>
                <w:color w:val="FFFFFF" w:themeColor="background1"/>
                <w:sz w:val="18"/>
                <w:szCs w:val="18"/>
                <w:lang w:val="ro-RO"/>
              </w:rPr>
            </w:pPr>
            <w:r w:rsidRPr="006C6F6E">
              <w:rPr>
                <w:b/>
                <w:bCs/>
                <w:color w:val="FFFFFF" w:themeColor="background1"/>
                <w:sz w:val="18"/>
                <w:szCs w:val="18"/>
                <w:lang w:val="ro-RO"/>
              </w:rPr>
              <w:t>Rata de realizare</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54B9E42D"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66.6%</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7A736C7C"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66.6%</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3915BE98"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83.3%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123D9647"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100%</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5FBAD917"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33.3%</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1E272325"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100%</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5E7C0979"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100%</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5784484A"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100%</w:t>
            </w:r>
          </w:p>
        </w:tc>
        <w:tc>
          <w:tcPr>
            <w:tcW w:w="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DECCF" w:themeFill="accent6" w:themeFillTint="33"/>
            <w:vAlign w:val="center"/>
          </w:tcPr>
          <w:p w14:paraId="08D616DA" w14:textId="77777777" w:rsidR="005D330A" w:rsidRPr="006C6F6E" w:rsidRDefault="005D330A" w:rsidP="005D330A">
            <w:pPr>
              <w:pStyle w:val="NormalWeb"/>
              <w:snapToGrid w:val="0"/>
              <w:spacing w:before="60" w:beforeAutospacing="0" w:after="60" w:afterAutospacing="0"/>
              <w:jc w:val="center"/>
              <w:rPr>
                <w:sz w:val="18"/>
                <w:szCs w:val="18"/>
                <w:lang w:val="ro-RO"/>
              </w:rPr>
            </w:pPr>
            <w:r w:rsidRPr="006C6F6E">
              <w:rPr>
                <w:sz w:val="18"/>
                <w:szCs w:val="18"/>
                <w:lang w:val="ro-RO"/>
              </w:rPr>
              <w:t>100%</w:t>
            </w:r>
          </w:p>
        </w:tc>
      </w:tr>
    </w:tbl>
    <w:p w14:paraId="2336EDF3" w14:textId="46361F05" w:rsidR="0093644E" w:rsidRPr="006C6F6E" w:rsidRDefault="0093644E" w:rsidP="00F0137B">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sidRPr="006C6F6E">
        <w:rPr>
          <w:rFonts w:ascii="Times New Roman" w:hAnsi="Times New Roman" w:cs="Times New Roman"/>
          <w:iCs/>
          <w:color w:val="BFBFBF" w:themeColor="background1" w:themeShade="BF"/>
          <w:sz w:val="18"/>
          <w:szCs w:val="18"/>
          <w:lang w:val="ro-RO"/>
        </w:rPr>
        <w:t>Sursa: Rapo</w:t>
      </w:r>
      <w:r w:rsidR="006468BB" w:rsidRPr="006C6F6E">
        <w:rPr>
          <w:rFonts w:ascii="Times New Roman" w:hAnsi="Times New Roman" w:cs="Times New Roman"/>
          <w:iCs/>
          <w:color w:val="BFBFBF" w:themeColor="background1" w:themeShade="BF"/>
          <w:sz w:val="18"/>
          <w:szCs w:val="18"/>
          <w:lang w:val="ro-RO"/>
        </w:rPr>
        <w:t>r</w:t>
      </w:r>
      <w:r w:rsidR="00CB76EE" w:rsidRPr="006C6F6E">
        <w:rPr>
          <w:rFonts w:ascii="Times New Roman" w:hAnsi="Times New Roman" w:cs="Times New Roman"/>
          <w:iCs/>
          <w:color w:val="BFBFBF" w:themeColor="background1" w:themeShade="BF"/>
          <w:sz w:val="18"/>
          <w:szCs w:val="18"/>
          <w:lang w:val="ro-RO"/>
        </w:rPr>
        <w:t>tul de Evaluare a implementării SNADR 2014-2020</w:t>
      </w:r>
    </w:p>
    <w:p w14:paraId="0D5346F1" w14:textId="77777777" w:rsidR="0093644E" w:rsidRPr="00A73566" w:rsidRDefault="0093644E" w:rsidP="006C6F6E">
      <w:pPr>
        <w:pStyle w:val="NormalWeb"/>
        <w:snapToGrid w:val="0"/>
        <w:spacing w:before="60" w:beforeAutospacing="0" w:after="60" w:afterAutospacing="0"/>
        <w:ind w:firstLine="567"/>
        <w:jc w:val="both"/>
        <w:rPr>
          <w:sz w:val="22"/>
          <w:szCs w:val="22"/>
          <w:lang w:val="ro-RO"/>
        </w:rPr>
      </w:pPr>
      <w:r w:rsidRPr="00A73566">
        <w:rPr>
          <w:color w:val="000000"/>
          <w:sz w:val="22"/>
          <w:szCs w:val="22"/>
          <w:lang w:val="ro-RO"/>
        </w:rPr>
        <w:t xml:space="preserve">În lipsa unor rezultate scontate măsurabile, progresul implementării multor acțiunii este foarte complicat de cuantificat, iar ca reper în definirea realizării acestora a fost luată dinamica pozitivă a unor indicatori. </w:t>
      </w:r>
    </w:p>
    <w:p w14:paraId="64A160F7" w14:textId="282C0F92" w:rsidR="0093644E" w:rsidRPr="00A73566" w:rsidRDefault="0093644E" w:rsidP="006C6F6E">
      <w:pPr>
        <w:pStyle w:val="NormalWeb"/>
        <w:snapToGrid w:val="0"/>
        <w:spacing w:before="60" w:beforeAutospacing="0" w:after="60" w:afterAutospacing="0"/>
        <w:ind w:firstLine="567"/>
        <w:jc w:val="both"/>
        <w:rPr>
          <w:color w:val="000000"/>
          <w:sz w:val="22"/>
          <w:szCs w:val="22"/>
          <w:bdr w:val="none" w:sz="0" w:space="0" w:color="auto" w:frame="1"/>
          <w:lang w:val="ro-RO"/>
        </w:rPr>
      </w:pPr>
      <w:r w:rsidRPr="00A73566">
        <w:rPr>
          <w:color w:val="000000"/>
          <w:sz w:val="22"/>
          <w:szCs w:val="22"/>
          <w:lang w:val="ro-RO"/>
        </w:rPr>
        <w:t>Pornind de la această abordare în evaluarea progresului acțiunilor, putem constata că măsurile prevăzute în Planul de Acțiuni actualizat au fost realizate în proporție de 76%. </w:t>
      </w:r>
    </w:p>
    <w:p w14:paraId="2E6A5D91" w14:textId="77777777" w:rsidR="00CB76EE" w:rsidRPr="00A73566" w:rsidRDefault="00CB76EE" w:rsidP="0093644E">
      <w:pPr>
        <w:pStyle w:val="NormalWeb"/>
        <w:snapToGrid w:val="0"/>
        <w:spacing w:before="60" w:beforeAutospacing="0" w:after="60" w:afterAutospacing="0"/>
        <w:jc w:val="both"/>
        <w:rPr>
          <w:color w:val="000000"/>
          <w:sz w:val="16"/>
          <w:szCs w:val="16"/>
          <w:bdr w:val="none" w:sz="0" w:space="0" w:color="auto" w:frame="1"/>
          <w:lang w:val="ro-RO"/>
        </w:rPr>
      </w:pPr>
    </w:p>
    <w:p w14:paraId="2D375275" w14:textId="67856670" w:rsidR="0093644E" w:rsidRPr="00A73566" w:rsidRDefault="0093644E" w:rsidP="003723E1">
      <w:pPr>
        <w:pStyle w:val="NormalWeb"/>
        <w:snapToGrid w:val="0"/>
        <w:spacing w:before="60" w:beforeAutospacing="0" w:after="60" w:afterAutospacing="0"/>
        <w:ind w:firstLine="567"/>
        <w:jc w:val="both"/>
        <w:rPr>
          <w:color w:val="000000"/>
          <w:sz w:val="22"/>
          <w:szCs w:val="22"/>
          <w:lang w:val="ro-RO"/>
        </w:rPr>
      </w:pPr>
      <w:r w:rsidRPr="00A73566">
        <w:rPr>
          <w:color w:val="000000"/>
          <w:sz w:val="22"/>
          <w:szCs w:val="22"/>
          <w:lang w:val="ro-RO"/>
        </w:rPr>
        <w:t xml:space="preserve">Cel mai mic grad de realizare se observă în cazul acțiunilor prevăzute pentru realizarea obiectivului OS2.2. </w:t>
      </w:r>
      <w:r w:rsidRPr="00A73566">
        <w:rPr>
          <w:i/>
          <w:color w:val="000000"/>
          <w:sz w:val="22"/>
          <w:szCs w:val="22"/>
          <w:lang w:val="ro-RO"/>
        </w:rPr>
        <w:t>Sprijinirea tehnologiilor de producție prietenoase mediului, a produselor ecologice, inclusiv a biodiversității</w:t>
      </w:r>
      <w:r w:rsidRPr="00A73566">
        <w:rPr>
          <w:color w:val="000000"/>
          <w:sz w:val="22"/>
          <w:szCs w:val="22"/>
          <w:lang w:val="ro-RO"/>
        </w:rPr>
        <w:t xml:space="preserve">. Spre exemplu, din cele 50 mii ha de teren protejat de fâșii anti-erozionale robuste reabilitate prevăzute în PA, în perioada 2013-2018 suprafața agricolă protejată a crescut cu doar 1020 ha. La fel și în cazul </w:t>
      </w:r>
      <w:r w:rsidR="00814AB1" w:rsidRPr="00A73566">
        <w:rPr>
          <w:color w:val="000000"/>
          <w:sz w:val="22"/>
          <w:szCs w:val="22"/>
          <w:lang w:val="ro-RO"/>
        </w:rPr>
        <w:t>suprafeței</w:t>
      </w:r>
      <w:r w:rsidRPr="00A73566">
        <w:rPr>
          <w:color w:val="000000"/>
          <w:sz w:val="22"/>
          <w:szCs w:val="22"/>
          <w:lang w:val="ro-RO"/>
        </w:rPr>
        <w:t xml:space="preserve"> terenurilor destinate agriculturii organice – deși a fost setată o creștere de 60% a suprafețelor, avem doar numărul de agenți economici implicați în agricultura ecologică ce a cunoscut o creștere de 9.4% în perioada 2013-2018. În cazul obiectivului OS2.1 </w:t>
      </w:r>
      <w:r w:rsidRPr="00A73566">
        <w:rPr>
          <w:i/>
          <w:color w:val="000000"/>
          <w:sz w:val="22"/>
          <w:szCs w:val="22"/>
          <w:lang w:val="ro-RO"/>
        </w:rPr>
        <w:t>Sprijinirea practicilor de gestionare a terenurilor agricole şi a apei</w:t>
      </w:r>
      <w:r w:rsidRPr="00A73566">
        <w:rPr>
          <w:color w:val="000000"/>
          <w:sz w:val="22"/>
          <w:szCs w:val="22"/>
          <w:lang w:val="ro-RO"/>
        </w:rPr>
        <w:t>, există o singură acțiune, fapt ce explică rata de 100% de realizare. Această acțiune ține de stimularea consolidării terenurilor agricole.</w:t>
      </w:r>
    </w:p>
    <w:p w14:paraId="3E6321A1" w14:textId="7FA55B95" w:rsidR="0093644E" w:rsidRPr="00A73566" w:rsidRDefault="0093644E" w:rsidP="003723E1">
      <w:pPr>
        <w:pStyle w:val="NormalWeb"/>
        <w:snapToGrid w:val="0"/>
        <w:spacing w:before="0" w:beforeAutospacing="0" w:after="120" w:afterAutospacing="0"/>
        <w:ind w:firstLine="567"/>
        <w:jc w:val="both"/>
        <w:rPr>
          <w:color w:val="000000"/>
          <w:sz w:val="22"/>
          <w:szCs w:val="22"/>
          <w:lang w:val="ro-RO"/>
        </w:rPr>
      </w:pPr>
      <w:r w:rsidRPr="00A73566">
        <w:rPr>
          <w:color w:val="000000"/>
          <w:sz w:val="22"/>
          <w:szCs w:val="22"/>
          <w:lang w:val="ro-RO"/>
        </w:rPr>
        <w:t>Rata de implementare de 100% în cazul acțiunilor din cadrul obiectivului 3 trebuie tratată cu mari rezerve. În majoritatea cazurilor vorbim despre rezultate scontate nemăsurabile precum: Potențialul economic al localităților rurale promovat, Creșterea oportunităților de angajare în mediul rural, Accesul populației rurale la servicii și infrastructura îmbunătățite, etc., iar ca realizare se fa</w:t>
      </w:r>
      <w:r w:rsidR="00803F18">
        <w:rPr>
          <w:color w:val="000000"/>
          <w:sz w:val="22"/>
          <w:szCs w:val="22"/>
          <w:lang w:val="ro-RO"/>
        </w:rPr>
        <w:t>ce trimitere la proiectul Hotărâ</w:t>
      </w:r>
      <w:r w:rsidRPr="00A73566">
        <w:rPr>
          <w:color w:val="000000"/>
          <w:sz w:val="22"/>
          <w:szCs w:val="22"/>
          <w:lang w:val="ro-RO"/>
        </w:rPr>
        <w:t>rii Guvernului privind aprobarea Regulamentului cu privire la acordarea subvențiilor pentru îmbunătățirea nivelului de trai și de muncă în mediul rural din FNDAMR, care a fost aprobat prin HG nr. 476 din 18 octombrie 2019.</w:t>
      </w:r>
    </w:p>
    <w:p w14:paraId="20225D62" w14:textId="6ECB6DCB" w:rsidR="006A570C" w:rsidRPr="00A73566" w:rsidRDefault="00D75E29" w:rsidP="00462F26">
      <w:pPr>
        <w:pStyle w:val="Heading3"/>
        <w:rPr>
          <w:rFonts w:ascii="Times New Roman" w:hAnsi="Times New Roman" w:cs="Times New Roman"/>
          <w:lang w:val="ro-RO"/>
        </w:rPr>
      </w:pPr>
      <w:bookmarkStart w:id="110" w:name="_Toc88132115"/>
      <w:r w:rsidRPr="00A73566">
        <w:rPr>
          <w:rFonts w:ascii="Times New Roman" w:hAnsi="Times New Roman" w:cs="Times New Roman"/>
          <w:lang w:val="ro-RO"/>
        </w:rPr>
        <w:t>A</w:t>
      </w:r>
      <w:r w:rsidR="006A570C" w:rsidRPr="00A73566">
        <w:rPr>
          <w:rFonts w:ascii="Times New Roman" w:hAnsi="Times New Roman" w:cs="Times New Roman"/>
          <w:lang w:val="ro-RO"/>
        </w:rPr>
        <w:t>LOCAREA RESURSELOR FINANCIARE</w:t>
      </w:r>
      <w:bookmarkEnd w:id="110"/>
      <w:r w:rsidR="006A570C" w:rsidRPr="00A73566">
        <w:rPr>
          <w:rFonts w:ascii="Times New Roman" w:hAnsi="Times New Roman" w:cs="Times New Roman"/>
          <w:lang w:val="ro-RO"/>
        </w:rPr>
        <w:t xml:space="preserve"> </w:t>
      </w:r>
    </w:p>
    <w:p w14:paraId="3CAB5DF5" w14:textId="77777777"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 xml:space="preserve">Finanțarea implementării SNDAR 2014-2020 a fost asigurată atât din surse ale Bugetului de Stat, cât și din surse externe. </w:t>
      </w:r>
    </w:p>
    <w:p w14:paraId="15405B7F" w14:textId="1066D0C9" w:rsidR="006A570C" w:rsidRPr="00A73566" w:rsidRDefault="006A570C" w:rsidP="006A570C">
      <w:pPr>
        <w:rPr>
          <w:rFonts w:ascii="Times New Roman" w:hAnsi="Times New Roman" w:cs="Times New Roman"/>
          <w:lang w:val="ro-RO"/>
        </w:rPr>
      </w:pPr>
      <w:r w:rsidRPr="00A73566">
        <w:rPr>
          <w:rFonts w:ascii="Times New Roman" w:hAnsi="Times New Roman" w:cs="Times New Roman"/>
          <w:lang w:val="ro-RO"/>
        </w:rPr>
        <w:t xml:space="preserve">În cazul resurselor financiare alocate din Bugetul de Stat, alocările s-au făcut prin Fondul Național de Dezvoltare a Agriculturii și Mediului Rural (FNDAMR). Alocările </w:t>
      </w:r>
      <w:r w:rsidR="000A5ACF" w:rsidRPr="00A73566">
        <w:rPr>
          <w:rFonts w:ascii="Times New Roman" w:hAnsi="Times New Roman" w:cs="Times New Roman"/>
          <w:lang w:val="ro-RO"/>
        </w:rPr>
        <w:t xml:space="preserve"> </w:t>
      </w:r>
      <w:r w:rsidRPr="00A73566">
        <w:rPr>
          <w:rFonts w:ascii="Times New Roman" w:hAnsi="Times New Roman" w:cs="Times New Roman"/>
          <w:lang w:val="ro-RO"/>
        </w:rPr>
        <w:t xml:space="preserve">din FNDAMR </w:t>
      </w:r>
      <w:r w:rsidR="000A5ACF" w:rsidRPr="00A73566">
        <w:rPr>
          <w:rFonts w:ascii="Times New Roman" w:hAnsi="Times New Roman" w:cs="Times New Roman"/>
          <w:lang w:val="ro-RO"/>
        </w:rPr>
        <w:t xml:space="preserve">au fost </w:t>
      </w:r>
      <w:r w:rsidRPr="00A73566">
        <w:rPr>
          <w:rFonts w:ascii="Times New Roman" w:hAnsi="Times New Roman" w:cs="Times New Roman"/>
          <w:lang w:val="ro-RO"/>
        </w:rPr>
        <w:t xml:space="preserve">structurate după cum urmează: i) subvenții post-investiționale (acordate în baza investițiilor deja realizate); ii) subvenții în avans; iii) subvenții în avans pentru dezvoltarea mediului rural; iv) plata per cap de animal. </w:t>
      </w:r>
    </w:p>
    <w:p w14:paraId="6102C24B" w14:textId="5830B40D"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În prima</w:t>
      </w:r>
      <w:r w:rsidR="000A5ACF" w:rsidRPr="00A73566">
        <w:rPr>
          <w:rFonts w:ascii="Times New Roman" w:hAnsi="Times New Roman" w:cs="Times New Roman"/>
          <w:lang w:val="ro-RO"/>
        </w:rPr>
        <w:t xml:space="preserve"> </w:t>
      </w:r>
      <w:r w:rsidRPr="00A73566">
        <w:rPr>
          <w:rFonts w:ascii="Times New Roman" w:hAnsi="Times New Roman" w:cs="Times New Roman"/>
          <w:lang w:val="ro-RO"/>
        </w:rPr>
        <w:t xml:space="preserve"> perioadă </w:t>
      </w:r>
      <w:r w:rsidR="000A5ACF" w:rsidRPr="00A73566">
        <w:rPr>
          <w:rFonts w:ascii="Times New Roman" w:hAnsi="Times New Roman" w:cs="Times New Roman"/>
          <w:lang w:val="ro-RO"/>
        </w:rPr>
        <w:t xml:space="preserve"> </w:t>
      </w:r>
      <w:r w:rsidRPr="00A73566">
        <w:rPr>
          <w:rFonts w:ascii="Times New Roman" w:hAnsi="Times New Roman" w:cs="Times New Roman"/>
          <w:lang w:val="ro-RO"/>
        </w:rPr>
        <w:t xml:space="preserve">(2014-2018) schema presupunea exclusiv subvenționarea post-investițională. Începând cu anul 2018, în schema de subvenționare a fost introdusă subvenționarea în avans pentru proiectele de start-up în agricultură, iar începând cu anul 2019 - și a subvenției în avans pentru dezvoltarea mediului rural. În 2020, în schema de subvenționare a fost inclusă măsura de plată per cap de animal, care urmărește suportul investițiilor realizate în sectorul zootehnic. </w:t>
      </w:r>
    </w:p>
    <w:p w14:paraId="6BD4368A" w14:textId="730C851C" w:rsidR="000A5ACF"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 xml:space="preserve">Structura schemei de subvenționare post-investiționale a fost realizate în baza a trei Priorități, fiecare preluând unu din cele trei Obiective Generale ale SNDAR 2014-2020. </w:t>
      </w:r>
    </w:p>
    <w:p w14:paraId="473D4691" w14:textId="6BDACF86" w:rsidR="000A5ACF" w:rsidRPr="003723E1" w:rsidRDefault="000A5ACF" w:rsidP="000A5ACF">
      <w:pPr>
        <w:keepNext/>
        <w:framePr w:w="9356" w:wrap="around" w:vAnchor="text" w:hAnchor="text" w:y="1"/>
        <w:spacing w:before="240"/>
        <w:jc w:val="left"/>
        <w:rPr>
          <w:rFonts w:ascii="Times New Roman" w:hAnsi="Times New Roman" w:cs="Times New Roman"/>
          <w:b/>
          <w:caps/>
          <w:color w:val="134753" w:themeColor="text2"/>
          <w:sz w:val="18"/>
          <w:szCs w:val="18"/>
          <w:lang w:val="ro-RO"/>
        </w:rPr>
      </w:pPr>
      <w:r w:rsidRPr="003723E1">
        <w:rPr>
          <w:rFonts w:ascii="Times New Roman" w:hAnsi="Times New Roman" w:cs="Times New Roman"/>
          <w:b/>
          <w:caps/>
          <w:color w:val="134753" w:themeColor="text2"/>
          <w:sz w:val="18"/>
          <w:szCs w:val="18"/>
          <w:lang w:val="ro-RO"/>
        </w:rPr>
        <w:t xml:space="preserve">Tabelul </w:t>
      </w:r>
      <w:r w:rsidR="00C56511" w:rsidRPr="003723E1">
        <w:rPr>
          <w:rFonts w:ascii="Times New Roman" w:hAnsi="Times New Roman" w:cs="Times New Roman"/>
          <w:b/>
          <w:caps/>
          <w:color w:val="134753" w:themeColor="text2"/>
          <w:sz w:val="18"/>
          <w:szCs w:val="18"/>
          <w:lang w:val="ro-RO"/>
        </w:rPr>
        <w:t>14</w:t>
      </w:r>
      <w:r w:rsidRPr="003723E1">
        <w:rPr>
          <w:rFonts w:ascii="Times New Roman" w:hAnsi="Times New Roman" w:cs="Times New Roman"/>
          <w:b/>
          <w:caps/>
          <w:color w:val="134753" w:themeColor="text2"/>
          <w:sz w:val="18"/>
          <w:szCs w:val="18"/>
          <w:lang w:val="ro-RO"/>
        </w:rPr>
        <w:t>. Resursele alocate din FNDAMR în baza schemei de subvențoinare post-invesțională, 2014 – 2020 mlN MDL</w:t>
      </w:r>
    </w:p>
    <w:tbl>
      <w:tblPr>
        <w:tblStyle w:val="Civittatable"/>
        <w:tblW w:w="9264" w:type="dxa"/>
        <w:tblInd w:w="250" w:type="dxa"/>
        <w:tblLook w:val="04A0" w:firstRow="1" w:lastRow="0" w:firstColumn="1" w:lastColumn="0" w:noHBand="0" w:noVBand="1"/>
      </w:tblPr>
      <w:tblGrid>
        <w:gridCol w:w="1983"/>
        <w:gridCol w:w="919"/>
        <w:gridCol w:w="846"/>
        <w:gridCol w:w="913"/>
        <w:gridCol w:w="907"/>
        <w:gridCol w:w="814"/>
        <w:gridCol w:w="1034"/>
        <w:gridCol w:w="957"/>
        <w:gridCol w:w="891"/>
      </w:tblGrid>
      <w:tr w:rsidR="005D330A" w:rsidRPr="00A73566" w14:paraId="754752A2" w14:textId="77777777" w:rsidTr="003723E1">
        <w:trPr>
          <w:cnfStyle w:val="100000000000" w:firstRow="1" w:lastRow="0" w:firstColumn="0" w:lastColumn="0" w:oddVBand="0" w:evenVBand="0" w:oddHBand="0" w:evenHBand="0" w:firstRowFirstColumn="0" w:firstRowLastColumn="0" w:lastRowFirstColumn="0" w:lastRowLastColumn="0"/>
          <w:trHeight w:val="395"/>
        </w:trPr>
        <w:tc>
          <w:tcPr>
            <w:tcW w:w="1983" w:type="dxa"/>
          </w:tcPr>
          <w:p w14:paraId="5FFC25C1"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 xml:space="preserve">prioritatea </w:t>
            </w:r>
          </w:p>
        </w:tc>
        <w:tc>
          <w:tcPr>
            <w:tcW w:w="919" w:type="dxa"/>
          </w:tcPr>
          <w:p w14:paraId="6741463C"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 xml:space="preserve">2014 </w:t>
            </w:r>
          </w:p>
        </w:tc>
        <w:tc>
          <w:tcPr>
            <w:tcW w:w="846" w:type="dxa"/>
          </w:tcPr>
          <w:p w14:paraId="4E3065EE"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2015</w:t>
            </w:r>
          </w:p>
        </w:tc>
        <w:tc>
          <w:tcPr>
            <w:tcW w:w="913" w:type="dxa"/>
          </w:tcPr>
          <w:p w14:paraId="31C33826"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2016</w:t>
            </w:r>
          </w:p>
        </w:tc>
        <w:tc>
          <w:tcPr>
            <w:tcW w:w="907" w:type="dxa"/>
          </w:tcPr>
          <w:p w14:paraId="294DD7BB"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2017</w:t>
            </w:r>
          </w:p>
        </w:tc>
        <w:tc>
          <w:tcPr>
            <w:tcW w:w="814" w:type="dxa"/>
          </w:tcPr>
          <w:p w14:paraId="2A59F72D"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2018</w:t>
            </w:r>
          </w:p>
        </w:tc>
        <w:tc>
          <w:tcPr>
            <w:tcW w:w="1034" w:type="dxa"/>
          </w:tcPr>
          <w:p w14:paraId="586C55CF"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2019</w:t>
            </w:r>
          </w:p>
        </w:tc>
        <w:tc>
          <w:tcPr>
            <w:tcW w:w="957" w:type="dxa"/>
            <w:shd w:val="clear" w:color="auto" w:fill="1E505E" w:themeFill="background2" w:themeFillShade="80"/>
          </w:tcPr>
          <w:p w14:paraId="4F24C595" w14:textId="77777777" w:rsidR="005D330A" w:rsidRPr="003723E1" w:rsidRDefault="005D330A" w:rsidP="005D330A">
            <w:pPr>
              <w:snapToGrid w:val="0"/>
              <w:spacing w:after="6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2020</w:t>
            </w:r>
          </w:p>
        </w:tc>
        <w:tc>
          <w:tcPr>
            <w:tcW w:w="891" w:type="dxa"/>
            <w:shd w:val="clear" w:color="auto" w:fill="1E505E" w:themeFill="background2" w:themeFillShade="80"/>
          </w:tcPr>
          <w:p w14:paraId="50BCC7BC" w14:textId="77777777" w:rsidR="005D330A" w:rsidRPr="003723E1" w:rsidRDefault="005D330A" w:rsidP="003723E1">
            <w:pPr>
              <w:snapToGrid w:val="0"/>
              <w:spacing w:after="60"/>
              <w:ind w:right="40"/>
              <w:rPr>
                <w:rFonts w:ascii="Times New Roman" w:hAnsi="Times New Roman" w:cs="Times New Roman"/>
                <w:b/>
                <w:bCs/>
                <w:color w:val="FFFFFF"/>
                <w:sz w:val="18"/>
                <w:szCs w:val="18"/>
                <w:lang w:val="ro-RO"/>
              </w:rPr>
            </w:pPr>
            <w:r w:rsidRPr="003723E1">
              <w:rPr>
                <w:rFonts w:ascii="Times New Roman" w:hAnsi="Times New Roman" w:cs="Times New Roman"/>
                <w:b/>
                <w:bCs/>
                <w:color w:val="FFFFFF"/>
                <w:sz w:val="18"/>
                <w:szCs w:val="18"/>
                <w:lang w:val="ro-RO"/>
              </w:rPr>
              <w:t>TOTAL</w:t>
            </w:r>
          </w:p>
        </w:tc>
      </w:tr>
      <w:tr w:rsidR="005D330A" w:rsidRPr="00A73566" w14:paraId="1B6C8AEA" w14:textId="77777777" w:rsidTr="003723E1">
        <w:trPr>
          <w:cnfStyle w:val="000000100000" w:firstRow="0" w:lastRow="0" w:firstColumn="0" w:lastColumn="0" w:oddVBand="0" w:evenVBand="0" w:oddHBand="1" w:evenHBand="0" w:firstRowFirstColumn="0" w:firstRowLastColumn="0" w:lastRowFirstColumn="0" w:lastRowLastColumn="0"/>
          <w:trHeight w:val="395"/>
        </w:trPr>
        <w:tc>
          <w:tcPr>
            <w:tcW w:w="1983" w:type="dxa"/>
            <w:shd w:val="clear" w:color="auto" w:fill="1E505E" w:themeFill="background2" w:themeFillShade="80"/>
          </w:tcPr>
          <w:p w14:paraId="4C39FACD" w14:textId="77777777" w:rsidR="005D330A" w:rsidRPr="003723E1" w:rsidRDefault="005D330A" w:rsidP="005D330A">
            <w:pPr>
              <w:snapToGrid w:val="0"/>
              <w:spacing w:after="60"/>
              <w:rPr>
                <w:rFonts w:ascii="Times New Roman" w:hAnsi="Times New Roman" w:cs="Times New Roman"/>
                <w:bCs/>
                <w:color w:val="FFFFFF" w:themeColor="background1"/>
                <w:sz w:val="18"/>
                <w:szCs w:val="18"/>
                <w:lang w:val="ro-RO"/>
              </w:rPr>
            </w:pPr>
            <w:r w:rsidRPr="003723E1">
              <w:rPr>
                <w:rFonts w:ascii="Times New Roman" w:hAnsi="Times New Roman" w:cs="Times New Roman"/>
                <w:bCs/>
                <w:color w:val="FFFFFF" w:themeColor="background1"/>
                <w:sz w:val="18"/>
                <w:szCs w:val="18"/>
                <w:lang w:val="ro-RO"/>
              </w:rPr>
              <w:t>Prioritatea 1</w:t>
            </w:r>
          </w:p>
        </w:tc>
        <w:tc>
          <w:tcPr>
            <w:tcW w:w="919" w:type="dxa"/>
            <w:vAlign w:val="bottom"/>
          </w:tcPr>
          <w:p w14:paraId="67575E51"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508,86</w:t>
            </w:r>
          </w:p>
        </w:tc>
        <w:tc>
          <w:tcPr>
            <w:tcW w:w="846" w:type="dxa"/>
            <w:vAlign w:val="bottom"/>
          </w:tcPr>
          <w:p w14:paraId="1DCA2D15"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329,66</w:t>
            </w:r>
          </w:p>
        </w:tc>
        <w:tc>
          <w:tcPr>
            <w:tcW w:w="913" w:type="dxa"/>
            <w:vAlign w:val="bottom"/>
          </w:tcPr>
          <w:p w14:paraId="7030486E"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513,67</w:t>
            </w:r>
          </w:p>
        </w:tc>
        <w:tc>
          <w:tcPr>
            <w:tcW w:w="907" w:type="dxa"/>
            <w:vAlign w:val="bottom"/>
          </w:tcPr>
          <w:p w14:paraId="0757A0F2"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639,47</w:t>
            </w:r>
          </w:p>
        </w:tc>
        <w:tc>
          <w:tcPr>
            <w:tcW w:w="814" w:type="dxa"/>
            <w:vAlign w:val="bottom"/>
          </w:tcPr>
          <w:p w14:paraId="47C6167E"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544,1</w:t>
            </w:r>
          </w:p>
        </w:tc>
        <w:tc>
          <w:tcPr>
            <w:tcW w:w="1034" w:type="dxa"/>
            <w:vAlign w:val="bottom"/>
          </w:tcPr>
          <w:p w14:paraId="1559AA8E"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957,28</w:t>
            </w:r>
          </w:p>
        </w:tc>
        <w:tc>
          <w:tcPr>
            <w:tcW w:w="957" w:type="dxa"/>
            <w:vAlign w:val="bottom"/>
          </w:tcPr>
          <w:p w14:paraId="2BF0C7B4"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285,686</w:t>
            </w:r>
          </w:p>
        </w:tc>
        <w:tc>
          <w:tcPr>
            <w:tcW w:w="891" w:type="dxa"/>
            <w:shd w:val="clear" w:color="auto" w:fill="DDECCF" w:themeFill="accent6" w:themeFillTint="33"/>
            <w:vAlign w:val="bottom"/>
          </w:tcPr>
          <w:p w14:paraId="4F2A0E1F" w14:textId="77777777" w:rsidR="005D330A" w:rsidRPr="003723E1" w:rsidRDefault="005D330A" w:rsidP="005D330A">
            <w:pPr>
              <w:snapToGrid w:val="0"/>
              <w:spacing w:after="60"/>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3778,726</w:t>
            </w:r>
          </w:p>
        </w:tc>
      </w:tr>
      <w:tr w:rsidR="005D330A" w:rsidRPr="00A73566" w14:paraId="7B2927DD" w14:textId="77777777" w:rsidTr="003723E1">
        <w:trPr>
          <w:cnfStyle w:val="000000010000" w:firstRow="0" w:lastRow="0" w:firstColumn="0" w:lastColumn="0" w:oddVBand="0" w:evenVBand="0" w:oddHBand="0" w:evenHBand="1" w:firstRowFirstColumn="0" w:firstRowLastColumn="0" w:lastRowFirstColumn="0" w:lastRowLastColumn="0"/>
          <w:trHeight w:val="395"/>
        </w:trPr>
        <w:tc>
          <w:tcPr>
            <w:tcW w:w="1983" w:type="dxa"/>
            <w:shd w:val="clear" w:color="auto" w:fill="1E505E" w:themeFill="background2" w:themeFillShade="80"/>
            <w:vAlign w:val="bottom"/>
          </w:tcPr>
          <w:p w14:paraId="2E19E9B5" w14:textId="77777777" w:rsidR="005D330A" w:rsidRPr="003723E1" w:rsidRDefault="005D330A" w:rsidP="005D330A">
            <w:pPr>
              <w:snapToGrid w:val="0"/>
              <w:spacing w:after="60"/>
              <w:rPr>
                <w:rFonts w:ascii="Times New Roman" w:hAnsi="Times New Roman" w:cs="Times New Roman"/>
                <w:bCs/>
                <w:color w:val="FFFFFF" w:themeColor="background1"/>
                <w:sz w:val="18"/>
                <w:szCs w:val="18"/>
                <w:lang w:val="ro-RO"/>
              </w:rPr>
            </w:pPr>
            <w:r w:rsidRPr="003723E1">
              <w:rPr>
                <w:rFonts w:ascii="Times New Roman" w:hAnsi="Times New Roman" w:cs="Times New Roman"/>
                <w:bCs/>
                <w:color w:val="FFFFFF" w:themeColor="background1"/>
                <w:sz w:val="18"/>
                <w:szCs w:val="18"/>
                <w:lang w:val="ro-RO"/>
              </w:rPr>
              <w:t>Prioritatea 2</w:t>
            </w:r>
          </w:p>
        </w:tc>
        <w:tc>
          <w:tcPr>
            <w:tcW w:w="919" w:type="dxa"/>
            <w:vAlign w:val="bottom"/>
          </w:tcPr>
          <w:p w14:paraId="33278F29"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35,12</w:t>
            </w:r>
          </w:p>
        </w:tc>
        <w:tc>
          <w:tcPr>
            <w:tcW w:w="846" w:type="dxa"/>
            <w:vAlign w:val="bottom"/>
          </w:tcPr>
          <w:p w14:paraId="0FABD989"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21,83</w:t>
            </w:r>
          </w:p>
        </w:tc>
        <w:tc>
          <w:tcPr>
            <w:tcW w:w="913" w:type="dxa"/>
            <w:vAlign w:val="bottom"/>
          </w:tcPr>
          <w:p w14:paraId="4EC514BE"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43,64</w:t>
            </w:r>
          </w:p>
        </w:tc>
        <w:tc>
          <w:tcPr>
            <w:tcW w:w="907" w:type="dxa"/>
            <w:vAlign w:val="bottom"/>
          </w:tcPr>
          <w:p w14:paraId="79B98ACC"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90,79</w:t>
            </w:r>
          </w:p>
        </w:tc>
        <w:tc>
          <w:tcPr>
            <w:tcW w:w="814" w:type="dxa"/>
            <w:vAlign w:val="bottom"/>
          </w:tcPr>
          <w:p w14:paraId="5E0EA2C7"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74,2</w:t>
            </w:r>
          </w:p>
        </w:tc>
        <w:tc>
          <w:tcPr>
            <w:tcW w:w="1034" w:type="dxa"/>
            <w:vAlign w:val="bottom"/>
          </w:tcPr>
          <w:p w14:paraId="72879112"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84,02</w:t>
            </w:r>
          </w:p>
        </w:tc>
        <w:tc>
          <w:tcPr>
            <w:tcW w:w="957" w:type="dxa"/>
            <w:vAlign w:val="bottom"/>
          </w:tcPr>
          <w:p w14:paraId="55D54524"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43,46</w:t>
            </w:r>
          </w:p>
        </w:tc>
        <w:tc>
          <w:tcPr>
            <w:tcW w:w="891" w:type="dxa"/>
            <w:shd w:val="clear" w:color="auto" w:fill="DDECCF" w:themeFill="accent6" w:themeFillTint="33"/>
            <w:vAlign w:val="bottom"/>
          </w:tcPr>
          <w:p w14:paraId="71CA5B9A"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393,06</w:t>
            </w:r>
          </w:p>
        </w:tc>
      </w:tr>
      <w:tr w:rsidR="005D330A" w:rsidRPr="00A73566" w14:paraId="1C2566F7" w14:textId="77777777" w:rsidTr="003723E1">
        <w:trPr>
          <w:cnfStyle w:val="000000100000" w:firstRow="0" w:lastRow="0" w:firstColumn="0" w:lastColumn="0" w:oddVBand="0" w:evenVBand="0" w:oddHBand="1" w:evenHBand="0" w:firstRowFirstColumn="0" w:firstRowLastColumn="0" w:lastRowFirstColumn="0" w:lastRowLastColumn="0"/>
          <w:trHeight w:val="395"/>
        </w:trPr>
        <w:tc>
          <w:tcPr>
            <w:tcW w:w="1983" w:type="dxa"/>
            <w:shd w:val="clear" w:color="auto" w:fill="1E505E" w:themeFill="background2" w:themeFillShade="80"/>
            <w:vAlign w:val="bottom"/>
          </w:tcPr>
          <w:p w14:paraId="74EB527A" w14:textId="77777777" w:rsidR="005D330A" w:rsidRPr="003723E1" w:rsidRDefault="005D330A" w:rsidP="005D330A">
            <w:pPr>
              <w:snapToGrid w:val="0"/>
              <w:spacing w:after="60"/>
              <w:rPr>
                <w:rFonts w:ascii="Times New Roman" w:hAnsi="Times New Roman" w:cs="Times New Roman"/>
                <w:bCs/>
                <w:color w:val="FFFFFF" w:themeColor="background1"/>
                <w:sz w:val="18"/>
                <w:szCs w:val="18"/>
                <w:lang w:val="ro-RO"/>
              </w:rPr>
            </w:pPr>
            <w:r w:rsidRPr="003723E1">
              <w:rPr>
                <w:rFonts w:ascii="Times New Roman" w:hAnsi="Times New Roman" w:cs="Times New Roman"/>
                <w:bCs/>
                <w:color w:val="FFFFFF" w:themeColor="background1"/>
                <w:sz w:val="18"/>
                <w:szCs w:val="18"/>
                <w:lang w:val="ro-RO"/>
              </w:rPr>
              <w:t>Prioritatea 3</w:t>
            </w:r>
          </w:p>
        </w:tc>
        <w:tc>
          <w:tcPr>
            <w:tcW w:w="919" w:type="dxa"/>
            <w:vAlign w:val="bottom"/>
          </w:tcPr>
          <w:p w14:paraId="02C802A4"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0</w:t>
            </w:r>
          </w:p>
        </w:tc>
        <w:tc>
          <w:tcPr>
            <w:tcW w:w="846" w:type="dxa"/>
            <w:vAlign w:val="bottom"/>
          </w:tcPr>
          <w:p w14:paraId="4E1A0BD8"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2,16</w:t>
            </w:r>
          </w:p>
        </w:tc>
        <w:tc>
          <w:tcPr>
            <w:tcW w:w="913" w:type="dxa"/>
            <w:vAlign w:val="bottom"/>
          </w:tcPr>
          <w:p w14:paraId="58453523"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4,16</w:t>
            </w:r>
          </w:p>
        </w:tc>
        <w:tc>
          <w:tcPr>
            <w:tcW w:w="907" w:type="dxa"/>
            <w:vAlign w:val="bottom"/>
          </w:tcPr>
          <w:p w14:paraId="72145E1F"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9,76</w:t>
            </w:r>
          </w:p>
        </w:tc>
        <w:tc>
          <w:tcPr>
            <w:tcW w:w="814" w:type="dxa"/>
            <w:vAlign w:val="bottom"/>
          </w:tcPr>
          <w:p w14:paraId="126BC65F"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9,2</w:t>
            </w:r>
          </w:p>
        </w:tc>
        <w:tc>
          <w:tcPr>
            <w:tcW w:w="1034" w:type="dxa"/>
            <w:vAlign w:val="bottom"/>
          </w:tcPr>
          <w:p w14:paraId="4BA5EEC5"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19,78</w:t>
            </w:r>
          </w:p>
        </w:tc>
        <w:tc>
          <w:tcPr>
            <w:tcW w:w="957" w:type="dxa"/>
            <w:vAlign w:val="bottom"/>
          </w:tcPr>
          <w:p w14:paraId="37C5E79D"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6,63</w:t>
            </w:r>
          </w:p>
        </w:tc>
        <w:tc>
          <w:tcPr>
            <w:tcW w:w="891" w:type="dxa"/>
            <w:shd w:val="clear" w:color="auto" w:fill="DDECCF" w:themeFill="accent6" w:themeFillTint="33"/>
            <w:vAlign w:val="bottom"/>
          </w:tcPr>
          <w:p w14:paraId="3E534907" w14:textId="77777777" w:rsidR="005D330A" w:rsidRPr="003723E1" w:rsidRDefault="005D330A" w:rsidP="005D330A">
            <w:pPr>
              <w:snapToGrid w:val="0"/>
              <w:spacing w:after="60"/>
              <w:jc w:val="center"/>
              <w:rPr>
                <w:rFonts w:ascii="Times New Roman" w:hAnsi="Times New Roman" w:cs="Times New Roman"/>
                <w:bCs/>
                <w:color w:val="000000"/>
                <w:sz w:val="18"/>
                <w:szCs w:val="18"/>
                <w:lang w:val="ro-RO"/>
              </w:rPr>
            </w:pPr>
            <w:r w:rsidRPr="003723E1">
              <w:rPr>
                <w:rFonts w:ascii="Times New Roman" w:hAnsi="Times New Roman" w:cs="Times New Roman"/>
                <w:bCs/>
                <w:color w:val="000000"/>
                <w:sz w:val="18"/>
                <w:szCs w:val="18"/>
                <w:lang w:val="ro-RO"/>
              </w:rPr>
              <w:t>51,69</w:t>
            </w:r>
          </w:p>
        </w:tc>
      </w:tr>
      <w:tr w:rsidR="005D330A" w:rsidRPr="00A73566" w14:paraId="3AE5B00A" w14:textId="77777777" w:rsidTr="003723E1">
        <w:trPr>
          <w:cnfStyle w:val="000000010000" w:firstRow="0" w:lastRow="0" w:firstColumn="0" w:lastColumn="0" w:oddVBand="0" w:evenVBand="0" w:oddHBand="0" w:evenHBand="1" w:firstRowFirstColumn="0" w:firstRowLastColumn="0" w:lastRowFirstColumn="0" w:lastRowLastColumn="0"/>
          <w:trHeight w:val="445"/>
        </w:trPr>
        <w:tc>
          <w:tcPr>
            <w:tcW w:w="1983" w:type="dxa"/>
            <w:shd w:val="clear" w:color="auto" w:fill="1E505E" w:themeFill="background2" w:themeFillShade="80"/>
            <w:vAlign w:val="bottom"/>
          </w:tcPr>
          <w:p w14:paraId="61EBC7E7" w14:textId="77777777" w:rsidR="005D330A" w:rsidRPr="003723E1" w:rsidRDefault="005D330A" w:rsidP="005D330A">
            <w:pPr>
              <w:snapToGrid w:val="0"/>
              <w:spacing w:after="60"/>
              <w:rPr>
                <w:rFonts w:ascii="Times New Roman" w:hAnsi="Times New Roman" w:cs="Times New Roman"/>
                <w:b/>
                <w:bCs/>
                <w:color w:val="FFFFFF" w:themeColor="background1"/>
                <w:sz w:val="18"/>
                <w:szCs w:val="18"/>
                <w:lang w:val="ro-RO"/>
              </w:rPr>
            </w:pPr>
            <w:r w:rsidRPr="003723E1">
              <w:rPr>
                <w:rFonts w:ascii="Times New Roman" w:hAnsi="Times New Roman" w:cs="Times New Roman"/>
                <w:b/>
                <w:bCs/>
                <w:color w:val="FFFFFF" w:themeColor="background1"/>
                <w:sz w:val="18"/>
                <w:szCs w:val="18"/>
                <w:lang w:val="ro-RO"/>
              </w:rPr>
              <w:t>TOTAL</w:t>
            </w:r>
          </w:p>
        </w:tc>
        <w:tc>
          <w:tcPr>
            <w:tcW w:w="919" w:type="dxa"/>
            <w:vAlign w:val="bottom"/>
          </w:tcPr>
          <w:p w14:paraId="2D60CF45"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543,98</w:t>
            </w:r>
          </w:p>
        </w:tc>
        <w:tc>
          <w:tcPr>
            <w:tcW w:w="846" w:type="dxa"/>
            <w:vAlign w:val="bottom"/>
          </w:tcPr>
          <w:p w14:paraId="75FC688C"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353,65</w:t>
            </w:r>
          </w:p>
        </w:tc>
        <w:tc>
          <w:tcPr>
            <w:tcW w:w="913" w:type="dxa"/>
            <w:vAlign w:val="bottom"/>
          </w:tcPr>
          <w:p w14:paraId="6F43C4EF"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561,47</w:t>
            </w:r>
          </w:p>
        </w:tc>
        <w:tc>
          <w:tcPr>
            <w:tcW w:w="907" w:type="dxa"/>
            <w:vAlign w:val="bottom"/>
          </w:tcPr>
          <w:p w14:paraId="15E6EB41"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740,02</w:t>
            </w:r>
          </w:p>
        </w:tc>
        <w:tc>
          <w:tcPr>
            <w:tcW w:w="814" w:type="dxa"/>
            <w:vAlign w:val="bottom"/>
          </w:tcPr>
          <w:p w14:paraId="56DBDBC7"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627,5</w:t>
            </w:r>
          </w:p>
        </w:tc>
        <w:tc>
          <w:tcPr>
            <w:tcW w:w="1034" w:type="dxa"/>
            <w:vAlign w:val="bottom"/>
          </w:tcPr>
          <w:p w14:paraId="4B8B3FDA"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1061,08</w:t>
            </w:r>
          </w:p>
        </w:tc>
        <w:tc>
          <w:tcPr>
            <w:tcW w:w="957" w:type="dxa"/>
            <w:vAlign w:val="bottom"/>
          </w:tcPr>
          <w:p w14:paraId="381D70E0"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335,776</w:t>
            </w:r>
          </w:p>
        </w:tc>
        <w:tc>
          <w:tcPr>
            <w:tcW w:w="891" w:type="dxa"/>
            <w:shd w:val="clear" w:color="auto" w:fill="DDECCF" w:themeFill="accent6" w:themeFillTint="33"/>
            <w:vAlign w:val="bottom"/>
          </w:tcPr>
          <w:p w14:paraId="5C8023AE" w14:textId="77777777" w:rsidR="005D330A" w:rsidRPr="003723E1" w:rsidRDefault="005D330A" w:rsidP="005D330A">
            <w:pPr>
              <w:snapToGrid w:val="0"/>
              <w:spacing w:after="60"/>
              <w:jc w:val="center"/>
              <w:rPr>
                <w:rFonts w:ascii="Times New Roman" w:hAnsi="Times New Roman" w:cs="Times New Roman"/>
                <w:b/>
                <w:bCs/>
                <w:color w:val="000000"/>
                <w:sz w:val="18"/>
                <w:szCs w:val="18"/>
                <w:lang w:val="ro-RO"/>
              </w:rPr>
            </w:pPr>
            <w:r w:rsidRPr="003723E1">
              <w:rPr>
                <w:rFonts w:ascii="Times New Roman" w:hAnsi="Times New Roman" w:cs="Times New Roman"/>
                <w:b/>
                <w:bCs/>
                <w:color w:val="000000"/>
                <w:sz w:val="18"/>
                <w:szCs w:val="18"/>
                <w:lang w:val="ro-RO"/>
              </w:rPr>
              <w:t>4223,476</w:t>
            </w:r>
          </w:p>
        </w:tc>
      </w:tr>
    </w:tbl>
    <w:p w14:paraId="25453A24" w14:textId="5FA2C297" w:rsidR="000A5ACF" w:rsidRPr="003723E1" w:rsidRDefault="003723E1" w:rsidP="003723E1">
      <w:pPr>
        <w:shd w:val="clear" w:color="auto" w:fill="FFFFFF"/>
        <w:tabs>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iCs/>
          <w:color w:val="BFBFBF" w:themeColor="background1" w:themeShade="BF"/>
          <w:sz w:val="18"/>
          <w:szCs w:val="18"/>
          <w:lang w:val="ro-RO"/>
        </w:rPr>
      </w:pPr>
      <w:r>
        <w:rPr>
          <w:rFonts w:ascii="Times New Roman" w:hAnsi="Times New Roman" w:cs="Times New Roman"/>
          <w:iCs/>
          <w:color w:val="BFBFBF" w:themeColor="background1" w:themeShade="BF"/>
          <w:sz w:val="18"/>
          <w:szCs w:val="18"/>
          <w:lang w:val="ro-RO"/>
        </w:rPr>
        <w:t>Sursa: Rapoartele AIPA</w:t>
      </w:r>
    </w:p>
    <w:p w14:paraId="7C36A147" w14:textId="77777777"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 xml:space="preserve">Astfel, în perioada 2014 -2020, din totalul de 4.22 mld MDL aprobate spre finanțare pentru investițiile post-investiționale, cca. 89.4% sau 3.77 mld MDL au fost alocate pentru acoperirea solicitărilor din cadrul Priorității 1. </w:t>
      </w:r>
    </w:p>
    <w:p w14:paraId="56D61229" w14:textId="5F3D9821"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În același timp, pe lângă resursele financiare alocate din sursele FNDARM, sectorul agricol și, în special acțiunile specifice Obiectivului General 1, au mai beneficiat de suport financiar prin intermediul diferitor proiecte și programe investiționale cu finanțare externă. Astfel, din sursele Programului de Restructurare a Sectorului Vitivinicol “Filiera Vinului”</w:t>
      </w:r>
      <w:r w:rsidR="00E313DD" w:rsidRPr="00A73566">
        <w:rPr>
          <w:rFonts w:ascii="Times New Roman" w:hAnsi="Times New Roman" w:cs="Times New Roman"/>
          <w:vertAlign w:val="superscript"/>
          <w:lang w:val="ro-RO"/>
        </w:rPr>
        <w:endnoteReference w:id="2"/>
      </w:r>
      <w:r w:rsidR="00E313DD" w:rsidRPr="00A73566">
        <w:rPr>
          <w:rFonts w:ascii="Times New Roman" w:hAnsi="Times New Roman" w:cs="Times New Roman"/>
          <w:lang w:val="ro-RO"/>
        </w:rPr>
        <w:t xml:space="preserve"> </w:t>
      </w:r>
      <w:r w:rsidRPr="00A73566">
        <w:rPr>
          <w:rFonts w:ascii="Times New Roman" w:hAnsi="Times New Roman" w:cs="Times New Roman"/>
          <w:lang w:val="ro-RO"/>
        </w:rPr>
        <w:t xml:space="preserve">au fost valorificate cca. 44.3 mln EUR din totalul de 75 mln EUR disponibili, iar în cazul Programului de Restructurare a Sectorului Horticol “Livada Moldovei” au fost atrași cca. 38.3 mln EUR din totalul de 120 mln EUR disponibili. </w:t>
      </w:r>
    </w:p>
    <w:p w14:paraId="6D8381FD" w14:textId="77777777"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Un alt program investițional este Proiectul Agricultura Competitivă (MAC-P), finanțat din sursele Băncii Mondiale în valoare totală de 44 mln USD (34 mln USD – MAC-P I și 10 mln USD MAC-P II), care au avut drept scop Creșterea Competitivității sectorului agroalimentar prin acordarea de sprijin pentru modernizarea managementului siguranței produselor alimentare și accesului fermierilor la piețe, inclusiv externe.</w:t>
      </w:r>
    </w:p>
    <w:p w14:paraId="691EB19B" w14:textId="76872C85" w:rsidR="006A570C" w:rsidRPr="00A73566" w:rsidRDefault="006A570C" w:rsidP="003723E1">
      <w:pPr>
        <w:ind w:firstLine="567"/>
        <w:rPr>
          <w:rFonts w:ascii="Times New Roman" w:hAnsi="Times New Roman" w:cs="Times New Roman"/>
          <w:lang w:val="ro-RO"/>
        </w:rPr>
      </w:pPr>
      <w:r w:rsidRPr="00A73566">
        <w:rPr>
          <w:rFonts w:ascii="Times New Roman" w:hAnsi="Times New Roman" w:cs="Times New Roman"/>
          <w:lang w:val="ro-RO"/>
        </w:rPr>
        <w:t>În cazul Priorității 2 de subvenționare post-investițională, din sursele FNDAMR au fost alocate cca. 393 mln MLD sau cca. 9.3% din totalul alocărilor pentru subvențiile post-investiționale în perioada 2014 – 2020. Cele mai multe resurse au fosta</w:t>
      </w:r>
      <w:r w:rsidR="00207FE0" w:rsidRPr="00A73566">
        <w:rPr>
          <w:rFonts w:ascii="Times New Roman" w:hAnsi="Times New Roman" w:cs="Times New Roman"/>
          <w:lang w:val="ro-RO"/>
        </w:rPr>
        <w:t xml:space="preserve"> </w:t>
      </w:r>
      <w:r w:rsidRPr="00A73566">
        <w:rPr>
          <w:rFonts w:ascii="Times New Roman" w:hAnsi="Times New Roman" w:cs="Times New Roman"/>
          <w:lang w:val="ro-RO"/>
        </w:rPr>
        <w:t xml:space="preserve">locate pentru stimularea investițiilor, pentru procurarea echipamentului No-till și Mini-Till (177.6 mln MDL) și promovarea și dezvoltarea agriculturii ecologice (cca. 11 mln MDL). </w:t>
      </w:r>
    </w:p>
    <w:p w14:paraId="4A0E0843" w14:textId="1E5D7E22" w:rsidR="006A570C" w:rsidRPr="00A73566" w:rsidRDefault="006A570C" w:rsidP="003723E1">
      <w:pPr>
        <w:ind w:firstLine="567"/>
        <w:rPr>
          <w:rFonts w:ascii="Times New Roman" w:hAnsi="Times New Roman" w:cs="Times New Roman"/>
          <w:i/>
          <w:iCs/>
          <w:color w:val="BFBFBF"/>
          <w:lang w:val="ro-RO"/>
        </w:rPr>
      </w:pPr>
      <w:r w:rsidRPr="00A73566">
        <w:rPr>
          <w:rFonts w:ascii="Times New Roman" w:hAnsi="Times New Roman" w:cs="Times New Roman"/>
          <w:lang w:val="ro-RO"/>
        </w:rPr>
        <w:t xml:space="preserve">În cazul Priorității 3, în cadrul schemei de subvenționare post-investițională au fost alocate în total cca. 51.69 mln MDL sau cca. 1.2% din totalul alocațiilor pentru subvențiile post-investiționale. Cea mai mare parte din subvențiile pentru Prioritatea 3 a fost alocată pentru finanțarea măsurii de îmbunătățire și dezvoltare a infrastructurii rurale (49.09 mln MDL sau cca. 94.9% din totalul subvențiilor post-investiționale acordate în cadrul acestei Priorități). </w:t>
      </w:r>
    </w:p>
    <w:p w14:paraId="175FD326" w14:textId="77777777" w:rsidR="006A570C" w:rsidRPr="00A73566" w:rsidRDefault="006A570C" w:rsidP="003723E1">
      <w:pPr>
        <w:ind w:firstLine="567"/>
        <w:rPr>
          <w:rFonts w:ascii="Times New Roman" w:hAnsi="Times New Roman" w:cs="Times New Roman"/>
          <w:color w:val="000000"/>
          <w:lang w:val="ro-RO"/>
        </w:rPr>
      </w:pPr>
      <w:r w:rsidRPr="00A73566">
        <w:rPr>
          <w:rFonts w:ascii="Times New Roman" w:hAnsi="Times New Roman" w:cs="Times New Roman"/>
          <w:color w:val="000000"/>
          <w:lang w:val="ro-RO"/>
        </w:rPr>
        <w:t xml:space="preserve">În ceea ce privește schema de subvenționare în avans a proiectelor de start-up în agricultură, aceasta a fost introdusă în cadrul normativ în anul 2018, iar primele finanțări au fost alocate începând cu toamna anului 2018. Astfel, în perioada 2018 – 2020 au fost alocate un total de 41.2 mln MDL, dintre care 24.4 în perioada 2018 – 2019 și 16.8 mln MDL în anul 2020. </w:t>
      </w:r>
    </w:p>
    <w:p w14:paraId="5234265B" w14:textId="2550E32D" w:rsidR="006A570C" w:rsidRPr="00A73566" w:rsidRDefault="006A570C" w:rsidP="003723E1">
      <w:pPr>
        <w:ind w:firstLine="567"/>
        <w:rPr>
          <w:rFonts w:ascii="Times New Roman" w:hAnsi="Times New Roman" w:cs="Times New Roman"/>
          <w:color w:val="000000"/>
          <w:lang w:val="ro-RO"/>
        </w:rPr>
      </w:pPr>
      <w:r w:rsidRPr="00A73566">
        <w:rPr>
          <w:rFonts w:ascii="Times New Roman" w:hAnsi="Times New Roman" w:cs="Times New Roman"/>
          <w:color w:val="000000"/>
          <w:lang w:val="ro-RO"/>
        </w:rPr>
        <w:t>În final</w:t>
      </w:r>
      <w:r w:rsidR="006468BB" w:rsidRPr="00A73566">
        <w:rPr>
          <w:rFonts w:ascii="Times New Roman" w:hAnsi="Times New Roman" w:cs="Times New Roman"/>
          <w:color w:val="000000"/>
          <w:lang w:val="ro-RO"/>
        </w:rPr>
        <w:t>,</w:t>
      </w:r>
      <w:r w:rsidRPr="00A73566">
        <w:rPr>
          <w:rFonts w:ascii="Times New Roman" w:hAnsi="Times New Roman" w:cs="Times New Roman"/>
          <w:color w:val="000000"/>
          <w:lang w:val="ro-RO"/>
        </w:rPr>
        <w:t xml:space="preserve"> în ceea ce privește schema de subvenționarea în avans </w:t>
      </w:r>
      <w:r w:rsidRPr="00A73566">
        <w:rPr>
          <w:rFonts w:ascii="Times New Roman" w:hAnsi="Times New Roman" w:cs="Times New Roman"/>
          <w:lang w:val="ro-RO"/>
        </w:rPr>
        <w:t xml:space="preserve">pentru dezvoltarea mediului rural, care a fost introdusă în anul 2019, au fost aprobate finanțare proiecte în valoare totală de cca. 66 mln MDL, dintre care 25.5 mln MDL fiind efectiv debursate până la finalul anului. </w:t>
      </w:r>
    </w:p>
    <w:p w14:paraId="30C32F6D" w14:textId="5D6E3621" w:rsidR="00EF005D" w:rsidRPr="00A73566" w:rsidRDefault="00EF005D" w:rsidP="00EF005D">
      <w:pPr>
        <w:pStyle w:val="Heading2"/>
        <w:rPr>
          <w:rFonts w:ascii="Times New Roman" w:hAnsi="Times New Roman" w:cs="Times New Roman"/>
          <w:lang w:val="ro-RO"/>
        </w:rPr>
      </w:pPr>
      <w:bookmarkStart w:id="111" w:name="_Toc88132116"/>
      <w:r w:rsidRPr="00A73566">
        <w:rPr>
          <w:rFonts w:ascii="Times New Roman" w:hAnsi="Times New Roman" w:cs="Times New Roman"/>
          <w:lang w:val="ro-RO"/>
        </w:rPr>
        <w:t>Constrângeri și oportunități de implementare a politicii de dezvoltare agricolă și rurală</w:t>
      </w:r>
      <w:bookmarkEnd w:id="111"/>
    </w:p>
    <w:p w14:paraId="7997DADD" w14:textId="5E22A1F9" w:rsidR="008C520B" w:rsidRPr="00A73566" w:rsidRDefault="008C520B" w:rsidP="00F93C3B">
      <w:pPr>
        <w:pStyle w:val="Heading3"/>
        <w:rPr>
          <w:rFonts w:ascii="Times New Roman" w:hAnsi="Times New Roman" w:cs="Times New Roman"/>
          <w:lang w:val="ro-RO"/>
        </w:rPr>
      </w:pPr>
      <w:bookmarkStart w:id="112" w:name="_Toc88132117"/>
      <w:r w:rsidRPr="00A73566">
        <w:rPr>
          <w:rFonts w:ascii="Times New Roman" w:hAnsi="Times New Roman" w:cs="Times New Roman"/>
          <w:lang w:val="ro-RO"/>
        </w:rPr>
        <w:t>Contextul global</w:t>
      </w:r>
      <w:bookmarkEnd w:id="112"/>
    </w:p>
    <w:p w14:paraId="6D1EBB3C" w14:textId="4B65168C" w:rsidR="00350524" w:rsidRPr="00A73566" w:rsidRDefault="00350524" w:rsidP="003723E1">
      <w:pPr>
        <w:ind w:firstLine="567"/>
        <w:rPr>
          <w:rFonts w:ascii="Times New Roman" w:hAnsi="Times New Roman" w:cs="Times New Roman"/>
          <w:lang w:val="ro-RO"/>
        </w:rPr>
      </w:pPr>
      <w:r w:rsidRPr="00A73566">
        <w:rPr>
          <w:rFonts w:ascii="Times New Roman" w:hAnsi="Times New Roman" w:cs="Times New Roman"/>
          <w:lang w:val="ro-RO"/>
        </w:rPr>
        <w:t>Schimbările la nivel mondial se caracterizează prin vaste procese de transformări structurale ca răspuns la provocările recunoscute de comunitatea internațională și care au o influenta decisivă în dezvo</w:t>
      </w:r>
      <w:r w:rsidR="00E03D1A">
        <w:rPr>
          <w:rFonts w:ascii="Times New Roman" w:hAnsi="Times New Roman" w:cs="Times New Roman"/>
          <w:lang w:val="ro-RO"/>
        </w:rPr>
        <w:t>ltarea stabilă pe termen lung.</w:t>
      </w:r>
    </w:p>
    <w:p w14:paraId="159B5860" w14:textId="4E862758" w:rsidR="00542CD6" w:rsidRPr="00A73566" w:rsidRDefault="00350524" w:rsidP="00D936BE">
      <w:pPr>
        <w:rPr>
          <w:rFonts w:ascii="Times New Roman" w:hAnsi="Times New Roman" w:cs="Times New Roman"/>
          <w:lang w:val="ro-RO"/>
        </w:rPr>
      </w:pPr>
      <w:r w:rsidRPr="00A73566">
        <w:rPr>
          <w:rFonts w:ascii="Times New Roman" w:hAnsi="Times New Roman" w:cs="Times New Roman"/>
          <w:i/>
          <w:lang w:val="ro-RO"/>
        </w:rPr>
        <w:t>Schimbările climatice.</w:t>
      </w:r>
      <w:r w:rsidRPr="00A73566">
        <w:rPr>
          <w:rFonts w:ascii="Times New Roman" w:hAnsi="Times New Roman" w:cs="Times New Roman"/>
          <w:lang w:val="ro-RO"/>
        </w:rPr>
        <w:t xml:space="preserve"> În prezent, schimbările climatice reprezintă una din cele mai importante probleme resimțite la nivel global. Încălzirea globală afectează populația planetei, regnul natural și dezvoltarea economică.</w:t>
      </w:r>
      <w:r w:rsidR="00D936BE" w:rsidRPr="00A73566">
        <w:rPr>
          <w:rFonts w:ascii="Times New Roman" w:hAnsi="Times New Roman" w:cs="Times New Roman"/>
          <w:lang w:val="ro-RO"/>
        </w:rPr>
        <w:t xml:space="preserve"> </w:t>
      </w:r>
      <w:r w:rsidRPr="00A73566">
        <w:rPr>
          <w:rFonts w:ascii="Times New Roman" w:hAnsi="Times New Roman" w:cs="Times New Roman"/>
          <w:lang w:val="ro-RO"/>
        </w:rPr>
        <w:t>Datele recente arată că în cazul sumelor temperaturilor active (peste 10°C) diferența este de 139,56°С, ceea ce reprezintă deja un indicator alarmant pentru cultivarea culturilor agricole, fără a se ține cont de particularităț</w:t>
      </w:r>
      <w:r w:rsidR="00803F18">
        <w:rPr>
          <w:rFonts w:ascii="Times New Roman" w:hAnsi="Times New Roman" w:cs="Times New Roman"/>
          <w:lang w:val="ro-RO"/>
        </w:rPr>
        <w:t>ile climei actuale</w:t>
      </w:r>
      <w:r w:rsidR="00267AD8" w:rsidRPr="00A73566">
        <w:rPr>
          <w:rFonts w:ascii="Times New Roman" w:hAnsi="Times New Roman" w:cs="Times New Roman"/>
          <w:lang w:val="ro-RO"/>
        </w:rPr>
        <w:t>.</w:t>
      </w:r>
      <w:r w:rsidR="00803F18">
        <w:rPr>
          <w:rFonts w:ascii="Times New Roman" w:hAnsi="Times New Roman" w:cs="Times New Roman"/>
          <w:lang w:val="ro-RO"/>
        </w:rPr>
        <w:t xml:space="preserve"> </w:t>
      </w:r>
      <w:r w:rsidR="00FA5419" w:rsidRPr="00A73566">
        <w:rPr>
          <w:rFonts w:ascii="Times New Roman" w:hAnsi="Times New Roman" w:cs="Times New Roman"/>
          <w:lang w:val="ro-RO"/>
        </w:rPr>
        <w:t xml:space="preserve"> </w:t>
      </w:r>
      <w:r w:rsidR="00D936BE" w:rsidRPr="00A73566">
        <w:rPr>
          <w:rFonts w:ascii="Times New Roman" w:hAnsi="Times New Roman" w:cs="Times New Roman"/>
          <w:lang w:val="ro-RO"/>
        </w:rPr>
        <w:t>R</w:t>
      </w:r>
      <w:r w:rsidR="00542CD6" w:rsidRPr="00A73566">
        <w:rPr>
          <w:rFonts w:ascii="Times New Roman" w:hAnsi="Times New Roman" w:cs="Times New Roman"/>
          <w:lang w:val="ro-RO"/>
        </w:rPr>
        <w:t>itmul accelerat al schimbărilor climatice a făcut ca în ultimele două decenii pretutindeni pe teritoriul republicii să se majoreze suma temperaturilor active cu 100°C, ceea ce impune revizuirea noilor soiuri de culturi agricole în strictă dependență de factorii fizico</w:t>
      </w:r>
      <w:r w:rsidR="00803F18">
        <w:rPr>
          <w:rFonts w:ascii="Times New Roman" w:hAnsi="Times New Roman" w:cs="Times New Roman"/>
          <w:lang w:val="ro-RO"/>
        </w:rPr>
        <w:t xml:space="preserve"> </w:t>
      </w:r>
      <w:r w:rsidR="00542CD6" w:rsidRPr="00A73566">
        <w:rPr>
          <w:rFonts w:ascii="Times New Roman" w:hAnsi="Times New Roman" w:cs="Times New Roman"/>
          <w:lang w:val="ro-RO"/>
        </w:rPr>
        <w:t>-</w:t>
      </w:r>
      <w:r w:rsidR="00803F18">
        <w:rPr>
          <w:rFonts w:ascii="Times New Roman" w:hAnsi="Times New Roman" w:cs="Times New Roman"/>
          <w:lang w:val="ro-RO"/>
        </w:rPr>
        <w:t xml:space="preserve"> </w:t>
      </w:r>
      <w:r w:rsidR="00542CD6" w:rsidRPr="00A73566">
        <w:rPr>
          <w:rFonts w:ascii="Times New Roman" w:hAnsi="Times New Roman" w:cs="Times New Roman"/>
          <w:lang w:val="ro-RO"/>
        </w:rPr>
        <w:t>geografici locali.</w:t>
      </w:r>
    </w:p>
    <w:p w14:paraId="039A08CF" w14:textId="57952FDC" w:rsidR="00542CD6" w:rsidRPr="00A73566" w:rsidRDefault="00542CD6" w:rsidP="00542CD6">
      <w:pPr>
        <w:rPr>
          <w:rFonts w:ascii="Times New Roman" w:hAnsi="Times New Roman" w:cs="Times New Roman"/>
          <w:lang w:val="ro-RO"/>
        </w:rPr>
      </w:pPr>
      <w:r w:rsidRPr="00A73566">
        <w:rPr>
          <w:rFonts w:ascii="Times New Roman" w:hAnsi="Times New Roman" w:cs="Times New Roman"/>
          <w:i/>
          <w:lang w:val="ro-RO"/>
        </w:rPr>
        <w:t>Creșterea populației la nivel global.</w:t>
      </w:r>
      <w:r w:rsidR="003723E1">
        <w:rPr>
          <w:rFonts w:ascii="Times New Roman" w:hAnsi="Times New Roman" w:cs="Times New Roman"/>
          <w:lang w:val="ro-RO"/>
        </w:rPr>
        <w:t xml:space="preserve"> </w:t>
      </w:r>
      <w:r w:rsidRPr="00A73566">
        <w:rPr>
          <w:rFonts w:ascii="Times New Roman" w:hAnsi="Times New Roman" w:cs="Times New Roman"/>
          <w:lang w:val="ro-RO"/>
        </w:rPr>
        <w:t xml:space="preserve">Odată cu creșterea vertiginoasă a populației pe glob devine tot mai evidenta creșterea presiunii asupra resurselor naturale, urmare a cererii sporite pentru produsele alimentare. Conform datelor prezentate de ONU în viitorul apropiat populația globală va crește cu 4 mld. de oameni, atingând cota de 10 mld. De rând cu creșterea numărului populației va creste si ritmul de urbanizare. Se așteaptă ca spre mijlocul secolului 70% din populația lumii să locuiască în mediul urban, comparativ cu circa 49% în prezent. Acest fapt va spori inevitabil cererea de alimente și, mai </w:t>
      </w:r>
      <w:r w:rsidR="00803F18">
        <w:rPr>
          <w:rFonts w:ascii="Times New Roman" w:hAnsi="Times New Roman" w:cs="Times New Roman"/>
          <w:lang w:val="ro-RO"/>
        </w:rPr>
        <w:t>cu seamă, de produse procesate „</w:t>
      </w:r>
      <w:r w:rsidRPr="00A73566">
        <w:rPr>
          <w:rFonts w:ascii="Times New Roman" w:hAnsi="Times New Roman" w:cs="Times New Roman"/>
          <w:lang w:val="ro-RO"/>
        </w:rPr>
        <w:t>gata pentru consum”.  Pentru sectorul agroalimentar, aceste aspecte constituie atât o oportunitate, cât şi o provocare. Perspectivele de creștere a pieței agro-alimentare constituie un avantaj semnificativ pentru fermierii din întreaga lume. Cu toate acestea, se estimează că infrastructurile de piață imperfecte şi vulnerabilitățile socio-economice din zonele cele mai dens populate ale lumii vor spori insecuritatea alimentară. În plus, sistemele agricole mondiale se vor confrunta din ce în ce mai mult cu efectele negative ale schimbărilor climatice (schimbarea modelelor de precipitații, fenomenele meteorologice extreme, insuficiența de apă), precum și cu volatilitatea prețurilor. Pe de altă parte, creșterea productivității agricole poate fi obținută prin investiții, cercetare și inovare, bune practici agricole şi politici publice adecvate.</w:t>
      </w:r>
    </w:p>
    <w:p w14:paraId="4145F6CE" w14:textId="77777777" w:rsidR="003723E1" w:rsidRDefault="00542CD6" w:rsidP="003723E1">
      <w:pPr>
        <w:rPr>
          <w:rFonts w:ascii="Times New Roman" w:hAnsi="Times New Roman" w:cs="Times New Roman"/>
          <w:lang w:val="ro-RO"/>
        </w:rPr>
      </w:pPr>
      <w:r w:rsidRPr="00A73566">
        <w:rPr>
          <w:rFonts w:ascii="Times New Roman" w:hAnsi="Times New Roman" w:cs="Times New Roman"/>
          <w:i/>
          <w:lang w:val="ro-RO"/>
        </w:rPr>
        <w:t>Infrastructura de piața</w:t>
      </w:r>
      <w:r w:rsidR="00A37E48" w:rsidRPr="003723E1">
        <w:rPr>
          <w:rFonts w:ascii="Times New Roman" w:hAnsi="Times New Roman" w:cs="Times New Roman"/>
          <w:lang w:val="ro-RO"/>
        </w:rPr>
        <w:t>.</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Urbanizarea sporită, cererea crescândă pentru produselor alimentare, dezvoltarea infrastructurii de logistică și transport au făcut ca procesul de globalizare a comerțului să fie tot mai resimțit în întreaga lume. Dacă până nu demult în perioada rece a anului se atesta un consum sporit de alimente conservate, care reprezentau teritoriul amplasării spațiului comercial, acum situația s-a schimbat radical. În asortimentul produselor oferite practic nu se observa diferențierea între perioadă rece și perioada caldă a anului, iar multitudinea produselor prezente pe raft-uri reprezintă întregul glob pământesc. Locurile cândva solicitate de exportatorii produselor agroalimentare din Moldova - piețele agricole - au început să dispară, iar în locul lor să apară unități comerciale ce fac parte din rețelele comerciale naționale si internaționale. Aceste schimbări impun revizuirea paradigmei exportului de produse agricole: de la producerea cantităților raportate la unitatea de transport (10-20 tone) destinate piețelor de desfacere (bazaruri) la cantități de produse alimentare cu omogenitate și calitate similară, și care pot satisface cantitativ și calitativ așteptările </w:t>
      </w:r>
      <w:r w:rsidR="003723E1">
        <w:rPr>
          <w:rFonts w:ascii="Times New Roman" w:hAnsi="Times New Roman" w:cs="Times New Roman"/>
          <w:lang w:val="ro-RO"/>
        </w:rPr>
        <w:t xml:space="preserve">lanțurilor de comercializare. </w:t>
      </w:r>
    </w:p>
    <w:p w14:paraId="7D2DA7A0" w14:textId="341A0EE2" w:rsidR="00542CD6" w:rsidRPr="00A73566" w:rsidRDefault="00542CD6" w:rsidP="003723E1">
      <w:pPr>
        <w:rPr>
          <w:rFonts w:ascii="Times New Roman" w:hAnsi="Times New Roman" w:cs="Times New Roman"/>
          <w:lang w:val="ro-RO"/>
        </w:rPr>
      </w:pPr>
      <w:r w:rsidRPr="00A73566">
        <w:rPr>
          <w:rFonts w:ascii="Times New Roman" w:hAnsi="Times New Roman" w:cs="Times New Roman"/>
          <w:lang w:val="ro-RO"/>
        </w:rPr>
        <w:t>Cererea mondială de alimente este în creș</w:t>
      </w:r>
      <w:r w:rsidR="003723E1">
        <w:rPr>
          <w:rFonts w:ascii="Times New Roman" w:hAnsi="Times New Roman" w:cs="Times New Roman"/>
          <w:lang w:val="ro-RO"/>
        </w:rPr>
        <w:t>tere, urbanizarea sporită, preț</w:t>
      </w:r>
      <w:r w:rsidRPr="00A73566">
        <w:rPr>
          <w:rFonts w:ascii="Times New Roman" w:hAnsi="Times New Roman" w:cs="Times New Roman"/>
          <w:lang w:val="ro-RO"/>
        </w:rPr>
        <w:t xml:space="preserve">urile tot mai mari la inputuri, presiunea exercitată asupra resurselor de apă </w:t>
      </w:r>
      <w:r w:rsidR="00207FE0" w:rsidRPr="00A73566">
        <w:rPr>
          <w:rFonts w:ascii="Times New Roman" w:hAnsi="Times New Roman" w:cs="Times New Roman"/>
          <w:lang w:val="ro-RO"/>
        </w:rPr>
        <w:t>și</w:t>
      </w:r>
      <w:r w:rsidRPr="00A73566">
        <w:rPr>
          <w:rFonts w:ascii="Times New Roman" w:hAnsi="Times New Roman" w:cs="Times New Roman"/>
          <w:lang w:val="ro-RO"/>
        </w:rPr>
        <w:t xml:space="preserve"> creșterea vulnerabilității culturilor agricole şi animalelor la schimbările climatice vor limita producția alimentară.  </w:t>
      </w:r>
    </w:p>
    <w:p w14:paraId="5B84A45A" w14:textId="77777777" w:rsidR="00542CD6" w:rsidRPr="00A73566" w:rsidRDefault="00542CD6" w:rsidP="00542CD6">
      <w:pPr>
        <w:rPr>
          <w:rFonts w:ascii="Times New Roman" w:hAnsi="Times New Roman" w:cs="Times New Roman"/>
          <w:lang w:val="ro-RO"/>
        </w:rPr>
      </w:pPr>
      <w:r w:rsidRPr="00A73566">
        <w:rPr>
          <w:rFonts w:ascii="Times New Roman" w:hAnsi="Times New Roman" w:cs="Times New Roman"/>
          <w:i/>
          <w:lang w:val="ro-RO"/>
        </w:rPr>
        <w:t>Veniturile în creșteri si gradul de ocupare a forței de munca</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Urbanizarea, intensitatea în lucru, gradul de ocuparea a forței de munca și noile tehnologii fac ca angajații să dedice tot mai mult timp obligațiunilor de serviciu, acordând  prioritate produselor alimentare semifabricate, produselor gata de consum și fast-food-urile. La nivel global, cererea la asemenea tip de produse practic s-a dublat în ultimii șase ani. Acest lucru poate deveni una din prioritățile exportului internațional pentru Moldova, care este dominat în prezent de exportul materiei prime.  </w:t>
      </w:r>
    </w:p>
    <w:p w14:paraId="420B557B" w14:textId="75051A3E" w:rsidR="00815464" w:rsidRPr="00A73566" w:rsidRDefault="00815464" w:rsidP="00CA12DB">
      <w:pPr>
        <w:pStyle w:val="Heading3"/>
        <w:rPr>
          <w:rFonts w:ascii="Times New Roman" w:hAnsi="Times New Roman" w:cs="Times New Roman"/>
          <w:lang w:val="ro-RO"/>
        </w:rPr>
      </w:pPr>
      <w:bookmarkStart w:id="113" w:name="_Toc88132118"/>
      <w:r w:rsidRPr="00A73566">
        <w:rPr>
          <w:rFonts w:ascii="Times New Roman" w:hAnsi="Times New Roman" w:cs="Times New Roman"/>
          <w:lang w:val="ro-RO"/>
        </w:rPr>
        <w:t>Contextul european</w:t>
      </w:r>
      <w:bookmarkEnd w:id="113"/>
    </w:p>
    <w:p w14:paraId="7EECF7C5" w14:textId="77777777" w:rsidR="00026627" w:rsidRPr="00A73566" w:rsidRDefault="00026627" w:rsidP="003723E1">
      <w:pPr>
        <w:ind w:firstLine="567"/>
        <w:rPr>
          <w:rFonts w:ascii="Times New Roman" w:hAnsi="Times New Roman" w:cs="Times New Roman"/>
          <w:lang w:val="ro-RO"/>
        </w:rPr>
      </w:pPr>
      <w:r w:rsidRPr="00A73566">
        <w:rPr>
          <w:rFonts w:ascii="Times New Roman" w:hAnsi="Times New Roman" w:cs="Times New Roman"/>
          <w:lang w:val="ro-RO"/>
        </w:rPr>
        <w:t>În mare parte, provocările la nivel globale sunt caracteristice și pentru piața europeană, doar că, spre deosebire de oportunitățile de care pot beneficia producătorii autohtoni pe piața globală, piață europeană are un șir de facilitați, incontestabil mai favorabile.</w:t>
      </w:r>
    </w:p>
    <w:p w14:paraId="63EA3E38" w14:textId="77777777" w:rsidR="00026627" w:rsidRPr="00A73566" w:rsidRDefault="00026627" w:rsidP="00462F26">
      <w:pPr>
        <w:rPr>
          <w:rFonts w:ascii="Times New Roman" w:hAnsi="Times New Roman" w:cs="Times New Roman"/>
          <w:lang w:val="ro-RO"/>
        </w:rPr>
      </w:pPr>
      <w:r w:rsidRPr="00A73566">
        <w:rPr>
          <w:rFonts w:ascii="Times New Roman" w:hAnsi="Times New Roman" w:cs="Times New Roman"/>
          <w:lang w:val="ro-RO"/>
        </w:rPr>
        <w:t xml:space="preserve"> </w:t>
      </w:r>
      <w:r w:rsidRPr="00A73566">
        <w:rPr>
          <w:rFonts w:ascii="Times New Roman" w:hAnsi="Times New Roman" w:cs="Times New Roman"/>
          <w:i/>
          <w:iCs/>
          <w:lang w:val="ro-RO"/>
        </w:rPr>
        <w:t xml:space="preserve">Piața unică. </w:t>
      </w:r>
      <w:r w:rsidRPr="00A73566">
        <w:rPr>
          <w:rFonts w:ascii="Times New Roman" w:hAnsi="Times New Roman" w:cs="Times New Roman"/>
          <w:iCs/>
          <w:lang w:val="ro-RO"/>
        </w:rPr>
        <w:t>C</w:t>
      </w:r>
      <w:r w:rsidRPr="00A73566">
        <w:rPr>
          <w:rFonts w:ascii="Times New Roman" w:hAnsi="Times New Roman" w:cs="Times New Roman"/>
          <w:lang w:val="ro-RO"/>
        </w:rPr>
        <w:t>ea mai importantă realizare a Uniunii Europene poate fi disponibila si pentru producătorii autohtoni, dac[ vor fi îndeplinite câteva condiții esențiale: armonizarea legislației, retehnologizarea proceselor de creștere și procesare în scopul obținerii produsului final conform cerințelor pieței europene: preț competitiv argumentat, inofensivitatea produsului, menținerea parametrilor de calitate pentru întregul lot de marfa contractată, certificatul de calitate a procesului de producere și produsul propriu zis, graficul de livrare.</w:t>
      </w:r>
    </w:p>
    <w:p w14:paraId="2C61DBB6" w14:textId="77777777" w:rsidR="00026627" w:rsidRPr="00A73566" w:rsidRDefault="00026627" w:rsidP="00462F26">
      <w:pPr>
        <w:rPr>
          <w:rFonts w:ascii="Times New Roman" w:hAnsi="Times New Roman" w:cs="Times New Roman"/>
          <w:u w:val="single"/>
          <w:lang w:val="ro-RO"/>
        </w:rPr>
      </w:pPr>
      <w:r w:rsidRPr="00A73566">
        <w:rPr>
          <w:rFonts w:ascii="Times New Roman" w:hAnsi="Times New Roman" w:cs="Times New Roman"/>
          <w:i/>
          <w:iCs/>
          <w:lang w:val="ro-RO"/>
        </w:rPr>
        <w:t>Uniformitatea pieței</w:t>
      </w:r>
      <w:r w:rsidRPr="00A73566">
        <w:rPr>
          <w:rFonts w:ascii="Times New Roman" w:hAnsi="Times New Roman" w:cs="Times New Roman"/>
          <w:lang w:val="ro-RO"/>
        </w:rPr>
        <w:t xml:space="preserve">. Un al beneficiul în comerțul cu UE este faptul că regulile de joc sunt similare pentru toata țările membre. Devierea se poate observa doar la nivel de soi, ambalaj și grafic de livrare, care pot genera condiții specifice, în funcție de destinația produsului. </w:t>
      </w:r>
    </w:p>
    <w:p w14:paraId="4136A823" w14:textId="77777777" w:rsidR="00026627" w:rsidRPr="00A73566" w:rsidRDefault="00026627" w:rsidP="00462F26">
      <w:pPr>
        <w:rPr>
          <w:rFonts w:ascii="Times New Roman" w:hAnsi="Times New Roman" w:cs="Times New Roman"/>
          <w:lang w:val="ro-RO"/>
        </w:rPr>
      </w:pPr>
      <w:r w:rsidRPr="00A73566">
        <w:rPr>
          <w:rFonts w:ascii="Times New Roman" w:hAnsi="Times New Roman" w:cs="Times New Roman"/>
          <w:i/>
          <w:iCs/>
          <w:lang w:val="ro-RO"/>
        </w:rPr>
        <w:t>Stabilitatea vânzărilor</w:t>
      </w:r>
      <w:r w:rsidRPr="00A73566">
        <w:rPr>
          <w:rFonts w:ascii="Times New Roman" w:hAnsi="Times New Roman" w:cs="Times New Roman"/>
          <w:lang w:val="ro-RO"/>
        </w:rPr>
        <w:t xml:space="preserve">. Spre deosebire de piețele tradiționale, piață UE se caracterizează printr-o stabilitate în vânzări, transparență în efectuarea tranzacțiilor și posibilitatea efectuării previziunilor în volum si timp. </w:t>
      </w:r>
    </w:p>
    <w:p w14:paraId="68DD2A71" w14:textId="77777777" w:rsidR="00026627" w:rsidRPr="00A73566" w:rsidRDefault="00026627" w:rsidP="00462F26">
      <w:pPr>
        <w:rPr>
          <w:rFonts w:ascii="Times New Roman" w:hAnsi="Times New Roman" w:cs="Times New Roman"/>
          <w:lang w:val="ro-RO"/>
        </w:rPr>
      </w:pPr>
      <w:r w:rsidRPr="00A73566">
        <w:rPr>
          <w:rFonts w:ascii="Times New Roman" w:hAnsi="Times New Roman" w:cs="Times New Roman"/>
          <w:i/>
          <w:iCs/>
          <w:lang w:val="ro-RO"/>
        </w:rPr>
        <w:t>Preț competitiv</w:t>
      </w:r>
      <w:r w:rsidRPr="00A73566">
        <w:rPr>
          <w:rFonts w:ascii="Times New Roman" w:hAnsi="Times New Roman" w:cs="Times New Roman"/>
          <w:lang w:val="ro-RO"/>
        </w:rPr>
        <w:t xml:space="preserve">: Piață UE este una din cele mai atractive piețe, fapt că rezultă din volumul si prețul oferit pentru produsele agroalimentare. </w:t>
      </w:r>
    </w:p>
    <w:p w14:paraId="07B22831" w14:textId="77777777" w:rsidR="00026627" w:rsidRPr="00A73566" w:rsidRDefault="00026627" w:rsidP="00462F26">
      <w:pPr>
        <w:rPr>
          <w:rFonts w:ascii="Times New Roman" w:hAnsi="Times New Roman" w:cs="Times New Roman"/>
          <w:lang w:val="ro-RO"/>
        </w:rPr>
      </w:pPr>
      <w:r w:rsidRPr="00A73566">
        <w:rPr>
          <w:rFonts w:ascii="Times New Roman" w:hAnsi="Times New Roman" w:cs="Times New Roman"/>
          <w:i/>
          <w:iCs/>
          <w:lang w:val="ro-RO"/>
        </w:rPr>
        <w:t>Acord DCFTA</w:t>
      </w:r>
      <w:r w:rsidRPr="00A73566">
        <w:rPr>
          <w:rFonts w:ascii="Times New Roman" w:hAnsi="Times New Roman" w:cs="Times New Roman"/>
          <w:lang w:val="ro-RO"/>
        </w:rPr>
        <w:t xml:space="preserve">. Acordul de Asociere care include o Zonă de Liber Schimb Aprofundat și Cuprinzător presupune o asociere politică și integrare economică mai puternică între UE și Republica Moldova și a contribuit la creșterea constantă a volumului de comerț între parteneri. Astfel, în perioada 2014-2020 exporturile agroalimentare în țările UE au crescut  cu  circa 27 la sută. În prezent, UE este cel mai important partener comercial al Republicii Moldova. În 2020, circa 52% din exporturile agroalimentare au fost destinate piețelor din UE. </w:t>
      </w:r>
    </w:p>
    <w:p w14:paraId="54FE07C6" w14:textId="658C5896" w:rsidR="00C06A57" w:rsidRPr="00A73566" w:rsidRDefault="00026627" w:rsidP="003723E1">
      <w:pPr>
        <w:ind w:firstLine="567"/>
        <w:rPr>
          <w:rFonts w:ascii="Times New Roman" w:hAnsi="Times New Roman" w:cs="Times New Roman"/>
          <w:bCs/>
          <w:color w:val="BFBFBF" w:themeColor="background1" w:themeShade="BF"/>
          <w:highlight w:val="green"/>
          <w:lang w:val="ro-RO"/>
        </w:rPr>
      </w:pPr>
      <w:r w:rsidRPr="00A73566">
        <w:rPr>
          <w:rFonts w:ascii="Times New Roman" w:hAnsi="Times New Roman" w:cs="Times New Roman"/>
          <w:lang w:val="ro-RO"/>
        </w:rPr>
        <w:t xml:space="preserve">Cu sprijinul UE, Moldova a </w:t>
      </w:r>
      <w:r w:rsidR="004759CB" w:rsidRPr="00A73566">
        <w:rPr>
          <w:rFonts w:ascii="Times New Roman" w:hAnsi="Times New Roman" w:cs="Times New Roman"/>
          <w:lang w:val="ro-RO"/>
        </w:rPr>
        <w:t>încorporat</w:t>
      </w:r>
      <w:r w:rsidRPr="00A73566">
        <w:rPr>
          <w:rFonts w:ascii="Times New Roman" w:hAnsi="Times New Roman" w:cs="Times New Roman"/>
          <w:lang w:val="ro-RO"/>
        </w:rPr>
        <w:t xml:space="preserve"> deja peste 25.000 de standarde tehnice comunitare în legislația sa națională. Acceptarea unor standarde mai înalte, solicitate pe piețele țârilor din UE, a stimulat indirect si exporturile spre alte țări din afara spațiului UE și CSI. Exporturile agroalimentare în alte țări din afara UE și CSI au crescut semnificativ (cu circa 19%) în perioada 2014-2020.</w:t>
      </w:r>
      <w:r w:rsidR="00290913" w:rsidRPr="00A73566">
        <w:rPr>
          <w:rFonts w:ascii="Times New Roman" w:hAnsi="Times New Roman" w:cs="Times New Roman"/>
          <w:lang w:val="ro-RO"/>
        </w:rPr>
        <w:t xml:space="preserve">  </w:t>
      </w:r>
    </w:p>
    <w:p w14:paraId="76541F71" w14:textId="4F3A7DF7" w:rsidR="00C06A57" w:rsidRDefault="00290913" w:rsidP="003723E1">
      <w:pPr>
        <w:ind w:firstLine="567"/>
        <w:rPr>
          <w:rFonts w:ascii="Times New Roman" w:hAnsi="Times New Roman" w:cs="Times New Roman"/>
          <w:lang w:val="ro-RO"/>
        </w:rPr>
      </w:pPr>
      <w:r w:rsidRPr="00A73566">
        <w:rPr>
          <w:rFonts w:ascii="Times New Roman" w:hAnsi="Times New Roman" w:cs="Times New Roman"/>
          <w:lang w:val="ro-RO"/>
        </w:rPr>
        <w:t xml:space="preserve">Asistența și sprijinul UE pentru reforme au adus cetățenilor Moldovei și alte beneficii concrete. Astfel UE susține în mod activ creșterea economică și crearea locurilor de muncă în Moldova. Acordul ZLSAC (DCFTA) urmărește o relație comercială preferențială, bazată pe condiții mutual avantajoase, acordând fiecărei din aceste părți un acces mai bun pe piață. Acest acord urmărește eliminarea graduală a taxelor vamale de import și export în comerțul produselor între aceste părți și are ca scop eliminarea barierelor în comerțul serviciilor și un acces mai bun al companiilor pe piețele respective. </w:t>
      </w:r>
    </w:p>
    <w:p w14:paraId="53ED5EDD" w14:textId="77777777" w:rsidR="002E19D6" w:rsidRPr="00A73566" w:rsidRDefault="002E19D6" w:rsidP="003723E1">
      <w:pPr>
        <w:ind w:firstLine="567"/>
        <w:rPr>
          <w:rFonts w:ascii="Times New Roman" w:hAnsi="Times New Roman" w:cs="Times New Roman"/>
          <w:bCs/>
          <w:color w:val="BFBFBF" w:themeColor="background1" w:themeShade="BF"/>
          <w:sz w:val="20"/>
          <w:szCs w:val="20"/>
          <w:lang w:val="ro-RO"/>
        </w:rPr>
      </w:pPr>
    </w:p>
    <w:p w14:paraId="4C319473" w14:textId="03170896" w:rsidR="008C520B" w:rsidRPr="00A73566" w:rsidRDefault="008C520B" w:rsidP="00CA12DB">
      <w:pPr>
        <w:pStyle w:val="Heading3"/>
        <w:rPr>
          <w:rFonts w:ascii="Times New Roman" w:hAnsi="Times New Roman" w:cs="Times New Roman"/>
          <w:lang w:val="ro-RO"/>
        </w:rPr>
      </w:pPr>
      <w:bookmarkStart w:id="114" w:name="_Toc88132119"/>
      <w:r w:rsidRPr="00A73566">
        <w:rPr>
          <w:rFonts w:ascii="Times New Roman" w:hAnsi="Times New Roman" w:cs="Times New Roman"/>
          <w:lang w:val="ro-RO"/>
        </w:rPr>
        <w:t xml:space="preserve">Contextul </w:t>
      </w:r>
      <w:r w:rsidR="00815464" w:rsidRPr="00A73566">
        <w:rPr>
          <w:rFonts w:ascii="Times New Roman" w:hAnsi="Times New Roman" w:cs="Times New Roman"/>
          <w:lang w:val="ro-RO"/>
        </w:rPr>
        <w:t>național</w:t>
      </w:r>
      <w:bookmarkEnd w:id="114"/>
    </w:p>
    <w:p w14:paraId="643040AD" w14:textId="1BFFBBE8" w:rsidR="00902673" w:rsidRPr="00A73566" w:rsidRDefault="00184E35" w:rsidP="003723E1">
      <w:pPr>
        <w:ind w:firstLine="567"/>
        <w:rPr>
          <w:rFonts w:ascii="Times New Roman" w:hAnsi="Times New Roman" w:cs="Times New Roman"/>
          <w:lang w:val="ro-RO"/>
        </w:rPr>
      </w:pPr>
      <w:r w:rsidRPr="00A73566">
        <w:rPr>
          <w:rFonts w:ascii="Times New Roman" w:hAnsi="Times New Roman" w:cs="Times New Roman"/>
          <w:lang w:val="ro-RO"/>
        </w:rPr>
        <w:t>În Republica Moldova,  sunt cele mai fertile soluri din lume și condiții climatice favorabile creșterii unei varietăți impunătoare de culturi agricole, care pot asigura un nivel de au</w:t>
      </w:r>
      <w:r w:rsidR="00803F18">
        <w:rPr>
          <w:rFonts w:ascii="Times New Roman" w:hAnsi="Times New Roman" w:cs="Times New Roman"/>
          <w:lang w:val="ro-RO"/>
        </w:rPr>
        <w:t>tosuficiență alimentară sporită</w:t>
      </w:r>
      <w:r w:rsidRPr="00A73566">
        <w:rPr>
          <w:rFonts w:ascii="Times New Roman" w:hAnsi="Times New Roman" w:cs="Times New Roman"/>
          <w:lang w:val="ro-RO"/>
        </w:rPr>
        <w:t xml:space="preserve"> și pot deveni o sursă stabilă de creștere economică pentru bugetul de stat  Prutul și Nistrul sunt surse stabile de apă care pot favoriza creșterea culturilor multianuale, cu o rezistență sporită la secetă, și a culturilor ce necesită irigare, sporind astfel atractivitatea și perspectivele de dezvoltare a sectorului agricol. Un alt factor important este amplasarea geografică a Republicii Moldova  în vecinătatea uneia dintre  cele mai atractive piețe de desfacere din lume - Uniunea Europeană. Cu toate acestea, randamentul sectorului este destul de modeste, iar forța de muncă  este cea mai prost plătită. Consecințele exploatării ne-corespunzătoare a potențialului agroalimentar sunt migrația  masivă, lipsa cronică a brațelor de muncă și, respectiv, venituri ratate  la bugetul de stat. Fenomenul migrației masive rămâne pe un trend ascendent, chiar dacă Guvernul și partenerii de dezvoltare fac eforturi considerabile pentru a ameliora  infrastructura și condițiile de trai în zonele rurale. – Lipsa locurilor de muncă bine plătite în zonele rurale, care ar asigura posibilitatea angajării depline (pentru un an întreg) al salariaților, depășirea cu mult a cererii pentru zilieri (de regulă, angajarea cumulativă pe 4-6 luni pe an, pentru lucrări unde capitalul intelectual nu este faptul determinativ la angajare), comparativ cu oferta pentru locurile cu timp deplin de muncă, nu pot satisface necesitățile financiare a oamenilor din mediul rural.  Influența negativă a mai multor factori au făcut ca potențialul de dezvoltare a sectorului agroindustrial să nu fie valorificat la justa valoare, iar consecințele sociale, economice și ecosistemele să fie tot mai accentuate.</w:t>
      </w:r>
    </w:p>
    <w:p w14:paraId="17877587" w14:textId="43B34A3B" w:rsidR="00184E35" w:rsidRPr="00A73566" w:rsidRDefault="00184E35" w:rsidP="003723E1">
      <w:pPr>
        <w:ind w:firstLine="567"/>
        <w:rPr>
          <w:rFonts w:ascii="Times New Roman" w:hAnsi="Times New Roman" w:cs="Times New Roman"/>
          <w:lang w:val="ro-RO"/>
        </w:rPr>
      </w:pPr>
      <w:r w:rsidRPr="00A73566">
        <w:rPr>
          <w:rFonts w:ascii="Times New Roman" w:hAnsi="Times New Roman" w:cs="Times New Roman"/>
          <w:i/>
          <w:lang w:val="ro-RO"/>
        </w:rPr>
        <w:t xml:space="preserve">Schimbările climaterice </w:t>
      </w:r>
      <w:r w:rsidRPr="00A73566">
        <w:rPr>
          <w:rFonts w:ascii="Times New Roman" w:hAnsi="Times New Roman" w:cs="Times New Roman"/>
          <w:lang w:val="ro-RO"/>
        </w:rPr>
        <w:t xml:space="preserve">vădit reflectate în formă de: temperaturi ridicate pe perioada de vegetație și scăzute pentru perioada rece a anului, lipsa învelișului de zăpadă și variațiile termice în perioada de iarna, număr de zile consecutive fără precipitații și scăderea accentuată a volumului precipitațiilor anuale, calitatea și cantitatea apei pentru irigare, ploi abundente care distrug stratul fertil, au transformat sectorul agricol într-o afacere plină de provocări, depășirea cărora poate fi posibilă doar cu cadre bine pregătite. Instabilitatea principalelor indicatori meteo, temperatura aerului și scăderea volumelor de precipitații au condus la scăderea nivelului de productivitate a principalelor culturi agricole. În asemenea condiții, respectarea tehnologiilor de producere, disponibilitatea soiurilor de plante și a raselor de animale adaptate la noile condiții sunt vital necesare pentru agricultură. </w:t>
      </w:r>
    </w:p>
    <w:p w14:paraId="12E178F6" w14:textId="6526F3FB" w:rsidR="00184E35" w:rsidRPr="00A73566" w:rsidRDefault="00184E35" w:rsidP="003723E1">
      <w:pPr>
        <w:ind w:firstLine="567"/>
        <w:rPr>
          <w:rFonts w:ascii="Times New Roman" w:hAnsi="Times New Roman" w:cs="Times New Roman"/>
          <w:lang w:val="ro-RO"/>
        </w:rPr>
      </w:pPr>
      <w:r w:rsidRPr="00A73566">
        <w:rPr>
          <w:rFonts w:ascii="Times New Roman" w:hAnsi="Times New Roman" w:cs="Times New Roman"/>
          <w:i/>
          <w:lang w:val="ro-RO"/>
        </w:rPr>
        <w:t>Degradarea solului</w:t>
      </w:r>
      <w:r w:rsidR="00A37E48" w:rsidRPr="003723E1">
        <w:rPr>
          <w:rFonts w:ascii="Times New Roman" w:hAnsi="Times New Roman" w:cs="Times New Roman"/>
          <w:lang w:val="ro-RO"/>
        </w:rPr>
        <w:t>.</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Degradarea terenurilor agricole este o mare provocare pentru sectorul agroindustrial din Republica Moldova. Spre deosebire de celelalte resurse naturale, solul este limitat ca întindere. Odată distrus, el nu se va mai putea reface, pentru că nu se pot reproduce condițiile formarii lui. Cauzele degradării solului sunt fie de origine naturală, fie legate, direct sau indirect, de activitatea umană. Iată doar câteva din cauzele degradării accentuate a solului din ultima vreme: Cauze naturale: ploi abundente, temperaturi extreme, vânturi puternice. </w:t>
      </w:r>
    </w:p>
    <w:p w14:paraId="721D40EF" w14:textId="0DFF1542" w:rsidR="004B7FCA" w:rsidRPr="00A73566" w:rsidRDefault="00184E35" w:rsidP="00184E35">
      <w:pPr>
        <w:rPr>
          <w:rFonts w:ascii="Times New Roman" w:hAnsi="Times New Roman" w:cs="Times New Roman"/>
          <w:lang w:val="ro-RO"/>
        </w:rPr>
      </w:pPr>
      <w:r w:rsidRPr="00A73566">
        <w:rPr>
          <w:rFonts w:ascii="Times New Roman" w:hAnsi="Times New Roman" w:cs="Times New Roman"/>
          <w:lang w:val="ro-RO"/>
        </w:rPr>
        <w:t xml:space="preserve">Cauze legate de activitatea </w:t>
      </w:r>
      <w:r w:rsidR="00D936BE" w:rsidRPr="00A73566">
        <w:rPr>
          <w:rFonts w:ascii="Times New Roman" w:hAnsi="Times New Roman" w:cs="Times New Roman"/>
          <w:lang w:val="ro-RO"/>
        </w:rPr>
        <w:t>umană</w:t>
      </w:r>
      <w:r w:rsidRPr="00A73566">
        <w:rPr>
          <w:rFonts w:ascii="Times New Roman" w:hAnsi="Times New Roman" w:cs="Times New Roman"/>
          <w:lang w:val="ro-RO"/>
        </w:rPr>
        <w:t>:  (i) tăierea ne-controlata a fâșiilor de protecție fără obligațiunea de a le restabili, (ii) efectuarea operațiunilor de vânzare-cumpărare, schimb, arenda a terenurilor agricole fără a lua în calcul fâșiile de protecție, (iii) nerespectarea asolamentului, prezența monoculturilor, excluderea din asolament a plantelor fixatoare de azot, semănatul ne-controlat al culturilor tehnice, (iv) degradarea sectorului zootehnic cu consecința în excluderea a culturilor furajere si neintroducerea fertilizantului natural în sol, (v) excluderea obligativității fondării plantațiilor multianuale pe bază de proiect, (vi) arătura necontrolată si trecerea lentă la tehnologiile conservative de lucrare a solului, (vii) insuficiența măsurilor de prevenire și control a degradării solului din partea factorilor de decizie la diferite nivele, (viii) o bună parte din inginerii cadastrali din cadrul APL nu au studii în domeniu, etc.  Acestea sunt doar câteva din cauzele degradării accentuate a solului din ultima vreme.</w:t>
      </w:r>
      <w:r w:rsidR="000547D4" w:rsidRPr="00A73566">
        <w:rPr>
          <w:rFonts w:ascii="Times New Roman" w:hAnsi="Times New Roman" w:cs="Times New Roman"/>
          <w:lang w:val="ro-RO"/>
        </w:rPr>
        <w:t xml:space="preserve"> </w:t>
      </w:r>
    </w:p>
    <w:p w14:paraId="3ABBC0E7" w14:textId="77777777" w:rsidR="00C55AAF" w:rsidRPr="00A73566" w:rsidRDefault="00C94A4F" w:rsidP="003723E1">
      <w:pPr>
        <w:ind w:firstLine="567"/>
        <w:rPr>
          <w:rFonts w:ascii="Times New Roman" w:hAnsi="Times New Roman" w:cs="Times New Roman"/>
          <w:lang w:val="ro-RO"/>
        </w:rPr>
      </w:pPr>
      <w:r w:rsidRPr="00A73566">
        <w:rPr>
          <w:rFonts w:ascii="Times New Roman" w:hAnsi="Times New Roman" w:cs="Times New Roman"/>
          <w:i/>
          <w:lang w:val="ro-RO"/>
        </w:rPr>
        <w:t>Aprovizionarea cu imput-uri</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Producția agricolă a Republicii Moldova este complet dependentă de produsele agrochimice, semințe și carburanți, fapt  ce îi afectează competitivitatea. Toate inputurile primare necesare pentru producția agricolă (combustibil, fertilizanți și produse chimice de protecție a plantelor) sunt importate. Această dependență expune agricultura Republicii Moldova la volatilitatea prețurilor internaționale. Producerea în sectorul agricol este puternic determinată de variația costurilor la imput-uri. Producătorul autohton, practic importă tot, de la motorină până la produsele chimice de protecție și fertilizare. În structura costurilor de producere produsele chimice constituie circa 50-60%. Analiza prevederilor strategice a perioadei 2014-2020 arată lipsa unei viziuni clare în producerea imput-urilor la nivel de țară, ba mai mult, lipsa suportului și atenției din partea statului au făcut ca cei mai mari producători de semințe din tara (Selecția Bălti, Porumbeni si Tiraspol) care aveau o pondere considerabila în producerea semințelor. aducând un aport considerabil la bugetul statului, s-au pomenit în prag de faliment. Distrugerea sectorului zootehnic a rezultat în  importuri masive de îngrășăminte mineral, iar lipsa unui laborator specializat în analiza solului și apei a dus la utilizarea iraționala a îngrășămintelor. </w:t>
      </w:r>
    </w:p>
    <w:p w14:paraId="34178D10" w14:textId="20F016B3" w:rsidR="00C94A4F" w:rsidRPr="00A73566" w:rsidRDefault="00C94A4F" w:rsidP="003723E1">
      <w:pPr>
        <w:ind w:firstLine="567"/>
        <w:rPr>
          <w:rFonts w:ascii="Times New Roman" w:hAnsi="Times New Roman" w:cs="Times New Roman"/>
          <w:lang w:val="ro-RO"/>
        </w:rPr>
      </w:pPr>
      <w:r w:rsidRPr="00A73566">
        <w:rPr>
          <w:rFonts w:ascii="Times New Roman" w:hAnsi="Times New Roman" w:cs="Times New Roman"/>
          <w:i/>
          <w:lang w:val="ro-RO"/>
        </w:rPr>
        <w:t>Sectorul de procesare,</w:t>
      </w:r>
      <w:r w:rsidRPr="00A73566">
        <w:rPr>
          <w:rFonts w:ascii="Times New Roman" w:hAnsi="Times New Roman" w:cs="Times New Roman"/>
          <w:lang w:val="ro-RO"/>
        </w:rPr>
        <w:t xml:space="preserve"> pe parcursul ultimilor 7-10 ani a fost practic neglijat. Micșorarea considerabilă a venitului ca urmare a exportului producției ca materie primă, reducerea producerii legumelor, calitatea producției exportate, creșterea fără precedent a suprafețelor cultivate cu culturi tehnice, sunt doar câteva din consecințele neglijării sectorului de procesare. Marea majoritate a întreprinderilor de procesare au fost egalate cu întreprinderi industriale, fără a avea dreptul la subvenționare ori la alte forme de suport din partea statului. Întreprinderile de procesare au fost dezavantajate. Fiind membru OMC, Moldova nu poate crea înlesniri pentru întreprinderile procesatoare locale, nici chiar pentru cele care își comercializează producția pe piața internă. Concurența cu companiile străine de procesare s-a dovedit dezastroasă pentru întreprinderile locale. Din cele peste 38 companii mari de procesare a fructelor și legumelor care activau în anul 1998, mai sunt active în prezent circa șapte. Sectorul de procesare a fost unul din principalii furnizori de oferte de muncă, iar neglijarea acestui sector poate fi considerată ca una din principalele cauze ale migrație masive Lipsa procesării adecvate a provocat și o debalansare  între exportul și importul produselor alimentare. Politicile agricole neadecvate a transformat R. Moldova într-o țară exportatoare de materie primă, iar importurile produselor alimentare a depășit vădit exportul. Pornind de la principiul economic al formarii lanțului valoric al produsului, în care segmentului de creștere îi revine doar 8-11% din rentabilitate, deducem că posibilitatea obținerii venitului din procesare, care constituie circa 45-50%, a fost neglijată în politicile anterioare. Formula stabilității agroindustriale ”exportăm produse agricole și importăm valută”, s-a inversat atât în defavoarea sectorului, cât și a țării în întregime. În prezent, importul produselor alimentare constituie circa 65% din necesarul produselor alimentare procesate. </w:t>
      </w:r>
    </w:p>
    <w:p w14:paraId="3BCE4B5D" w14:textId="0DDAD5E4" w:rsidR="00B7207B" w:rsidRPr="00A73566" w:rsidRDefault="00184E35" w:rsidP="003723E1">
      <w:pPr>
        <w:ind w:firstLine="567"/>
        <w:rPr>
          <w:rFonts w:ascii="Times New Roman" w:hAnsi="Times New Roman" w:cs="Times New Roman"/>
          <w:lang w:val="ro-RO"/>
        </w:rPr>
      </w:pPr>
      <w:r w:rsidRPr="00A73566">
        <w:rPr>
          <w:rFonts w:ascii="Times New Roman" w:hAnsi="Times New Roman" w:cs="Times New Roman"/>
          <w:i/>
          <w:lang w:val="ro-RO"/>
        </w:rPr>
        <w:t>Agro-marketingu</w:t>
      </w:r>
      <w:r w:rsidRPr="003723E1">
        <w:rPr>
          <w:rFonts w:ascii="Times New Roman" w:hAnsi="Times New Roman" w:cs="Times New Roman"/>
          <w:i/>
          <w:lang w:val="ro-RO"/>
        </w:rPr>
        <w:t>l</w:t>
      </w:r>
      <w:r w:rsidRPr="003723E1">
        <w:rPr>
          <w:rFonts w:ascii="Times New Roman" w:hAnsi="Times New Roman" w:cs="Times New Roman"/>
          <w:lang w:val="ro-RO"/>
        </w:rPr>
        <w:t>.</w:t>
      </w:r>
      <w:r w:rsidRPr="00A73566">
        <w:rPr>
          <w:rFonts w:ascii="Times New Roman" w:hAnsi="Times New Roman" w:cs="Times New Roman"/>
          <w:lang w:val="ro-RO"/>
        </w:rPr>
        <w:t xml:space="preserve"> Analiza acțiunilor pe piețele de desfacere pentru perioada 2014-2020 denotă lipsa unui concept de marketing bine conturat și efort comun la nivel național. </w:t>
      </w:r>
      <w:r w:rsidR="00B7574B" w:rsidRPr="00A73566">
        <w:rPr>
          <w:rFonts w:ascii="Times New Roman" w:hAnsi="Times New Roman" w:cs="Times New Roman"/>
          <w:lang w:val="ro-RO"/>
        </w:rPr>
        <w:t>E</w:t>
      </w:r>
      <w:r w:rsidRPr="00A73566">
        <w:rPr>
          <w:rFonts w:ascii="Times New Roman" w:hAnsi="Times New Roman" w:cs="Times New Roman"/>
          <w:lang w:val="ro-RO"/>
        </w:rPr>
        <w:t>forturile de marketing și comercializare a producției s</w:t>
      </w:r>
      <w:r w:rsidR="00B7574B" w:rsidRPr="00A73566">
        <w:rPr>
          <w:rFonts w:ascii="Times New Roman" w:hAnsi="Times New Roman" w:cs="Times New Roman"/>
          <w:lang w:val="ro-RO"/>
        </w:rPr>
        <w:t>-</w:t>
      </w:r>
      <w:r w:rsidRPr="00A73566">
        <w:rPr>
          <w:rFonts w:ascii="Times New Roman" w:hAnsi="Times New Roman" w:cs="Times New Roman"/>
          <w:lang w:val="ro-RO"/>
        </w:rPr>
        <w:t>au redus</w:t>
      </w:r>
      <w:r w:rsidR="00B7574B" w:rsidRPr="00A73566">
        <w:rPr>
          <w:rFonts w:ascii="Times New Roman" w:hAnsi="Times New Roman" w:cs="Times New Roman"/>
          <w:lang w:val="ro-RO"/>
        </w:rPr>
        <w:t>,</w:t>
      </w:r>
      <w:r w:rsidRPr="00A73566">
        <w:rPr>
          <w:rFonts w:ascii="Times New Roman" w:hAnsi="Times New Roman" w:cs="Times New Roman"/>
          <w:lang w:val="ro-RO"/>
        </w:rPr>
        <w:t xml:space="preserve"> </w:t>
      </w:r>
      <w:r w:rsidR="00B7574B" w:rsidRPr="00A73566">
        <w:rPr>
          <w:rFonts w:ascii="Times New Roman" w:hAnsi="Times New Roman" w:cs="Times New Roman"/>
          <w:lang w:val="ro-RO"/>
        </w:rPr>
        <w:t xml:space="preserve">în mare parte, </w:t>
      </w:r>
      <w:r w:rsidRPr="00A73566">
        <w:rPr>
          <w:rFonts w:ascii="Times New Roman" w:hAnsi="Times New Roman" w:cs="Times New Roman"/>
          <w:lang w:val="ro-RO"/>
        </w:rPr>
        <w:t>la activitățile de participare în cadrul expozițiilor internaționale. Însă decizia de procurare a produselor  aparține consumatorului final. și nu celui intermediar care poate fi doar un formator de opinie al consumatorului. În perioada de referință suportul și ghidările din partea asociațiilor de profil și a statului au fost mult prea modeste. Înființarea unui departament de marketing în cadrul Ministerului Agriculturii, care ar avea ca sarcină elaborarea studiilor de piață și a pronosticurilor sau mai bine zis a unei politici la nivel de stat orientate spre piață și client, ar elimina riscul reducerii volumului de producție pe piețele tradiționale și ar spori prezența  pe piețele noi de desfacere. Lipsa unor previziuni comerciale fundamentate face ca  sortimentul culturilor din exploatațiile agricole să nu fie acceptate pe piețele  noi de către consumator. Un exemplu este sectorul producerii fructelor. care consumă circa 40% din bugetul destinat investițiilor în agricultură,  comercializarea fiind sub nivelul așteptărilor. Depășirea acestor riscuri presupune timp, resurse financiare considerabile, dar și nou sortiment de soiuri și hibrizi.</w:t>
      </w:r>
      <w:r w:rsidR="00B7207B" w:rsidRPr="00A73566">
        <w:rPr>
          <w:rFonts w:ascii="Times New Roman" w:hAnsi="Times New Roman" w:cs="Times New Roman"/>
          <w:lang w:val="ro-RO"/>
        </w:rPr>
        <w:t xml:space="preserve"> </w:t>
      </w:r>
    </w:p>
    <w:p w14:paraId="5DCFA205" w14:textId="0EA0BB64" w:rsidR="00F91DF9" w:rsidRPr="00A73566" w:rsidRDefault="00184E35" w:rsidP="003723E1">
      <w:pPr>
        <w:ind w:firstLine="426"/>
        <w:rPr>
          <w:rFonts w:ascii="Times New Roman" w:hAnsi="Times New Roman" w:cs="Times New Roman"/>
          <w:lang w:val="ro-RO"/>
        </w:rPr>
      </w:pPr>
      <w:r w:rsidRPr="00A73566">
        <w:rPr>
          <w:rFonts w:ascii="Times New Roman" w:hAnsi="Times New Roman" w:cs="Times New Roman"/>
          <w:i/>
          <w:lang w:val="ro-RO"/>
        </w:rPr>
        <w:t>Cooperarea în agricultură</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Globalizarea piețelor de desfacere, trecerea de la piețele en-gros la rețelele de magazine cu condiții mult mai dure de siguranță alimentară  impun noi reguli în comerțul internațional. Dacă până nu demult tranzacțiile comerciale erau caracterizate prin cantități și loturi mici, cu o uniformitate redusă și comercializate, în mare parte, prin intermediul piețelor agricole urbane, atunci comerțul de azi se deosebește prin cantități raportate la mărimea rețelelor comerciale și omogenitate, care să nu facă deosebirea calitativa a produsului, indiferent în care punct al rețelei va fi comercializat. Mai mult ca atât, globalizarea presupune prezența pe rafturile rețelelor comerciale a produselor din întreaga lume, iar aici omogenitatea și siguranța mărfurilor mai este direct influențata și de preț. Pentru a concura pe piețele de desfacere este  vital  necesară o noua abordare în ceea ce privește producere și anume asocierea în crearea </w:t>
      </w:r>
      <w:r w:rsidR="00C55AAF" w:rsidRPr="00A73566">
        <w:rPr>
          <w:rFonts w:ascii="Times New Roman" w:hAnsi="Times New Roman" w:cs="Times New Roman"/>
          <w:lang w:val="ro-RO"/>
        </w:rPr>
        <w:t xml:space="preserve">și </w:t>
      </w:r>
      <w:r w:rsidRPr="00A73566">
        <w:rPr>
          <w:rFonts w:ascii="Times New Roman" w:hAnsi="Times New Roman" w:cs="Times New Roman"/>
          <w:lang w:val="ro-RO"/>
        </w:rPr>
        <w:t xml:space="preserve">comercializarea produsului. Astfel, cooperarea joacă un rol din ce în ce mai determinant în efortul producătorilor agricoli de a obține profit.  Prin cooperare se asigura acces la o gama larga de servicii, resurse naturale, informații și tehnologii, formare și ghidare profesională, care, în final, permit producătorilor autohtoni să concureze de la egal pe piața globală. Luând în considerare specificul pieței autohtone de producere, unde circa ¾ din totalul entităților agricole reprezintă întreprinderile mici și mijlocii, se recomandă să fie conținut procesul de suport în dezvoltarea sistemului de cooperare. </w:t>
      </w:r>
      <w:r w:rsidR="00155AD5" w:rsidRPr="00A73566">
        <w:rPr>
          <w:rFonts w:ascii="Times New Roman" w:hAnsi="Times New Roman" w:cs="Times New Roman"/>
          <w:lang w:val="ro-RO"/>
        </w:rPr>
        <w:t xml:space="preserve">  </w:t>
      </w:r>
    </w:p>
    <w:p w14:paraId="04B6617D" w14:textId="33F591D2" w:rsidR="00B7207B" w:rsidRPr="00A73566" w:rsidRDefault="00184E35" w:rsidP="003723E1">
      <w:pPr>
        <w:ind w:firstLine="426"/>
        <w:rPr>
          <w:rFonts w:ascii="Times New Roman" w:hAnsi="Times New Roman" w:cs="Times New Roman"/>
          <w:lang w:val="ro-RO"/>
        </w:rPr>
      </w:pPr>
      <w:r w:rsidRPr="00A73566">
        <w:rPr>
          <w:rFonts w:ascii="Times New Roman" w:hAnsi="Times New Roman" w:cs="Times New Roman"/>
          <w:i/>
          <w:lang w:val="ro-RO"/>
        </w:rPr>
        <w:t>Asigurarea de riscuri în agricultur</w:t>
      </w:r>
      <w:r w:rsidRPr="003723E1">
        <w:rPr>
          <w:rFonts w:ascii="Times New Roman" w:hAnsi="Times New Roman" w:cs="Times New Roman"/>
          <w:i/>
          <w:lang w:val="ro-RO"/>
        </w:rPr>
        <w:t>ă</w:t>
      </w:r>
      <w:r w:rsidRPr="003723E1">
        <w:rPr>
          <w:rFonts w:ascii="Times New Roman" w:hAnsi="Times New Roman" w:cs="Times New Roman"/>
          <w:lang w:val="ro-RO"/>
        </w:rPr>
        <w:t>.</w:t>
      </w:r>
      <w:r w:rsidRPr="00A73566">
        <w:rPr>
          <w:rFonts w:ascii="Times New Roman" w:hAnsi="Times New Roman" w:cs="Times New Roman"/>
          <w:lang w:val="ro-RO"/>
        </w:rPr>
        <w:t xml:space="preserve"> Abundenta ploilor în perioada de vară, însoțite de căderi masive de grindină, înghețurile târzii de primăvara și/sau devreme în perioada de toamnă, provoacă pierderi colosale în sector. La aceste fenomene se mai adaugă și secetele îndelungate care au loc tot mai frecvent și care, de asemenea, reduc semnificativ potențialul de producere a culturilor agricole. Este necesar de creat un Fond mutual care ar asigura diminuarea compensatorie a eventualelor pierderi în agricultură, cauzate de calamități naturale.</w:t>
      </w:r>
      <w:r w:rsidR="00B7207B" w:rsidRPr="00A73566">
        <w:rPr>
          <w:rFonts w:ascii="Times New Roman" w:hAnsi="Times New Roman" w:cs="Times New Roman"/>
          <w:lang w:val="ro-RO"/>
        </w:rPr>
        <w:t xml:space="preserve">  </w:t>
      </w:r>
    </w:p>
    <w:p w14:paraId="54DEF821" w14:textId="411CF41F" w:rsidR="003A5FF0" w:rsidRPr="00A73566" w:rsidRDefault="00184E35" w:rsidP="003723E1">
      <w:pPr>
        <w:ind w:firstLine="426"/>
        <w:rPr>
          <w:rFonts w:ascii="Times New Roman" w:hAnsi="Times New Roman" w:cs="Times New Roman"/>
          <w:lang w:val="ro-RO"/>
        </w:rPr>
      </w:pPr>
      <w:r w:rsidRPr="00A73566">
        <w:rPr>
          <w:rFonts w:ascii="Times New Roman" w:hAnsi="Times New Roman" w:cs="Times New Roman"/>
          <w:i/>
          <w:lang w:val="ro-RO"/>
        </w:rPr>
        <w:t>Științele agrare, cercetarea, transferul de cunoștințe și extensiunea</w:t>
      </w:r>
      <w:r w:rsidRPr="003723E1">
        <w:rPr>
          <w:rFonts w:ascii="Times New Roman" w:hAnsi="Times New Roman" w:cs="Times New Roman"/>
          <w:lang w:val="ro-RO"/>
        </w:rPr>
        <w:t xml:space="preserve">. </w:t>
      </w:r>
      <w:r w:rsidRPr="00A73566">
        <w:rPr>
          <w:rFonts w:ascii="Times New Roman" w:hAnsi="Times New Roman" w:cs="Times New Roman"/>
          <w:lang w:val="ro-RO"/>
        </w:rPr>
        <w:t xml:space="preserve">Sistemul actual de cercetare, inovare, educație și extensiune rurală din domeniul agroalimentar nu funcționează ca un sistem integrat, lipsindu-i inter-conexiunile funcționale dintre știință și producere. Legătura dintre oferta de cercetare și produsele reale ale instituțiilor, corelate cu necesitățile concrete ale fermierilor și/sau ale oamenilor de afaceri practic lipsesc. În mare parte, proiectele de cercetare ale institutelor științifice nu țin cont de nevoile sectorului real, iar programele de formare profesională sunt concepute doar pentru a asigura supraviețuirea instituțiilor de învățământ. Cu toate că necesitatea reformării sistemului a fost menționată în strategia anterioară, acest indicator practic nu a fost realizat Necesitatea stringentă de reformare a sistemului de cercetare, inovare și transfer tehnologic rămâne una din provocările cu care se confrunta agricultura Republicii Moldova. Neglijarea în continuare a acestui domeniu se va solda în viitorul apropiat cu dispariția instituțiilor de învățământ în domeniu și cu pierderi colosale în producere ca rezultat al utilizării soiurilor, hibrizilor și rașelelor de animale neadaptate la condițiile locale. Mai mult ca atât, neadaptarea, iar ulterior nerespectarea tehnologiilor de creștere, procesare și export al producției agroindustriale va genera costuri adiționale și prețuri necompetitive pe piața de desfacere. </w:t>
      </w:r>
      <w:r w:rsidR="00377BDE" w:rsidRPr="00A73566">
        <w:rPr>
          <w:rFonts w:ascii="Times New Roman" w:hAnsi="Times New Roman" w:cs="Times New Roman"/>
          <w:lang w:val="ro-RO"/>
        </w:rPr>
        <w:t xml:space="preserve"> </w:t>
      </w:r>
      <w:r w:rsidR="00300283" w:rsidRPr="00A73566">
        <w:rPr>
          <w:rFonts w:ascii="Times New Roman" w:hAnsi="Times New Roman" w:cs="Times New Roman"/>
          <w:lang w:val="ro-RO"/>
        </w:rPr>
        <w:t xml:space="preserve">  </w:t>
      </w:r>
    </w:p>
    <w:p w14:paraId="6A8EA532" w14:textId="0EEA0E8F" w:rsidR="00184E35" w:rsidRPr="00A73566" w:rsidRDefault="00184E35" w:rsidP="003723E1">
      <w:pPr>
        <w:ind w:firstLine="426"/>
        <w:rPr>
          <w:rFonts w:ascii="Times New Roman" w:hAnsi="Times New Roman" w:cs="Times New Roman"/>
          <w:lang w:val="ro-RO"/>
        </w:rPr>
      </w:pPr>
      <w:r w:rsidRPr="00A73566">
        <w:rPr>
          <w:rFonts w:ascii="Times New Roman" w:hAnsi="Times New Roman" w:cs="Times New Roman"/>
          <w:i/>
          <w:lang w:val="ro-RO"/>
        </w:rPr>
        <w:t>Disponibilitatea surselor financiare.</w:t>
      </w:r>
      <w:r w:rsidRPr="00A73566">
        <w:rPr>
          <w:rFonts w:ascii="Times New Roman" w:hAnsi="Times New Roman" w:cs="Times New Roman"/>
          <w:lang w:val="ro-RO"/>
        </w:rPr>
        <w:t xml:space="preserve"> Principalii finanțatori al sectorului agroindustrial sunt producătorii agricoli ca investitori, </w:t>
      </w:r>
      <w:r w:rsidR="000006B3" w:rsidRPr="00A73566">
        <w:rPr>
          <w:rFonts w:ascii="Times New Roman" w:hAnsi="Times New Roman" w:cs="Times New Roman"/>
          <w:lang w:val="ro-RO"/>
        </w:rPr>
        <w:t xml:space="preserve">statul </w:t>
      </w:r>
      <w:r w:rsidRPr="00A73566">
        <w:rPr>
          <w:rFonts w:ascii="Times New Roman" w:hAnsi="Times New Roman" w:cs="Times New Roman"/>
          <w:lang w:val="ro-RO"/>
        </w:rPr>
        <w:t xml:space="preserve">prin intermediul AIPA, </w:t>
      </w:r>
      <w:r w:rsidR="005413B9" w:rsidRPr="00A73566">
        <w:rPr>
          <w:rFonts w:ascii="Times New Roman" w:hAnsi="Times New Roman" w:cs="Times New Roman"/>
          <w:lang w:val="ro-RO"/>
        </w:rPr>
        <w:t xml:space="preserve">ADMA (Agenția pentru Dezvoltarea și Modernizarea Agriculturii) </w:t>
      </w:r>
      <w:r w:rsidRPr="00A73566">
        <w:rPr>
          <w:rFonts w:ascii="Times New Roman" w:hAnsi="Times New Roman" w:cs="Times New Roman"/>
          <w:lang w:val="ro-RO"/>
        </w:rPr>
        <w:t xml:space="preserve">ODIMM, Unităților de implementare al  IFAD, Băncii Mondiale, Băncii Europene de Investiții, , precum și partenerii de dezvoltare: Uniunea Europeană, Programul Națiunilor Unite pentru Dezvoltare (PNUD), SUA prin intermediul USAID, Guvernele Japoniei, Suediei, Cehiei, Poloniei, României, Slovaciei, Ungariei, Danemarcei, Țărilor de Jos, FAO, precum si alți investitori de peste hotare. Analiza disponibilității surselor financiare pentru dezvoltarea agriculturii și a eficienței utilizării lor au scos la iveală câteva momente. Contrar afirmațiilor privind lipsa finanțării adecvate, în perioada 2014-2019 în agricultura Republicii Moldova au fost investite de către donatorii externi cel puțin 11,5 mld. MDL, iar împreuna cu subvențiile acordate afiliate de circa 4,9 mld. MDL suma investițiilor se ridică la circa 16,4  mld. MDL. Cifrele menționate nu includ investițiile efectuate de producătorii agricoli din resursele proprii si suportul acordat de stat din fondul de rezerva pentru </w:t>
      </w:r>
      <w:r w:rsidR="00763878" w:rsidRPr="00A73566">
        <w:rPr>
          <w:rFonts w:ascii="Times New Roman" w:hAnsi="Times New Roman" w:cs="Times New Roman"/>
          <w:lang w:val="ro-RO"/>
        </w:rPr>
        <w:t xml:space="preserve">diminuarea </w:t>
      </w:r>
      <w:r w:rsidRPr="00A73566">
        <w:rPr>
          <w:rFonts w:ascii="Times New Roman" w:hAnsi="Times New Roman" w:cs="Times New Roman"/>
          <w:lang w:val="ro-RO"/>
        </w:rPr>
        <w:t xml:space="preserve">consecințelor calamitaților naturale. Dacă estimam contribuția proprie a producătorilor agricoli la circa 40%, obținem o sumă totală de investiții în sectorul agricol de peste 23,0 mld MDL. </w:t>
      </w:r>
    </w:p>
    <w:p w14:paraId="7D645CA2" w14:textId="4B64209A" w:rsidR="00184E35" w:rsidRPr="00A73566" w:rsidRDefault="00184E35" w:rsidP="003723E1">
      <w:pPr>
        <w:ind w:firstLine="426"/>
        <w:rPr>
          <w:rFonts w:ascii="Times New Roman" w:hAnsi="Times New Roman" w:cs="Times New Roman"/>
          <w:lang w:val="ro-RO"/>
        </w:rPr>
      </w:pPr>
      <w:r w:rsidRPr="00A73566">
        <w:rPr>
          <w:rFonts w:ascii="Times New Roman" w:hAnsi="Times New Roman" w:cs="Times New Roman"/>
          <w:lang w:val="ro-RO"/>
        </w:rPr>
        <w:t>Analizând eficiența utilizării surselor financiare, trebuie menționat faptul că valoarea totală a producției agricole în perioada 2014-2019 a fost de circa 186,2 mld MDL. Raportând această valoare totală la suma totală a investițiilor în sectorul agricol, obținem cifra de circa 8,0 MDL de producție agricolă obținută la fiecare leu investit în sector. Acesta este un indicator destul de bun, d</w:t>
      </w:r>
      <w:r w:rsidR="00763878" w:rsidRPr="00A73566">
        <w:rPr>
          <w:rFonts w:ascii="Times New Roman" w:hAnsi="Times New Roman" w:cs="Times New Roman"/>
          <w:lang w:val="ro-RO"/>
        </w:rPr>
        <w:t>o</w:t>
      </w:r>
      <w:r w:rsidRPr="00A73566">
        <w:rPr>
          <w:rFonts w:ascii="Times New Roman" w:hAnsi="Times New Roman" w:cs="Times New Roman"/>
          <w:lang w:val="ro-RO"/>
        </w:rPr>
        <w:t xml:space="preserve">ar </w:t>
      </w:r>
      <w:r w:rsidR="00763878" w:rsidRPr="00A73566">
        <w:rPr>
          <w:rFonts w:ascii="Times New Roman" w:hAnsi="Times New Roman" w:cs="Times New Roman"/>
          <w:lang w:val="ro-RO"/>
        </w:rPr>
        <w:t xml:space="preserve">că </w:t>
      </w:r>
      <w:r w:rsidRPr="00A73566">
        <w:rPr>
          <w:rFonts w:ascii="Times New Roman" w:hAnsi="Times New Roman" w:cs="Times New Roman"/>
          <w:lang w:val="ro-RO"/>
        </w:rPr>
        <w:t xml:space="preserve">nu poate fi atribuit în întregime </w:t>
      </w:r>
      <w:r w:rsidR="00763878" w:rsidRPr="00A73566">
        <w:rPr>
          <w:rFonts w:ascii="Times New Roman" w:hAnsi="Times New Roman" w:cs="Times New Roman"/>
          <w:lang w:val="ro-RO"/>
        </w:rPr>
        <w:t xml:space="preserve">efectului </w:t>
      </w:r>
      <w:r w:rsidRPr="00A73566">
        <w:rPr>
          <w:rFonts w:ascii="Times New Roman" w:hAnsi="Times New Roman" w:cs="Times New Roman"/>
          <w:lang w:val="ro-RO"/>
        </w:rPr>
        <w:t xml:space="preserve">investițiilor </w:t>
      </w:r>
      <w:r w:rsidR="00763878" w:rsidRPr="00A73566">
        <w:rPr>
          <w:rFonts w:ascii="Times New Roman" w:hAnsi="Times New Roman" w:cs="Times New Roman"/>
          <w:lang w:val="ro-RO"/>
        </w:rPr>
        <w:t xml:space="preserve">directe </w:t>
      </w:r>
      <w:r w:rsidRPr="00A73566">
        <w:rPr>
          <w:rFonts w:ascii="Times New Roman" w:hAnsi="Times New Roman" w:cs="Times New Roman"/>
          <w:lang w:val="ro-RO"/>
        </w:rPr>
        <w:t>în sector</w:t>
      </w:r>
      <w:r w:rsidR="00763878" w:rsidRPr="00A73566">
        <w:rPr>
          <w:rFonts w:ascii="Times New Roman" w:hAnsi="Times New Roman" w:cs="Times New Roman"/>
          <w:lang w:val="ro-RO"/>
        </w:rPr>
        <w:t>. Condițiile piedo-climaterice naturale favorabile agriculturii au multiplicat valoare investițiilor</w:t>
      </w:r>
      <w:r w:rsidR="008B3936" w:rsidRPr="00A73566">
        <w:rPr>
          <w:rFonts w:ascii="Times New Roman" w:hAnsi="Times New Roman" w:cs="Times New Roman"/>
          <w:lang w:val="ro-RO"/>
        </w:rPr>
        <w:t xml:space="preserve">, totodată cifrele de rezultat al recoltelor obținute comparativ cu vecinii indica la potențialul </w:t>
      </w:r>
      <w:r w:rsidRPr="00A73566">
        <w:rPr>
          <w:rFonts w:ascii="Times New Roman" w:hAnsi="Times New Roman" w:cs="Times New Roman"/>
          <w:lang w:val="ro-RO"/>
        </w:rPr>
        <w:t xml:space="preserve"> nevalorificat al sectorului agroalimentar din Republica Moldova. </w:t>
      </w:r>
    </w:p>
    <w:p w14:paraId="7D6EF0FC" w14:textId="6FD1DE41" w:rsidR="00C01098" w:rsidRPr="00A73566" w:rsidRDefault="00184E35" w:rsidP="003723E1">
      <w:pPr>
        <w:ind w:firstLine="426"/>
        <w:rPr>
          <w:rFonts w:ascii="Times New Roman" w:hAnsi="Times New Roman" w:cs="Times New Roman"/>
          <w:lang w:val="ro-RO"/>
        </w:rPr>
      </w:pPr>
      <w:r w:rsidRPr="00A73566">
        <w:rPr>
          <w:rFonts w:ascii="Times New Roman" w:hAnsi="Times New Roman" w:cs="Times New Roman"/>
          <w:lang w:val="ro-RO"/>
        </w:rPr>
        <w:t xml:space="preserve">În concluzie, putem spune că potențialul sectorului </w:t>
      </w:r>
      <w:r w:rsidR="008B3936" w:rsidRPr="00A73566">
        <w:rPr>
          <w:rFonts w:ascii="Times New Roman" w:hAnsi="Times New Roman" w:cs="Times New Roman"/>
          <w:lang w:val="ro-RO"/>
        </w:rPr>
        <w:t xml:space="preserve">pe departe nu a </w:t>
      </w:r>
      <w:r w:rsidRPr="00A73566">
        <w:rPr>
          <w:rFonts w:ascii="Times New Roman" w:hAnsi="Times New Roman" w:cs="Times New Roman"/>
          <w:lang w:val="ro-RO"/>
        </w:rPr>
        <w:t>fost valorificat.  În mare parte, investițiile au fost direcționate  în  sectoarele cu valoare mică, și mai puțin în dezvoltarea sectoarelor cu valoare adăugată înaltă, cum ar fi procesarea, zootehnia, etc.</w:t>
      </w:r>
      <w:r w:rsidR="00911A08" w:rsidRPr="00A73566">
        <w:rPr>
          <w:rFonts w:ascii="Times New Roman" w:hAnsi="Times New Roman" w:cs="Times New Roman"/>
          <w:lang w:val="ro-RO"/>
        </w:rPr>
        <w:t xml:space="preserve"> </w:t>
      </w:r>
      <w:r w:rsidR="00B83AE9" w:rsidRPr="00A73566">
        <w:rPr>
          <w:rFonts w:ascii="Times New Roman" w:hAnsi="Times New Roman" w:cs="Times New Roman"/>
          <w:lang w:val="ro-RO"/>
        </w:rPr>
        <w:t>Nu mai puține carente se atesta și la compartimentul rentabilitatea si mărimea recoltelor, precum și procesarea producției agricole.</w:t>
      </w:r>
    </w:p>
    <w:p w14:paraId="59502883" w14:textId="04F00527" w:rsidR="00184E35" w:rsidRPr="00A73566" w:rsidRDefault="00184E35" w:rsidP="003723E1">
      <w:pPr>
        <w:ind w:firstLine="426"/>
        <w:rPr>
          <w:rFonts w:ascii="Times New Roman" w:hAnsi="Times New Roman" w:cs="Times New Roman"/>
          <w:lang w:val="ro-RO"/>
        </w:rPr>
      </w:pPr>
      <w:r w:rsidRPr="00A73566">
        <w:rPr>
          <w:rFonts w:ascii="Times New Roman" w:hAnsi="Times New Roman" w:cs="Times New Roman"/>
          <w:i/>
          <w:lang w:val="ro-RO"/>
        </w:rPr>
        <w:t>Instabilitatea administrativ-manageriala a organelor centrale.</w:t>
      </w:r>
      <w:r w:rsidRPr="00A73566">
        <w:rPr>
          <w:rFonts w:ascii="Times New Roman" w:hAnsi="Times New Roman" w:cs="Times New Roman"/>
          <w:lang w:val="ro-RO"/>
        </w:rPr>
        <w:t xml:space="preserve"> Pe parcursul perioadei de referința (2014-2020) au fost numiți </w:t>
      </w:r>
      <w:r w:rsidR="00C55AAF" w:rsidRPr="00A73566">
        <w:rPr>
          <w:rFonts w:ascii="Times New Roman" w:hAnsi="Times New Roman" w:cs="Times New Roman"/>
          <w:lang w:val="ro-RO"/>
        </w:rPr>
        <w:t>ș</w:t>
      </w:r>
      <w:r w:rsidRPr="00A73566">
        <w:rPr>
          <w:rFonts w:ascii="Times New Roman" w:hAnsi="Times New Roman" w:cs="Times New Roman"/>
          <w:lang w:val="ro-RO"/>
        </w:rPr>
        <w:t xml:space="preserve">i demiși șapte Miniștri, au fost implementate trei reforme administrativ-manageriale în rezultatul cărora la Ministerul Agriculturii au fost conectat Ministerul Mediului si o parte din Ministerul Dezvoltării Regionale si Construcțiilor, fiind înlocuiți și specialiștii din aceste ministere. La aceste turbulențele se mai adaugă si schimbarea sediului, dar si faptul că în perioada 2018-2020 direcțiile ce reprezentau </w:t>
      </w:r>
      <w:r w:rsidR="00B83AE9" w:rsidRPr="00A73566">
        <w:rPr>
          <w:rFonts w:ascii="Times New Roman" w:hAnsi="Times New Roman" w:cs="Times New Roman"/>
          <w:lang w:val="ro-RO"/>
        </w:rPr>
        <w:t xml:space="preserve">întregul sector agroindustrial </w:t>
      </w:r>
      <w:r w:rsidRPr="00A73566">
        <w:rPr>
          <w:rFonts w:ascii="Times New Roman" w:hAnsi="Times New Roman" w:cs="Times New Roman"/>
          <w:lang w:val="ro-RO"/>
        </w:rPr>
        <w:t xml:space="preserve">aveau în componența lor circa 24 angajați -  fapt ce vorbește despre insuficiența vădită a capitalului intelectual responsabil de gestiunea problemelor din sector. Problema lipsei specialiștilor </w:t>
      </w:r>
      <w:r w:rsidR="008F257F" w:rsidRPr="00A73566">
        <w:rPr>
          <w:rFonts w:ascii="Times New Roman" w:hAnsi="Times New Roman" w:cs="Times New Roman"/>
          <w:lang w:val="ro-RO"/>
        </w:rPr>
        <w:t xml:space="preserve">a influențat negativ și </w:t>
      </w:r>
      <w:r w:rsidRPr="00A73566">
        <w:rPr>
          <w:rFonts w:ascii="Times New Roman" w:hAnsi="Times New Roman" w:cs="Times New Roman"/>
          <w:lang w:val="ro-RO"/>
        </w:rPr>
        <w:t xml:space="preserve"> procesul de armonizare a legislației</w:t>
      </w:r>
      <w:r w:rsidR="008F257F" w:rsidRPr="00A73566">
        <w:rPr>
          <w:rFonts w:ascii="Times New Roman" w:hAnsi="Times New Roman" w:cs="Times New Roman"/>
          <w:lang w:val="ro-RO"/>
        </w:rPr>
        <w:t xml:space="preserve"> </w:t>
      </w:r>
      <w:r w:rsidR="00386A27" w:rsidRPr="00A73566">
        <w:rPr>
          <w:rFonts w:ascii="Times New Roman" w:hAnsi="Times New Roman" w:cs="Times New Roman"/>
          <w:lang w:val="ro-RO"/>
        </w:rPr>
        <w:t>naționale</w:t>
      </w:r>
      <w:r w:rsidRPr="00A73566">
        <w:rPr>
          <w:rFonts w:ascii="Times New Roman" w:hAnsi="Times New Roman" w:cs="Times New Roman"/>
          <w:lang w:val="ro-RO"/>
        </w:rPr>
        <w:t xml:space="preserve"> </w:t>
      </w:r>
      <w:r w:rsidR="00386A27" w:rsidRPr="00A73566">
        <w:rPr>
          <w:rFonts w:ascii="Times New Roman" w:hAnsi="Times New Roman" w:cs="Times New Roman"/>
          <w:lang w:val="ro-RO"/>
        </w:rPr>
        <w:t xml:space="preserve">la </w:t>
      </w:r>
      <w:r w:rsidR="008F257F" w:rsidRPr="00A73566">
        <w:rPr>
          <w:rFonts w:ascii="Times New Roman" w:hAnsi="Times New Roman" w:cs="Times New Roman"/>
          <w:lang w:val="ro-RO"/>
        </w:rPr>
        <w:t xml:space="preserve">Acquis-ul european </w:t>
      </w:r>
      <w:r w:rsidRPr="00A73566">
        <w:rPr>
          <w:rFonts w:ascii="Times New Roman" w:hAnsi="Times New Roman" w:cs="Times New Roman"/>
          <w:lang w:val="ro-RO"/>
        </w:rPr>
        <w:t>, responsabilități asumate de carte partea moldovenească odată cu  semnarea Acordului de asociere cu UE. În mare parte, aceasta a fost si cauza nerealizării pe deplin a angajamentelor asumate în cadrul Acordului de asociere cu UE</w:t>
      </w:r>
      <w:r w:rsidR="00386A27" w:rsidRPr="00A73566">
        <w:rPr>
          <w:rFonts w:ascii="Times New Roman" w:hAnsi="Times New Roman" w:cs="Times New Roman"/>
          <w:lang w:val="ro-RO"/>
        </w:rPr>
        <w:t xml:space="preserve">, iar în rezultat multe din activități care urmau sa fie implementate </w:t>
      </w:r>
      <w:r w:rsidR="000006B3" w:rsidRPr="00A73566">
        <w:rPr>
          <w:rFonts w:ascii="Times New Roman" w:hAnsi="Times New Roman" w:cs="Times New Roman"/>
          <w:lang w:val="ro-RO"/>
        </w:rPr>
        <w:t>încă</w:t>
      </w:r>
      <w:r w:rsidR="00386A27" w:rsidRPr="00A73566">
        <w:rPr>
          <w:rFonts w:ascii="Times New Roman" w:hAnsi="Times New Roman" w:cs="Times New Roman"/>
          <w:lang w:val="ro-RO"/>
        </w:rPr>
        <w:t xml:space="preserve"> nu sunt realizate. Exemplu elocvent  este </w:t>
      </w:r>
      <w:r w:rsidR="000006B3" w:rsidRPr="00A73566">
        <w:rPr>
          <w:rFonts w:ascii="Times New Roman" w:hAnsi="Times New Roman" w:cs="Times New Roman"/>
          <w:lang w:val="ro-RO"/>
        </w:rPr>
        <w:t>p</w:t>
      </w:r>
      <w:r w:rsidR="00386A27" w:rsidRPr="00A73566">
        <w:rPr>
          <w:rFonts w:ascii="Times New Roman" w:hAnsi="Times New Roman" w:cs="Times New Roman"/>
          <w:lang w:val="ro-RO"/>
        </w:rPr>
        <w:t>ermisiunea de export a cârnii de pasare si ouălor de categoria B care mai bune de cinci ani rămâne doar in discuții, iar sectorul zootehnica atesta venit ratat considerabil</w:t>
      </w:r>
      <w:r w:rsidRPr="00A73566">
        <w:rPr>
          <w:rFonts w:ascii="Times New Roman" w:hAnsi="Times New Roman" w:cs="Times New Roman"/>
          <w:lang w:val="ro-RO"/>
        </w:rPr>
        <w:t xml:space="preserve">. La compartimentul instabilitate vorbim și despre direcțiile agricole raionale care au o vagă legătură cu ministerul, îndeplinind rolul mai mult de statisticieni, decât de gestionari </w:t>
      </w:r>
      <w:r w:rsidR="00386A27" w:rsidRPr="00A73566">
        <w:rPr>
          <w:rFonts w:ascii="Times New Roman" w:hAnsi="Times New Roman" w:cs="Times New Roman"/>
          <w:lang w:val="ro-RO"/>
        </w:rPr>
        <w:t xml:space="preserve">și promotori </w:t>
      </w:r>
      <w:r w:rsidRPr="00A73566">
        <w:rPr>
          <w:rFonts w:ascii="Times New Roman" w:hAnsi="Times New Roman" w:cs="Times New Roman"/>
          <w:lang w:val="ro-RO"/>
        </w:rPr>
        <w:t xml:space="preserve">ai politicilor agrare în zonele rurale. </w:t>
      </w:r>
    </w:p>
    <w:p w14:paraId="0EDDA2B6" w14:textId="255519EB" w:rsidR="000F673B" w:rsidRPr="00A73566" w:rsidRDefault="00184E35" w:rsidP="003723E1">
      <w:pPr>
        <w:ind w:firstLine="426"/>
        <w:rPr>
          <w:rFonts w:ascii="Times New Roman" w:hAnsi="Times New Roman" w:cs="Times New Roman"/>
          <w:lang w:val="ro-RO"/>
        </w:rPr>
      </w:pPr>
      <w:r w:rsidRPr="00A73566">
        <w:rPr>
          <w:rFonts w:ascii="Times New Roman" w:hAnsi="Times New Roman" w:cs="Times New Roman"/>
          <w:lang w:val="ro-RO"/>
        </w:rPr>
        <w:t xml:space="preserve">Exploatarea în mod corespunzător a potențialului nevalorificat, începând cu sectorul de procesare și comercializare și finalizând cu facilitatea accesului pe culturi cu rentabilitate sporită va permite readucerea forței de muncă, revitalizarea zonelor </w:t>
      </w:r>
      <w:r w:rsidR="004D593D" w:rsidRPr="00A73566">
        <w:rPr>
          <w:rFonts w:ascii="Times New Roman" w:hAnsi="Times New Roman" w:cs="Times New Roman"/>
          <w:lang w:val="ro-RO"/>
        </w:rPr>
        <w:t xml:space="preserve">rurale </w:t>
      </w:r>
      <w:r w:rsidRPr="00A73566">
        <w:rPr>
          <w:rFonts w:ascii="Times New Roman" w:hAnsi="Times New Roman" w:cs="Times New Roman"/>
          <w:lang w:val="ro-RO"/>
        </w:rPr>
        <w:t>și, respectiv, sporirea contribuției sectorului în bugetul național.</w:t>
      </w:r>
      <w:r w:rsidR="00911A08" w:rsidRPr="00A73566">
        <w:rPr>
          <w:rFonts w:ascii="Times New Roman" w:hAnsi="Times New Roman" w:cs="Times New Roman"/>
          <w:lang w:val="ro-RO"/>
        </w:rPr>
        <w:t xml:space="preserve"> </w:t>
      </w:r>
    </w:p>
    <w:p w14:paraId="6B4FAA27" w14:textId="117EE6C6" w:rsidR="000F673B" w:rsidRPr="00A73566" w:rsidRDefault="002F5E57" w:rsidP="002F5E57">
      <w:pPr>
        <w:pStyle w:val="Heading2"/>
        <w:rPr>
          <w:rFonts w:ascii="Times New Roman" w:hAnsi="Times New Roman" w:cs="Times New Roman"/>
          <w:lang w:val="ro-RO"/>
        </w:rPr>
      </w:pPr>
      <w:bookmarkStart w:id="115" w:name="_Toc88132120"/>
      <w:r w:rsidRPr="00A73566">
        <w:rPr>
          <w:rFonts w:ascii="Times New Roman" w:hAnsi="Times New Roman" w:cs="Times New Roman"/>
          <w:lang w:val="ro-RO"/>
        </w:rPr>
        <w:t>PROBLEME ȘI NEVOI DE DEZVOLTARE</w:t>
      </w:r>
      <w:bookmarkEnd w:id="115"/>
    </w:p>
    <w:p w14:paraId="49186F70" w14:textId="32614FAE" w:rsidR="002F5E57" w:rsidRPr="00A73566" w:rsidRDefault="002F5E57" w:rsidP="003723E1">
      <w:pPr>
        <w:ind w:firstLine="426"/>
        <w:rPr>
          <w:rFonts w:ascii="Times New Roman" w:hAnsi="Times New Roman" w:cs="Times New Roman"/>
          <w:sz w:val="24"/>
          <w:szCs w:val="24"/>
          <w:lang w:val="ro-RO"/>
        </w:rPr>
      </w:pPr>
      <w:r w:rsidRPr="00A73566">
        <w:rPr>
          <w:rFonts w:ascii="Times New Roman" w:hAnsi="Times New Roman" w:cs="Times New Roman"/>
          <w:lang w:val="ro-RO"/>
        </w:rPr>
        <w:t xml:space="preserve">Luând în considerare </w:t>
      </w:r>
      <w:r w:rsidR="00B31FE3" w:rsidRPr="00A73566">
        <w:rPr>
          <w:rFonts w:ascii="Times New Roman" w:hAnsi="Times New Roman" w:cs="Times New Roman"/>
          <w:lang w:val="ro-RO"/>
        </w:rPr>
        <w:t xml:space="preserve">analiza </w:t>
      </w:r>
      <w:r w:rsidR="00E718F0" w:rsidRPr="00A73566">
        <w:rPr>
          <w:rFonts w:ascii="Times New Roman" w:hAnsi="Times New Roman" w:cs="Times New Roman"/>
          <w:lang w:val="ro-RO"/>
        </w:rPr>
        <w:t>situației</w:t>
      </w:r>
      <w:r w:rsidR="00B31FE3" w:rsidRPr="00A73566">
        <w:rPr>
          <w:rFonts w:ascii="Times New Roman" w:hAnsi="Times New Roman" w:cs="Times New Roman"/>
          <w:lang w:val="ro-RO"/>
        </w:rPr>
        <w:t xml:space="preserve"> actuale în sectorul agricol, tendințele de</w:t>
      </w:r>
      <w:r w:rsidR="00E718F0" w:rsidRPr="00A73566">
        <w:rPr>
          <w:rFonts w:ascii="Times New Roman" w:hAnsi="Times New Roman" w:cs="Times New Roman"/>
          <w:lang w:val="ro-RO"/>
        </w:rPr>
        <w:t xml:space="preserve"> </w:t>
      </w:r>
      <w:r w:rsidR="00B31FE3" w:rsidRPr="00A73566">
        <w:rPr>
          <w:rFonts w:ascii="Times New Roman" w:hAnsi="Times New Roman" w:cs="Times New Roman"/>
          <w:lang w:val="ro-RO"/>
        </w:rPr>
        <w:t xml:space="preserve"> dezvoltare</w:t>
      </w:r>
      <w:r w:rsidR="00900B62" w:rsidRPr="00A73566">
        <w:rPr>
          <w:rFonts w:ascii="Times New Roman" w:hAnsi="Times New Roman" w:cs="Times New Roman"/>
          <w:lang w:val="ro-RO"/>
        </w:rPr>
        <w:t>,</w:t>
      </w:r>
      <w:r w:rsidR="00B31FE3" w:rsidRPr="00A73566">
        <w:rPr>
          <w:rFonts w:ascii="Times New Roman" w:hAnsi="Times New Roman" w:cs="Times New Roman"/>
          <w:lang w:val="ro-RO"/>
        </w:rPr>
        <w:t xml:space="preserve"> </w:t>
      </w:r>
      <w:r w:rsidRPr="00A73566">
        <w:rPr>
          <w:rFonts w:ascii="Times New Roman" w:hAnsi="Times New Roman" w:cs="Times New Roman"/>
          <w:lang w:val="ro-RO"/>
        </w:rPr>
        <w:t>pr</w:t>
      </w:r>
      <w:r w:rsidR="005D3572" w:rsidRPr="00A73566">
        <w:rPr>
          <w:rFonts w:ascii="Times New Roman" w:hAnsi="Times New Roman" w:cs="Times New Roman"/>
          <w:lang w:val="ro-RO"/>
        </w:rPr>
        <w:t xml:space="preserve">ecum </w:t>
      </w:r>
      <w:r w:rsidRPr="00A73566">
        <w:rPr>
          <w:rFonts w:ascii="Times New Roman" w:hAnsi="Times New Roman" w:cs="Times New Roman"/>
          <w:lang w:val="ro-RO"/>
        </w:rPr>
        <w:t>și constrângerile principale care afectează dezvoltarea agricolă și rurală, au fost identificate problemele-cheie</w:t>
      </w:r>
      <w:r w:rsidR="00E718F0" w:rsidRPr="00A73566">
        <w:rPr>
          <w:rFonts w:ascii="Times New Roman" w:hAnsi="Times New Roman" w:cs="Times New Roman"/>
          <w:lang w:val="ro-RO"/>
        </w:rPr>
        <w:t>.</w:t>
      </w:r>
    </w:p>
    <w:tbl>
      <w:tblPr>
        <w:tblStyle w:val="Civittatable"/>
        <w:tblW w:w="0" w:type="auto"/>
        <w:tblLook w:val="04A0" w:firstRow="1" w:lastRow="0" w:firstColumn="1" w:lastColumn="0" w:noHBand="0" w:noVBand="1"/>
      </w:tblPr>
      <w:tblGrid>
        <w:gridCol w:w="9322"/>
      </w:tblGrid>
      <w:tr w:rsidR="002F5E57" w:rsidRPr="003723E1" w14:paraId="17C2E85C" w14:textId="77777777" w:rsidTr="00401C15">
        <w:trPr>
          <w:cnfStyle w:val="100000000000" w:firstRow="1" w:lastRow="0" w:firstColumn="0" w:lastColumn="0" w:oddVBand="0" w:evenVBand="0" w:oddHBand="0" w:evenHBand="0" w:firstRowFirstColumn="0" w:firstRowLastColumn="0" w:lastRowFirstColumn="0" w:lastRowLastColumn="0"/>
        </w:trPr>
        <w:tc>
          <w:tcPr>
            <w:tcW w:w="9322" w:type="dxa"/>
          </w:tcPr>
          <w:p w14:paraId="4977E617" w14:textId="77777777" w:rsidR="002F5E57" w:rsidRPr="003723E1" w:rsidRDefault="002F5E57" w:rsidP="00401C15">
            <w:pPr>
              <w:jc w:val="center"/>
              <w:rPr>
                <w:rFonts w:ascii="Times New Roman" w:hAnsi="Times New Roman" w:cs="Times New Roman"/>
                <w:b/>
                <w:sz w:val="18"/>
                <w:szCs w:val="18"/>
                <w:lang w:val="ro-RO"/>
              </w:rPr>
            </w:pPr>
            <w:r w:rsidRPr="003723E1">
              <w:rPr>
                <w:rFonts w:ascii="Times New Roman" w:hAnsi="Times New Roman" w:cs="Times New Roman"/>
                <w:b/>
                <w:sz w:val="18"/>
                <w:szCs w:val="18"/>
                <w:lang w:val="ro-RO"/>
              </w:rPr>
              <w:t>Problemele cheie în DEZVOLTAREA AGRICOLĂ ȘI RURALĂ</w:t>
            </w:r>
          </w:p>
        </w:tc>
      </w:tr>
      <w:tr w:rsidR="002F5E57" w:rsidRPr="003723E1" w14:paraId="755909F5" w14:textId="77777777" w:rsidTr="00401C15">
        <w:trPr>
          <w:cnfStyle w:val="000000100000" w:firstRow="0" w:lastRow="0" w:firstColumn="0" w:lastColumn="0" w:oddVBand="0" w:evenVBand="0" w:oddHBand="1" w:evenHBand="0" w:firstRowFirstColumn="0" w:firstRowLastColumn="0" w:lastRowFirstColumn="0" w:lastRowLastColumn="0"/>
        </w:trPr>
        <w:tc>
          <w:tcPr>
            <w:tcW w:w="9322" w:type="dxa"/>
          </w:tcPr>
          <w:p w14:paraId="28D616E4" w14:textId="77777777" w:rsidR="001F3292" w:rsidRPr="003723E1" w:rsidRDefault="001F3292"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Scăderea calității solului, eroziunea</w:t>
            </w:r>
          </w:p>
          <w:p w14:paraId="5CDD2847" w14:textId="77777777" w:rsidR="00087989" w:rsidRPr="003723E1" w:rsidRDefault="0008798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Productivitatea scăzută̆ a terenurilor, structură duală și fragmentată a exploatațiilor agricole</w:t>
            </w:r>
          </w:p>
          <w:p w14:paraId="2B5F18D1" w14:textId="0C82E9F4" w:rsidR="00087989" w:rsidRPr="003723E1" w:rsidRDefault="0008798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Poziția dominantă a culturilor cu valoare redusă in producția agricolă în detrimentul culturilor cu valoare înalta</w:t>
            </w:r>
          </w:p>
          <w:p w14:paraId="1B4D3C0A" w14:textId="77777777" w:rsidR="00087989" w:rsidRPr="003723E1" w:rsidRDefault="0008798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Nivel scăzut al eficientei energetice și al utilizării resurselor regenerabile de energie</w:t>
            </w:r>
          </w:p>
          <w:p w14:paraId="02B714ED" w14:textId="77777777" w:rsidR="001A05CC" w:rsidRPr="003723E1" w:rsidRDefault="001A05CC"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Dependența agriculturii de condițiile climatice și riscuri naturale</w:t>
            </w:r>
          </w:p>
          <w:p w14:paraId="44AA6E9C" w14:textId="77777777" w:rsidR="001A05CC" w:rsidRPr="003723E1" w:rsidRDefault="001A05CC"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Insuficiența biodiversității în mediul rural </w:t>
            </w:r>
          </w:p>
          <w:p w14:paraId="0EC0A074" w14:textId="77777777" w:rsidR="00087989" w:rsidRPr="003723E1" w:rsidRDefault="0008798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Dependența de prețurile inputurilor</w:t>
            </w:r>
          </w:p>
          <w:p w14:paraId="27337EA4" w14:textId="77777777" w:rsidR="00087989" w:rsidRPr="003723E1" w:rsidRDefault="0008798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Declinul ratei ocupării forței de muncă în agricultură</w:t>
            </w:r>
          </w:p>
          <w:p w14:paraId="172626D5" w14:textId="070256A7" w:rsidR="00087989" w:rsidRPr="003723E1" w:rsidRDefault="00C140A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Insuficienta acuta  </w:t>
            </w:r>
            <w:r w:rsidR="00087989" w:rsidRPr="003723E1">
              <w:rPr>
                <w:rFonts w:ascii="Times New Roman" w:hAnsi="Times New Roman" w:cs="Times New Roman"/>
                <w:sz w:val="18"/>
                <w:szCs w:val="18"/>
                <w:lang w:val="ro-RO"/>
              </w:rPr>
              <w:t>de personal calificat în agricultură</w:t>
            </w:r>
          </w:p>
          <w:p w14:paraId="1ABC84F2"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Stare precară a sistemului de irigare și suprafețe mici de terenuri irigate</w:t>
            </w:r>
          </w:p>
          <w:p w14:paraId="698B3B8A" w14:textId="5EA9C22F" w:rsidR="002F5E57" w:rsidRPr="003723E1" w:rsidRDefault="009F420F"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R</w:t>
            </w:r>
            <w:r w:rsidR="007E419C" w:rsidRPr="003723E1">
              <w:rPr>
                <w:rFonts w:ascii="Times New Roman" w:hAnsi="Times New Roman" w:cs="Times New Roman"/>
                <w:sz w:val="18"/>
                <w:szCs w:val="18"/>
                <w:lang w:val="ro-RO"/>
              </w:rPr>
              <w:t>itm</w:t>
            </w:r>
            <w:r w:rsidRPr="003723E1">
              <w:rPr>
                <w:rFonts w:ascii="Times New Roman" w:hAnsi="Times New Roman" w:cs="Times New Roman"/>
                <w:sz w:val="18"/>
                <w:szCs w:val="18"/>
                <w:lang w:val="ro-RO"/>
              </w:rPr>
              <w:t>ul</w:t>
            </w:r>
            <w:r w:rsidR="007E419C" w:rsidRPr="003723E1">
              <w:rPr>
                <w:rFonts w:ascii="Times New Roman" w:hAnsi="Times New Roman" w:cs="Times New Roman"/>
                <w:sz w:val="18"/>
                <w:szCs w:val="18"/>
                <w:lang w:val="ro-RO"/>
              </w:rPr>
              <w:t xml:space="preserve"> lent de d</w:t>
            </w:r>
            <w:r w:rsidR="002F5E57" w:rsidRPr="003723E1">
              <w:rPr>
                <w:rFonts w:ascii="Times New Roman" w:hAnsi="Times New Roman" w:cs="Times New Roman"/>
                <w:sz w:val="18"/>
                <w:szCs w:val="18"/>
                <w:lang w:val="ro-RO"/>
              </w:rPr>
              <w:t>ezvoltare a sectorului zootehnic</w:t>
            </w:r>
          </w:p>
          <w:p w14:paraId="1D7809A2" w14:textId="0E2161B5"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Producție animalieră fragmentată și ineficientă, declinul continuu al șeptelului</w:t>
            </w:r>
          </w:p>
          <w:p w14:paraId="21163FEE"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Neglijarea sectorului acvacultură</w:t>
            </w:r>
          </w:p>
          <w:p w14:paraId="6D9F4A27"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Infrastructura fizica și de servicii precară în mediul rural</w:t>
            </w:r>
          </w:p>
          <w:p w14:paraId="12EC98F5"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Sistem de educație-cercetare-inovare și consultanță în agricultură neadaptate realităților curente </w:t>
            </w:r>
          </w:p>
          <w:p w14:paraId="40826919"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Dificultăți în asigurarea cu forță de muncă calificată și sezonieră</w:t>
            </w:r>
          </w:p>
          <w:p w14:paraId="6606C6E9"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Nivel scăzut de procesare al produselor alimentare</w:t>
            </w:r>
          </w:p>
          <w:p w14:paraId="2D09C8E3" w14:textId="7FC301F5"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Cooperarea slaba </w:t>
            </w:r>
            <w:r w:rsidR="00C140A9" w:rsidRPr="003723E1">
              <w:rPr>
                <w:rFonts w:ascii="Times New Roman" w:hAnsi="Times New Roman" w:cs="Times New Roman"/>
                <w:sz w:val="18"/>
                <w:szCs w:val="18"/>
                <w:lang w:val="ro-RO"/>
              </w:rPr>
              <w:t>î</w:t>
            </w:r>
            <w:r w:rsidRPr="003723E1">
              <w:rPr>
                <w:rFonts w:ascii="Times New Roman" w:hAnsi="Times New Roman" w:cs="Times New Roman"/>
                <w:sz w:val="18"/>
                <w:szCs w:val="18"/>
                <w:lang w:val="ro-RO"/>
              </w:rPr>
              <w:t>n agricultura</w:t>
            </w:r>
          </w:p>
          <w:p w14:paraId="6B6C8A0C"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Calitatea necorespunzătoare a produselor horticole</w:t>
            </w:r>
          </w:p>
          <w:p w14:paraId="3DF8E98B" w14:textId="292EA4CC"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Lipsa unui centru de </w:t>
            </w:r>
            <w:r w:rsidR="00087989" w:rsidRPr="003723E1">
              <w:rPr>
                <w:rFonts w:ascii="Times New Roman" w:hAnsi="Times New Roman" w:cs="Times New Roman"/>
                <w:sz w:val="18"/>
                <w:szCs w:val="18"/>
                <w:lang w:val="ro-RO"/>
              </w:rPr>
              <w:t>m</w:t>
            </w:r>
            <w:r w:rsidRPr="003723E1">
              <w:rPr>
                <w:rFonts w:ascii="Times New Roman" w:hAnsi="Times New Roman" w:cs="Times New Roman"/>
                <w:sz w:val="18"/>
                <w:szCs w:val="18"/>
                <w:lang w:val="ro-RO"/>
              </w:rPr>
              <w:t>arketing la nivel național</w:t>
            </w:r>
          </w:p>
          <w:p w14:paraId="112444A7" w14:textId="77777777" w:rsidR="002F5E57" w:rsidRPr="003723E1" w:rsidRDefault="002F5E57"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Dificultăți privind respectarea normelor de siguranță si calitate a produselor agro-alimentare</w:t>
            </w:r>
          </w:p>
          <w:p w14:paraId="7223C0DA" w14:textId="77777777" w:rsidR="008030D9" w:rsidRPr="003723E1" w:rsidRDefault="008030D9"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Gradul de valorificare mic al investițiilor in agricultura </w:t>
            </w:r>
          </w:p>
          <w:p w14:paraId="5FDD4A84" w14:textId="63DEBE25" w:rsidR="001F3292" w:rsidRPr="003723E1" w:rsidRDefault="001F3292"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 xml:space="preserve">Lipsa unei coordonări </w:t>
            </w:r>
            <w:r w:rsidR="008030D9" w:rsidRPr="003723E1">
              <w:rPr>
                <w:rFonts w:ascii="Times New Roman" w:hAnsi="Times New Roman" w:cs="Times New Roman"/>
                <w:sz w:val="18"/>
                <w:szCs w:val="18"/>
                <w:lang w:val="ro-RO"/>
              </w:rPr>
              <w:t xml:space="preserve">sistemice </w:t>
            </w:r>
            <w:r w:rsidRPr="003723E1">
              <w:rPr>
                <w:rFonts w:ascii="Times New Roman" w:hAnsi="Times New Roman" w:cs="Times New Roman"/>
                <w:sz w:val="18"/>
                <w:szCs w:val="18"/>
                <w:lang w:val="ro-RO"/>
              </w:rPr>
              <w:t>a asistentei tehnice acordate domeniului agricol și rural</w:t>
            </w:r>
          </w:p>
          <w:p w14:paraId="4780855E" w14:textId="77777777" w:rsidR="001F3292" w:rsidRPr="003723E1" w:rsidRDefault="001F3292" w:rsidP="00E720EE">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Nivel scăzut al investițiilor și finanțarea inadecvată a sectorului agricol</w:t>
            </w:r>
          </w:p>
          <w:p w14:paraId="4F1F0D96" w14:textId="43BB86A7" w:rsidR="002F5E57" w:rsidRPr="00E313DD" w:rsidRDefault="002F5E57" w:rsidP="00E313DD">
            <w:pPr>
              <w:pStyle w:val="ListParagraph"/>
              <w:numPr>
                <w:ilvl w:val="0"/>
                <w:numId w:val="15"/>
              </w:numPr>
              <w:spacing w:after="0"/>
              <w:rPr>
                <w:rFonts w:ascii="Times New Roman" w:hAnsi="Times New Roman" w:cs="Times New Roman"/>
                <w:sz w:val="18"/>
                <w:szCs w:val="18"/>
                <w:lang w:val="ro-RO"/>
              </w:rPr>
            </w:pPr>
            <w:r w:rsidRPr="003723E1">
              <w:rPr>
                <w:rFonts w:ascii="Times New Roman" w:hAnsi="Times New Roman" w:cs="Times New Roman"/>
                <w:sz w:val="18"/>
                <w:szCs w:val="18"/>
                <w:lang w:val="ro-RO"/>
              </w:rPr>
              <w:t>Implicare redusă a comunității locale în promovarea dezvoltării în mediul rural</w:t>
            </w:r>
          </w:p>
        </w:tc>
      </w:tr>
    </w:tbl>
    <w:p w14:paraId="118DDE06" w14:textId="0A016139" w:rsidR="00E718F0" w:rsidRPr="00A73566" w:rsidRDefault="00E718F0" w:rsidP="002F5E57">
      <w:pPr>
        <w:rPr>
          <w:rFonts w:ascii="Times New Roman" w:hAnsi="Times New Roman" w:cs="Times New Roman"/>
          <w:sz w:val="8"/>
          <w:szCs w:val="8"/>
          <w:lang w:val="ro-RO"/>
        </w:rPr>
      </w:pPr>
    </w:p>
    <w:p w14:paraId="7E29544A" w14:textId="5CD7A010" w:rsidR="001F3292" w:rsidRPr="00A73566" w:rsidRDefault="00E718F0" w:rsidP="003723E1">
      <w:pPr>
        <w:ind w:firstLine="567"/>
        <w:rPr>
          <w:rFonts w:ascii="Times New Roman" w:hAnsi="Times New Roman" w:cs="Times New Roman"/>
          <w:lang w:val="ro-RO"/>
        </w:rPr>
      </w:pPr>
      <w:r w:rsidRPr="00A73566">
        <w:rPr>
          <w:rFonts w:ascii="Times New Roman" w:hAnsi="Times New Roman" w:cs="Times New Roman"/>
          <w:lang w:val="ro-RO"/>
        </w:rPr>
        <w:t>La rândul său, pentru soluționarea problemelor principale au fost identificate n</w:t>
      </w:r>
      <w:r w:rsidR="00DF68B8" w:rsidRPr="00A73566">
        <w:rPr>
          <w:rFonts w:ascii="Times New Roman" w:hAnsi="Times New Roman" w:cs="Times New Roman"/>
          <w:lang w:val="ro-RO"/>
        </w:rPr>
        <w:t>e</w:t>
      </w:r>
      <w:r w:rsidRPr="00A73566">
        <w:rPr>
          <w:rFonts w:ascii="Times New Roman" w:hAnsi="Times New Roman" w:cs="Times New Roman"/>
          <w:lang w:val="ro-RO"/>
        </w:rPr>
        <w:t xml:space="preserve">voile de dezvoltare care au fost </w:t>
      </w:r>
      <w:r w:rsidR="001F3292" w:rsidRPr="00A73566">
        <w:rPr>
          <w:rFonts w:ascii="Times New Roman" w:hAnsi="Times New Roman" w:cs="Times New Roman"/>
          <w:lang w:val="ro-RO"/>
        </w:rPr>
        <w:t>structurate</w:t>
      </w:r>
      <w:r w:rsidRPr="00A73566">
        <w:rPr>
          <w:rFonts w:ascii="Times New Roman" w:hAnsi="Times New Roman" w:cs="Times New Roman"/>
          <w:lang w:val="ro-RO"/>
        </w:rPr>
        <w:t xml:space="preserve"> în patru categorii: 1. </w:t>
      </w:r>
      <w:r w:rsidR="001F3292" w:rsidRPr="00A73566">
        <w:rPr>
          <w:rFonts w:ascii="Times New Roman" w:hAnsi="Times New Roman" w:cs="Times New Roman"/>
          <w:lang w:val="ro-RO"/>
        </w:rPr>
        <w:t>Inputuri, 2. Procese agricole, 3.Piețe de desfacere, și 4. Comunitate.</w:t>
      </w:r>
    </w:p>
    <w:tbl>
      <w:tblPr>
        <w:tblStyle w:val="Civittatable"/>
        <w:tblW w:w="0" w:type="auto"/>
        <w:tblInd w:w="-5" w:type="dxa"/>
        <w:tblLook w:val="04A0" w:firstRow="1" w:lastRow="0" w:firstColumn="1" w:lastColumn="0" w:noHBand="0" w:noVBand="1"/>
      </w:tblPr>
      <w:tblGrid>
        <w:gridCol w:w="9440"/>
      </w:tblGrid>
      <w:tr w:rsidR="002F5E57" w:rsidRPr="00A73566" w14:paraId="17FCAD16" w14:textId="77777777" w:rsidTr="00401C15">
        <w:trPr>
          <w:cnfStyle w:val="100000000000" w:firstRow="1" w:lastRow="0" w:firstColumn="0" w:lastColumn="0" w:oddVBand="0" w:evenVBand="0" w:oddHBand="0" w:evenHBand="0" w:firstRowFirstColumn="0" w:firstRowLastColumn="0" w:lastRowFirstColumn="0" w:lastRowLastColumn="0"/>
        </w:trPr>
        <w:tc>
          <w:tcPr>
            <w:tcW w:w="9440" w:type="dxa"/>
          </w:tcPr>
          <w:p w14:paraId="70A2289B" w14:textId="77777777" w:rsidR="002F5E57" w:rsidRPr="003723E1" w:rsidRDefault="002F5E57" w:rsidP="00401C15">
            <w:pPr>
              <w:spacing w:after="60"/>
              <w:jc w:val="center"/>
              <w:rPr>
                <w:rFonts w:ascii="Times New Roman" w:hAnsi="Times New Roman" w:cs="Times New Roman"/>
                <w:b/>
                <w:sz w:val="18"/>
                <w:szCs w:val="18"/>
                <w:lang w:val="ro-RO"/>
              </w:rPr>
            </w:pPr>
            <w:r w:rsidRPr="003723E1">
              <w:rPr>
                <w:rFonts w:ascii="Times New Roman" w:hAnsi="Times New Roman" w:cs="Times New Roman"/>
                <w:b/>
                <w:sz w:val="18"/>
                <w:szCs w:val="18"/>
                <w:lang w:val="ro-RO"/>
              </w:rPr>
              <w:t>NEVOI DE DEZVOLTARE</w:t>
            </w:r>
          </w:p>
        </w:tc>
      </w:tr>
    </w:tbl>
    <w:tbl>
      <w:tblPr>
        <w:tblStyle w:val="TableGrid"/>
        <w:tblW w:w="0" w:type="auto"/>
        <w:tblLook w:val="04A0" w:firstRow="1" w:lastRow="0" w:firstColumn="1" w:lastColumn="0" w:noHBand="0" w:noVBand="1"/>
      </w:tblPr>
      <w:tblGrid>
        <w:gridCol w:w="5215"/>
        <w:gridCol w:w="4220"/>
      </w:tblGrid>
      <w:tr w:rsidR="001F3292" w:rsidRPr="003723E1" w14:paraId="283E57A4" w14:textId="77777777" w:rsidTr="00462F26">
        <w:tc>
          <w:tcPr>
            <w:tcW w:w="5215" w:type="dxa"/>
          </w:tcPr>
          <w:p w14:paraId="2410FE3E" w14:textId="77777777" w:rsidR="001F3292" w:rsidRPr="002E19D6" w:rsidRDefault="001F3292" w:rsidP="00E03D1A">
            <w:pPr>
              <w:pStyle w:val="ListParagraph"/>
              <w:numPr>
                <w:ilvl w:val="0"/>
                <w:numId w:val="14"/>
              </w:numPr>
              <w:spacing w:after="0"/>
              <w:rPr>
                <w:rFonts w:ascii="Times New Roman" w:hAnsi="Times New Roman" w:cs="Times New Roman"/>
                <w:b/>
                <w:lang w:val="ro-RO"/>
              </w:rPr>
            </w:pPr>
            <w:r w:rsidRPr="002E19D6">
              <w:rPr>
                <w:rFonts w:ascii="Times New Roman" w:hAnsi="Times New Roman" w:cs="Times New Roman"/>
                <w:b/>
                <w:lang w:val="ro-RO"/>
              </w:rPr>
              <w:t xml:space="preserve">Nevoi de dezvoltare legate de inputuri și premise pentru activitatea agricolă </w:t>
            </w:r>
          </w:p>
          <w:p w14:paraId="3AF645A6"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Optimizarea și eficientizarea intervențiilor și măsurilor de suport (inclusiv prin asistență tehnică) </w:t>
            </w:r>
          </w:p>
          <w:p w14:paraId="14DAC2D4"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Atragerea investițiilor în sectorul agricol</w:t>
            </w:r>
          </w:p>
          <w:p w14:paraId="27710A78"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Structurarea susținerii sectorului agricol pe principii economice </w:t>
            </w:r>
          </w:p>
          <w:p w14:paraId="36AB7410"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Susținerea dezvoltării biodiversității în mediu rural </w:t>
            </w:r>
          </w:p>
          <w:p w14:paraId="6A9054D0"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Sprijinirea producătorilor locali de inputuri</w:t>
            </w:r>
          </w:p>
          <w:p w14:paraId="3E12A8F2"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Dezvoltarea domeniului educație-cercetare-inovare și consultanță în agricultură  </w:t>
            </w:r>
          </w:p>
          <w:p w14:paraId="19B8FF93" w14:textId="6CE82FA4"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Asigurarea stabilității în producerea agricolă prin reducerea dependenței sectorului agricol de condițiile climatice nefavorabile si de riscurile naturale.</w:t>
            </w:r>
          </w:p>
        </w:tc>
        <w:tc>
          <w:tcPr>
            <w:tcW w:w="4220" w:type="dxa"/>
          </w:tcPr>
          <w:p w14:paraId="1B59E482" w14:textId="77777777" w:rsidR="001F3292" w:rsidRPr="002E19D6" w:rsidRDefault="001F3292" w:rsidP="00E03D1A">
            <w:pPr>
              <w:pStyle w:val="ListParagraph"/>
              <w:numPr>
                <w:ilvl w:val="0"/>
                <w:numId w:val="14"/>
              </w:numPr>
              <w:spacing w:after="0"/>
              <w:rPr>
                <w:rFonts w:ascii="Times New Roman" w:hAnsi="Times New Roman" w:cs="Times New Roman"/>
                <w:b/>
                <w:lang w:val="ro-RO"/>
              </w:rPr>
            </w:pPr>
            <w:r w:rsidRPr="002E19D6">
              <w:rPr>
                <w:rFonts w:ascii="Times New Roman" w:hAnsi="Times New Roman" w:cs="Times New Roman"/>
                <w:b/>
                <w:lang w:val="ro-RO"/>
              </w:rPr>
              <w:t>Nevoi de dezvoltare legate de procesele agricole</w:t>
            </w:r>
          </w:p>
          <w:p w14:paraId="62A0222C" w14:textId="51B24590"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Reformarea domeniului de știința si transfer tehnologic  </w:t>
            </w:r>
          </w:p>
          <w:p w14:paraId="344BCEBF"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Sporirea rentabilității activităților agricole prin susținerea dezvoltării sectorului de procesare.</w:t>
            </w:r>
          </w:p>
          <w:p w14:paraId="5B474A47" w14:textId="3B887D98" w:rsidR="001F3292" w:rsidRPr="002E19D6" w:rsidRDefault="00C52C53" w:rsidP="00E03D1A">
            <w:pPr>
              <w:spacing w:after="0"/>
              <w:rPr>
                <w:rFonts w:ascii="Times New Roman" w:hAnsi="Times New Roman" w:cs="Times New Roman"/>
                <w:lang w:val="ro-RO"/>
              </w:rPr>
            </w:pPr>
            <w:r w:rsidRPr="002E19D6">
              <w:rPr>
                <w:rFonts w:ascii="Times New Roman" w:hAnsi="Times New Roman" w:cs="Times New Roman"/>
                <w:lang w:val="ro-RO"/>
              </w:rPr>
              <w:t>Prioritizarea</w:t>
            </w:r>
            <w:r w:rsidR="001F3292" w:rsidRPr="002E19D6">
              <w:rPr>
                <w:rFonts w:ascii="Times New Roman" w:hAnsi="Times New Roman" w:cs="Times New Roman"/>
                <w:lang w:val="ro-RO"/>
              </w:rPr>
              <w:t xml:space="preserve"> sectoarelor cu culturi cu valoare adăugată</w:t>
            </w:r>
          </w:p>
          <w:p w14:paraId="58F97E47" w14:textId="3BE46DD4"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Implementarea abordării</w:t>
            </w:r>
            <w:bookmarkStart w:id="116" w:name="_GoBack"/>
            <w:bookmarkEnd w:id="116"/>
            <w:r w:rsidRPr="002E19D6">
              <w:rPr>
                <w:rFonts w:ascii="Times New Roman" w:hAnsi="Times New Roman" w:cs="Times New Roman"/>
                <w:lang w:val="ro-RO"/>
              </w:rPr>
              <w:t xml:space="preserve"> orientate spre dezvoltarea lanțurilor valorice</w:t>
            </w:r>
            <w:r w:rsidR="00B47071" w:rsidRPr="002E19D6">
              <w:rPr>
                <w:rFonts w:ascii="Times New Roman" w:hAnsi="Times New Roman" w:cs="Times New Roman"/>
                <w:lang w:val="ro-RO"/>
              </w:rPr>
              <w:t xml:space="preserve"> în întregime</w:t>
            </w:r>
            <w:r w:rsidRPr="002E19D6">
              <w:rPr>
                <w:rFonts w:ascii="Times New Roman" w:hAnsi="Times New Roman" w:cs="Times New Roman"/>
                <w:lang w:val="ro-RO"/>
              </w:rPr>
              <w:t xml:space="preserve"> </w:t>
            </w:r>
            <w:r w:rsidR="00B47071" w:rsidRPr="002E19D6">
              <w:rPr>
                <w:rFonts w:ascii="Times New Roman" w:hAnsi="Times New Roman" w:cs="Times New Roman"/>
                <w:lang w:val="ro-RO"/>
              </w:rPr>
              <w:t>în defavoarea finanțării doar a unor segmente</w:t>
            </w:r>
          </w:p>
          <w:p w14:paraId="766E46A0" w14:textId="772F042B"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Sprijinirea dezvoltării </w:t>
            </w:r>
            <w:r w:rsidR="00B47071" w:rsidRPr="002E19D6">
              <w:rPr>
                <w:rFonts w:ascii="Times New Roman" w:hAnsi="Times New Roman" w:cs="Times New Roman"/>
                <w:lang w:val="ro-RO"/>
              </w:rPr>
              <w:t xml:space="preserve">segmentului </w:t>
            </w:r>
            <w:r w:rsidRPr="002E19D6">
              <w:rPr>
                <w:rFonts w:ascii="Times New Roman" w:hAnsi="Times New Roman" w:cs="Times New Roman"/>
                <w:lang w:val="ro-RO"/>
              </w:rPr>
              <w:t xml:space="preserve">de procesare </w:t>
            </w:r>
            <w:r w:rsidR="00B47071" w:rsidRPr="002E19D6">
              <w:rPr>
                <w:rFonts w:ascii="Times New Roman" w:hAnsi="Times New Roman" w:cs="Times New Roman"/>
                <w:lang w:val="ro-RO"/>
              </w:rPr>
              <w:t>agroindustrială</w:t>
            </w:r>
          </w:p>
          <w:p w14:paraId="69316D63" w14:textId="7F986A59"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Îmbunătățirea legislației și consolidarea capacității în domeniul calității și siguranței alimentare.</w:t>
            </w:r>
          </w:p>
        </w:tc>
      </w:tr>
      <w:tr w:rsidR="001F3292" w:rsidRPr="003723E1" w14:paraId="7F159FD8" w14:textId="77777777" w:rsidTr="00462F26">
        <w:tc>
          <w:tcPr>
            <w:tcW w:w="5215" w:type="dxa"/>
          </w:tcPr>
          <w:p w14:paraId="31BDE284" w14:textId="77777777" w:rsidR="001F3292" w:rsidRPr="002E19D6" w:rsidRDefault="001F3292" w:rsidP="00E03D1A">
            <w:pPr>
              <w:pStyle w:val="ListParagraph"/>
              <w:numPr>
                <w:ilvl w:val="0"/>
                <w:numId w:val="14"/>
              </w:numPr>
              <w:spacing w:after="0"/>
              <w:rPr>
                <w:rFonts w:ascii="Times New Roman" w:hAnsi="Times New Roman" w:cs="Times New Roman"/>
                <w:b/>
                <w:lang w:val="ro-RO"/>
              </w:rPr>
            </w:pPr>
            <w:r w:rsidRPr="002E19D6">
              <w:rPr>
                <w:rFonts w:ascii="Times New Roman" w:hAnsi="Times New Roman" w:cs="Times New Roman"/>
                <w:b/>
                <w:lang w:val="ro-RO"/>
              </w:rPr>
              <w:t>Nevoi de dezvoltare legate de piețele de desfacere</w:t>
            </w:r>
          </w:p>
          <w:p w14:paraId="5CA7C2FC"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Consolidarea capacităților producătorilor de realizare a producției agricole</w:t>
            </w:r>
          </w:p>
          <w:p w14:paraId="2AF02001" w14:textId="3F237350"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Crearea unui sistem de administrare comună (MAIA, ANSA, Asociațiile de profil) a proceselor de creștere, păstrare/procesare și export a producției agricole, inclusiv prelucrate </w:t>
            </w:r>
          </w:p>
          <w:p w14:paraId="1B9E6451" w14:textId="33C8763C" w:rsidR="00B47071" w:rsidRPr="002E19D6" w:rsidRDefault="00B47071" w:rsidP="00E03D1A">
            <w:pPr>
              <w:spacing w:after="0"/>
              <w:rPr>
                <w:rFonts w:ascii="Times New Roman" w:hAnsi="Times New Roman" w:cs="Times New Roman"/>
                <w:lang w:val="ro-RO"/>
              </w:rPr>
            </w:pPr>
            <w:r w:rsidRPr="002E19D6">
              <w:rPr>
                <w:rFonts w:ascii="Times New Roman" w:hAnsi="Times New Roman" w:cs="Times New Roman"/>
                <w:lang w:val="ro-RO"/>
              </w:rPr>
              <w:t xml:space="preserve">Asigurarea sectorului cu analize si infirmații adecvate privind fluctuațiile piețelor de desfacere </w:t>
            </w:r>
          </w:p>
          <w:p w14:paraId="7AB4FEE6" w14:textId="4E0BA146"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Stimularea cooperării producătorilor agricoli</w:t>
            </w:r>
            <w:r w:rsidR="00207FE0" w:rsidRPr="002E19D6">
              <w:rPr>
                <w:rFonts w:ascii="Times New Roman" w:hAnsi="Times New Roman" w:cs="Times New Roman"/>
                <w:lang w:val="ro-RO"/>
              </w:rPr>
              <w:t>.</w:t>
            </w:r>
          </w:p>
        </w:tc>
        <w:tc>
          <w:tcPr>
            <w:tcW w:w="4220" w:type="dxa"/>
          </w:tcPr>
          <w:p w14:paraId="0A82CE1D" w14:textId="77777777" w:rsidR="001F3292" w:rsidRPr="002E19D6" w:rsidRDefault="001F3292" w:rsidP="00E03D1A">
            <w:pPr>
              <w:pStyle w:val="ListParagraph"/>
              <w:numPr>
                <w:ilvl w:val="0"/>
                <w:numId w:val="14"/>
              </w:numPr>
              <w:spacing w:after="0"/>
              <w:rPr>
                <w:rFonts w:ascii="Times New Roman" w:hAnsi="Times New Roman" w:cs="Times New Roman"/>
                <w:b/>
                <w:lang w:val="ro-RO"/>
              </w:rPr>
            </w:pPr>
            <w:r w:rsidRPr="002E19D6">
              <w:rPr>
                <w:rFonts w:ascii="Times New Roman" w:hAnsi="Times New Roman" w:cs="Times New Roman"/>
                <w:b/>
                <w:lang w:val="ro-RO"/>
              </w:rPr>
              <w:t xml:space="preserve">Nevoi de dezvoltare legate de implicarea comunității în dezvoltarea rurală </w:t>
            </w:r>
          </w:p>
          <w:p w14:paraId="5729E9F4"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Susținerea investițiilor în infrastructura din mediul rural</w:t>
            </w:r>
          </w:p>
          <w:p w14:paraId="7E01110D" w14:textId="61BFE2AD"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 xml:space="preserve">Sprijinirea proceselor de dezvoltare economică </w:t>
            </w:r>
            <w:r w:rsidR="00597BE8" w:rsidRPr="002E19D6">
              <w:rPr>
                <w:rFonts w:ascii="Times New Roman" w:hAnsi="Times New Roman" w:cs="Times New Roman"/>
                <w:lang w:val="ro-RO"/>
              </w:rPr>
              <w:t xml:space="preserve">participativă </w:t>
            </w:r>
            <w:r w:rsidRPr="002E19D6">
              <w:rPr>
                <w:rFonts w:ascii="Times New Roman" w:hAnsi="Times New Roman" w:cs="Times New Roman"/>
                <w:lang w:val="ro-RO"/>
              </w:rPr>
              <w:t>– G</w:t>
            </w:r>
            <w:r w:rsidR="00597BE8" w:rsidRPr="002E19D6">
              <w:rPr>
                <w:rFonts w:ascii="Times New Roman" w:hAnsi="Times New Roman" w:cs="Times New Roman"/>
                <w:lang w:val="ro-RO"/>
              </w:rPr>
              <w:t xml:space="preserve">rupuri de </w:t>
            </w:r>
            <w:r w:rsidRPr="002E19D6">
              <w:rPr>
                <w:rFonts w:ascii="Times New Roman" w:hAnsi="Times New Roman" w:cs="Times New Roman"/>
                <w:lang w:val="ro-RO"/>
              </w:rPr>
              <w:t>A</w:t>
            </w:r>
            <w:r w:rsidR="00597BE8" w:rsidRPr="002E19D6">
              <w:rPr>
                <w:rFonts w:ascii="Times New Roman" w:hAnsi="Times New Roman" w:cs="Times New Roman"/>
                <w:lang w:val="ro-RO"/>
              </w:rPr>
              <w:t xml:space="preserve">cțiune </w:t>
            </w:r>
            <w:r w:rsidRPr="002E19D6">
              <w:rPr>
                <w:rFonts w:ascii="Times New Roman" w:hAnsi="Times New Roman" w:cs="Times New Roman"/>
                <w:lang w:val="ro-RO"/>
              </w:rPr>
              <w:t>L</w:t>
            </w:r>
            <w:r w:rsidR="00597BE8" w:rsidRPr="002E19D6">
              <w:rPr>
                <w:rFonts w:ascii="Times New Roman" w:hAnsi="Times New Roman" w:cs="Times New Roman"/>
                <w:lang w:val="ro-RO"/>
              </w:rPr>
              <w:t>ocala</w:t>
            </w:r>
            <w:r w:rsidRPr="002E19D6">
              <w:rPr>
                <w:rFonts w:ascii="Times New Roman" w:hAnsi="Times New Roman" w:cs="Times New Roman"/>
                <w:lang w:val="ro-RO"/>
              </w:rPr>
              <w:t xml:space="preserve"> </w:t>
            </w:r>
          </w:p>
          <w:p w14:paraId="09F810A5" w14:textId="77777777"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Dezvoltarea oportunităților ocupaționale în mediu rural</w:t>
            </w:r>
          </w:p>
          <w:p w14:paraId="0CA3B2F9" w14:textId="2F36D2C6" w:rsidR="001F3292" w:rsidRPr="002E19D6" w:rsidRDefault="001F3292" w:rsidP="00E03D1A">
            <w:pPr>
              <w:spacing w:after="0"/>
              <w:rPr>
                <w:rFonts w:ascii="Times New Roman" w:hAnsi="Times New Roman" w:cs="Times New Roman"/>
                <w:lang w:val="ro-RO"/>
              </w:rPr>
            </w:pPr>
            <w:r w:rsidRPr="002E19D6">
              <w:rPr>
                <w:rFonts w:ascii="Times New Roman" w:hAnsi="Times New Roman" w:cs="Times New Roman"/>
                <w:lang w:val="ro-RO"/>
              </w:rPr>
              <w:t>Creșterea implicării comunității locale în vederea promovării unei dezvoltări socio-economice echilibrate la nivel local</w:t>
            </w:r>
            <w:r w:rsidR="00207FE0" w:rsidRPr="002E19D6">
              <w:rPr>
                <w:rFonts w:ascii="Times New Roman" w:hAnsi="Times New Roman" w:cs="Times New Roman"/>
                <w:lang w:val="ro-RO"/>
              </w:rPr>
              <w:t>.</w:t>
            </w:r>
          </w:p>
        </w:tc>
      </w:tr>
    </w:tbl>
    <w:p w14:paraId="27D5E0A1" w14:textId="77777777" w:rsidR="00A37E48" w:rsidRPr="00A73566" w:rsidRDefault="00A37E48">
      <w:pPr>
        <w:spacing w:after="0"/>
        <w:jc w:val="left"/>
        <w:rPr>
          <w:rFonts w:ascii="Times New Roman" w:hAnsi="Times New Roman" w:cs="Times New Roman"/>
          <w:lang w:val="ro-RO"/>
        </w:rPr>
      </w:pPr>
    </w:p>
    <w:p w14:paraId="055A0C95" w14:textId="12D8F258" w:rsidR="001E0A0D" w:rsidRPr="00A73566" w:rsidRDefault="002F5E57" w:rsidP="003723E1">
      <w:pPr>
        <w:spacing w:after="0"/>
        <w:ind w:firstLine="567"/>
        <w:jc w:val="left"/>
        <w:rPr>
          <w:rFonts w:ascii="Times New Roman" w:hAnsi="Times New Roman" w:cs="Times New Roman"/>
          <w:lang w:val="ro-RO"/>
        </w:rPr>
      </w:pPr>
      <w:r w:rsidRPr="00A73566">
        <w:rPr>
          <w:rFonts w:ascii="Times New Roman" w:hAnsi="Times New Roman" w:cs="Times New Roman"/>
          <w:lang w:val="ro-RO"/>
        </w:rPr>
        <w:t>Având în vederea structura stratificată a nevoilor de dezvoltare, obiectivele strategice ale SNDAR sunt formulate pe termen lung, în funcție de cele patru categorii principale de nevoi de dezvoltare pentru a asigura astfel o eficiență în definirea intervențiilor.</w:t>
      </w:r>
    </w:p>
    <w:p w14:paraId="1ED1B698" w14:textId="77777777" w:rsidR="003723E1" w:rsidRPr="00A73566" w:rsidRDefault="003723E1">
      <w:pPr>
        <w:spacing w:after="0"/>
        <w:jc w:val="left"/>
        <w:rPr>
          <w:rFonts w:ascii="Times New Roman" w:hAnsi="Times New Roman" w:cs="Times New Roman"/>
          <w:lang w:val="ro-RO"/>
        </w:rPr>
      </w:pPr>
    </w:p>
    <w:p w14:paraId="1C969E0C" w14:textId="261F407A" w:rsidR="003723E1" w:rsidRDefault="000A5E0A" w:rsidP="003723E1">
      <w:pPr>
        <w:pStyle w:val="Heading1"/>
        <w:spacing w:before="100" w:beforeAutospacing="1" w:after="0"/>
        <w:ind w:left="360" w:hanging="360"/>
        <w:rPr>
          <w:rFonts w:ascii="Times New Roman" w:hAnsi="Times New Roman" w:cs="Times New Roman"/>
          <w:lang w:val="ro-RO"/>
        </w:rPr>
      </w:pPr>
      <w:bookmarkStart w:id="117" w:name="_Toc88132121"/>
      <w:bookmarkStart w:id="118" w:name="_Toc86944654"/>
      <w:r w:rsidRPr="00A73566">
        <w:rPr>
          <w:rFonts w:ascii="Times New Roman" w:hAnsi="Times New Roman" w:cs="Times New Roman"/>
          <w:lang w:val="ro-RO"/>
        </w:rPr>
        <w:t>Viziune și obiective</w:t>
      </w:r>
      <w:bookmarkEnd w:id="117"/>
    </w:p>
    <w:p w14:paraId="26BF71A1" w14:textId="77777777" w:rsidR="00E313DD" w:rsidRPr="00E313DD" w:rsidRDefault="00E313DD" w:rsidP="00E313DD">
      <w:pPr>
        <w:rPr>
          <w:lang w:val="ro-RO"/>
        </w:rPr>
      </w:pPr>
    </w:p>
    <w:p w14:paraId="32E49C3E" w14:textId="2EDF7ADD" w:rsidR="001E0A0D" w:rsidRDefault="000A5E0A" w:rsidP="00E03D1A">
      <w:pPr>
        <w:pStyle w:val="Heading2"/>
        <w:spacing w:before="0" w:after="0"/>
        <w:ind w:left="360" w:hanging="360"/>
        <w:rPr>
          <w:rFonts w:ascii="Times New Roman" w:hAnsi="Times New Roman" w:cs="Times New Roman"/>
          <w:lang w:val="ro-RO"/>
        </w:rPr>
      </w:pPr>
      <w:bookmarkStart w:id="119" w:name="_Toc88132122"/>
      <w:bookmarkStart w:id="120" w:name="_Toc86944655"/>
      <w:bookmarkEnd w:id="118"/>
      <w:r w:rsidRPr="00A73566">
        <w:rPr>
          <w:rFonts w:ascii="Times New Roman" w:hAnsi="Times New Roman" w:cs="Times New Roman"/>
          <w:lang w:val="ro-RO"/>
        </w:rPr>
        <w:t>Viziune</w:t>
      </w:r>
      <w:r w:rsidR="00FC5D45" w:rsidRPr="00A73566">
        <w:rPr>
          <w:rFonts w:ascii="Times New Roman" w:hAnsi="Times New Roman" w:cs="Times New Roman"/>
          <w:lang w:val="ro-RO"/>
        </w:rPr>
        <w:t>a</w:t>
      </w:r>
      <w:r w:rsidRPr="00A73566">
        <w:rPr>
          <w:rFonts w:ascii="Times New Roman" w:hAnsi="Times New Roman" w:cs="Times New Roman"/>
          <w:lang w:val="ro-RO"/>
        </w:rPr>
        <w:t xml:space="preserve"> SNDAR 2027</w:t>
      </w:r>
      <w:bookmarkEnd w:id="119"/>
      <w:r w:rsidRPr="00A73566">
        <w:rPr>
          <w:rFonts w:ascii="Times New Roman" w:hAnsi="Times New Roman" w:cs="Times New Roman"/>
          <w:lang w:val="ro-RO"/>
        </w:rPr>
        <w:t xml:space="preserve"> </w:t>
      </w:r>
      <w:bookmarkEnd w:id="120"/>
    </w:p>
    <w:p w14:paraId="53D424B5" w14:textId="77777777" w:rsidR="00E03D1A" w:rsidRPr="00E03D1A" w:rsidRDefault="00E03D1A" w:rsidP="00E03D1A">
      <w:pPr>
        <w:rPr>
          <w:lang w:val="ro-RO"/>
        </w:rPr>
      </w:pPr>
    </w:p>
    <w:tbl>
      <w:tblPr>
        <w:tblStyle w:val="TableGrid"/>
        <w:tblW w:w="0" w:type="auto"/>
        <w:tblLook w:val="04A0" w:firstRow="1" w:lastRow="0" w:firstColumn="1" w:lastColumn="0" w:noHBand="0" w:noVBand="1"/>
      </w:tblPr>
      <w:tblGrid>
        <w:gridCol w:w="9435"/>
      </w:tblGrid>
      <w:tr w:rsidR="001E0A0D" w:rsidRPr="00A73566" w14:paraId="1FD4B9FC" w14:textId="77777777" w:rsidTr="001E6192">
        <w:tc>
          <w:tcPr>
            <w:tcW w:w="9435" w:type="dxa"/>
          </w:tcPr>
          <w:p w14:paraId="074AC607" w14:textId="77777777" w:rsidR="001E0A0D" w:rsidRPr="00A73566" w:rsidRDefault="001E0A0D" w:rsidP="001E6192">
            <w:pPr>
              <w:spacing w:before="120"/>
              <w:jc w:val="center"/>
              <w:rPr>
                <w:rFonts w:ascii="Times New Roman" w:hAnsi="Times New Roman" w:cs="Times New Roman"/>
                <w:b/>
                <w:bCs/>
                <w:sz w:val="28"/>
                <w:szCs w:val="28"/>
                <w:shd w:val="clear" w:color="auto" w:fill="FFFFFF"/>
                <w:lang w:val="ro-RO"/>
              </w:rPr>
            </w:pPr>
            <w:r w:rsidRPr="00A73566">
              <w:rPr>
                <w:rFonts w:ascii="Times New Roman" w:hAnsi="Times New Roman" w:cs="Times New Roman"/>
                <w:b/>
                <w:bCs/>
                <w:sz w:val="28"/>
                <w:szCs w:val="28"/>
                <w:shd w:val="clear" w:color="auto" w:fill="FFFFFF"/>
                <w:lang w:val="ro-RO"/>
              </w:rPr>
              <w:t>VIZIUNEA SNDAR 2027</w:t>
            </w:r>
          </w:p>
          <w:p w14:paraId="5A9BA34D" w14:textId="77777777" w:rsidR="001E0A0D" w:rsidRPr="00A73566" w:rsidRDefault="001E0A0D" w:rsidP="001E6192">
            <w:pPr>
              <w:spacing w:before="120"/>
              <w:jc w:val="center"/>
              <w:rPr>
                <w:rFonts w:ascii="Times New Roman" w:hAnsi="Times New Roman" w:cs="Times New Roman"/>
                <w:b/>
                <w:bCs/>
                <w:i/>
                <w:iCs/>
                <w:sz w:val="28"/>
                <w:szCs w:val="28"/>
                <w:lang w:val="ro-RO"/>
              </w:rPr>
            </w:pPr>
            <w:bookmarkStart w:id="121" w:name="_Hlk88131149"/>
            <w:r w:rsidRPr="00A73566">
              <w:rPr>
                <w:rFonts w:ascii="Times New Roman" w:hAnsi="Times New Roman" w:cs="Times New Roman"/>
                <w:b/>
                <w:bCs/>
                <w:i/>
                <w:iCs/>
                <w:sz w:val="28"/>
                <w:szCs w:val="28"/>
                <w:lang w:val="ro-RO"/>
              </w:rPr>
              <w:t xml:space="preserve">Sector agroalimentar competitiv, centrat pe lanțurile valorice cu un potențial sporit, dezvoltat în armonie cu mediu ambiant și rezilient la schimbările climatice, care consolidează securitatea și siguranța alimentară și oferă bunăstare și condiții de trai mai bune în mediu rural </w:t>
            </w:r>
            <w:bookmarkEnd w:id="121"/>
          </w:p>
        </w:tc>
      </w:tr>
    </w:tbl>
    <w:p w14:paraId="77CE253D" w14:textId="77777777" w:rsidR="000A5E0A" w:rsidRPr="00A73566" w:rsidRDefault="000A5E0A" w:rsidP="001E0A0D">
      <w:pPr>
        <w:spacing w:before="120"/>
        <w:rPr>
          <w:rFonts w:ascii="Times New Roman" w:hAnsi="Times New Roman" w:cs="Times New Roman"/>
          <w:lang w:val="ro-RO"/>
        </w:rPr>
      </w:pPr>
    </w:p>
    <w:p w14:paraId="12B1F9FE" w14:textId="6A71FBEC" w:rsidR="000A5E0A" w:rsidRPr="003723E1" w:rsidRDefault="000A5E0A" w:rsidP="003723E1">
      <w:pPr>
        <w:pStyle w:val="Heading2"/>
        <w:rPr>
          <w:rFonts w:ascii="Times New Roman" w:hAnsi="Times New Roman" w:cs="Times New Roman"/>
          <w:lang w:val="ro-RO"/>
        </w:rPr>
      </w:pPr>
      <w:bookmarkStart w:id="122" w:name="_Toc88132123"/>
      <w:r w:rsidRPr="00A73566">
        <w:rPr>
          <w:rFonts w:ascii="Times New Roman" w:hAnsi="Times New Roman" w:cs="Times New Roman"/>
          <w:lang w:val="ro-RO"/>
        </w:rPr>
        <w:t>Obiective strategice</w:t>
      </w:r>
      <w:bookmarkEnd w:id="122"/>
      <w:r w:rsidRPr="00A73566">
        <w:rPr>
          <w:rFonts w:ascii="Times New Roman" w:hAnsi="Times New Roman" w:cs="Times New Roman"/>
          <w:lang w:val="ro-RO"/>
        </w:rPr>
        <w:t xml:space="preserve"> </w:t>
      </w:r>
    </w:p>
    <w:p w14:paraId="3EEFB96F" w14:textId="213C1D16" w:rsidR="001E0A0D" w:rsidRPr="00A73566" w:rsidRDefault="001E0A0D" w:rsidP="003723E1">
      <w:pPr>
        <w:spacing w:before="120"/>
        <w:ind w:firstLine="567"/>
        <w:rPr>
          <w:rFonts w:ascii="Times New Roman" w:hAnsi="Times New Roman" w:cs="Times New Roman"/>
          <w:b/>
          <w:bCs/>
          <w:lang w:val="ro-RO"/>
        </w:rPr>
      </w:pPr>
      <w:r w:rsidRPr="00A73566">
        <w:rPr>
          <w:rFonts w:ascii="Times New Roman" w:hAnsi="Times New Roman" w:cs="Times New Roman"/>
          <w:lang w:val="ro-RO"/>
        </w:rPr>
        <w:t xml:space="preserve">În vederea soluționării problemelor cheie din sectorul agricol și rural, pentru perioada 2022-2027, politica de dezvoltare agricolă și rurală va viza în mod prioritar atingerea următoarelor </w:t>
      </w:r>
      <w:r w:rsidRPr="00A73566">
        <w:rPr>
          <w:rFonts w:ascii="Times New Roman" w:hAnsi="Times New Roman" w:cs="Times New Roman"/>
          <w:b/>
          <w:bCs/>
          <w:lang w:val="ro-RO"/>
        </w:rPr>
        <w:t xml:space="preserve">OBIECTIVE GENERALE: </w:t>
      </w:r>
    </w:p>
    <w:p w14:paraId="0DA9BCB5" w14:textId="77777777" w:rsidR="001E0A0D" w:rsidRPr="00A73566" w:rsidRDefault="001E0A0D" w:rsidP="001E0A0D">
      <w:pPr>
        <w:rPr>
          <w:rFonts w:ascii="Times New Roman" w:hAnsi="Times New Roman" w:cs="Times New Roman"/>
          <w:b/>
          <w:bCs/>
          <w:lang w:val="ro-RO"/>
        </w:rPr>
      </w:pPr>
      <w:r w:rsidRPr="00A73566">
        <w:rPr>
          <w:rFonts w:ascii="Times New Roman" w:hAnsi="Times New Roman" w:cs="Times New Roman"/>
          <w:b/>
          <w:bCs/>
          <w:lang w:val="ro-RO"/>
        </w:rPr>
        <w:t xml:space="preserve">OG1. Consolidarea potențialului sectorului agricol rezilient la schimbările climatice </w:t>
      </w:r>
    </w:p>
    <w:p w14:paraId="43B91603" w14:textId="77777777" w:rsidR="001E0A0D" w:rsidRPr="00A73566" w:rsidRDefault="001E0A0D" w:rsidP="001E0A0D">
      <w:pPr>
        <w:rPr>
          <w:rFonts w:ascii="Times New Roman" w:hAnsi="Times New Roman" w:cs="Times New Roman"/>
          <w:b/>
          <w:bCs/>
          <w:lang w:val="ro-RO"/>
        </w:rPr>
      </w:pPr>
      <w:r w:rsidRPr="00A73566">
        <w:rPr>
          <w:rFonts w:ascii="Times New Roman" w:hAnsi="Times New Roman" w:cs="Times New Roman"/>
          <w:b/>
          <w:bCs/>
          <w:lang w:val="ro-RO"/>
        </w:rPr>
        <w:t>OG2. Promovarea practicilor agricole inteligente, eficiente și durabile</w:t>
      </w:r>
      <w:r w:rsidRPr="00A73566" w:rsidDel="00DA7C09">
        <w:rPr>
          <w:rFonts w:ascii="Times New Roman" w:hAnsi="Times New Roman" w:cs="Times New Roman"/>
          <w:b/>
          <w:bCs/>
          <w:lang w:val="ro-RO"/>
        </w:rPr>
        <w:t xml:space="preserve"> </w:t>
      </w:r>
    </w:p>
    <w:p w14:paraId="2E8E5C04" w14:textId="77777777" w:rsidR="001E0A0D" w:rsidRPr="00A73566" w:rsidRDefault="001E0A0D" w:rsidP="001E0A0D">
      <w:pPr>
        <w:rPr>
          <w:rFonts w:ascii="Times New Roman" w:hAnsi="Times New Roman" w:cs="Times New Roman"/>
          <w:b/>
          <w:bCs/>
          <w:lang w:val="ro-RO"/>
        </w:rPr>
      </w:pPr>
      <w:r w:rsidRPr="00A73566">
        <w:rPr>
          <w:rFonts w:ascii="Times New Roman" w:hAnsi="Times New Roman" w:cs="Times New Roman"/>
          <w:b/>
          <w:bCs/>
          <w:lang w:val="ro-RO"/>
        </w:rPr>
        <w:t>OG3. Dezvoltarea pieței locale și sporirea potențialului de export</w:t>
      </w:r>
    </w:p>
    <w:p w14:paraId="266CC0A6" w14:textId="77777777" w:rsidR="001E0A0D" w:rsidRPr="00A73566" w:rsidRDefault="001E0A0D" w:rsidP="001E0A0D">
      <w:pPr>
        <w:rPr>
          <w:rFonts w:ascii="Times New Roman" w:hAnsi="Times New Roman" w:cs="Times New Roman"/>
          <w:b/>
          <w:bCs/>
          <w:lang w:val="ro-RO"/>
        </w:rPr>
      </w:pPr>
      <w:r w:rsidRPr="00A73566">
        <w:rPr>
          <w:rFonts w:ascii="Times New Roman" w:hAnsi="Times New Roman" w:cs="Times New Roman"/>
          <w:b/>
          <w:bCs/>
          <w:lang w:val="ro-RO"/>
        </w:rPr>
        <w:t>OG4. Susținerea unei dezvoltări socioeconomice rurale sustenabile</w:t>
      </w:r>
    </w:p>
    <w:p w14:paraId="352766D0" w14:textId="77777777" w:rsidR="001E0A0D" w:rsidRPr="00A73566" w:rsidRDefault="001E0A0D" w:rsidP="003723E1">
      <w:pPr>
        <w:ind w:firstLine="567"/>
        <w:rPr>
          <w:rFonts w:ascii="Times New Roman" w:hAnsi="Times New Roman" w:cs="Times New Roman"/>
          <w:lang w:val="ro-RO"/>
        </w:rPr>
      </w:pPr>
      <w:r w:rsidRPr="00A73566">
        <w:rPr>
          <w:rFonts w:ascii="Times New Roman" w:hAnsi="Times New Roman" w:cs="Times New Roman"/>
          <w:lang w:val="ro-RO"/>
        </w:rPr>
        <w:t xml:space="preserve">Obiectivele generale definesc prioritățile și abordarea pe termen lung a Strategiei, ca răspuns la principalele provocări și probleme ce influențează dezvoltarea sectorului agricol. Ulterior, acestea vor fi transpuse în documentele de programare – Programele și Planurile de Acțiuni Sectoriale - prin ajustarea și definirea țintelor aferente domeniilor specifice de intervenție. </w:t>
      </w:r>
    </w:p>
    <w:p w14:paraId="43A0107B" w14:textId="5FE59732" w:rsidR="001E0A0D" w:rsidRPr="00A73566" w:rsidRDefault="001E0A0D" w:rsidP="003723E1">
      <w:pPr>
        <w:ind w:firstLine="567"/>
        <w:rPr>
          <w:rFonts w:ascii="Times New Roman" w:hAnsi="Times New Roman" w:cs="Times New Roman"/>
          <w:lang w:val="ro-RO"/>
        </w:rPr>
      </w:pPr>
      <w:r w:rsidRPr="00A73566">
        <w:rPr>
          <w:rFonts w:ascii="Times New Roman" w:hAnsi="Times New Roman" w:cs="Times New Roman"/>
          <w:lang w:val="ro-RO"/>
        </w:rPr>
        <w:t>În același timp, obiectivele generale sunt aliniate la obiectivele Politicii Agricole Comune a Uniunii Europene, în vederea  îmbunătățirii dezvoltării sustenabile a agriculturii, a sectorului alimentar și a zonelor rurale</w:t>
      </w:r>
      <w:r w:rsidR="0058206F" w:rsidRPr="00A73566">
        <w:rPr>
          <w:rFonts w:ascii="Times New Roman" w:hAnsi="Times New Roman" w:cs="Times New Roman"/>
          <w:lang w:val="ro-RO"/>
        </w:rPr>
        <w:t xml:space="preserve"> (Anexa 9.1).</w:t>
      </w:r>
    </w:p>
    <w:p w14:paraId="1D4B7ACE" w14:textId="77777777" w:rsidR="001E0A0D" w:rsidRPr="00A73566" w:rsidRDefault="001E0A0D" w:rsidP="003723E1">
      <w:pPr>
        <w:spacing w:before="240"/>
        <w:ind w:firstLine="567"/>
        <w:rPr>
          <w:rFonts w:ascii="Times New Roman" w:hAnsi="Times New Roman" w:cs="Times New Roman"/>
          <w:lang w:val="ro-RO"/>
        </w:rPr>
      </w:pPr>
      <w:bookmarkStart w:id="123" w:name="_Hlk88848022"/>
      <w:r w:rsidRPr="00A73566">
        <w:rPr>
          <w:rFonts w:ascii="Times New Roman" w:hAnsi="Times New Roman" w:cs="Times New Roman"/>
          <w:lang w:val="ro-RO"/>
        </w:rPr>
        <w:t>Obiectivele generale ale SNDAR includ, la fiecare dintre componente, măsuri asociate inclusiv obiectivului transversal al PAC ce vizează modernizarea sectorului prin stimularea și împărtășirea cunoștințelor, prin promovarea inovării și a digitalizării în agricultură și în zonele rurale.</w:t>
      </w:r>
    </w:p>
    <w:p w14:paraId="73B2E163" w14:textId="15EA8AD7" w:rsidR="001E0A0D" w:rsidRPr="00A73566" w:rsidRDefault="001E0A0D" w:rsidP="00A45DFD">
      <w:pPr>
        <w:ind w:firstLine="567"/>
        <w:rPr>
          <w:rFonts w:ascii="Times New Roman" w:hAnsi="Times New Roman" w:cs="Times New Roman"/>
          <w:lang w:val="ro-RO"/>
        </w:rPr>
      </w:pPr>
      <w:r w:rsidRPr="00A73566">
        <w:rPr>
          <w:rFonts w:ascii="Times New Roman" w:hAnsi="Times New Roman" w:cs="Times New Roman"/>
          <w:lang w:val="ro-RO"/>
        </w:rPr>
        <w:t xml:space="preserve">Atingerea celor patru Obiective generale va fi realizată prin intermediul unui set de </w:t>
      </w:r>
      <w:r w:rsidRPr="00A73566">
        <w:rPr>
          <w:rFonts w:ascii="Times New Roman" w:hAnsi="Times New Roman" w:cs="Times New Roman"/>
          <w:b/>
          <w:bCs/>
          <w:lang w:val="ro-RO"/>
        </w:rPr>
        <w:t>OBIECTIVE SPECIFICE</w:t>
      </w:r>
      <w:r w:rsidR="00562D8F" w:rsidRPr="00A73566">
        <w:rPr>
          <w:rFonts w:ascii="Times New Roman" w:hAnsi="Times New Roman" w:cs="Times New Roman"/>
          <w:b/>
          <w:bCs/>
          <w:lang w:val="ro-RO"/>
        </w:rPr>
        <w:t>,</w:t>
      </w:r>
      <w:r w:rsidRPr="00A73566">
        <w:rPr>
          <w:rFonts w:ascii="Times New Roman" w:hAnsi="Times New Roman" w:cs="Times New Roman"/>
          <w:lang w:val="ro-RO"/>
        </w:rPr>
        <w:t xml:space="preserve"> din care vor deriva ulterior măsurile și intervențiile concrete.</w:t>
      </w:r>
    </w:p>
    <w:p w14:paraId="5ACEBE06" w14:textId="77777777" w:rsidR="001E0A0D" w:rsidRPr="00A73566" w:rsidRDefault="001E0A0D" w:rsidP="001E0A0D">
      <w:pPr>
        <w:rPr>
          <w:rFonts w:ascii="Times New Roman" w:hAnsi="Times New Roman" w:cs="Times New Roman"/>
          <w:lang w:val="ro-RO"/>
        </w:rPr>
      </w:pPr>
      <w:r w:rsidRPr="00A73566">
        <w:rPr>
          <w:rFonts w:ascii="Times New Roman" w:hAnsi="Times New Roman" w:cs="Times New Roman"/>
          <w:b/>
          <w:bCs/>
          <w:lang w:val="ro-RO"/>
        </w:rPr>
        <w:t>Obiectivul 1.</w:t>
      </w:r>
      <w:r w:rsidRPr="00A73566">
        <w:rPr>
          <w:rFonts w:ascii="Times New Roman" w:hAnsi="Times New Roman" w:cs="Times New Roman"/>
          <w:lang w:val="ro-RO"/>
        </w:rPr>
        <w:t xml:space="preserve"> </w:t>
      </w:r>
      <w:r w:rsidRPr="00A73566">
        <w:rPr>
          <w:rFonts w:ascii="Times New Roman" w:hAnsi="Times New Roman" w:cs="Times New Roman"/>
          <w:b/>
          <w:bCs/>
          <w:lang w:val="ro-RO"/>
        </w:rPr>
        <w:t xml:space="preserve">Consolidarea potențialului sectorului agricol rezilient la schimbările climatice </w:t>
      </w:r>
      <w:r w:rsidRPr="00A73566">
        <w:rPr>
          <w:rFonts w:ascii="Times New Roman" w:hAnsi="Times New Roman" w:cs="Times New Roman"/>
          <w:lang w:val="ro-RO"/>
        </w:rPr>
        <w:t>vizează asigurarea precondițiilor și premiselor pentru desfășurarea activităților agricole și pentru dezvoltarea rurală. Acest Obiectiv abordează problemele fundamentale care influențează  performanța activității agricole, utilizarea resurselor naturale, poluarea habitatelor și modificarea ecosistemelor.</w:t>
      </w:r>
    </w:p>
    <w:p w14:paraId="485CD920" w14:textId="648CD084" w:rsidR="001E0A0D" w:rsidRPr="00A73566" w:rsidRDefault="001E0A0D" w:rsidP="001E0A0D">
      <w:pPr>
        <w:rPr>
          <w:rFonts w:ascii="Times New Roman" w:hAnsi="Times New Roman" w:cs="Times New Roman"/>
          <w:b/>
          <w:bCs/>
          <w:i/>
          <w:iCs/>
          <w:lang w:val="ro-RO"/>
        </w:rPr>
      </w:pPr>
      <w:r w:rsidRPr="00A73566">
        <w:rPr>
          <w:rFonts w:ascii="Times New Roman" w:hAnsi="Times New Roman" w:cs="Times New Roman"/>
          <w:b/>
          <w:bCs/>
          <w:i/>
          <w:iCs/>
          <w:lang w:val="ro-RO"/>
        </w:rPr>
        <w:t>Obiectivele specifice care vor contribui la atingerea Obiectivului General 1:</w:t>
      </w:r>
    </w:p>
    <w:p w14:paraId="2D027E83" w14:textId="2D81203C" w:rsidR="001E0A0D" w:rsidRPr="00A73566" w:rsidRDefault="001E0A0D" w:rsidP="00E720EE">
      <w:pPr>
        <w:pStyle w:val="ListParagraph"/>
        <w:numPr>
          <w:ilvl w:val="1"/>
          <w:numId w:val="24"/>
        </w:numPr>
        <w:rPr>
          <w:rFonts w:ascii="Times New Roman" w:hAnsi="Times New Roman" w:cs="Times New Roman"/>
          <w:i/>
          <w:iCs/>
          <w:lang w:val="ro-RO"/>
        </w:rPr>
      </w:pPr>
      <w:r w:rsidRPr="00A73566">
        <w:rPr>
          <w:rFonts w:ascii="Times New Roman" w:hAnsi="Times New Roman" w:cs="Times New Roman"/>
          <w:i/>
          <w:iCs/>
          <w:lang w:val="ro-RO"/>
        </w:rPr>
        <w:t>Asigurarea calității și disponibilității inputurilor în agricultură</w:t>
      </w:r>
    </w:p>
    <w:p w14:paraId="076BADAC" w14:textId="59552D10" w:rsidR="00C61388" w:rsidRPr="00A73566" w:rsidRDefault="001E0A0D" w:rsidP="00A45DFD">
      <w:pPr>
        <w:ind w:firstLine="567"/>
        <w:rPr>
          <w:rFonts w:ascii="Times New Roman" w:hAnsi="Times New Roman" w:cs="Times New Roman"/>
          <w:lang w:val="ro-RO"/>
        </w:rPr>
      </w:pPr>
      <w:r w:rsidRPr="00A73566">
        <w:rPr>
          <w:rFonts w:ascii="Times New Roman" w:hAnsi="Times New Roman" w:cs="Times New Roman"/>
          <w:lang w:val="ro-RO"/>
        </w:rPr>
        <w:t xml:space="preserve">Una dintre problemele cheie legate de sustenabilitatea și stabilitatea activității agricole ține de asigurarea cu inputuri de calitate și la prețuri competitive. </w:t>
      </w:r>
      <w:r w:rsidR="00597BE8" w:rsidRPr="00A73566">
        <w:rPr>
          <w:rFonts w:ascii="Times New Roman" w:hAnsi="Times New Roman" w:cs="Times New Roman"/>
          <w:lang w:val="ro-RO"/>
        </w:rPr>
        <w:t xml:space="preserve">Insuficienta de intervenții la acest subiect  </w:t>
      </w:r>
      <w:r w:rsidRPr="00A73566">
        <w:rPr>
          <w:rFonts w:ascii="Times New Roman" w:hAnsi="Times New Roman" w:cs="Times New Roman"/>
          <w:lang w:val="ro-RO"/>
        </w:rPr>
        <w:t>a adâncit dependența producătorilor agricoli de importuri</w:t>
      </w:r>
      <w:r w:rsidR="00962D47" w:rsidRPr="00A73566">
        <w:rPr>
          <w:rFonts w:ascii="Times New Roman" w:hAnsi="Times New Roman" w:cs="Times New Roman"/>
          <w:lang w:val="ro-RO"/>
        </w:rPr>
        <w:t xml:space="preserve">, </w:t>
      </w:r>
      <w:r w:rsidR="00D94DC1" w:rsidRPr="00A73566">
        <w:rPr>
          <w:rFonts w:ascii="Times New Roman" w:hAnsi="Times New Roman" w:cs="Times New Roman"/>
          <w:lang w:val="ro-RO"/>
        </w:rPr>
        <w:t>creând costuri suplimentare în producerea culturilor agricole</w:t>
      </w:r>
      <w:r w:rsidRPr="00A73566">
        <w:rPr>
          <w:rFonts w:ascii="Times New Roman" w:hAnsi="Times New Roman" w:cs="Times New Roman"/>
          <w:lang w:val="ro-RO"/>
        </w:rPr>
        <w:t xml:space="preserve"> Având în vedere importanța strategică a acestui aspect, </w:t>
      </w:r>
      <w:r w:rsidR="00300E8A" w:rsidRPr="00A73566">
        <w:rPr>
          <w:rFonts w:ascii="Times New Roman" w:hAnsi="Times New Roman" w:cs="Times New Roman"/>
          <w:lang w:val="ro-RO"/>
        </w:rPr>
        <w:t>î</w:t>
      </w:r>
      <w:r w:rsidR="00962D47" w:rsidRPr="00A73566">
        <w:rPr>
          <w:rFonts w:ascii="Times New Roman" w:hAnsi="Times New Roman" w:cs="Times New Roman"/>
          <w:lang w:val="ro-RO"/>
        </w:rPr>
        <w:t>n perioada următo</w:t>
      </w:r>
      <w:r w:rsidR="00300E8A" w:rsidRPr="00A73566">
        <w:rPr>
          <w:rFonts w:ascii="Times New Roman" w:hAnsi="Times New Roman" w:cs="Times New Roman"/>
          <w:lang w:val="ro-RO"/>
        </w:rPr>
        <w:t>are</w:t>
      </w:r>
      <w:r w:rsidR="00962D47" w:rsidRPr="00A73566">
        <w:rPr>
          <w:rFonts w:ascii="Times New Roman" w:hAnsi="Times New Roman" w:cs="Times New Roman"/>
          <w:lang w:val="ro-RO"/>
        </w:rPr>
        <w:t xml:space="preserve"> este planificata crearea o doua </w:t>
      </w:r>
      <w:r w:rsidR="00540C1F" w:rsidRPr="00A73566">
        <w:rPr>
          <w:rFonts w:ascii="Times New Roman" w:hAnsi="Times New Roman" w:cs="Times New Roman"/>
          <w:lang w:val="ro-RO"/>
        </w:rPr>
        <w:t xml:space="preserve">entități pentru </w:t>
      </w:r>
      <w:r w:rsidR="00CD3F5C" w:rsidRPr="00A73566">
        <w:rPr>
          <w:rFonts w:ascii="Times New Roman" w:hAnsi="Times New Roman" w:cs="Times New Roman"/>
          <w:lang w:val="ro-RO"/>
        </w:rPr>
        <w:t xml:space="preserve">producerea materialului săditor </w:t>
      </w:r>
      <w:r w:rsidR="00300E8A" w:rsidRPr="00A73566">
        <w:rPr>
          <w:rFonts w:ascii="Times New Roman" w:hAnsi="Times New Roman" w:cs="Times New Roman"/>
          <w:lang w:val="ro-RO"/>
        </w:rPr>
        <w:t>și, respectiv semincer, ce</w:t>
      </w:r>
      <w:r w:rsidR="00CD3F5C" w:rsidRPr="00A73566">
        <w:rPr>
          <w:rFonts w:ascii="Times New Roman" w:hAnsi="Times New Roman" w:cs="Times New Roman"/>
          <w:lang w:val="ro-RO"/>
        </w:rPr>
        <w:t xml:space="preserve"> ar asigura producătorii autohtoni cu material de înmulțire liber de viruși, mi</w:t>
      </w:r>
      <w:r w:rsidR="00540C1F" w:rsidRPr="00A73566">
        <w:rPr>
          <w:rFonts w:ascii="Times New Roman" w:hAnsi="Times New Roman" w:cs="Times New Roman"/>
          <w:lang w:val="ro-RO"/>
        </w:rPr>
        <w:t>c</w:t>
      </w:r>
      <w:r w:rsidR="00CD3F5C" w:rsidRPr="00A73566">
        <w:rPr>
          <w:rFonts w:ascii="Times New Roman" w:hAnsi="Times New Roman" w:cs="Times New Roman"/>
          <w:lang w:val="ro-RO"/>
        </w:rPr>
        <w:t>oplasme si bacterii</w:t>
      </w:r>
      <w:r w:rsidR="00300E8A" w:rsidRPr="00A73566">
        <w:rPr>
          <w:rFonts w:ascii="Times New Roman" w:hAnsi="Times New Roman" w:cs="Times New Roman"/>
          <w:lang w:val="ro-RO"/>
        </w:rPr>
        <w:t>,</w:t>
      </w:r>
      <w:r w:rsidR="00CD3F5C" w:rsidRPr="00A73566">
        <w:rPr>
          <w:rFonts w:ascii="Times New Roman" w:hAnsi="Times New Roman" w:cs="Times New Roman"/>
          <w:lang w:val="ro-RO"/>
        </w:rPr>
        <w:t xml:space="preserve"> </w:t>
      </w:r>
      <w:r w:rsidR="00AE31F1" w:rsidRPr="00A73566">
        <w:rPr>
          <w:rFonts w:ascii="Times New Roman" w:hAnsi="Times New Roman" w:cs="Times New Roman"/>
          <w:lang w:val="ro-RO"/>
        </w:rPr>
        <w:t xml:space="preserve">precum și </w:t>
      </w:r>
      <w:r w:rsidR="00300E8A" w:rsidRPr="00A73566">
        <w:rPr>
          <w:rFonts w:ascii="Times New Roman" w:hAnsi="Times New Roman" w:cs="Times New Roman"/>
          <w:lang w:val="ro-RO"/>
        </w:rPr>
        <w:t xml:space="preserve">cu </w:t>
      </w:r>
      <w:r w:rsidR="005033E1" w:rsidRPr="00A73566">
        <w:rPr>
          <w:rFonts w:ascii="Times New Roman" w:hAnsi="Times New Roman" w:cs="Times New Roman"/>
          <w:lang w:val="ro-RO"/>
        </w:rPr>
        <w:t>material semin</w:t>
      </w:r>
      <w:r w:rsidR="00300E8A" w:rsidRPr="00A73566">
        <w:rPr>
          <w:rFonts w:ascii="Times New Roman" w:hAnsi="Times New Roman" w:cs="Times New Roman"/>
          <w:lang w:val="ro-RO"/>
        </w:rPr>
        <w:t>cer</w:t>
      </w:r>
      <w:r w:rsidR="005033E1" w:rsidRPr="00A73566">
        <w:rPr>
          <w:rFonts w:ascii="Times New Roman" w:hAnsi="Times New Roman" w:cs="Times New Roman"/>
          <w:lang w:val="ro-RO"/>
        </w:rPr>
        <w:t xml:space="preserve"> cu valoare biologica înalta</w:t>
      </w:r>
      <w:r w:rsidR="00C61388" w:rsidRPr="00A73566">
        <w:rPr>
          <w:rFonts w:ascii="Times New Roman" w:hAnsi="Times New Roman" w:cs="Times New Roman"/>
          <w:lang w:val="ro-RO"/>
        </w:rPr>
        <w:t>,</w:t>
      </w:r>
      <w:r w:rsidR="00300E8A" w:rsidRPr="00A73566">
        <w:rPr>
          <w:rFonts w:ascii="Times New Roman" w:hAnsi="Times New Roman" w:cs="Times New Roman"/>
          <w:lang w:val="ro-RO"/>
        </w:rPr>
        <w:t xml:space="preserve"> conform standardelor UE</w:t>
      </w:r>
      <w:r w:rsidR="005033E1" w:rsidRPr="00A73566">
        <w:rPr>
          <w:rFonts w:ascii="Times New Roman" w:hAnsi="Times New Roman" w:cs="Times New Roman"/>
          <w:lang w:val="ro-RO"/>
        </w:rPr>
        <w:t xml:space="preserve">. </w:t>
      </w:r>
    </w:p>
    <w:p w14:paraId="6E060A78" w14:textId="3DC5B3BB" w:rsidR="00197E14" w:rsidRPr="00A73566" w:rsidRDefault="00AE31F1" w:rsidP="00A45DFD">
      <w:pPr>
        <w:ind w:firstLine="567"/>
        <w:rPr>
          <w:rFonts w:ascii="Times New Roman" w:hAnsi="Times New Roman" w:cs="Times New Roman"/>
          <w:lang w:val="ro-RO"/>
        </w:rPr>
      </w:pPr>
      <w:r w:rsidRPr="00A73566">
        <w:rPr>
          <w:rFonts w:ascii="Times New Roman" w:hAnsi="Times New Roman" w:cs="Times New Roman"/>
          <w:lang w:val="ro-RO"/>
        </w:rPr>
        <w:t>Un rol esențial în reducerea dependentei fața de imput</w:t>
      </w:r>
      <w:r w:rsidR="00761DD9" w:rsidRPr="00A73566">
        <w:rPr>
          <w:rFonts w:ascii="Times New Roman" w:hAnsi="Times New Roman" w:cs="Times New Roman"/>
          <w:lang w:val="ro-RO"/>
        </w:rPr>
        <w:t>-u</w:t>
      </w:r>
      <w:r w:rsidRPr="00A73566">
        <w:rPr>
          <w:rFonts w:ascii="Times New Roman" w:hAnsi="Times New Roman" w:cs="Times New Roman"/>
          <w:lang w:val="ro-RO"/>
        </w:rPr>
        <w:t xml:space="preserve">rile pentru procesul de producere urmează sa-l asigure Centrul National pentru Diagnosticare </w:t>
      </w:r>
      <w:r w:rsidR="00234205" w:rsidRPr="00A73566">
        <w:rPr>
          <w:rFonts w:ascii="Times New Roman" w:hAnsi="Times New Roman" w:cs="Times New Roman"/>
          <w:lang w:val="ro-RO"/>
        </w:rPr>
        <w:t>ș</w:t>
      </w:r>
      <w:r w:rsidRPr="00A73566">
        <w:rPr>
          <w:rFonts w:ascii="Times New Roman" w:hAnsi="Times New Roman" w:cs="Times New Roman"/>
          <w:lang w:val="ro-RO"/>
        </w:rPr>
        <w:t xml:space="preserve">i Suport Tehnologic </w:t>
      </w:r>
      <w:r w:rsidR="00C61388" w:rsidRPr="00A73566">
        <w:rPr>
          <w:rFonts w:ascii="Times New Roman" w:hAnsi="Times New Roman" w:cs="Times New Roman"/>
          <w:lang w:val="ro-RO"/>
        </w:rPr>
        <w:t>î</w:t>
      </w:r>
      <w:r w:rsidRPr="00A73566">
        <w:rPr>
          <w:rFonts w:ascii="Times New Roman" w:hAnsi="Times New Roman" w:cs="Times New Roman"/>
          <w:lang w:val="ro-RO"/>
        </w:rPr>
        <w:t>n Agricultura.</w:t>
      </w:r>
      <w:r w:rsidR="00197E14" w:rsidRPr="00A73566">
        <w:rPr>
          <w:rFonts w:ascii="Times New Roman" w:hAnsi="Times New Roman" w:cs="Times New Roman"/>
          <w:lang w:val="ro-RO"/>
        </w:rPr>
        <w:t xml:space="preserve"> Menirea acestui Centru </w:t>
      </w:r>
      <w:r w:rsidR="00D54883" w:rsidRPr="00A73566">
        <w:rPr>
          <w:rFonts w:ascii="Times New Roman" w:hAnsi="Times New Roman" w:cs="Times New Roman"/>
          <w:lang w:val="ro-RO"/>
        </w:rPr>
        <w:t>este a optimiza și micșora costurile de producere</w:t>
      </w:r>
      <w:r w:rsidR="00207FE0" w:rsidRPr="00A73566">
        <w:rPr>
          <w:rFonts w:ascii="Times New Roman" w:hAnsi="Times New Roman" w:cs="Times New Roman"/>
          <w:lang w:val="ro-RO"/>
        </w:rPr>
        <w:t xml:space="preserve"> </w:t>
      </w:r>
      <w:r w:rsidR="00D54883" w:rsidRPr="00A73566">
        <w:rPr>
          <w:rFonts w:ascii="Times New Roman" w:hAnsi="Times New Roman" w:cs="Times New Roman"/>
          <w:lang w:val="ro-RO"/>
        </w:rPr>
        <w:t>prin</w:t>
      </w:r>
      <w:r w:rsidR="00FE29FC" w:rsidRPr="00A73566">
        <w:rPr>
          <w:rFonts w:ascii="Times New Roman" w:hAnsi="Times New Roman" w:cs="Times New Roman"/>
          <w:lang w:val="ro-RO"/>
        </w:rPr>
        <w:t xml:space="preserve"> </w:t>
      </w:r>
      <w:r w:rsidR="00197E14" w:rsidRPr="00A73566">
        <w:rPr>
          <w:rFonts w:ascii="Times New Roman" w:hAnsi="Times New Roman" w:cs="Times New Roman"/>
          <w:lang w:val="ro-RO"/>
        </w:rPr>
        <w:t xml:space="preserve">acordarea </w:t>
      </w:r>
      <w:r w:rsidR="009C6D92" w:rsidRPr="00A73566">
        <w:rPr>
          <w:rFonts w:ascii="Times New Roman" w:hAnsi="Times New Roman" w:cs="Times New Roman"/>
          <w:lang w:val="ro-RO"/>
        </w:rPr>
        <w:t xml:space="preserve">pentru fermieri a </w:t>
      </w:r>
      <w:r w:rsidR="00197E14" w:rsidRPr="00A73566">
        <w:rPr>
          <w:rFonts w:ascii="Times New Roman" w:hAnsi="Times New Roman" w:cs="Times New Roman"/>
          <w:lang w:val="ro-RO"/>
        </w:rPr>
        <w:t xml:space="preserve">suportului </w:t>
      </w:r>
      <w:r w:rsidR="00641406" w:rsidRPr="00A73566">
        <w:rPr>
          <w:rFonts w:ascii="Times New Roman" w:hAnsi="Times New Roman" w:cs="Times New Roman"/>
          <w:lang w:val="ro-RO"/>
        </w:rPr>
        <w:t>agro-</w:t>
      </w:r>
      <w:r w:rsidR="00197E14" w:rsidRPr="00A73566">
        <w:rPr>
          <w:rFonts w:ascii="Times New Roman" w:hAnsi="Times New Roman" w:cs="Times New Roman"/>
          <w:lang w:val="ro-RO"/>
        </w:rPr>
        <w:t xml:space="preserve">tehnologic </w:t>
      </w:r>
      <w:r w:rsidR="009C6D92" w:rsidRPr="00A73566">
        <w:rPr>
          <w:rFonts w:ascii="Times New Roman" w:hAnsi="Times New Roman" w:cs="Times New Roman"/>
          <w:lang w:val="ro-RO"/>
        </w:rPr>
        <w:t>în</w:t>
      </w:r>
      <w:r w:rsidR="005B77DF" w:rsidRPr="00A73566">
        <w:rPr>
          <w:rFonts w:ascii="Times New Roman" w:hAnsi="Times New Roman" w:cs="Times New Roman"/>
          <w:lang w:val="ro-RO"/>
        </w:rPr>
        <w:t xml:space="preserve"> </w:t>
      </w:r>
      <w:r w:rsidR="00197E14" w:rsidRPr="00A73566">
        <w:rPr>
          <w:rFonts w:ascii="Times New Roman" w:hAnsi="Times New Roman" w:cs="Times New Roman"/>
          <w:lang w:val="ro-RO"/>
        </w:rPr>
        <w:t>diagnosticarea bolilor si dăunătorilor</w:t>
      </w:r>
      <w:r w:rsidR="00C61388" w:rsidRPr="00A73566">
        <w:rPr>
          <w:rFonts w:ascii="Times New Roman" w:hAnsi="Times New Roman" w:cs="Times New Roman"/>
          <w:lang w:val="ro-RO"/>
        </w:rPr>
        <w:t xml:space="preserve"> </w:t>
      </w:r>
      <w:r w:rsidR="009C6D92" w:rsidRPr="00A73566">
        <w:rPr>
          <w:rFonts w:ascii="Times New Roman" w:hAnsi="Times New Roman" w:cs="Times New Roman"/>
          <w:lang w:val="ro-RO"/>
        </w:rPr>
        <w:t>la</w:t>
      </w:r>
      <w:r w:rsidR="005B77DF" w:rsidRPr="00A73566">
        <w:rPr>
          <w:rFonts w:ascii="Times New Roman" w:hAnsi="Times New Roman" w:cs="Times New Roman"/>
          <w:lang w:val="ro-RO"/>
        </w:rPr>
        <w:t xml:space="preserve"> </w:t>
      </w:r>
      <w:r w:rsidR="00197E14" w:rsidRPr="00A73566">
        <w:rPr>
          <w:rFonts w:ascii="Times New Roman" w:hAnsi="Times New Roman" w:cs="Times New Roman"/>
          <w:lang w:val="ro-RO"/>
        </w:rPr>
        <w:t>faze incipiente de dezvoltare</w:t>
      </w:r>
      <w:r w:rsidR="00641406" w:rsidRPr="00A73566">
        <w:rPr>
          <w:rFonts w:ascii="Times New Roman" w:hAnsi="Times New Roman" w:cs="Times New Roman"/>
          <w:lang w:val="ro-RO"/>
        </w:rPr>
        <w:t>, calcul</w:t>
      </w:r>
      <w:r w:rsidR="00234205" w:rsidRPr="00A73566">
        <w:rPr>
          <w:rFonts w:ascii="Times New Roman" w:hAnsi="Times New Roman" w:cs="Times New Roman"/>
          <w:lang w:val="ro-RO"/>
        </w:rPr>
        <w:t>area</w:t>
      </w:r>
      <w:r w:rsidR="00641406" w:rsidRPr="00A73566">
        <w:rPr>
          <w:rFonts w:ascii="Times New Roman" w:hAnsi="Times New Roman" w:cs="Times New Roman"/>
          <w:lang w:val="ro-RO"/>
        </w:rPr>
        <w:t xml:space="preserve"> necesarului optim de produse chimice pentru protecție </w:t>
      </w:r>
      <w:r w:rsidR="00234205" w:rsidRPr="00A73566">
        <w:rPr>
          <w:rFonts w:ascii="Times New Roman" w:hAnsi="Times New Roman" w:cs="Times New Roman"/>
          <w:lang w:val="ro-RO"/>
        </w:rPr>
        <w:t>ș</w:t>
      </w:r>
      <w:r w:rsidR="00641406" w:rsidRPr="00A73566">
        <w:rPr>
          <w:rFonts w:ascii="Times New Roman" w:hAnsi="Times New Roman" w:cs="Times New Roman"/>
          <w:lang w:val="ro-RO"/>
        </w:rPr>
        <w:t xml:space="preserve">i fertilizare </w:t>
      </w:r>
      <w:r w:rsidR="005B77DF" w:rsidRPr="00A73566">
        <w:rPr>
          <w:rFonts w:ascii="Times New Roman" w:hAnsi="Times New Roman" w:cs="Times New Roman"/>
          <w:lang w:val="ro-RO"/>
        </w:rPr>
        <w:t>î</w:t>
      </w:r>
      <w:r w:rsidR="00197E14" w:rsidRPr="00A73566">
        <w:rPr>
          <w:rFonts w:ascii="Times New Roman" w:hAnsi="Times New Roman" w:cs="Times New Roman"/>
          <w:lang w:val="ro-RO"/>
        </w:rPr>
        <w:t xml:space="preserve">n </w:t>
      </w:r>
      <w:r w:rsidR="00562D8F" w:rsidRPr="00A73566">
        <w:rPr>
          <w:rFonts w:ascii="Times New Roman" w:hAnsi="Times New Roman" w:cs="Times New Roman"/>
          <w:lang w:val="ro-RO"/>
        </w:rPr>
        <w:t>funcție</w:t>
      </w:r>
      <w:r w:rsidR="00234205" w:rsidRPr="00A73566">
        <w:rPr>
          <w:rFonts w:ascii="Times New Roman" w:hAnsi="Times New Roman" w:cs="Times New Roman"/>
          <w:lang w:val="ro-RO"/>
        </w:rPr>
        <w:t xml:space="preserve"> </w:t>
      </w:r>
      <w:r w:rsidR="00197E14" w:rsidRPr="00A73566">
        <w:rPr>
          <w:rFonts w:ascii="Times New Roman" w:hAnsi="Times New Roman" w:cs="Times New Roman"/>
          <w:lang w:val="ro-RO"/>
        </w:rPr>
        <w:t xml:space="preserve"> de structura </w:t>
      </w:r>
      <w:r w:rsidR="00FE29FC" w:rsidRPr="00A73566">
        <w:rPr>
          <w:rFonts w:ascii="Times New Roman" w:hAnsi="Times New Roman" w:cs="Times New Roman"/>
          <w:lang w:val="ro-RO"/>
        </w:rPr>
        <w:t xml:space="preserve">și calitatea </w:t>
      </w:r>
      <w:r w:rsidR="00197E14" w:rsidRPr="00A73566">
        <w:rPr>
          <w:rFonts w:ascii="Times New Roman" w:hAnsi="Times New Roman" w:cs="Times New Roman"/>
          <w:lang w:val="ro-RO"/>
        </w:rPr>
        <w:t>solului</w:t>
      </w:r>
      <w:r w:rsidR="00641406" w:rsidRPr="00A73566">
        <w:rPr>
          <w:rFonts w:ascii="Times New Roman" w:hAnsi="Times New Roman" w:cs="Times New Roman"/>
          <w:lang w:val="ro-RO"/>
        </w:rPr>
        <w:t>, c</w:t>
      </w:r>
      <w:r w:rsidR="00197E14" w:rsidRPr="00A73566">
        <w:rPr>
          <w:rFonts w:ascii="Times New Roman" w:hAnsi="Times New Roman" w:cs="Times New Roman"/>
          <w:lang w:val="ro-RO"/>
        </w:rPr>
        <w:t>alitatea apei</w:t>
      </w:r>
      <w:r w:rsidR="00FE29FC" w:rsidRPr="00A73566">
        <w:rPr>
          <w:rFonts w:ascii="Times New Roman" w:hAnsi="Times New Roman" w:cs="Times New Roman"/>
          <w:lang w:val="ro-RO"/>
        </w:rPr>
        <w:t xml:space="preserve">, </w:t>
      </w:r>
      <w:r w:rsidR="00641406" w:rsidRPr="00A73566">
        <w:rPr>
          <w:rFonts w:ascii="Times New Roman" w:hAnsi="Times New Roman" w:cs="Times New Roman"/>
          <w:lang w:val="ro-RO"/>
        </w:rPr>
        <w:t xml:space="preserve"> condițiile climaterice, precum și </w:t>
      </w:r>
      <w:r w:rsidR="00197E14" w:rsidRPr="00A73566">
        <w:rPr>
          <w:rFonts w:ascii="Times New Roman" w:hAnsi="Times New Roman" w:cs="Times New Roman"/>
          <w:lang w:val="ro-RO"/>
        </w:rPr>
        <w:t>planifica</w:t>
      </w:r>
      <w:r w:rsidR="00234205" w:rsidRPr="00A73566">
        <w:rPr>
          <w:rFonts w:ascii="Times New Roman" w:hAnsi="Times New Roman" w:cs="Times New Roman"/>
          <w:lang w:val="ro-RO"/>
        </w:rPr>
        <w:t>rea</w:t>
      </w:r>
      <w:r w:rsidR="00197E14" w:rsidRPr="00A73566">
        <w:rPr>
          <w:rFonts w:ascii="Times New Roman" w:hAnsi="Times New Roman" w:cs="Times New Roman"/>
          <w:lang w:val="ro-RO"/>
        </w:rPr>
        <w:t xml:space="preserve"> </w:t>
      </w:r>
      <w:r w:rsidR="00761DD9" w:rsidRPr="00A73566">
        <w:rPr>
          <w:rFonts w:ascii="Times New Roman" w:hAnsi="Times New Roman" w:cs="Times New Roman"/>
          <w:lang w:val="ro-RO"/>
        </w:rPr>
        <w:t>cheltuielilor pentru viitoarea recolt</w:t>
      </w:r>
      <w:r w:rsidR="00234205" w:rsidRPr="00A73566">
        <w:rPr>
          <w:rFonts w:ascii="Times New Roman" w:hAnsi="Times New Roman" w:cs="Times New Roman"/>
          <w:lang w:val="ro-RO"/>
        </w:rPr>
        <w:t>ă.</w:t>
      </w:r>
      <w:r w:rsidR="00197E14" w:rsidRPr="00A73566">
        <w:rPr>
          <w:rFonts w:ascii="Times New Roman" w:hAnsi="Times New Roman" w:cs="Times New Roman"/>
          <w:lang w:val="ro-RO"/>
        </w:rPr>
        <w:t xml:space="preserve"> </w:t>
      </w:r>
    </w:p>
    <w:p w14:paraId="7D357787" w14:textId="32ED3C64" w:rsidR="002F3615" w:rsidRPr="00A73566" w:rsidRDefault="002F3615" w:rsidP="00A45DFD">
      <w:pPr>
        <w:ind w:firstLine="567"/>
        <w:rPr>
          <w:rFonts w:ascii="Times New Roman" w:hAnsi="Times New Roman" w:cs="Times New Roman"/>
          <w:lang w:val="ro-RO"/>
        </w:rPr>
      </w:pPr>
      <w:r w:rsidRPr="00A73566">
        <w:rPr>
          <w:rFonts w:ascii="Times New Roman" w:hAnsi="Times New Roman" w:cs="Times New Roman"/>
          <w:lang w:val="ro-RO"/>
        </w:rPr>
        <w:t>Componenta energetic</w:t>
      </w:r>
      <w:r w:rsidR="00234205" w:rsidRPr="00A73566">
        <w:rPr>
          <w:rFonts w:ascii="Times New Roman" w:hAnsi="Times New Roman" w:cs="Times New Roman"/>
          <w:lang w:val="ro-RO"/>
        </w:rPr>
        <w:t>ă</w:t>
      </w:r>
      <w:r w:rsidRPr="00A73566">
        <w:rPr>
          <w:rFonts w:ascii="Times New Roman" w:hAnsi="Times New Roman" w:cs="Times New Roman"/>
          <w:lang w:val="ro-RO"/>
        </w:rPr>
        <w:t xml:space="preserve"> are un impact major </w:t>
      </w:r>
      <w:r w:rsidR="00234205" w:rsidRPr="00A73566">
        <w:rPr>
          <w:rFonts w:ascii="Times New Roman" w:hAnsi="Times New Roman" w:cs="Times New Roman"/>
          <w:lang w:val="ro-RO"/>
        </w:rPr>
        <w:t>î</w:t>
      </w:r>
      <w:r w:rsidRPr="00A73566">
        <w:rPr>
          <w:rFonts w:ascii="Times New Roman" w:hAnsi="Times New Roman" w:cs="Times New Roman"/>
          <w:lang w:val="ro-RO"/>
        </w:rPr>
        <w:t>n producerea și procesare</w:t>
      </w:r>
      <w:r w:rsidR="00234205" w:rsidRPr="00A73566">
        <w:rPr>
          <w:rFonts w:ascii="Times New Roman" w:hAnsi="Times New Roman" w:cs="Times New Roman"/>
          <w:lang w:val="ro-RO"/>
        </w:rPr>
        <w:t>a</w:t>
      </w:r>
      <w:r w:rsidRPr="00A73566">
        <w:rPr>
          <w:rFonts w:ascii="Times New Roman" w:hAnsi="Times New Roman" w:cs="Times New Roman"/>
          <w:lang w:val="ro-RO"/>
        </w:rPr>
        <w:t xml:space="preserve"> agroalimentară</w:t>
      </w:r>
      <w:r w:rsidR="009A2259" w:rsidRPr="00A73566">
        <w:rPr>
          <w:rFonts w:ascii="Times New Roman" w:hAnsi="Times New Roman" w:cs="Times New Roman"/>
          <w:lang w:val="ro-RO"/>
        </w:rPr>
        <w:t>,</w:t>
      </w:r>
      <w:r w:rsidR="008B3E2E" w:rsidRPr="00A73566">
        <w:rPr>
          <w:rFonts w:ascii="Times New Roman" w:hAnsi="Times New Roman" w:cs="Times New Roman"/>
          <w:lang w:val="ro-RO"/>
        </w:rPr>
        <w:t xml:space="preserve"> de ace</w:t>
      </w:r>
      <w:r w:rsidR="00234205" w:rsidRPr="00A73566">
        <w:rPr>
          <w:rFonts w:ascii="Times New Roman" w:hAnsi="Times New Roman" w:cs="Times New Roman"/>
          <w:lang w:val="ro-RO"/>
        </w:rPr>
        <w:t>e</w:t>
      </w:r>
      <w:r w:rsidR="008B3E2E" w:rsidRPr="00A73566">
        <w:rPr>
          <w:rFonts w:ascii="Times New Roman" w:hAnsi="Times New Roman" w:cs="Times New Roman"/>
          <w:lang w:val="ro-RO"/>
        </w:rPr>
        <w:t>a inițiativel</w:t>
      </w:r>
      <w:r w:rsidR="00234205" w:rsidRPr="00A73566">
        <w:rPr>
          <w:rFonts w:ascii="Times New Roman" w:hAnsi="Times New Roman" w:cs="Times New Roman"/>
          <w:lang w:val="ro-RO"/>
        </w:rPr>
        <w:t>e</w:t>
      </w:r>
      <w:r w:rsidR="008B3E2E" w:rsidRPr="00A73566">
        <w:rPr>
          <w:rFonts w:ascii="Times New Roman" w:hAnsi="Times New Roman" w:cs="Times New Roman"/>
          <w:lang w:val="ro-RO"/>
        </w:rPr>
        <w:t xml:space="preserve"> </w:t>
      </w:r>
      <w:r w:rsidR="009A2259" w:rsidRPr="00A73566">
        <w:rPr>
          <w:rFonts w:ascii="Times New Roman" w:hAnsi="Times New Roman" w:cs="Times New Roman"/>
          <w:lang w:val="ro-RO"/>
        </w:rPr>
        <w:t xml:space="preserve">de încadrate a sistemelor alternative </w:t>
      </w:r>
      <w:r w:rsidR="00363326" w:rsidRPr="00A73566">
        <w:rPr>
          <w:rFonts w:ascii="Times New Roman" w:hAnsi="Times New Roman" w:cs="Times New Roman"/>
          <w:lang w:val="ro-RO"/>
        </w:rPr>
        <w:t>energetice pentru lanțul de producere v</w:t>
      </w:r>
      <w:r w:rsidR="00234205" w:rsidRPr="00A73566">
        <w:rPr>
          <w:rFonts w:ascii="Times New Roman" w:hAnsi="Times New Roman" w:cs="Times New Roman"/>
          <w:lang w:val="ro-RO"/>
        </w:rPr>
        <w:t>or</w:t>
      </w:r>
      <w:r w:rsidR="00363326" w:rsidRPr="00A73566">
        <w:rPr>
          <w:rFonts w:ascii="Times New Roman" w:hAnsi="Times New Roman" w:cs="Times New Roman"/>
          <w:lang w:val="ro-RO"/>
        </w:rPr>
        <w:t xml:space="preserve"> </w:t>
      </w:r>
      <w:r w:rsidR="009A2259" w:rsidRPr="00A73566">
        <w:rPr>
          <w:rFonts w:ascii="Times New Roman" w:hAnsi="Times New Roman" w:cs="Times New Roman"/>
          <w:lang w:val="ro-RO"/>
        </w:rPr>
        <w:t>fi susținut</w:t>
      </w:r>
      <w:r w:rsidR="00234205" w:rsidRPr="00A73566">
        <w:rPr>
          <w:rFonts w:ascii="Times New Roman" w:hAnsi="Times New Roman" w:cs="Times New Roman"/>
          <w:lang w:val="ro-RO"/>
        </w:rPr>
        <w:t>e</w:t>
      </w:r>
      <w:r w:rsidR="009A2259" w:rsidRPr="00A73566">
        <w:rPr>
          <w:rFonts w:ascii="Times New Roman" w:hAnsi="Times New Roman" w:cs="Times New Roman"/>
          <w:lang w:val="ro-RO"/>
        </w:rPr>
        <w:t xml:space="preserve"> </w:t>
      </w:r>
      <w:r w:rsidR="00234205" w:rsidRPr="00A73566">
        <w:rPr>
          <w:rFonts w:ascii="Times New Roman" w:hAnsi="Times New Roman" w:cs="Times New Roman"/>
          <w:lang w:val="ro-RO"/>
        </w:rPr>
        <w:t>î</w:t>
      </w:r>
      <w:r w:rsidR="009A2259" w:rsidRPr="00A73566">
        <w:rPr>
          <w:rFonts w:ascii="Times New Roman" w:hAnsi="Times New Roman" w:cs="Times New Roman"/>
          <w:lang w:val="ro-RO"/>
        </w:rPr>
        <w:t>n continuare prin</w:t>
      </w:r>
      <w:r w:rsidR="00363326" w:rsidRPr="00A73566">
        <w:rPr>
          <w:rFonts w:ascii="Times New Roman" w:hAnsi="Times New Roman" w:cs="Times New Roman"/>
          <w:lang w:val="ro-RO"/>
        </w:rPr>
        <w:t>: (i)</w:t>
      </w:r>
      <w:r w:rsidR="009A2259" w:rsidRPr="00A73566">
        <w:rPr>
          <w:rFonts w:ascii="Times New Roman" w:hAnsi="Times New Roman" w:cs="Times New Roman"/>
          <w:lang w:val="ro-RO"/>
        </w:rPr>
        <w:t xml:space="preserve"> dotarea a circa </w:t>
      </w:r>
      <w:r w:rsidR="00363326" w:rsidRPr="00A73566">
        <w:rPr>
          <w:rFonts w:ascii="Times New Roman" w:hAnsi="Times New Roman" w:cs="Times New Roman"/>
          <w:lang w:val="ro-RO"/>
        </w:rPr>
        <w:t>20</w:t>
      </w:r>
      <w:r w:rsidR="009A2259" w:rsidRPr="00A73566">
        <w:rPr>
          <w:rFonts w:ascii="Times New Roman" w:hAnsi="Times New Roman" w:cs="Times New Roman"/>
          <w:lang w:val="ro-RO"/>
        </w:rPr>
        <w:t>0 de întreprinderi agroindustriale cu sisteme fotovoltaice, eoliene și de producere a biogazului</w:t>
      </w:r>
      <w:r w:rsidR="00EF4ECF" w:rsidRPr="00A73566">
        <w:rPr>
          <w:rFonts w:ascii="Times New Roman" w:hAnsi="Times New Roman" w:cs="Times New Roman"/>
          <w:lang w:val="ro-RO"/>
        </w:rPr>
        <w:t>, și</w:t>
      </w:r>
      <w:r w:rsidR="009A2259" w:rsidRPr="00A73566">
        <w:rPr>
          <w:rFonts w:ascii="Times New Roman" w:hAnsi="Times New Roman" w:cs="Times New Roman"/>
          <w:lang w:val="ro-RO"/>
        </w:rPr>
        <w:t xml:space="preserve"> </w:t>
      </w:r>
      <w:r w:rsidR="00363326" w:rsidRPr="00A73566">
        <w:rPr>
          <w:rFonts w:ascii="Times New Roman" w:hAnsi="Times New Roman" w:cs="Times New Roman"/>
          <w:lang w:val="ro-RO"/>
        </w:rPr>
        <w:t xml:space="preserve">(ii) </w:t>
      </w:r>
      <w:r w:rsidR="00EF4ECF" w:rsidRPr="00A73566">
        <w:rPr>
          <w:rFonts w:ascii="Times New Roman" w:hAnsi="Times New Roman" w:cs="Times New Roman"/>
          <w:lang w:val="ro-RO"/>
        </w:rPr>
        <w:t>c</w:t>
      </w:r>
      <w:r w:rsidR="00363326" w:rsidRPr="00A73566">
        <w:rPr>
          <w:rFonts w:ascii="Times New Roman" w:hAnsi="Times New Roman" w:cs="Times New Roman"/>
          <w:lang w:val="ro-RO"/>
        </w:rPr>
        <w:t xml:space="preserve">rearea unui mecanism de suport pentru asigurarea fermierilor cu combustibil la prețuri preferențiale. </w:t>
      </w:r>
      <w:r w:rsidR="00D347BF" w:rsidRPr="00A73566">
        <w:rPr>
          <w:rFonts w:ascii="Times New Roman" w:hAnsi="Times New Roman" w:cs="Times New Roman"/>
          <w:lang w:val="ro-RO"/>
        </w:rPr>
        <w:t>Activitățile menționate vor duce inevitabil la m</w:t>
      </w:r>
      <w:r w:rsidR="00A55363" w:rsidRPr="00A73566">
        <w:rPr>
          <w:rFonts w:ascii="Times New Roman" w:hAnsi="Times New Roman" w:cs="Times New Roman"/>
          <w:lang w:val="ro-RO"/>
        </w:rPr>
        <w:t>icșorarea</w:t>
      </w:r>
      <w:r w:rsidRPr="00A73566">
        <w:rPr>
          <w:rFonts w:ascii="Times New Roman" w:hAnsi="Times New Roman" w:cs="Times New Roman"/>
          <w:lang w:val="ro-RO"/>
        </w:rPr>
        <w:t xml:space="preserve"> costurilor de producere</w:t>
      </w:r>
      <w:r w:rsidR="00D347BF" w:rsidRPr="00A73566">
        <w:rPr>
          <w:rFonts w:ascii="Times New Roman" w:hAnsi="Times New Roman" w:cs="Times New Roman"/>
          <w:lang w:val="ro-RO"/>
        </w:rPr>
        <w:t xml:space="preserve">, </w:t>
      </w:r>
      <w:r w:rsidR="00A55363" w:rsidRPr="00A73566">
        <w:rPr>
          <w:rFonts w:ascii="Times New Roman" w:hAnsi="Times New Roman" w:cs="Times New Roman"/>
          <w:lang w:val="ro-RO"/>
        </w:rPr>
        <w:t xml:space="preserve">sporirea competitivității </w:t>
      </w:r>
      <w:r w:rsidR="00D347BF" w:rsidRPr="00A73566">
        <w:rPr>
          <w:rFonts w:ascii="Times New Roman" w:hAnsi="Times New Roman" w:cs="Times New Roman"/>
          <w:lang w:val="ro-RO"/>
        </w:rPr>
        <w:t xml:space="preserve">producției autohtone și </w:t>
      </w:r>
      <w:r w:rsidR="00A55363" w:rsidRPr="00A73566">
        <w:rPr>
          <w:rFonts w:ascii="Times New Roman" w:hAnsi="Times New Roman" w:cs="Times New Roman"/>
          <w:lang w:val="ro-RO"/>
        </w:rPr>
        <w:t>asigurar</w:t>
      </w:r>
      <w:r w:rsidR="00D347BF" w:rsidRPr="00A73566">
        <w:rPr>
          <w:rFonts w:ascii="Times New Roman" w:hAnsi="Times New Roman" w:cs="Times New Roman"/>
          <w:lang w:val="ro-RO"/>
        </w:rPr>
        <w:t>ea</w:t>
      </w:r>
      <w:r w:rsidR="00A55363" w:rsidRPr="00A73566">
        <w:rPr>
          <w:rFonts w:ascii="Times New Roman" w:hAnsi="Times New Roman" w:cs="Times New Roman"/>
          <w:lang w:val="ro-RO"/>
        </w:rPr>
        <w:t xml:space="preserve"> un</w:t>
      </w:r>
      <w:r w:rsidR="00D347BF" w:rsidRPr="00A73566">
        <w:rPr>
          <w:rFonts w:ascii="Times New Roman" w:hAnsi="Times New Roman" w:cs="Times New Roman"/>
          <w:lang w:val="ro-RO"/>
        </w:rPr>
        <w:t>ui</w:t>
      </w:r>
      <w:r w:rsidR="00A55363" w:rsidRPr="00A73566">
        <w:rPr>
          <w:rFonts w:ascii="Times New Roman" w:hAnsi="Times New Roman" w:cs="Times New Roman"/>
          <w:lang w:val="ro-RO"/>
        </w:rPr>
        <w:t xml:space="preserve"> venit </w:t>
      </w:r>
      <w:r w:rsidR="00321548" w:rsidRPr="00A73566">
        <w:rPr>
          <w:rFonts w:ascii="Times New Roman" w:hAnsi="Times New Roman" w:cs="Times New Roman"/>
          <w:lang w:val="ro-RO"/>
        </w:rPr>
        <w:t xml:space="preserve">stabil </w:t>
      </w:r>
      <w:r w:rsidR="00A55363" w:rsidRPr="00A73566">
        <w:rPr>
          <w:rFonts w:ascii="Times New Roman" w:hAnsi="Times New Roman" w:cs="Times New Roman"/>
          <w:lang w:val="ro-RO"/>
        </w:rPr>
        <w:t xml:space="preserve">pentru </w:t>
      </w:r>
      <w:r w:rsidR="00D347BF" w:rsidRPr="00A73566">
        <w:rPr>
          <w:rFonts w:ascii="Times New Roman" w:hAnsi="Times New Roman" w:cs="Times New Roman"/>
          <w:lang w:val="ro-RO"/>
        </w:rPr>
        <w:t>producători.</w:t>
      </w:r>
    </w:p>
    <w:p w14:paraId="6F750C1B" w14:textId="4BB53F7D" w:rsidR="00C61388" w:rsidRPr="00A73566" w:rsidRDefault="00C61388" w:rsidP="00A45DFD">
      <w:pPr>
        <w:ind w:firstLine="567"/>
        <w:rPr>
          <w:rFonts w:ascii="Times New Roman" w:hAnsi="Times New Roman" w:cs="Times New Roman"/>
          <w:lang w:val="ro-RO"/>
        </w:rPr>
      </w:pPr>
      <w:r w:rsidRPr="00A73566">
        <w:rPr>
          <w:rFonts w:ascii="Times New Roman" w:hAnsi="Times New Roman" w:cs="Times New Roman"/>
          <w:lang w:val="ro-RO"/>
        </w:rPr>
        <w:t>Revitalizarea sectorului zootehnic va fi susținut</w:t>
      </w:r>
      <w:r w:rsidR="00234205" w:rsidRPr="00A73566">
        <w:rPr>
          <w:rFonts w:ascii="Times New Roman" w:hAnsi="Times New Roman" w:cs="Times New Roman"/>
          <w:lang w:val="ro-RO"/>
        </w:rPr>
        <w:t>ă</w:t>
      </w:r>
      <w:r w:rsidRPr="00A73566">
        <w:rPr>
          <w:rFonts w:ascii="Times New Roman" w:hAnsi="Times New Roman" w:cs="Times New Roman"/>
          <w:lang w:val="ro-RO"/>
        </w:rPr>
        <w:t xml:space="preserve"> prin crearea </w:t>
      </w:r>
      <w:r w:rsidR="00234205" w:rsidRPr="00A73566">
        <w:rPr>
          <w:rFonts w:ascii="Times New Roman" w:hAnsi="Times New Roman" w:cs="Times New Roman"/>
          <w:lang w:val="ro-RO"/>
        </w:rPr>
        <w:t>ș</w:t>
      </w:r>
      <w:r w:rsidRPr="00A73566">
        <w:rPr>
          <w:rFonts w:ascii="Times New Roman" w:hAnsi="Times New Roman" w:cs="Times New Roman"/>
          <w:lang w:val="ro-RO"/>
        </w:rPr>
        <w:t>i fortificarea fermelor de pr</w:t>
      </w:r>
      <w:r w:rsidR="00234205" w:rsidRPr="00A73566">
        <w:rPr>
          <w:rFonts w:ascii="Times New Roman" w:hAnsi="Times New Roman" w:cs="Times New Roman"/>
          <w:lang w:val="ro-RO"/>
        </w:rPr>
        <w:t>ăsilă</w:t>
      </w:r>
      <w:r w:rsidR="009C3F3B" w:rsidRPr="00A73566">
        <w:rPr>
          <w:rFonts w:ascii="Times New Roman" w:hAnsi="Times New Roman" w:cs="Times New Roman"/>
          <w:lang w:val="ro-RO"/>
        </w:rPr>
        <w:t xml:space="preserve"> care vor produce material genetic performant</w:t>
      </w:r>
      <w:r w:rsidRPr="00A73566">
        <w:rPr>
          <w:rFonts w:ascii="Times New Roman" w:hAnsi="Times New Roman" w:cs="Times New Roman"/>
          <w:lang w:val="ro-RO"/>
        </w:rPr>
        <w:t xml:space="preserve">. </w:t>
      </w:r>
      <w:r w:rsidR="00234205" w:rsidRPr="00A73566">
        <w:rPr>
          <w:rFonts w:ascii="Times New Roman" w:hAnsi="Times New Roman" w:cs="Times New Roman"/>
          <w:lang w:val="ro-RO"/>
        </w:rPr>
        <w:t>Î</w:t>
      </w:r>
      <w:r w:rsidR="009C3F3B" w:rsidRPr="00A73566">
        <w:rPr>
          <w:rFonts w:ascii="Times New Roman" w:hAnsi="Times New Roman" w:cs="Times New Roman"/>
          <w:lang w:val="ro-RO"/>
        </w:rPr>
        <w:t>n acest scop</w:t>
      </w:r>
      <w:r w:rsidR="00234205" w:rsidRPr="00A73566">
        <w:rPr>
          <w:rFonts w:ascii="Times New Roman" w:hAnsi="Times New Roman" w:cs="Times New Roman"/>
          <w:lang w:val="ro-RO"/>
        </w:rPr>
        <w:t>,</w:t>
      </w:r>
      <w:r w:rsidR="009C3F3B" w:rsidRPr="00A73566">
        <w:rPr>
          <w:rFonts w:ascii="Times New Roman" w:hAnsi="Times New Roman" w:cs="Times New Roman"/>
          <w:lang w:val="ro-RO"/>
        </w:rPr>
        <w:t xml:space="preserve"> </w:t>
      </w:r>
      <w:r w:rsidR="00234205" w:rsidRPr="00A73566">
        <w:rPr>
          <w:rFonts w:ascii="Times New Roman" w:hAnsi="Times New Roman" w:cs="Times New Roman"/>
          <w:lang w:val="ro-RO"/>
        </w:rPr>
        <w:t>vor fi</w:t>
      </w:r>
      <w:r w:rsidR="009C3F3B" w:rsidRPr="00A73566">
        <w:rPr>
          <w:rFonts w:ascii="Times New Roman" w:hAnsi="Times New Roman" w:cs="Times New Roman"/>
          <w:lang w:val="ro-RO"/>
        </w:rPr>
        <w:t xml:space="preserve"> crea</w:t>
      </w:r>
      <w:r w:rsidR="00234205" w:rsidRPr="00A73566">
        <w:rPr>
          <w:rFonts w:ascii="Times New Roman" w:hAnsi="Times New Roman" w:cs="Times New Roman"/>
          <w:lang w:val="ro-RO"/>
        </w:rPr>
        <w:t>te</w:t>
      </w:r>
      <w:r w:rsidR="009C3F3B" w:rsidRPr="00A73566">
        <w:rPr>
          <w:rFonts w:ascii="Times New Roman" w:hAnsi="Times New Roman" w:cs="Times New Roman"/>
          <w:lang w:val="ro-RO"/>
        </w:rPr>
        <w:t xml:space="preserve"> și dezvolta</w:t>
      </w:r>
      <w:r w:rsidR="00234205" w:rsidRPr="00A73566">
        <w:rPr>
          <w:rFonts w:ascii="Times New Roman" w:hAnsi="Times New Roman" w:cs="Times New Roman"/>
          <w:lang w:val="ro-RO"/>
        </w:rPr>
        <w:t>te</w:t>
      </w:r>
      <w:r w:rsidR="009C3F3B" w:rsidRPr="00A73566">
        <w:rPr>
          <w:rFonts w:ascii="Times New Roman" w:hAnsi="Times New Roman" w:cs="Times New Roman"/>
          <w:lang w:val="ro-RO"/>
        </w:rPr>
        <w:t xml:space="preserve"> ferme de pr</w:t>
      </w:r>
      <w:r w:rsidR="00234205" w:rsidRPr="00A73566">
        <w:rPr>
          <w:rFonts w:ascii="Times New Roman" w:hAnsi="Times New Roman" w:cs="Times New Roman"/>
          <w:lang w:val="ro-RO"/>
        </w:rPr>
        <w:t>ăsilă</w:t>
      </w:r>
      <w:r w:rsidR="009C3F3B" w:rsidRPr="00A73566">
        <w:rPr>
          <w:rFonts w:ascii="Times New Roman" w:hAnsi="Times New Roman" w:cs="Times New Roman"/>
          <w:lang w:val="ro-RO"/>
        </w:rPr>
        <w:t xml:space="preserve"> </w:t>
      </w:r>
      <w:r w:rsidR="00761DD9" w:rsidRPr="00A73566">
        <w:rPr>
          <w:rFonts w:ascii="Times New Roman" w:hAnsi="Times New Roman" w:cs="Times New Roman"/>
          <w:lang w:val="ro-RO"/>
        </w:rPr>
        <w:t>î</w:t>
      </w:r>
      <w:r w:rsidR="009C3F3B" w:rsidRPr="00A73566">
        <w:rPr>
          <w:rFonts w:ascii="Times New Roman" w:hAnsi="Times New Roman" w:cs="Times New Roman"/>
          <w:lang w:val="ro-RO"/>
        </w:rPr>
        <w:t>n următoarele sectoare: bovine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30</w:t>
      </w:r>
      <w:r w:rsidR="00EF4ECF" w:rsidRPr="00A73566">
        <w:rPr>
          <w:rFonts w:ascii="Times New Roman" w:hAnsi="Times New Roman" w:cs="Times New Roman"/>
          <w:lang w:val="ro-RO"/>
        </w:rPr>
        <w:t>)</w:t>
      </w:r>
      <w:r w:rsidR="009C3F3B" w:rsidRPr="00A73566">
        <w:rPr>
          <w:rFonts w:ascii="Times New Roman" w:hAnsi="Times New Roman" w:cs="Times New Roman"/>
          <w:lang w:val="ro-RO"/>
        </w:rPr>
        <w:t>, ovine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15</w:t>
      </w:r>
      <w:r w:rsidR="00EF4ECF" w:rsidRPr="00A73566">
        <w:rPr>
          <w:rFonts w:ascii="Times New Roman" w:hAnsi="Times New Roman" w:cs="Times New Roman"/>
          <w:lang w:val="ro-RO"/>
        </w:rPr>
        <w:t>)</w:t>
      </w:r>
      <w:r w:rsidR="009C3F3B" w:rsidRPr="00A73566">
        <w:rPr>
          <w:rFonts w:ascii="Times New Roman" w:hAnsi="Times New Roman" w:cs="Times New Roman"/>
          <w:lang w:val="ro-RO"/>
        </w:rPr>
        <w:t>,  caprine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2</w:t>
      </w:r>
      <w:r w:rsidR="00EF4ECF" w:rsidRPr="00A73566">
        <w:rPr>
          <w:rFonts w:ascii="Times New Roman" w:hAnsi="Times New Roman" w:cs="Times New Roman"/>
          <w:lang w:val="ro-RO"/>
        </w:rPr>
        <w:t>)</w:t>
      </w:r>
      <w:r w:rsidR="009C3F3B" w:rsidRPr="00A73566">
        <w:rPr>
          <w:rFonts w:ascii="Times New Roman" w:hAnsi="Times New Roman" w:cs="Times New Roman"/>
          <w:lang w:val="ro-RO"/>
        </w:rPr>
        <w:t>, porcine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3</w:t>
      </w:r>
      <w:r w:rsidR="00EF4ECF" w:rsidRPr="00A73566">
        <w:rPr>
          <w:rFonts w:ascii="Times New Roman" w:hAnsi="Times New Roman" w:cs="Times New Roman"/>
          <w:lang w:val="ro-RO"/>
        </w:rPr>
        <w:t>)</w:t>
      </w:r>
      <w:r w:rsidR="009C3F3B" w:rsidRPr="00A73566">
        <w:rPr>
          <w:rFonts w:ascii="Times New Roman" w:hAnsi="Times New Roman" w:cs="Times New Roman"/>
          <w:lang w:val="ro-RO"/>
        </w:rPr>
        <w:t>, apicole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25</w:t>
      </w:r>
      <w:r w:rsidR="00EF4ECF" w:rsidRPr="00A73566">
        <w:rPr>
          <w:rFonts w:ascii="Times New Roman" w:hAnsi="Times New Roman" w:cs="Times New Roman"/>
          <w:lang w:val="ro-RO"/>
        </w:rPr>
        <w:t>)</w:t>
      </w:r>
      <w:r w:rsidR="009C3F3B" w:rsidRPr="00A73566">
        <w:rPr>
          <w:rFonts w:ascii="Times New Roman" w:hAnsi="Times New Roman" w:cs="Times New Roman"/>
          <w:lang w:val="ro-RO"/>
        </w:rPr>
        <w:t>, cabaline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2</w:t>
      </w:r>
      <w:r w:rsidR="00EF4ECF" w:rsidRPr="00A73566">
        <w:rPr>
          <w:rFonts w:ascii="Times New Roman" w:hAnsi="Times New Roman" w:cs="Times New Roman"/>
          <w:lang w:val="ro-RO"/>
        </w:rPr>
        <w:t>)</w:t>
      </w:r>
      <w:r w:rsidR="009C3F3B" w:rsidRPr="00A73566">
        <w:rPr>
          <w:rFonts w:ascii="Times New Roman" w:hAnsi="Times New Roman" w:cs="Times New Roman"/>
          <w:lang w:val="ro-RO"/>
        </w:rPr>
        <w:t>, avicole</w:t>
      </w:r>
      <w:r w:rsidR="00EF4ECF" w:rsidRPr="00A73566">
        <w:rPr>
          <w:rFonts w:ascii="Times New Roman" w:hAnsi="Times New Roman" w:cs="Times New Roman"/>
          <w:lang w:val="ro-RO"/>
        </w:rPr>
        <w:t xml:space="preserve"> (</w:t>
      </w:r>
      <w:r w:rsidR="009C3F3B" w:rsidRPr="00A73566">
        <w:rPr>
          <w:rFonts w:ascii="Times New Roman" w:hAnsi="Times New Roman" w:cs="Times New Roman"/>
          <w:lang w:val="ro-RO"/>
        </w:rPr>
        <w:t>7</w:t>
      </w:r>
      <w:r w:rsidR="00EF4ECF" w:rsidRPr="00A73566">
        <w:rPr>
          <w:rFonts w:ascii="Times New Roman" w:hAnsi="Times New Roman" w:cs="Times New Roman"/>
          <w:lang w:val="ro-RO"/>
        </w:rPr>
        <w:t>)</w:t>
      </w:r>
      <w:r w:rsidR="00D62584" w:rsidRPr="00A73566">
        <w:rPr>
          <w:rFonts w:ascii="Times New Roman" w:hAnsi="Times New Roman" w:cs="Times New Roman"/>
          <w:lang w:val="ro-RO"/>
        </w:rPr>
        <w:t xml:space="preserve"> și </w:t>
      </w:r>
      <w:r w:rsidR="009C3F3B" w:rsidRPr="00A73566">
        <w:rPr>
          <w:rFonts w:ascii="Times New Roman" w:hAnsi="Times New Roman" w:cs="Times New Roman"/>
          <w:lang w:val="ro-RO"/>
        </w:rPr>
        <w:t>piscicole</w:t>
      </w:r>
      <w:r w:rsidR="00EF4ECF" w:rsidRPr="00A73566">
        <w:rPr>
          <w:rFonts w:ascii="Times New Roman" w:hAnsi="Times New Roman" w:cs="Times New Roman"/>
          <w:lang w:val="ro-RO"/>
        </w:rPr>
        <w:t xml:space="preserve"> (</w:t>
      </w:r>
      <w:r w:rsidR="00D62584" w:rsidRPr="00A73566">
        <w:rPr>
          <w:rFonts w:ascii="Times New Roman" w:hAnsi="Times New Roman" w:cs="Times New Roman"/>
          <w:lang w:val="ro-RO"/>
        </w:rPr>
        <w:t>9</w:t>
      </w:r>
      <w:r w:rsidR="00EF4ECF" w:rsidRPr="00A73566">
        <w:rPr>
          <w:rFonts w:ascii="Times New Roman" w:hAnsi="Times New Roman" w:cs="Times New Roman"/>
          <w:lang w:val="ro-RO"/>
        </w:rPr>
        <w:t>)</w:t>
      </w:r>
      <w:r w:rsidR="009C3F3B" w:rsidRPr="00A73566">
        <w:rPr>
          <w:rFonts w:ascii="Times New Roman" w:hAnsi="Times New Roman" w:cs="Times New Roman"/>
          <w:lang w:val="ro-RO"/>
        </w:rPr>
        <w:t>.</w:t>
      </w:r>
    </w:p>
    <w:p w14:paraId="4A9F6B92" w14:textId="64BA639D" w:rsidR="009C3F3B" w:rsidRPr="00A73566" w:rsidRDefault="009C6D92" w:rsidP="00EF4ECF">
      <w:pPr>
        <w:rPr>
          <w:rFonts w:ascii="Times New Roman" w:hAnsi="Times New Roman" w:cs="Times New Roman"/>
          <w:lang w:val="ro-RO"/>
        </w:rPr>
      </w:pPr>
      <w:r w:rsidRPr="00A73566">
        <w:rPr>
          <w:rFonts w:ascii="Times New Roman" w:hAnsi="Times New Roman" w:cs="Times New Roman"/>
          <w:lang w:val="ro-RO"/>
        </w:rPr>
        <w:t>Pentru optimi</w:t>
      </w:r>
      <w:r w:rsidR="00A45DFD">
        <w:rPr>
          <w:rFonts w:ascii="Times New Roman" w:hAnsi="Times New Roman" w:cs="Times New Roman"/>
          <w:lang w:val="ro-RO"/>
        </w:rPr>
        <w:t>zarea si eficientizarea asistenț</w:t>
      </w:r>
      <w:r w:rsidRPr="00A73566">
        <w:rPr>
          <w:rFonts w:ascii="Times New Roman" w:hAnsi="Times New Roman" w:cs="Times New Roman"/>
          <w:lang w:val="ro-RO"/>
        </w:rPr>
        <w:t>ei tehnice</w:t>
      </w:r>
      <w:r w:rsidR="000D1A86" w:rsidRPr="00A73566">
        <w:rPr>
          <w:rFonts w:ascii="Times New Roman" w:hAnsi="Times New Roman" w:cs="Times New Roman"/>
          <w:lang w:val="ro-RO"/>
        </w:rPr>
        <w:t xml:space="preserve"> </w:t>
      </w:r>
      <w:r w:rsidR="00234205" w:rsidRPr="00A73566">
        <w:rPr>
          <w:rFonts w:ascii="Times New Roman" w:hAnsi="Times New Roman" w:cs="Times New Roman"/>
          <w:lang w:val="ro-RO"/>
        </w:rPr>
        <w:t>ș</w:t>
      </w:r>
      <w:r w:rsidR="000D1A86" w:rsidRPr="00A73566">
        <w:rPr>
          <w:rFonts w:ascii="Times New Roman" w:hAnsi="Times New Roman" w:cs="Times New Roman"/>
          <w:lang w:val="ro-RO"/>
        </w:rPr>
        <w:t>i financiare</w:t>
      </w:r>
      <w:r w:rsidRPr="00A73566">
        <w:rPr>
          <w:rFonts w:ascii="Times New Roman" w:hAnsi="Times New Roman" w:cs="Times New Roman"/>
          <w:lang w:val="ro-RO"/>
        </w:rPr>
        <w:t>, inclusiv</w:t>
      </w:r>
      <w:r w:rsidR="000D1A86" w:rsidRPr="00A73566">
        <w:rPr>
          <w:rFonts w:ascii="Times New Roman" w:hAnsi="Times New Roman" w:cs="Times New Roman"/>
          <w:lang w:val="ro-RO"/>
        </w:rPr>
        <w:t xml:space="preserve"> </w:t>
      </w:r>
      <w:r w:rsidR="00234205" w:rsidRPr="00A73566">
        <w:rPr>
          <w:rFonts w:ascii="Times New Roman" w:hAnsi="Times New Roman" w:cs="Times New Roman"/>
          <w:lang w:val="ro-RO"/>
        </w:rPr>
        <w:t xml:space="preserve">a </w:t>
      </w:r>
      <w:r w:rsidR="00A61160" w:rsidRPr="00A73566">
        <w:rPr>
          <w:rFonts w:ascii="Times New Roman" w:hAnsi="Times New Roman" w:cs="Times New Roman"/>
          <w:lang w:val="ro-RO"/>
        </w:rPr>
        <w:t xml:space="preserve">asistenței </w:t>
      </w:r>
      <w:r w:rsidR="000D1A86" w:rsidRPr="00A73566">
        <w:rPr>
          <w:rFonts w:ascii="Times New Roman" w:hAnsi="Times New Roman" w:cs="Times New Roman"/>
          <w:lang w:val="ro-RO"/>
        </w:rPr>
        <w:t>din sursele externe</w:t>
      </w:r>
      <w:r w:rsidR="00234205" w:rsidRPr="00A73566">
        <w:rPr>
          <w:rFonts w:ascii="Times New Roman" w:hAnsi="Times New Roman" w:cs="Times New Roman"/>
          <w:lang w:val="ro-RO"/>
        </w:rPr>
        <w:t>,</w:t>
      </w:r>
      <w:r w:rsidR="000D1A86" w:rsidRPr="00A73566">
        <w:rPr>
          <w:rFonts w:ascii="Times New Roman" w:hAnsi="Times New Roman" w:cs="Times New Roman"/>
          <w:lang w:val="ro-RO"/>
        </w:rPr>
        <w:t xml:space="preserve"> va fi creat </w:t>
      </w:r>
      <w:r w:rsidR="00A61160" w:rsidRPr="00A73566">
        <w:rPr>
          <w:rFonts w:ascii="Times New Roman" w:hAnsi="Times New Roman" w:cs="Times New Roman"/>
          <w:lang w:val="ro-RO"/>
        </w:rPr>
        <w:t>C</w:t>
      </w:r>
      <w:r w:rsidR="000D1A86" w:rsidRPr="00A73566">
        <w:rPr>
          <w:rFonts w:ascii="Times New Roman" w:hAnsi="Times New Roman" w:cs="Times New Roman"/>
          <w:lang w:val="ro-RO"/>
        </w:rPr>
        <w:t>onsiliul donatorilor și prestatorilor de servicii din sectorul agroalimentar</w:t>
      </w:r>
      <w:r w:rsidR="00A61160" w:rsidRPr="00A73566">
        <w:rPr>
          <w:rFonts w:ascii="Times New Roman" w:hAnsi="Times New Roman" w:cs="Times New Roman"/>
          <w:lang w:val="ro-RO"/>
        </w:rPr>
        <w:t xml:space="preserve">, care va activa </w:t>
      </w:r>
      <w:r w:rsidR="00234205" w:rsidRPr="00A73566">
        <w:rPr>
          <w:rFonts w:ascii="Times New Roman" w:hAnsi="Times New Roman" w:cs="Times New Roman"/>
          <w:lang w:val="ro-RO"/>
        </w:rPr>
        <w:t>în regim</w:t>
      </w:r>
      <w:r w:rsidR="00A61160" w:rsidRPr="00A73566">
        <w:rPr>
          <w:rFonts w:ascii="Times New Roman" w:hAnsi="Times New Roman" w:cs="Times New Roman"/>
          <w:lang w:val="ro-RO"/>
        </w:rPr>
        <w:t xml:space="preserve"> permanent și se va întruni periodic pentru  planificarea și coordonarea activităților</w:t>
      </w:r>
      <w:r w:rsidR="000D1A86" w:rsidRPr="00A73566">
        <w:rPr>
          <w:rFonts w:ascii="Times New Roman" w:hAnsi="Times New Roman" w:cs="Times New Roman"/>
          <w:lang w:val="ro-RO"/>
        </w:rPr>
        <w:t xml:space="preserve">. </w:t>
      </w:r>
    </w:p>
    <w:p w14:paraId="0B9283BE" w14:textId="77777777" w:rsidR="000D1A86" w:rsidRPr="00A73566" w:rsidRDefault="000D1A86" w:rsidP="001E0A0D">
      <w:pPr>
        <w:spacing w:after="0"/>
        <w:rPr>
          <w:rFonts w:ascii="Times New Roman" w:hAnsi="Times New Roman" w:cs="Times New Roman"/>
          <w:lang w:val="ro-RO"/>
        </w:rPr>
      </w:pPr>
    </w:p>
    <w:p w14:paraId="5D1482DF" w14:textId="7777777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 xml:space="preserve">1.2 Eficientizarea utilizării durabile a resurselor naturale, diminuarea riscurilor în agricultură prin adaptarea la schimbările climatice de apă, sol și energie </w:t>
      </w:r>
    </w:p>
    <w:p w14:paraId="7E412D68" w14:textId="3FE99E78" w:rsidR="00D877B1" w:rsidRDefault="001E0A0D" w:rsidP="00A45DFD">
      <w:pPr>
        <w:spacing w:after="0"/>
        <w:ind w:firstLine="567"/>
        <w:rPr>
          <w:rFonts w:ascii="Times New Roman" w:hAnsi="Times New Roman" w:cs="Times New Roman"/>
          <w:lang w:val="ro-RO"/>
        </w:rPr>
      </w:pPr>
      <w:r w:rsidRPr="00A73566">
        <w:rPr>
          <w:rFonts w:ascii="Times New Roman" w:hAnsi="Times New Roman" w:cs="Times New Roman"/>
          <w:lang w:val="ro-RO"/>
        </w:rPr>
        <w:t xml:space="preserve">Activitatea agricolă și performanța acesteia </w:t>
      </w:r>
      <w:r w:rsidR="000006B3" w:rsidRPr="00A73566">
        <w:rPr>
          <w:rFonts w:ascii="Times New Roman" w:hAnsi="Times New Roman" w:cs="Times New Roman"/>
          <w:lang w:val="ro-RO"/>
        </w:rPr>
        <w:t>arată</w:t>
      </w:r>
      <w:r w:rsidR="00657F81" w:rsidRPr="00A73566">
        <w:rPr>
          <w:rFonts w:ascii="Times New Roman" w:hAnsi="Times New Roman" w:cs="Times New Roman"/>
          <w:lang w:val="ro-RO"/>
        </w:rPr>
        <w:t xml:space="preserve"> </w:t>
      </w:r>
      <w:r w:rsidRPr="00A73566">
        <w:rPr>
          <w:rFonts w:ascii="Times New Roman" w:hAnsi="Times New Roman" w:cs="Times New Roman"/>
          <w:lang w:val="ro-RO"/>
        </w:rPr>
        <w:t xml:space="preserve">o dependență directă </w:t>
      </w:r>
      <w:r w:rsidR="00657F81" w:rsidRPr="00A73566">
        <w:rPr>
          <w:rFonts w:ascii="Times New Roman" w:hAnsi="Times New Roman" w:cs="Times New Roman"/>
          <w:lang w:val="ro-RO"/>
        </w:rPr>
        <w:t>faț</w:t>
      </w:r>
      <w:r w:rsidR="000006B3" w:rsidRPr="00A73566">
        <w:rPr>
          <w:rFonts w:ascii="Times New Roman" w:hAnsi="Times New Roman" w:cs="Times New Roman"/>
          <w:lang w:val="ro-RO"/>
        </w:rPr>
        <w:t>ă</w:t>
      </w:r>
      <w:r w:rsidR="00657F81" w:rsidRPr="00A73566">
        <w:rPr>
          <w:rFonts w:ascii="Times New Roman" w:hAnsi="Times New Roman" w:cs="Times New Roman"/>
          <w:lang w:val="ro-RO"/>
        </w:rPr>
        <w:t xml:space="preserve"> </w:t>
      </w:r>
      <w:r w:rsidRPr="00A73566">
        <w:rPr>
          <w:rFonts w:ascii="Times New Roman" w:hAnsi="Times New Roman" w:cs="Times New Roman"/>
          <w:lang w:val="ro-RO"/>
        </w:rPr>
        <w:t>de disponibilitatea și calitatea resurselor naturale</w:t>
      </w:r>
      <w:r w:rsidR="008A797D" w:rsidRPr="00A73566">
        <w:rPr>
          <w:rFonts w:ascii="Times New Roman" w:hAnsi="Times New Roman" w:cs="Times New Roman"/>
          <w:lang w:val="ro-RO"/>
        </w:rPr>
        <w:t>, precum și de m</w:t>
      </w:r>
      <w:r w:rsidR="00CD79BB" w:rsidRPr="00A73566">
        <w:rPr>
          <w:rFonts w:ascii="Times New Roman" w:hAnsi="Times New Roman" w:cs="Times New Roman"/>
          <w:lang w:val="ro-RO"/>
        </w:rPr>
        <w:t xml:space="preserve">odul </w:t>
      </w:r>
      <w:r w:rsidR="008A797D" w:rsidRPr="00A73566">
        <w:rPr>
          <w:rFonts w:ascii="Times New Roman" w:hAnsi="Times New Roman" w:cs="Times New Roman"/>
          <w:lang w:val="ro-RO"/>
        </w:rPr>
        <w:t xml:space="preserve">lor de </w:t>
      </w:r>
      <w:r w:rsidR="00CD79BB" w:rsidRPr="00A73566">
        <w:rPr>
          <w:rFonts w:ascii="Times New Roman" w:hAnsi="Times New Roman" w:cs="Times New Roman"/>
          <w:lang w:val="ro-RO"/>
        </w:rPr>
        <w:t>exploatare</w:t>
      </w:r>
      <w:r w:rsidR="008A797D" w:rsidRPr="00A73566">
        <w:rPr>
          <w:rFonts w:ascii="Times New Roman" w:hAnsi="Times New Roman" w:cs="Times New Roman"/>
          <w:lang w:val="ro-RO"/>
        </w:rPr>
        <w:t xml:space="preserve">. </w:t>
      </w:r>
      <w:r w:rsidRPr="00A73566">
        <w:rPr>
          <w:rFonts w:ascii="Times New Roman" w:hAnsi="Times New Roman" w:cs="Times New Roman"/>
          <w:lang w:val="ro-RO"/>
        </w:rPr>
        <w:t>Analiza principalilor parametri</w:t>
      </w:r>
      <w:r w:rsidR="008A797D" w:rsidRPr="00A73566">
        <w:rPr>
          <w:rFonts w:ascii="Times New Roman" w:hAnsi="Times New Roman" w:cs="Times New Roman"/>
          <w:lang w:val="ro-RO"/>
        </w:rPr>
        <w:t xml:space="preserve"> ce</w:t>
      </w:r>
      <w:r w:rsidRPr="00A73566">
        <w:rPr>
          <w:rFonts w:ascii="Times New Roman" w:hAnsi="Times New Roman" w:cs="Times New Roman"/>
          <w:lang w:val="ro-RO"/>
        </w:rPr>
        <w:t xml:space="preserve"> determin</w:t>
      </w:r>
      <w:r w:rsidR="008A797D" w:rsidRPr="00A73566">
        <w:rPr>
          <w:rFonts w:ascii="Times New Roman" w:hAnsi="Times New Roman" w:cs="Times New Roman"/>
          <w:lang w:val="ro-RO"/>
        </w:rPr>
        <w:t>ă</w:t>
      </w:r>
      <w:r w:rsidRPr="00A73566">
        <w:rPr>
          <w:rFonts w:ascii="Times New Roman" w:hAnsi="Times New Roman" w:cs="Times New Roman"/>
          <w:lang w:val="ro-RO"/>
        </w:rPr>
        <w:t xml:space="preserve"> </w:t>
      </w:r>
      <w:r w:rsidR="008A797D" w:rsidRPr="00A73566">
        <w:rPr>
          <w:rFonts w:ascii="Times New Roman" w:hAnsi="Times New Roman" w:cs="Times New Roman"/>
          <w:lang w:val="ro-RO"/>
        </w:rPr>
        <w:t>calitatea</w:t>
      </w:r>
      <w:r w:rsidRPr="00A73566">
        <w:rPr>
          <w:rFonts w:ascii="Times New Roman" w:hAnsi="Times New Roman" w:cs="Times New Roman"/>
          <w:lang w:val="ro-RO"/>
        </w:rPr>
        <w:t xml:space="preserve"> și disponibilit</w:t>
      </w:r>
      <w:r w:rsidR="008A797D" w:rsidRPr="00A73566">
        <w:rPr>
          <w:rFonts w:ascii="Times New Roman" w:hAnsi="Times New Roman" w:cs="Times New Roman"/>
          <w:lang w:val="ro-RO"/>
        </w:rPr>
        <w:t>atea</w:t>
      </w:r>
      <w:r w:rsidRPr="00A73566">
        <w:rPr>
          <w:rFonts w:ascii="Times New Roman" w:hAnsi="Times New Roman" w:cs="Times New Roman"/>
          <w:lang w:val="ro-RO"/>
        </w:rPr>
        <w:t xml:space="preserve"> resurselor de apă, sol și energie, precum și a resurselor derivate</w:t>
      </w:r>
      <w:r w:rsidR="008A797D" w:rsidRPr="00A73566">
        <w:rPr>
          <w:rFonts w:ascii="Times New Roman" w:hAnsi="Times New Roman" w:cs="Times New Roman"/>
          <w:lang w:val="ro-RO"/>
        </w:rPr>
        <w:t>,</w:t>
      </w:r>
      <w:r w:rsidRPr="00A73566">
        <w:rPr>
          <w:rFonts w:ascii="Times New Roman" w:hAnsi="Times New Roman" w:cs="Times New Roman"/>
          <w:lang w:val="ro-RO"/>
        </w:rPr>
        <w:t xml:space="preserve"> arată o tendință negativă și o înrăutățire considerabilă a situației. Acest fapt impune </w:t>
      </w:r>
      <w:r w:rsidR="00657F81" w:rsidRPr="00A73566">
        <w:rPr>
          <w:rFonts w:ascii="Times New Roman" w:hAnsi="Times New Roman" w:cs="Times New Roman"/>
          <w:lang w:val="ro-RO"/>
        </w:rPr>
        <w:t xml:space="preserve">necesitatea </w:t>
      </w:r>
      <w:r w:rsidR="000006B3" w:rsidRPr="00A73566">
        <w:rPr>
          <w:rFonts w:ascii="Times New Roman" w:hAnsi="Times New Roman" w:cs="Times New Roman"/>
          <w:lang w:val="ro-RO"/>
        </w:rPr>
        <w:t>formulării</w:t>
      </w:r>
      <w:r w:rsidRPr="00A73566">
        <w:rPr>
          <w:rFonts w:ascii="Times New Roman" w:hAnsi="Times New Roman" w:cs="Times New Roman"/>
          <w:lang w:val="ro-RO"/>
        </w:rPr>
        <w:t xml:space="preserve"> unor politici clare și definirea măsuri</w:t>
      </w:r>
      <w:r w:rsidR="00657F81" w:rsidRPr="00A73566">
        <w:rPr>
          <w:rFonts w:ascii="Times New Roman" w:hAnsi="Times New Roman" w:cs="Times New Roman"/>
          <w:lang w:val="ro-RO"/>
        </w:rPr>
        <w:t>lor</w:t>
      </w:r>
      <w:r w:rsidRPr="00A73566">
        <w:rPr>
          <w:rFonts w:ascii="Times New Roman" w:hAnsi="Times New Roman" w:cs="Times New Roman"/>
          <w:lang w:val="ro-RO"/>
        </w:rPr>
        <w:t xml:space="preserve"> concrete pe termen lung în vederea reglementării modului de utilizare eficientă a resurselor naturale, inclusiv prin extinderea suprafețelor de cultivare a plantelor furajere</w:t>
      </w:r>
      <w:r w:rsidR="00234205" w:rsidRPr="00A73566">
        <w:rPr>
          <w:rFonts w:ascii="Times New Roman" w:hAnsi="Times New Roman" w:cs="Times New Roman"/>
          <w:lang w:val="ro-RO"/>
        </w:rPr>
        <w:t>,</w:t>
      </w:r>
      <w:r w:rsidR="00D877B1" w:rsidRPr="00A73566">
        <w:rPr>
          <w:rFonts w:ascii="Times New Roman" w:hAnsi="Times New Roman" w:cs="Times New Roman"/>
          <w:lang w:val="ro-RO"/>
        </w:rPr>
        <w:t xml:space="preserve"> leguminoase</w:t>
      </w:r>
      <w:r w:rsidR="000D1A86" w:rsidRPr="00A73566">
        <w:rPr>
          <w:rFonts w:ascii="Times New Roman" w:hAnsi="Times New Roman" w:cs="Times New Roman"/>
          <w:lang w:val="ro-RO"/>
        </w:rPr>
        <w:t xml:space="preserve"> și boboase</w:t>
      </w:r>
      <w:r w:rsidR="001828E3" w:rsidRPr="00A73566">
        <w:rPr>
          <w:rFonts w:ascii="Times New Roman" w:hAnsi="Times New Roman" w:cs="Times New Roman"/>
          <w:lang w:val="ro-RO"/>
        </w:rPr>
        <w:t>,</w:t>
      </w:r>
      <w:r w:rsidRPr="00A73566">
        <w:rPr>
          <w:rFonts w:ascii="Times New Roman" w:hAnsi="Times New Roman" w:cs="Times New Roman"/>
          <w:lang w:val="ro-RO"/>
        </w:rPr>
        <w:t xml:space="preserve"> reducerea plantațiilor multianuale neproductive </w:t>
      </w:r>
      <w:r w:rsidR="00A65C41" w:rsidRPr="00A73566">
        <w:rPr>
          <w:rFonts w:ascii="Times New Roman" w:hAnsi="Times New Roman" w:cs="Times New Roman"/>
          <w:lang w:val="ro-RO"/>
        </w:rPr>
        <w:t xml:space="preserve">sau </w:t>
      </w:r>
      <w:r w:rsidRPr="00A73566">
        <w:rPr>
          <w:rFonts w:ascii="Times New Roman" w:hAnsi="Times New Roman" w:cs="Times New Roman"/>
          <w:lang w:val="ro-RO"/>
        </w:rPr>
        <w:t xml:space="preserve">abandonate, înființarea plantațiilor multianuale moderne și sporirea productivității acestora. </w:t>
      </w:r>
      <w:r w:rsidR="001828E3" w:rsidRPr="00A73566">
        <w:rPr>
          <w:rFonts w:ascii="Times New Roman" w:hAnsi="Times New Roman" w:cs="Times New Roman"/>
          <w:lang w:val="ro-RO"/>
        </w:rPr>
        <w:t>Î</w:t>
      </w:r>
      <w:r w:rsidR="00D877B1" w:rsidRPr="00A73566">
        <w:rPr>
          <w:rFonts w:ascii="Times New Roman" w:hAnsi="Times New Roman" w:cs="Times New Roman"/>
          <w:lang w:val="ro-RO"/>
        </w:rPr>
        <w:t>n acest sens</w:t>
      </w:r>
      <w:r w:rsidR="001828E3" w:rsidRPr="00A73566">
        <w:rPr>
          <w:rFonts w:ascii="Times New Roman" w:hAnsi="Times New Roman" w:cs="Times New Roman"/>
          <w:lang w:val="ro-RO"/>
        </w:rPr>
        <w:t>,</w:t>
      </w:r>
      <w:r w:rsidR="00D877B1" w:rsidRPr="00A73566">
        <w:rPr>
          <w:rFonts w:ascii="Times New Roman" w:hAnsi="Times New Roman" w:cs="Times New Roman"/>
          <w:lang w:val="ro-RO"/>
        </w:rPr>
        <w:t xml:space="preserve"> pentru perioada următoare de planificare strategică se propune: </w:t>
      </w:r>
    </w:p>
    <w:p w14:paraId="50055CF3" w14:textId="77777777" w:rsidR="00A45DFD" w:rsidRPr="00A73566" w:rsidRDefault="00A45DFD" w:rsidP="00A45DFD">
      <w:pPr>
        <w:spacing w:after="0"/>
        <w:ind w:firstLine="567"/>
        <w:rPr>
          <w:rFonts w:ascii="Times New Roman" w:hAnsi="Times New Roman" w:cs="Times New Roman"/>
          <w:lang w:val="ro-RO"/>
        </w:rPr>
      </w:pPr>
    </w:p>
    <w:p w14:paraId="053CCAA6" w14:textId="035424F6" w:rsidR="00287134" w:rsidRPr="00A73566" w:rsidRDefault="00177A57" w:rsidP="00E720EE">
      <w:pPr>
        <w:pStyle w:val="ListParagraph"/>
        <w:numPr>
          <w:ilvl w:val="0"/>
          <w:numId w:val="22"/>
        </w:numPr>
        <w:spacing w:after="0"/>
        <w:ind w:left="720" w:hanging="450"/>
        <w:rPr>
          <w:rFonts w:ascii="Times New Roman" w:hAnsi="Times New Roman" w:cs="Times New Roman"/>
          <w:color w:val="auto"/>
          <w:lang w:val="ro-RO"/>
        </w:rPr>
      </w:pPr>
      <w:r w:rsidRPr="00A73566">
        <w:rPr>
          <w:rFonts w:ascii="Times New Roman" w:hAnsi="Times New Roman" w:cs="Times New Roman"/>
          <w:color w:val="auto"/>
          <w:lang w:val="ro-RO"/>
        </w:rPr>
        <w:t>U</w:t>
      </w:r>
      <w:r w:rsidR="00287134" w:rsidRPr="00A73566">
        <w:rPr>
          <w:rFonts w:ascii="Times New Roman" w:hAnsi="Times New Roman" w:cs="Times New Roman"/>
          <w:color w:val="auto"/>
          <w:lang w:val="ro-RO"/>
        </w:rPr>
        <w:t>tilizar</w:t>
      </w:r>
      <w:r w:rsidRPr="00A73566">
        <w:rPr>
          <w:rFonts w:ascii="Times New Roman" w:hAnsi="Times New Roman" w:cs="Times New Roman"/>
          <w:color w:val="auto"/>
          <w:lang w:val="ro-RO"/>
        </w:rPr>
        <w:t>ea</w:t>
      </w:r>
      <w:r w:rsidR="00287134" w:rsidRPr="00A73566">
        <w:rPr>
          <w:rFonts w:ascii="Times New Roman" w:hAnsi="Times New Roman" w:cs="Times New Roman"/>
          <w:color w:val="auto"/>
          <w:lang w:val="ro-RO"/>
        </w:rPr>
        <w:t xml:space="preserve"> modelelor de asolamente </w:t>
      </w:r>
      <w:r w:rsidRPr="00A73566">
        <w:rPr>
          <w:rFonts w:ascii="Times New Roman" w:hAnsi="Times New Roman" w:cs="Times New Roman"/>
          <w:color w:val="auto"/>
          <w:lang w:val="ro-RO"/>
        </w:rPr>
        <w:t>științific argumentate</w:t>
      </w:r>
      <w:r w:rsidR="001828E3" w:rsidRPr="00A73566">
        <w:rPr>
          <w:rFonts w:ascii="Times New Roman" w:hAnsi="Times New Roman" w:cs="Times New Roman"/>
          <w:color w:val="auto"/>
          <w:lang w:val="ro-RO"/>
        </w:rPr>
        <w:t>.</w:t>
      </w:r>
      <w:r w:rsidRPr="00A73566">
        <w:rPr>
          <w:rFonts w:ascii="Times New Roman" w:hAnsi="Times New Roman" w:cs="Times New Roman"/>
          <w:color w:val="auto"/>
          <w:lang w:val="ro-RO"/>
        </w:rPr>
        <w:t xml:space="preserve"> </w:t>
      </w:r>
      <w:r w:rsidR="00226AFA" w:rsidRPr="00A73566">
        <w:rPr>
          <w:rFonts w:ascii="Times New Roman" w:hAnsi="Times New Roman" w:cs="Times New Roman"/>
          <w:color w:val="auto"/>
          <w:lang w:val="ro-RO"/>
        </w:rPr>
        <w:t>Aceasta va contribui la reducerea</w:t>
      </w:r>
      <w:r w:rsidR="00065C04" w:rsidRPr="00A73566">
        <w:rPr>
          <w:rFonts w:ascii="Times New Roman" w:hAnsi="Times New Roman" w:cs="Times New Roman"/>
          <w:color w:val="auto"/>
          <w:lang w:val="ro-RO"/>
        </w:rPr>
        <w:t xml:space="preserve"> procesel</w:t>
      </w:r>
      <w:r w:rsidR="00226AFA" w:rsidRPr="00A73566">
        <w:rPr>
          <w:rFonts w:ascii="Times New Roman" w:hAnsi="Times New Roman" w:cs="Times New Roman"/>
          <w:color w:val="auto"/>
          <w:lang w:val="ro-RO"/>
        </w:rPr>
        <w:t xml:space="preserve">or de </w:t>
      </w:r>
      <w:r w:rsidR="00065C04" w:rsidRPr="00A73566">
        <w:rPr>
          <w:rFonts w:ascii="Times New Roman" w:hAnsi="Times New Roman" w:cs="Times New Roman"/>
          <w:color w:val="auto"/>
          <w:lang w:val="ro-RO"/>
        </w:rPr>
        <w:t xml:space="preserve">degradare </w:t>
      </w:r>
      <w:r w:rsidR="00657F81" w:rsidRPr="00A73566">
        <w:rPr>
          <w:rFonts w:ascii="Times New Roman" w:hAnsi="Times New Roman" w:cs="Times New Roman"/>
          <w:color w:val="auto"/>
          <w:lang w:val="ro-RO"/>
        </w:rPr>
        <w:t>ș</w:t>
      </w:r>
      <w:r w:rsidR="00E35A34" w:rsidRPr="00A73566">
        <w:rPr>
          <w:rFonts w:ascii="Times New Roman" w:hAnsi="Times New Roman" w:cs="Times New Roman"/>
          <w:color w:val="auto"/>
          <w:lang w:val="ro-RO"/>
        </w:rPr>
        <w:t xml:space="preserve">i de îmburuienire </w:t>
      </w:r>
      <w:r w:rsidR="00065C04" w:rsidRPr="00A73566">
        <w:rPr>
          <w:rFonts w:ascii="Times New Roman" w:hAnsi="Times New Roman" w:cs="Times New Roman"/>
          <w:color w:val="auto"/>
          <w:lang w:val="ro-RO"/>
        </w:rPr>
        <w:t xml:space="preserve">a solului, </w:t>
      </w:r>
      <w:r w:rsidR="00E35A34" w:rsidRPr="00A73566">
        <w:rPr>
          <w:rFonts w:ascii="Times New Roman" w:hAnsi="Times New Roman" w:cs="Times New Roman"/>
          <w:color w:val="auto"/>
          <w:lang w:val="ro-RO"/>
        </w:rPr>
        <w:t>la</w:t>
      </w:r>
      <w:r w:rsidR="00065C04" w:rsidRPr="00A73566">
        <w:rPr>
          <w:rFonts w:ascii="Times New Roman" w:hAnsi="Times New Roman" w:cs="Times New Roman"/>
          <w:color w:val="auto"/>
          <w:lang w:val="ro-RO"/>
        </w:rPr>
        <w:t xml:space="preserve"> </w:t>
      </w:r>
      <w:r w:rsidR="00226AFA" w:rsidRPr="00A73566">
        <w:rPr>
          <w:rFonts w:ascii="Times New Roman" w:hAnsi="Times New Roman" w:cs="Times New Roman"/>
          <w:color w:val="auto"/>
          <w:lang w:val="ro-RO"/>
        </w:rPr>
        <w:t xml:space="preserve">reducerea </w:t>
      </w:r>
      <w:r w:rsidR="00065C04" w:rsidRPr="00A73566">
        <w:rPr>
          <w:rFonts w:ascii="Times New Roman" w:hAnsi="Times New Roman" w:cs="Times New Roman"/>
          <w:color w:val="auto"/>
          <w:lang w:val="ro-RO"/>
        </w:rPr>
        <w:t>necesarul de</w:t>
      </w:r>
      <w:r w:rsidR="00FD1105" w:rsidRPr="00A73566">
        <w:rPr>
          <w:rFonts w:ascii="Times New Roman" w:hAnsi="Times New Roman" w:cs="Times New Roman"/>
          <w:color w:val="auto"/>
          <w:lang w:val="ro-RO"/>
        </w:rPr>
        <w:t xml:space="preserve"> </w:t>
      </w:r>
      <w:r w:rsidR="00226AFA" w:rsidRPr="00A73566">
        <w:rPr>
          <w:rFonts w:ascii="Times New Roman" w:hAnsi="Times New Roman" w:cs="Times New Roman"/>
          <w:color w:val="auto"/>
          <w:lang w:val="ro-RO"/>
        </w:rPr>
        <w:t>produse chimice pentru fertilizare și protecție</w:t>
      </w:r>
      <w:r w:rsidR="00FD1105" w:rsidRPr="00A73566">
        <w:rPr>
          <w:rFonts w:ascii="Times New Roman" w:hAnsi="Times New Roman" w:cs="Times New Roman"/>
          <w:color w:val="auto"/>
          <w:lang w:val="ro-RO"/>
        </w:rPr>
        <w:t xml:space="preserve">, </w:t>
      </w:r>
      <w:r w:rsidR="00A574B0" w:rsidRPr="00A73566">
        <w:rPr>
          <w:rFonts w:ascii="Times New Roman" w:hAnsi="Times New Roman" w:cs="Times New Roman"/>
          <w:color w:val="auto"/>
          <w:lang w:val="ro-RO"/>
        </w:rPr>
        <w:t>contribuind direct</w:t>
      </w:r>
      <w:r w:rsidR="00FD1105" w:rsidRPr="00A73566">
        <w:rPr>
          <w:rFonts w:ascii="Times New Roman" w:hAnsi="Times New Roman" w:cs="Times New Roman"/>
          <w:color w:val="auto"/>
          <w:lang w:val="ro-RO"/>
        </w:rPr>
        <w:t xml:space="preserve"> la menținerea și dezvoltarea biotei </w:t>
      </w:r>
      <w:r w:rsidR="00657F81" w:rsidRPr="00A73566">
        <w:rPr>
          <w:rFonts w:ascii="Times New Roman" w:hAnsi="Times New Roman" w:cs="Times New Roman"/>
          <w:color w:val="auto"/>
          <w:lang w:val="ro-RO"/>
        </w:rPr>
        <w:t>ș</w:t>
      </w:r>
      <w:r w:rsidR="00FD1105" w:rsidRPr="00A73566">
        <w:rPr>
          <w:rFonts w:ascii="Times New Roman" w:hAnsi="Times New Roman" w:cs="Times New Roman"/>
          <w:color w:val="auto"/>
          <w:lang w:val="ro-RO"/>
        </w:rPr>
        <w:t xml:space="preserve">i conținutului de humus în sol. </w:t>
      </w:r>
    </w:p>
    <w:p w14:paraId="13BA26B3" w14:textId="389F03D9" w:rsidR="00D877B1" w:rsidRPr="00A73566" w:rsidRDefault="00D877B1" w:rsidP="00E720EE">
      <w:pPr>
        <w:pStyle w:val="ListParagraph"/>
        <w:numPr>
          <w:ilvl w:val="0"/>
          <w:numId w:val="22"/>
        </w:numPr>
        <w:spacing w:after="0"/>
        <w:ind w:left="720" w:hanging="450"/>
        <w:rPr>
          <w:rFonts w:ascii="Times New Roman" w:hAnsi="Times New Roman" w:cs="Times New Roman"/>
          <w:lang w:val="ro-RO"/>
        </w:rPr>
      </w:pPr>
      <w:r w:rsidRPr="00A73566">
        <w:rPr>
          <w:rFonts w:ascii="Times New Roman" w:hAnsi="Times New Roman" w:cs="Times New Roman"/>
          <w:color w:val="auto"/>
          <w:lang w:val="ro-RO"/>
        </w:rPr>
        <w:t>Stimularea procesului de consolidare a terenurilor</w:t>
      </w:r>
      <w:r w:rsidR="00E35A34" w:rsidRPr="00A73566">
        <w:rPr>
          <w:rFonts w:ascii="Times New Roman" w:hAnsi="Times New Roman" w:cs="Times New Roman"/>
          <w:color w:val="auto"/>
          <w:lang w:val="ro-RO"/>
        </w:rPr>
        <w:t>,</w:t>
      </w:r>
      <w:r w:rsidRPr="00A73566">
        <w:rPr>
          <w:rFonts w:ascii="Times New Roman" w:hAnsi="Times New Roman" w:cs="Times New Roman"/>
          <w:color w:val="auto"/>
          <w:lang w:val="ro-RO"/>
        </w:rPr>
        <w:t xml:space="preserve"> prin </w:t>
      </w:r>
      <w:r w:rsidR="00093D1F" w:rsidRPr="00A73566">
        <w:rPr>
          <w:rFonts w:ascii="Times New Roman" w:hAnsi="Times New Roman" w:cs="Times New Roman"/>
          <w:color w:val="auto"/>
          <w:lang w:val="ro-RO"/>
        </w:rPr>
        <w:t>menținerea suportului acordat producătorilor</w:t>
      </w:r>
      <w:r w:rsidR="00E35A34" w:rsidRPr="00A73566">
        <w:rPr>
          <w:rFonts w:ascii="Times New Roman" w:hAnsi="Times New Roman" w:cs="Times New Roman"/>
          <w:color w:val="auto"/>
          <w:lang w:val="ro-RO"/>
        </w:rPr>
        <w:t>,</w:t>
      </w:r>
      <w:r w:rsidR="00093D1F" w:rsidRPr="00A73566">
        <w:rPr>
          <w:rFonts w:ascii="Times New Roman" w:hAnsi="Times New Roman" w:cs="Times New Roman"/>
          <w:color w:val="auto"/>
          <w:lang w:val="ro-RO"/>
        </w:rPr>
        <w:t xml:space="preserve"> va contribui la reducerea cheltuielilor </w:t>
      </w:r>
      <w:r w:rsidR="00E35A34" w:rsidRPr="00A73566">
        <w:rPr>
          <w:rFonts w:ascii="Times New Roman" w:hAnsi="Times New Roman" w:cs="Times New Roman"/>
          <w:color w:val="auto"/>
          <w:lang w:val="ro-RO"/>
        </w:rPr>
        <w:t>de</w:t>
      </w:r>
      <w:r w:rsidR="00260F37" w:rsidRPr="00A73566">
        <w:rPr>
          <w:rFonts w:ascii="Times New Roman" w:hAnsi="Times New Roman" w:cs="Times New Roman"/>
          <w:color w:val="auto"/>
          <w:lang w:val="ro-RO"/>
        </w:rPr>
        <w:t xml:space="preserve"> producere </w:t>
      </w:r>
      <w:r w:rsidR="00E35A34" w:rsidRPr="00A73566">
        <w:rPr>
          <w:rFonts w:ascii="Times New Roman" w:hAnsi="Times New Roman" w:cs="Times New Roman"/>
          <w:color w:val="auto"/>
          <w:lang w:val="ro-RO"/>
        </w:rPr>
        <w:t>ș</w:t>
      </w:r>
      <w:r w:rsidR="00093D1F" w:rsidRPr="00A73566">
        <w:rPr>
          <w:rFonts w:ascii="Times New Roman" w:hAnsi="Times New Roman" w:cs="Times New Roman"/>
          <w:color w:val="auto"/>
          <w:lang w:val="ro-RO"/>
        </w:rPr>
        <w:t xml:space="preserve">i </w:t>
      </w:r>
      <w:r w:rsidR="00E35A34" w:rsidRPr="00A73566">
        <w:rPr>
          <w:rFonts w:ascii="Times New Roman" w:hAnsi="Times New Roman" w:cs="Times New Roman"/>
          <w:color w:val="auto"/>
          <w:lang w:val="ro-RO"/>
        </w:rPr>
        <w:t xml:space="preserve">la creșterea </w:t>
      </w:r>
      <w:r w:rsidR="00093D1F" w:rsidRPr="00A73566">
        <w:rPr>
          <w:rFonts w:ascii="Times New Roman" w:hAnsi="Times New Roman" w:cs="Times New Roman"/>
          <w:color w:val="auto"/>
          <w:lang w:val="ro-RO"/>
        </w:rPr>
        <w:t>eficientei exploatațiil</w:t>
      </w:r>
      <w:r w:rsidR="00E35A34" w:rsidRPr="00A73566">
        <w:rPr>
          <w:rFonts w:ascii="Times New Roman" w:hAnsi="Times New Roman" w:cs="Times New Roman"/>
          <w:color w:val="auto"/>
          <w:lang w:val="ro-RO"/>
        </w:rPr>
        <w:t>or</w:t>
      </w:r>
      <w:r w:rsidR="00093D1F" w:rsidRPr="00A73566">
        <w:rPr>
          <w:rFonts w:ascii="Times New Roman" w:hAnsi="Times New Roman" w:cs="Times New Roman"/>
          <w:color w:val="auto"/>
          <w:lang w:val="ro-RO"/>
        </w:rPr>
        <w:t xml:space="preserve"> agricole. </w:t>
      </w:r>
    </w:p>
    <w:p w14:paraId="591A1EA6" w14:textId="4E1AAFEF" w:rsidR="00D877B1" w:rsidRPr="00A73566" w:rsidRDefault="003142CE" w:rsidP="00E720EE">
      <w:pPr>
        <w:pStyle w:val="ListParagraph"/>
        <w:numPr>
          <w:ilvl w:val="0"/>
          <w:numId w:val="22"/>
        </w:numPr>
        <w:spacing w:after="0"/>
        <w:ind w:left="720" w:hanging="450"/>
        <w:rPr>
          <w:rFonts w:ascii="Times New Roman" w:hAnsi="Times New Roman" w:cs="Times New Roman"/>
          <w:lang w:val="ro-RO"/>
        </w:rPr>
      </w:pPr>
      <w:r w:rsidRPr="00A73566">
        <w:rPr>
          <w:rFonts w:ascii="Times New Roman" w:hAnsi="Times New Roman" w:cs="Times New Roman"/>
          <w:color w:val="auto"/>
          <w:lang w:val="ro-RO"/>
        </w:rPr>
        <w:t>S</w:t>
      </w:r>
      <w:r w:rsidR="00D877B1" w:rsidRPr="00A73566">
        <w:rPr>
          <w:rFonts w:ascii="Times New Roman" w:hAnsi="Times New Roman" w:cs="Times New Roman"/>
          <w:color w:val="auto"/>
          <w:lang w:val="ro-RO"/>
        </w:rPr>
        <w:t xml:space="preserve">porirea productivității plantațiilor </w:t>
      </w:r>
      <w:r w:rsidRPr="00A73566">
        <w:rPr>
          <w:rFonts w:ascii="Times New Roman" w:hAnsi="Times New Roman" w:cs="Times New Roman"/>
          <w:color w:val="auto"/>
          <w:lang w:val="ro-RO"/>
        </w:rPr>
        <w:t xml:space="preserve">multianuale și calității recoltei se va realiza prin susținerea în continuare a procesului de defrișare </w:t>
      </w:r>
      <w:r w:rsidR="004E69DD" w:rsidRPr="00A73566">
        <w:rPr>
          <w:rFonts w:ascii="Times New Roman" w:hAnsi="Times New Roman" w:cs="Times New Roman"/>
          <w:color w:val="auto"/>
          <w:lang w:val="ro-RO"/>
        </w:rPr>
        <w:t xml:space="preserve">a </w:t>
      </w:r>
      <w:r w:rsidRPr="00A73566">
        <w:rPr>
          <w:rFonts w:ascii="Times New Roman" w:hAnsi="Times New Roman" w:cs="Times New Roman"/>
          <w:color w:val="auto"/>
          <w:lang w:val="ro-RO"/>
        </w:rPr>
        <w:t xml:space="preserve">exploatațiilor agricole </w:t>
      </w:r>
      <w:r w:rsidR="004E69DD" w:rsidRPr="00A73566">
        <w:rPr>
          <w:rFonts w:ascii="Times New Roman" w:hAnsi="Times New Roman" w:cs="Times New Roman"/>
          <w:color w:val="auto"/>
          <w:lang w:val="ro-RO"/>
        </w:rPr>
        <w:t xml:space="preserve">multianuale </w:t>
      </w:r>
      <w:r w:rsidRPr="00A73566">
        <w:rPr>
          <w:rFonts w:ascii="Times New Roman" w:hAnsi="Times New Roman" w:cs="Times New Roman"/>
          <w:color w:val="auto"/>
          <w:lang w:val="ro-RO"/>
        </w:rPr>
        <w:t>ne-productive si/sau învechite moral</w:t>
      </w:r>
      <w:r w:rsidR="00E35A34" w:rsidRPr="00A73566">
        <w:rPr>
          <w:rFonts w:ascii="Times New Roman" w:hAnsi="Times New Roman" w:cs="Times New Roman"/>
          <w:color w:val="auto"/>
          <w:lang w:val="ro-RO"/>
        </w:rPr>
        <w:t>,</w:t>
      </w:r>
      <w:r w:rsidRPr="00A73566">
        <w:rPr>
          <w:rFonts w:ascii="Times New Roman" w:hAnsi="Times New Roman" w:cs="Times New Roman"/>
          <w:color w:val="auto"/>
          <w:lang w:val="ro-RO"/>
        </w:rPr>
        <w:t xml:space="preserve"> precum si </w:t>
      </w:r>
      <w:r w:rsidR="00260F37" w:rsidRPr="00A73566">
        <w:rPr>
          <w:rFonts w:ascii="Times New Roman" w:hAnsi="Times New Roman" w:cs="Times New Roman"/>
          <w:color w:val="auto"/>
          <w:lang w:val="ro-RO"/>
        </w:rPr>
        <w:t>î</w:t>
      </w:r>
      <w:r w:rsidRPr="00A73566">
        <w:rPr>
          <w:rFonts w:ascii="Times New Roman" w:hAnsi="Times New Roman" w:cs="Times New Roman"/>
          <w:color w:val="auto"/>
          <w:lang w:val="ro-RO"/>
        </w:rPr>
        <w:t xml:space="preserve">nființarea plantațiilor moderne cu soiuri solicitate </w:t>
      </w:r>
      <w:r w:rsidR="00E35A34" w:rsidRPr="00A73566">
        <w:rPr>
          <w:rFonts w:ascii="Times New Roman" w:hAnsi="Times New Roman" w:cs="Times New Roman"/>
          <w:color w:val="auto"/>
          <w:lang w:val="ro-RO"/>
        </w:rPr>
        <w:t>pe</w:t>
      </w:r>
      <w:r w:rsidRPr="00A73566">
        <w:rPr>
          <w:rFonts w:ascii="Times New Roman" w:hAnsi="Times New Roman" w:cs="Times New Roman"/>
          <w:color w:val="auto"/>
          <w:lang w:val="ro-RO"/>
        </w:rPr>
        <w:t xml:space="preserve"> pie</w:t>
      </w:r>
      <w:r w:rsidR="00E35A34" w:rsidRPr="00A73566">
        <w:rPr>
          <w:rFonts w:ascii="Times New Roman" w:hAnsi="Times New Roman" w:cs="Times New Roman"/>
          <w:color w:val="auto"/>
          <w:lang w:val="ro-RO"/>
        </w:rPr>
        <w:t>ț</w:t>
      </w:r>
      <w:r w:rsidRPr="00A73566">
        <w:rPr>
          <w:rFonts w:ascii="Times New Roman" w:hAnsi="Times New Roman" w:cs="Times New Roman"/>
          <w:color w:val="auto"/>
          <w:lang w:val="ro-RO"/>
        </w:rPr>
        <w:t xml:space="preserve">ele de desfacere. </w:t>
      </w:r>
      <w:r w:rsidR="00AC3FDD" w:rsidRPr="00A73566">
        <w:rPr>
          <w:rFonts w:ascii="Times New Roman" w:hAnsi="Times New Roman" w:cs="Times New Roman"/>
          <w:color w:val="auto"/>
          <w:lang w:val="ro-RO"/>
        </w:rPr>
        <w:t xml:space="preserve">Diminuarea </w:t>
      </w:r>
      <w:r w:rsidR="009E1C67" w:rsidRPr="00A73566">
        <w:rPr>
          <w:rFonts w:ascii="Times New Roman" w:hAnsi="Times New Roman" w:cs="Times New Roman"/>
          <w:color w:val="auto"/>
          <w:lang w:val="ro-RO"/>
        </w:rPr>
        <w:t>producer</w:t>
      </w:r>
      <w:r w:rsidR="00E35A34" w:rsidRPr="00A73566">
        <w:rPr>
          <w:rFonts w:ascii="Times New Roman" w:hAnsi="Times New Roman" w:cs="Times New Roman"/>
          <w:color w:val="auto"/>
          <w:lang w:val="ro-RO"/>
        </w:rPr>
        <w:t>ii</w:t>
      </w:r>
      <w:r w:rsidR="009E1C67" w:rsidRPr="00A73566">
        <w:rPr>
          <w:rFonts w:ascii="Times New Roman" w:hAnsi="Times New Roman" w:cs="Times New Roman"/>
          <w:color w:val="auto"/>
          <w:lang w:val="ro-RO"/>
        </w:rPr>
        <w:t xml:space="preserve"> agricol</w:t>
      </w:r>
      <w:r w:rsidR="00E35A34" w:rsidRPr="00A73566">
        <w:rPr>
          <w:rFonts w:ascii="Times New Roman" w:hAnsi="Times New Roman" w:cs="Times New Roman"/>
          <w:color w:val="auto"/>
          <w:lang w:val="ro-RO"/>
        </w:rPr>
        <w:t>e</w:t>
      </w:r>
      <w:r w:rsidR="00AC3FDD" w:rsidRPr="00A73566">
        <w:rPr>
          <w:rFonts w:ascii="Times New Roman" w:hAnsi="Times New Roman" w:cs="Times New Roman"/>
          <w:color w:val="auto"/>
          <w:lang w:val="ro-RO"/>
        </w:rPr>
        <w:t xml:space="preserve"> din lipsa precipitațiilor</w:t>
      </w:r>
      <w:r w:rsidR="00784DEE" w:rsidRPr="00A73566">
        <w:rPr>
          <w:rFonts w:ascii="Times New Roman" w:hAnsi="Times New Roman" w:cs="Times New Roman"/>
          <w:color w:val="auto"/>
          <w:lang w:val="ro-RO"/>
        </w:rPr>
        <w:t xml:space="preserve"> </w:t>
      </w:r>
      <w:r w:rsidR="00CD4353" w:rsidRPr="00A73566">
        <w:rPr>
          <w:rFonts w:ascii="Times New Roman" w:hAnsi="Times New Roman" w:cs="Times New Roman"/>
          <w:color w:val="auto"/>
          <w:lang w:val="ro-RO"/>
        </w:rPr>
        <w:t xml:space="preserve">atmosferice </w:t>
      </w:r>
      <w:r w:rsidR="00416984" w:rsidRPr="00A73566">
        <w:rPr>
          <w:rFonts w:ascii="Times New Roman" w:hAnsi="Times New Roman" w:cs="Times New Roman"/>
          <w:color w:val="auto"/>
          <w:lang w:val="ro-RO"/>
        </w:rPr>
        <w:t xml:space="preserve">este considerata de Minister ca </w:t>
      </w:r>
      <w:r w:rsidR="00E35A34" w:rsidRPr="00A73566">
        <w:rPr>
          <w:rFonts w:ascii="Times New Roman" w:hAnsi="Times New Roman" w:cs="Times New Roman"/>
          <w:color w:val="auto"/>
          <w:lang w:val="ro-RO"/>
        </w:rPr>
        <w:t>o</w:t>
      </w:r>
      <w:r w:rsidR="00416984" w:rsidRPr="00A73566">
        <w:rPr>
          <w:rFonts w:ascii="Times New Roman" w:hAnsi="Times New Roman" w:cs="Times New Roman"/>
          <w:color w:val="auto"/>
          <w:lang w:val="ro-RO"/>
        </w:rPr>
        <w:t xml:space="preserve"> barier</w:t>
      </w:r>
      <w:r w:rsidR="00E35A34" w:rsidRPr="00A73566">
        <w:rPr>
          <w:rFonts w:ascii="Times New Roman" w:hAnsi="Times New Roman" w:cs="Times New Roman"/>
          <w:color w:val="auto"/>
          <w:lang w:val="ro-RO"/>
        </w:rPr>
        <w:t>ă</w:t>
      </w:r>
      <w:r w:rsidR="00416984" w:rsidRPr="00A73566">
        <w:rPr>
          <w:rFonts w:ascii="Times New Roman" w:hAnsi="Times New Roman" w:cs="Times New Roman"/>
          <w:color w:val="auto"/>
          <w:lang w:val="ro-RO"/>
        </w:rPr>
        <w:t xml:space="preserve"> </w:t>
      </w:r>
      <w:r w:rsidR="00E35A34" w:rsidRPr="00A73566">
        <w:rPr>
          <w:rFonts w:ascii="Times New Roman" w:hAnsi="Times New Roman" w:cs="Times New Roman"/>
          <w:color w:val="auto"/>
          <w:lang w:val="ro-RO"/>
        </w:rPr>
        <w:t>î</w:t>
      </w:r>
      <w:r w:rsidR="00416984" w:rsidRPr="00A73566">
        <w:rPr>
          <w:rFonts w:ascii="Times New Roman" w:hAnsi="Times New Roman" w:cs="Times New Roman"/>
          <w:color w:val="auto"/>
          <w:lang w:val="ro-RO"/>
        </w:rPr>
        <w:t>n dezvoltarea sustenabil</w:t>
      </w:r>
      <w:r w:rsidR="00E35A34" w:rsidRPr="00A73566">
        <w:rPr>
          <w:rFonts w:ascii="Times New Roman" w:hAnsi="Times New Roman" w:cs="Times New Roman"/>
          <w:color w:val="auto"/>
          <w:lang w:val="ro-RO"/>
        </w:rPr>
        <w:t>ă</w:t>
      </w:r>
      <w:r w:rsidR="00416984" w:rsidRPr="00A73566">
        <w:rPr>
          <w:rFonts w:ascii="Times New Roman" w:hAnsi="Times New Roman" w:cs="Times New Roman"/>
          <w:color w:val="auto"/>
          <w:lang w:val="ro-RO"/>
        </w:rPr>
        <w:t xml:space="preserve"> a sectorului. Astfel, pentru reducerea consecințelor negative a </w:t>
      </w:r>
      <w:r w:rsidR="001B0847" w:rsidRPr="00A73566">
        <w:rPr>
          <w:rFonts w:ascii="Times New Roman" w:hAnsi="Times New Roman" w:cs="Times New Roman"/>
          <w:color w:val="auto"/>
          <w:lang w:val="ro-RO"/>
        </w:rPr>
        <w:t xml:space="preserve">insuficienței de </w:t>
      </w:r>
      <w:r w:rsidR="00416984" w:rsidRPr="00A73566">
        <w:rPr>
          <w:rFonts w:ascii="Times New Roman" w:hAnsi="Times New Roman" w:cs="Times New Roman"/>
          <w:color w:val="auto"/>
          <w:lang w:val="ro-RO"/>
        </w:rPr>
        <w:t>umiditate</w:t>
      </w:r>
      <w:r w:rsidR="001B0847" w:rsidRPr="00A73566">
        <w:rPr>
          <w:rFonts w:ascii="Times New Roman" w:hAnsi="Times New Roman" w:cs="Times New Roman"/>
          <w:color w:val="auto"/>
          <w:lang w:val="ro-RO"/>
        </w:rPr>
        <w:t xml:space="preserve">, va fi elaborat și implementat Programul </w:t>
      </w:r>
      <w:r w:rsidR="00CD4353" w:rsidRPr="00A73566">
        <w:rPr>
          <w:rFonts w:ascii="Times New Roman" w:hAnsi="Times New Roman" w:cs="Times New Roman"/>
          <w:color w:val="auto"/>
          <w:lang w:val="ro-RO"/>
        </w:rPr>
        <w:t>național</w:t>
      </w:r>
      <w:r w:rsidR="001B0847" w:rsidRPr="00A73566">
        <w:rPr>
          <w:rFonts w:ascii="Times New Roman" w:hAnsi="Times New Roman" w:cs="Times New Roman"/>
          <w:color w:val="auto"/>
          <w:lang w:val="ro-RO"/>
        </w:rPr>
        <w:t xml:space="preserve"> de </w:t>
      </w:r>
      <w:r w:rsidR="00E35A34" w:rsidRPr="00A73566">
        <w:rPr>
          <w:rFonts w:ascii="Times New Roman" w:hAnsi="Times New Roman" w:cs="Times New Roman"/>
          <w:color w:val="auto"/>
          <w:lang w:val="ro-RO"/>
        </w:rPr>
        <w:t>i</w:t>
      </w:r>
      <w:r w:rsidR="001B0847" w:rsidRPr="00A73566">
        <w:rPr>
          <w:rFonts w:ascii="Times New Roman" w:hAnsi="Times New Roman" w:cs="Times New Roman"/>
          <w:color w:val="auto"/>
          <w:lang w:val="ro-RO"/>
        </w:rPr>
        <w:t xml:space="preserve">rigare a terenurilor agricole </w:t>
      </w:r>
      <w:r w:rsidR="009E1C67" w:rsidRPr="00A73566">
        <w:rPr>
          <w:rFonts w:ascii="Times New Roman" w:hAnsi="Times New Roman" w:cs="Times New Roman"/>
          <w:color w:val="auto"/>
          <w:lang w:val="ro-RO"/>
        </w:rPr>
        <w:t xml:space="preserve">care va </w:t>
      </w:r>
      <w:r w:rsidR="001B0847" w:rsidRPr="00A73566">
        <w:rPr>
          <w:rFonts w:ascii="Times New Roman" w:hAnsi="Times New Roman" w:cs="Times New Roman"/>
          <w:color w:val="auto"/>
          <w:lang w:val="ro-RO"/>
        </w:rPr>
        <w:t>susține</w:t>
      </w:r>
      <w:r w:rsidR="00151065" w:rsidRPr="00A73566">
        <w:rPr>
          <w:rFonts w:ascii="Times New Roman" w:hAnsi="Times New Roman" w:cs="Times New Roman"/>
          <w:color w:val="auto"/>
          <w:lang w:val="ro-RO"/>
        </w:rPr>
        <w:t>:</w:t>
      </w:r>
      <w:r w:rsidR="001B0847" w:rsidRPr="00A73566">
        <w:rPr>
          <w:rFonts w:ascii="Times New Roman" w:hAnsi="Times New Roman" w:cs="Times New Roman"/>
          <w:color w:val="auto"/>
          <w:lang w:val="ro-RO"/>
        </w:rPr>
        <w:t xml:space="preserve"> </w:t>
      </w:r>
      <w:r w:rsidR="00151065" w:rsidRPr="00A73566">
        <w:rPr>
          <w:rFonts w:ascii="Times New Roman" w:hAnsi="Times New Roman" w:cs="Times New Roman"/>
          <w:color w:val="auto"/>
          <w:lang w:val="ro-RO"/>
        </w:rPr>
        <w:t xml:space="preserve">(i) reabilitarea </w:t>
      </w:r>
      <w:r w:rsidR="00E35A34" w:rsidRPr="00A73566">
        <w:rPr>
          <w:rFonts w:ascii="Times New Roman" w:hAnsi="Times New Roman" w:cs="Times New Roman"/>
          <w:color w:val="auto"/>
          <w:lang w:val="ro-RO"/>
        </w:rPr>
        <w:t>ș</w:t>
      </w:r>
      <w:r w:rsidR="00151065" w:rsidRPr="00A73566">
        <w:rPr>
          <w:rFonts w:ascii="Times New Roman" w:hAnsi="Times New Roman" w:cs="Times New Roman"/>
          <w:color w:val="auto"/>
          <w:lang w:val="ro-RO"/>
        </w:rPr>
        <w:t xml:space="preserve">i construcția </w:t>
      </w:r>
      <w:r w:rsidR="00E35A34" w:rsidRPr="00A73566">
        <w:rPr>
          <w:rFonts w:ascii="Times New Roman" w:hAnsi="Times New Roman" w:cs="Times New Roman"/>
          <w:color w:val="auto"/>
          <w:lang w:val="ro-RO"/>
        </w:rPr>
        <w:t>s</w:t>
      </w:r>
      <w:r w:rsidR="00151065" w:rsidRPr="00A73566">
        <w:rPr>
          <w:rFonts w:ascii="Times New Roman" w:hAnsi="Times New Roman" w:cs="Times New Roman"/>
          <w:color w:val="auto"/>
          <w:lang w:val="ro-RO"/>
        </w:rPr>
        <w:t xml:space="preserve">istemelor </w:t>
      </w:r>
      <w:r w:rsidR="00A61160" w:rsidRPr="00A73566">
        <w:rPr>
          <w:rFonts w:ascii="Times New Roman" w:hAnsi="Times New Roman" w:cs="Times New Roman"/>
          <w:color w:val="auto"/>
          <w:lang w:val="ro-RO"/>
        </w:rPr>
        <w:t>c</w:t>
      </w:r>
      <w:r w:rsidR="00151065" w:rsidRPr="00A73566">
        <w:rPr>
          <w:rFonts w:ascii="Times New Roman" w:hAnsi="Times New Roman" w:cs="Times New Roman"/>
          <w:color w:val="auto"/>
          <w:lang w:val="ro-RO"/>
        </w:rPr>
        <w:t xml:space="preserve">entrale de </w:t>
      </w:r>
      <w:r w:rsidR="00A61160" w:rsidRPr="00A73566">
        <w:rPr>
          <w:rFonts w:ascii="Times New Roman" w:hAnsi="Times New Roman" w:cs="Times New Roman"/>
          <w:color w:val="auto"/>
          <w:lang w:val="ro-RO"/>
        </w:rPr>
        <w:t>i</w:t>
      </w:r>
      <w:r w:rsidR="00151065" w:rsidRPr="00A73566">
        <w:rPr>
          <w:rFonts w:ascii="Times New Roman" w:hAnsi="Times New Roman" w:cs="Times New Roman"/>
          <w:color w:val="auto"/>
          <w:lang w:val="ro-RO"/>
        </w:rPr>
        <w:t>rigare pentru o suprafața de min</w:t>
      </w:r>
      <w:r w:rsidR="00E35A34" w:rsidRPr="00A73566">
        <w:rPr>
          <w:rFonts w:ascii="Times New Roman" w:hAnsi="Times New Roman" w:cs="Times New Roman"/>
          <w:color w:val="auto"/>
          <w:lang w:val="ro-RO"/>
        </w:rPr>
        <w:t>imum</w:t>
      </w:r>
      <w:r w:rsidR="00151065" w:rsidRPr="00A73566">
        <w:rPr>
          <w:rFonts w:ascii="Times New Roman" w:hAnsi="Times New Roman" w:cs="Times New Roman"/>
          <w:color w:val="auto"/>
          <w:lang w:val="ro-RO"/>
        </w:rPr>
        <w:t xml:space="preserve"> 100 i hectare, (ii) </w:t>
      </w:r>
      <w:r w:rsidR="00A61160" w:rsidRPr="00A73566">
        <w:rPr>
          <w:rFonts w:ascii="Times New Roman" w:hAnsi="Times New Roman" w:cs="Times New Roman"/>
          <w:color w:val="auto"/>
          <w:lang w:val="ro-RO"/>
        </w:rPr>
        <w:t>d</w:t>
      </w:r>
      <w:r w:rsidR="00151065" w:rsidRPr="00A73566">
        <w:rPr>
          <w:rFonts w:ascii="Times New Roman" w:hAnsi="Times New Roman" w:cs="Times New Roman"/>
          <w:color w:val="auto"/>
          <w:lang w:val="ro-RO"/>
        </w:rPr>
        <w:t xml:space="preserve">ezvoltarea irigării la scară mică pentru o suprafața de </w:t>
      </w:r>
      <w:r w:rsidR="00CD4353" w:rsidRPr="00A73566">
        <w:rPr>
          <w:rFonts w:ascii="Times New Roman" w:hAnsi="Times New Roman" w:cs="Times New Roman"/>
          <w:color w:val="auto"/>
          <w:lang w:val="ro-RO"/>
        </w:rPr>
        <w:t>minimum</w:t>
      </w:r>
      <w:r w:rsidR="00151065" w:rsidRPr="00A73566">
        <w:rPr>
          <w:rFonts w:ascii="Times New Roman" w:hAnsi="Times New Roman" w:cs="Times New Roman"/>
          <w:color w:val="auto"/>
          <w:lang w:val="ro-RO"/>
        </w:rPr>
        <w:t xml:space="preserve"> 30 mii ha,  </w:t>
      </w:r>
      <w:r w:rsidR="00726E1E" w:rsidRPr="00A73566">
        <w:rPr>
          <w:rFonts w:ascii="Times New Roman" w:hAnsi="Times New Roman" w:cs="Times New Roman"/>
          <w:color w:val="auto"/>
          <w:lang w:val="ro-RO"/>
        </w:rPr>
        <w:t>ș</w:t>
      </w:r>
      <w:r w:rsidR="00151065" w:rsidRPr="00A73566">
        <w:rPr>
          <w:rFonts w:ascii="Times New Roman" w:hAnsi="Times New Roman" w:cs="Times New Roman"/>
          <w:color w:val="auto"/>
          <w:lang w:val="ro-RO"/>
        </w:rPr>
        <w:t>i (iii) repararea digurilor de protecție, curățarea lacurilor de acumulare, alimentarea râurilor mici și</w:t>
      </w:r>
      <w:r w:rsidR="00726E1E" w:rsidRPr="00A73566">
        <w:rPr>
          <w:rFonts w:ascii="Times New Roman" w:hAnsi="Times New Roman" w:cs="Times New Roman"/>
          <w:color w:val="auto"/>
          <w:lang w:val="ro-RO"/>
        </w:rPr>
        <w:t xml:space="preserve"> a</w:t>
      </w:r>
      <w:r w:rsidR="00151065" w:rsidRPr="00A73566">
        <w:rPr>
          <w:rFonts w:ascii="Times New Roman" w:hAnsi="Times New Roman" w:cs="Times New Roman"/>
          <w:color w:val="auto"/>
          <w:lang w:val="ro-RO"/>
        </w:rPr>
        <w:t xml:space="preserve"> lacurilor cu apă din Nistru și Prut.</w:t>
      </w:r>
    </w:p>
    <w:p w14:paraId="768FA381" w14:textId="77777777" w:rsidR="00C70D94" w:rsidRPr="00A73566" w:rsidRDefault="0088039E" w:rsidP="00A45DFD">
      <w:pPr>
        <w:spacing w:after="0"/>
        <w:ind w:firstLine="567"/>
        <w:rPr>
          <w:rFonts w:ascii="Times New Roman" w:hAnsi="Times New Roman" w:cs="Times New Roman"/>
          <w:lang w:val="ro-RO"/>
        </w:rPr>
      </w:pPr>
      <w:r w:rsidRPr="00A73566">
        <w:rPr>
          <w:rFonts w:ascii="Times New Roman" w:hAnsi="Times New Roman" w:cs="Times New Roman"/>
          <w:lang w:val="ro-RO"/>
        </w:rPr>
        <w:t xml:space="preserve">Mai mult, previziunile privind schimbările climatice viitoare pentru Republica Moldova indică o pierdere importantă a productivității culturilor de bază pentru securitatea alimentară și o scădere a veniturilor prin creșterea prețurilor la alimente și energie. Schimbările climatice vor duce la vulnerabilități semnificative, atât la nivel național, </w:t>
      </w:r>
      <w:r w:rsidR="00C70D94" w:rsidRPr="00A73566">
        <w:rPr>
          <w:rFonts w:ascii="Times New Roman" w:hAnsi="Times New Roman" w:cs="Times New Roman"/>
          <w:lang w:val="ro-RO"/>
        </w:rPr>
        <w:t>cât și</w:t>
      </w:r>
      <w:r w:rsidRPr="00A73566">
        <w:rPr>
          <w:rFonts w:ascii="Times New Roman" w:hAnsi="Times New Roman" w:cs="Times New Roman"/>
          <w:lang w:val="ro-RO"/>
        </w:rPr>
        <w:t xml:space="preserve"> per sector </w:t>
      </w:r>
      <w:r w:rsidR="00C70D94" w:rsidRPr="00A73566">
        <w:rPr>
          <w:rFonts w:ascii="Times New Roman" w:hAnsi="Times New Roman" w:cs="Times New Roman"/>
          <w:lang w:val="ro-RO"/>
        </w:rPr>
        <w:t xml:space="preserve">– din punct de vedere al </w:t>
      </w:r>
      <w:r w:rsidRPr="00A73566">
        <w:rPr>
          <w:rFonts w:ascii="Times New Roman" w:hAnsi="Times New Roman" w:cs="Times New Roman"/>
          <w:lang w:val="ro-RO"/>
        </w:rPr>
        <w:t>activit</w:t>
      </w:r>
      <w:r w:rsidR="00C70D94" w:rsidRPr="00A73566">
        <w:rPr>
          <w:rFonts w:ascii="Times New Roman" w:hAnsi="Times New Roman" w:cs="Times New Roman"/>
          <w:lang w:val="ro-RO"/>
        </w:rPr>
        <w:t xml:space="preserve">ății </w:t>
      </w:r>
      <w:r w:rsidRPr="00A73566">
        <w:rPr>
          <w:rFonts w:ascii="Times New Roman" w:hAnsi="Times New Roman" w:cs="Times New Roman"/>
          <w:lang w:val="ro-RO"/>
        </w:rPr>
        <w:t>economic</w:t>
      </w:r>
      <w:r w:rsidR="00C70D94" w:rsidRPr="00A73566">
        <w:rPr>
          <w:rFonts w:ascii="Times New Roman" w:hAnsi="Times New Roman" w:cs="Times New Roman"/>
          <w:lang w:val="ro-RO"/>
        </w:rPr>
        <w:t xml:space="preserve">e, </w:t>
      </w:r>
      <w:r w:rsidRPr="00A73566">
        <w:rPr>
          <w:rFonts w:ascii="Times New Roman" w:hAnsi="Times New Roman" w:cs="Times New Roman"/>
          <w:lang w:val="ro-RO"/>
        </w:rPr>
        <w:t xml:space="preserve">cultură cultivată, </w:t>
      </w:r>
      <w:r w:rsidR="00C70D94" w:rsidRPr="00A73566">
        <w:rPr>
          <w:rFonts w:ascii="Times New Roman" w:hAnsi="Times New Roman" w:cs="Times New Roman"/>
          <w:lang w:val="ro-RO"/>
        </w:rPr>
        <w:t>e</w:t>
      </w:r>
      <w:r w:rsidRPr="00A73566">
        <w:rPr>
          <w:rFonts w:ascii="Times New Roman" w:hAnsi="Times New Roman" w:cs="Times New Roman"/>
          <w:lang w:val="ro-RO"/>
        </w:rPr>
        <w:t>xploatație agricolă</w:t>
      </w:r>
      <w:r w:rsidR="00C70D94" w:rsidRPr="00A73566">
        <w:rPr>
          <w:rFonts w:ascii="Times New Roman" w:hAnsi="Times New Roman" w:cs="Times New Roman"/>
          <w:lang w:val="ro-RO"/>
        </w:rPr>
        <w:t>,</w:t>
      </w:r>
      <w:r w:rsidRPr="00A73566">
        <w:rPr>
          <w:rFonts w:ascii="Times New Roman" w:hAnsi="Times New Roman" w:cs="Times New Roman"/>
          <w:lang w:val="ro-RO"/>
        </w:rPr>
        <w:t xml:space="preserve"> indiferent de tipul de organizare</w:t>
      </w:r>
      <w:r w:rsidR="00C70D94" w:rsidRPr="00A73566">
        <w:rPr>
          <w:rFonts w:ascii="Times New Roman" w:hAnsi="Times New Roman" w:cs="Times New Roman"/>
          <w:lang w:val="ro-RO"/>
        </w:rPr>
        <w:t>, etc</w:t>
      </w:r>
      <w:r w:rsidRPr="00A73566">
        <w:rPr>
          <w:rFonts w:ascii="Times New Roman" w:hAnsi="Times New Roman" w:cs="Times New Roman"/>
          <w:lang w:val="ro-RO"/>
        </w:rPr>
        <w:t>.</w:t>
      </w:r>
      <w:r w:rsidR="00C70D94" w:rsidRPr="00A73566">
        <w:rPr>
          <w:rFonts w:ascii="Times New Roman" w:hAnsi="Times New Roman" w:cs="Times New Roman"/>
          <w:lang w:val="ro-RO"/>
        </w:rPr>
        <w:t xml:space="preserve"> Astfel, adițional celor propuse mai sus, este necesară:</w:t>
      </w:r>
    </w:p>
    <w:p w14:paraId="2DAE9417" w14:textId="4DA5726F" w:rsidR="0088039E" w:rsidRPr="00A73566" w:rsidRDefault="0088039E" w:rsidP="003E5B33">
      <w:pPr>
        <w:spacing w:before="120" w:after="0"/>
        <w:ind w:left="284" w:hanging="284"/>
        <w:rPr>
          <w:rFonts w:ascii="Times New Roman" w:hAnsi="Times New Roman" w:cs="Times New Roman"/>
          <w:lang w:val="ro-RO"/>
        </w:rPr>
      </w:pPr>
      <w:r w:rsidRPr="00A73566">
        <w:rPr>
          <w:rFonts w:ascii="Times New Roman" w:hAnsi="Times New Roman" w:cs="Times New Roman"/>
          <w:lang w:val="ro-RO"/>
        </w:rPr>
        <w:t xml:space="preserve">1) </w:t>
      </w:r>
      <w:r w:rsidR="00C70D94" w:rsidRPr="00A73566">
        <w:rPr>
          <w:rFonts w:ascii="Times New Roman" w:hAnsi="Times New Roman" w:cs="Times New Roman"/>
          <w:lang w:val="ro-RO"/>
        </w:rPr>
        <w:t xml:space="preserve">Actualizarea </w:t>
      </w:r>
      <w:r w:rsidRPr="00A73566">
        <w:rPr>
          <w:rFonts w:ascii="Times New Roman" w:hAnsi="Times New Roman" w:cs="Times New Roman"/>
          <w:lang w:val="ro-RO"/>
        </w:rPr>
        <w:t>politicilor și</w:t>
      </w:r>
      <w:r w:rsidR="00C70D94" w:rsidRPr="00A73566">
        <w:rPr>
          <w:rFonts w:ascii="Times New Roman" w:hAnsi="Times New Roman" w:cs="Times New Roman"/>
          <w:lang w:val="ro-RO"/>
        </w:rPr>
        <w:t xml:space="preserve"> cadrului normativ </w:t>
      </w:r>
      <w:r w:rsidRPr="00A73566">
        <w:rPr>
          <w:rFonts w:ascii="Times New Roman" w:hAnsi="Times New Roman" w:cs="Times New Roman"/>
          <w:lang w:val="ro-RO"/>
        </w:rPr>
        <w:t>național de agro-mediu în materie de climă pentru a consolida capacitățile adaptive a sectorului agricol la schimbările climatice la nivel național și regiona</w:t>
      </w:r>
      <w:r w:rsidR="00C70D94" w:rsidRPr="00A73566">
        <w:rPr>
          <w:rFonts w:ascii="Times New Roman" w:hAnsi="Times New Roman" w:cs="Times New Roman"/>
          <w:lang w:val="ro-RO"/>
        </w:rPr>
        <w:t>l, realizată prin:</w:t>
      </w:r>
    </w:p>
    <w:p w14:paraId="1D73EEC7" w14:textId="77777777" w:rsidR="0088039E" w:rsidRPr="00A73566" w:rsidRDefault="0088039E" w:rsidP="00A45DFD">
      <w:pPr>
        <w:spacing w:after="0"/>
        <w:ind w:left="567" w:hanging="283"/>
        <w:rPr>
          <w:rFonts w:ascii="Times New Roman" w:hAnsi="Times New Roman" w:cs="Times New Roman"/>
          <w:lang w:val="ro-RO"/>
        </w:rPr>
      </w:pPr>
      <w:r w:rsidRPr="00A73566">
        <w:rPr>
          <w:rFonts w:ascii="Times New Roman" w:hAnsi="Times New Roman" w:cs="Times New Roman"/>
          <w:lang w:val="ro-RO"/>
        </w:rPr>
        <w:t>a) evaluarea și analiza actelor normative naționale și sectoriale existente privind relevanța, eficiența și coerența acestora, precum și eventualele lacune în materie de gestionare a riscurilor climatice, atât la nivel de prevenire cât și post dezastru;</w:t>
      </w:r>
    </w:p>
    <w:p w14:paraId="039C1985" w14:textId="23922141"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lang w:val="ro-RO"/>
        </w:rPr>
        <w:t xml:space="preserve">b) </w:t>
      </w:r>
      <w:r w:rsidRPr="00A73566">
        <w:rPr>
          <w:rFonts w:ascii="Times New Roman" w:hAnsi="Times New Roman" w:cs="Times New Roman"/>
          <w:iCs/>
          <w:lang w:val="ro-RO"/>
        </w:rPr>
        <w:t xml:space="preserve">evaluarea riscurilor și oportunităților schimbărilor climatice  și incorporarea lor </w:t>
      </w:r>
      <w:r w:rsidRPr="00A73566">
        <w:rPr>
          <w:rFonts w:ascii="Times New Roman" w:hAnsi="Times New Roman" w:cs="Times New Roman"/>
          <w:lang w:val="ro-RO"/>
        </w:rPr>
        <w:t>în politicile  sectoriale  cu  prioritizarea acțiunilor pentru cele mai vulnerabile sectoare;</w:t>
      </w:r>
    </w:p>
    <w:p w14:paraId="168BB2E6" w14:textId="4AF8E7AA" w:rsidR="0088039E" w:rsidRPr="00A73566" w:rsidRDefault="0088039E" w:rsidP="00A45DFD">
      <w:pPr>
        <w:spacing w:after="0"/>
        <w:ind w:left="567" w:hanging="283"/>
        <w:rPr>
          <w:rFonts w:ascii="Times New Roman" w:hAnsi="Times New Roman" w:cs="Times New Roman"/>
          <w:lang w:val="ro-RO"/>
        </w:rPr>
      </w:pPr>
      <w:r w:rsidRPr="00A73566">
        <w:rPr>
          <w:rFonts w:ascii="Times New Roman" w:hAnsi="Times New Roman" w:cs="Times New Roman"/>
          <w:lang w:val="ro-RO"/>
        </w:rPr>
        <w:t>c) revizuirea și actualizarea metodologiei de evaluare a prejudiciilor cauzate de principalele riscuri climatice și instituirea unor mecanisme prompte, eficace și pertinente de măsuri post dezastre;</w:t>
      </w:r>
    </w:p>
    <w:p w14:paraId="21E68FE0" w14:textId="000977BD" w:rsidR="00242819" w:rsidRPr="00A73566" w:rsidRDefault="0088039E" w:rsidP="00A45DFD">
      <w:pPr>
        <w:spacing w:after="0"/>
        <w:ind w:left="567" w:hanging="283"/>
        <w:rPr>
          <w:rFonts w:ascii="Times New Roman" w:hAnsi="Times New Roman" w:cs="Times New Roman"/>
          <w:lang w:val="ro-RO"/>
        </w:rPr>
      </w:pPr>
      <w:r w:rsidRPr="00A73566">
        <w:rPr>
          <w:rFonts w:ascii="Times New Roman" w:hAnsi="Times New Roman" w:cs="Times New Roman"/>
          <w:lang w:val="ro-RO"/>
        </w:rPr>
        <w:t xml:space="preserve">d) dezvoltarea </w:t>
      </w:r>
      <w:r w:rsidR="00311801" w:rsidRPr="00A73566">
        <w:rPr>
          <w:rFonts w:ascii="Times New Roman" w:hAnsi="Times New Roman" w:cs="Times New Roman"/>
          <w:lang w:val="ro-RO"/>
        </w:rPr>
        <w:t xml:space="preserve">unor </w:t>
      </w:r>
      <w:r w:rsidRPr="00A73566">
        <w:rPr>
          <w:rFonts w:ascii="Times New Roman" w:hAnsi="Times New Roman" w:cs="Times New Roman"/>
          <w:lang w:val="ro-RO"/>
        </w:rPr>
        <w:t>măsuri de stimulare</w:t>
      </w:r>
      <w:r w:rsidR="00311801" w:rsidRPr="00A73566">
        <w:rPr>
          <w:rFonts w:ascii="Times New Roman" w:hAnsi="Times New Roman" w:cs="Times New Roman"/>
          <w:lang w:val="ro-RO"/>
        </w:rPr>
        <w:t xml:space="preserve"> a fermierilor</w:t>
      </w:r>
      <w:r w:rsidRPr="00A73566">
        <w:rPr>
          <w:rFonts w:ascii="Times New Roman" w:hAnsi="Times New Roman" w:cs="Times New Roman"/>
          <w:lang w:val="ro-RO"/>
        </w:rPr>
        <w:t xml:space="preserve">, inclusiv financiare prin intermediul </w:t>
      </w:r>
      <w:r w:rsidRPr="00A73566">
        <w:rPr>
          <w:rFonts w:ascii="Times New Roman" w:hAnsi="Times New Roman"/>
          <w:lang w:val="ro-RO"/>
        </w:rPr>
        <w:t>FNDAMR,</w:t>
      </w:r>
      <w:r w:rsidRPr="00A73566">
        <w:rPr>
          <w:rFonts w:ascii="Times New Roman" w:hAnsi="Times New Roman" w:cs="Times New Roman"/>
          <w:lang w:val="ro-RO"/>
        </w:rPr>
        <w:t xml:space="preserve"> </w:t>
      </w:r>
      <w:r w:rsidR="00311801" w:rsidRPr="00A73566">
        <w:rPr>
          <w:rFonts w:ascii="Times New Roman" w:hAnsi="Times New Roman" w:cs="Times New Roman"/>
          <w:lang w:val="ro-RO"/>
        </w:rPr>
        <w:t xml:space="preserve">și anume </w:t>
      </w:r>
      <w:r w:rsidRPr="00A73566">
        <w:rPr>
          <w:rFonts w:ascii="Times New Roman" w:hAnsi="Times New Roman" w:cs="Times New Roman"/>
          <w:lang w:val="ro-RO"/>
        </w:rPr>
        <w:t>a activităților și acțiunilor orientate spre implementarea practicilor inovative de adaptare la schimbările climatice l</w:t>
      </w:r>
      <w:r w:rsidR="00A45DFD">
        <w:rPr>
          <w:rFonts w:ascii="Times New Roman" w:hAnsi="Times New Roman" w:cs="Times New Roman"/>
          <w:lang w:val="ro-RO"/>
        </w:rPr>
        <w:t>a nivel de exploatație agricolă.</w:t>
      </w:r>
    </w:p>
    <w:p w14:paraId="6F871B05" w14:textId="6AC0B46A" w:rsidR="0088039E" w:rsidRPr="00A73566" w:rsidRDefault="0088039E" w:rsidP="003E5B33">
      <w:pPr>
        <w:spacing w:before="120" w:after="0"/>
        <w:ind w:left="284" w:hanging="284"/>
        <w:rPr>
          <w:rFonts w:ascii="Times New Roman" w:hAnsi="Times New Roman" w:cs="Times New Roman"/>
          <w:lang w:val="ro-RO"/>
        </w:rPr>
      </w:pPr>
      <w:r w:rsidRPr="00A73566">
        <w:rPr>
          <w:rFonts w:ascii="Times New Roman" w:hAnsi="Times New Roman" w:cs="Times New Roman"/>
          <w:lang w:val="ro-RO"/>
        </w:rPr>
        <w:t xml:space="preserve">2) </w:t>
      </w:r>
      <w:r w:rsidR="00311801" w:rsidRPr="00A73566">
        <w:rPr>
          <w:rFonts w:ascii="Times New Roman" w:hAnsi="Times New Roman" w:cs="Times New Roman"/>
          <w:lang w:val="ro-RO"/>
        </w:rPr>
        <w:t xml:space="preserve">Elaborarea </w:t>
      </w:r>
      <w:r w:rsidRPr="00A73566">
        <w:rPr>
          <w:rFonts w:ascii="Times New Roman" w:hAnsi="Times New Roman" w:cs="Times New Roman"/>
          <w:lang w:val="ro-RO"/>
        </w:rPr>
        <w:t>și dezvoltarea mecanismului de implementare a Programului Național de planificare a adaptării Republicii Moldova la s</w:t>
      </w:r>
      <w:r w:rsidR="00A45DFD">
        <w:rPr>
          <w:rFonts w:ascii="Times New Roman" w:hAnsi="Times New Roman" w:cs="Times New Roman"/>
          <w:lang w:val="ro-RO"/>
        </w:rPr>
        <w:t>chimbările climatice, realizat</w:t>
      </w:r>
      <w:r w:rsidR="00A45DFD" w:rsidRPr="00A73566">
        <w:rPr>
          <w:rFonts w:ascii="Times New Roman" w:hAnsi="Times New Roman" w:cs="Times New Roman"/>
          <w:lang w:val="ro-RO"/>
        </w:rPr>
        <w:t xml:space="preserve"> prin:</w:t>
      </w:r>
    </w:p>
    <w:p w14:paraId="2D24783E" w14:textId="53E55834" w:rsidR="0088039E" w:rsidRPr="00A73566" w:rsidRDefault="0088039E" w:rsidP="00A45DFD">
      <w:pPr>
        <w:spacing w:after="0"/>
        <w:ind w:left="567" w:hanging="283"/>
        <w:rPr>
          <w:rFonts w:ascii="Times New Roman" w:hAnsi="Times New Roman" w:cs="Times New Roman"/>
          <w:i/>
          <w:iCs/>
          <w:lang w:val="ro-RO"/>
        </w:rPr>
      </w:pPr>
      <w:r w:rsidRPr="00A73566">
        <w:rPr>
          <w:rFonts w:ascii="Times New Roman" w:hAnsi="Times New Roman" w:cs="Times New Roman"/>
          <w:lang w:val="ro-RO"/>
        </w:rPr>
        <w:t>a) crearea unui Grup de lucru permanent interministerial și APL pentru cart</w:t>
      </w:r>
      <w:r w:rsidR="00311801" w:rsidRPr="00A73566">
        <w:rPr>
          <w:rFonts w:ascii="Times New Roman" w:hAnsi="Times New Roman" w:cs="Times New Roman"/>
          <w:lang w:val="ro-RO"/>
        </w:rPr>
        <w:t>ografierea</w:t>
      </w:r>
      <w:r w:rsidRPr="00A73566">
        <w:rPr>
          <w:rFonts w:ascii="Times New Roman" w:hAnsi="Times New Roman" w:cs="Times New Roman"/>
          <w:lang w:val="ro-RO"/>
        </w:rPr>
        <w:t xml:space="preserve"> </w:t>
      </w:r>
      <w:r w:rsidR="00242819" w:rsidRPr="00A73566">
        <w:rPr>
          <w:rFonts w:ascii="Times New Roman" w:hAnsi="Times New Roman" w:cs="Times New Roman"/>
          <w:lang w:val="ro-RO"/>
        </w:rPr>
        <w:t xml:space="preserve">și monitorizarea </w:t>
      </w:r>
      <w:r w:rsidRPr="00A73566">
        <w:rPr>
          <w:rFonts w:ascii="Times New Roman" w:hAnsi="Times New Roman" w:cs="Times New Roman"/>
          <w:lang w:val="ro-RO"/>
        </w:rPr>
        <w:t>zonelor și sectoarelor agricole cu vulnerabilitate majoră față de riscurile climatice, care ar fi capabil de a evalua amenințările, de a estima potențialul impact și de identifica potențialele intervenții pre și post afectare;</w:t>
      </w:r>
      <w:r w:rsidRPr="00A73566">
        <w:rPr>
          <w:rFonts w:ascii="Times New Roman" w:hAnsi="Times New Roman" w:cs="Times New Roman"/>
          <w:i/>
          <w:iCs/>
          <w:lang w:val="ro-RO"/>
        </w:rPr>
        <w:t xml:space="preserve"> </w:t>
      </w:r>
    </w:p>
    <w:p w14:paraId="6B25ABE0" w14:textId="5C06DD78"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lang w:val="ro-RO"/>
        </w:rPr>
        <w:t xml:space="preserve">b) </w:t>
      </w:r>
      <w:r w:rsidRPr="00A73566">
        <w:rPr>
          <w:rFonts w:ascii="Times New Roman" w:hAnsi="Times New Roman" w:cs="Times New Roman"/>
          <w:iCs/>
          <w:lang w:val="ro-RO"/>
        </w:rPr>
        <w:t xml:space="preserve">identificarea și integrarea măsurilor de adaptare la schimbările climatice în procesul de planificare </w:t>
      </w:r>
      <w:r w:rsidR="00311801" w:rsidRPr="00A73566">
        <w:rPr>
          <w:rFonts w:ascii="Times New Roman" w:hAnsi="Times New Roman" w:cs="Times New Roman"/>
          <w:iCs/>
          <w:lang w:val="ro-RO"/>
        </w:rPr>
        <w:t>strategică</w:t>
      </w:r>
      <w:r w:rsidRPr="00A73566">
        <w:rPr>
          <w:rFonts w:ascii="Times New Roman" w:hAnsi="Times New Roman" w:cs="Times New Roman"/>
          <w:iCs/>
          <w:lang w:val="ro-RO"/>
        </w:rPr>
        <w:t xml:space="preserve"> pentru îmbunătățirea rezilienței comunităților locale la efectele negative ale schimbărilor climatice;</w:t>
      </w:r>
    </w:p>
    <w:p w14:paraId="302A648D" w14:textId="3BE928F3" w:rsidR="0088039E" w:rsidRPr="00A73566" w:rsidRDefault="00242819" w:rsidP="00A45DFD">
      <w:pPr>
        <w:spacing w:after="0"/>
        <w:ind w:left="567" w:hanging="283"/>
        <w:rPr>
          <w:rFonts w:ascii="Times New Roman" w:hAnsi="Times New Roman" w:cs="Times New Roman"/>
          <w:iCs/>
          <w:lang w:val="ro-RO"/>
        </w:rPr>
      </w:pPr>
      <w:r w:rsidRPr="00A73566">
        <w:rPr>
          <w:rFonts w:ascii="Times New Roman" w:hAnsi="Times New Roman" w:cs="Times New Roman"/>
          <w:iCs/>
          <w:lang w:val="ro-RO"/>
        </w:rPr>
        <w:t>c</w:t>
      </w:r>
      <w:r w:rsidR="0088039E" w:rsidRPr="00A73566">
        <w:rPr>
          <w:rFonts w:ascii="Times New Roman" w:hAnsi="Times New Roman" w:cs="Times New Roman"/>
          <w:iCs/>
          <w:lang w:val="ro-RO"/>
        </w:rPr>
        <w:t>) reducerea expunerii la riscurile climatice a producătorilor agricoli locali prin conceptualizarea, implementarea și îmbunătățirea accesului la un Program de Asigurare Financiară obligatoriu împotriva riscurilor naturale rezultate din schimbările cl</w:t>
      </w:r>
      <w:r w:rsidR="00A45DFD">
        <w:rPr>
          <w:rFonts w:ascii="Times New Roman" w:hAnsi="Times New Roman" w:cs="Times New Roman"/>
          <w:iCs/>
          <w:lang w:val="ro-RO"/>
        </w:rPr>
        <w:t>imatice pentru sectorul agricol.</w:t>
      </w:r>
    </w:p>
    <w:p w14:paraId="65604039" w14:textId="7A66562F" w:rsidR="0088039E" w:rsidRPr="00A73566" w:rsidRDefault="00242819" w:rsidP="003E5B33">
      <w:pPr>
        <w:spacing w:before="120" w:after="0"/>
        <w:ind w:left="284" w:hanging="284"/>
        <w:rPr>
          <w:rFonts w:ascii="Times New Roman" w:hAnsi="Times New Roman" w:cs="Times New Roman"/>
          <w:lang w:val="ro-RO"/>
        </w:rPr>
      </w:pPr>
      <w:r w:rsidRPr="00A73566">
        <w:rPr>
          <w:rFonts w:ascii="Times New Roman" w:hAnsi="Times New Roman" w:cs="Times New Roman"/>
          <w:lang w:val="ro-RO"/>
        </w:rPr>
        <w:t>3</w:t>
      </w:r>
      <w:r w:rsidR="0088039E" w:rsidRPr="00A73566">
        <w:rPr>
          <w:rFonts w:ascii="Times New Roman" w:hAnsi="Times New Roman" w:cs="Times New Roman"/>
          <w:lang w:val="ro-RO"/>
        </w:rPr>
        <w:t xml:space="preserve">) Promovarea practicilor agricole durabile, inovative și inteligente la nivel național și local pentru a crește reziliența sectorului la schimbările climatice, prin: </w:t>
      </w:r>
    </w:p>
    <w:p w14:paraId="388CC417" w14:textId="39764BD7"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iCs/>
          <w:lang w:val="ro-RO"/>
        </w:rPr>
        <w:t xml:space="preserve">a) promovarea și punerea în aplicare a unor practici eficiente și eficace de producție durabilă în domeniul </w:t>
      </w:r>
      <w:r w:rsidR="00242819" w:rsidRPr="00A73566">
        <w:rPr>
          <w:rFonts w:ascii="Times New Roman" w:hAnsi="Times New Roman" w:cs="Times New Roman"/>
          <w:iCs/>
          <w:lang w:val="ro-RO"/>
        </w:rPr>
        <w:t xml:space="preserve">agriculturii inteligente </w:t>
      </w:r>
      <w:r w:rsidRPr="00A73566">
        <w:rPr>
          <w:rFonts w:ascii="Times New Roman" w:hAnsi="Times New Roman" w:cs="Times New Roman"/>
          <w:iCs/>
          <w:lang w:val="ro-RO"/>
        </w:rPr>
        <w:t xml:space="preserve">din punct de vedere </w:t>
      </w:r>
      <w:r w:rsidR="00242819" w:rsidRPr="00A73566">
        <w:rPr>
          <w:rFonts w:ascii="Times New Roman" w:hAnsi="Times New Roman" w:cs="Times New Roman"/>
          <w:iCs/>
          <w:lang w:val="ro-RO"/>
        </w:rPr>
        <w:t>climatic</w:t>
      </w:r>
      <w:r w:rsidRPr="00A73566">
        <w:rPr>
          <w:rFonts w:ascii="Times New Roman" w:hAnsi="Times New Roman" w:cs="Times New Roman"/>
          <w:iCs/>
          <w:lang w:val="ro-RO"/>
        </w:rPr>
        <w:t xml:space="preserve">, de reducere și </w:t>
      </w:r>
      <w:r w:rsidR="00242819" w:rsidRPr="00A73566">
        <w:rPr>
          <w:rFonts w:ascii="Times New Roman" w:hAnsi="Times New Roman" w:cs="Times New Roman"/>
          <w:iCs/>
          <w:lang w:val="ro-RO"/>
        </w:rPr>
        <w:t xml:space="preserve">gestionare </w:t>
      </w:r>
      <w:r w:rsidRPr="00A73566">
        <w:rPr>
          <w:rFonts w:ascii="Times New Roman" w:hAnsi="Times New Roman" w:cs="Times New Roman"/>
          <w:iCs/>
          <w:lang w:val="ro-RO"/>
        </w:rPr>
        <w:t xml:space="preserve">a </w:t>
      </w:r>
      <w:r w:rsidR="00242819" w:rsidRPr="00A73566">
        <w:rPr>
          <w:rFonts w:ascii="Times New Roman" w:hAnsi="Times New Roman" w:cs="Times New Roman"/>
          <w:iCs/>
          <w:lang w:val="ro-RO"/>
        </w:rPr>
        <w:t xml:space="preserve">riscurilor </w:t>
      </w:r>
      <w:r w:rsidRPr="00A73566">
        <w:rPr>
          <w:rFonts w:ascii="Times New Roman" w:hAnsi="Times New Roman" w:cs="Times New Roman"/>
          <w:iCs/>
          <w:lang w:val="ro-RO"/>
        </w:rPr>
        <w:t xml:space="preserve">de </w:t>
      </w:r>
      <w:r w:rsidR="00242819" w:rsidRPr="00A73566">
        <w:rPr>
          <w:rFonts w:ascii="Times New Roman" w:hAnsi="Times New Roman" w:cs="Times New Roman"/>
          <w:iCs/>
          <w:lang w:val="ro-RO"/>
        </w:rPr>
        <w:t>dezastre</w:t>
      </w:r>
      <w:r w:rsidRPr="00A73566">
        <w:rPr>
          <w:rFonts w:ascii="Times New Roman" w:hAnsi="Times New Roman" w:cs="Times New Roman"/>
          <w:iCs/>
          <w:lang w:val="ro-RO"/>
        </w:rPr>
        <w:t>) pentru a răspunde la schimbările de mediu și a se adapta la influențele locale ale schimbărilor climatice;</w:t>
      </w:r>
    </w:p>
    <w:p w14:paraId="0B4B8A17" w14:textId="0A485645"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iCs/>
          <w:lang w:val="ro-RO"/>
        </w:rPr>
        <w:t xml:space="preserve">b) instituirea unei rețele de loturi și activități demonstrative prin intermediul </w:t>
      </w:r>
      <w:r w:rsidR="00311801" w:rsidRPr="00A73566">
        <w:rPr>
          <w:rFonts w:ascii="Times New Roman" w:hAnsi="Times New Roman" w:cs="Times New Roman"/>
          <w:iCs/>
          <w:lang w:val="ro-RO"/>
        </w:rPr>
        <w:t xml:space="preserve">unităților </w:t>
      </w:r>
      <w:r w:rsidRPr="00A73566">
        <w:rPr>
          <w:rFonts w:ascii="Times New Roman" w:hAnsi="Times New Roman" w:cs="Times New Roman"/>
          <w:iCs/>
          <w:lang w:val="ro-RO"/>
        </w:rPr>
        <w:t xml:space="preserve">de </w:t>
      </w:r>
      <w:r w:rsidR="00311801" w:rsidRPr="00A73566">
        <w:rPr>
          <w:rFonts w:ascii="Times New Roman" w:hAnsi="Times New Roman" w:cs="Times New Roman"/>
          <w:iCs/>
          <w:lang w:val="ro-RO"/>
        </w:rPr>
        <w:t xml:space="preserve">implementare </w:t>
      </w:r>
      <w:r w:rsidRPr="00A73566">
        <w:rPr>
          <w:rFonts w:ascii="Times New Roman" w:hAnsi="Times New Roman" w:cs="Times New Roman"/>
          <w:iCs/>
          <w:lang w:val="ro-RO"/>
        </w:rPr>
        <w:t xml:space="preserve">a proiectelor, </w:t>
      </w:r>
      <w:r w:rsidR="00311801" w:rsidRPr="00A73566">
        <w:rPr>
          <w:rFonts w:ascii="Times New Roman" w:hAnsi="Times New Roman" w:cs="Times New Roman"/>
          <w:iCs/>
          <w:lang w:val="ro-RO"/>
        </w:rPr>
        <w:t xml:space="preserve">institutelor </w:t>
      </w:r>
      <w:r w:rsidRPr="00A73566">
        <w:rPr>
          <w:rFonts w:ascii="Times New Roman" w:hAnsi="Times New Roman" w:cs="Times New Roman"/>
          <w:iCs/>
          <w:lang w:val="ro-RO"/>
        </w:rPr>
        <w:t xml:space="preserve">de </w:t>
      </w:r>
      <w:r w:rsidR="00311801" w:rsidRPr="00A73566">
        <w:rPr>
          <w:rFonts w:ascii="Times New Roman" w:hAnsi="Times New Roman" w:cs="Times New Roman"/>
          <w:iCs/>
          <w:lang w:val="ro-RO"/>
        </w:rPr>
        <w:t>cercetări științifice</w:t>
      </w:r>
      <w:r w:rsidRPr="00A73566">
        <w:rPr>
          <w:rFonts w:ascii="Times New Roman" w:hAnsi="Times New Roman" w:cs="Times New Roman"/>
          <w:iCs/>
          <w:lang w:val="ro-RO"/>
        </w:rPr>
        <w:t xml:space="preserve">, </w:t>
      </w:r>
      <w:r w:rsidR="00311801" w:rsidRPr="00A73566">
        <w:rPr>
          <w:rFonts w:ascii="Times New Roman" w:hAnsi="Times New Roman" w:cs="Times New Roman"/>
          <w:iCs/>
          <w:lang w:val="ro-RO"/>
        </w:rPr>
        <w:t>colegiilor agricole</w:t>
      </w:r>
      <w:r w:rsidRPr="00A73566">
        <w:rPr>
          <w:rFonts w:ascii="Times New Roman" w:hAnsi="Times New Roman" w:cs="Times New Roman"/>
          <w:iCs/>
          <w:lang w:val="ro-RO"/>
        </w:rPr>
        <w:t xml:space="preserve">, sectorului </w:t>
      </w:r>
      <w:r w:rsidR="00311801" w:rsidRPr="00A73566">
        <w:rPr>
          <w:rFonts w:ascii="Times New Roman" w:hAnsi="Times New Roman" w:cs="Times New Roman"/>
          <w:iCs/>
          <w:lang w:val="ro-RO"/>
        </w:rPr>
        <w:t xml:space="preserve">asociativ și a celui </w:t>
      </w:r>
      <w:r w:rsidRPr="00A73566">
        <w:rPr>
          <w:rFonts w:ascii="Times New Roman" w:hAnsi="Times New Roman" w:cs="Times New Roman"/>
          <w:iCs/>
          <w:lang w:val="ro-RO"/>
        </w:rPr>
        <w:t xml:space="preserve">privat pentru asigurarea transferului tehnologic, inovațional și replicarea practicilor </w:t>
      </w:r>
      <w:r w:rsidR="00242819" w:rsidRPr="00A73566">
        <w:rPr>
          <w:rFonts w:ascii="Times New Roman" w:hAnsi="Times New Roman" w:cs="Times New Roman"/>
          <w:iCs/>
          <w:lang w:val="ro-RO"/>
        </w:rPr>
        <w:t>agriculturii inteligente din punct de vedere climatic</w:t>
      </w:r>
      <w:r w:rsidRPr="00A73566">
        <w:rPr>
          <w:rFonts w:ascii="Times New Roman" w:hAnsi="Times New Roman" w:cs="Times New Roman"/>
          <w:iCs/>
          <w:lang w:val="ro-RO"/>
        </w:rPr>
        <w:t>;</w:t>
      </w:r>
    </w:p>
    <w:p w14:paraId="6BFD3EC3" w14:textId="77777777"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iCs/>
          <w:lang w:val="ro-RO"/>
        </w:rPr>
        <w:t>c) elaborarea și implementarea unui mecanism de Programe de cercetare și transfer tehnologic de ameliorare a soiurilor și hibrizilor de plante rezistente la factorii stresanți de mediu, precum și de tehnologii, măsuri și inovații de adaptare climatică și cu potențial de replicare înalt la nivel de exploatație agricol;</w:t>
      </w:r>
    </w:p>
    <w:p w14:paraId="6D5DB7B2" w14:textId="14223C68" w:rsidR="0088039E" w:rsidRPr="00A73566" w:rsidRDefault="0088039E" w:rsidP="00A45DFD">
      <w:pPr>
        <w:spacing w:after="0"/>
        <w:ind w:left="567" w:hanging="283"/>
        <w:rPr>
          <w:rFonts w:ascii="Times New Roman" w:hAnsi="Times New Roman" w:cs="Times New Roman"/>
          <w:iCs/>
          <w:lang w:val="ro-RO"/>
        </w:rPr>
      </w:pPr>
      <w:r w:rsidRPr="00A73566">
        <w:rPr>
          <w:rFonts w:ascii="Times New Roman" w:hAnsi="Times New Roman" w:cs="Times New Roman"/>
          <w:iCs/>
          <w:lang w:val="ro-RO"/>
        </w:rPr>
        <w:t xml:space="preserve">d) implementarea programelor de instruire și sensibilizare a producătorilor agricoli în domeniul managementului durabil și replicarea practicilor </w:t>
      </w:r>
      <w:r w:rsidR="00242819" w:rsidRPr="00A73566">
        <w:rPr>
          <w:rFonts w:ascii="Times New Roman" w:hAnsi="Times New Roman" w:cs="Times New Roman"/>
          <w:iCs/>
          <w:lang w:val="ro-RO"/>
        </w:rPr>
        <w:t>agriculturii inteligente din punct de vedere climatic</w:t>
      </w:r>
      <w:r w:rsidR="00242819" w:rsidRPr="00A73566" w:rsidDel="00242819">
        <w:rPr>
          <w:rFonts w:ascii="Times New Roman" w:hAnsi="Times New Roman" w:cs="Times New Roman"/>
          <w:iCs/>
          <w:lang w:val="ro-RO"/>
        </w:rPr>
        <w:t xml:space="preserve"> </w:t>
      </w:r>
      <w:r w:rsidRPr="00A73566">
        <w:rPr>
          <w:rFonts w:ascii="Times New Roman" w:hAnsi="Times New Roman" w:cs="Times New Roman"/>
          <w:iCs/>
          <w:lang w:val="ro-RO"/>
        </w:rPr>
        <w:t>la nivel de exploatație agricolă.</w:t>
      </w:r>
    </w:p>
    <w:bookmarkEnd w:id="123"/>
    <w:p w14:paraId="755BCC29" w14:textId="77777777" w:rsidR="001E0A0D" w:rsidRPr="00A73566" w:rsidRDefault="001E0A0D" w:rsidP="00242819">
      <w:pPr>
        <w:spacing w:before="120"/>
        <w:rPr>
          <w:rFonts w:ascii="Times New Roman" w:hAnsi="Times New Roman" w:cs="Times New Roman"/>
          <w:i/>
          <w:iCs/>
          <w:lang w:val="ro-RO"/>
        </w:rPr>
      </w:pPr>
      <w:r w:rsidRPr="00A73566">
        <w:rPr>
          <w:rFonts w:ascii="Times New Roman" w:hAnsi="Times New Roman" w:cs="Times New Roman"/>
          <w:i/>
          <w:iCs/>
          <w:lang w:val="ro-RO"/>
        </w:rPr>
        <w:t>1.3 Conservarea și dezvoltarea biodiversității</w:t>
      </w:r>
    </w:p>
    <w:p w14:paraId="5DB42CDD" w14:textId="1B16E576" w:rsidR="001E0A0D" w:rsidRPr="00A73566" w:rsidRDefault="001E0A0D" w:rsidP="00A45DFD">
      <w:pPr>
        <w:ind w:firstLine="567"/>
        <w:rPr>
          <w:rFonts w:ascii="Times New Roman" w:hAnsi="Times New Roman" w:cs="Times New Roman"/>
          <w:lang w:val="ro-RO"/>
        </w:rPr>
      </w:pPr>
      <w:r w:rsidRPr="00A73566">
        <w:rPr>
          <w:rFonts w:ascii="Times New Roman" w:hAnsi="Times New Roman" w:cs="Times New Roman"/>
          <w:lang w:val="ro-RO"/>
        </w:rPr>
        <w:t>Performanța și productivitatea sectoarelor agriculturii se bazează pe echilibrul ecosistemel</w:t>
      </w:r>
      <w:r w:rsidR="008D7B75" w:rsidRPr="00A73566">
        <w:rPr>
          <w:rFonts w:ascii="Times New Roman" w:hAnsi="Times New Roman" w:cs="Times New Roman"/>
          <w:lang w:val="ro-RO"/>
        </w:rPr>
        <w:t>or</w:t>
      </w:r>
      <w:r w:rsidRPr="00A73566">
        <w:rPr>
          <w:rFonts w:ascii="Times New Roman" w:hAnsi="Times New Roman" w:cs="Times New Roman"/>
          <w:lang w:val="ro-RO"/>
        </w:rPr>
        <w:t xml:space="preserve"> conexe, iar perturbațiile ce apar influențează direct </w:t>
      </w:r>
      <w:r w:rsidR="008D7B75" w:rsidRPr="00A73566">
        <w:rPr>
          <w:rFonts w:ascii="Times New Roman" w:hAnsi="Times New Roman" w:cs="Times New Roman"/>
          <w:lang w:val="ro-RO"/>
        </w:rPr>
        <w:t>rezultatele activității agricole.</w:t>
      </w:r>
      <w:r w:rsidRPr="00A73566">
        <w:rPr>
          <w:rFonts w:ascii="Times New Roman" w:hAnsi="Times New Roman" w:cs="Times New Roman"/>
          <w:lang w:val="ro-RO"/>
        </w:rPr>
        <w:t xml:space="preserve"> În vederea diminuării acestor dezechilibre și conservării biodiversității, se impun unele intervenții strategice, cum ar fi: conservarea și sporirea fertilității solurilor; ameliorarea solurilor prin implementarea practicilor agricole prietenoase mediului; conservarea resurselor genetice autohtone</w:t>
      </w:r>
      <w:r w:rsidR="00E44DDB" w:rsidRPr="00A73566">
        <w:rPr>
          <w:rFonts w:ascii="Times New Roman" w:hAnsi="Times New Roman" w:cs="Times New Roman"/>
          <w:lang w:val="ro-RO"/>
        </w:rPr>
        <w:t xml:space="preserve"> pentru sectorul </w:t>
      </w:r>
      <w:r w:rsidR="00756AB9" w:rsidRPr="00A73566">
        <w:rPr>
          <w:rFonts w:ascii="Times New Roman" w:hAnsi="Times New Roman" w:cs="Times New Roman"/>
          <w:lang w:val="ro-RO"/>
        </w:rPr>
        <w:t xml:space="preserve">vegetal </w:t>
      </w:r>
      <w:r w:rsidR="00726E1E" w:rsidRPr="00A73566">
        <w:rPr>
          <w:rFonts w:ascii="Times New Roman" w:hAnsi="Times New Roman" w:cs="Times New Roman"/>
          <w:lang w:val="ro-RO"/>
        </w:rPr>
        <w:t>ș</w:t>
      </w:r>
      <w:r w:rsidR="00756AB9" w:rsidRPr="00A73566">
        <w:rPr>
          <w:rFonts w:ascii="Times New Roman" w:hAnsi="Times New Roman" w:cs="Times New Roman"/>
          <w:lang w:val="ro-RO"/>
        </w:rPr>
        <w:t xml:space="preserve">i animal. </w:t>
      </w:r>
      <w:r w:rsidR="00726E1E" w:rsidRPr="00A73566">
        <w:rPr>
          <w:rFonts w:ascii="Times New Roman" w:hAnsi="Times New Roman" w:cs="Times New Roman"/>
          <w:lang w:val="ro-RO"/>
        </w:rPr>
        <w:t>Pentru</w:t>
      </w:r>
      <w:r w:rsidR="00756AB9" w:rsidRPr="00A73566">
        <w:rPr>
          <w:rFonts w:ascii="Times New Roman" w:hAnsi="Times New Roman" w:cs="Times New Roman"/>
          <w:lang w:val="ro-RO"/>
        </w:rPr>
        <w:t xml:space="preserve"> realizarea acestor indicatori</w:t>
      </w:r>
      <w:r w:rsidR="00726E1E" w:rsidRPr="00A73566">
        <w:rPr>
          <w:rFonts w:ascii="Times New Roman" w:hAnsi="Times New Roman" w:cs="Times New Roman"/>
          <w:lang w:val="ro-RO"/>
        </w:rPr>
        <w:t>,</w:t>
      </w:r>
      <w:r w:rsidR="00756AB9" w:rsidRPr="00A73566">
        <w:rPr>
          <w:rFonts w:ascii="Times New Roman" w:hAnsi="Times New Roman" w:cs="Times New Roman"/>
          <w:lang w:val="ro-RO"/>
        </w:rPr>
        <w:t xml:space="preserve"> se planific</w:t>
      </w:r>
      <w:r w:rsidR="00A61160" w:rsidRPr="00A73566">
        <w:rPr>
          <w:rFonts w:ascii="Times New Roman" w:hAnsi="Times New Roman" w:cs="Times New Roman"/>
          <w:lang w:val="ro-RO"/>
        </w:rPr>
        <w:t>ă</w:t>
      </w:r>
      <w:r w:rsidR="00756AB9" w:rsidRPr="00A73566">
        <w:rPr>
          <w:rFonts w:ascii="Times New Roman" w:hAnsi="Times New Roman" w:cs="Times New Roman"/>
          <w:lang w:val="ro-RO"/>
        </w:rPr>
        <w:t xml:space="preserve"> următoarele activități:</w:t>
      </w:r>
    </w:p>
    <w:p w14:paraId="0F012991" w14:textId="6D51065A" w:rsidR="006144AD" w:rsidRPr="00A73566" w:rsidRDefault="00756AB9" w:rsidP="00E720EE">
      <w:pPr>
        <w:pStyle w:val="ListParagraph"/>
        <w:numPr>
          <w:ilvl w:val="0"/>
          <w:numId w:val="23"/>
        </w:numPr>
        <w:rPr>
          <w:rFonts w:ascii="Times New Roman" w:hAnsi="Times New Roman" w:cs="Times New Roman"/>
          <w:color w:val="auto"/>
          <w:lang w:val="ro-RO"/>
        </w:rPr>
      </w:pPr>
      <w:r w:rsidRPr="00A73566">
        <w:rPr>
          <w:rFonts w:ascii="Times New Roman" w:hAnsi="Times New Roman" w:cs="Times New Roman"/>
          <w:color w:val="auto"/>
          <w:lang w:val="ro-RO"/>
        </w:rPr>
        <w:t>Prevenirea</w:t>
      </w:r>
      <w:r w:rsidR="00C8464E" w:rsidRPr="00A73566">
        <w:rPr>
          <w:rFonts w:ascii="Times New Roman" w:hAnsi="Times New Roman" w:cs="Times New Roman"/>
          <w:color w:val="auto"/>
          <w:lang w:val="ro-RO"/>
        </w:rPr>
        <w:t>, combatere</w:t>
      </w:r>
      <w:r w:rsidR="00726E1E" w:rsidRPr="00A73566">
        <w:rPr>
          <w:rFonts w:ascii="Times New Roman" w:hAnsi="Times New Roman" w:cs="Times New Roman"/>
          <w:color w:val="auto"/>
          <w:lang w:val="ro-RO"/>
        </w:rPr>
        <w:t>a</w:t>
      </w:r>
      <w:r w:rsidR="00C8464E" w:rsidRPr="00A73566">
        <w:rPr>
          <w:rFonts w:ascii="Times New Roman" w:hAnsi="Times New Roman" w:cs="Times New Roman"/>
          <w:color w:val="auto"/>
          <w:lang w:val="ro-RO"/>
        </w:rPr>
        <w:t xml:space="preserve"> și stoparea eroziunii</w:t>
      </w:r>
      <w:r w:rsidR="00726E1E" w:rsidRPr="00A73566">
        <w:rPr>
          <w:rFonts w:ascii="Times New Roman" w:hAnsi="Times New Roman" w:cs="Times New Roman"/>
          <w:color w:val="auto"/>
          <w:lang w:val="ro-RO"/>
        </w:rPr>
        <w:t>,</w:t>
      </w:r>
      <w:r w:rsidR="00C8464E" w:rsidRPr="00A73566">
        <w:rPr>
          <w:rFonts w:ascii="Times New Roman" w:hAnsi="Times New Roman" w:cs="Times New Roman"/>
          <w:color w:val="auto"/>
          <w:lang w:val="ro-RO"/>
        </w:rPr>
        <w:t xml:space="preserve"> conservarea </w:t>
      </w:r>
      <w:r w:rsidR="00726E1E" w:rsidRPr="00A73566">
        <w:rPr>
          <w:rFonts w:ascii="Times New Roman" w:hAnsi="Times New Roman" w:cs="Times New Roman"/>
          <w:color w:val="auto"/>
          <w:lang w:val="ro-RO"/>
        </w:rPr>
        <w:t>ș</w:t>
      </w:r>
      <w:r w:rsidR="00C8464E" w:rsidRPr="00A73566">
        <w:rPr>
          <w:rFonts w:ascii="Times New Roman" w:hAnsi="Times New Roman" w:cs="Times New Roman"/>
          <w:color w:val="auto"/>
          <w:lang w:val="ro-RO"/>
        </w:rPr>
        <w:t>i sporirea fe</w:t>
      </w:r>
      <w:r w:rsidR="00726E1E" w:rsidRPr="00A73566">
        <w:rPr>
          <w:rFonts w:ascii="Times New Roman" w:hAnsi="Times New Roman" w:cs="Times New Roman"/>
          <w:color w:val="auto"/>
          <w:lang w:val="ro-RO"/>
        </w:rPr>
        <w:t>rtilității</w:t>
      </w:r>
      <w:r w:rsidR="00C8464E" w:rsidRPr="00A73566">
        <w:rPr>
          <w:rFonts w:ascii="Times New Roman" w:hAnsi="Times New Roman" w:cs="Times New Roman"/>
          <w:color w:val="auto"/>
          <w:lang w:val="ro-RO"/>
        </w:rPr>
        <w:t xml:space="preserve"> </w:t>
      </w:r>
      <w:r w:rsidR="00277164" w:rsidRPr="00A73566">
        <w:rPr>
          <w:rFonts w:ascii="Times New Roman" w:hAnsi="Times New Roman" w:cs="Times New Roman"/>
          <w:color w:val="auto"/>
          <w:lang w:val="ro-RO"/>
        </w:rPr>
        <w:t xml:space="preserve">solului </w:t>
      </w:r>
      <w:r w:rsidR="000235DA" w:rsidRPr="00A73566">
        <w:rPr>
          <w:rFonts w:ascii="Times New Roman" w:hAnsi="Times New Roman" w:cs="Times New Roman"/>
          <w:color w:val="auto"/>
          <w:lang w:val="ro-RO"/>
        </w:rPr>
        <w:t xml:space="preserve">prin implementarea Programului de </w:t>
      </w:r>
      <w:r w:rsidR="00277164" w:rsidRPr="00A73566">
        <w:rPr>
          <w:rFonts w:ascii="Times New Roman" w:hAnsi="Times New Roman" w:cs="Times New Roman"/>
          <w:color w:val="auto"/>
          <w:lang w:val="ro-RO"/>
        </w:rPr>
        <w:t>îmbunătățiri</w:t>
      </w:r>
      <w:r w:rsidR="000235DA" w:rsidRPr="00A73566">
        <w:rPr>
          <w:rFonts w:ascii="Times New Roman" w:hAnsi="Times New Roman" w:cs="Times New Roman"/>
          <w:color w:val="auto"/>
          <w:lang w:val="ro-RO"/>
        </w:rPr>
        <w:t xml:space="preserve"> funciare</w:t>
      </w:r>
      <w:r w:rsidR="00726E1E" w:rsidRPr="00A73566">
        <w:rPr>
          <w:rFonts w:ascii="Times New Roman" w:hAnsi="Times New Roman" w:cs="Times New Roman"/>
          <w:color w:val="auto"/>
          <w:lang w:val="ro-RO"/>
        </w:rPr>
        <w:t>,</w:t>
      </w:r>
      <w:r w:rsidR="000235DA" w:rsidRPr="00A73566">
        <w:rPr>
          <w:rFonts w:ascii="Times New Roman" w:hAnsi="Times New Roman" w:cs="Times New Roman"/>
          <w:color w:val="auto"/>
          <w:lang w:val="ro-RO"/>
        </w:rPr>
        <w:t xml:space="preserve"> </w:t>
      </w:r>
      <w:r w:rsidR="00260F37" w:rsidRPr="00A73566">
        <w:rPr>
          <w:rFonts w:ascii="Times New Roman" w:hAnsi="Times New Roman" w:cs="Times New Roman"/>
          <w:color w:val="auto"/>
          <w:lang w:val="ro-RO"/>
        </w:rPr>
        <w:t>î</w:t>
      </w:r>
      <w:r w:rsidR="000235DA" w:rsidRPr="00A73566">
        <w:rPr>
          <w:rFonts w:ascii="Times New Roman" w:hAnsi="Times New Roman" w:cs="Times New Roman"/>
          <w:color w:val="auto"/>
          <w:lang w:val="ro-RO"/>
        </w:rPr>
        <w:t xml:space="preserve">n scopul </w:t>
      </w:r>
      <w:r w:rsidR="00277164" w:rsidRPr="00A73566">
        <w:rPr>
          <w:rFonts w:ascii="Times New Roman" w:hAnsi="Times New Roman" w:cs="Times New Roman"/>
          <w:color w:val="auto"/>
          <w:lang w:val="ro-RO"/>
        </w:rPr>
        <w:t>asigurării</w:t>
      </w:r>
      <w:r w:rsidR="000235DA" w:rsidRPr="00A73566">
        <w:rPr>
          <w:rFonts w:ascii="Times New Roman" w:hAnsi="Times New Roman" w:cs="Times New Roman"/>
          <w:color w:val="auto"/>
          <w:lang w:val="ro-RO"/>
        </w:rPr>
        <w:t xml:space="preserve"> managementului durabil al resurselor de sol</w:t>
      </w:r>
      <w:r w:rsidR="00277164" w:rsidRPr="00A73566">
        <w:rPr>
          <w:rFonts w:ascii="Times New Roman" w:hAnsi="Times New Roman" w:cs="Times New Roman"/>
          <w:color w:val="auto"/>
          <w:lang w:val="ro-RO"/>
        </w:rPr>
        <w:t xml:space="preserve">. </w:t>
      </w:r>
    </w:p>
    <w:p w14:paraId="0AF9DE07" w14:textId="1631C4C7" w:rsidR="00756AB9" w:rsidRPr="00A73566" w:rsidRDefault="00756AB9" w:rsidP="00E720EE">
      <w:pPr>
        <w:pStyle w:val="ListParagraph"/>
        <w:numPr>
          <w:ilvl w:val="0"/>
          <w:numId w:val="23"/>
        </w:numPr>
        <w:rPr>
          <w:rFonts w:ascii="Times New Roman" w:hAnsi="Times New Roman" w:cs="Times New Roman"/>
          <w:color w:val="auto"/>
          <w:lang w:val="ro-RO"/>
        </w:rPr>
      </w:pPr>
      <w:r w:rsidRPr="00A73566">
        <w:rPr>
          <w:rFonts w:ascii="Times New Roman" w:hAnsi="Times New Roman" w:cs="Times New Roman"/>
          <w:color w:val="auto"/>
          <w:lang w:val="ro-RO"/>
        </w:rPr>
        <w:t xml:space="preserve">Sprijinirea tehnologiilor de producție prietenoase mediului este considerata o </w:t>
      </w:r>
      <w:r w:rsidR="00260F37" w:rsidRPr="00A73566">
        <w:rPr>
          <w:rFonts w:ascii="Times New Roman" w:hAnsi="Times New Roman" w:cs="Times New Roman"/>
          <w:color w:val="auto"/>
          <w:lang w:val="ro-RO"/>
        </w:rPr>
        <w:t xml:space="preserve">alta </w:t>
      </w:r>
      <w:r w:rsidRPr="00A73566">
        <w:rPr>
          <w:rFonts w:ascii="Times New Roman" w:hAnsi="Times New Roman" w:cs="Times New Roman"/>
          <w:color w:val="auto"/>
          <w:lang w:val="ro-RO"/>
        </w:rPr>
        <w:t xml:space="preserve">prioritate </w:t>
      </w:r>
      <w:r w:rsidR="00726E1E" w:rsidRPr="00A73566">
        <w:rPr>
          <w:rFonts w:ascii="Times New Roman" w:hAnsi="Times New Roman" w:cs="Times New Roman"/>
          <w:color w:val="auto"/>
          <w:lang w:val="ro-RO"/>
        </w:rPr>
        <w:t>î</w:t>
      </w:r>
      <w:r w:rsidRPr="00A73566">
        <w:rPr>
          <w:rFonts w:ascii="Times New Roman" w:hAnsi="Times New Roman" w:cs="Times New Roman"/>
          <w:color w:val="auto"/>
          <w:lang w:val="ro-RO"/>
        </w:rPr>
        <w:t>n dezvoltarea agriculturii pentru următoarea perioad</w:t>
      </w:r>
      <w:r w:rsidR="00726E1E" w:rsidRPr="00A73566">
        <w:rPr>
          <w:rFonts w:ascii="Times New Roman" w:hAnsi="Times New Roman" w:cs="Times New Roman"/>
          <w:color w:val="auto"/>
          <w:lang w:val="ro-RO"/>
        </w:rPr>
        <w:t>ă</w:t>
      </w:r>
      <w:r w:rsidRPr="00A73566">
        <w:rPr>
          <w:rFonts w:ascii="Times New Roman" w:hAnsi="Times New Roman" w:cs="Times New Roman"/>
          <w:color w:val="auto"/>
          <w:lang w:val="ro-RO"/>
        </w:rPr>
        <w:t>, dat fiind faptul c</w:t>
      </w:r>
      <w:r w:rsidR="00726E1E" w:rsidRPr="00A73566">
        <w:rPr>
          <w:rFonts w:ascii="Times New Roman" w:hAnsi="Times New Roman" w:cs="Times New Roman"/>
          <w:color w:val="auto"/>
          <w:lang w:val="ro-RO"/>
        </w:rPr>
        <w:t>ă</w:t>
      </w:r>
      <w:r w:rsidRPr="00A73566">
        <w:rPr>
          <w:rFonts w:ascii="Times New Roman" w:hAnsi="Times New Roman" w:cs="Times New Roman"/>
          <w:color w:val="auto"/>
          <w:lang w:val="ro-RO"/>
        </w:rPr>
        <w:t xml:space="preserve"> schimbările climatice afectează tot mai grav procesul de producere a culturilor agricole. </w:t>
      </w:r>
      <w:r w:rsidR="00726E1E" w:rsidRPr="00A73566">
        <w:rPr>
          <w:rFonts w:ascii="Times New Roman" w:hAnsi="Times New Roman" w:cs="Times New Roman"/>
          <w:color w:val="auto"/>
          <w:lang w:val="ro-RO"/>
        </w:rPr>
        <w:t>Î</w:t>
      </w:r>
      <w:r w:rsidRPr="00A73566">
        <w:rPr>
          <w:rFonts w:ascii="Times New Roman" w:hAnsi="Times New Roman" w:cs="Times New Roman"/>
          <w:color w:val="auto"/>
          <w:lang w:val="ro-RO"/>
        </w:rPr>
        <w:t>n acest sens</w:t>
      </w:r>
      <w:r w:rsidR="00726E1E" w:rsidRPr="00A73566">
        <w:rPr>
          <w:rFonts w:ascii="Times New Roman" w:hAnsi="Times New Roman" w:cs="Times New Roman"/>
          <w:color w:val="auto"/>
          <w:lang w:val="ro-RO"/>
        </w:rPr>
        <w:t>,</w:t>
      </w:r>
      <w:r w:rsidRPr="00A73566">
        <w:rPr>
          <w:rFonts w:ascii="Times New Roman" w:hAnsi="Times New Roman" w:cs="Times New Roman"/>
          <w:color w:val="auto"/>
          <w:lang w:val="ro-RO"/>
        </w:rPr>
        <w:t xml:space="preserve"> </w:t>
      </w:r>
      <w:r w:rsidR="00515107" w:rsidRPr="00A73566">
        <w:rPr>
          <w:rFonts w:ascii="Times New Roman" w:hAnsi="Times New Roman" w:cs="Times New Roman"/>
          <w:color w:val="auto"/>
          <w:lang w:val="ro-RO"/>
        </w:rPr>
        <w:t xml:space="preserve">vor fi corelate politicile de dezvoltare sectorială a sectorului vegetal, inclusiv cu includerea stimulentelor financiare prin intermediul FNDAMR, </w:t>
      </w:r>
      <w:r w:rsidRPr="00A73566">
        <w:rPr>
          <w:rFonts w:ascii="Times New Roman" w:hAnsi="Times New Roman" w:cs="Times New Roman"/>
          <w:color w:val="auto"/>
          <w:lang w:val="ro-RO"/>
        </w:rPr>
        <w:t xml:space="preserve">care </w:t>
      </w:r>
      <w:r w:rsidR="00515107" w:rsidRPr="00A73566">
        <w:rPr>
          <w:rFonts w:ascii="Times New Roman" w:hAnsi="Times New Roman" w:cs="Times New Roman"/>
          <w:color w:val="auto"/>
          <w:lang w:val="ro-RO"/>
        </w:rPr>
        <w:t xml:space="preserve">vor </w:t>
      </w:r>
      <w:r w:rsidRPr="00A73566">
        <w:rPr>
          <w:rFonts w:ascii="Times New Roman" w:hAnsi="Times New Roman" w:cs="Times New Roman"/>
          <w:color w:val="auto"/>
          <w:lang w:val="ro-RO"/>
        </w:rPr>
        <w:t xml:space="preserve">facilita integrarea </w:t>
      </w:r>
      <w:r w:rsidR="00726E1E" w:rsidRPr="00A73566">
        <w:rPr>
          <w:rFonts w:ascii="Times New Roman" w:hAnsi="Times New Roman" w:cs="Times New Roman"/>
          <w:color w:val="auto"/>
          <w:lang w:val="ro-RO"/>
        </w:rPr>
        <w:t>î</w:t>
      </w:r>
      <w:r w:rsidRPr="00A73566">
        <w:rPr>
          <w:rFonts w:ascii="Times New Roman" w:hAnsi="Times New Roman" w:cs="Times New Roman"/>
          <w:color w:val="auto"/>
          <w:lang w:val="ro-RO"/>
        </w:rPr>
        <w:t>n sistemul conservativ</w:t>
      </w:r>
      <w:r w:rsidR="00726E1E" w:rsidRPr="00A73566">
        <w:rPr>
          <w:rFonts w:ascii="Times New Roman" w:hAnsi="Times New Roman" w:cs="Times New Roman"/>
          <w:color w:val="auto"/>
          <w:lang w:val="ro-RO"/>
        </w:rPr>
        <w:t>,</w:t>
      </w:r>
      <w:r w:rsidRPr="00A73566">
        <w:rPr>
          <w:rFonts w:ascii="Times New Roman" w:hAnsi="Times New Roman" w:cs="Times New Roman"/>
          <w:color w:val="auto"/>
          <w:lang w:val="ro-RO"/>
        </w:rPr>
        <w:t xml:space="preserve"> </w:t>
      </w:r>
      <w:r w:rsidR="006144AD" w:rsidRPr="00A73566">
        <w:rPr>
          <w:rFonts w:ascii="Times New Roman" w:hAnsi="Times New Roman" w:cs="Times New Roman"/>
          <w:color w:val="auto"/>
          <w:lang w:val="ro-RO"/>
        </w:rPr>
        <w:t>până în anul 2027</w:t>
      </w:r>
      <w:r w:rsidR="00726E1E" w:rsidRPr="00A73566">
        <w:rPr>
          <w:rFonts w:ascii="Times New Roman" w:hAnsi="Times New Roman" w:cs="Times New Roman"/>
          <w:color w:val="auto"/>
          <w:lang w:val="ro-RO"/>
        </w:rPr>
        <w:t>,</w:t>
      </w:r>
      <w:r w:rsidR="006144AD" w:rsidRPr="00A73566">
        <w:rPr>
          <w:rFonts w:ascii="Times New Roman" w:hAnsi="Times New Roman" w:cs="Times New Roman"/>
          <w:color w:val="auto"/>
          <w:lang w:val="ro-RO"/>
        </w:rPr>
        <w:t xml:space="preserve"> </w:t>
      </w:r>
      <w:r w:rsidRPr="00A73566">
        <w:rPr>
          <w:rFonts w:ascii="Times New Roman" w:hAnsi="Times New Roman" w:cs="Times New Roman"/>
          <w:color w:val="auto"/>
          <w:lang w:val="ro-RO"/>
        </w:rPr>
        <w:t xml:space="preserve">a circa </w:t>
      </w:r>
      <w:r w:rsidR="00515107" w:rsidRPr="00A73566">
        <w:rPr>
          <w:rFonts w:ascii="Times New Roman" w:hAnsi="Times New Roman" w:cs="Times New Roman"/>
          <w:color w:val="auto"/>
          <w:lang w:val="ro-RO"/>
        </w:rPr>
        <w:t xml:space="preserve">7-8% </w:t>
      </w:r>
      <w:r w:rsidRPr="00A73566">
        <w:rPr>
          <w:rFonts w:ascii="Times New Roman" w:hAnsi="Times New Roman" w:cs="Times New Roman"/>
          <w:color w:val="auto"/>
          <w:lang w:val="ro-RO"/>
        </w:rPr>
        <w:t xml:space="preserve">din terenurile </w:t>
      </w:r>
      <w:r w:rsidR="001D2053" w:rsidRPr="00A73566">
        <w:rPr>
          <w:rFonts w:ascii="Times New Roman" w:hAnsi="Times New Roman" w:cs="Times New Roman"/>
          <w:color w:val="auto"/>
          <w:lang w:val="ro-RO"/>
        </w:rPr>
        <w:t>arabile</w:t>
      </w:r>
      <w:r w:rsidRPr="00A73566">
        <w:rPr>
          <w:rFonts w:ascii="Times New Roman" w:hAnsi="Times New Roman" w:cs="Times New Roman"/>
          <w:color w:val="auto"/>
          <w:lang w:val="ro-RO"/>
        </w:rPr>
        <w:t>.</w:t>
      </w:r>
    </w:p>
    <w:p w14:paraId="3F5D876F" w14:textId="3699E2AD" w:rsidR="00756AB9" w:rsidRPr="00A73566" w:rsidRDefault="00756AB9" w:rsidP="00E720EE">
      <w:pPr>
        <w:pStyle w:val="ListParagraph"/>
        <w:numPr>
          <w:ilvl w:val="0"/>
          <w:numId w:val="23"/>
        </w:numPr>
        <w:rPr>
          <w:rFonts w:ascii="Times New Roman" w:hAnsi="Times New Roman" w:cs="Times New Roman"/>
          <w:lang w:val="ro-RO"/>
        </w:rPr>
      </w:pPr>
      <w:r w:rsidRPr="00A73566">
        <w:rPr>
          <w:rFonts w:ascii="Times New Roman" w:hAnsi="Times New Roman" w:cs="Times New Roman"/>
          <w:color w:val="auto"/>
          <w:lang w:val="ro-RO"/>
        </w:rPr>
        <w:t>Menținerea și conservarea fondului genetic agricol</w:t>
      </w:r>
      <w:r w:rsidR="00914B93" w:rsidRPr="00A73566">
        <w:rPr>
          <w:rFonts w:ascii="Times New Roman" w:hAnsi="Times New Roman" w:cs="Times New Roman"/>
          <w:color w:val="auto"/>
          <w:lang w:val="ro-RO"/>
        </w:rPr>
        <w:t xml:space="preserve"> </w:t>
      </w:r>
      <w:r w:rsidR="00277164" w:rsidRPr="00A73566">
        <w:rPr>
          <w:rFonts w:ascii="Times New Roman" w:hAnsi="Times New Roman" w:cs="Times New Roman"/>
          <w:color w:val="auto"/>
          <w:lang w:val="ro-RO"/>
        </w:rPr>
        <w:t>se va realiza prin</w:t>
      </w:r>
      <w:r w:rsidR="004A796F" w:rsidRPr="00A73566">
        <w:rPr>
          <w:rFonts w:ascii="Times New Roman" w:hAnsi="Times New Roman" w:cs="Times New Roman"/>
          <w:color w:val="auto"/>
          <w:lang w:val="ro-RO"/>
        </w:rPr>
        <w:t>: (i)</w:t>
      </w:r>
      <w:r w:rsidR="00277164" w:rsidRPr="00A73566">
        <w:rPr>
          <w:rFonts w:ascii="Times New Roman" w:hAnsi="Times New Roman" w:cs="Times New Roman"/>
          <w:color w:val="auto"/>
          <w:lang w:val="ro-RO"/>
        </w:rPr>
        <w:t xml:space="preserve"> </w:t>
      </w:r>
      <w:r w:rsidR="00914B93" w:rsidRPr="00A73566">
        <w:rPr>
          <w:rFonts w:ascii="Times New Roman" w:hAnsi="Times New Roman" w:cs="Times New Roman"/>
          <w:color w:val="auto"/>
          <w:lang w:val="ro-RO"/>
        </w:rPr>
        <w:t>constituirea b</w:t>
      </w:r>
      <w:r w:rsidR="00277164" w:rsidRPr="00A73566">
        <w:rPr>
          <w:rFonts w:ascii="Times New Roman" w:hAnsi="Times New Roman" w:cs="Times New Roman"/>
          <w:color w:val="auto"/>
          <w:lang w:val="ro-RO"/>
        </w:rPr>
        <w:t>ănci</w:t>
      </w:r>
      <w:r w:rsidR="00914B93" w:rsidRPr="00A73566">
        <w:rPr>
          <w:rFonts w:ascii="Times New Roman" w:hAnsi="Times New Roman" w:cs="Times New Roman"/>
          <w:color w:val="auto"/>
          <w:lang w:val="ro-RO"/>
        </w:rPr>
        <w:t>i</w:t>
      </w:r>
      <w:r w:rsidR="00277164" w:rsidRPr="00A73566">
        <w:rPr>
          <w:rFonts w:ascii="Times New Roman" w:hAnsi="Times New Roman" w:cs="Times New Roman"/>
          <w:color w:val="auto"/>
          <w:lang w:val="ro-RO"/>
        </w:rPr>
        <w:t xml:space="preserve"> de păstrare pe termen lung a fondului semincer </w:t>
      </w:r>
      <w:r w:rsidR="004A796F" w:rsidRPr="00A73566">
        <w:rPr>
          <w:rFonts w:ascii="Times New Roman" w:hAnsi="Times New Roman" w:cs="Times New Roman"/>
          <w:color w:val="auto"/>
          <w:lang w:val="ro-RO"/>
        </w:rPr>
        <w:t xml:space="preserve">autohton, (ii) </w:t>
      </w:r>
      <w:r w:rsidR="00914B93" w:rsidRPr="00A73566">
        <w:rPr>
          <w:rFonts w:ascii="Times New Roman" w:hAnsi="Times New Roman" w:cs="Times New Roman"/>
          <w:color w:val="auto"/>
          <w:lang w:val="ro-RO"/>
        </w:rPr>
        <w:t>crearea l</w:t>
      </w:r>
      <w:r w:rsidR="004A796F" w:rsidRPr="00A73566">
        <w:rPr>
          <w:rFonts w:ascii="Times New Roman" w:hAnsi="Times New Roman" w:cs="Times New Roman"/>
          <w:color w:val="auto"/>
          <w:lang w:val="ro-RO"/>
        </w:rPr>
        <w:t>oturilor dedicate păstrări fondului genetic de plantații multianuale</w:t>
      </w:r>
      <w:r w:rsidR="00726E1E" w:rsidRPr="00A73566">
        <w:rPr>
          <w:rFonts w:ascii="Times New Roman" w:hAnsi="Times New Roman" w:cs="Times New Roman"/>
          <w:color w:val="auto"/>
          <w:lang w:val="ro-RO"/>
        </w:rPr>
        <w:t>,</w:t>
      </w:r>
      <w:r w:rsidR="004A796F" w:rsidRPr="00A73566">
        <w:rPr>
          <w:rFonts w:ascii="Times New Roman" w:hAnsi="Times New Roman" w:cs="Times New Roman"/>
          <w:color w:val="auto"/>
          <w:lang w:val="ro-RO"/>
        </w:rPr>
        <w:t xml:space="preserve"> (iii) </w:t>
      </w:r>
      <w:r w:rsidR="000C77A0" w:rsidRPr="00A73566">
        <w:rPr>
          <w:rFonts w:ascii="Times New Roman" w:hAnsi="Times New Roman" w:cs="Times New Roman"/>
          <w:color w:val="auto"/>
          <w:lang w:val="ro-RO"/>
        </w:rPr>
        <w:t xml:space="preserve">dezvoltarea sistemului de producere și păstrare a materialului </w:t>
      </w:r>
      <w:r w:rsidR="004A796F" w:rsidRPr="00A73566">
        <w:rPr>
          <w:rFonts w:ascii="Times New Roman" w:hAnsi="Times New Roman" w:cs="Times New Roman"/>
          <w:color w:val="auto"/>
          <w:lang w:val="ro-RO"/>
        </w:rPr>
        <w:t xml:space="preserve">seminal </w:t>
      </w:r>
      <w:r w:rsidR="000C77A0" w:rsidRPr="00A73566">
        <w:rPr>
          <w:rFonts w:ascii="Times New Roman" w:hAnsi="Times New Roman" w:cs="Times New Roman"/>
          <w:color w:val="auto"/>
          <w:lang w:val="ro-RO"/>
        </w:rPr>
        <w:t xml:space="preserve">de rase autohtone </w:t>
      </w:r>
      <w:r w:rsidR="00726E1E" w:rsidRPr="00A73566">
        <w:rPr>
          <w:rFonts w:ascii="Times New Roman" w:hAnsi="Times New Roman" w:cs="Times New Roman"/>
          <w:color w:val="auto"/>
          <w:lang w:val="ro-RO"/>
        </w:rPr>
        <w:t>ș</w:t>
      </w:r>
      <w:r w:rsidR="000C77A0" w:rsidRPr="00A73566">
        <w:rPr>
          <w:rFonts w:ascii="Times New Roman" w:hAnsi="Times New Roman" w:cs="Times New Roman"/>
          <w:color w:val="auto"/>
          <w:lang w:val="ro-RO"/>
        </w:rPr>
        <w:t>i de import.</w:t>
      </w:r>
    </w:p>
    <w:p w14:paraId="26CBBD2C" w14:textId="6DEECC4E" w:rsidR="00176B1A" w:rsidRPr="00A73566" w:rsidRDefault="001E0A0D" w:rsidP="00CF2F9D">
      <w:pPr>
        <w:spacing w:before="120"/>
        <w:rPr>
          <w:rFonts w:ascii="Times New Roman" w:hAnsi="Times New Roman" w:cs="Times New Roman"/>
          <w:i/>
          <w:iCs/>
          <w:lang w:val="ro-RO"/>
        </w:rPr>
      </w:pPr>
      <w:r w:rsidRPr="00A73566">
        <w:rPr>
          <w:rFonts w:ascii="Times New Roman" w:hAnsi="Times New Roman" w:cs="Times New Roman"/>
          <w:i/>
          <w:iCs/>
          <w:lang w:val="ro-RO"/>
        </w:rPr>
        <w:t>1.4</w:t>
      </w:r>
      <w:r w:rsidR="00176B1A" w:rsidRPr="00A73566">
        <w:rPr>
          <w:rFonts w:ascii="Times New Roman" w:hAnsi="Times New Roman" w:cs="Times New Roman"/>
          <w:i/>
          <w:iCs/>
          <w:lang w:val="ro-RO"/>
        </w:rPr>
        <w:t xml:space="preserve">. </w:t>
      </w:r>
      <w:r w:rsidR="00CF2F9D" w:rsidRPr="00A73566">
        <w:rPr>
          <w:rFonts w:ascii="Times New Roman" w:hAnsi="Times New Roman" w:cs="Times New Roman"/>
          <w:i/>
          <w:iCs/>
          <w:lang w:val="ro-RO"/>
        </w:rPr>
        <w:t xml:space="preserve">Implementarea mecanismelor </w:t>
      </w:r>
      <w:r w:rsidR="00176B1A" w:rsidRPr="00A73566">
        <w:rPr>
          <w:rFonts w:ascii="Times New Roman" w:hAnsi="Times New Roman" w:cs="Times New Roman"/>
          <w:i/>
          <w:iCs/>
          <w:lang w:val="ro-RO"/>
        </w:rPr>
        <w:t>neutralității degradării terenurilor agricole prin intermediul practicilor agricole prietenoase mediului înconjurător</w:t>
      </w:r>
    </w:p>
    <w:p w14:paraId="2102AB03" w14:textId="1EA4CDC2" w:rsidR="00176B1A" w:rsidRPr="00A73566" w:rsidRDefault="00176B1A" w:rsidP="00A45DFD">
      <w:pPr>
        <w:spacing w:after="0"/>
        <w:ind w:firstLine="567"/>
        <w:rPr>
          <w:rFonts w:ascii="Times New Roman" w:hAnsi="Times New Roman" w:cs="Times New Roman"/>
          <w:lang w:val="ro-RO"/>
        </w:rPr>
      </w:pPr>
      <w:r w:rsidRPr="00A73566">
        <w:rPr>
          <w:rFonts w:ascii="Times New Roman" w:hAnsi="Times New Roman" w:cs="Times New Roman"/>
          <w:lang w:val="ro-RO"/>
        </w:rPr>
        <w:t>Necesitatea asigurării calității solului și gestionării corespunzătoare a acestuia rezonează cu o serie de obiective specifice pe termen mediu și lung stabilite de unele documente de politici sectoriale. Astfel, atât Strategia de mediu pentru anii 2014-2023, cât și Programul de îmbunătățirii funciare în scopul asigurării managementului durabil al resurselor de sol pentru anii 2021-2025 relevă un șir de măsuri ce se impun pentru prevenirea degradării solurilor, măsuri care însă nu au produs rezultatele scontate, procesul de degradare a terenurilor agricole progresând semnificativ.</w:t>
      </w:r>
    </w:p>
    <w:p w14:paraId="7E675945" w14:textId="3F54D992" w:rsidR="00176B1A" w:rsidRPr="00A73566" w:rsidRDefault="00176B1A" w:rsidP="00CF2F9D">
      <w:pPr>
        <w:spacing w:after="0"/>
        <w:rPr>
          <w:rFonts w:ascii="Times New Roman" w:hAnsi="Times New Roman" w:cs="Times New Roman"/>
          <w:lang w:val="ro-RO"/>
        </w:rPr>
      </w:pPr>
      <w:r w:rsidRPr="00A73566">
        <w:rPr>
          <w:rFonts w:ascii="Times New Roman" w:hAnsi="Times New Roman" w:cs="Times New Roman"/>
          <w:lang w:val="ro-RO"/>
        </w:rPr>
        <w:t>În context, devine și mai elocventă reconceptualizarea măsurilor de utilizare și de protecție a solului, dar și a celor de prevenire a degradării lui prin introducerea unor practici agricole inovative și inteligente, precum și a unui mecanism de gestionare integrată a resurselor naturale, a căror finalitate să rezide în atingerea neutralității degradării terenurilor în Republica Moldova.</w:t>
      </w:r>
    </w:p>
    <w:p w14:paraId="5DD89B55" w14:textId="76250129" w:rsidR="00176B1A" w:rsidRPr="00A73566" w:rsidRDefault="00C00703" w:rsidP="00CF2F9D">
      <w:pPr>
        <w:spacing w:after="0"/>
        <w:rPr>
          <w:rFonts w:ascii="Times New Roman" w:hAnsi="Times New Roman" w:cs="Times New Roman"/>
          <w:b/>
          <w:i/>
          <w:iCs/>
          <w:sz w:val="24"/>
          <w:szCs w:val="24"/>
          <w:lang w:val="ro-RO"/>
        </w:rPr>
      </w:pPr>
      <w:r w:rsidRPr="00A73566">
        <w:rPr>
          <w:rFonts w:ascii="Times New Roman" w:hAnsi="Times New Roman" w:cs="Times New Roman"/>
          <w:lang w:val="ro-RO"/>
        </w:rPr>
        <w:t>În acest sens, pentru realizarea acestui obiectiv este necesară:</w:t>
      </w:r>
    </w:p>
    <w:p w14:paraId="59CC020A" w14:textId="5267D6EA" w:rsidR="00176B1A" w:rsidRPr="00A73566" w:rsidRDefault="00176B1A" w:rsidP="00CF2F9D">
      <w:pPr>
        <w:spacing w:before="120" w:after="0"/>
        <w:rPr>
          <w:rFonts w:ascii="Times New Roman" w:hAnsi="Times New Roman" w:cs="Times New Roman"/>
          <w:iCs/>
          <w:lang w:val="ro-RO"/>
        </w:rPr>
      </w:pPr>
      <w:r w:rsidRPr="00A73566">
        <w:rPr>
          <w:rFonts w:ascii="Times New Roman" w:hAnsi="Times New Roman" w:cs="Times New Roman"/>
          <w:iCs/>
          <w:lang w:val="ro-RO"/>
        </w:rPr>
        <w:t xml:space="preserve">1) Consolidarea cadrului normativ privind gestionarea integrată a resurselor naturale și </w:t>
      </w:r>
      <w:r w:rsidR="00CF2F9D" w:rsidRPr="00A73566">
        <w:rPr>
          <w:rFonts w:ascii="Times New Roman" w:hAnsi="Times New Roman" w:cs="Times New Roman"/>
          <w:iCs/>
          <w:lang w:val="ro-RO"/>
        </w:rPr>
        <w:t xml:space="preserve">de implementare a mecanismelor neutralității </w:t>
      </w:r>
      <w:r w:rsidR="00A45DFD">
        <w:rPr>
          <w:rFonts w:ascii="Times New Roman" w:hAnsi="Times New Roman" w:cs="Times New Roman"/>
          <w:iCs/>
          <w:lang w:val="ro-RO"/>
        </w:rPr>
        <w:t>degradării terenurilor agricole</w:t>
      </w:r>
      <w:r w:rsidRPr="00A73566">
        <w:rPr>
          <w:rFonts w:ascii="Times New Roman" w:hAnsi="Times New Roman" w:cs="Times New Roman"/>
          <w:iCs/>
          <w:lang w:val="ro-RO"/>
        </w:rPr>
        <w:t>, prin:</w:t>
      </w:r>
    </w:p>
    <w:p w14:paraId="43EB989E" w14:textId="79E926AC" w:rsidR="00C00703" w:rsidRPr="00A73566" w:rsidRDefault="00176B1A" w:rsidP="00A45DFD">
      <w:pPr>
        <w:spacing w:after="0"/>
        <w:ind w:left="709" w:hanging="283"/>
        <w:rPr>
          <w:rFonts w:ascii="Times New Roman" w:hAnsi="Times New Roman" w:cs="Times New Roman"/>
          <w:lang w:val="ro-RO"/>
        </w:rPr>
      </w:pPr>
      <w:r w:rsidRPr="00A73566">
        <w:rPr>
          <w:rFonts w:ascii="Times New Roman" w:hAnsi="Times New Roman" w:cs="Times New Roman"/>
          <w:lang w:val="ro-RO"/>
        </w:rPr>
        <w:t>a) evaluarea actelor normative existente în domeniul</w:t>
      </w:r>
      <w:r w:rsidR="00C00703" w:rsidRPr="00A73566">
        <w:rPr>
          <w:rFonts w:ascii="Times New Roman" w:hAnsi="Times New Roman" w:cs="Times New Roman"/>
          <w:lang w:val="ro-RO"/>
        </w:rPr>
        <w:t xml:space="preserve"> </w:t>
      </w:r>
      <w:r w:rsidRPr="00A73566">
        <w:rPr>
          <w:rFonts w:ascii="Times New Roman" w:hAnsi="Times New Roman" w:cs="Times New Roman"/>
          <w:lang w:val="ro-RO"/>
        </w:rPr>
        <w:t>gestionării durabile și protecție a solurilor</w:t>
      </w:r>
      <w:r w:rsidRPr="00A73566" w:rsidDel="00A51A37">
        <w:rPr>
          <w:rFonts w:ascii="Times New Roman" w:hAnsi="Times New Roman" w:cs="Times New Roman"/>
          <w:lang w:val="ro-RO"/>
        </w:rPr>
        <w:t xml:space="preserve"> </w:t>
      </w:r>
      <w:r w:rsidR="00C00703" w:rsidRPr="00A73566">
        <w:rPr>
          <w:rFonts w:ascii="Times New Roman" w:hAnsi="Times New Roman" w:cs="Times New Roman"/>
          <w:lang w:val="ro-RO"/>
        </w:rPr>
        <w:t xml:space="preserve">din perspectiva </w:t>
      </w:r>
      <w:r w:rsidRPr="00A73566">
        <w:rPr>
          <w:rFonts w:ascii="Times New Roman" w:hAnsi="Times New Roman" w:cs="Times New Roman"/>
          <w:lang w:val="ro-RO"/>
        </w:rPr>
        <w:t>relevanț</w:t>
      </w:r>
      <w:r w:rsidR="00C00703" w:rsidRPr="00A73566">
        <w:rPr>
          <w:rFonts w:ascii="Times New Roman" w:hAnsi="Times New Roman" w:cs="Times New Roman"/>
          <w:lang w:val="ro-RO"/>
        </w:rPr>
        <w:t>ei</w:t>
      </w:r>
      <w:r w:rsidRPr="00A73566">
        <w:rPr>
          <w:rFonts w:ascii="Times New Roman" w:hAnsi="Times New Roman" w:cs="Times New Roman"/>
          <w:lang w:val="ro-RO"/>
        </w:rPr>
        <w:t xml:space="preserve"> și coerenț</w:t>
      </w:r>
      <w:r w:rsidR="00C00703" w:rsidRPr="00A73566">
        <w:rPr>
          <w:rFonts w:ascii="Times New Roman" w:hAnsi="Times New Roman" w:cs="Times New Roman"/>
          <w:lang w:val="ro-RO"/>
        </w:rPr>
        <w:t>ei</w:t>
      </w:r>
      <w:r w:rsidRPr="00A73566">
        <w:rPr>
          <w:rFonts w:ascii="Times New Roman" w:hAnsi="Times New Roman" w:cs="Times New Roman"/>
          <w:lang w:val="ro-RO"/>
        </w:rPr>
        <w:t xml:space="preserve"> actelor</w:t>
      </w:r>
      <w:r w:rsidR="00C00703" w:rsidRPr="00A73566">
        <w:rPr>
          <w:rFonts w:ascii="Times New Roman" w:hAnsi="Times New Roman" w:cs="Times New Roman"/>
          <w:lang w:val="ro-RO"/>
        </w:rPr>
        <w:t>,</w:t>
      </w:r>
      <w:r w:rsidRPr="00A73566">
        <w:rPr>
          <w:rFonts w:ascii="Times New Roman" w:hAnsi="Times New Roman" w:cs="Times New Roman"/>
          <w:lang w:val="ro-RO"/>
        </w:rPr>
        <w:t xml:space="preserve"> precum și </w:t>
      </w:r>
      <w:r w:rsidR="00C00703" w:rsidRPr="00A73566">
        <w:rPr>
          <w:rFonts w:ascii="Times New Roman" w:hAnsi="Times New Roman" w:cs="Times New Roman"/>
          <w:lang w:val="ro-RO"/>
        </w:rPr>
        <w:t xml:space="preserve">a </w:t>
      </w:r>
      <w:r w:rsidRPr="00A73566">
        <w:rPr>
          <w:rFonts w:ascii="Times New Roman" w:hAnsi="Times New Roman" w:cs="Times New Roman"/>
          <w:lang w:val="ro-RO"/>
        </w:rPr>
        <w:t>existenț</w:t>
      </w:r>
      <w:r w:rsidR="00C00703" w:rsidRPr="00A73566">
        <w:rPr>
          <w:rFonts w:ascii="Times New Roman" w:hAnsi="Times New Roman" w:cs="Times New Roman"/>
          <w:lang w:val="ro-RO"/>
        </w:rPr>
        <w:t>ei</w:t>
      </w:r>
      <w:r w:rsidRPr="00A73566">
        <w:rPr>
          <w:rFonts w:ascii="Times New Roman" w:hAnsi="Times New Roman" w:cs="Times New Roman"/>
          <w:lang w:val="ro-RO"/>
        </w:rPr>
        <w:t xml:space="preserve"> mecanismelor pentru implementarea efectivă și eficientă a acestora; </w:t>
      </w:r>
    </w:p>
    <w:p w14:paraId="2FC51D04" w14:textId="1351E06A" w:rsidR="00176B1A" w:rsidRPr="00A73566" w:rsidRDefault="00176B1A" w:rsidP="00A45DFD">
      <w:pPr>
        <w:spacing w:after="0"/>
        <w:ind w:left="709" w:hanging="283"/>
        <w:rPr>
          <w:rFonts w:ascii="Times New Roman" w:hAnsi="Times New Roman" w:cs="Times New Roman"/>
          <w:lang w:val="ro-RO"/>
        </w:rPr>
      </w:pPr>
      <w:r w:rsidRPr="00A73566">
        <w:rPr>
          <w:rFonts w:ascii="Times New Roman" w:hAnsi="Times New Roman" w:cs="Times New Roman"/>
          <w:lang w:val="ro-RO"/>
        </w:rPr>
        <w:t xml:space="preserve">b) introducerea abordării de atingere a neutralității degradării terenurilor în </w:t>
      </w:r>
      <w:r w:rsidR="00C00703" w:rsidRPr="00A73566">
        <w:rPr>
          <w:rFonts w:ascii="Times New Roman" w:hAnsi="Times New Roman" w:cs="Times New Roman"/>
          <w:lang w:val="ro-RO"/>
        </w:rPr>
        <w:t xml:space="preserve">documentele de </w:t>
      </w:r>
      <w:r w:rsidRPr="00A73566">
        <w:rPr>
          <w:rFonts w:ascii="Times New Roman" w:hAnsi="Times New Roman" w:cs="Times New Roman"/>
          <w:lang w:val="ro-RO"/>
        </w:rPr>
        <w:t xml:space="preserve">politici sectoriale; </w:t>
      </w:r>
    </w:p>
    <w:p w14:paraId="15B5FA67" w14:textId="6B1D80DD" w:rsidR="00176B1A" w:rsidRPr="00A73566" w:rsidRDefault="00242819" w:rsidP="00A45DFD">
      <w:pPr>
        <w:spacing w:after="0"/>
        <w:ind w:left="709" w:hanging="283"/>
        <w:rPr>
          <w:rFonts w:ascii="Times New Roman" w:hAnsi="Times New Roman" w:cs="Times New Roman"/>
          <w:lang w:val="ro-RO"/>
        </w:rPr>
      </w:pPr>
      <w:r w:rsidRPr="00A73566">
        <w:rPr>
          <w:rFonts w:ascii="Times New Roman" w:hAnsi="Times New Roman" w:cs="Times New Roman"/>
          <w:lang w:val="ro-RO"/>
        </w:rPr>
        <w:t>c</w:t>
      </w:r>
      <w:r w:rsidR="00176B1A" w:rsidRPr="00A73566">
        <w:rPr>
          <w:rFonts w:ascii="Times New Roman" w:hAnsi="Times New Roman" w:cs="Times New Roman"/>
          <w:lang w:val="ro-RO"/>
        </w:rPr>
        <w:t xml:space="preserve">) evaluarea și revizuirea măsurilor restrictive de prevenire și combatere a degradării solurilor în vederea respectării standardelor naționale și internaționale privind </w:t>
      </w:r>
      <w:r w:rsidR="00261E65" w:rsidRPr="00A73566">
        <w:rPr>
          <w:rFonts w:ascii="Times New Roman" w:hAnsi="Times New Roman" w:cs="Times New Roman"/>
          <w:lang w:val="ro-RO"/>
        </w:rPr>
        <w:t xml:space="preserve">atingerea </w:t>
      </w:r>
      <w:r w:rsidR="00176B1A" w:rsidRPr="00A73566">
        <w:rPr>
          <w:rFonts w:ascii="Times New Roman" w:hAnsi="Times New Roman" w:cs="Times New Roman"/>
          <w:lang w:val="ro-RO"/>
        </w:rPr>
        <w:t>neutralit</w:t>
      </w:r>
      <w:r w:rsidR="00261E65" w:rsidRPr="00A73566">
        <w:rPr>
          <w:rFonts w:ascii="Times New Roman" w:hAnsi="Times New Roman" w:cs="Times New Roman"/>
          <w:lang w:val="ro-RO"/>
        </w:rPr>
        <w:t xml:space="preserve">ății </w:t>
      </w:r>
      <w:r w:rsidR="00176B1A" w:rsidRPr="00A73566">
        <w:rPr>
          <w:rFonts w:ascii="Times New Roman" w:hAnsi="Times New Roman" w:cs="Times New Roman"/>
          <w:lang w:val="ro-RO"/>
        </w:rPr>
        <w:t>degradării</w:t>
      </w:r>
      <w:r w:rsidR="00261E65" w:rsidRPr="00A73566">
        <w:rPr>
          <w:rFonts w:ascii="Times New Roman" w:hAnsi="Times New Roman" w:cs="Times New Roman"/>
          <w:lang w:val="ro-RO"/>
        </w:rPr>
        <w:t xml:space="preserve"> terenurilor agricole</w:t>
      </w:r>
      <w:r w:rsidR="00176B1A" w:rsidRPr="00A73566">
        <w:rPr>
          <w:rFonts w:ascii="Times New Roman" w:hAnsi="Times New Roman" w:cs="Times New Roman"/>
          <w:lang w:val="ro-RO"/>
        </w:rPr>
        <w:t xml:space="preserve">. </w:t>
      </w:r>
    </w:p>
    <w:p w14:paraId="0F0EAE09" w14:textId="65E59A70" w:rsidR="00176B1A" w:rsidRPr="00A73566" w:rsidRDefault="00176B1A" w:rsidP="00CF2F9D">
      <w:pPr>
        <w:spacing w:after="0"/>
        <w:rPr>
          <w:rFonts w:ascii="Times New Roman" w:hAnsi="Times New Roman" w:cs="Times New Roman"/>
          <w:lang w:val="ro-RO"/>
        </w:rPr>
      </w:pPr>
      <w:r w:rsidRPr="00A73566">
        <w:rPr>
          <w:rFonts w:ascii="Times New Roman" w:hAnsi="Times New Roman" w:cs="Times New Roman"/>
          <w:lang w:val="ro-RO"/>
        </w:rPr>
        <w:t xml:space="preserve">2) Consolidarea capacităților instituțiilor responsabile de </w:t>
      </w:r>
      <w:r w:rsidR="00CF2F9D" w:rsidRPr="00A73566">
        <w:rPr>
          <w:rFonts w:ascii="Times New Roman" w:hAnsi="Times New Roman" w:cs="Times New Roman"/>
          <w:lang w:val="ro-RO"/>
        </w:rPr>
        <w:t>implementarea mecanismelor pentru atingerea neutralității degradării terenurilor agricole</w:t>
      </w:r>
      <w:r w:rsidRPr="00A73566">
        <w:rPr>
          <w:rFonts w:ascii="Times New Roman" w:hAnsi="Times New Roman" w:cs="Times New Roman"/>
          <w:lang w:val="ro-RO"/>
        </w:rPr>
        <w:t>, realizând:</w:t>
      </w:r>
    </w:p>
    <w:p w14:paraId="413750AF" w14:textId="479E64BA" w:rsidR="00176B1A" w:rsidRPr="00A73566" w:rsidRDefault="00176B1A"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 xml:space="preserve">a) </w:t>
      </w:r>
      <w:r w:rsidR="00261E65" w:rsidRPr="00A73566">
        <w:rPr>
          <w:rFonts w:ascii="Times New Roman" w:hAnsi="Times New Roman" w:cs="Times New Roman"/>
          <w:iCs/>
          <w:lang w:val="ro-RO"/>
        </w:rPr>
        <w:t xml:space="preserve">creșterea </w:t>
      </w:r>
      <w:r w:rsidRPr="00A73566">
        <w:rPr>
          <w:rFonts w:ascii="Times New Roman" w:hAnsi="Times New Roman" w:cs="Times New Roman"/>
          <w:iCs/>
          <w:lang w:val="ro-RO"/>
        </w:rPr>
        <w:t>capacităților Ministerului Agriculturii și Industriei Alimentare precum și a instituțiilor din subordine privind gestionarea domeniului de prevenire și combatere a degradării solurilor;</w:t>
      </w:r>
    </w:p>
    <w:p w14:paraId="021F1E82" w14:textId="0255E52E" w:rsidR="00176B1A" w:rsidRPr="00A73566" w:rsidRDefault="00176B1A"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b) fortificarea cooperării interinstituționale ale autorităților publice relevante și anume colaborarea dintre Ministerul Agriculturii și Industriei Alimentare</w:t>
      </w:r>
      <w:r w:rsidR="002E5BA2">
        <w:rPr>
          <w:rFonts w:ascii="Times New Roman" w:hAnsi="Times New Roman" w:cs="Times New Roman"/>
          <w:iCs/>
          <w:lang w:val="ro-RO"/>
        </w:rPr>
        <w:t>, Ministerul Mediului, Agenția „</w:t>
      </w:r>
      <w:r w:rsidRPr="00A73566">
        <w:rPr>
          <w:rFonts w:ascii="Times New Roman" w:hAnsi="Times New Roman" w:cs="Times New Roman"/>
          <w:iCs/>
          <w:lang w:val="ro-RO"/>
        </w:rPr>
        <w:t>Moldsilva”,  în vederea armonizării eforturilor de atingere a neutralității degradării terenurilor și realizării în comun a unor măsuri sustenabile și bine articulate în acest sens, inclusiv prin crearea grupurilor de lucru sectoriale;</w:t>
      </w:r>
    </w:p>
    <w:p w14:paraId="0DA81973" w14:textId="170DE007" w:rsidR="00176B1A" w:rsidRPr="00A73566" w:rsidRDefault="00242819"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c</w:t>
      </w:r>
      <w:r w:rsidR="00176B1A" w:rsidRPr="00A73566">
        <w:rPr>
          <w:rFonts w:ascii="Times New Roman" w:hAnsi="Times New Roman" w:cs="Times New Roman"/>
          <w:iCs/>
          <w:lang w:val="ro-RO"/>
        </w:rPr>
        <w:t>) creșterea gradului de conștientizare a producătorilor agricoli cu privire la necesitatea  managementului integrat și durabil al terenurilor pentru a preveni și stopa degradarea lui, prin intermediul unor campanii de promovare continue.</w:t>
      </w:r>
    </w:p>
    <w:p w14:paraId="63340883" w14:textId="75018CC2" w:rsidR="00176B1A" w:rsidRPr="00A73566" w:rsidRDefault="00176B1A" w:rsidP="00CF2F9D">
      <w:pPr>
        <w:spacing w:after="0"/>
        <w:rPr>
          <w:rFonts w:ascii="Times New Roman" w:hAnsi="Times New Roman" w:cs="Times New Roman"/>
          <w:lang w:val="ro-RO"/>
        </w:rPr>
      </w:pPr>
      <w:r w:rsidRPr="00A73566">
        <w:rPr>
          <w:rFonts w:ascii="Times New Roman" w:hAnsi="Times New Roman" w:cs="Times New Roman"/>
          <w:lang w:val="ro-RO"/>
        </w:rPr>
        <w:t xml:space="preserve">3) Îmbunătățirea procesului de monitorizare a calității solului, inclusiv prin prisma </w:t>
      </w:r>
      <w:r w:rsidR="00CF2F9D" w:rsidRPr="00A73566">
        <w:rPr>
          <w:rFonts w:ascii="Times New Roman" w:hAnsi="Times New Roman" w:cs="Times New Roman"/>
          <w:lang w:val="ro-RO"/>
        </w:rPr>
        <w:t>implementării mecanismelor pentru atingerea neutralității degradării terenurilor agricole</w:t>
      </w:r>
      <w:r w:rsidRPr="00A73566">
        <w:rPr>
          <w:rFonts w:ascii="Times New Roman" w:hAnsi="Times New Roman" w:cs="Times New Roman"/>
          <w:lang w:val="ro-RO"/>
        </w:rPr>
        <w:t>, realizat prin:</w:t>
      </w:r>
    </w:p>
    <w:p w14:paraId="5E378046" w14:textId="5781DABF" w:rsidR="00176B1A" w:rsidRPr="00A73566" w:rsidRDefault="00176B1A"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 xml:space="preserve">a) </w:t>
      </w:r>
      <w:r w:rsidR="00CF2F9D" w:rsidRPr="00A73566">
        <w:rPr>
          <w:rFonts w:ascii="Times New Roman" w:hAnsi="Times New Roman" w:cs="Times New Roman"/>
          <w:iCs/>
          <w:lang w:val="ro-RO"/>
        </w:rPr>
        <w:t xml:space="preserve">inițierea și dezvoltarea procesului de cartografiere a </w:t>
      </w:r>
      <w:r w:rsidRPr="00A73566">
        <w:rPr>
          <w:rFonts w:ascii="Times New Roman" w:hAnsi="Times New Roman" w:cs="Times New Roman"/>
          <w:iCs/>
          <w:lang w:val="ro-RO"/>
        </w:rPr>
        <w:t>terenurilor agricole, utilizând noile tehnologii, în vederea colectării de date relevante și precise cu privire la starea și calitatea lor;</w:t>
      </w:r>
    </w:p>
    <w:p w14:paraId="1240F2D8" w14:textId="77777777" w:rsidR="00176B1A" w:rsidRPr="00A73566" w:rsidRDefault="00176B1A"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b) elaborarea și implementarea unui sistem modern de monitorizare a calității solului, care va furniza informații pertinente cu privire la locația terenurilor agricole degradate, tipurile de degradare, precum și suprafața acestora, reoferindu-se și la indicatorii neutralității degradării terenurilor - acoperirea solului, productivitatea lui și stocurile de carbon;</w:t>
      </w:r>
    </w:p>
    <w:p w14:paraId="60B11425" w14:textId="0B393704" w:rsidR="00176B1A" w:rsidRPr="00A73566" w:rsidRDefault="00176B1A" w:rsidP="00A45DFD">
      <w:pPr>
        <w:spacing w:after="0"/>
        <w:ind w:left="709" w:hanging="283"/>
        <w:rPr>
          <w:rFonts w:ascii="Times New Roman" w:hAnsi="Times New Roman"/>
          <w:lang w:val="ro-RO"/>
        </w:rPr>
      </w:pPr>
      <w:r w:rsidRPr="00A73566">
        <w:rPr>
          <w:rFonts w:ascii="Times New Roman" w:hAnsi="Times New Roman" w:cs="Times New Roman"/>
          <w:iCs/>
          <w:lang w:val="ro-RO"/>
        </w:rPr>
        <w:t>c</w:t>
      </w:r>
      <w:r w:rsidR="00261E65" w:rsidRPr="00A73566">
        <w:rPr>
          <w:rFonts w:ascii="Times New Roman" w:hAnsi="Times New Roman" w:cs="Times New Roman"/>
          <w:iCs/>
          <w:lang w:val="ro-RO"/>
        </w:rPr>
        <w:t>)</w:t>
      </w:r>
      <w:r w:rsidRPr="00A73566">
        <w:rPr>
          <w:rFonts w:ascii="Times New Roman" w:hAnsi="Times New Roman" w:cs="Times New Roman"/>
          <w:iCs/>
          <w:lang w:val="ro-RO"/>
        </w:rPr>
        <w:t xml:space="preserve"> </w:t>
      </w:r>
      <w:r w:rsidRPr="00A73566">
        <w:rPr>
          <w:rFonts w:ascii="Times New Roman" w:hAnsi="Times New Roman"/>
          <w:lang w:val="ro-RO"/>
        </w:rPr>
        <w:t>identificarea factorilor limitativi și celor de risc pentru fiecare tip de sol la nivel de micro zonă cu precizarea și stabilirea pretabilității terenurilor la diferite sisteme tehnologice (convențional, conservativ, organic, etc.);</w:t>
      </w:r>
    </w:p>
    <w:p w14:paraId="045EBAD1" w14:textId="2BB1BD5C" w:rsidR="00176B1A" w:rsidRPr="00A73566" w:rsidRDefault="00176B1A" w:rsidP="00A45DFD">
      <w:pPr>
        <w:spacing w:after="0"/>
        <w:ind w:left="709" w:hanging="283"/>
        <w:rPr>
          <w:rFonts w:ascii="Times New Roman" w:hAnsi="Times New Roman" w:cs="Times New Roman"/>
          <w:iCs/>
          <w:lang w:val="ro-RO"/>
        </w:rPr>
      </w:pPr>
      <w:r w:rsidRPr="00A73566">
        <w:rPr>
          <w:rFonts w:ascii="Times New Roman" w:hAnsi="Times New Roman"/>
          <w:lang w:val="ro-RO"/>
        </w:rPr>
        <w:t>d) stabilirea</w:t>
      </w:r>
      <w:r w:rsidR="00261E65" w:rsidRPr="00A73566">
        <w:rPr>
          <w:rFonts w:ascii="Times New Roman" w:hAnsi="Times New Roman"/>
          <w:lang w:val="ro-RO"/>
        </w:rPr>
        <w:t xml:space="preserve"> </w:t>
      </w:r>
      <w:r w:rsidRPr="00A73566">
        <w:rPr>
          <w:rFonts w:ascii="Times New Roman" w:hAnsi="Times New Roman"/>
          <w:lang w:val="ro-RO"/>
        </w:rPr>
        <w:t>măsurilor complexe pe termen scurt și mediu de prognozare și prevenire a unor noi factori limitativi, inclusiv stimulente financiare prin intermediul FNDAMR la cultivarea culturilor protectoare, leguminoase pentru boabe, furajere și ierburilor perene;</w:t>
      </w:r>
    </w:p>
    <w:p w14:paraId="4131A291" w14:textId="77777777" w:rsidR="00176B1A" w:rsidRDefault="00176B1A" w:rsidP="00A45DFD">
      <w:pPr>
        <w:spacing w:after="0"/>
        <w:ind w:left="709" w:hanging="283"/>
        <w:rPr>
          <w:rFonts w:ascii="Times New Roman" w:hAnsi="Times New Roman" w:cs="Times New Roman"/>
          <w:iCs/>
          <w:lang w:val="ro-RO"/>
        </w:rPr>
      </w:pPr>
      <w:r w:rsidRPr="00A73566">
        <w:rPr>
          <w:rFonts w:ascii="Times New Roman" w:hAnsi="Times New Roman" w:cs="Times New Roman"/>
          <w:iCs/>
          <w:lang w:val="ro-RO"/>
        </w:rPr>
        <w:t xml:space="preserve">e) evaluarea și consolidarea capacităților instituționale curente și necesare în ceea ce privește monitorizarea calității solului. </w:t>
      </w:r>
    </w:p>
    <w:p w14:paraId="693DDFFF" w14:textId="77777777" w:rsidR="00A45DFD" w:rsidRPr="00A73566" w:rsidRDefault="00A45DFD" w:rsidP="00A45DFD">
      <w:pPr>
        <w:spacing w:after="0"/>
        <w:ind w:left="709" w:hanging="283"/>
        <w:rPr>
          <w:rFonts w:ascii="Times New Roman" w:hAnsi="Times New Roman" w:cs="Times New Roman"/>
          <w:iCs/>
          <w:lang w:val="ro-RO"/>
        </w:rPr>
      </w:pPr>
    </w:p>
    <w:p w14:paraId="642A10BF" w14:textId="1F89B050" w:rsidR="001E0A0D" w:rsidRPr="00A73566" w:rsidRDefault="00176B1A" w:rsidP="001E0A0D">
      <w:pPr>
        <w:rPr>
          <w:rFonts w:ascii="Times New Roman" w:hAnsi="Times New Roman" w:cs="Times New Roman"/>
          <w:i/>
          <w:iCs/>
          <w:lang w:val="ro-RO"/>
        </w:rPr>
      </w:pPr>
      <w:r w:rsidRPr="00A73566">
        <w:rPr>
          <w:rFonts w:ascii="Times New Roman" w:hAnsi="Times New Roman" w:cs="Times New Roman"/>
          <w:i/>
          <w:iCs/>
          <w:lang w:val="ro-RO"/>
        </w:rPr>
        <w:t xml:space="preserve">1.5. </w:t>
      </w:r>
      <w:r w:rsidR="001E0A0D" w:rsidRPr="00A73566">
        <w:rPr>
          <w:rFonts w:ascii="Times New Roman" w:hAnsi="Times New Roman" w:cs="Times New Roman"/>
          <w:i/>
          <w:iCs/>
          <w:lang w:val="ro-RO"/>
        </w:rPr>
        <w:t>Promovarea și dezvoltarea agriculturii ecologice</w:t>
      </w:r>
    </w:p>
    <w:p w14:paraId="3CD14FE5" w14:textId="4A867675" w:rsidR="001E0A0D" w:rsidRPr="00A73566" w:rsidRDefault="001E0A0D" w:rsidP="00A45DFD">
      <w:pPr>
        <w:ind w:firstLine="567"/>
        <w:rPr>
          <w:rFonts w:ascii="Times New Roman" w:hAnsi="Times New Roman" w:cs="Times New Roman"/>
          <w:lang w:val="ro-RO"/>
        </w:rPr>
      </w:pPr>
      <w:r w:rsidRPr="00A73566">
        <w:rPr>
          <w:rFonts w:ascii="Times New Roman" w:hAnsi="Times New Roman" w:cs="Times New Roman"/>
          <w:lang w:val="ro-RO"/>
        </w:rPr>
        <w:t xml:space="preserve">În continuarea eforturilor </w:t>
      </w:r>
      <w:r w:rsidR="00FE2B26" w:rsidRPr="00A73566">
        <w:rPr>
          <w:rFonts w:ascii="Times New Roman" w:hAnsi="Times New Roman" w:cs="Times New Roman"/>
          <w:lang w:val="ro-RO"/>
        </w:rPr>
        <w:t xml:space="preserve"> de</w:t>
      </w:r>
      <w:r w:rsidRPr="00A73566">
        <w:rPr>
          <w:rFonts w:ascii="Times New Roman" w:hAnsi="Times New Roman" w:cs="Times New Roman"/>
          <w:lang w:val="ro-RO"/>
        </w:rPr>
        <w:t xml:space="preserve"> consolidare</w:t>
      </w:r>
      <w:r w:rsidR="00FE2B26" w:rsidRPr="00A73566">
        <w:rPr>
          <w:rFonts w:ascii="Times New Roman" w:hAnsi="Times New Roman" w:cs="Times New Roman"/>
          <w:lang w:val="ro-RO"/>
        </w:rPr>
        <w:t xml:space="preserve"> </w:t>
      </w:r>
      <w:r w:rsidRPr="00A73566">
        <w:rPr>
          <w:rFonts w:ascii="Times New Roman" w:hAnsi="Times New Roman" w:cs="Times New Roman"/>
          <w:lang w:val="ro-RO"/>
        </w:rPr>
        <w:t xml:space="preserve">a </w:t>
      </w:r>
      <w:r w:rsidR="00DD2326" w:rsidRPr="00A73566">
        <w:rPr>
          <w:rFonts w:ascii="Times New Roman" w:hAnsi="Times New Roman" w:cs="Times New Roman"/>
          <w:lang w:val="ro-RO"/>
        </w:rPr>
        <w:t xml:space="preserve">sectorului </w:t>
      </w:r>
      <w:r w:rsidRPr="00A73566">
        <w:rPr>
          <w:rFonts w:ascii="Times New Roman" w:hAnsi="Times New Roman" w:cs="Times New Roman"/>
          <w:lang w:val="ro-RO"/>
        </w:rPr>
        <w:t xml:space="preserve">agriculturii ecologice, va fi implementat un set de măsuri </w:t>
      </w:r>
      <w:r w:rsidR="00FE2B26" w:rsidRPr="00A73566">
        <w:rPr>
          <w:rFonts w:ascii="Times New Roman" w:hAnsi="Times New Roman" w:cs="Times New Roman"/>
          <w:lang w:val="ro-RO"/>
        </w:rPr>
        <w:t>având</w:t>
      </w:r>
      <w:r w:rsidRPr="00A73566">
        <w:rPr>
          <w:rFonts w:ascii="Times New Roman" w:hAnsi="Times New Roman" w:cs="Times New Roman"/>
          <w:lang w:val="ro-RO"/>
        </w:rPr>
        <w:t xml:space="preserve"> ca prim scop ecologizarea, reducerea aportului chimic în practicile agricole, precum și reglementarea activității agricole</w:t>
      </w:r>
      <w:r w:rsidR="00DD2326" w:rsidRPr="00A73566">
        <w:rPr>
          <w:rFonts w:ascii="Times New Roman" w:hAnsi="Times New Roman" w:cs="Times New Roman"/>
          <w:lang w:val="ro-RO"/>
        </w:rPr>
        <w:t>.</w:t>
      </w:r>
      <w:r w:rsidR="003C76E2" w:rsidRPr="00A73566">
        <w:rPr>
          <w:rFonts w:ascii="Times New Roman" w:hAnsi="Times New Roman" w:cs="Times New Roman"/>
          <w:lang w:val="ro-RO"/>
        </w:rPr>
        <w:t xml:space="preserve"> </w:t>
      </w:r>
      <w:r w:rsidR="00914B93" w:rsidRPr="00A73566">
        <w:rPr>
          <w:rFonts w:ascii="Times New Roman" w:hAnsi="Times New Roman" w:cs="Times New Roman"/>
          <w:lang w:val="ro-RO"/>
        </w:rPr>
        <w:t xml:space="preserve">În acest </w:t>
      </w:r>
      <w:r w:rsidR="00E91020" w:rsidRPr="00A73566">
        <w:rPr>
          <w:rFonts w:ascii="Times New Roman" w:hAnsi="Times New Roman" w:cs="Times New Roman"/>
          <w:lang w:val="ro-RO"/>
        </w:rPr>
        <w:t>sens</w:t>
      </w:r>
      <w:r w:rsidR="00726E1E" w:rsidRPr="00A73566">
        <w:rPr>
          <w:rFonts w:ascii="Times New Roman" w:hAnsi="Times New Roman" w:cs="Times New Roman"/>
          <w:lang w:val="ro-RO"/>
        </w:rPr>
        <w:t>,</w:t>
      </w:r>
      <w:r w:rsidR="00E91020" w:rsidRPr="00A73566">
        <w:rPr>
          <w:rFonts w:ascii="Times New Roman" w:hAnsi="Times New Roman" w:cs="Times New Roman"/>
          <w:lang w:val="ro-RO"/>
        </w:rPr>
        <w:t xml:space="preserve"> va fi</w:t>
      </w:r>
      <w:r w:rsidR="00914B93" w:rsidRPr="00A73566">
        <w:rPr>
          <w:rFonts w:ascii="Times New Roman" w:hAnsi="Times New Roman" w:cs="Times New Roman"/>
          <w:lang w:val="ro-RO"/>
        </w:rPr>
        <w:t xml:space="preserve"> ajusta</w:t>
      </w:r>
      <w:r w:rsidR="00E91020" w:rsidRPr="00A73566">
        <w:rPr>
          <w:rFonts w:ascii="Times New Roman" w:hAnsi="Times New Roman" w:cs="Times New Roman"/>
          <w:lang w:val="ro-RO"/>
        </w:rPr>
        <w:t>t</w:t>
      </w:r>
      <w:r w:rsidR="00914B93" w:rsidRPr="00A73566">
        <w:rPr>
          <w:rFonts w:ascii="Times New Roman" w:hAnsi="Times New Roman" w:cs="Times New Roman"/>
          <w:lang w:val="ro-RO"/>
        </w:rPr>
        <w:t xml:space="preserve"> </w:t>
      </w:r>
      <w:r w:rsidR="003C76E2" w:rsidRPr="00A73566">
        <w:rPr>
          <w:rFonts w:ascii="Times New Roman" w:hAnsi="Times New Roman" w:cs="Times New Roman"/>
          <w:lang w:val="ro-RO"/>
        </w:rPr>
        <w:t xml:space="preserve">cadrul legal </w:t>
      </w:r>
      <w:r w:rsidR="00516E53" w:rsidRPr="00A73566">
        <w:rPr>
          <w:rFonts w:ascii="Times New Roman" w:hAnsi="Times New Roman" w:cs="Times New Roman"/>
          <w:lang w:val="ro-RO"/>
        </w:rPr>
        <w:t>pe segmentul agriculturii ecologice</w:t>
      </w:r>
      <w:r w:rsidR="00726E1E" w:rsidRPr="00A73566">
        <w:rPr>
          <w:rFonts w:ascii="Times New Roman" w:hAnsi="Times New Roman" w:cs="Times New Roman"/>
          <w:lang w:val="ro-RO"/>
        </w:rPr>
        <w:t>,</w:t>
      </w:r>
      <w:r w:rsidR="00F41CCF" w:rsidRPr="00A73566">
        <w:rPr>
          <w:rFonts w:ascii="Times New Roman" w:hAnsi="Times New Roman" w:cs="Times New Roman"/>
          <w:lang w:val="ro-RO"/>
        </w:rPr>
        <w:t xml:space="preserve"> prin implementarea A</w:t>
      </w:r>
      <w:r w:rsidR="004060BA" w:rsidRPr="00A73566">
        <w:rPr>
          <w:rFonts w:ascii="Times New Roman" w:hAnsi="Times New Roman" w:cs="Times New Roman"/>
          <w:lang w:val="ro-RO"/>
        </w:rPr>
        <w:t>c</w:t>
      </w:r>
      <w:r w:rsidR="00F41CCF" w:rsidRPr="00A73566">
        <w:rPr>
          <w:rFonts w:ascii="Times New Roman" w:hAnsi="Times New Roman" w:cs="Times New Roman"/>
          <w:lang w:val="ro-RO"/>
        </w:rPr>
        <w:t>quis-ului european</w:t>
      </w:r>
      <w:r w:rsidR="00726E1E" w:rsidRPr="00A73566">
        <w:rPr>
          <w:rFonts w:ascii="Times New Roman" w:hAnsi="Times New Roman" w:cs="Times New Roman"/>
          <w:lang w:val="ro-RO"/>
        </w:rPr>
        <w:t>. De asemenea</w:t>
      </w:r>
      <w:r w:rsidR="00516E53" w:rsidRPr="00A73566">
        <w:rPr>
          <w:rFonts w:ascii="Times New Roman" w:hAnsi="Times New Roman" w:cs="Times New Roman"/>
          <w:lang w:val="ro-RO"/>
        </w:rPr>
        <w:t xml:space="preserve">, </w:t>
      </w:r>
      <w:r w:rsidR="00E91020" w:rsidRPr="00A73566">
        <w:rPr>
          <w:rFonts w:ascii="Times New Roman" w:hAnsi="Times New Roman" w:cs="Times New Roman"/>
          <w:lang w:val="ro-RO"/>
        </w:rPr>
        <w:t>vor fi întreprinse acțiuni privind</w:t>
      </w:r>
      <w:r w:rsidR="00914B93" w:rsidRPr="00A73566">
        <w:rPr>
          <w:rFonts w:ascii="Times New Roman" w:hAnsi="Times New Roman" w:cs="Times New Roman"/>
          <w:lang w:val="ro-RO"/>
        </w:rPr>
        <w:t xml:space="preserve"> r</w:t>
      </w:r>
      <w:r w:rsidR="00516E53" w:rsidRPr="00A73566">
        <w:rPr>
          <w:rFonts w:ascii="Times New Roman" w:hAnsi="Times New Roman" w:cs="Times New Roman"/>
          <w:lang w:val="ro-RO"/>
        </w:rPr>
        <w:t xml:space="preserve">ecunoașterea organismelor de certificare internaționale </w:t>
      </w:r>
      <w:r w:rsidR="00F41CCF" w:rsidRPr="00A73566">
        <w:rPr>
          <w:rFonts w:ascii="Times New Roman" w:hAnsi="Times New Roman" w:cs="Times New Roman"/>
          <w:lang w:val="ro-RO"/>
        </w:rPr>
        <w:t xml:space="preserve">la nivel național </w:t>
      </w:r>
      <w:r w:rsidR="004060BA" w:rsidRPr="00A73566">
        <w:rPr>
          <w:rFonts w:ascii="Times New Roman" w:hAnsi="Times New Roman" w:cs="Times New Roman"/>
          <w:lang w:val="ro-RO"/>
        </w:rPr>
        <w:t xml:space="preserve">precum </w:t>
      </w:r>
      <w:r w:rsidR="00F41CCF" w:rsidRPr="00A73566">
        <w:rPr>
          <w:rFonts w:ascii="Times New Roman" w:hAnsi="Times New Roman" w:cs="Times New Roman"/>
          <w:lang w:val="ro-RO"/>
        </w:rPr>
        <w:t xml:space="preserve">si </w:t>
      </w:r>
      <w:r w:rsidR="004060BA" w:rsidRPr="00A73566">
        <w:rPr>
          <w:rFonts w:ascii="Times New Roman" w:hAnsi="Times New Roman" w:cs="Times New Roman"/>
          <w:lang w:val="ro-RO"/>
        </w:rPr>
        <w:t xml:space="preserve">recunoașterea  </w:t>
      </w:r>
      <w:r w:rsidR="00F41CCF" w:rsidRPr="00A73566">
        <w:rPr>
          <w:rFonts w:ascii="Times New Roman" w:hAnsi="Times New Roman" w:cs="Times New Roman"/>
          <w:lang w:val="ro-RO"/>
        </w:rPr>
        <w:t>organismelor de certificare naționale la nivel internațional</w:t>
      </w:r>
      <w:r w:rsidR="00E91020" w:rsidRPr="00A73566">
        <w:rPr>
          <w:rFonts w:ascii="Times New Roman" w:hAnsi="Times New Roman" w:cs="Times New Roman"/>
          <w:lang w:val="ro-RO"/>
        </w:rPr>
        <w:t>.</w:t>
      </w:r>
      <w:r w:rsidR="00F41CCF" w:rsidRPr="00A73566">
        <w:rPr>
          <w:rFonts w:ascii="Times New Roman" w:hAnsi="Times New Roman" w:cs="Times New Roman"/>
          <w:lang w:val="ro-RO"/>
        </w:rPr>
        <w:t xml:space="preserve"> De rând cu acestea</w:t>
      </w:r>
      <w:r w:rsidR="00726E1E" w:rsidRPr="00A73566">
        <w:rPr>
          <w:rFonts w:ascii="Times New Roman" w:hAnsi="Times New Roman" w:cs="Times New Roman"/>
          <w:lang w:val="ro-RO"/>
        </w:rPr>
        <w:t>,</w:t>
      </w:r>
      <w:r w:rsidR="00F41CCF" w:rsidRPr="00A73566">
        <w:rPr>
          <w:rFonts w:ascii="Times New Roman" w:hAnsi="Times New Roman" w:cs="Times New Roman"/>
          <w:lang w:val="ro-RO"/>
        </w:rPr>
        <w:t xml:space="preserve"> </w:t>
      </w:r>
      <w:r w:rsidR="00726E1E" w:rsidRPr="00A73566">
        <w:rPr>
          <w:rFonts w:ascii="Times New Roman" w:hAnsi="Times New Roman" w:cs="Times New Roman"/>
          <w:lang w:val="ro-RO"/>
        </w:rPr>
        <w:t>î</w:t>
      </w:r>
      <w:r w:rsidR="00F41CCF" w:rsidRPr="00A73566">
        <w:rPr>
          <w:rFonts w:ascii="Times New Roman" w:hAnsi="Times New Roman" w:cs="Times New Roman"/>
          <w:lang w:val="ro-RO"/>
        </w:rPr>
        <w:t xml:space="preserve">n perioada următoare vor fi susținute eforturile agenților </w:t>
      </w:r>
      <w:r w:rsidR="00DD2326" w:rsidRPr="00A73566">
        <w:rPr>
          <w:rFonts w:ascii="Times New Roman" w:hAnsi="Times New Roman" w:cs="Times New Roman"/>
          <w:lang w:val="ro-RO"/>
        </w:rPr>
        <w:t>economici</w:t>
      </w:r>
      <w:r w:rsidR="00F41CCF" w:rsidRPr="00A73566">
        <w:rPr>
          <w:rFonts w:ascii="Times New Roman" w:hAnsi="Times New Roman" w:cs="Times New Roman"/>
          <w:lang w:val="ro-RO"/>
        </w:rPr>
        <w:t xml:space="preserve"> </w:t>
      </w:r>
      <w:r w:rsidR="00726E1E" w:rsidRPr="00A73566">
        <w:rPr>
          <w:rFonts w:ascii="Times New Roman" w:hAnsi="Times New Roman" w:cs="Times New Roman"/>
          <w:lang w:val="ro-RO"/>
        </w:rPr>
        <w:t>î</w:t>
      </w:r>
      <w:r w:rsidR="00F41CCF" w:rsidRPr="00A73566">
        <w:rPr>
          <w:rFonts w:ascii="Times New Roman" w:hAnsi="Times New Roman" w:cs="Times New Roman"/>
          <w:lang w:val="ro-RO"/>
        </w:rPr>
        <w:t xml:space="preserve">n promovarea </w:t>
      </w:r>
      <w:r w:rsidR="00DD2326" w:rsidRPr="00A73566">
        <w:rPr>
          <w:rFonts w:ascii="Times New Roman" w:hAnsi="Times New Roman" w:cs="Times New Roman"/>
          <w:lang w:val="ro-RO"/>
        </w:rPr>
        <w:t>consumului</w:t>
      </w:r>
      <w:r w:rsidR="00F41CCF" w:rsidRPr="00A73566">
        <w:rPr>
          <w:rFonts w:ascii="Times New Roman" w:hAnsi="Times New Roman" w:cs="Times New Roman"/>
          <w:lang w:val="ro-RO"/>
        </w:rPr>
        <w:t xml:space="preserve"> de produse </w:t>
      </w:r>
      <w:r w:rsidR="00DD2326" w:rsidRPr="00A73566">
        <w:rPr>
          <w:rFonts w:ascii="Times New Roman" w:hAnsi="Times New Roman" w:cs="Times New Roman"/>
          <w:lang w:val="ro-RO"/>
        </w:rPr>
        <w:t xml:space="preserve">ecologice </w:t>
      </w:r>
      <w:r w:rsidR="00F41CCF" w:rsidRPr="00A73566">
        <w:rPr>
          <w:rFonts w:ascii="Times New Roman" w:hAnsi="Times New Roman" w:cs="Times New Roman"/>
          <w:lang w:val="ro-RO"/>
        </w:rPr>
        <w:t>la nivel național</w:t>
      </w:r>
      <w:r w:rsidR="00DD2326" w:rsidRPr="00A73566">
        <w:rPr>
          <w:rFonts w:ascii="Times New Roman" w:hAnsi="Times New Roman" w:cs="Times New Roman"/>
          <w:lang w:val="ro-RO"/>
        </w:rPr>
        <w:t xml:space="preserve">, </w:t>
      </w:r>
      <w:r w:rsidR="00F0137B" w:rsidRPr="00A73566">
        <w:rPr>
          <w:rFonts w:ascii="Times New Roman" w:hAnsi="Times New Roman" w:cs="Times New Roman"/>
          <w:lang w:val="ro-RO"/>
        </w:rPr>
        <w:t>creșter</w:t>
      </w:r>
      <w:r w:rsidR="00726E1E" w:rsidRPr="00A73566">
        <w:rPr>
          <w:rFonts w:ascii="Times New Roman" w:hAnsi="Times New Roman" w:cs="Times New Roman"/>
          <w:lang w:val="ro-RO"/>
        </w:rPr>
        <w:t xml:space="preserve">ea </w:t>
      </w:r>
      <w:r w:rsidR="00F41CCF" w:rsidRPr="00A73566">
        <w:rPr>
          <w:rFonts w:ascii="Times New Roman" w:hAnsi="Times New Roman" w:cs="Times New Roman"/>
          <w:lang w:val="ro-RO"/>
        </w:rPr>
        <w:t>exportului</w:t>
      </w:r>
      <w:r w:rsidR="00DD2326" w:rsidRPr="00A73566">
        <w:rPr>
          <w:rFonts w:ascii="Times New Roman" w:hAnsi="Times New Roman" w:cs="Times New Roman"/>
          <w:lang w:val="ro-RO"/>
        </w:rPr>
        <w:t xml:space="preserve"> </w:t>
      </w:r>
      <w:r w:rsidR="00FE2B26" w:rsidRPr="00A73566">
        <w:rPr>
          <w:rFonts w:ascii="Times New Roman" w:hAnsi="Times New Roman" w:cs="Times New Roman"/>
          <w:lang w:val="ro-RO"/>
        </w:rPr>
        <w:t>ș</w:t>
      </w:r>
      <w:r w:rsidR="00F41CCF" w:rsidRPr="00A73566">
        <w:rPr>
          <w:rFonts w:ascii="Times New Roman" w:hAnsi="Times New Roman" w:cs="Times New Roman"/>
          <w:lang w:val="ro-RO"/>
        </w:rPr>
        <w:t xml:space="preserve">i </w:t>
      </w:r>
      <w:r w:rsidR="00DD2326" w:rsidRPr="00A73566">
        <w:rPr>
          <w:rFonts w:ascii="Times New Roman" w:hAnsi="Times New Roman" w:cs="Times New Roman"/>
          <w:lang w:val="ro-RO"/>
        </w:rPr>
        <w:t>fortificarea registrului virtual al producătorilor ecologici.</w:t>
      </w:r>
    </w:p>
    <w:p w14:paraId="44F2DC3B" w14:textId="7A885011"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1.</w:t>
      </w:r>
      <w:r w:rsidR="000A6C95" w:rsidRPr="00A73566">
        <w:rPr>
          <w:rFonts w:ascii="Times New Roman" w:hAnsi="Times New Roman" w:cs="Times New Roman"/>
          <w:i/>
          <w:iCs/>
          <w:lang w:val="ro-RO"/>
        </w:rPr>
        <w:t xml:space="preserve">6. </w:t>
      </w:r>
      <w:r w:rsidRPr="00A73566">
        <w:rPr>
          <w:rFonts w:ascii="Times New Roman" w:hAnsi="Times New Roman" w:cs="Times New Roman"/>
          <w:i/>
          <w:iCs/>
          <w:lang w:val="ro-RO"/>
        </w:rPr>
        <w:t>Crearea premiselor și lansarea bioeconomiei</w:t>
      </w:r>
    </w:p>
    <w:p w14:paraId="049639F9" w14:textId="7AD28F4B" w:rsidR="00A91A36" w:rsidRPr="00A73566" w:rsidRDefault="003078AF" w:rsidP="00A45DFD">
      <w:pPr>
        <w:ind w:firstLine="567"/>
        <w:rPr>
          <w:rFonts w:ascii="Times New Roman" w:hAnsi="Times New Roman" w:cs="Times New Roman"/>
          <w:lang w:val="ro-RO"/>
        </w:rPr>
      </w:pPr>
      <w:r w:rsidRPr="00A73566">
        <w:rPr>
          <w:rFonts w:ascii="Times New Roman" w:hAnsi="Times New Roman" w:cs="Times New Roman"/>
          <w:lang w:val="ro-RO"/>
        </w:rPr>
        <w:t>V</w:t>
      </w:r>
      <w:r w:rsidR="001E0A0D" w:rsidRPr="00A73566">
        <w:rPr>
          <w:rFonts w:ascii="Times New Roman" w:hAnsi="Times New Roman" w:cs="Times New Roman"/>
          <w:lang w:val="ro-RO"/>
        </w:rPr>
        <w:t>or fi analizate premisele și reglementările necesare pentru dezvoltarea bioeconomiei ca sector strategic.</w:t>
      </w:r>
      <w:r w:rsidR="00A91A36" w:rsidRPr="00A73566">
        <w:rPr>
          <w:rFonts w:ascii="Times New Roman" w:hAnsi="Times New Roman" w:cs="Times New Roman"/>
          <w:lang w:val="ro-RO"/>
        </w:rPr>
        <w:t xml:space="preserve"> </w:t>
      </w:r>
      <w:r w:rsidRPr="00A73566">
        <w:rPr>
          <w:rFonts w:ascii="Times New Roman" w:hAnsi="Times New Roman" w:cs="Times New Roman"/>
          <w:lang w:val="ro-RO"/>
        </w:rPr>
        <w:t>C</w:t>
      </w:r>
      <w:r w:rsidR="00A91A36" w:rsidRPr="00A73566">
        <w:rPr>
          <w:rFonts w:ascii="Times New Roman" w:hAnsi="Times New Roman" w:cs="Times New Roman"/>
          <w:lang w:val="ro-RO"/>
        </w:rPr>
        <w:t xml:space="preserve">rearea cadrului regulatoriu pentru dezvoltarea bioeconomiei, susținerea </w:t>
      </w:r>
      <w:r w:rsidR="000F7373" w:rsidRPr="00A73566">
        <w:rPr>
          <w:rFonts w:ascii="Times New Roman" w:hAnsi="Times New Roman" w:cs="Times New Roman"/>
          <w:lang w:val="ro-RO"/>
        </w:rPr>
        <w:t>efortului</w:t>
      </w:r>
      <w:r w:rsidR="00A91A36" w:rsidRPr="00A73566">
        <w:rPr>
          <w:rFonts w:ascii="Times New Roman" w:hAnsi="Times New Roman" w:cs="Times New Roman"/>
          <w:lang w:val="ro-RO"/>
        </w:rPr>
        <w:t xml:space="preserve"> agenților economici </w:t>
      </w:r>
      <w:r w:rsidR="000F7F1F" w:rsidRPr="00A73566">
        <w:rPr>
          <w:rFonts w:ascii="Times New Roman" w:hAnsi="Times New Roman" w:cs="Times New Roman"/>
          <w:lang w:val="ro-RO"/>
        </w:rPr>
        <w:t>în</w:t>
      </w:r>
      <w:r w:rsidRPr="00A73566">
        <w:rPr>
          <w:rFonts w:ascii="Times New Roman" w:hAnsi="Times New Roman" w:cs="Times New Roman"/>
          <w:lang w:val="ro-RO"/>
        </w:rPr>
        <w:t xml:space="preserve"> </w:t>
      </w:r>
      <w:r w:rsidR="00A91A36" w:rsidRPr="00A73566">
        <w:rPr>
          <w:rFonts w:ascii="Times New Roman" w:hAnsi="Times New Roman" w:cs="Times New Roman"/>
          <w:lang w:val="ro-RO"/>
        </w:rPr>
        <w:t xml:space="preserve">lansarea afacerilor </w:t>
      </w:r>
      <w:r w:rsidR="000F7373" w:rsidRPr="00A73566">
        <w:rPr>
          <w:rFonts w:ascii="Times New Roman" w:hAnsi="Times New Roman" w:cs="Times New Roman"/>
          <w:lang w:val="ro-RO"/>
        </w:rPr>
        <w:t>prietenoase mediului și</w:t>
      </w:r>
      <w:r w:rsidR="00A91A36" w:rsidRPr="00A73566">
        <w:rPr>
          <w:rFonts w:ascii="Times New Roman" w:hAnsi="Times New Roman" w:cs="Times New Roman"/>
          <w:lang w:val="ro-RO"/>
        </w:rPr>
        <w:t xml:space="preserve"> </w:t>
      </w:r>
      <w:r w:rsidRPr="00A73566">
        <w:rPr>
          <w:rFonts w:ascii="Times New Roman" w:hAnsi="Times New Roman" w:cs="Times New Roman"/>
          <w:lang w:val="ro-RO"/>
        </w:rPr>
        <w:t xml:space="preserve">de </w:t>
      </w:r>
      <w:r w:rsidR="00A91A36" w:rsidRPr="00A73566">
        <w:rPr>
          <w:rFonts w:ascii="Times New Roman" w:hAnsi="Times New Roman" w:cs="Times New Roman"/>
          <w:lang w:val="ro-RO"/>
        </w:rPr>
        <w:t>transform</w:t>
      </w:r>
      <w:r w:rsidRPr="00A73566">
        <w:rPr>
          <w:rFonts w:ascii="Times New Roman" w:hAnsi="Times New Roman" w:cs="Times New Roman"/>
          <w:lang w:val="ro-RO"/>
        </w:rPr>
        <w:t>are a</w:t>
      </w:r>
      <w:r w:rsidR="00A91A36" w:rsidRPr="00A73566">
        <w:rPr>
          <w:rFonts w:ascii="Times New Roman" w:hAnsi="Times New Roman" w:cs="Times New Roman"/>
          <w:lang w:val="ro-RO"/>
        </w:rPr>
        <w:t xml:space="preserve"> deșeurilor în produse noi</w:t>
      </w:r>
      <w:r w:rsidR="000F7373" w:rsidRPr="00A73566">
        <w:rPr>
          <w:rFonts w:ascii="Times New Roman" w:hAnsi="Times New Roman" w:cs="Times New Roman"/>
          <w:lang w:val="ro-RO"/>
        </w:rPr>
        <w:t xml:space="preserve"> vor reprezenta acțiunile de baz</w:t>
      </w:r>
      <w:r w:rsidRPr="00A73566">
        <w:rPr>
          <w:rFonts w:ascii="Times New Roman" w:hAnsi="Times New Roman" w:cs="Times New Roman"/>
          <w:lang w:val="ro-RO"/>
        </w:rPr>
        <w:t>ă pentru atingerea acestui</w:t>
      </w:r>
      <w:r w:rsidR="000F7373" w:rsidRPr="00A73566">
        <w:rPr>
          <w:rFonts w:ascii="Times New Roman" w:hAnsi="Times New Roman" w:cs="Times New Roman"/>
          <w:lang w:val="ro-RO"/>
        </w:rPr>
        <w:t xml:space="preserve"> obiectiv specific</w:t>
      </w:r>
      <w:r w:rsidR="000F7F1F" w:rsidRPr="00A73566">
        <w:rPr>
          <w:rFonts w:ascii="Times New Roman" w:hAnsi="Times New Roman" w:cs="Times New Roman"/>
          <w:lang w:val="ro-RO"/>
        </w:rPr>
        <w:t>.</w:t>
      </w:r>
      <w:r w:rsidR="000F7373" w:rsidRPr="00A73566">
        <w:rPr>
          <w:rFonts w:ascii="Times New Roman" w:hAnsi="Times New Roman" w:cs="Times New Roman"/>
          <w:lang w:val="ro-RO"/>
        </w:rPr>
        <w:t xml:space="preserve"> </w:t>
      </w:r>
      <w:r w:rsidRPr="00A73566">
        <w:rPr>
          <w:rFonts w:ascii="Times New Roman" w:hAnsi="Times New Roman" w:cs="Times New Roman"/>
          <w:lang w:val="ro-RO"/>
        </w:rPr>
        <w:t>I</w:t>
      </w:r>
      <w:r w:rsidR="000F7373" w:rsidRPr="00A73566">
        <w:rPr>
          <w:rFonts w:ascii="Times New Roman" w:hAnsi="Times New Roman" w:cs="Times New Roman"/>
          <w:lang w:val="ro-RO"/>
        </w:rPr>
        <w:t>mplementare</w:t>
      </w:r>
      <w:r w:rsidRPr="00A73566">
        <w:rPr>
          <w:rFonts w:ascii="Times New Roman" w:hAnsi="Times New Roman" w:cs="Times New Roman"/>
          <w:lang w:val="ro-RO"/>
        </w:rPr>
        <w:t>a</w:t>
      </w:r>
      <w:r w:rsidR="000F7373" w:rsidRPr="00A73566">
        <w:rPr>
          <w:rFonts w:ascii="Times New Roman" w:hAnsi="Times New Roman" w:cs="Times New Roman"/>
          <w:lang w:val="ro-RO"/>
        </w:rPr>
        <w:t xml:space="preserve"> principiilor bioeconomiei se va </w:t>
      </w:r>
      <w:r w:rsidRPr="00A73566">
        <w:rPr>
          <w:rFonts w:ascii="Times New Roman" w:hAnsi="Times New Roman" w:cs="Times New Roman"/>
          <w:lang w:val="ro-RO"/>
        </w:rPr>
        <w:t>face, de asemenea, prin</w:t>
      </w:r>
      <w:r w:rsidR="000F7373" w:rsidRPr="00A73566">
        <w:rPr>
          <w:rFonts w:ascii="Times New Roman" w:hAnsi="Times New Roman" w:cs="Times New Roman"/>
          <w:lang w:val="ro-RO"/>
        </w:rPr>
        <w:t xml:space="preserve"> dezvoltarea </w:t>
      </w:r>
      <w:r w:rsidR="00DC6C9C" w:rsidRPr="00A73566">
        <w:rPr>
          <w:rFonts w:ascii="Times New Roman" w:hAnsi="Times New Roman" w:cs="Times New Roman"/>
          <w:lang w:val="ro-RO"/>
        </w:rPr>
        <w:t>vermeculturii</w:t>
      </w:r>
      <w:r w:rsidRPr="00A73566">
        <w:rPr>
          <w:rFonts w:ascii="Times New Roman" w:hAnsi="Times New Roman" w:cs="Times New Roman"/>
          <w:lang w:val="ro-RO"/>
        </w:rPr>
        <w:t>,</w:t>
      </w:r>
      <w:r w:rsidR="000F7373" w:rsidRPr="00A73566">
        <w:rPr>
          <w:rFonts w:ascii="Times New Roman" w:hAnsi="Times New Roman" w:cs="Times New Roman"/>
          <w:lang w:val="ro-RO"/>
        </w:rPr>
        <w:t xml:space="preserve"> a producerii îngrășămintelor </w:t>
      </w:r>
      <w:r w:rsidRPr="00A73566">
        <w:rPr>
          <w:rFonts w:ascii="Times New Roman" w:hAnsi="Times New Roman" w:cs="Times New Roman"/>
          <w:lang w:val="ro-RO"/>
        </w:rPr>
        <w:t>ș</w:t>
      </w:r>
      <w:r w:rsidR="000F7373" w:rsidRPr="00A73566">
        <w:rPr>
          <w:rFonts w:ascii="Times New Roman" w:hAnsi="Times New Roman" w:cs="Times New Roman"/>
          <w:lang w:val="ro-RO"/>
        </w:rPr>
        <w:t xml:space="preserve">i </w:t>
      </w:r>
      <w:r w:rsidR="00F50DAB" w:rsidRPr="00A73566">
        <w:rPr>
          <w:rFonts w:ascii="Times New Roman" w:hAnsi="Times New Roman" w:cs="Times New Roman"/>
          <w:lang w:val="ro-RO"/>
        </w:rPr>
        <w:t>mijloacelor de protecție organice</w:t>
      </w:r>
      <w:r w:rsidR="006144AD" w:rsidRPr="00A73566">
        <w:rPr>
          <w:rFonts w:ascii="Times New Roman" w:hAnsi="Times New Roman" w:cs="Times New Roman"/>
          <w:lang w:val="ro-RO"/>
        </w:rPr>
        <w:t xml:space="preserve"> la nivel național</w:t>
      </w:r>
      <w:r w:rsidR="00F50DAB" w:rsidRPr="00A73566">
        <w:rPr>
          <w:rFonts w:ascii="Times New Roman" w:hAnsi="Times New Roman" w:cs="Times New Roman"/>
          <w:lang w:val="ro-RO"/>
        </w:rPr>
        <w:t>.</w:t>
      </w:r>
      <w:r w:rsidR="006144AD" w:rsidRPr="00A73566">
        <w:rPr>
          <w:rFonts w:ascii="Times New Roman" w:hAnsi="Times New Roman" w:cs="Times New Roman"/>
          <w:lang w:val="ro-RO"/>
        </w:rPr>
        <w:t xml:space="preserve"> </w:t>
      </w:r>
      <w:r w:rsidRPr="00A73566">
        <w:rPr>
          <w:rFonts w:ascii="Times New Roman" w:hAnsi="Times New Roman" w:cs="Times New Roman"/>
          <w:lang w:val="ro-RO"/>
        </w:rPr>
        <w:t>Astfel,</w:t>
      </w:r>
      <w:r w:rsidR="00DC6C9C" w:rsidRPr="00A73566">
        <w:rPr>
          <w:rFonts w:ascii="Times New Roman" w:hAnsi="Times New Roman" w:cs="Times New Roman"/>
          <w:lang w:val="ro-RO"/>
        </w:rPr>
        <w:t xml:space="preserve"> v</w:t>
      </w:r>
      <w:r w:rsidRPr="00A73566">
        <w:rPr>
          <w:rFonts w:ascii="Times New Roman" w:hAnsi="Times New Roman" w:cs="Times New Roman"/>
          <w:lang w:val="ro-RO"/>
        </w:rPr>
        <w:t>or fi</w:t>
      </w:r>
      <w:r w:rsidR="00DC6C9C" w:rsidRPr="00A73566">
        <w:rPr>
          <w:rFonts w:ascii="Times New Roman" w:hAnsi="Times New Roman" w:cs="Times New Roman"/>
          <w:lang w:val="ro-RO"/>
        </w:rPr>
        <w:t xml:space="preserve"> utiliza</w:t>
      </w:r>
      <w:r w:rsidRPr="00A73566">
        <w:rPr>
          <w:rFonts w:ascii="Times New Roman" w:hAnsi="Times New Roman" w:cs="Times New Roman"/>
          <w:lang w:val="ro-RO"/>
        </w:rPr>
        <w:t>te</w:t>
      </w:r>
      <w:r w:rsidR="00DC6C9C" w:rsidRPr="00A73566">
        <w:rPr>
          <w:rFonts w:ascii="Times New Roman" w:hAnsi="Times New Roman" w:cs="Times New Roman"/>
          <w:lang w:val="ro-RO"/>
        </w:rPr>
        <w:t xml:space="preserve"> eficient resturil</w:t>
      </w:r>
      <w:r w:rsidRPr="00A73566">
        <w:rPr>
          <w:rFonts w:ascii="Times New Roman" w:hAnsi="Times New Roman" w:cs="Times New Roman"/>
          <w:lang w:val="ro-RO"/>
        </w:rPr>
        <w:t>e</w:t>
      </w:r>
      <w:r w:rsidR="00DC6C9C" w:rsidRPr="00A73566">
        <w:rPr>
          <w:rFonts w:ascii="Times New Roman" w:hAnsi="Times New Roman" w:cs="Times New Roman"/>
          <w:lang w:val="ro-RO"/>
        </w:rPr>
        <w:t xml:space="preserve"> naturale, </w:t>
      </w:r>
      <w:r w:rsidRPr="00A73566">
        <w:rPr>
          <w:rFonts w:ascii="Times New Roman" w:hAnsi="Times New Roman" w:cs="Times New Roman"/>
          <w:lang w:val="ro-RO"/>
        </w:rPr>
        <w:t xml:space="preserve">va fi </w:t>
      </w:r>
      <w:r w:rsidR="00DC6C9C" w:rsidRPr="00A73566">
        <w:rPr>
          <w:rFonts w:ascii="Times New Roman" w:hAnsi="Times New Roman" w:cs="Times New Roman"/>
          <w:lang w:val="ro-RO"/>
        </w:rPr>
        <w:t>redu</w:t>
      </w:r>
      <w:r w:rsidRPr="00A73566">
        <w:rPr>
          <w:rFonts w:ascii="Times New Roman" w:hAnsi="Times New Roman" w:cs="Times New Roman"/>
          <w:lang w:val="ro-RO"/>
        </w:rPr>
        <w:t>să</w:t>
      </w:r>
      <w:r w:rsidR="00DC6C9C" w:rsidRPr="00A73566">
        <w:rPr>
          <w:rFonts w:ascii="Times New Roman" w:hAnsi="Times New Roman" w:cs="Times New Roman"/>
          <w:lang w:val="ro-RO"/>
        </w:rPr>
        <w:t xml:space="preserve"> dependenț</w:t>
      </w:r>
      <w:r w:rsidRPr="00A73566">
        <w:rPr>
          <w:rFonts w:ascii="Times New Roman" w:hAnsi="Times New Roman" w:cs="Times New Roman"/>
          <w:lang w:val="ro-RO"/>
        </w:rPr>
        <w:t>a</w:t>
      </w:r>
      <w:r w:rsidR="00DC6C9C" w:rsidRPr="00A73566">
        <w:rPr>
          <w:rFonts w:ascii="Times New Roman" w:hAnsi="Times New Roman" w:cs="Times New Roman"/>
          <w:lang w:val="ro-RO"/>
        </w:rPr>
        <w:t xml:space="preserve"> de importul îngrășămintelor si </w:t>
      </w:r>
      <w:r w:rsidRPr="00A73566">
        <w:rPr>
          <w:rFonts w:ascii="Times New Roman" w:hAnsi="Times New Roman" w:cs="Times New Roman"/>
          <w:lang w:val="ro-RO"/>
        </w:rPr>
        <w:t xml:space="preserve">va fi </w:t>
      </w:r>
      <w:r w:rsidR="00DC6C9C" w:rsidRPr="00A73566">
        <w:rPr>
          <w:rFonts w:ascii="Times New Roman" w:hAnsi="Times New Roman" w:cs="Times New Roman"/>
          <w:lang w:val="ro-RO"/>
        </w:rPr>
        <w:t>spori</w:t>
      </w:r>
      <w:r w:rsidRPr="00A73566">
        <w:rPr>
          <w:rFonts w:ascii="Times New Roman" w:hAnsi="Times New Roman" w:cs="Times New Roman"/>
          <w:lang w:val="ro-RO"/>
        </w:rPr>
        <w:t>tă</w:t>
      </w:r>
      <w:r w:rsidR="00DC6C9C" w:rsidRPr="00A73566">
        <w:rPr>
          <w:rFonts w:ascii="Times New Roman" w:hAnsi="Times New Roman" w:cs="Times New Roman"/>
          <w:lang w:val="ro-RO"/>
        </w:rPr>
        <w:t xml:space="preserve"> </w:t>
      </w:r>
      <w:r w:rsidR="000F7F1F" w:rsidRPr="00A73566">
        <w:rPr>
          <w:rFonts w:ascii="Times New Roman" w:hAnsi="Times New Roman" w:cs="Times New Roman"/>
          <w:lang w:val="ro-RO"/>
        </w:rPr>
        <w:t>fertilitatea</w:t>
      </w:r>
      <w:r w:rsidR="00DC6C9C" w:rsidRPr="00A73566">
        <w:rPr>
          <w:rFonts w:ascii="Times New Roman" w:hAnsi="Times New Roman" w:cs="Times New Roman"/>
          <w:lang w:val="ro-RO"/>
        </w:rPr>
        <w:t xml:space="preserve"> </w:t>
      </w:r>
      <w:r w:rsidRPr="00A73566">
        <w:rPr>
          <w:rFonts w:ascii="Times New Roman" w:hAnsi="Times New Roman" w:cs="Times New Roman"/>
          <w:lang w:val="ro-RO"/>
        </w:rPr>
        <w:t>ș</w:t>
      </w:r>
      <w:r w:rsidR="00DC6C9C" w:rsidRPr="00A73566">
        <w:rPr>
          <w:rFonts w:ascii="Times New Roman" w:hAnsi="Times New Roman" w:cs="Times New Roman"/>
          <w:lang w:val="ro-RO"/>
        </w:rPr>
        <w:t>i productivit</w:t>
      </w:r>
      <w:r w:rsidRPr="00A73566">
        <w:rPr>
          <w:rFonts w:ascii="Times New Roman" w:hAnsi="Times New Roman" w:cs="Times New Roman"/>
          <w:lang w:val="ro-RO"/>
        </w:rPr>
        <w:t>atea</w:t>
      </w:r>
      <w:r w:rsidR="00DC6C9C" w:rsidRPr="00A73566">
        <w:rPr>
          <w:rFonts w:ascii="Times New Roman" w:hAnsi="Times New Roman" w:cs="Times New Roman"/>
          <w:lang w:val="ro-RO"/>
        </w:rPr>
        <w:t xml:space="preserve"> solului.</w:t>
      </w:r>
    </w:p>
    <w:p w14:paraId="3FCEDBC8" w14:textId="2C6A9D97" w:rsidR="001E0A0D" w:rsidRPr="00A73566" w:rsidRDefault="001E0A0D" w:rsidP="001E0A0D">
      <w:pPr>
        <w:rPr>
          <w:rFonts w:ascii="Times New Roman" w:hAnsi="Times New Roman" w:cs="Times New Roman"/>
          <w:lang w:val="ro-RO"/>
        </w:rPr>
      </w:pPr>
      <w:r w:rsidRPr="00A73566">
        <w:rPr>
          <w:rFonts w:ascii="Times New Roman" w:hAnsi="Times New Roman" w:cs="Times New Roman"/>
          <w:b/>
          <w:bCs/>
          <w:lang w:val="ro-RO"/>
        </w:rPr>
        <w:t xml:space="preserve">Obiectivul 2 Promovarea practicilor agricole inteligente, eficiente </w:t>
      </w:r>
      <w:r w:rsidR="003078AF" w:rsidRPr="00A73566">
        <w:rPr>
          <w:rFonts w:ascii="Times New Roman" w:hAnsi="Times New Roman" w:cs="Times New Roman"/>
          <w:b/>
          <w:bCs/>
          <w:lang w:val="ro-RO"/>
        </w:rPr>
        <w:t>ș</w:t>
      </w:r>
      <w:r w:rsidRPr="00A73566">
        <w:rPr>
          <w:rFonts w:ascii="Times New Roman" w:hAnsi="Times New Roman" w:cs="Times New Roman"/>
          <w:b/>
          <w:bCs/>
          <w:lang w:val="ro-RO"/>
        </w:rPr>
        <w:t xml:space="preserve">i durabile </w:t>
      </w:r>
      <w:r w:rsidRPr="00A73566">
        <w:rPr>
          <w:rFonts w:ascii="Times New Roman" w:hAnsi="Times New Roman" w:cs="Times New Roman"/>
          <w:lang w:val="ro-RO"/>
        </w:rPr>
        <w:t>vizează sprijinirea unor practici agricole durabile, orientate spre revigorarea sectoarelor</w:t>
      </w:r>
      <w:r w:rsidR="00300C34" w:rsidRPr="00A73566">
        <w:rPr>
          <w:rFonts w:ascii="Times New Roman" w:hAnsi="Times New Roman" w:cs="Times New Roman"/>
          <w:lang w:val="ro-RO"/>
        </w:rPr>
        <w:t xml:space="preserve"> agroindustriale</w:t>
      </w:r>
      <w:r w:rsidRPr="00A73566">
        <w:rPr>
          <w:rFonts w:ascii="Times New Roman" w:hAnsi="Times New Roman" w:cs="Times New Roman"/>
          <w:lang w:val="ro-RO"/>
        </w:rPr>
        <w:t>, dezvoltarea lanțurilor de producție</w:t>
      </w:r>
      <w:r w:rsidR="003078AF" w:rsidRPr="00A73566">
        <w:rPr>
          <w:rFonts w:ascii="Times New Roman" w:hAnsi="Times New Roman" w:cs="Times New Roman"/>
          <w:lang w:val="ro-RO"/>
        </w:rPr>
        <w:t xml:space="preserve"> prin</w:t>
      </w:r>
      <w:r w:rsidRPr="00A73566">
        <w:rPr>
          <w:rFonts w:ascii="Times New Roman" w:hAnsi="Times New Roman" w:cs="Times New Roman"/>
          <w:lang w:val="ro-RO"/>
        </w:rPr>
        <w:t xml:space="preserve"> integrarea sistemului de cercetare și dezvoltare, </w:t>
      </w:r>
      <w:r w:rsidR="00300C34" w:rsidRPr="00A73566">
        <w:rPr>
          <w:rFonts w:ascii="Times New Roman" w:hAnsi="Times New Roman" w:cs="Times New Roman"/>
          <w:lang w:val="ro-RO"/>
        </w:rPr>
        <w:t>asigurând</w:t>
      </w:r>
      <w:r w:rsidR="00F32B58" w:rsidRPr="00A73566">
        <w:rPr>
          <w:rFonts w:ascii="Times New Roman" w:hAnsi="Times New Roman" w:cs="Times New Roman"/>
          <w:lang w:val="ro-RO"/>
        </w:rPr>
        <w:t>,</w:t>
      </w:r>
      <w:r w:rsidR="00300C34" w:rsidRPr="00A73566">
        <w:rPr>
          <w:rFonts w:ascii="Times New Roman" w:hAnsi="Times New Roman" w:cs="Times New Roman"/>
          <w:lang w:val="ro-RO"/>
        </w:rPr>
        <w:t xml:space="preserve"> totodată</w:t>
      </w:r>
      <w:r w:rsidR="00F32B58" w:rsidRPr="00A73566">
        <w:rPr>
          <w:rFonts w:ascii="Times New Roman" w:hAnsi="Times New Roman" w:cs="Times New Roman"/>
          <w:lang w:val="ro-RO"/>
        </w:rPr>
        <w:t>,</w:t>
      </w:r>
      <w:r w:rsidRPr="00A73566">
        <w:rPr>
          <w:rFonts w:ascii="Times New Roman" w:hAnsi="Times New Roman" w:cs="Times New Roman"/>
          <w:lang w:val="ro-RO"/>
        </w:rPr>
        <w:t xml:space="preserve"> aplicabilitatea practică și adaptarea la schimbările de mediu.</w:t>
      </w:r>
    </w:p>
    <w:p w14:paraId="7DD24CE3" w14:textId="112C6E91" w:rsidR="001E0A0D" w:rsidRPr="00A73566" w:rsidRDefault="001E0A0D" w:rsidP="001E0A0D">
      <w:pPr>
        <w:rPr>
          <w:rFonts w:ascii="Times New Roman" w:hAnsi="Times New Roman" w:cs="Times New Roman"/>
          <w:b/>
          <w:bCs/>
          <w:i/>
          <w:iCs/>
          <w:lang w:val="ro-RO"/>
        </w:rPr>
      </w:pPr>
      <w:r w:rsidRPr="00A73566">
        <w:rPr>
          <w:rFonts w:ascii="Times New Roman" w:hAnsi="Times New Roman" w:cs="Times New Roman"/>
          <w:b/>
          <w:bCs/>
          <w:i/>
          <w:iCs/>
          <w:lang w:val="ro-RO"/>
        </w:rPr>
        <w:t>Obiectivele specifice ce vor contribui la atingerea Obiectivului General 2:</w:t>
      </w:r>
    </w:p>
    <w:p w14:paraId="07DC9A60" w14:textId="77777777" w:rsidR="001E0A0D" w:rsidRPr="00A73566" w:rsidRDefault="001E0A0D" w:rsidP="00E720EE">
      <w:pPr>
        <w:pStyle w:val="ListParagraph"/>
        <w:numPr>
          <w:ilvl w:val="1"/>
          <w:numId w:val="11"/>
        </w:numPr>
        <w:rPr>
          <w:rFonts w:ascii="Times New Roman" w:hAnsi="Times New Roman" w:cs="Times New Roman"/>
          <w:i/>
          <w:iCs/>
          <w:lang w:val="ro-RO"/>
        </w:rPr>
      </w:pPr>
      <w:r w:rsidRPr="00A73566">
        <w:rPr>
          <w:rFonts w:ascii="Times New Roman" w:hAnsi="Times New Roman" w:cs="Times New Roman"/>
          <w:i/>
          <w:iCs/>
          <w:color w:val="auto"/>
          <w:lang w:val="ro-RO"/>
        </w:rPr>
        <w:t>Revigorarea sectoarelor agricole strategice pentru securitatea alimentară a țării</w:t>
      </w:r>
    </w:p>
    <w:p w14:paraId="03D26602" w14:textId="4BCA7158" w:rsidR="001D00C9" w:rsidRPr="00A73566" w:rsidRDefault="00CD3F15" w:rsidP="00A45DFD">
      <w:pPr>
        <w:ind w:firstLine="567"/>
        <w:rPr>
          <w:rFonts w:ascii="Times New Roman" w:hAnsi="Times New Roman" w:cs="Times New Roman"/>
          <w:lang w:val="ro-RO"/>
        </w:rPr>
      </w:pPr>
      <w:r w:rsidRPr="00A73566">
        <w:rPr>
          <w:rFonts w:ascii="Times New Roman" w:hAnsi="Times New Roman" w:cs="Times New Roman"/>
          <w:lang w:val="ro-RO"/>
        </w:rPr>
        <w:t>S</w:t>
      </w:r>
      <w:r w:rsidR="009341ED" w:rsidRPr="00A73566">
        <w:rPr>
          <w:rFonts w:ascii="Times New Roman" w:hAnsi="Times New Roman" w:cs="Times New Roman"/>
          <w:lang w:val="ro-RO"/>
        </w:rPr>
        <w:t xml:space="preserve">ectorul agricol </w:t>
      </w:r>
      <w:r w:rsidRPr="00A73566">
        <w:rPr>
          <w:rFonts w:ascii="Times New Roman" w:hAnsi="Times New Roman" w:cs="Times New Roman"/>
          <w:lang w:val="ro-RO"/>
        </w:rPr>
        <w:t xml:space="preserve">nu valorifică, </w:t>
      </w:r>
      <w:r w:rsidR="009341ED" w:rsidRPr="00A73566">
        <w:rPr>
          <w:rFonts w:ascii="Times New Roman" w:hAnsi="Times New Roman" w:cs="Times New Roman"/>
          <w:lang w:val="ro-RO"/>
        </w:rPr>
        <w:t>nici pe departe</w:t>
      </w:r>
      <w:r w:rsidRPr="00A73566">
        <w:rPr>
          <w:rFonts w:ascii="Times New Roman" w:hAnsi="Times New Roman" w:cs="Times New Roman"/>
          <w:lang w:val="ro-RO"/>
        </w:rPr>
        <w:t>,</w:t>
      </w:r>
      <w:r w:rsidR="009341ED" w:rsidRPr="00A73566">
        <w:rPr>
          <w:rFonts w:ascii="Times New Roman" w:hAnsi="Times New Roman" w:cs="Times New Roman"/>
          <w:lang w:val="ro-RO"/>
        </w:rPr>
        <w:t xml:space="preserve"> potențialul său de producere și procesare</w:t>
      </w:r>
      <w:r w:rsidRPr="00A73566">
        <w:rPr>
          <w:rFonts w:ascii="Times New Roman" w:hAnsi="Times New Roman" w:cs="Times New Roman"/>
          <w:lang w:val="ro-RO"/>
        </w:rPr>
        <w:t>.</w:t>
      </w:r>
      <w:r w:rsidR="009341ED" w:rsidRPr="00A73566">
        <w:rPr>
          <w:rFonts w:ascii="Times New Roman" w:hAnsi="Times New Roman" w:cs="Times New Roman"/>
          <w:lang w:val="ro-RO"/>
        </w:rPr>
        <w:t xml:space="preserve"> </w:t>
      </w:r>
      <w:r w:rsidR="001E0A0D" w:rsidRPr="00A73566">
        <w:rPr>
          <w:rFonts w:ascii="Times New Roman" w:hAnsi="Times New Roman" w:cs="Times New Roman"/>
          <w:lang w:val="ro-RO"/>
        </w:rPr>
        <w:t xml:space="preserve">Pentru </w:t>
      </w:r>
      <w:r w:rsidRPr="00A73566">
        <w:rPr>
          <w:rFonts w:ascii="Times New Roman" w:hAnsi="Times New Roman" w:cs="Times New Roman"/>
          <w:lang w:val="ro-RO"/>
        </w:rPr>
        <w:t xml:space="preserve">a </w:t>
      </w:r>
      <w:r w:rsidR="001E0A0D" w:rsidRPr="00A73566">
        <w:rPr>
          <w:rFonts w:ascii="Times New Roman" w:hAnsi="Times New Roman" w:cs="Times New Roman"/>
          <w:lang w:val="ro-RO"/>
        </w:rPr>
        <w:t>remedi</w:t>
      </w:r>
      <w:r w:rsidRPr="00A73566">
        <w:rPr>
          <w:rFonts w:ascii="Times New Roman" w:hAnsi="Times New Roman" w:cs="Times New Roman"/>
          <w:lang w:val="ro-RO"/>
        </w:rPr>
        <w:t>a</w:t>
      </w:r>
      <w:r w:rsidR="001E0A0D" w:rsidRPr="00A73566">
        <w:rPr>
          <w:rFonts w:ascii="Times New Roman" w:hAnsi="Times New Roman" w:cs="Times New Roman"/>
          <w:lang w:val="ro-RO"/>
        </w:rPr>
        <w:t xml:space="preserve"> ace</w:t>
      </w:r>
      <w:r w:rsidRPr="00A73566">
        <w:rPr>
          <w:rFonts w:ascii="Times New Roman" w:hAnsi="Times New Roman" w:cs="Times New Roman"/>
          <w:lang w:val="ro-RO"/>
        </w:rPr>
        <w:t>a</w:t>
      </w:r>
      <w:r w:rsidR="001E0A0D" w:rsidRPr="00A73566">
        <w:rPr>
          <w:rFonts w:ascii="Times New Roman" w:hAnsi="Times New Roman" w:cs="Times New Roman"/>
          <w:lang w:val="ro-RO"/>
        </w:rPr>
        <w:t>st</w:t>
      </w:r>
      <w:r w:rsidRPr="00A73566">
        <w:rPr>
          <w:rFonts w:ascii="Times New Roman" w:hAnsi="Times New Roman" w:cs="Times New Roman"/>
          <w:lang w:val="ro-RO"/>
        </w:rPr>
        <w:t>ă situație</w:t>
      </w:r>
      <w:r w:rsidR="001E0A0D" w:rsidRPr="00A73566">
        <w:rPr>
          <w:rFonts w:ascii="Times New Roman" w:hAnsi="Times New Roman" w:cs="Times New Roman"/>
          <w:lang w:val="ro-RO"/>
        </w:rPr>
        <w:t>, vor fi întreprinse măsuri menite să sprijine revitalizarea sectoarelor de importanță strategică</w:t>
      </w:r>
      <w:r w:rsidR="00007C07" w:rsidRPr="00A73566">
        <w:rPr>
          <w:rFonts w:ascii="Times New Roman" w:hAnsi="Times New Roman" w:cs="Times New Roman"/>
          <w:lang w:val="ro-RO"/>
        </w:rPr>
        <w:t xml:space="preserve"> </w:t>
      </w:r>
      <w:r w:rsidRPr="00A73566">
        <w:rPr>
          <w:rFonts w:ascii="Times New Roman" w:hAnsi="Times New Roman" w:cs="Times New Roman"/>
          <w:lang w:val="ro-RO"/>
        </w:rPr>
        <w:t>P</w:t>
      </w:r>
      <w:r w:rsidR="00E91020" w:rsidRPr="00A73566">
        <w:rPr>
          <w:rFonts w:ascii="Times New Roman" w:hAnsi="Times New Roman" w:cs="Times New Roman"/>
          <w:lang w:val="ro-RO"/>
        </w:rPr>
        <w:t>olitici</w:t>
      </w:r>
      <w:r w:rsidRPr="00A73566">
        <w:rPr>
          <w:rFonts w:ascii="Times New Roman" w:hAnsi="Times New Roman" w:cs="Times New Roman"/>
          <w:lang w:val="ro-RO"/>
        </w:rPr>
        <w:t>le</w:t>
      </w:r>
      <w:r w:rsidR="001E0A0D" w:rsidRPr="00A73566">
        <w:rPr>
          <w:rFonts w:ascii="Times New Roman" w:hAnsi="Times New Roman" w:cs="Times New Roman"/>
          <w:lang w:val="ro-RO"/>
        </w:rPr>
        <w:t xml:space="preserve"> de dezvoltare</w:t>
      </w:r>
      <w:r w:rsidRPr="00A73566">
        <w:rPr>
          <w:rFonts w:ascii="Times New Roman" w:hAnsi="Times New Roman" w:cs="Times New Roman"/>
          <w:lang w:val="ro-RO"/>
        </w:rPr>
        <w:t xml:space="preserve"> și intervențiile</w:t>
      </w:r>
      <w:r w:rsidR="001E0A0D" w:rsidRPr="00A73566">
        <w:rPr>
          <w:rFonts w:ascii="Times New Roman" w:hAnsi="Times New Roman" w:cs="Times New Roman"/>
          <w:lang w:val="ro-RO"/>
        </w:rPr>
        <w:t xml:space="preserve"> pe termen lung</w:t>
      </w:r>
      <w:r w:rsidRPr="00A73566">
        <w:rPr>
          <w:rFonts w:ascii="Times New Roman" w:hAnsi="Times New Roman" w:cs="Times New Roman"/>
          <w:lang w:val="ro-RO"/>
        </w:rPr>
        <w:t xml:space="preserve"> vor fi îndreptate spre:</w:t>
      </w:r>
      <w:r w:rsidR="001E0A0D" w:rsidRPr="00A73566">
        <w:rPr>
          <w:rFonts w:ascii="Times New Roman" w:hAnsi="Times New Roman" w:cs="Times New Roman"/>
          <w:lang w:val="ro-RO"/>
        </w:rPr>
        <w:t xml:space="preserve"> ajustarea cadrului normativ </w:t>
      </w:r>
      <w:r w:rsidRPr="00A73566">
        <w:rPr>
          <w:rFonts w:ascii="Times New Roman" w:hAnsi="Times New Roman" w:cs="Times New Roman"/>
          <w:lang w:val="ro-RO"/>
        </w:rPr>
        <w:t>al</w:t>
      </w:r>
      <w:r w:rsidR="001E0A0D" w:rsidRPr="00A73566">
        <w:rPr>
          <w:rFonts w:ascii="Times New Roman" w:hAnsi="Times New Roman" w:cs="Times New Roman"/>
          <w:lang w:val="ro-RO"/>
        </w:rPr>
        <w:t xml:space="preserve"> sub-sectorul</w:t>
      </w:r>
      <w:r w:rsidRPr="00A73566">
        <w:rPr>
          <w:rFonts w:ascii="Times New Roman" w:hAnsi="Times New Roman" w:cs="Times New Roman"/>
          <w:lang w:val="ro-RO"/>
        </w:rPr>
        <w:t>ui</w:t>
      </w:r>
      <w:r w:rsidR="001E0A0D" w:rsidRPr="00A73566">
        <w:rPr>
          <w:rFonts w:ascii="Times New Roman" w:hAnsi="Times New Roman" w:cs="Times New Roman"/>
          <w:lang w:val="ro-RO"/>
        </w:rPr>
        <w:t xml:space="preserve"> horticol la cerințele actuale de dezvoltare și ale pieței; </w:t>
      </w:r>
      <w:r w:rsidRPr="00A73566">
        <w:rPr>
          <w:rFonts w:ascii="Times New Roman" w:hAnsi="Times New Roman" w:cs="Times New Roman"/>
          <w:lang w:val="ro-RO"/>
        </w:rPr>
        <w:t>fol</w:t>
      </w:r>
      <w:r w:rsidR="000F7F1F" w:rsidRPr="00A73566">
        <w:rPr>
          <w:rFonts w:ascii="Times New Roman" w:hAnsi="Times New Roman" w:cs="Times New Roman"/>
          <w:lang w:val="ro-RO"/>
        </w:rPr>
        <w:t>o</w:t>
      </w:r>
      <w:r w:rsidRPr="00A73566">
        <w:rPr>
          <w:rFonts w:ascii="Times New Roman" w:hAnsi="Times New Roman" w:cs="Times New Roman"/>
          <w:lang w:val="ro-RO"/>
        </w:rPr>
        <w:t>sirea</w:t>
      </w:r>
      <w:r w:rsidR="004737B0" w:rsidRPr="00A73566">
        <w:rPr>
          <w:rFonts w:ascii="Times New Roman" w:hAnsi="Times New Roman" w:cs="Times New Roman"/>
          <w:lang w:val="ro-RO"/>
        </w:rPr>
        <w:t xml:space="preserve">  </w:t>
      </w:r>
      <w:r w:rsidR="001E0A0D" w:rsidRPr="00A73566">
        <w:rPr>
          <w:rFonts w:ascii="Times New Roman" w:hAnsi="Times New Roman" w:cs="Times New Roman"/>
          <w:lang w:val="ro-RO"/>
        </w:rPr>
        <w:t xml:space="preserve">tehnologiilor moderne în </w:t>
      </w:r>
      <w:r w:rsidRPr="00A73566">
        <w:rPr>
          <w:rFonts w:ascii="Times New Roman" w:hAnsi="Times New Roman" w:cs="Times New Roman"/>
          <w:lang w:val="ro-RO"/>
        </w:rPr>
        <w:t>dezvoltarea</w:t>
      </w:r>
      <w:r w:rsidR="004737B0" w:rsidRPr="00A73566">
        <w:rPr>
          <w:rFonts w:ascii="Times New Roman" w:hAnsi="Times New Roman" w:cs="Times New Roman"/>
          <w:lang w:val="ro-RO"/>
        </w:rPr>
        <w:t xml:space="preserve"> </w:t>
      </w:r>
      <w:r w:rsidR="001E0A0D" w:rsidRPr="00A73566">
        <w:rPr>
          <w:rFonts w:ascii="Times New Roman" w:hAnsi="Times New Roman" w:cs="Times New Roman"/>
          <w:lang w:val="ro-RO"/>
        </w:rPr>
        <w:t xml:space="preserve">unei agriculturi inteligente; </w:t>
      </w:r>
      <w:r w:rsidR="004737B0" w:rsidRPr="00A73566">
        <w:rPr>
          <w:rFonts w:ascii="Times New Roman" w:hAnsi="Times New Roman" w:cs="Times New Roman"/>
          <w:lang w:val="ro-RO"/>
        </w:rPr>
        <w:t xml:space="preserve">elaborarea și </w:t>
      </w:r>
      <w:r w:rsidR="001E0A0D" w:rsidRPr="00A73566">
        <w:rPr>
          <w:rFonts w:ascii="Times New Roman" w:hAnsi="Times New Roman" w:cs="Times New Roman"/>
          <w:lang w:val="ro-RO"/>
        </w:rPr>
        <w:t xml:space="preserve">implementarea </w:t>
      </w:r>
      <w:r w:rsidR="00E91020" w:rsidRPr="00A73566">
        <w:rPr>
          <w:rFonts w:ascii="Times New Roman" w:hAnsi="Times New Roman" w:cs="Times New Roman"/>
          <w:lang w:val="ro-RO"/>
        </w:rPr>
        <w:t>r</w:t>
      </w:r>
      <w:r w:rsidR="001E0A0D" w:rsidRPr="00A73566">
        <w:rPr>
          <w:rFonts w:ascii="Times New Roman" w:hAnsi="Times New Roman" w:cs="Times New Roman"/>
          <w:lang w:val="ro-RO"/>
        </w:rPr>
        <w:t xml:space="preserve">egistrului exploatațiilor agricole; implementarea tehnologiilor performante în producerea </w:t>
      </w:r>
      <w:r w:rsidR="008B149C" w:rsidRPr="00A73566">
        <w:rPr>
          <w:rFonts w:ascii="Times New Roman" w:hAnsi="Times New Roman" w:cs="Times New Roman"/>
          <w:lang w:val="ro-RO"/>
        </w:rPr>
        <w:t xml:space="preserve">și procesarea </w:t>
      </w:r>
      <w:r w:rsidR="001E0A0D" w:rsidRPr="00A73566">
        <w:rPr>
          <w:rFonts w:ascii="Times New Roman" w:hAnsi="Times New Roman" w:cs="Times New Roman"/>
          <w:lang w:val="ro-RO"/>
        </w:rPr>
        <w:t>strugurilor</w:t>
      </w:r>
      <w:r w:rsidR="008B149C" w:rsidRPr="00A73566">
        <w:rPr>
          <w:rFonts w:ascii="Times New Roman" w:hAnsi="Times New Roman" w:cs="Times New Roman"/>
          <w:lang w:val="ro-RO"/>
        </w:rPr>
        <w:t>,</w:t>
      </w:r>
      <w:r w:rsidR="001E0A0D" w:rsidRPr="00A73566">
        <w:rPr>
          <w:rFonts w:ascii="Times New Roman" w:hAnsi="Times New Roman" w:cs="Times New Roman"/>
          <w:lang w:val="ro-RO"/>
        </w:rPr>
        <w:t xml:space="preserve"> fructelor și legumelor autohtone;</w:t>
      </w:r>
      <w:r w:rsidR="00300C34" w:rsidRPr="00A73566">
        <w:rPr>
          <w:rFonts w:ascii="Times New Roman" w:hAnsi="Times New Roman" w:cs="Times New Roman"/>
          <w:lang w:val="ro-RO"/>
        </w:rPr>
        <w:t xml:space="preserve"> </w:t>
      </w:r>
      <w:r w:rsidR="001D00C9" w:rsidRPr="00A73566">
        <w:rPr>
          <w:rFonts w:ascii="Times New Roman" w:hAnsi="Times New Roman" w:cs="Times New Roman"/>
          <w:lang w:val="ro-RO"/>
        </w:rPr>
        <w:t xml:space="preserve">dezvoltarea </w:t>
      </w:r>
      <w:r w:rsidR="00FE4C5D" w:rsidRPr="00A73566">
        <w:rPr>
          <w:rFonts w:ascii="Times New Roman" w:hAnsi="Times New Roman" w:cs="Times New Roman"/>
          <w:lang w:val="ro-RO"/>
        </w:rPr>
        <w:t>sectorului</w:t>
      </w:r>
      <w:r w:rsidR="001D00C9" w:rsidRPr="00A73566">
        <w:rPr>
          <w:rFonts w:ascii="Times New Roman" w:hAnsi="Times New Roman" w:cs="Times New Roman"/>
          <w:lang w:val="ro-RO"/>
        </w:rPr>
        <w:t xml:space="preserve"> de plante aromatice, medicinale și condimentare</w:t>
      </w:r>
      <w:r w:rsidR="00FE4C5D" w:rsidRPr="00A73566">
        <w:rPr>
          <w:rFonts w:ascii="Times New Roman" w:hAnsi="Times New Roman" w:cs="Times New Roman"/>
          <w:lang w:val="ro-RO"/>
        </w:rPr>
        <w:t xml:space="preserve">; </w:t>
      </w:r>
      <w:r w:rsidR="00BE718F" w:rsidRPr="00A73566">
        <w:rPr>
          <w:rFonts w:ascii="Times New Roman" w:hAnsi="Times New Roman" w:cs="Times New Roman"/>
          <w:lang w:val="ro-RO"/>
        </w:rPr>
        <w:t xml:space="preserve">asigurarea </w:t>
      </w:r>
      <w:r w:rsidR="00ED5F5A" w:rsidRPr="00A73566">
        <w:rPr>
          <w:rFonts w:ascii="Times New Roman" w:hAnsi="Times New Roman" w:cs="Times New Roman"/>
          <w:lang w:val="ro-RO"/>
        </w:rPr>
        <w:t xml:space="preserve">pieței </w:t>
      </w:r>
      <w:r w:rsidR="00BE718F" w:rsidRPr="00A73566">
        <w:rPr>
          <w:rFonts w:ascii="Times New Roman" w:hAnsi="Times New Roman" w:cs="Times New Roman"/>
          <w:lang w:val="ro-RO"/>
        </w:rPr>
        <w:t>interne</w:t>
      </w:r>
      <w:r w:rsidR="00073929" w:rsidRPr="00A73566">
        <w:rPr>
          <w:rFonts w:ascii="Times New Roman" w:hAnsi="Times New Roman" w:cs="Times New Roman"/>
          <w:lang w:val="ro-RO"/>
        </w:rPr>
        <w:t xml:space="preserve"> cu</w:t>
      </w:r>
      <w:r w:rsidR="00BE718F" w:rsidRPr="00A73566">
        <w:rPr>
          <w:rFonts w:ascii="Times New Roman" w:hAnsi="Times New Roman" w:cs="Times New Roman"/>
          <w:lang w:val="ro-RO"/>
        </w:rPr>
        <w:t xml:space="preserve"> producție </w:t>
      </w:r>
      <w:r w:rsidR="007B4AE1" w:rsidRPr="00A73566">
        <w:rPr>
          <w:rFonts w:ascii="Times New Roman" w:hAnsi="Times New Roman" w:cs="Times New Roman"/>
          <w:lang w:val="ro-RO"/>
        </w:rPr>
        <w:t>autohtone</w:t>
      </w:r>
      <w:r w:rsidR="00BE718F" w:rsidRPr="00A73566">
        <w:rPr>
          <w:rFonts w:ascii="Times New Roman" w:hAnsi="Times New Roman" w:cs="Times New Roman"/>
          <w:lang w:val="ro-RO"/>
        </w:rPr>
        <w:t>; asigurarea cu materie prim</w:t>
      </w:r>
      <w:r w:rsidR="00073929" w:rsidRPr="00A73566">
        <w:rPr>
          <w:rFonts w:ascii="Times New Roman" w:hAnsi="Times New Roman" w:cs="Times New Roman"/>
          <w:lang w:val="ro-RO"/>
        </w:rPr>
        <w:t>ă</w:t>
      </w:r>
      <w:r w:rsidR="00BE718F" w:rsidRPr="00A73566">
        <w:rPr>
          <w:rFonts w:ascii="Times New Roman" w:hAnsi="Times New Roman" w:cs="Times New Roman"/>
          <w:lang w:val="ro-RO"/>
        </w:rPr>
        <w:t xml:space="preserve"> a unităților de procesare, </w:t>
      </w:r>
      <w:r w:rsidR="00073929" w:rsidRPr="00A73566">
        <w:rPr>
          <w:rFonts w:ascii="Times New Roman" w:hAnsi="Times New Roman" w:cs="Times New Roman"/>
          <w:lang w:val="ro-RO"/>
        </w:rPr>
        <w:t>sporirea</w:t>
      </w:r>
      <w:r w:rsidR="00BE718F" w:rsidRPr="00A73566">
        <w:rPr>
          <w:rFonts w:ascii="Times New Roman" w:hAnsi="Times New Roman" w:cs="Times New Roman"/>
          <w:lang w:val="ro-RO"/>
        </w:rPr>
        <w:t xml:space="preserve"> exporturilor</w:t>
      </w:r>
      <w:r w:rsidR="007B4AE1" w:rsidRPr="00A73566">
        <w:rPr>
          <w:rFonts w:ascii="Times New Roman" w:hAnsi="Times New Roman" w:cs="Times New Roman"/>
          <w:lang w:val="ro-RO"/>
        </w:rPr>
        <w:t>.</w:t>
      </w:r>
      <w:r w:rsidR="001D00C9" w:rsidRPr="00A73566">
        <w:rPr>
          <w:rFonts w:ascii="Times New Roman" w:hAnsi="Times New Roman" w:cs="Times New Roman"/>
          <w:lang w:val="ro-RO"/>
        </w:rPr>
        <w:t xml:space="preserve"> </w:t>
      </w:r>
    </w:p>
    <w:p w14:paraId="05D82369" w14:textId="71B372B9" w:rsidR="006E1964" w:rsidRPr="00A73566" w:rsidRDefault="00E72E08" w:rsidP="00A45DFD">
      <w:pPr>
        <w:ind w:firstLine="567"/>
        <w:rPr>
          <w:rFonts w:ascii="Times New Roman" w:hAnsi="Times New Roman" w:cs="Times New Roman"/>
          <w:lang w:val="ro-RO"/>
        </w:rPr>
      </w:pPr>
      <w:r w:rsidRPr="00A73566">
        <w:rPr>
          <w:rFonts w:ascii="Times New Roman" w:hAnsi="Times New Roman" w:cs="Times New Roman"/>
          <w:lang w:val="ro-RO"/>
        </w:rPr>
        <w:t>Dezvoltarea rapida a tehnologiilor informaționale</w:t>
      </w:r>
      <w:r w:rsidR="007F2D52" w:rsidRPr="00A73566">
        <w:rPr>
          <w:rFonts w:ascii="Times New Roman" w:hAnsi="Times New Roman" w:cs="Times New Roman"/>
          <w:lang w:val="ro-RO"/>
        </w:rPr>
        <w:t xml:space="preserve"> la nivel mondial implica necesitatea adaptării agriculturii la noi forme si principii de lucru. Recunoscând faptul ca digitalizarea si automatizarea proceselor in agricultura pentru următoare perioada va juca un </w:t>
      </w:r>
      <w:r w:rsidR="004F16C2" w:rsidRPr="00A73566">
        <w:rPr>
          <w:rFonts w:ascii="Times New Roman" w:hAnsi="Times New Roman" w:cs="Times New Roman"/>
          <w:lang w:val="ro-RO"/>
        </w:rPr>
        <w:t xml:space="preserve">determinant, sunt planificate un șir de acțiuni pentru </w:t>
      </w:r>
      <w:r w:rsidR="007F2D52" w:rsidRPr="00A73566">
        <w:rPr>
          <w:rFonts w:ascii="Times New Roman" w:hAnsi="Times New Roman" w:cs="Times New Roman"/>
          <w:lang w:val="ro-RO"/>
        </w:rPr>
        <w:t xml:space="preserve"> </w:t>
      </w:r>
      <w:r w:rsidR="004F16C2" w:rsidRPr="00A73566">
        <w:rPr>
          <w:rFonts w:ascii="Times New Roman" w:hAnsi="Times New Roman" w:cs="Times New Roman"/>
          <w:lang w:val="ro-RO"/>
        </w:rPr>
        <w:t>facilitarea si susținerea</w:t>
      </w:r>
      <w:r w:rsidR="00A62438" w:rsidRPr="00A73566">
        <w:rPr>
          <w:rFonts w:ascii="Times New Roman" w:hAnsi="Times New Roman" w:cs="Times New Roman"/>
          <w:lang w:val="ro-RO"/>
        </w:rPr>
        <w:t xml:space="preserve"> dezvoltării acestui compartiment: (i)  </w:t>
      </w:r>
      <w:bookmarkStart w:id="124" w:name="OLE_LINK1"/>
      <w:r w:rsidR="00CE098D" w:rsidRPr="00A73566">
        <w:rPr>
          <w:rFonts w:ascii="Times New Roman" w:hAnsi="Times New Roman" w:cs="Times New Roman"/>
          <w:lang w:val="ro-RO"/>
        </w:rPr>
        <w:t>e</w:t>
      </w:r>
      <w:r w:rsidR="00A62438" w:rsidRPr="00A73566">
        <w:rPr>
          <w:rFonts w:ascii="Times New Roman" w:hAnsi="Times New Roman" w:cs="Times New Roman"/>
          <w:lang w:val="ro-RO"/>
        </w:rPr>
        <w:t xml:space="preserve">laborarea si implementarea </w:t>
      </w:r>
      <w:bookmarkStart w:id="125" w:name="_Hlk89338242"/>
      <w:r w:rsidR="00A62438" w:rsidRPr="00A73566">
        <w:rPr>
          <w:rFonts w:ascii="Times New Roman" w:hAnsi="Times New Roman" w:cs="Times New Roman"/>
          <w:lang w:val="ro-RO"/>
        </w:rPr>
        <w:t>Programului național pentru digitalizarea si automatizarea proceselor agroindustriale</w:t>
      </w:r>
      <w:bookmarkEnd w:id="124"/>
      <w:bookmarkEnd w:id="125"/>
      <w:r w:rsidR="00A62438" w:rsidRPr="00A73566">
        <w:rPr>
          <w:rFonts w:ascii="Times New Roman" w:hAnsi="Times New Roman" w:cs="Times New Roman"/>
          <w:lang w:val="ro-RO"/>
        </w:rPr>
        <w:t xml:space="preserve">, (ii) </w:t>
      </w:r>
      <w:r w:rsidR="00CE098D" w:rsidRPr="00A73566">
        <w:rPr>
          <w:rFonts w:ascii="Times New Roman" w:hAnsi="Times New Roman" w:cs="Times New Roman"/>
          <w:lang w:val="ro-RO"/>
        </w:rPr>
        <w:t>c</w:t>
      </w:r>
      <w:r w:rsidR="006E1964" w:rsidRPr="00A73566">
        <w:rPr>
          <w:rFonts w:ascii="Times New Roman" w:hAnsi="Times New Roman" w:cs="Times New Roman"/>
          <w:lang w:val="ro-RO"/>
        </w:rPr>
        <w:t>rearea în cadrul Ministerului a unei structuri responsabile de automatizarea și digitalizarea agriculturii și industriei alimentare</w:t>
      </w:r>
      <w:r w:rsidR="00A62438" w:rsidRPr="00A73566">
        <w:rPr>
          <w:rFonts w:ascii="Times New Roman" w:hAnsi="Times New Roman" w:cs="Times New Roman"/>
          <w:lang w:val="ro-RO"/>
        </w:rPr>
        <w:t>.</w:t>
      </w:r>
    </w:p>
    <w:p w14:paraId="77FB1E7B" w14:textId="4BABF365" w:rsidR="00ED5F5A" w:rsidRDefault="00B34C84" w:rsidP="00A45DFD">
      <w:pPr>
        <w:ind w:firstLine="567"/>
        <w:rPr>
          <w:rFonts w:ascii="Times New Roman" w:hAnsi="Times New Roman" w:cs="Times New Roman"/>
          <w:lang w:val="ro-RO"/>
        </w:rPr>
      </w:pPr>
      <w:r w:rsidRPr="00A73566">
        <w:rPr>
          <w:rFonts w:ascii="Times New Roman" w:hAnsi="Times New Roman" w:cs="Times New Roman"/>
          <w:lang w:val="ro-RO"/>
        </w:rPr>
        <w:t xml:space="preserve">Recunoscând dezvoltarea sectorului zootehnic ca una din priorități </w:t>
      </w:r>
      <w:r w:rsidR="000337DE" w:rsidRPr="00A73566">
        <w:rPr>
          <w:rFonts w:ascii="Times New Roman" w:hAnsi="Times New Roman" w:cs="Times New Roman"/>
          <w:lang w:val="ro-RO"/>
        </w:rPr>
        <w:t>î</w:t>
      </w:r>
      <w:r w:rsidRPr="00A73566">
        <w:rPr>
          <w:rFonts w:ascii="Times New Roman" w:hAnsi="Times New Roman" w:cs="Times New Roman"/>
          <w:lang w:val="ro-RO"/>
        </w:rPr>
        <w:t xml:space="preserve">n dezvoltarea unei agriculturi sustenabile, pentru perioada următoare </w:t>
      </w:r>
      <w:r w:rsidR="00073929" w:rsidRPr="00A73566">
        <w:rPr>
          <w:rFonts w:ascii="Times New Roman" w:hAnsi="Times New Roman" w:cs="Times New Roman"/>
          <w:lang w:val="ro-RO"/>
        </w:rPr>
        <w:t xml:space="preserve">va fi </w:t>
      </w:r>
      <w:r w:rsidR="00E91020" w:rsidRPr="00A73566">
        <w:rPr>
          <w:rFonts w:ascii="Times New Roman" w:hAnsi="Times New Roman" w:cs="Times New Roman"/>
          <w:lang w:val="ro-RO"/>
        </w:rPr>
        <w:t>e</w:t>
      </w:r>
      <w:r w:rsidRPr="00A73566">
        <w:rPr>
          <w:rFonts w:ascii="Times New Roman" w:hAnsi="Times New Roman" w:cs="Times New Roman"/>
          <w:lang w:val="ro-RO"/>
        </w:rPr>
        <w:t>labora</w:t>
      </w:r>
      <w:r w:rsidR="00073929" w:rsidRPr="00A73566">
        <w:rPr>
          <w:rFonts w:ascii="Times New Roman" w:hAnsi="Times New Roman" w:cs="Times New Roman"/>
          <w:lang w:val="ro-RO"/>
        </w:rPr>
        <w:t>t</w:t>
      </w:r>
      <w:r w:rsidRPr="00A73566">
        <w:rPr>
          <w:rFonts w:ascii="Times New Roman" w:hAnsi="Times New Roman" w:cs="Times New Roman"/>
          <w:lang w:val="ro-RO"/>
        </w:rPr>
        <w:t xml:space="preserve"> </w:t>
      </w:r>
      <w:r w:rsidR="00073929" w:rsidRPr="00A73566">
        <w:rPr>
          <w:rFonts w:ascii="Times New Roman" w:hAnsi="Times New Roman" w:cs="Times New Roman"/>
          <w:lang w:val="ro-RO"/>
        </w:rPr>
        <w:t>ș</w:t>
      </w:r>
      <w:r w:rsidRPr="00A73566">
        <w:rPr>
          <w:rFonts w:ascii="Times New Roman" w:hAnsi="Times New Roman" w:cs="Times New Roman"/>
          <w:lang w:val="ro-RO"/>
        </w:rPr>
        <w:t>i implementa</w:t>
      </w:r>
      <w:r w:rsidR="00073929" w:rsidRPr="00A73566">
        <w:rPr>
          <w:rFonts w:ascii="Times New Roman" w:hAnsi="Times New Roman" w:cs="Times New Roman"/>
          <w:lang w:val="ro-RO"/>
        </w:rPr>
        <w:t>t</w:t>
      </w:r>
      <w:r w:rsidRPr="00A73566">
        <w:rPr>
          <w:rFonts w:ascii="Times New Roman" w:hAnsi="Times New Roman" w:cs="Times New Roman"/>
          <w:lang w:val="ro-RO"/>
        </w:rPr>
        <w:t xml:space="preserve"> Programul </w:t>
      </w:r>
      <w:r w:rsidR="00E91020" w:rsidRPr="00A73566">
        <w:rPr>
          <w:rFonts w:ascii="Times New Roman" w:hAnsi="Times New Roman" w:cs="Times New Roman"/>
          <w:lang w:val="ro-RO"/>
        </w:rPr>
        <w:t>n</w:t>
      </w:r>
      <w:r w:rsidRPr="00A73566">
        <w:rPr>
          <w:rFonts w:ascii="Times New Roman" w:hAnsi="Times New Roman" w:cs="Times New Roman"/>
          <w:lang w:val="ro-RO"/>
        </w:rPr>
        <w:t xml:space="preserve">ațional de </w:t>
      </w:r>
      <w:r w:rsidR="00E91020" w:rsidRPr="00A73566">
        <w:rPr>
          <w:rFonts w:ascii="Times New Roman" w:hAnsi="Times New Roman" w:cs="Times New Roman"/>
          <w:lang w:val="ro-RO"/>
        </w:rPr>
        <w:t>d</w:t>
      </w:r>
      <w:r w:rsidRPr="00A73566">
        <w:rPr>
          <w:rFonts w:ascii="Times New Roman" w:hAnsi="Times New Roman" w:cs="Times New Roman"/>
          <w:lang w:val="ro-RO"/>
        </w:rPr>
        <w:t>ezvoltarea</w:t>
      </w:r>
      <w:r w:rsidR="0093015D" w:rsidRPr="00A73566">
        <w:rPr>
          <w:rFonts w:ascii="Times New Roman" w:hAnsi="Times New Roman" w:cs="Times New Roman"/>
          <w:lang w:val="ro-RO"/>
        </w:rPr>
        <w:t xml:space="preserve"> a </w:t>
      </w:r>
      <w:r w:rsidRPr="00A73566">
        <w:rPr>
          <w:rFonts w:ascii="Times New Roman" w:hAnsi="Times New Roman" w:cs="Times New Roman"/>
          <w:lang w:val="ro-RO"/>
        </w:rPr>
        <w:t>sectorului zootehnic</w:t>
      </w:r>
      <w:r w:rsidR="0093015D" w:rsidRPr="00A73566">
        <w:rPr>
          <w:rFonts w:ascii="Times New Roman" w:hAnsi="Times New Roman" w:cs="Times New Roman"/>
          <w:lang w:val="ro-RO"/>
        </w:rPr>
        <w:t xml:space="preserve"> care va asigura creșterea volumului de producere animalie</w:t>
      </w:r>
      <w:r w:rsidR="00E91020" w:rsidRPr="00A73566">
        <w:rPr>
          <w:rFonts w:ascii="Times New Roman" w:hAnsi="Times New Roman" w:cs="Times New Roman"/>
          <w:lang w:val="ro-RO"/>
        </w:rPr>
        <w:t>ră de cel pu</w:t>
      </w:r>
      <w:r w:rsidR="00F1784A" w:rsidRPr="00A73566">
        <w:rPr>
          <w:rFonts w:ascii="Times New Roman" w:hAnsi="Times New Roman" w:cs="Times New Roman"/>
          <w:lang w:val="ro-RO"/>
        </w:rPr>
        <w:t>ț</w:t>
      </w:r>
      <w:r w:rsidR="00E91020" w:rsidRPr="00A73566">
        <w:rPr>
          <w:rFonts w:ascii="Times New Roman" w:hAnsi="Times New Roman" w:cs="Times New Roman"/>
          <w:lang w:val="ro-RO"/>
        </w:rPr>
        <w:t>in 1,5 ori</w:t>
      </w:r>
      <w:r w:rsidR="000337DE" w:rsidRPr="00A73566">
        <w:rPr>
          <w:rFonts w:ascii="Times New Roman" w:hAnsi="Times New Roman" w:cs="Times New Roman"/>
          <w:lang w:val="ro-RO"/>
        </w:rPr>
        <w:t xml:space="preserve">. </w:t>
      </w:r>
      <w:r w:rsidR="00F1784A" w:rsidRPr="00A73566">
        <w:rPr>
          <w:rFonts w:ascii="Times New Roman" w:hAnsi="Times New Roman" w:cs="Times New Roman"/>
          <w:lang w:val="ro-RO"/>
        </w:rPr>
        <w:t>De asemenea</w:t>
      </w:r>
      <w:r w:rsidR="00073929" w:rsidRPr="00A73566">
        <w:rPr>
          <w:rFonts w:ascii="Times New Roman" w:hAnsi="Times New Roman" w:cs="Times New Roman"/>
          <w:lang w:val="ro-RO"/>
        </w:rPr>
        <w:t>,</w:t>
      </w:r>
      <w:r w:rsidR="000337DE" w:rsidRPr="00A73566">
        <w:rPr>
          <w:rFonts w:ascii="Times New Roman" w:hAnsi="Times New Roman" w:cs="Times New Roman"/>
          <w:lang w:val="ro-RO"/>
        </w:rPr>
        <w:t xml:space="preserve"> va fi acordat</w:t>
      </w:r>
      <w:r w:rsidR="00073929" w:rsidRPr="00A73566">
        <w:rPr>
          <w:rFonts w:ascii="Times New Roman" w:hAnsi="Times New Roman" w:cs="Times New Roman"/>
          <w:lang w:val="ro-RO"/>
        </w:rPr>
        <w:t>ă</w:t>
      </w:r>
      <w:r w:rsidR="000337DE" w:rsidRPr="00A73566">
        <w:rPr>
          <w:rFonts w:ascii="Times New Roman" w:hAnsi="Times New Roman" w:cs="Times New Roman"/>
          <w:lang w:val="ro-RO"/>
        </w:rPr>
        <w:t xml:space="preserve"> atenție </w:t>
      </w:r>
      <w:r w:rsidR="00073929" w:rsidRPr="00A73566">
        <w:rPr>
          <w:rFonts w:ascii="Times New Roman" w:hAnsi="Times New Roman" w:cs="Times New Roman"/>
          <w:lang w:val="ro-RO"/>
        </w:rPr>
        <w:t xml:space="preserve">prioritară </w:t>
      </w:r>
      <w:r w:rsidR="000337DE" w:rsidRPr="00A73566">
        <w:rPr>
          <w:rFonts w:ascii="Times New Roman" w:hAnsi="Times New Roman" w:cs="Times New Roman"/>
          <w:lang w:val="ro-RO"/>
        </w:rPr>
        <w:t>sectoare</w:t>
      </w:r>
      <w:r w:rsidR="00F1784A" w:rsidRPr="00A73566">
        <w:rPr>
          <w:rFonts w:ascii="Times New Roman" w:hAnsi="Times New Roman" w:cs="Times New Roman"/>
          <w:lang w:val="ro-RO"/>
        </w:rPr>
        <w:t>lor de p</w:t>
      </w:r>
      <w:r w:rsidR="000337DE" w:rsidRPr="00A73566">
        <w:rPr>
          <w:rFonts w:ascii="Times New Roman" w:hAnsi="Times New Roman" w:cs="Times New Roman"/>
          <w:lang w:val="ro-RO"/>
        </w:rPr>
        <w:t>roducere</w:t>
      </w:r>
      <w:r w:rsidR="00073929" w:rsidRPr="00A73566">
        <w:rPr>
          <w:rFonts w:ascii="Times New Roman" w:hAnsi="Times New Roman" w:cs="Times New Roman"/>
          <w:lang w:val="ro-RO"/>
        </w:rPr>
        <w:t xml:space="preserve"> </w:t>
      </w:r>
      <w:r w:rsidR="000337DE" w:rsidRPr="00A73566">
        <w:rPr>
          <w:rFonts w:ascii="Times New Roman" w:hAnsi="Times New Roman" w:cs="Times New Roman"/>
          <w:lang w:val="ro-RO"/>
        </w:rPr>
        <w:t xml:space="preserve">a laptelui </w:t>
      </w:r>
      <w:r w:rsidR="00073929" w:rsidRPr="00A73566">
        <w:rPr>
          <w:rFonts w:ascii="Times New Roman" w:hAnsi="Times New Roman" w:cs="Times New Roman"/>
          <w:lang w:val="ro-RO"/>
        </w:rPr>
        <w:t>ș</w:t>
      </w:r>
      <w:r w:rsidR="000337DE" w:rsidRPr="00A73566">
        <w:rPr>
          <w:rFonts w:ascii="Times New Roman" w:hAnsi="Times New Roman" w:cs="Times New Roman"/>
          <w:lang w:val="ro-RO"/>
        </w:rPr>
        <w:t>i c</w:t>
      </w:r>
      <w:r w:rsidR="00073929" w:rsidRPr="00A73566">
        <w:rPr>
          <w:rFonts w:ascii="Times New Roman" w:hAnsi="Times New Roman" w:cs="Times New Roman"/>
          <w:lang w:val="ro-RO"/>
        </w:rPr>
        <w:t>ă</w:t>
      </w:r>
      <w:r w:rsidR="000337DE" w:rsidRPr="00A73566">
        <w:rPr>
          <w:rFonts w:ascii="Times New Roman" w:hAnsi="Times New Roman" w:cs="Times New Roman"/>
          <w:lang w:val="ro-RO"/>
        </w:rPr>
        <w:t>rnii, apicultur</w:t>
      </w:r>
      <w:r w:rsidR="00073929" w:rsidRPr="00A73566">
        <w:rPr>
          <w:rFonts w:ascii="Times New Roman" w:hAnsi="Times New Roman" w:cs="Times New Roman"/>
          <w:lang w:val="ro-RO"/>
        </w:rPr>
        <w:t>ii</w:t>
      </w:r>
      <w:r w:rsidR="000337DE" w:rsidRPr="00A73566">
        <w:rPr>
          <w:rFonts w:ascii="Times New Roman" w:hAnsi="Times New Roman" w:cs="Times New Roman"/>
          <w:lang w:val="ro-RO"/>
        </w:rPr>
        <w:t xml:space="preserve"> avicultur</w:t>
      </w:r>
      <w:r w:rsidR="00073929" w:rsidRPr="00A73566">
        <w:rPr>
          <w:rFonts w:ascii="Times New Roman" w:hAnsi="Times New Roman" w:cs="Times New Roman"/>
          <w:lang w:val="ro-RO"/>
        </w:rPr>
        <w:t>ii</w:t>
      </w:r>
      <w:r w:rsidR="000337DE" w:rsidRPr="00A73566">
        <w:rPr>
          <w:rFonts w:ascii="Times New Roman" w:hAnsi="Times New Roman" w:cs="Times New Roman"/>
          <w:lang w:val="ro-RO"/>
        </w:rPr>
        <w:t xml:space="preserve"> și </w:t>
      </w:r>
      <w:r w:rsidR="00A72892" w:rsidRPr="00A73566">
        <w:rPr>
          <w:rFonts w:ascii="Times New Roman" w:hAnsi="Times New Roman" w:cs="Times New Roman"/>
          <w:lang w:val="ro-RO"/>
        </w:rPr>
        <w:t>aqua cultur</w:t>
      </w:r>
      <w:r w:rsidR="00073929" w:rsidRPr="00A73566">
        <w:rPr>
          <w:rFonts w:ascii="Times New Roman" w:hAnsi="Times New Roman" w:cs="Times New Roman"/>
          <w:lang w:val="ro-RO"/>
        </w:rPr>
        <w:t>ii</w:t>
      </w:r>
      <w:r w:rsidR="000337DE" w:rsidRPr="00A73566">
        <w:rPr>
          <w:rFonts w:ascii="Times New Roman" w:hAnsi="Times New Roman" w:cs="Times New Roman"/>
          <w:lang w:val="ro-RO"/>
        </w:rPr>
        <w:t>.</w:t>
      </w:r>
    </w:p>
    <w:p w14:paraId="1EA536F2" w14:textId="77777777" w:rsidR="00A45DFD" w:rsidRDefault="00A45DFD" w:rsidP="00A45DFD">
      <w:pPr>
        <w:ind w:firstLine="567"/>
        <w:rPr>
          <w:rFonts w:ascii="Times New Roman" w:hAnsi="Times New Roman" w:cs="Times New Roman"/>
          <w:lang w:val="ro-RO"/>
        </w:rPr>
      </w:pPr>
    </w:p>
    <w:p w14:paraId="774A6899" w14:textId="77777777" w:rsidR="003E5B33" w:rsidRPr="00A73566" w:rsidRDefault="003E5B33" w:rsidP="00A45DFD">
      <w:pPr>
        <w:ind w:firstLine="567"/>
        <w:rPr>
          <w:rFonts w:ascii="Times New Roman" w:hAnsi="Times New Roman" w:cs="Times New Roman"/>
          <w:lang w:val="ro-RO"/>
        </w:rPr>
      </w:pPr>
    </w:p>
    <w:p w14:paraId="6C2A1330" w14:textId="6C05323C" w:rsidR="001E0A0D" w:rsidRPr="00A73566" w:rsidRDefault="001E0A0D" w:rsidP="00E720EE">
      <w:pPr>
        <w:pStyle w:val="ListParagraph"/>
        <w:numPr>
          <w:ilvl w:val="1"/>
          <w:numId w:val="11"/>
        </w:numPr>
        <w:rPr>
          <w:rFonts w:ascii="Times New Roman" w:hAnsi="Times New Roman" w:cs="Times New Roman"/>
          <w:i/>
          <w:iCs/>
          <w:color w:val="auto"/>
          <w:lang w:val="ro-RO"/>
        </w:rPr>
      </w:pPr>
      <w:r w:rsidRPr="00A73566">
        <w:rPr>
          <w:rFonts w:ascii="Times New Roman" w:hAnsi="Times New Roman" w:cs="Times New Roman"/>
          <w:i/>
          <w:iCs/>
          <w:color w:val="auto"/>
          <w:lang w:val="ro-RO"/>
        </w:rPr>
        <w:t>Dezvoltarea lanțurilor alimentare și de producție în agricultură și promovarea cooperării.</w:t>
      </w:r>
    </w:p>
    <w:p w14:paraId="41962541" w14:textId="755DEA65" w:rsidR="00427F19" w:rsidRPr="00A73566" w:rsidRDefault="00AA6DA3" w:rsidP="00A45DFD">
      <w:pPr>
        <w:ind w:firstLine="567"/>
        <w:rPr>
          <w:rFonts w:ascii="Times New Roman" w:hAnsi="Times New Roman" w:cs="Times New Roman"/>
          <w:lang w:val="ro-RO"/>
        </w:rPr>
      </w:pPr>
      <w:r w:rsidRPr="00A73566">
        <w:rPr>
          <w:rFonts w:ascii="Times New Roman" w:hAnsi="Times New Roman" w:cs="Times New Roman"/>
          <w:lang w:val="ro-RO"/>
        </w:rPr>
        <w:t>De rând cu efectele pozitive ale procesului de privatizare în agricultură</w:t>
      </w:r>
      <w:r w:rsidR="00E3129B" w:rsidRPr="00A73566">
        <w:rPr>
          <w:rFonts w:ascii="Times New Roman" w:hAnsi="Times New Roman" w:cs="Times New Roman"/>
          <w:lang w:val="ro-RO"/>
        </w:rPr>
        <w:t>,</w:t>
      </w:r>
      <w:r w:rsidRPr="00A73566">
        <w:rPr>
          <w:rFonts w:ascii="Times New Roman" w:hAnsi="Times New Roman" w:cs="Times New Roman"/>
          <w:lang w:val="ro-RO"/>
        </w:rPr>
        <w:t xml:space="preserve"> </w:t>
      </w:r>
      <w:r w:rsidR="00CD3805" w:rsidRPr="00A73566">
        <w:rPr>
          <w:rFonts w:ascii="Times New Roman" w:hAnsi="Times New Roman" w:cs="Times New Roman"/>
          <w:lang w:val="ro-RO"/>
        </w:rPr>
        <w:t>si-au făcut apariția si unele fenomene negative</w:t>
      </w:r>
      <w:r w:rsidR="00E3129B" w:rsidRPr="00A73566">
        <w:rPr>
          <w:rFonts w:ascii="Times New Roman" w:hAnsi="Times New Roman" w:cs="Times New Roman"/>
          <w:lang w:val="ro-RO"/>
        </w:rPr>
        <w:t>, cum ar fi</w:t>
      </w:r>
      <w:r w:rsidR="00CD3805" w:rsidRPr="00A73566">
        <w:rPr>
          <w:rFonts w:ascii="Times New Roman" w:hAnsi="Times New Roman" w:cs="Times New Roman"/>
          <w:lang w:val="ro-RO"/>
        </w:rPr>
        <w:t xml:space="preserve"> </w:t>
      </w:r>
      <w:r w:rsidR="000C7A85" w:rsidRPr="00A73566">
        <w:rPr>
          <w:rFonts w:ascii="Times New Roman" w:hAnsi="Times New Roman" w:cs="Times New Roman"/>
          <w:lang w:val="ro-RO"/>
        </w:rPr>
        <w:t>parcelarea</w:t>
      </w:r>
      <w:r w:rsidR="00CD3805" w:rsidRPr="00A73566">
        <w:rPr>
          <w:rFonts w:ascii="Times New Roman" w:hAnsi="Times New Roman" w:cs="Times New Roman"/>
          <w:lang w:val="ro-RO"/>
        </w:rPr>
        <w:t xml:space="preserve"> excesiva a terenurilor agricole, </w:t>
      </w:r>
      <w:r w:rsidR="000C7A85" w:rsidRPr="00A73566">
        <w:rPr>
          <w:rFonts w:ascii="Times New Roman" w:hAnsi="Times New Roman" w:cs="Times New Roman"/>
          <w:lang w:val="ro-RO"/>
        </w:rPr>
        <w:t>dezmembrarea</w:t>
      </w:r>
      <w:r w:rsidR="00CD3805" w:rsidRPr="00A73566">
        <w:rPr>
          <w:rFonts w:ascii="Times New Roman" w:hAnsi="Times New Roman" w:cs="Times New Roman"/>
          <w:lang w:val="ro-RO"/>
        </w:rPr>
        <w:t xml:space="preserve"> fermelor animaliere </w:t>
      </w:r>
      <w:r w:rsidR="00E3129B" w:rsidRPr="00A73566">
        <w:rPr>
          <w:rFonts w:ascii="Times New Roman" w:hAnsi="Times New Roman" w:cs="Times New Roman"/>
          <w:lang w:val="ro-RO"/>
        </w:rPr>
        <w:t>ș</w:t>
      </w:r>
      <w:r w:rsidR="00CD3805" w:rsidRPr="00A73566">
        <w:rPr>
          <w:rFonts w:ascii="Times New Roman" w:hAnsi="Times New Roman" w:cs="Times New Roman"/>
          <w:lang w:val="ro-RO"/>
        </w:rPr>
        <w:t xml:space="preserve">i a </w:t>
      </w:r>
      <w:r w:rsidR="000C7A85" w:rsidRPr="00A73566">
        <w:rPr>
          <w:rFonts w:ascii="Times New Roman" w:hAnsi="Times New Roman" w:cs="Times New Roman"/>
          <w:lang w:val="ro-RO"/>
        </w:rPr>
        <w:t>unităților</w:t>
      </w:r>
      <w:r w:rsidR="00CD3805" w:rsidRPr="00A73566">
        <w:rPr>
          <w:rFonts w:ascii="Times New Roman" w:hAnsi="Times New Roman" w:cs="Times New Roman"/>
          <w:lang w:val="ro-RO"/>
        </w:rPr>
        <w:t xml:space="preserve"> de procesare</w:t>
      </w:r>
      <w:r w:rsidR="000C7A85" w:rsidRPr="00A73566">
        <w:rPr>
          <w:rFonts w:ascii="Times New Roman" w:hAnsi="Times New Roman" w:cs="Times New Roman"/>
          <w:lang w:val="ro-RO"/>
        </w:rPr>
        <w:t xml:space="preserve">. </w:t>
      </w:r>
      <w:r w:rsidR="005E4795" w:rsidRPr="00A73566">
        <w:rPr>
          <w:rFonts w:ascii="Times New Roman" w:hAnsi="Times New Roman" w:cs="Times New Roman"/>
          <w:lang w:val="ro-RO"/>
        </w:rPr>
        <w:t>S</w:t>
      </w:r>
      <w:r w:rsidR="00BC7B63" w:rsidRPr="00A73566">
        <w:rPr>
          <w:rFonts w:ascii="Times New Roman" w:hAnsi="Times New Roman" w:cs="Times New Roman"/>
          <w:lang w:val="ro-RO"/>
        </w:rPr>
        <w:t xml:space="preserve">pecificul </w:t>
      </w:r>
      <w:r w:rsidR="00720423" w:rsidRPr="00A73566">
        <w:rPr>
          <w:rFonts w:ascii="Times New Roman" w:hAnsi="Times New Roman" w:cs="Times New Roman"/>
          <w:lang w:val="ro-RO"/>
        </w:rPr>
        <w:t>de moment a</w:t>
      </w:r>
      <w:r w:rsidR="00E3129B" w:rsidRPr="00A73566">
        <w:rPr>
          <w:rFonts w:ascii="Times New Roman" w:hAnsi="Times New Roman" w:cs="Times New Roman"/>
          <w:lang w:val="ro-RO"/>
        </w:rPr>
        <w:t>l</w:t>
      </w:r>
      <w:r w:rsidR="00720423" w:rsidRPr="00A73566">
        <w:rPr>
          <w:rFonts w:ascii="Times New Roman" w:hAnsi="Times New Roman" w:cs="Times New Roman"/>
          <w:lang w:val="ro-RO"/>
        </w:rPr>
        <w:t xml:space="preserve"> </w:t>
      </w:r>
      <w:r w:rsidR="00BC7B63" w:rsidRPr="00A73566">
        <w:rPr>
          <w:rFonts w:ascii="Times New Roman" w:hAnsi="Times New Roman" w:cs="Times New Roman"/>
          <w:lang w:val="ro-RO"/>
        </w:rPr>
        <w:t xml:space="preserve">pieței de producere </w:t>
      </w:r>
      <w:r w:rsidR="00D91394" w:rsidRPr="00A73566">
        <w:rPr>
          <w:rFonts w:ascii="Times New Roman" w:hAnsi="Times New Roman" w:cs="Times New Roman"/>
          <w:lang w:val="ro-RO"/>
        </w:rPr>
        <w:t xml:space="preserve">denota faptul </w:t>
      </w:r>
      <w:r w:rsidR="005E4795" w:rsidRPr="00A73566">
        <w:rPr>
          <w:rFonts w:ascii="Times New Roman" w:hAnsi="Times New Roman" w:cs="Times New Roman"/>
          <w:lang w:val="ro-RO"/>
        </w:rPr>
        <w:t>c</w:t>
      </w:r>
      <w:r w:rsidR="00E3129B" w:rsidRPr="00A73566">
        <w:rPr>
          <w:rFonts w:ascii="Times New Roman" w:hAnsi="Times New Roman" w:cs="Times New Roman"/>
          <w:lang w:val="ro-RO"/>
        </w:rPr>
        <w:t>ă</w:t>
      </w:r>
      <w:r w:rsidR="005E4795" w:rsidRPr="00A73566">
        <w:rPr>
          <w:rFonts w:ascii="Times New Roman" w:hAnsi="Times New Roman" w:cs="Times New Roman"/>
          <w:lang w:val="ro-RO"/>
        </w:rPr>
        <w:t xml:space="preserve"> </w:t>
      </w:r>
      <w:r w:rsidR="00BC7B63" w:rsidRPr="00A73566">
        <w:rPr>
          <w:rFonts w:ascii="Times New Roman" w:hAnsi="Times New Roman" w:cs="Times New Roman"/>
          <w:lang w:val="ro-RO"/>
        </w:rPr>
        <w:t xml:space="preserve">circa ¾ din totalul entităților agricole reprezintă întreprinderile mici </w:t>
      </w:r>
      <w:r w:rsidR="00E3129B" w:rsidRPr="00A73566">
        <w:rPr>
          <w:rFonts w:ascii="Times New Roman" w:hAnsi="Times New Roman" w:cs="Times New Roman"/>
          <w:lang w:val="ro-RO"/>
        </w:rPr>
        <w:t>ș</w:t>
      </w:r>
      <w:r w:rsidR="00BC7B63" w:rsidRPr="00A73566">
        <w:rPr>
          <w:rFonts w:ascii="Times New Roman" w:hAnsi="Times New Roman" w:cs="Times New Roman"/>
          <w:lang w:val="ro-RO"/>
        </w:rPr>
        <w:t>i mijlocii</w:t>
      </w:r>
      <w:r w:rsidR="005E4795" w:rsidRPr="00A73566">
        <w:rPr>
          <w:rFonts w:ascii="Times New Roman" w:hAnsi="Times New Roman" w:cs="Times New Roman"/>
          <w:lang w:val="ro-RO"/>
        </w:rPr>
        <w:t xml:space="preserve">, care </w:t>
      </w:r>
      <w:r w:rsidR="00B84424" w:rsidRPr="00A73566">
        <w:rPr>
          <w:rFonts w:ascii="Times New Roman" w:hAnsi="Times New Roman" w:cs="Times New Roman"/>
          <w:lang w:val="ro-RO"/>
        </w:rPr>
        <w:t xml:space="preserve">asigură </w:t>
      </w:r>
      <w:r w:rsidR="005E4795" w:rsidRPr="00A73566">
        <w:rPr>
          <w:rFonts w:ascii="Times New Roman" w:hAnsi="Times New Roman" w:cs="Times New Roman"/>
          <w:lang w:val="ro-RO"/>
        </w:rPr>
        <w:t xml:space="preserve">circa 45% din </w:t>
      </w:r>
      <w:r w:rsidR="00B84424" w:rsidRPr="00A73566">
        <w:rPr>
          <w:rFonts w:ascii="Times New Roman" w:hAnsi="Times New Roman" w:cs="Times New Roman"/>
          <w:lang w:val="ro-RO"/>
        </w:rPr>
        <w:t xml:space="preserve">producția de </w:t>
      </w:r>
      <w:r w:rsidR="005E4795" w:rsidRPr="00A73566">
        <w:rPr>
          <w:rFonts w:ascii="Times New Roman" w:hAnsi="Times New Roman" w:cs="Times New Roman"/>
          <w:lang w:val="ro-RO"/>
        </w:rPr>
        <w:t xml:space="preserve">carne, 90% </w:t>
      </w:r>
      <w:r w:rsidR="00B84424" w:rsidRPr="00A73566">
        <w:rPr>
          <w:rFonts w:ascii="Times New Roman" w:hAnsi="Times New Roman" w:cs="Times New Roman"/>
          <w:lang w:val="ro-RO"/>
        </w:rPr>
        <w:t>-</w:t>
      </w:r>
      <w:r w:rsidR="005E4795" w:rsidRPr="00A73566">
        <w:rPr>
          <w:rFonts w:ascii="Times New Roman" w:hAnsi="Times New Roman" w:cs="Times New Roman"/>
          <w:lang w:val="ro-RO"/>
        </w:rPr>
        <w:t xml:space="preserve"> lapte</w:t>
      </w:r>
      <w:r w:rsidR="00D91394" w:rsidRPr="00A73566">
        <w:rPr>
          <w:rFonts w:ascii="Times New Roman" w:hAnsi="Times New Roman" w:cs="Times New Roman"/>
          <w:lang w:val="ro-RO"/>
        </w:rPr>
        <w:t>, 50%</w:t>
      </w:r>
      <w:r w:rsidR="00B84424" w:rsidRPr="00A73566">
        <w:rPr>
          <w:rFonts w:ascii="Times New Roman" w:hAnsi="Times New Roman" w:cs="Times New Roman"/>
          <w:lang w:val="ro-RO"/>
        </w:rPr>
        <w:t xml:space="preserve"> -</w:t>
      </w:r>
      <w:r w:rsidR="00D91394" w:rsidRPr="00A73566">
        <w:rPr>
          <w:rFonts w:ascii="Times New Roman" w:hAnsi="Times New Roman" w:cs="Times New Roman"/>
          <w:lang w:val="ro-RO"/>
        </w:rPr>
        <w:t xml:space="preserve"> cereale și leguminoase, 30% </w:t>
      </w:r>
      <w:r w:rsidR="00B84424" w:rsidRPr="00A73566">
        <w:rPr>
          <w:rFonts w:ascii="Times New Roman" w:hAnsi="Times New Roman" w:cs="Times New Roman"/>
          <w:lang w:val="ro-RO"/>
        </w:rPr>
        <w:t xml:space="preserve">- </w:t>
      </w:r>
      <w:r w:rsidR="00D91394" w:rsidRPr="00A73566">
        <w:rPr>
          <w:rFonts w:ascii="Times New Roman" w:hAnsi="Times New Roman" w:cs="Times New Roman"/>
          <w:lang w:val="ro-RO"/>
        </w:rPr>
        <w:t xml:space="preserve">floarea soarelui </w:t>
      </w:r>
      <w:r w:rsidR="00E3129B" w:rsidRPr="00A73566">
        <w:rPr>
          <w:rFonts w:ascii="Times New Roman" w:hAnsi="Times New Roman" w:cs="Times New Roman"/>
          <w:lang w:val="ro-RO"/>
        </w:rPr>
        <w:t>ș</w:t>
      </w:r>
      <w:r w:rsidR="00D91394" w:rsidRPr="00A73566">
        <w:rPr>
          <w:rFonts w:ascii="Times New Roman" w:hAnsi="Times New Roman" w:cs="Times New Roman"/>
          <w:lang w:val="ro-RO"/>
        </w:rPr>
        <w:t xml:space="preserve">i 80% </w:t>
      </w:r>
      <w:r w:rsidR="00B84424" w:rsidRPr="00A73566">
        <w:rPr>
          <w:rFonts w:ascii="Times New Roman" w:hAnsi="Times New Roman" w:cs="Times New Roman"/>
          <w:lang w:val="ro-RO"/>
        </w:rPr>
        <w:t xml:space="preserve">- </w:t>
      </w:r>
      <w:r w:rsidR="00D91394" w:rsidRPr="00A73566">
        <w:rPr>
          <w:rFonts w:ascii="Times New Roman" w:hAnsi="Times New Roman" w:cs="Times New Roman"/>
          <w:lang w:val="ro-RO"/>
        </w:rPr>
        <w:t xml:space="preserve">legume. </w:t>
      </w:r>
      <w:r w:rsidR="001E0A0D" w:rsidRPr="00A73566">
        <w:rPr>
          <w:rFonts w:ascii="Times New Roman" w:hAnsi="Times New Roman" w:cs="Times New Roman"/>
          <w:lang w:val="ro-RO"/>
        </w:rPr>
        <w:t>Abordarea fragmentată a intervențiil</w:t>
      </w:r>
      <w:r w:rsidR="00D91394" w:rsidRPr="00A73566">
        <w:rPr>
          <w:rFonts w:ascii="Times New Roman" w:hAnsi="Times New Roman" w:cs="Times New Roman"/>
          <w:lang w:val="ro-RO"/>
        </w:rPr>
        <w:t>or</w:t>
      </w:r>
      <w:r w:rsidR="001E0A0D" w:rsidRPr="00A73566">
        <w:rPr>
          <w:rFonts w:ascii="Times New Roman" w:hAnsi="Times New Roman" w:cs="Times New Roman"/>
          <w:lang w:val="ro-RO"/>
        </w:rPr>
        <w:t xml:space="preserve"> de sprijin din partea statului a reușit</w:t>
      </w:r>
      <w:r w:rsidR="00E3129B" w:rsidRPr="00A73566">
        <w:rPr>
          <w:rFonts w:ascii="Times New Roman" w:hAnsi="Times New Roman" w:cs="Times New Roman"/>
          <w:lang w:val="ro-RO"/>
        </w:rPr>
        <w:t>,</w:t>
      </w:r>
      <w:r w:rsidR="001E0A0D" w:rsidRPr="00A73566">
        <w:rPr>
          <w:rFonts w:ascii="Times New Roman" w:hAnsi="Times New Roman" w:cs="Times New Roman"/>
          <w:lang w:val="ro-RO"/>
        </w:rPr>
        <w:t xml:space="preserve"> într-o manieră foarte limitată</w:t>
      </w:r>
      <w:r w:rsidR="00E3129B" w:rsidRPr="00A73566">
        <w:rPr>
          <w:rFonts w:ascii="Times New Roman" w:hAnsi="Times New Roman" w:cs="Times New Roman"/>
          <w:lang w:val="ro-RO"/>
        </w:rPr>
        <w:t>,</w:t>
      </w:r>
      <w:r w:rsidR="001E0A0D" w:rsidRPr="00A73566">
        <w:rPr>
          <w:rFonts w:ascii="Times New Roman" w:hAnsi="Times New Roman" w:cs="Times New Roman"/>
          <w:lang w:val="ro-RO"/>
        </w:rPr>
        <w:t xml:space="preserve"> să favorizeze </w:t>
      </w:r>
      <w:r w:rsidR="00D91394" w:rsidRPr="00A73566">
        <w:rPr>
          <w:rFonts w:ascii="Times New Roman" w:hAnsi="Times New Roman" w:cs="Times New Roman"/>
          <w:lang w:val="ro-RO"/>
        </w:rPr>
        <w:t xml:space="preserve">dezvoltarea acestei categorii de producători. </w:t>
      </w:r>
      <w:r w:rsidR="00FE593F" w:rsidRPr="00A73566">
        <w:rPr>
          <w:rFonts w:ascii="Times New Roman" w:hAnsi="Times New Roman" w:cs="Times New Roman"/>
          <w:lang w:val="ro-RO"/>
        </w:rPr>
        <w:t xml:space="preserve">Mai mult </w:t>
      </w:r>
      <w:r w:rsidR="00EA1DFC" w:rsidRPr="00A73566">
        <w:rPr>
          <w:rFonts w:ascii="Times New Roman" w:hAnsi="Times New Roman" w:cs="Times New Roman"/>
          <w:lang w:val="ro-RO"/>
        </w:rPr>
        <w:t xml:space="preserve">ca </w:t>
      </w:r>
      <w:r w:rsidR="00FE593F" w:rsidRPr="00A73566">
        <w:rPr>
          <w:rFonts w:ascii="Times New Roman" w:hAnsi="Times New Roman" w:cs="Times New Roman"/>
          <w:lang w:val="ro-RO"/>
        </w:rPr>
        <w:t>atât, insuficien</w:t>
      </w:r>
      <w:r w:rsidR="00E3129B" w:rsidRPr="00A73566">
        <w:rPr>
          <w:rFonts w:ascii="Times New Roman" w:hAnsi="Times New Roman" w:cs="Times New Roman"/>
          <w:lang w:val="ro-RO"/>
        </w:rPr>
        <w:t>ț</w:t>
      </w:r>
      <w:r w:rsidR="00FE593F" w:rsidRPr="00A73566">
        <w:rPr>
          <w:rFonts w:ascii="Times New Roman" w:hAnsi="Times New Roman" w:cs="Times New Roman"/>
          <w:lang w:val="ro-RO"/>
        </w:rPr>
        <w:t xml:space="preserve">a suportului financiar și tehnic pentru </w:t>
      </w:r>
      <w:r w:rsidR="00AF6F62" w:rsidRPr="00A73566">
        <w:rPr>
          <w:rFonts w:ascii="Times New Roman" w:hAnsi="Times New Roman" w:cs="Times New Roman"/>
          <w:lang w:val="ro-RO"/>
        </w:rPr>
        <w:t>gospodăriile</w:t>
      </w:r>
      <w:r w:rsidR="00FE593F" w:rsidRPr="00A73566">
        <w:rPr>
          <w:rFonts w:ascii="Times New Roman" w:hAnsi="Times New Roman" w:cs="Times New Roman"/>
          <w:lang w:val="ro-RO"/>
        </w:rPr>
        <w:t xml:space="preserve"> mici și </w:t>
      </w:r>
      <w:r w:rsidR="00AF6F62" w:rsidRPr="00A73566">
        <w:rPr>
          <w:rFonts w:ascii="Times New Roman" w:hAnsi="Times New Roman" w:cs="Times New Roman"/>
          <w:lang w:val="ro-RO"/>
        </w:rPr>
        <w:t>mijlocii</w:t>
      </w:r>
      <w:r w:rsidR="00FE593F" w:rsidRPr="00A73566">
        <w:rPr>
          <w:rFonts w:ascii="Times New Roman" w:hAnsi="Times New Roman" w:cs="Times New Roman"/>
          <w:lang w:val="ro-RO"/>
        </w:rPr>
        <w:t xml:space="preserve"> au dus la </w:t>
      </w:r>
      <w:r w:rsidR="00AF6F62" w:rsidRPr="00A73566">
        <w:rPr>
          <w:rFonts w:ascii="Times New Roman" w:hAnsi="Times New Roman" w:cs="Times New Roman"/>
          <w:lang w:val="ro-RO"/>
        </w:rPr>
        <w:t>aprofundarea</w:t>
      </w:r>
      <w:r w:rsidR="00FE593F" w:rsidRPr="00A73566">
        <w:rPr>
          <w:rFonts w:ascii="Times New Roman" w:hAnsi="Times New Roman" w:cs="Times New Roman"/>
          <w:lang w:val="ro-RO"/>
        </w:rPr>
        <w:t xml:space="preserve"> unor probleme sistem</w:t>
      </w:r>
      <w:r w:rsidR="005A2750" w:rsidRPr="00A73566">
        <w:rPr>
          <w:rFonts w:ascii="Times New Roman" w:hAnsi="Times New Roman" w:cs="Times New Roman"/>
          <w:lang w:val="ro-RO"/>
        </w:rPr>
        <w:t>ice</w:t>
      </w:r>
      <w:r w:rsidR="00FE593F" w:rsidRPr="00A73566">
        <w:rPr>
          <w:rFonts w:ascii="Times New Roman" w:hAnsi="Times New Roman" w:cs="Times New Roman"/>
          <w:lang w:val="ro-RO"/>
        </w:rPr>
        <w:t xml:space="preserve"> di</w:t>
      </w:r>
      <w:r w:rsidR="00AF6F62" w:rsidRPr="00A73566">
        <w:rPr>
          <w:rFonts w:ascii="Times New Roman" w:hAnsi="Times New Roman" w:cs="Times New Roman"/>
          <w:lang w:val="ro-RO"/>
        </w:rPr>
        <w:t>n</w:t>
      </w:r>
      <w:r w:rsidR="00FE593F" w:rsidRPr="00A73566">
        <w:rPr>
          <w:rFonts w:ascii="Times New Roman" w:hAnsi="Times New Roman" w:cs="Times New Roman"/>
          <w:lang w:val="ro-RO"/>
        </w:rPr>
        <w:t xml:space="preserve"> sector </w:t>
      </w:r>
      <w:r w:rsidR="00E3129B" w:rsidRPr="00A73566">
        <w:rPr>
          <w:rFonts w:ascii="Times New Roman" w:hAnsi="Times New Roman" w:cs="Times New Roman"/>
          <w:lang w:val="ro-RO"/>
        </w:rPr>
        <w:t>cum ar fi</w:t>
      </w:r>
      <w:r w:rsidR="00FE593F" w:rsidRPr="00A73566">
        <w:rPr>
          <w:rFonts w:ascii="Times New Roman" w:hAnsi="Times New Roman" w:cs="Times New Roman"/>
          <w:lang w:val="ro-RO"/>
        </w:rPr>
        <w:t xml:space="preserve">: </w:t>
      </w:r>
      <w:r w:rsidR="00AF6F62" w:rsidRPr="00A73566">
        <w:rPr>
          <w:rFonts w:ascii="Times New Roman" w:hAnsi="Times New Roman" w:cs="Times New Roman"/>
          <w:lang w:val="ro-RO"/>
        </w:rPr>
        <w:t xml:space="preserve">gradul de implementare a tehnologiilor performante, cantitatea </w:t>
      </w:r>
      <w:r w:rsidR="00E3129B" w:rsidRPr="00A73566">
        <w:rPr>
          <w:rFonts w:ascii="Times New Roman" w:hAnsi="Times New Roman" w:cs="Times New Roman"/>
          <w:lang w:val="ro-RO"/>
        </w:rPr>
        <w:t>ț</w:t>
      </w:r>
      <w:r w:rsidR="00AF6F62" w:rsidRPr="00A73566">
        <w:rPr>
          <w:rFonts w:ascii="Times New Roman" w:hAnsi="Times New Roman" w:cs="Times New Roman"/>
          <w:lang w:val="ro-RO"/>
        </w:rPr>
        <w:t>i siguranța produselor agroindustriale, capacitatea de a face față concurenței</w:t>
      </w:r>
      <w:r w:rsidR="00951757" w:rsidRPr="00A73566">
        <w:rPr>
          <w:rFonts w:ascii="Times New Roman" w:hAnsi="Times New Roman" w:cs="Times New Roman"/>
          <w:lang w:val="ro-RO"/>
        </w:rPr>
        <w:t xml:space="preserve">, </w:t>
      </w:r>
      <w:r w:rsidR="005A2750" w:rsidRPr="00A73566">
        <w:rPr>
          <w:rFonts w:ascii="Times New Roman" w:hAnsi="Times New Roman" w:cs="Times New Roman"/>
          <w:lang w:val="ro-RO"/>
        </w:rPr>
        <w:t>venituril</w:t>
      </w:r>
      <w:r w:rsidR="00E3129B" w:rsidRPr="00A73566">
        <w:rPr>
          <w:rFonts w:ascii="Times New Roman" w:hAnsi="Times New Roman" w:cs="Times New Roman"/>
          <w:lang w:val="ro-RO"/>
        </w:rPr>
        <w:t>e</w:t>
      </w:r>
      <w:r w:rsidR="00C34183" w:rsidRPr="00A73566">
        <w:rPr>
          <w:rFonts w:ascii="Times New Roman" w:hAnsi="Times New Roman" w:cs="Times New Roman"/>
          <w:lang w:val="ro-RO"/>
        </w:rPr>
        <w:t xml:space="preserve"> obținute</w:t>
      </w:r>
      <w:r w:rsidR="00951757" w:rsidRPr="00A73566">
        <w:rPr>
          <w:rFonts w:ascii="Times New Roman" w:hAnsi="Times New Roman" w:cs="Times New Roman"/>
          <w:lang w:val="ro-RO"/>
        </w:rPr>
        <w:t xml:space="preserve"> de către fermieri</w:t>
      </w:r>
      <w:r w:rsidR="00C34183" w:rsidRPr="00A73566">
        <w:rPr>
          <w:rFonts w:ascii="Times New Roman" w:hAnsi="Times New Roman" w:cs="Times New Roman"/>
          <w:lang w:val="ro-RO"/>
        </w:rPr>
        <w:t>. Nu mai puțin important</w:t>
      </w:r>
      <w:r w:rsidR="00E3129B" w:rsidRPr="00A73566">
        <w:rPr>
          <w:rFonts w:ascii="Times New Roman" w:hAnsi="Times New Roman" w:cs="Times New Roman"/>
          <w:lang w:val="ro-RO"/>
        </w:rPr>
        <w:t>ă</w:t>
      </w:r>
      <w:r w:rsidR="00C34183" w:rsidRPr="00A73566">
        <w:rPr>
          <w:rFonts w:ascii="Times New Roman" w:hAnsi="Times New Roman" w:cs="Times New Roman"/>
          <w:lang w:val="ro-RO"/>
        </w:rPr>
        <w:t xml:space="preserve"> pentru dezvoltarea fermierilor mici și mijlocii rămâne a fi problema cooperații</w:t>
      </w:r>
      <w:r w:rsidR="00E3129B" w:rsidRPr="00A73566">
        <w:rPr>
          <w:rFonts w:ascii="Times New Roman" w:hAnsi="Times New Roman" w:cs="Times New Roman"/>
          <w:lang w:val="ro-RO"/>
        </w:rPr>
        <w:t>.</w:t>
      </w:r>
      <w:r w:rsidR="00C34183" w:rsidRPr="00A73566">
        <w:rPr>
          <w:rFonts w:ascii="Times New Roman" w:hAnsi="Times New Roman" w:cs="Times New Roman"/>
          <w:lang w:val="ro-RO"/>
        </w:rPr>
        <w:t xml:space="preserve"> </w:t>
      </w:r>
      <w:r w:rsidR="00E3129B" w:rsidRPr="00A73566">
        <w:rPr>
          <w:rFonts w:ascii="Times New Roman" w:hAnsi="Times New Roman" w:cs="Times New Roman"/>
          <w:lang w:val="ro-RO"/>
        </w:rPr>
        <w:t>P</w:t>
      </w:r>
      <w:r w:rsidR="00C34183" w:rsidRPr="00A73566">
        <w:rPr>
          <w:rFonts w:ascii="Times New Roman" w:hAnsi="Times New Roman" w:cs="Times New Roman"/>
          <w:lang w:val="ro-RO"/>
        </w:rPr>
        <w:t>iața de desfacere nu mai accept</w:t>
      </w:r>
      <w:r w:rsidR="00E3129B" w:rsidRPr="00A73566">
        <w:rPr>
          <w:rFonts w:ascii="Times New Roman" w:hAnsi="Times New Roman" w:cs="Times New Roman"/>
          <w:lang w:val="ro-RO"/>
        </w:rPr>
        <w:t>ă</w:t>
      </w:r>
      <w:r w:rsidR="00C34183" w:rsidRPr="00A73566">
        <w:rPr>
          <w:rFonts w:ascii="Times New Roman" w:hAnsi="Times New Roman" w:cs="Times New Roman"/>
          <w:lang w:val="ro-RO"/>
        </w:rPr>
        <w:t xml:space="preserve"> produse neomogene </w:t>
      </w:r>
      <w:r w:rsidR="00427F19" w:rsidRPr="00A73566">
        <w:rPr>
          <w:rFonts w:ascii="Times New Roman" w:hAnsi="Times New Roman" w:cs="Times New Roman"/>
          <w:lang w:val="ro-RO"/>
        </w:rPr>
        <w:t>fără respectarea cerințelor faț</w:t>
      </w:r>
      <w:r w:rsidR="00E3129B" w:rsidRPr="00A73566">
        <w:rPr>
          <w:rFonts w:ascii="Times New Roman" w:hAnsi="Times New Roman" w:cs="Times New Roman"/>
          <w:lang w:val="ro-RO"/>
        </w:rPr>
        <w:t>ă</w:t>
      </w:r>
      <w:r w:rsidR="00427F19" w:rsidRPr="00A73566">
        <w:rPr>
          <w:rFonts w:ascii="Times New Roman" w:hAnsi="Times New Roman" w:cs="Times New Roman"/>
          <w:lang w:val="ro-RO"/>
        </w:rPr>
        <w:t xml:space="preserve"> de calitatea </w:t>
      </w:r>
      <w:r w:rsidR="00E3129B" w:rsidRPr="00A73566">
        <w:rPr>
          <w:rFonts w:ascii="Times New Roman" w:hAnsi="Times New Roman" w:cs="Times New Roman"/>
          <w:lang w:val="ro-RO"/>
        </w:rPr>
        <w:t>ș</w:t>
      </w:r>
      <w:r w:rsidR="00427F19" w:rsidRPr="00A73566">
        <w:rPr>
          <w:rFonts w:ascii="Times New Roman" w:hAnsi="Times New Roman" w:cs="Times New Roman"/>
          <w:lang w:val="ro-RO"/>
        </w:rPr>
        <w:t xml:space="preserve">i cantitatea lotului expus spre comercializare. </w:t>
      </w:r>
      <w:r w:rsidR="00EA1DFC" w:rsidRPr="00A73566">
        <w:rPr>
          <w:rFonts w:ascii="Times New Roman" w:hAnsi="Times New Roman" w:cs="Times New Roman"/>
          <w:lang w:val="ro-RO"/>
        </w:rPr>
        <w:t xml:space="preserve">Dezvoltarea cooperării va permite accesul la o gama largă de servicii, resurse, informații și tehnologii, formare și ghidare profesională, care, în final, le </w:t>
      </w:r>
      <w:r w:rsidR="00E3129B" w:rsidRPr="00A73566">
        <w:rPr>
          <w:rFonts w:ascii="Times New Roman" w:hAnsi="Times New Roman" w:cs="Times New Roman"/>
          <w:lang w:val="ro-RO"/>
        </w:rPr>
        <w:t xml:space="preserve">vor </w:t>
      </w:r>
      <w:r w:rsidR="00EA1DFC" w:rsidRPr="00A73566">
        <w:rPr>
          <w:rFonts w:ascii="Times New Roman" w:hAnsi="Times New Roman" w:cs="Times New Roman"/>
          <w:lang w:val="ro-RO"/>
        </w:rPr>
        <w:t>permit</w:t>
      </w:r>
      <w:r w:rsidR="00E3129B" w:rsidRPr="00A73566">
        <w:rPr>
          <w:rFonts w:ascii="Times New Roman" w:hAnsi="Times New Roman" w:cs="Times New Roman"/>
          <w:lang w:val="ro-RO"/>
        </w:rPr>
        <w:t>e</w:t>
      </w:r>
      <w:r w:rsidR="00EA1DFC" w:rsidRPr="00A73566">
        <w:rPr>
          <w:rFonts w:ascii="Times New Roman" w:hAnsi="Times New Roman" w:cs="Times New Roman"/>
          <w:lang w:val="ro-RO"/>
        </w:rPr>
        <w:t xml:space="preserve"> producătorilor autohtoni să concureze la egal pe piață globală</w:t>
      </w:r>
      <w:r w:rsidR="00F30B44" w:rsidRPr="00A73566">
        <w:rPr>
          <w:rFonts w:ascii="Times New Roman" w:hAnsi="Times New Roman" w:cs="Times New Roman"/>
          <w:lang w:val="ro-RO"/>
        </w:rPr>
        <w:t>.</w:t>
      </w:r>
    </w:p>
    <w:p w14:paraId="4D404DD9" w14:textId="657AF32B" w:rsidR="00EA1DFC" w:rsidRPr="00A73566" w:rsidRDefault="00C34183" w:rsidP="00A45DFD">
      <w:pPr>
        <w:ind w:firstLine="567"/>
        <w:rPr>
          <w:rFonts w:ascii="Times New Roman" w:hAnsi="Times New Roman" w:cs="Times New Roman"/>
          <w:lang w:val="ro-RO"/>
        </w:rPr>
      </w:pPr>
      <w:r w:rsidRPr="00A73566">
        <w:rPr>
          <w:rFonts w:ascii="Times New Roman" w:hAnsi="Times New Roman" w:cs="Times New Roman"/>
          <w:lang w:val="ro-RO"/>
        </w:rPr>
        <w:t>Pentru soluționare</w:t>
      </w:r>
      <w:r w:rsidR="00E3129B" w:rsidRPr="00A73566">
        <w:rPr>
          <w:rFonts w:ascii="Times New Roman" w:hAnsi="Times New Roman" w:cs="Times New Roman"/>
          <w:lang w:val="ro-RO"/>
        </w:rPr>
        <w:t>a</w:t>
      </w:r>
      <w:r w:rsidRPr="00A73566">
        <w:rPr>
          <w:rFonts w:ascii="Times New Roman" w:hAnsi="Times New Roman" w:cs="Times New Roman"/>
          <w:lang w:val="ro-RO"/>
        </w:rPr>
        <w:t xml:space="preserve"> problemelor pe acest segment</w:t>
      </w:r>
      <w:r w:rsidR="00E3129B" w:rsidRPr="00A73566">
        <w:rPr>
          <w:rFonts w:ascii="Times New Roman" w:hAnsi="Times New Roman" w:cs="Times New Roman"/>
          <w:lang w:val="ro-RO"/>
        </w:rPr>
        <w:t>,</w:t>
      </w:r>
      <w:r w:rsidRPr="00A73566">
        <w:rPr>
          <w:rFonts w:ascii="Times New Roman" w:hAnsi="Times New Roman" w:cs="Times New Roman"/>
          <w:lang w:val="ro-RO"/>
        </w:rPr>
        <w:t xml:space="preserve"> </w:t>
      </w:r>
      <w:r w:rsidR="00B84424" w:rsidRPr="00A73566">
        <w:rPr>
          <w:rFonts w:ascii="Times New Roman" w:hAnsi="Times New Roman" w:cs="Times New Roman"/>
          <w:lang w:val="ro-RO"/>
        </w:rPr>
        <w:t>se</w:t>
      </w:r>
      <w:r w:rsidR="00F30B44" w:rsidRPr="00A73566">
        <w:rPr>
          <w:rFonts w:ascii="Times New Roman" w:hAnsi="Times New Roman" w:cs="Times New Roman"/>
          <w:lang w:val="ro-RO"/>
        </w:rPr>
        <w:t xml:space="preserve"> </w:t>
      </w:r>
      <w:r w:rsidR="00E3129B" w:rsidRPr="00A73566">
        <w:rPr>
          <w:rFonts w:ascii="Times New Roman" w:hAnsi="Times New Roman" w:cs="Times New Roman"/>
          <w:lang w:val="ro-RO"/>
        </w:rPr>
        <w:t>impun următoarele măsuri</w:t>
      </w:r>
      <w:r w:rsidRPr="00A73566">
        <w:rPr>
          <w:rFonts w:ascii="Times New Roman" w:hAnsi="Times New Roman" w:cs="Times New Roman"/>
          <w:lang w:val="ro-RO"/>
        </w:rPr>
        <w:t xml:space="preserve">: (i) </w:t>
      </w:r>
      <w:r w:rsidR="00E3129B" w:rsidRPr="00A73566">
        <w:rPr>
          <w:rFonts w:ascii="Times New Roman" w:hAnsi="Times New Roman" w:cs="Times New Roman"/>
          <w:lang w:val="ro-RO"/>
        </w:rPr>
        <w:t>p</w:t>
      </w:r>
      <w:r w:rsidR="00B84424" w:rsidRPr="00A73566">
        <w:rPr>
          <w:rFonts w:ascii="Times New Roman" w:hAnsi="Times New Roman" w:cs="Times New Roman"/>
          <w:lang w:val="ro-RO"/>
        </w:rPr>
        <w:t>erfecțion</w:t>
      </w:r>
      <w:r w:rsidRPr="00A73566">
        <w:rPr>
          <w:rFonts w:ascii="Times New Roman" w:hAnsi="Times New Roman" w:cs="Times New Roman"/>
          <w:lang w:val="ro-RO"/>
        </w:rPr>
        <w:t>a</w:t>
      </w:r>
      <w:r w:rsidR="00B84424" w:rsidRPr="00A73566">
        <w:rPr>
          <w:rFonts w:ascii="Times New Roman" w:hAnsi="Times New Roman" w:cs="Times New Roman"/>
          <w:lang w:val="ro-RO"/>
        </w:rPr>
        <w:t>rea</w:t>
      </w:r>
      <w:r w:rsidRPr="00A73566">
        <w:rPr>
          <w:rFonts w:ascii="Times New Roman" w:hAnsi="Times New Roman" w:cs="Times New Roman"/>
          <w:lang w:val="ro-RO"/>
        </w:rPr>
        <w:t xml:space="preserve"> cadrului legal pentru încurajarea cooperării </w:t>
      </w:r>
      <w:r w:rsidR="00E3129B" w:rsidRPr="00A73566">
        <w:rPr>
          <w:rFonts w:ascii="Times New Roman" w:hAnsi="Times New Roman" w:cs="Times New Roman"/>
          <w:lang w:val="ro-RO"/>
        </w:rPr>
        <w:t>î</w:t>
      </w:r>
      <w:r w:rsidRPr="00A73566">
        <w:rPr>
          <w:rFonts w:ascii="Times New Roman" w:hAnsi="Times New Roman" w:cs="Times New Roman"/>
          <w:lang w:val="ro-RO"/>
        </w:rPr>
        <w:t>n agricultur</w:t>
      </w:r>
      <w:r w:rsidR="00E3129B" w:rsidRPr="00A73566">
        <w:rPr>
          <w:rFonts w:ascii="Times New Roman" w:hAnsi="Times New Roman" w:cs="Times New Roman"/>
          <w:lang w:val="ro-RO"/>
        </w:rPr>
        <w:t>ă</w:t>
      </w:r>
      <w:r w:rsidRPr="00A73566">
        <w:rPr>
          <w:rFonts w:ascii="Times New Roman" w:hAnsi="Times New Roman" w:cs="Times New Roman"/>
          <w:lang w:val="ro-RO"/>
        </w:rPr>
        <w:t>,</w:t>
      </w:r>
      <w:r w:rsidR="00E3129B" w:rsidRPr="00A73566">
        <w:rPr>
          <w:rFonts w:ascii="Times New Roman" w:hAnsi="Times New Roman" w:cs="Times New Roman"/>
          <w:lang w:val="ro-RO"/>
        </w:rPr>
        <w:t xml:space="preserve"> </w:t>
      </w:r>
      <w:r w:rsidRPr="00A73566">
        <w:rPr>
          <w:rFonts w:ascii="Times New Roman" w:hAnsi="Times New Roman" w:cs="Times New Roman"/>
          <w:lang w:val="ro-RO"/>
        </w:rPr>
        <w:t xml:space="preserve">(ii) </w:t>
      </w:r>
      <w:r w:rsidR="00E3129B" w:rsidRPr="00A73566">
        <w:rPr>
          <w:rFonts w:ascii="Times New Roman" w:hAnsi="Times New Roman" w:cs="Times New Roman"/>
          <w:lang w:val="ro-RO"/>
        </w:rPr>
        <w:t>c</w:t>
      </w:r>
      <w:r w:rsidRPr="00A73566">
        <w:rPr>
          <w:rFonts w:ascii="Times New Roman" w:hAnsi="Times New Roman" w:cs="Times New Roman"/>
          <w:lang w:val="ro-RO"/>
        </w:rPr>
        <w:t xml:space="preserve">rearea </w:t>
      </w:r>
      <w:r w:rsidR="00EA1DFC" w:rsidRPr="00A73566">
        <w:rPr>
          <w:rFonts w:ascii="Times New Roman" w:hAnsi="Times New Roman" w:cs="Times New Roman"/>
          <w:lang w:val="ro-RO"/>
        </w:rPr>
        <w:t>unei s</w:t>
      </w:r>
      <w:r w:rsidRPr="00A73566">
        <w:rPr>
          <w:rFonts w:ascii="Times New Roman" w:hAnsi="Times New Roman" w:cs="Times New Roman"/>
          <w:lang w:val="ro-RO"/>
        </w:rPr>
        <w:t xml:space="preserve">tructuri responsabile </w:t>
      </w:r>
      <w:r w:rsidR="00335B5F" w:rsidRPr="00A73566">
        <w:rPr>
          <w:rFonts w:ascii="Times New Roman" w:hAnsi="Times New Roman" w:cs="Times New Roman"/>
          <w:lang w:val="ro-RO"/>
        </w:rPr>
        <w:t>de</w:t>
      </w:r>
      <w:r w:rsidRPr="00A73566">
        <w:rPr>
          <w:rFonts w:ascii="Times New Roman" w:hAnsi="Times New Roman" w:cs="Times New Roman"/>
          <w:lang w:val="ro-RO"/>
        </w:rPr>
        <w:t xml:space="preserve"> facilitarea dezvoltării sectorului cooperare în agricultura </w:t>
      </w:r>
      <w:r w:rsidR="00F30B44" w:rsidRPr="00A73566">
        <w:rPr>
          <w:rFonts w:ascii="Times New Roman" w:hAnsi="Times New Roman" w:cs="Times New Roman"/>
          <w:lang w:val="ro-RO"/>
        </w:rPr>
        <w:t xml:space="preserve">(iii) </w:t>
      </w:r>
      <w:r w:rsidR="00335B5F" w:rsidRPr="00A73566">
        <w:rPr>
          <w:rFonts w:ascii="Times New Roman" w:hAnsi="Times New Roman" w:cs="Times New Roman"/>
          <w:lang w:val="ro-RO"/>
        </w:rPr>
        <w:t>s</w:t>
      </w:r>
      <w:r w:rsidR="00F30B44" w:rsidRPr="00A73566">
        <w:rPr>
          <w:rFonts w:ascii="Times New Roman" w:hAnsi="Times New Roman" w:cs="Times New Roman"/>
          <w:lang w:val="ro-RO"/>
        </w:rPr>
        <w:t>usținerea formelor de asociere</w:t>
      </w:r>
      <w:r w:rsidR="00335B5F" w:rsidRPr="00A73566">
        <w:rPr>
          <w:rFonts w:ascii="Times New Roman" w:hAnsi="Times New Roman" w:cs="Times New Roman"/>
          <w:lang w:val="ro-RO"/>
        </w:rPr>
        <w:t>, în special</w:t>
      </w:r>
      <w:r w:rsidR="00F30B44" w:rsidRPr="00A73566">
        <w:rPr>
          <w:rFonts w:ascii="Times New Roman" w:hAnsi="Times New Roman" w:cs="Times New Roman"/>
          <w:lang w:val="ro-RO"/>
        </w:rPr>
        <w:t xml:space="preserve"> a cooperativelor de întreprinzător și</w:t>
      </w:r>
      <w:r w:rsidR="00B84424" w:rsidRPr="00A73566">
        <w:rPr>
          <w:rFonts w:ascii="Times New Roman" w:hAnsi="Times New Roman" w:cs="Times New Roman"/>
          <w:lang w:val="ro-RO"/>
        </w:rPr>
        <w:t xml:space="preserve"> a</w:t>
      </w:r>
      <w:r w:rsidR="00F30B44" w:rsidRPr="00A73566">
        <w:rPr>
          <w:rFonts w:ascii="Times New Roman" w:hAnsi="Times New Roman" w:cs="Times New Roman"/>
          <w:lang w:val="ro-RO"/>
        </w:rPr>
        <w:t xml:space="preserve"> clusterelor (iv) </w:t>
      </w:r>
      <w:r w:rsidR="00335B5F" w:rsidRPr="00A73566">
        <w:rPr>
          <w:rFonts w:ascii="Times New Roman" w:hAnsi="Times New Roman" w:cs="Times New Roman"/>
          <w:lang w:val="ro-RO"/>
        </w:rPr>
        <w:t>d</w:t>
      </w:r>
      <w:r w:rsidR="00EA1DFC" w:rsidRPr="00A73566">
        <w:rPr>
          <w:rFonts w:ascii="Times New Roman" w:hAnsi="Times New Roman" w:cs="Times New Roman"/>
          <w:lang w:val="ro-RO"/>
        </w:rPr>
        <w:t xml:space="preserve">ezvoltarea lanțurilor valorice agroalimentare (v) </w:t>
      </w:r>
      <w:r w:rsidR="00335B5F" w:rsidRPr="00A73566">
        <w:rPr>
          <w:rFonts w:ascii="Times New Roman" w:hAnsi="Times New Roman" w:cs="Times New Roman"/>
          <w:lang w:val="ro-RO"/>
        </w:rPr>
        <w:t>f</w:t>
      </w:r>
      <w:r w:rsidR="00EA1DFC" w:rsidRPr="00A73566">
        <w:rPr>
          <w:rFonts w:ascii="Times New Roman" w:hAnsi="Times New Roman" w:cs="Times New Roman"/>
          <w:lang w:val="ro-RO"/>
        </w:rPr>
        <w:t xml:space="preserve">ortificarea capacitaților instituționale </w:t>
      </w:r>
      <w:r w:rsidR="00335B5F" w:rsidRPr="00A73566">
        <w:rPr>
          <w:rFonts w:ascii="Times New Roman" w:hAnsi="Times New Roman" w:cs="Times New Roman"/>
          <w:lang w:val="ro-RO"/>
        </w:rPr>
        <w:t>ș</w:t>
      </w:r>
      <w:r w:rsidR="00EA1DFC" w:rsidRPr="00A73566">
        <w:rPr>
          <w:rFonts w:ascii="Times New Roman" w:hAnsi="Times New Roman" w:cs="Times New Roman"/>
          <w:lang w:val="ro-RO"/>
        </w:rPr>
        <w:t>i financiare ale Asociațiilor reprezentative</w:t>
      </w:r>
      <w:r w:rsidR="00F30B44" w:rsidRPr="00A73566">
        <w:rPr>
          <w:rFonts w:ascii="Times New Roman" w:hAnsi="Times New Roman" w:cs="Times New Roman"/>
          <w:lang w:val="ro-RO"/>
        </w:rPr>
        <w:t>.</w:t>
      </w:r>
    </w:p>
    <w:p w14:paraId="72D1B9F5" w14:textId="5D9CBF85" w:rsidR="006B0604" w:rsidRPr="00A73566" w:rsidRDefault="006B0604" w:rsidP="00A45DFD">
      <w:pPr>
        <w:ind w:firstLine="567"/>
        <w:rPr>
          <w:rFonts w:ascii="Times New Roman" w:hAnsi="Times New Roman" w:cs="Times New Roman"/>
          <w:lang w:val="ro-RO"/>
        </w:rPr>
      </w:pPr>
      <w:r w:rsidRPr="00A73566">
        <w:rPr>
          <w:rFonts w:ascii="Times New Roman" w:hAnsi="Times New Roman" w:cs="Times New Roman"/>
          <w:lang w:val="ro-RO"/>
        </w:rPr>
        <w:t xml:space="preserve">Succesul businessului agricol poate fi doar în cazul când toate segmentele lanțului valoric sunt interconectate între ele </w:t>
      </w:r>
      <w:r w:rsidR="00335B5F" w:rsidRPr="00A73566">
        <w:rPr>
          <w:rFonts w:ascii="Times New Roman" w:hAnsi="Times New Roman" w:cs="Times New Roman"/>
          <w:lang w:val="ro-RO"/>
        </w:rPr>
        <w:t>ș</w:t>
      </w:r>
      <w:r w:rsidRPr="00A73566">
        <w:rPr>
          <w:rFonts w:ascii="Times New Roman" w:hAnsi="Times New Roman" w:cs="Times New Roman"/>
          <w:lang w:val="ro-RO"/>
        </w:rPr>
        <w:t xml:space="preserve">i direcționate </w:t>
      </w:r>
      <w:r w:rsidR="00335B5F" w:rsidRPr="00A73566">
        <w:rPr>
          <w:rFonts w:ascii="Times New Roman" w:hAnsi="Times New Roman" w:cs="Times New Roman"/>
          <w:lang w:val="ro-RO"/>
        </w:rPr>
        <w:t xml:space="preserve">spre </w:t>
      </w:r>
      <w:r w:rsidRPr="00A73566">
        <w:rPr>
          <w:rFonts w:ascii="Times New Roman" w:hAnsi="Times New Roman" w:cs="Times New Roman"/>
          <w:lang w:val="ro-RO"/>
        </w:rPr>
        <w:t>rezultatul final. În acest sens, pentru următoarea perioad</w:t>
      </w:r>
      <w:r w:rsidR="00335B5F" w:rsidRPr="00A73566">
        <w:rPr>
          <w:rFonts w:ascii="Times New Roman" w:hAnsi="Times New Roman" w:cs="Times New Roman"/>
          <w:lang w:val="ro-RO"/>
        </w:rPr>
        <w:t>ă</w:t>
      </w:r>
      <w:r w:rsidRPr="00A73566">
        <w:rPr>
          <w:rFonts w:ascii="Times New Roman" w:hAnsi="Times New Roman" w:cs="Times New Roman"/>
          <w:lang w:val="ro-RO"/>
        </w:rPr>
        <w:t xml:space="preserve"> </w:t>
      </w:r>
      <w:r w:rsidR="00335B5F" w:rsidRPr="00A73566">
        <w:rPr>
          <w:rFonts w:ascii="Times New Roman" w:hAnsi="Times New Roman" w:cs="Times New Roman"/>
          <w:lang w:val="ro-RO"/>
        </w:rPr>
        <w:t>vor fi create</w:t>
      </w:r>
      <w:r w:rsidR="00CB1679" w:rsidRPr="00A73566">
        <w:rPr>
          <w:rFonts w:ascii="Times New Roman" w:hAnsi="Times New Roman" w:cs="Times New Roman"/>
          <w:lang w:val="ro-RO"/>
        </w:rPr>
        <w:t xml:space="preserve"> </w:t>
      </w:r>
      <w:r w:rsidR="00951757" w:rsidRPr="00A73566">
        <w:rPr>
          <w:rFonts w:ascii="Times New Roman" w:hAnsi="Times New Roman" w:cs="Times New Roman"/>
          <w:lang w:val="ro-RO"/>
        </w:rPr>
        <w:t xml:space="preserve">circa </w:t>
      </w:r>
      <w:r w:rsidRPr="00A73566">
        <w:rPr>
          <w:rFonts w:ascii="Times New Roman" w:hAnsi="Times New Roman" w:cs="Times New Roman"/>
          <w:lang w:val="ro-RO"/>
        </w:rPr>
        <w:t>șapte lanțuri valorice sustenabile</w:t>
      </w:r>
      <w:r w:rsidR="00CB1679" w:rsidRPr="00A73566">
        <w:rPr>
          <w:rFonts w:ascii="Times New Roman" w:hAnsi="Times New Roman" w:cs="Times New Roman"/>
          <w:lang w:val="ro-RO"/>
        </w:rPr>
        <w:t>, care vor aduce beneficii reale atât producătorilor agricoli</w:t>
      </w:r>
      <w:r w:rsidR="00335B5F" w:rsidRPr="00A73566">
        <w:rPr>
          <w:rFonts w:ascii="Times New Roman" w:hAnsi="Times New Roman" w:cs="Times New Roman"/>
          <w:lang w:val="ro-RO"/>
        </w:rPr>
        <w:t>,</w:t>
      </w:r>
      <w:r w:rsidR="00CB1679" w:rsidRPr="00A73566">
        <w:rPr>
          <w:rFonts w:ascii="Times New Roman" w:hAnsi="Times New Roman" w:cs="Times New Roman"/>
          <w:lang w:val="ro-RO"/>
        </w:rPr>
        <w:t xml:space="preserve"> c</w:t>
      </w:r>
      <w:r w:rsidR="00335B5F" w:rsidRPr="00A73566">
        <w:rPr>
          <w:rFonts w:ascii="Times New Roman" w:hAnsi="Times New Roman" w:cs="Times New Roman"/>
          <w:lang w:val="ro-RO"/>
        </w:rPr>
        <w:t>â</w:t>
      </w:r>
      <w:r w:rsidR="00CB1679" w:rsidRPr="00A73566">
        <w:rPr>
          <w:rFonts w:ascii="Times New Roman" w:hAnsi="Times New Roman" w:cs="Times New Roman"/>
          <w:lang w:val="ro-RO"/>
        </w:rPr>
        <w:t xml:space="preserve">t și celorlalte componente ale lanțului valoric, servind drept model pentru o dezvoltare sustenabilă. </w:t>
      </w:r>
    </w:p>
    <w:p w14:paraId="0EEA0A6A" w14:textId="616C4AC6"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2.3 Promovarea modelelor de afaceri generatoare de locuri de muncă formale și permanente ce asigur</w:t>
      </w:r>
      <w:r w:rsidR="00335B5F" w:rsidRPr="00A73566">
        <w:rPr>
          <w:rFonts w:ascii="Times New Roman" w:hAnsi="Times New Roman" w:cs="Times New Roman"/>
          <w:i/>
          <w:iCs/>
          <w:lang w:val="ro-RO"/>
        </w:rPr>
        <w:t>ă</w:t>
      </w:r>
      <w:r w:rsidRPr="00A73566">
        <w:rPr>
          <w:rFonts w:ascii="Times New Roman" w:hAnsi="Times New Roman" w:cs="Times New Roman"/>
          <w:i/>
          <w:iCs/>
          <w:lang w:val="ro-RO"/>
        </w:rPr>
        <w:t xml:space="preserve"> fermierilor un venit durabil</w:t>
      </w:r>
    </w:p>
    <w:p w14:paraId="156F107D" w14:textId="5B888896" w:rsidR="00E70A45" w:rsidRPr="00A73566" w:rsidRDefault="00951757" w:rsidP="00A45DFD">
      <w:pPr>
        <w:ind w:firstLine="567"/>
        <w:rPr>
          <w:rFonts w:ascii="Times New Roman" w:hAnsi="Times New Roman" w:cs="Times New Roman"/>
          <w:lang w:val="ro-RO"/>
        </w:rPr>
      </w:pPr>
      <w:r w:rsidRPr="00A73566">
        <w:rPr>
          <w:rFonts w:ascii="Times New Roman" w:hAnsi="Times New Roman" w:cs="Times New Roman"/>
          <w:lang w:val="ro-RO"/>
        </w:rPr>
        <w:t>Susținerea</w:t>
      </w:r>
      <w:r w:rsidR="00CB1679" w:rsidRPr="00A73566">
        <w:rPr>
          <w:rFonts w:ascii="Times New Roman" w:hAnsi="Times New Roman" w:cs="Times New Roman"/>
          <w:lang w:val="ro-RO"/>
        </w:rPr>
        <w:t xml:space="preserve"> dezvoltării sectorului de procesare a producției agricole</w:t>
      </w:r>
      <w:r w:rsidR="00335B5F" w:rsidRPr="00A73566">
        <w:rPr>
          <w:rFonts w:ascii="Times New Roman" w:hAnsi="Times New Roman" w:cs="Times New Roman"/>
          <w:lang w:val="ro-RO"/>
        </w:rPr>
        <w:t>,</w:t>
      </w:r>
      <w:r w:rsidR="00A909BE" w:rsidRPr="00A73566">
        <w:rPr>
          <w:rFonts w:ascii="Times New Roman" w:hAnsi="Times New Roman" w:cs="Times New Roman"/>
          <w:lang w:val="ro-RO"/>
        </w:rPr>
        <w:t xml:space="preserve"> de rând cu crearea condițiilor pentru atragerea capitalului străin </w:t>
      </w:r>
      <w:r w:rsidR="00335B5F" w:rsidRPr="00A73566">
        <w:rPr>
          <w:rFonts w:ascii="Times New Roman" w:hAnsi="Times New Roman" w:cs="Times New Roman"/>
          <w:lang w:val="ro-RO"/>
        </w:rPr>
        <w:t>î</w:t>
      </w:r>
      <w:r w:rsidR="00A909BE" w:rsidRPr="00A73566">
        <w:rPr>
          <w:rFonts w:ascii="Times New Roman" w:hAnsi="Times New Roman" w:cs="Times New Roman"/>
          <w:lang w:val="ro-RO"/>
        </w:rPr>
        <w:t>n domeniul procesării</w:t>
      </w:r>
      <w:r w:rsidR="00335B5F" w:rsidRPr="00A73566">
        <w:rPr>
          <w:rFonts w:ascii="Times New Roman" w:hAnsi="Times New Roman" w:cs="Times New Roman"/>
          <w:lang w:val="ro-RO"/>
        </w:rPr>
        <w:t>,</w:t>
      </w:r>
      <w:r w:rsidR="00A909BE" w:rsidRPr="00A73566">
        <w:rPr>
          <w:rFonts w:ascii="Times New Roman" w:hAnsi="Times New Roman" w:cs="Times New Roman"/>
          <w:lang w:val="ro-RO"/>
        </w:rPr>
        <w:t xml:space="preserve"> sunt privite ca elemente cheie ale politicii de dezvoltare agroindustrial</w:t>
      </w:r>
      <w:r w:rsidRPr="00A73566">
        <w:rPr>
          <w:rFonts w:ascii="Times New Roman" w:hAnsi="Times New Roman" w:cs="Times New Roman"/>
          <w:lang w:val="ro-RO"/>
        </w:rPr>
        <w:t xml:space="preserve">e </w:t>
      </w:r>
      <w:r w:rsidR="00A909BE" w:rsidRPr="00A73566">
        <w:rPr>
          <w:rFonts w:ascii="Times New Roman" w:hAnsi="Times New Roman" w:cs="Times New Roman"/>
          <w:lang w:val="ro-RO"/>
        </w:rPr>
        <w:t>pentru următoare</w:t>
      </w:r>
      <w:r w:rsidR="00335B5F" w:rsidRPr="00A73566">
        <w:rPr>
          <w:rFonts w:ascii="Times New Roman" w:hAnsi="Times New Roman" w:cs="Times New Roman"/>
          <w:lang w:val="ro-RO"/>
        </w:rPr>
        <w:t>a</w:t>
      </w:r>
      <w:r w:rsidR="00A909BE" w:rsidRPr="00A73566">
        <w:rPr>
          <w:rFonts w:ascii="Times New Roman" w:hAnsi="Times New Roman" w:cs="Times New Roman"/>
          <w:lang w:val="ro-RO"/>
        </w:rPr>
        <w:t xml:space="preserve"> perioad</w:t>
      </w:r>
      <w:r w:rsidR="00335B5F" w:rsidRPr="00A73566">
        <w:rPr>
          <w:rFonts w:ascii="Times New Roman" w:hAnsi="Times New Roman" w:cs="Times New Roman"/>
          <w:lang w:val="ro-RO"/>
        </w:rPr>
        <w:t>ă</w:t>
      </w:r>
      <w:r w:rsidR="00A909BE" w:rsidRPr="00A73566">
        <w:rPr>
          <w:rFonts w:ascii="Times New Roman" w:hAnsi="Times New Roman" w:cs="Times New Roman"/>
          <w:lang w:val="ro-RO"/>
        </w:rPr>
        <w:t xml:space="preserve">. </w:t>
      </w:r>
      <w:r w:rsidR="005525AE" w:rsidRPr="00A73566">
        <w:rPr>
          <w:rFonts w:ascii="Times New Roman" w:hAnsi="Times New Roman" w:cs="Times New Roman"/>
          <w:lang w:val="ro-RO"/>
        </w:rPr>
        <w:t xml:space="preserve">În acest sens: </w:t>
      </w:r>
      <w:r w:rsidR="006D3CD9" w:rsidRPr="00A73566">
        <w:rPr>
          <w:rFonts w:ascii="Times New Roman" w:hAnsi="Times New Roman" w:cs="Times New Roman"/>
          <w:lang w:val="ro-RO"/>
        </w:rPr>
        <w:t>(i) va fi modificat cadrul legal pentru egalarea întreprinderilor de procesare cu întreprinderile agricole, fără obligațiune</w:t>
      </w:r>
      <w:r w:rsidR="00633893" w:rsidRPr="00A73566">
        <w:rPr>
          <w:rFonts w:ascii="Times New Roman" w:hAnsi="Times New Roman" w:cs="Times New Roman"/>
          <w:lang w:val="ro-RO"/>
        </w:rPr>
        <w:t>a</w:t>
      </w:r>
      <w:r w:rsidR="006D3CD9" w:rsidRPr="00A73566">
        <w:rPr>
          <w:rFonts w:ascii="Times New Roman" w:hAnsi="Times New Roman" w:cs="Times New Roman"/>
          <w:lang w:val="ro-RO"/>
        </w:rPr>
        <w:t xml:space="preserve"> de a cre</w:t>
      </w:r>
      <w:r w:rsidR="00335B5F" w:rsidRPr="00A73566">
        <w:rPr>
          <w:rFonts w:ascii="Times New Roman" w:hAnsi="Times New Roman" w:cs="Times New Roman"/>
          <w:lang w:val="ro-RO"/>
        </w:rPr>
        <w:t>ș</w:t>
      </w:r>
      <w:r w:rsidR="006D3CD9" w:rsidRPr="00A73566">
        <w:rPr>
          <w:rFonts w:ascii="Times New Roman" w:hAnsi="Times New Roman" w:cs="Times New Roman"/>
          <w:lang w:val="ro-RO"/>
        </w:rPr>
        <w:t>te producți</w:t>
      </w:r>
      <w:r w:rsidR="00335B5F" w:rsidRPr="00A73566">
        <w:rPr>
          <w:rFonts w:ascii="Times New Roman" w:hAnsi="Times New Roman" w:cs="Times New Roman"/>
          <w:lang w:val="ro-RO"/>
        </w:rPr>
        <w:t>a</w:t>
      </w:r>
      <w:r w:rsidR="006D3CD9" w:rsidRPr="00A73566">
        <w:rPr>
          <w:rFonts w:ascii="Times New Roman" w:hAnsi="Times New Roman" w:cs="Times New Roman"/>
          <w:lang w:val="ro-RO"/>
        </w:rPr>
        <w:t xml:space="preserve"> agricolă proprie, (ii) </w:t>
      </w:r>
      <w:r w:rsidR="005525AE" w:rsidRPr="00A73566">
        <w:rPr>
          <w:rFonts w:ascii="Times New Roman" w:hAnsi="Times New Roman" w:cs="Times New Roman"/>
          <w:lang w:val="ro-RO"/>
        </w:rPr>
        <w:t xml:space="preserve">vor fi </w:t>
      </w:r>
      <w:r w:rsidR="00C444BF" w:rsidRPr="00A73566">
        <w:rPr>
          <w:rFonts w:ascii="Times New Roman" w:hAnsi="Times New Roman" w:cs="Times New Roman"/>
          <w:lang w:val="ro-RO"/>
        </w:rPr>
        <w:t>acordate facilit</w:t>
      </w:r>
      <w:r w:rsidR="00335B5F" w:rsidRPr="00A73566">
        <w:rPr>
          <w:rFonts w:ascii="Times New Roman" w:hAnsi="Times New Roman" w:cs="Times New Roman"/>
          <w:lang w:val="ro-RO"/>
        </w:rPr>
        <w:t>ă</w:t>
      </w:r>
      <w:r w:rsidR="00C444BF" w:rsidRPr="00A73566">
        <w:rPr>
          <w:rFonts w:ascii="Times New Roman" w:hAnsi="Times New Roman" w:cs="Times New Roman"/>
          <w:lang w:val="ro-RO"/>
        </w:rPr>
        <w:t>ți fiscale pe termen lung pentru întreprinderile care vor opta pentru re-investirea capitalului propriu în dezvoltarea segmentului de procesare a producției agroalimentare,</w:t>
      </w:r>
      <w:r w:rsidR="00633893" w:rsidRPr="00A73566">
        <w:rPr>
          <w:rFonts w:ascii="Times New Roman" w:hAnsi="Times New Roman" w:cs="Times New Roman"/>
          <w:lang w:val="ro-RO"/>
        </w:rPr>
        <w:t xml:space="preserve"> (iii)</w:t>
      </w:r>
      <w:r w:rsidR="00C444BF" w:rsidRPr="00A73566">
        <w:rPr>
          <w:rFonts w:ascii="Times New Roman" w:hAnsi="Times New Roman" w:cs="Times New Roman"/>
          <w:lang w:val="ro-RO"/>
        </w:rPr>
        <w:t xml:space="preserve"> </w:t>
      </w:r>
      <w:r w:rsidR="00335B5F" w:rsidRPr="00A73566">
        <w:rPr>
          <w:rFonts w:ascii="Times New Roman" w:hAnsi="Times New Roman" w:cs="Times New Roman"/>
          <w:lang w:val="ro-RO"/>
        </w:rPr>
        <w:t xml:space="preserve">va fi acordat </w:t>
      </w:r>
      <w:r w:rsidR="005525AE" w:rsidRPr="00A73566">
        <w:rPr>
          <w:rFonts w:ascii="Times New Roman" w:hAnsi="Times New Roman" w:cs="Times New Roman"/>
          <w:lang w:val="ro-RO"/>
        </w:rPr>
        <w:t>s</w:t>
      </w:r>
      <w:r w:rsidR="00E70A45" w:rsidRPr="00A73566">
        <w:rPr>
          <w:rFonts w:ascii="Times New Roman" w:hAnsi="Times New Roman" w:cs="Times New Roman"/>
          <w:lang w:val="ro-RO"/>
        </w:rPr>
        <w:t>prijin</w:t>
      </w:r>
      <w:r w:rsidR="005525AE" w:rsidRPr="00A73566">
        <w:rPr>
          <w:rFonts w:ascii="Times New Roman" w:hAnsi="Times New Roman" w:cs="Times New Roman"/>
          <w:lang w:val="ro-RO"/>
        </w:rPr>
        <w:t xml:space="preserve"> financiar și tehnic </w:t>
      </w:r>
      <w:r w:rsidR="00E70A45" w:rsidRPr="00A73566">
        <w:rPr>
          <w:rFonts w:ascii="Times New Roman" w:hAnsi="Times New Roman" w:cs="Times New Roman"/>
          <w:lang w:val="ro-RO"/>
        </w:rPr>
        <w:t xml:space="preserve">pentru întreprinderi ce vor crea capacități proprii de procesare, </w:t>
      </w:r>
      <w:r w:rsidR="00335B5F" w:rsidRPr="00A73566">
        <w:rPr>
          <w:rFonts w:ascii="Times New Roman" w:hAnsi="Times New Roman" w:cs="Times New Roman"/>
          <w:lang w:val="ro-RO"/>
        </w:rPr>
        <w:t xml:space="preserve">vor fi </w:t>
      </w:r>
      <w:r w:rsidR="000A5DDF" w:rsidRPr="00A73566">
        <w:rPr>
          <w:rFonts w:ascii="Times New Roman" w:hAnsi="Times New Roman" w:cs="Times New Roman"/>
          <w:lang w:val="ro-RO"/>
        </w:rPr>
        <w:t xml:space="preserve">  </w:t>
      </w:r>
      <w:r w:rsidR="00633893" w:rsidRPr="00A73566">
        <w:rPr>
          <w:rFonts w:ascii="Times New Roman" w:hAnsi="Times New Roman" w:cs="Times New Roman"/>
          <w:lang w:val="ro-RO"/>
        </w:rPr>
        <w:t>crea</w:t>
      </w:r>
      <w:r w:rsidR="00335B5F" w:rsidRPr="00A73566">
        <w:rPr>
          <w:rFonts w:ascii="Times New Roman" w:hAnsi="Times New Roman" w:cs="Times New Roman"/>
          <w:lang w:val="ro-RO"/>
        </w:rPr>
        <w:t>te</w:t>
      </w:r>
      <w:r w:rsidR="00633893" w:rsidRPr="00A73566">
        <w:rPr>
          <w:rFonts w:ascii="Times New Roman" w:hAnsi="Times New Roman" w:cs="Times New Roman"/>
          <w:lang w:val="ro-RO"/>
        </w:rPr>
        <w:t xml:space="preserve"> condiții favorabile pentru atragerea investitorilor străini </w:t>
      </w:r>
      <w:r w:rsidR="00335B5F" w:rsidRPr="00A73566">
        <w:rPr>
          <w:rFonts w:ascii="Times New Roman" w:hAnsi="Times New Roman" w:cs="Times New Roman"/>
          <w:lang w:val="ro-RO"/>
        </w:rPr>
        <w:t>î</w:t>
      </w:r>
      <w:r w:rsidR="00633893" w:rsidRPr="00A73566">
        <w:rPr>
          <w:rFonts w:ascii="Times New Roman" w:hAnsi="Times New Roman" w:cs="Times New Roman"/>
          <w:lang w:val="ro-RO"/>
        </w:rPr>
        <w:t>n dezvoltarea segmentului de procesare agroalimentar</w:t>
      </w:r>
      <w:r w:rsidR="00335B5F" w:rsidRPr="00A73566">
        <w:rPr>
          <w:rFonts w:ascii="Times New Roman" w:hAnsi="Times New Roman" w:cs="Times New Roman"/>
          <w:lang w:val="ro-RO"/>
        </w:rPr>
        <w:t>ă</w:t>
      </w:r>
      <w:r w:rsidR="00633893" w:rsidRPr="00A73566">
        <w:rPr>
          <w:rFonts w:ascii="Times New Roman" w:hAnsi="Times New Roman" w:cs="Times New Roman"/>
          <w:lang w:val="ro-RO"/>
        </w:rPr>
        <w:t xml:space="preserve">. </w:t>
      </w:r>
      <w:r w:rsidR="00E70A45" w:rsidRPr="00A73566">
        <w:rPr>
          <w:rFonts w:ascii="Times New Roman" w:hAnsi="Times New Roman" w:cs="Times New Roman"/>
          <w:lang w:val="ro-RO"/>
        </w:rPr>
        <w:t>De asemenea</w:t>
      </w:r>
      <w:r w:rsidR="00335B5F" w:rsidRPr="00A73566">
        <w:rPr>
          <w:rFonts w:ascii="Times New Roman" w:hAnsi="Times New Roman" w:cs="Times New Roman"/>
          <w:lang w:val="ro-RO"/>
        </w:rPr>
        <w:t>,</w:t>
      </w:r>
      <w:r w:rsidR="00E70A45" w:rsidRPr="00A73566">
        <w:rPr>
          <w:rFonts w:ascii="Times New Roman" w:hAnsi="Times New Roman" w:cs="Times New Roman"/>
          <w:lang w:val="ro-RO"/>
        </w:rPr>
        <w:t xml:space="preserve"> va fi implementat un mecanism de subvenționare</w:t>
      </w:r>
      <w:r w:rsidR="00335B5F" w:rsidRPr="00A73566">
        <w:rPr>
          <w:rFonts w:ascii="Times New Roman" w:hAnsi="Times New Roman" w:cs="Times New Roman"/>
          <w:lang w:val="ro-RO"/>
        </w:rPr>
        <w:t xml:space="preserve"> </w:t>
      </w:r>
      <w:r w:rsidR="00E70A45" w:rsidRPr="00A73566">
        <w:rPr>
          <w:rFonts w:ascii="Times New Roman" w:hAnsi="Times New Roman" w:cs="Times New Roman"/>
          <w:lang w:val="ro-RO"/>
        </w:rPr>
        <w:t>a locurilor de muncă din sectorul procesării</w:t>
      </w:r>
      <w:r w:rsidR="00335B5F" w:rsidRPr="00A73566">
        <w:rPr>
          <w:rFonts w:ascii="Times New Roman" w:hAnsi="Times New Roman" w:cs="Times New Roman"/>
          <w:lang w:val="ro-RO"/>
        </w:rPr>
        <w:t>,</w:t>
      </w:r>
      <w:r w:rsidR="00E70A45" w:rsidRPr="00A73566">
        <w:rPr>
          <w:rFonts w:ascii="Times New Roman" w:hAnsi="Times New Roman" w:cs="Times New Roman"/>
          <w:lang w:val="ro-RO"/>
        </w:rPr>
        <w:t xml:space="preserve"> p</w:t>
      </w:r>
      <w:r w:rsidR="00633893" w:rsidRPr="00A73566">
        <w:rPr>
          <w:rFonts w:ascii="Times New Roman" w:hAnsi="Times New Roman" w:cs="Times New Roman"/>
          <w:lang w:val="ro-RO"/>
        </w:rPr>
        <w:t xml:space="preserve">entru </w:t>
      </w:r>
      <w:r w:rsidR="00335B5F" w:rsidRPr="00A73566">
        <w:rPr>
          <w:rFonts w:ascii="Times New Roman" w:hAnsi="Times New Roman" w:cs="Times New Roman"/>
          <w:lang w:val="ro-RO"/>
        </w:rPr>
        <w:t xml:space="preserve">a </w:t>
      </w:r>
      <w:r w:rsidR="00633893" w:rsidRPr="00A73566">
        <w:rPr>
          <w:rFonts w:ascii="Times New Roman" w:hAnsi="Times New Roman" w:cs="Times New Roman"/>
          <w:lang w:val="ro-RO"/>
        </w:rPr>
        <w:t>atrage forț</w:t>
      </w:r>
      <w:r w:rsidR="00335B5F" w:rsidRPr="00A73566">
        <w:rPr>
          <w:rFonts w:ascii="Times New Roman" w:hAnsi="Times New Roman" w:cs="Times New Roman"/>
          <w:lang w:val="ro-RO"/>
        </w:rPr>
        <w:t>a</w:t>
      </w:r>
      <w:r w:rsidR="00633893" w:rsidRPr="00A73566">
        <w:rPr>
          <w:rFonts w:ascii="Times New Roman" w:hAnsi="Times New Roman" w:cs="Times New Roman"/>
          <w:lang w:val="ro-RO"/>
        </w:rPr>
        <w:t xml:space="preserve"> de munca si </w:t>
      </w:r>
      <w:r w:rsidR="00335B5F" w:rsidRPr="00A73566">
        <w:rPr>
          <w:rFonts w:ascii="Times New Roman" w:hAnsi="Times New Roman" w:cs="Times New Roman"/>
          <w:lang w:val="ro-RO"/>
        </w:rPr>
        <w:t xml:space="preserve">a </w:t>
      </w:r>
      <w:r w:rsidR="00633893" w:rsidRPr="00A73566">
        <w:rPr>
          <w:rFonts w:ascii="Times New Roman" w:hAnsi="Times New Roman" w:cs="Times New Roman"/>
          <w:lang w:val="ro-RO"/>
        </w:rPr>
        <w:t>facilita revenir</w:t>
      </w:r>
      <w:r w:rsidR="00335B5F" w:rsidRPr="00A73566">
        <w:rPr>
          <w:rFonts w:ascii="Times New Roman" w:hAnsi="Times New Roman" w:cs="Times New Roman"/>
          <w:lang w:val="ro-RO"/>
        </w:rPr>
        <w:t>ea</w:t>
      </w:r>
      <w:r w:rsidR="00633893" w:rsidRPr="00A73566">
        <w:rPr>
          <w:rFonts w:ascii="Times New Roman" w:hAnsi="Times New Roman" w:cs="Times New Roman"/>
          <w:lang w:val="ro-RO"/>
        </w:rPr>
        <w:t xml:space="preserve"> în țara a concetățenilor</w:t>
      </w:r>
      <w:r w:rsidR="00E70A45" w:rsidRPr="00A73566">
        <w:rPr>
          <w:rFonts w:ascii="Times New Roman" w:hAnsi="Times New Roman" w:cs="Times New Roman"/>
          <w:lang w:val="ro-RO"/>
        </w:rPr>
        <w:t xml:space="preserve"> din diasporă.</w:t>
      </w:r>
    </w:p>
    <w:p w14:paraId="785EDBA7" w14:textId="45A60E78" w:rsidR="00A91D01"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2.4.</w:t>
      </w:r>
      <w:r w:rsidR="00515107" w:rsidRPr="00A73566">
        <w:rPr>
          <w:rFonts w:ascii="Times New Roman" w:hAnsi="Times New Roman" w:cs="Times New Roman"/>
          <w:i/>
          <w:iCs/>
          <w:lang w:val="ro-RO"/>
        </w:rPr>
        <w:t xml:space="preserve"> </w:t>
      </w:r>
      <w:r w:rsidRPr="00A73566">
        <w:rPr>
          <w:rFonts w:ascii="Times New Roman" w:hAnsi="Times New Roman" w:cs="Times New Roman"/>
          <w:i/>
          <w:iCs/>
          <w:lang w:val="ro-RO"/>
        </w:rPr>
        <w:t>Stimularea agriculturii bazate pe inovații și cunoaștere</w:t>
      </w:r>
      <w:r w:rsidR="00B81477" w:rsidRPr="00A73566">
        <w:rPr>
          <w:rFonts w:ascii="Times New Roman" w:hAnsi="Times New Roman" w:cs="Times New Roman"/>
          <w:i/>
          <w:iCs/>
          <w:lang w:val="ro-RO"/>
        </w:rPr>
        <w:t xml:space="preserve"> </w:t>
      </w:r>
    </w:p>
    <w:p w14:paraId="6A1D9EB6" w14:textId="565E200D" w:rsidR="00A91D01" w:rsidRPr="00A73566" w:rsidRDefault="00A91D01" w:rsidP="00A45DFD">
      <w:pPr>
        <w:ind w:firstLine="567"/>
        <w:rPr>
          <w:rFonts w:ascii="Times New Roman" w:hAnsi="Times New Roman" w:cs="Times New Roman"/>
          <w:lang w:val="ro-RO"/>
        </w:rPr>
      </w:pPr>
      <w:r w:rsidRPr="00A73566">
        <w:rPr>
          <w:rFonts w:ascii="Times New Roman" w:hAnsi="Times New Roman" w:cs="Times New Roman"/>
          <w:lang w:val="ro-RO"/>
        </w:rPr>
        <w:t>Unul dintre aspectele prioritare ale afacerilor agricole pe termen lung, formulat ca și deziderat în cadrul ultimelor documente de programare este axat de sporirea competitivității sectorului. Totodată, acest obiectiv, în condițiilor unor evoluții continue și dinamice ale economiei de piață impune actualizarea constantă a programelor de formare profesională, serviciilor de consultanță și integrarea componentei de suport tehnico-științific ce ar permite conformarea la cerințele și standardele internaționale, precum îmbunătățirea constantă a performanței și rentabilității.</w:t>
      </w:r>
    </w:p>
    <w:p w14:paraId="0D5E8E80" w14:textId="77777777" w:rsidR="00A91D01" w:rsidRPr="00A73566" w:rsidRDefault="00A91D01" w:rsidP="00A91D01">
      <w:pPr>
        <w:rPr>
          <w:rFonts w:ascii="Times New Roman" w:hAnsi="Times New Roman" w:cs="Times New Roman"/>
          <w:lang w:val="ro-RO"/>
        </w:rPr>
      </w:pPr>
      <w:r w:rsidRPr="00A73566">
        <w:rPr>
          <w:rFonts w:ascii="Times New Roman" w:hAnsi="Times New Roman" w:cs="Times New Roman"/>
          <w:lang w:val="ro-RO"/>
        </w:rPr>
        <w:t xml:space="preserve">Implementarea acestui set de măsuri nu se limitează doar la componenta investițională, ci include și măsuri de capacitare ce presupune formarea profesională a agricultorilor prin facilitarea accesului la cercetare-inovare-transfer tehnologic, educație și consultanță în agricultură. </w:t>
      </w:r>
    </w:p>
    <w:p w14:paraId="6742DA16" w14:textId="7893E7A2" w:rsidR="001E0A0D" w:rsidRPr="00A73566" w:rsidRDefault="001E0A0D" w:rsidP="001E0A0D">
      <w:pPr>
        <w:rPr>
          <w:rFonts w:ascii="Times New Roman" w:hAnsi="Times New Roman" w:cs="Times New Roman"/>
          <w:lang w:val="ro-RO"/>
        </w:rPr>
      </w:pPr>
      <w:r w:rsidRPr="00A73566">
        <w:rPr>
          <w:rFonts w:ascii="Times New Roman" w:hAnsi="Times New Roman" w:cs="Times New Roman"/>
          <w:b/>
          <w:bCs/>
          <w:lang w:val="ro-RO"/>
        </w:rPr>
        <w:t>Obiectivul 3</w:t>
      </w:r>
      <w:r w:rsidR="00055B39" w:rsidRPr="00A73566">
        <w:rPr>
          <w:rFonts w:ascii="Times New Roman" w:hAnsi="Times New Roman" w:cs="Times New Roman"/>
          <w:b/>
          <w:bCs/>
          <w:lang w:val="ro-RO"/>
        </w:rPr>
        <w:t>.</w:t>
      </w:r>
      <w:r w:rsidRPr="00A73566">
        <w:rPr>
          <w:rFonts w:ascii="Times New Roman" w:hAnsi="Times New Roman" w:cs="Times New Roman"/>
          <w:lang w:val="ro-RO"/>
        </w:rPr>
        <w:t xml:space="preserve"> </w:t>
      </w:r>
      <w:r w:rsidRPr="00A73566">
        <w:rPr>
          <w:rFonts w:ascii="Times New Roman" w:hAnsi="Times New Roman" w:cs="Times New Roman"/>
          <w:b/>
          <w:bCs/>
          <w:lang w:val="ro-RO"/>
        </w:rPr>
        <w:t xml:space="preserve">Dezvoltarea pieței locale și sporirea potențialului de export </w:t>
      </w:r>
      <w:r w:rsidRPr="00A73566">
        <w:rPr>
          <w:rFonts w:ascii="Times New Roman" w:hAnsi="Times New Roman" w:cs="Times New Roman"/>
          <w:lang w:val="ro-RO"/>
        </w:rPr>
        <w:t>este orientat spre îmbunătățirea performanțelor sectoarelor agriculturii, cu orientare spre accesarea piețelor, managementul calității, în baza utilizării avantajelor competitive.</w:t>
      </w:r>
    </w:p>
    <w:p w14:paraId="0AB56459" w14:textId="74B28EE9" w:rsidR="001E0A0D" w:rsidRPr="00A73566" w:rsidRDefault="001E0A0D" w:rsidP="001E0A0D">
      <w:pPr>
        <w:rPr>
          <w:rFonts w:ascii="Times New Roman" w:hAnsi="Times New Roman" w:cs="Times New Roman"/>
          <w:b/>
          <w:bCs/>
          <w:i/>
          <w:iCs/>
          <w:lang w:val="ro-RO"/>
        </w:rPr>
      </w:pPr>
      <w:r w:rsidRPr="00A73566">
        <w:rPr>
          <w:rFonts w:ascii="Times New Roman" w:hAnsi="Times New Roman" w:cs="Times New Roman"/>
          <w:b/>
          <w:bCs/>
          <w:i/>
          <w:iCs/>
          <w:lang w:val="ro-RO"/>
        </w:rPr>
        <w:t>Obiectivele specifice ce vor contribui la atingerea Obiectivului General 3:</w:t>
      </w:r>
    </w:p>
    <w:p w14:paraId="6BD76273" w14:textId="7777777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3.1 Asigurarea securității alimentare și a autosuficienței cu producție autohtonă</w:t>
      </w:r>
    </w:p>
    <w:p w14:paraId="05E1CA26" w14:textId="68E2142A" w:rsidR="00EA6E3E" w:rsidRPr="00A73566" w:rsidRDefault="00032E16" w:rsidP="00A45DFD">
      <w:pPr>
        <w:ind w:firstLine="567"/>
        <w:rPr>
          <w:rFonts w:ascii="Times New Roman" w:hAnsi="Times New Roman" w:cs="Times New Roman"/>
          <w:lang w:val="ro-RO"/>
        </w:rPr>
      </w:pPr>
      <w:r w:rsidRPr="00A73566">
        <w:rPr>
          <w:rFonts w:ascii="Times New Roman" w:hAnsi="Times New Roman" w:cs="Times New Roman"/>
          <w:lang w:val="ro-RO"/>
        </w:rPr>
        <w:t xml:space="preserve">Analiza nivelului de autoaprovizionare </w:t>
      </w:r>
      <w:r w:rsidR="00AC5BAE" w:rsidRPr="00A73566">
        <w:rPr>
          <w:rFonts w:ascii="Times New Roman" w:hAnsi="Times New Roman" w:cs="Times New Roman"/>
          <w:lang w:val="ro-RO"/>
        </w:rPr>
        <w:t>scoate la iveal</w:t>
      </w:r>
      <w:r w:rsidR="004F0B2D" w:rsidRPr="00A73566">
        <w:rPr>
          <w:rFonts w:ascii="Times New Roman" w:hAnsi="Times New Roman" w:cs="Times New Roman"/>
          <w:lang w:val="ro-RO"/>
        </w:rPr>
        <w:t>ă</w:t>
      </w:r>
      <w:r w:rsidR="00AC5BAE" w:rsidRPr="00A73566">
        <w:rPr>
          <w:rFonts w:ascii="Times New Roman" w:hAnsi="Times New Roman" w:cs="Times New Roman"/>
          <w:lang w:val="ro-RO"/>
        </w:rPr>
        <w:t xml:space="preserve"> mai multe carențe în sistemul de aprovizionare a ț</w:t>
      </w:r>
      <w:r w:rsidR="004F0B2D" w:rsidRPr="00A73566">
        <w:rPr>
          <w:rFonts w:ascii="Times New Roman" w:hAnsi="Times New Roman" w:cs="Times New Roman"/>
          <w:lang w:val="ro-RO"/>
        </w:rPr>
        <w:t>ă</w:t>
      </w:r>
      <w:r w:rsidR="00AC5BAE" w:rsidRPr="00A73566">
        <w:rPr>
          <w:rFonts w:ascii="Times New Roman" w:hAnsi="Times New Roman" w:cs="Times New Roman"/>
          <w:lang w:val="ro-RO"/>
        </w:rPr>
        <w:t>rii cu produse agroalimentare suficiente</w:t>
      </w:r>
      <w:r w:rsidR="000A5DDF" w:rsidRPr="00A73566">
        <w:rPr>
          <w:rFonts w:ascii="Times New Roman" w:hAnsi="Times New Roman" w:cs="Times New Roman"/>
          <w:lang w:val="ro-RO"/>
        </w:rPr>
        <w:t xml:space="preserve">, precum </w:t>
      </w:r>
      <w:r w:rsidR="00101916" w:rsidRPr="00A73566">
        <w:rPr>
          <w:rFonts w:ascii="Times New Roman" w:hAnsi="Times New Roman" w:cs="Times New Roman"/>
          <w:lang w:val="ro-RO"/>
        </w:rPr>
        <w:t>și vulnerabilitatea sporit</w:t>
      </w:r>
      <w:r w:rsidR="004F0B2D" w:rsidRPr="00A73566">
        <w:rPr>
          <w:rFonts w:ascii="Times New Roman" w:hAnsi="Times New Roman" w:cs="Times New Roman"/>
          <w:lang w:val="ro-RO"/>
        </w:rPr>
        <w:t>ă</w:t>
      </w:r>
      <w:r w:rsidR="00101916" w:rsidRPr="00A73566">
        <w:rPr>
          <w:rFonts w:ascii="Times New Roman" w:hAnsi="Times New Roman" w:cs="Times New Roman"/>
          <w:lang w:val="ro-RO"/>
        </w:rPr>
        <w:t xml:space="preserve"> în fața calamitățil</w:t>
      </w:r>
      <w:r w:rsidR="004F0B2D" w:rsidRPr="00A73566">
        <w:rPr>
          <w:rFonts w:ascii="Times New Roman" w:hAnsi="Times New Roman" w:cs="Times New Roman"/>
          <w:lang w:val="ro-RO"/>
        </w:rPr>
        <w:t>or</w:t>
      </w:r>
      <w:r w:rsidR="00101916" w:rsidRPr="00A73566">
        <w:rPr>
          <w:rFonts w:ascii="Times New Roman" w:hAnsi="Times New Roman" w:cs="Times New Roman"/>
          <w:lang w:val="ro-RO"/>
        </w:rPr>
        <w:t xml:space="preserve"> naturale. </w:t>
      </w:r>
      <w:r w:rsidR="00AC5BAE" w:rsidRPr="00A73566">
        <w:rPr>
          <w:rFonts w:ascii="Times New Roman" w:hAnsi="Times New Roman" w:cs="Times New Roman"/>
          <w:lang w:val="ro-RO"/>
        </w:rPr>
        <w:t>Gestionarea ineficient</w:t>
      </w:r>
      <w:r w:rsidR="004F0B2D" w:rsidRPr="00A73566">
        <w:rPr>
          <w:rFonts w:ascii="Times New Roman" w:hAnsi="Times New Roman" w:cs="Times New Roman"/>
          <w:lang w:val="ro-RO"/>
        </w:rPr>
        <w:t>ă</w:t>
      </w:r>
      <w:r w:rsidR="00AC5BAE" w:rsidRPr="00A73566">
        <w:rPr>
          <w:rFonts w:ascii="Times New Roman" w:hAnsi="Times New Roman" w:cs="Times New Roman"/>
          <w:lang w:val="ro-RO"/>
        </w:rPr>
        <w:t xml:space="preserve"> a rezervelor de </w:t>
      </w:r>
      <w:r w:rsidR="00010D38" w:rsidRPr="00A73566">
        <w:rPr>
          <w:rFonts w:ascii="Times New Roman" w:hAnsi="Times New Roman" w:cs="Times New Roman"/>
          <w:lang w:val="ro-RO"/>
        </w:rPr>
        <w:t>s</w:t>
      </w:r>
      <w:r w:rsidR="00AC5BAE" w:rsidRPr="00A73566">
        <w:rPr>
          <w:rFonts w:ascii="Times New Roman" w:hAnsi="Times New Roman" w:cs="Times New Roman"/>
          <w:lang w:val="ro-RO"/>
        </w:rPr>
        <w:t xml:space="preserve">tat, lipsa unui fond semincer pentru diminuarea efectelor secetelor îndelungate, </w:t>
      </w:r>
      <w:r w:rsidR="00101916" w:rsidRPr="00A73566">
        <w:rPr>
          <w:rFonts w:ascii="Times New Roman" w:hAnsi="Times New Roman" w:cs="Times New Roman"/>
          <w:lang w:val="ro-RO"/>
        </w:rPr>
        <w:t>insuficien</w:t>
      </w:r>
      <w:r w:rsidR="004F0B2D" w:rsidRPr="00A73566">
        <w:rPr>
          <w:rFonts w:ascii="Times New Roman" w:hAnsi="Times New Roman" w:cs="Times New Roman"/>
          <w:lang w:val="ro-RO"/>
        </w:rPr>
        <w:t>ț</w:t>
      </w:r>
      <w:r w:rsidR="00101916" w:rsidRPr="00A73566">
        <w:rPr>
          <w:rFonts w:ascii="Times New Roman" w:hAnsi="Times New Roman" w:cs="Times New Roman"/>
          <w:lang w:val="ro-RO"/>
        </w:rPr>
        <w:t>a</w:t>
      </w:r>
      <w:r w:rsidR="00AC5BAE" w:rsidRPr="00A73566">
        <w:rPr>
          <w:rFonts w:ascii="Times New Roman" w:hAnsi="Times New Roman" w:cs="Times New Roman"/>
          <w:lang w:val="ro-RO"/>
        </w:rPr>
        <w:t xml:space="preserve"> soiurilor autohtone rezistente la secet</w:t>
      </w:r>
      <w:r w:rsidR="004F0B2D" w:rsidRPr="00A73566">
        <w:rPr>
          <w:rFonts w:ascii="Times New Roman" w:hAnsi="Times New Roman" w:cs="Times New Roman"/>
          <w:lang w:val="ro-RO"/>
        </w:rPr>
        <w:t>ă</w:t>
      </w:r>
      <w:r w:rsidR="00AC5BAE" w:rsidRPr="00A73566">
        <w:rPr>
          <w:rFonts w:ascii="Times New Roman" w:hAnsi="Times New Roman" w:cs="Times New Roman"/>
          <w:lang w:val="ro-RO"/>
        </w:rPr>
        <w:t xml:space="preserve">, </w:t>
      </w:r>
      <w:r w:rsidR="00101916" w:rsidRPr="00A73566">
        <w:rPr>
          <w:rFonts w:ascii="Times New Roman" w:hAnsi="Times New Roman" w:cs="Times New Roman"/>
          <w:lang w:val="ro-RO"/>
        </w:rPr>
        <w:t xml:space="preserve">lipsa unui fond mutual </w:t>
      </w:r>
      <w:r w:rsidR="004F0B2D" w:rsidRPr="00A73566">
        <w:rPr>
          <w:rFonts w:ascii="Times New Roman" w:hAnsi="Times New Roman" w:cs="Times New Roman"/>
          <w:lang w:val="ro-RO"/>
        </w:rPr>
        <w:t>pentru</w:t>
      </w:r>
      <w:r w:rsidR="00101916" w:rsidRPr="00A73566">
        <w:rPr>
          <w:rFonts w:ascii="Times New Roman" w:hAnsi="Times New Roman" w:cs="Times New Roman"/>
          <w:lang w:val="ro-RO"/>
        </w:rPr>
        <w:t xml:space="preserve"> reducerea consecințelor calamitaților naturale, </w:t>
      </w:r>
      <w:r w:rsidR="00BC7305" w:rsidRPr="00A73566">
        <w:rPr>
          <w:rFonts w:ascii="Times New Roman" w:hAnsi="Times New Roman" w:cs="Times New Roman"/>
          <w:lang w:val="ro-RO"/>
        </w:rPr>
        <w:t>ponderea excesiv</w:t>
      </w:r>
      <w:r w:rsidR="004F0B2D" w:rsidRPr="00A73566">
        <w:rPr>
          <w:rFonts w:ascii="Times New Roman" w:hAnsi="Times New Roman" w:cs="Times New Roman"/>
          <w:lang w:val="ro-RO"/>
        </w:rPr>
        <w:t>ă</w:t>
      </w:r>
      <w:r w:rsidR="00BC7305" w:rsidRPr="00A73566">
        <w:rPr>
          <w:rFonts w:ascii="Times New Roman" w:hAnsi="Times New Roman" w:cs="Times New Roman"/>
          <w:lang w:val="ro-RO"/>
        </w:rPr>
        <w:t xml:space="preserve"> a culturilor cerealiere și tehnice, gradul mic de implementare a tehnologiilor conservative, </w:t>
      </w:r>
      <w:r w:rsidR="00355701" w:rsidRPr="00A73566">
        <w:rPr>
          <w:rFonts w:ascii="Times New Roman" w:hAnsi="Times New Roman" w:cs="Times New Roman"/>
          <w:lang w:val="ro-RO"/>
        </w:rPr>
        <w:t>insuficiența sistemelor de irigare</w:t>
      </w:r>
      <w:r w:rsidR="00D76113" w:rsidRPr="00A73566">
        <w:rPr>
          <w:rFonts w:ascii="Times New Roman" w:hAnsi="Times New Roman" w:cs="Times New Roman"/>
          <w:lang w:val="ro-RO"/>
        </w:rPr>
        <w:t xml:space="preserve">, </w:t>
      </w:r>
      <w:r w:rsidR="004F0B2D" w:rsidRPr="00A73566">
        <w:rPr>
          <w:rFonts w:ascii="Times New Roman" w:hAnsi="Times New Roman" w:cs="Times New Roman"/>
          <w:lang w:val="ro-RO"/>
        </w:rPr>
        <w:t xml:space="preserve">gradul scăzut de acoperire cu </w:t>
      </w:r>
      <w:r w:rsidR="00355701" w:rsidRPr="00A73566">
        <w:rPr>
          <w:rFonts w:ascii="Times New Roman" w:hAnsi="Times New Roman" w:cs="Times New Roman"/>
          <w:lang w:val="ro-RO"/>
        </w:rPr>
        <w:t xml:space="preserve">produse </w:t>
      </w:r>
      <w:r w:rsidRPr="00A73566">
        <w:rPr>
          <w:rFonts w:ascii="Times New Roman" w:hAnsi="Times New Roman" w:cs="Times New Roman"/>
          <w:lang w:val="ro-RO"/>
        </w:rPr>
        <w:t>de prima necesitate</w:t>
      </w:r>
      <w:r w:rsidR="004F0B2D" w:rsidRPr="00A73566">
        <w:rPr>
          <w:rFonts w:ascii="Times New Roman" w:hAnsi="Times New Roman" w:cs="Times New Roman"/>
          <w:lang w:val="ro-RO"/>
        </w:rPr>
        <w:t xml:space="preserve"> – toate acestea denotă vulnerabilitatea sectorului agroalimentar. </w:t>
      </w:r>
      <w:r w:rsidR="00D76113" w:rsidRPr="00A73566">
        <w:rPr>
          <w:rFonts w:ascii="Times New Roman" w:hAnsi="Times New Roman" w:cs="Times New Roman"/>
          <w:lang w:val="ro-RO"/>
        </w:rPr>
        <w:t xml:space="preserve"> Pentru </w:t>
      </w:r>
      <w:r w:rsidR="004F0B2D" w:rsidRPr="00A73566">
        <w:rPr>
          <w:rFonts w:ascii="Times New Roman" w:hAnsi="Times New Roman" w:cs="Times New Roman"/>
          <w:lang w:val="ro-RO"/>
        </w:rPr>
        <w:t xml:space="preserve">a </w:t>
      </w:r>
      <w:r w:rsidR="00875E8D" w:rsidRPr="00A73566">
        <w:rPr>
          <w:rFonts w:ascii="Times New Roman" w:hAnsi="Times New Roman" w:cs="Times New Roman"/>
          <w:lang w:val="ro-RO"/>
        </w:rPr>
        <w:t>reduce</w:t>
      </w:r>
      <w:r w:rsidR="00B516CD" w:rsidRPr="00A73566">
        <w:rPr>
          <w:rFonts w:ascii="Times New Roman" w:hAnsi="Times New Roman" w:cs="Times New Roman"/>
          <w:lang w:val="ro-RO"/>
        </w:rPr>
        <w:t xml:space="preserve"> disproporțiil</w:t>
      </w:r>
      <w:r w:rsidR="004F0B2D" w:rsidRPr="00A73566">
        <w:rPr>
          <w:rFonts w:ascii="Times New Roman" w:hAnsi="Times New Roman" w:cs="Times New Roman"/>
          <w:lang w:val="ro-RO"/>
        </w:rPr>
        <w:t>e</w:t>
      </w:r>
      <w:r w:rsidR="00B516CD" w:rsidRPr="00A73566">
        <w:rPr>
          <w:rFonts w:ascii="Times New Roman" w:hAnsi="Times New Roman" w:cs="Times New Roman"/>
          <w:lang w:val="ro-RO"/>
        </w:rPr>
        <w:t xml:space="preserve"> menționate </w:t>
      </w:r>
      <w:r w:rsidR="00875E8D" w:rsidRPr="00A73566">
        <w:rPr>
          <w:rFonts w:ascii="Times New Roman" w:hAnsi="Times New Roman" w:cs="Times New Roman"/>
          <w:lang w:val="ro-RO"/>
        </w:rPr>
        <w:t xml:space="preserve">si </w:t>
      </w:r>
      <w:r w:rsidR="004F0B2D" w:rsidRPr="00A73566">
        <w:rPr>
          <w:rFonts w:ascii="Times New Roman" w:hAnsi="Times New Roman" w:cs="Times New Roman"/>
          <w:lang w:val="ro-RO"/>
        </w:rPr>
        <w:t xml:space="preserve">pentru a </w:t>
      </w:r>
      <w:r w:rsidR="00875E8D" w:rsidRPr="00A73566">
        <w:rPr>
          <w:rFonts w:ascii="Times New Roman" w:hAnsi="Times New Roman" w:cs="Times New Roman"/>
          <w:lang w:val="ro-RO"/>
        </w:rPr>
        <w:t>asigura un grad sporit de autosuficien</w:t>
      </w:r>
      <w:r w:rsidR="004F0B2D" w:rsidRPr="00A73566">
        <w:rPr>
          <w:rFonts w:ascii="Times New Roman" w:hAnsi="Times New Roman" w:cs="Times New Roman"/>
          <w:lang w:val="ro-RO"/>
        </w:rPr>
        <w:t>ță</w:t>
      </w:r>
      <w:r w:rsidR="00875E8D" w:rsidRPr="00A73566">
        <w:rPr>
          <w:rFonts w:ascii="Times New Roman" w:hAnsi="Times New Roman" w:cs="Times New Roman"/>
          <w:lang w:val="ro-RO"/>
        </w:rPr>
        <w:t xml:space="preserve"> la nivel național</w:t>
      </w:r>
      <w:r w:rsidR="004F0B2D" w:rsidRPr="00A73566">
        <w:rPr>
          <w:rFonts w:ascii="Times New Roman" w:hAnsi="Times New Roman" w:cs="Times New Roman"/>
          <w:lang w:val="ro-RO"/>
        </w:rPr>
        <w:t>, vor fi luate următoarele măsuri:</w:t>
      </w:r>
      <w:r w:rsidR="00875E8D" w:rsidRPr="00A73566">
        <w:rPr>
          <w:rFonts w:ascii="Times New Roman" w:hAnsi="Times New Roman" w:cs="Times New Roman"/>
          <w:lang w:val="ro-RO"/>
        </w:rPr>
        <w:t xml:space="preserve"> (i) </w:t>
      </w:r>
      <w:r w:rsidR="00D76113" w:rsidRPr="00A73566">
        <w:rPr>
          <w:rFonts w:ascii="Times New Roman" w:hAnsi="Times New Roman" w:cs="Times New Roman"/>
          <w:lang w:val="ro-RO"/>
        </w:rPr>
        <w:t xml:space="preserve"> </w:t>
      </w:r>
      <w:r w:rsidR="00875E8D" w:rsidRPr="00A73566">
        <w:rPr>
          <w:rFonts w:ascii="Times New Roman" w:hAnsi="Times New Roman" w:cs="Times New Roman"/>
          <w:lang w:val="ro-RO"/>
        </w:rPr>
        <w:t xml:space="preserve">elaborarea </w:t>
      </w:r>
      <w:r w:rsidR="004F0B2D" w:rsidRPr="00A73566">
        <w:rPr>
          <w:rFonts w:ascii="Times New Roman" w:hAnsi="Times New Roman" w:cs="Times New Roman"/>
          <w:lang w:val="ro-RO"/>
        </w:rPr>
        <w:t>ș</w:t>
      </w:r>
      <w:r w:rsidR="00875E8D" w:rsidRPr="00A73566">
        <w:rPr>
          <w:rFonts w:ascii="Times New Roman" w:hAnsi="Times New Roman" w:cs="Times New Roman"/>
          <w:lang w:val="ro-RO"/>
        </w:rPr>
        <w:t xml:space="preserve">i punerea în aplicare a </w:t>
      </w:r>
      <w:r w:rsidR="00E20E6A" w:rsidRPr="00A73566">
        <w:rPr>
          <w:rFonts w:ascii="Times New Roman" w:hAnsi="Times New Roman" w:cs="Times New Roman"/>
          <w:lang w:val="ro-RO"/>
        </w:rPr>
        <w:t xml:space="preserve">unui </w:t>
      </w:r>
      <w:r w:rsidR="00875E8D" w:rsidRPr="00A73566">
        <w:rPr>
          <w:rFonts w:ascii="Times New Roman" w:hAnsi="Times New Roman" w:cs="Times New Roman"/>
          <w:lang w:val="ro-RO"/>
        </w:rPr>
        <w:t xml:space="preserve">Program </w:t>
      </w:r>
      <w:r w:rsidR="00E20E6A" w:rsidRPr="00A73566">
        <w:rPr>
          <w:rFonts w:ascii="Times New Roman" w:hAnsi="Times New Roman" w:cs="Times New Roman"/>
          <w:lang w:val="ro-RO"/>
        </w:rPr>
        <w:t xml:space="preserve">interministerial </w:t>
      </w:r>
      <w:r w:rsidR="00875E8D" w:rsidRPr="00A73566">
        <w:rPr>
          <w:rFonts w:ascii="Times New Roman" w:hAnsi="Times New Roman" w:cs="Times New Roman"/>
          <w:lang w:val="ro-RO"/>
        </w:rPr>
        <w:t>de eficientizare și fortificare a nivelului de securitate alimentară</w:t>
      </w:r>
      <w:r w:rsidR="00E20E6A" w:rsidRPr="00A73566">
        <w:rPr>
          <w:rFonts w:ascii="Times New Roman" w:hAnsi="Times New Roman" w:cs="Times New Roman"/>
          <w:lang w:val="ro-RO"/>
        </w:rPr>
        <w:t xml:space="preserve"> a </w:t>
      </w:r>
      <w:r w:rsidR="004F0B2D" w:rsidRPr="00A73566">
        <w:rPr>
          <w:rFonts w:ascii="Times New Roman" w:hAnsi="Times New Roman" w:cs="Times New Roman"/>
          <w:lang w:val="ro-RO"/>
        </w:rPr>
        <w:t>ță</w:t>
      </w:r>
      <w:r w:rsidR="00E20E6A" w:rsidRPr="00A73566">
        <w:rPr>
          <w:rFonts w:ascii="Times New Roman" w:hAnsi="Times New Roman" w:cs="Times New Roman"/>
          <w:lang w:val="ro-RO"/>
        </w:rPr>
        <w:t>rii</w:t>
      </w:r>
      <w:r w:rsidR="004F0B2D" w:rsidRPr="00A73566">
        <w:rPr>
          <w:rFonts w:ascii="Times New Roman" w:hAnsi="Times New Roman" w:cs="Times New Roman"/>
          <w:lang w:val="ro-RO"/>
        </w:rPr>
        <w:t>,</w:t>
      </w:r>
      <w:r w:rsidR="00E20E6A" w:rsidRPr="00A73566">
        <w:rPr>
          <w:rFonts w:ascii="Times New Roman" w:hAnsi="Times New Roman" w:cs="Times New Roman"/>
          <w:lang w:val="ro-RO"/>
        </w:rPr>
        <w:t xml:space="preserve"> </w:t>
      </w:r>
      <w:r w:rsidR="00634583" w:rsidRPr="00A73566">
        <w:rPr>
          <w:rFonts w:ascii="Times New Roman" w:hAnsi="Times New Roman" w:cs="Times New Roman"/>
          <w:lang w:val="ro-RO"/>
        </w:rPr>
        <w:t xml:space="preserve">(ii) </w:t>
      </w:r>
      <w:r w:rsidR="00010D38" w:rsidRPr="00A73566">
        <w:rPr>
          <w:rFonts w:ascii="Times New Roman" w:hAnsi="Times New Roman" w:cs="Times New Roman"/>
          <w:lang w:val="ro-RO"/>
        </w:rPr>
        <w:t>c</w:t>
      </w:r>
      <w:r w:rsidR="00634583" w:rsidRPr="00A73566">
        <w:rPr>
          <w:rFonts w:ascii="Times New Roman" w:hAnsi="Times New Roman" w:cs="Times New Roman"/>
          <w:lang w:val="ro-RO"/>
        </w:rPr>
        <w:t xml:space="preserve">rearea unui mecanism cadru de inspectare a exploatațiilor agricole afectate de calamitățile naturale, (iii) </w:t>
      </w:r>
      <w:r w:rsidR="0069367A" w:rsidRPr="00A73566">
        <w:rPr>
          <w:rFonts w:ascii="Times New Roman" w:hAnsi="Times New Roman" w:cs="Times New Roman"/>
          <w:lang w:val="ro-RO"/>
        </w:rPr>
        <w:t>c</w:t>
      </w:r>
      <w:r w:rsidR="00010D38" w:rsidRPr="00A73566">
        <w:rPr>
          <w:rFonts w:ascii="Times New Roman" w:hAnsi="Times New Roman" w:cs="Times New Roman"/>
          <w:lang w:val="ro-RO"/>
        </w:rPr>
        <w:t>onsolid</w:t>
      </w:r>
      <w:r w:rsidR="00634583" w:rsidRPr="00A73566">
        <w:rPr>
          <w:rFonts w:ascii="Times New Roman" w:hAnsi="Times New Roman" w:cs="Times New Roman"/>
          <w:lang w:val="ro-RO"/>
        </w:rPr>
        <w:t xml:space="preserve">area Serviciului </w:t>
      </w:r>
      <w:r w:rsidR="00010D38" w:rsidRPr="00A73566">
        <w:rPr>
          <w:rFonts w:ascii="Times New Roman" w:hAnsi="Times New Roman" w:cs="Times New Roman"/>
          <w:lang w:val="ro-RO"/>
        </w:rPr>
        <w:t>s</w:t>
      </w:r>
      <w:r w:rsidR="00634583" w:rsidRPr="00A73566">
        <w:rPr>
          <w:rFonts w:ascii="Times New Roman" w:hAnsi="Times New Roman" w:cs="Times New Roman"/>
          <w:lang w:val="ro-RO"/>
        </w:rPr>
        <w:t xml:space="preserve">pecial pentru </w:t>
      </w:r>
      <w:r w:rsidR="00010D38" w:rsidRPr="00A73566">
        <w:rPr>
          <w:rFonts w:ascii="Times New Roman" w:hAnsi="Times New Roman" w:cs="Times New Roman"/>
          <w:lang w:val="ro-RO"/>
        </w:rPr>
        <w:t>i</w:t>
      </w:r>
      <w:r w:rsidR="00634583" w:rsidRPr="00A73566">
        <w:rPr>
          <w:rFonts w:ascii="Times New Roman" w:hAnsi="Times New Roman" w:cs="Times New Roman"/>
          <w:lang w:val="ro-RO"/>
        </w:rPr>
        <w:t xml:space="preserve">nfluențe </w:t>
      </w:r>
      <w:r w:rsidR="00010D38" w:rsidRPr="00A73566">
        <w:rPr>
          <w:rFonts w:ascii="Times New Roman" w:hAnsi="Times New Roman" w:cs="Times New Roman"/>
          <w:lang w:val="ro-RO"/>
        </w:rPr>
        <w:t>a</w:t>
      </w:r>
      <w:r w:rsidR="00634583" w:rsidRPr="00A73566">
        <w:rPr>
          <w:rFonts w:ascii="Times New Roman" w:hAnsi="Times New Roman" w:cs="Times New Roman"/>
          <w:lang w:val="ro-RO"/>
        </w:rPr>
        <w:t xml:space="preserve">ctive asupra </w:t>
      </w:r>
      <w:r w:rsidR="00010D38" w:rsidRPr="00A73566">
        <w:rPr>
          <w:rFonts w:ascii="Times New Roman" w:hAnsi="Times New Roman" w:cs="Times New Roman"/>
          <w:lang w:val="ro-RO"/>
        </w:rPr>
        <w:t>p</w:t>
      </w:r>
      <w:r w:rsidR="00634583" w:rsidRPr="00A73566">
        <w:rPr>
          <w:rFonts w:ascii="Times New Roman" w:hAnsi="Times New Roman" w:cs="Times New Roman"/>
          <w:lang w:val="ro-RO"/>
        </w:rPr>
        <w:t xml:space="preserve">roceselor </w:t>
      </w:r>
      <w:r w:rsidR="00010D38" w:rsidRPr="00A73566">
        <w:rPr>
          <w:rFonts w:ascii="Times New Roman" w:hAnsi="Times New Roman" w:cs="Times New Roman"/>
          <w:lang w:val="ro-RO"/>
        </w:rPr>
        <w:t>h</w:t>
      </w:r>
      <w:r w:rsidR="00634583" w:rsidRPr="00A73566">
        <w:rPr>
          <w:rFonts w:ascii="Times New Roman" w:hAnsi="Times New Roman" w:cs="Times New Roman"/>
          <w:lang w:val="ro-RO"/>
        </w:rPr>
        <w:t>idrometeorologice</w:t>
      </w:r>
      <w:r w:rsidR="00FF15A7" w:rsidRPr="00A73566">
        <w:rPr>
          <w:rFonts w:ascii="Times New Roman" w:hAnsi="Times New Roman" w:cs="Times New Roman"/>
          <w:lang w:val="ro-RO"/>
        </w:rPr>
        <w:t>. C</w:t>
      </w:r>
      <w:r w:rsidR="00B516CD" w:rsidRPr="00A73566">
        <w:rPr>
          <w:rFonts w:ascii="Times New Roman" w:hAnsi="Times New Roman" w:cs="Times New Roman"/>
          <w:lang w:val="ro-RO"/>
        </w:rPr>
        <w:t>rearea</w:t>
      </w:r>
      <w:r w:rsidR="00814801" w:rsidRPr="00A73566">
        <w:rPr>
          <w:rFonts w:ascii="Times New Roman" w:hAnsi="Times New Roman" w:cs="Times New Roman"/>
          <w:lang w:val="ro-RO"/>
        </w:rPr>
        <w:t xml:space="preserve"> a </w:t>
      </w:r>
      <w:r w:rsidR="00634583" w:rsidRPr="00A73566">
        <w:rPr>
          <w:rFonts w:ascii="Times New Roman" w:hAnsi="Times New Roman" w:cs="Times New Roman"/>
          <w:lang w:val="ro-RO"/>
        </w:rPr>
        <w:t xml:space="preserve">18 puncte rachetare </w:t>
      </w:r>
      <w:r w:rsidR="00814801" w:rsidRPr="00A73566">
        <w:rPr>
          <w:rFonts w:ascii="Times New Roman" w:hAnsi="Times New Roman" w:cs="Times New Roman"/>
          <w:lang w:val="ro-RO"/>
        </w:rPr>
        <w:t xml:space="preserve">noi și </w:t>
      </w:r>
      <w:r w:rsidR="00634583" w:rsidRPr="00A73566">
        <w:rPr>
          <w:rFonts w:ascii="Times New Roman" w:hAnsi="Times New Roman" w:cs="Times New Roman"/>
          <w:lang w:val="ro-RO"/>
        </w:rPr>
        <w:t>mărirea arealului protejat cu circa 218 mii hectare</w:t>
      </w:r>
      <w:r w:rsidR="00B516CD" w:rsidRPr="00A73566">
        <w:rPr>
          <w:rFonts w:ascii="Times New Roman" w:hAnsi="Times New Roman" w:cs="Times New Roman"/>
          <w:lang w:val="ro-RO"/>
        </w:rPr>
        <w:t xml:space="preserve"> va permite reducerea impactului negativ al căderilor de grindin</w:t>
      </w:r>
      <w:r w:rsidR="00FF15A7" w:rsidRPr="00A73566">
        <w:rPr>
          <w:rFonts w:ascii="Times New Roman" w:hAnsi="Times New Roman" w:cs="Times New Roman"/>
          <w:lang w:val="ro-RO"/>
        </w:rPr>
        <w:t>ă</w:t>
      </w:r>
      <w:r w:rsidR="00010D38" w:rsidRPr="00A73566">
        <w:rPr>
          <w:rFonts w:ascii="Times New Roman" w:hAnsi="Times New Roman" w:cs="Times New Roman"/>
          <w:lang w:val="ro-RO"/>
        </w:rPr>
        <w:t>.</w:t>
      </w:r>
      <w:r w:rsidR="00634583" w:rsidRPr="00A73566">
        <w:rPr>
          <w:rFonts w:ascii="Times New Roman" w:hAnsi="Times New Roman" w:cs="Times New Roman"/>
          <w:lang w:val="ro-RO"/>
        </w:rPr>
        <w:t xml:space="preserve"> </w:t>
      </w:r>
      <w:r w:rsidR="00A33110" w:rsidRPr="00A73566">
        <w:rPr>
          <w:rFonts w:ascii="Times New Roman" w:hAnsi="Times New Roman" w:cs="Times New Roman"/>
          <w:lang w:val="ro-RO"/>
        </w:rPr>
        <w:t>Un element important al securității alimentare este asigurarea generației tinere cu produse autohtone.</w:t>
      </w:r>
      <w:r w:rsidR="00814801" w:rsidRPr="00A73566">
        <w:rPr>
          <w:rFonts w:ascii="Times New Roman" w:hAnsi="Times New Roman" w:cs="Times New Roman"/>
          <w:lang w:val="ro-RO"/>
        </w:rPr>
        <w:t xml:space="preserve"> </w:t>
      </w:r>
      <w:r w:rsidR="00FF15A7" w:rsidRPr="00A73566">
        <w:rPr>
          <w:rFonts w:ascii="Times New Roman" w:hAnsi="Times New Roman" w:cs="Times New Roman"/>
          <w:lang w:val="ro-RO"/>
        </w:rPr>
        <w:t>Î</w:t>
      </w:r>
      <w:r w:rsidR="00814801" w:rsidRPr="00A73566">
        <w:rPr>
          <w:rFonts w:ascii="Times New Roman" w:hAnsi="Times New Roman" w:cs="Times New Roman"/>
          <w:lang w:val="ro-RO"/>
        </w:rPr>
        <w:t xml:space="preserve">n acest sens, </w:t>
      </w:r>
      <w:r w:rsidR="00010D38" w:rsidRPr="00A73566">
        <w:rPr>
          <w:rFonts w:ascii="Times New Roman" w:hAnsi="Times New Roman" w:cs="Times New Roman"/>
          <w:lang w:val="ro-RO"/>
        </w:rPr>
        <w:t xml:space="preserve">va fi implementat </w:t>
      </w:r>
      <w:r w:rsidR="00A33110" w:rsidRPr="00A73566">
        <w:rPr>
          <w:rFonts w:ascii="Times New Roman" w:hAnsi="Times New Roman" w:cs="Times New Roman"/>
          <w:lang w:val="ro-RO"/>
        </w:rPr>
        <w:t>Programul național de asigurare a instituțiilor de învățământ cu produse alimentare</w:t>
      </w:r>
      <w:r w:rsidR="00FF15A7" w:rsidRPr="00A73566">
        <w:rPr>
          <w:rFonts w:ascii="Times New Roman" w:hAnsi="Times New Roman" w:cs="Times New Roman"/>
          <w:lang w:val="ro-RO"/>
        </w:rPr>
        <w:t>, fapt ce</w:t>
      </w:r>
      <w:r w:rsidR="00A33110" w:rsidRPr="00A73566">
        <w:rPr>
          <w:rFonts w:ascii="Times New Roman" w:hAnsi="Times New Roman" w:cs="Times New Roman"/>
          <w:lang w:val="ro-RO"/>
        </w:rPr>
        <w:t xml:space="preserve"> va contribui la</w:t>
      </w:r>
      <w:r w:rsidR="00814801" w:rsidRPr="00A73566">
        <w:rPr>
          <w:rFonts w:ascii="Times New Roman" w:hAnsi="Times New Roman" w:cs="Times New Roman"/>
          <w:lang w:val="ro-RO"/>
        </w:rPr>
        <w:t xml:space="preserve"> promovarea consumului de produs</w:t>
      </w:r>
      <w:r w:rsidR="009433CF" w:rsidRPr="00A73566">
        <w:rPr>
          <w:rFonts w:ascii="Times New Roman" w:hAnsi="Times New Roman" w:cs="Times New Roman"/>
          <w:lang w:val="ro-RO"/>
        </w:rPr>
        <w:t>e</w:t>
      </w:r>
      <w:r w:rsidR="00814801" w:rsidRPr="00A73566">
        <w:rPr>
          <w:rFonts w:ascii="Times New Roman" w:hAnsi="Times New Roman" w:cs="Times New Roman"/>
          <w:lang w:val="ro-RO"/>
        </w:rPr>
        <w:t xml:space="preserve"> </w:t>
      </w:r>
      <w:r w:rsidR="009433CF" w:rsidRPr="00A73566">
        <w:rPr>
          <w:rFonts w:ascii="Times New Roman" w:hAnsi="Times New Roman" w:cs="Times New Roman"/>
          <w:lang w:val="ro-RO"/>
        </w:rPr>
        <w:t>naționale</w:t>
      </w:r>
      <w:r w:rsidR="00814801" w:rsidRPr="00A73566">
        <w:rPr>
          <w:rFonts w:ascii="Times New Roman" w:hAnsi="Times New Roman" w:cs="Times New Roman"/>
          <w:lang w:val="ro-RO"/>
        </w:rPr>
        <w:t xml:space="preserve"> si </w:t>
      </w:r>
      <w:r w:rsidR="00FF15A7" w:rsidRPr="00A73566">
        <w:rPr>
          <w:rFonts w:ascii="Times New Roman" w:hAnsi="Times New Roman" w:cs="Times New Roman"/>
          <w:lang w:val="ro-RO"/>
        </w:rPr>
        <w:t xml:space="preserve">la </w:t>
      </w:r>
      <w:r w:rsidR="00814801" w:rsidRPr="00A73566">
        <w:rPr>
          <w:rFonts w:ascii="Times New Roman" w:hAnsi="Times New Roman" w:cs="Times New Roman"/>
          <w:lang w:val="ro-RO"/>
        </w:rPr>
        <w:t>crearea unei dependențe pozitive faț</w:t>
      </w:r>
      <w:r w:rsidR="00FF15A7" w:rsidRPr="00A73566">
        <w:rPr>
          <w:rFonts w:ascii="Times New Roman" w:hAnsi="Times New Roman" w:cs="Times New Roman"/>
          <w:lang w:val="ro-RO"/>
        </w:rPr>
        <w:t>ă</w:t>
      </w:r>
      <w:r w:rsidR="00814801" w:rsidRPr="00A73566">
        <w:rPr>
          <w:rFonts w:ascii="Times New Roman" w:hAnsi="Times New Roman" w:cs="Times New Roman"/>
          <w:lang w:val="ro-RO"/>
        </w:rPr>
        <w:t xml:space="preserve"> de produsele </w:t>
      </w:r>
      <w:r w:rsidR="00FF15A7" w:rsidRPr="00A73566">
        <w:rPr>
          <w:rFonts w:ascii="Times New Roman" w:hAnsi="Times New Roman" w:cs="Times New Roman"/>
          <w:lang w:val="ro-RO"/>
        </w:rPr>
        <w:t>ș</w:t>
      </w:r>
      <w:r w:rsidR="00814801" w:rsidRPr="00A73566">
        <w:rPr>
          <w:rFonts w:ascii="Times New Roman" w:hAnsi="Times New Roman" w:cs="Times New Roman"/>
          <w:lang w:val="ro-RO"/>
        </w:rPr>
        <w:t>i producătorii autoht</w:t>
      </w:r>
      <w:r w:rsidR="009433CF" w:rsidRPr="00A73566">
        <w:rPr>
          <w:rFonts w:ascii="Times New Roman" w:hAnsi="Times New Roman" w:cs="Times New Roman"/>
          <w:lang w:val="ro-RO"/>
        </w:rPr>
        <w:t>o</w:t>
      </w:r>
      <w:r w:rsidR="00814801" w:rsidRPr="00A73566">
        <w:rPr>
          <w:rFonts w:ascii="Times New Roman" w:hAnsi="Times New Roman" w:cs="Times New Roman"/>
          <w:lang w:val="ro-RO"/>
        </w:rPr>
        <w:t>ni.</w:t>
      </w:r>
      <w:r w:rsidR="009433CF" w:rsidRPr="00A73566">
        <w:rPr>
          <w:rFonts w:ascii="Times New Roman" w:hAnsi="Times New Roman" w:cs="Times New Roman"/>
          <w:lang w:val="ro-RO"/>
        </w:rPr>
        <w:t xml:space="preserve"> R</w:t>
      </w:r>
      <w:r w:rsidR="00B075E2" w:rsidRPr="00A73566">
        <w:rPr>
          <w:rFonts w:ascii="Times New Roman" w:hAnsi="Times New Roman" w:cs="Times New Roman"/>
          <w:lang w:val="ro-RO"/>
        </w:rPr>
        <w:t xml:space="preserve">educerea </w:t>
      </w:r>
      <w:r w:rsidR="00FF15A7" w:rsidRPr="00A73566">
        <w:rPr>
          <w:rFonts w:ascii="Times New Roman" w:hAnsi="Times New Roman" w:cs="Times New Roman"/>
          <w:lang w:val="ro-RO"/>
        </w:rPr>
        <w:t>ș</w:t>
      </w:r>
      <w:r w:rsidR="00B075E2" w:rsidRPr="00A73566">
        <w:rPr>
          <w:rFonts w:ascii="Times New Roman" w:hAnsi="Times New Roman" w:cs="Times New Roman"/>
          <w:lang w:val="ro-RO"/>
        </w:rPr>
        <w:t xml:space="preserve">oc-urilor financiare </w:t>
      </w:r>
      <w:r w:rsidR="009433CF" w:rsidRPr="00A73566">
        <w:rPr>
          <w:rFonts w:ascii="Times New Roman" w:hAnsi="Times New Roman" w:cs="Times New Roman"/>
          <w:lang w:val="ro-RO"/>
        </w:rPr>
        <w:t xml:space="preserve">în </w:t>
      </w:r>
      <w:r w:rsidR="00FF15A7" w:rsidRPr="00A73566">
        <w:rPr>
          <w:rFonts w:ascii="Times New Roman" w:hAnsi="Times New Roman" w:cs="Times New Roman"/>
          <w:lang w:val="ro-RO"/>
        </w:rPr>
        <w:t>urma</w:t>
      </w:r>
      <w:r w:rsidR="00B075E2" w:rsidRPr="00A73566">
        <w:rPr>
          <w:rFonts w:ascii="Times New Roman" w:hAnsi="Times New Roman" w:cs="Times New Roman"/>
          <w:lang w:val="ro-RO"/>
        </w:rPr>
        <w:t xml:space="preserve"> calamitaților naturale</w:t>
      </w:r>
      <w:r w:rsidR="009433CF" w:rsidRPr="00A73566">
        <w:rPr>
          <w:rFonts w:ascii="Times New Roman" w:hAnsi="Times New Roman" w:cs="Times New Roman"/>
          <w:lang w:val="ro-RO"/>
        </w:rPr>
        <w:t>, precum și crearea unor mecanisme de susținere</w:t>
      </w:r>
      <w:r w:rsidR="00FF15A7" w:rsidRPr="00A73566">
        <w:rPr>
          <w:rFonts w:ascii="Times New Roman" w:hAnsi="Times New Roman" w:cs="Times New Roman"/>
          <w:lang w:val="ro-RO"/>
        </w:rPr>
        <w:t xml:space="preserve"> </w:t>
      </w:r>
      <w:r w:rsidR="009433CF" w:rsidRPr="00A73566">
        <w:rPr>
          <w:rFonts w:ascii="Times New Roman" w:hAnsi="Times New Roman" w:cs="Times New Roman"/>
          <w:lang w:val="ro-RO"/>
        </w:rPr>
        <w:t xml:space="preserve">a dezvoltării agriculturii </w:t>
      </w:r>
      <w:r w:rsidR="00FF15A7" w:rsidRPr="00A73566">
        <w:rPr>
          <w:rFonts w:ascii="Times New Roman" w:hAnsi="Times New Roman" w:cs="Times New Roman"/>
          <w:lang w:val="ro-RO"/>
        </w:rPr>
        <w:t>va fi</w:t>
      </w:r>
      <w:r w:rsidR="009433CF" w:rsidRPr="00A73566">
        <w:rPr>
          <w:rFonts w:ascii="Times New Roman" w:hAnsi="Times New Roman" w:cs="Times New Roman"/>
          <w:lang w:val="ro-RO"/>
        </w:rPr>
        <w:t xml:space="preserve"> realizat</w:t>
      </w:r>
      <w:r w:rsidR="00FF15A7" w:rsidRPr="00A73566">
        <w:rPr>
          <w:rFonts w:ascii="Times New Roman" w:hAnsi="Times New Roman" w:cs="Times New Roman"/>
          <w:lang w:val="ro-RO"/>
        </w:rPr>
        <w:t>ă</w:t>
      </w:r>
      <w:r w:rsidR="00426E7F" w:rsidRPr="00A73566">
        <w:rPr>
          <w:rFonts w:ascii="Times New Roman" w:hAnsi="Times New Roman" w:cs="Times New Roman"/>
          <w:lang w:val="ro-RO"/>
        </w:rPr>
        <w:t xml:space="preserve"> </w:t>
      </w:r>
      <w:r w:rsidR="009433CF" w:rsidRPr="00A73566">
        <w:rPr>
          <w:rFonts w:ascii="Times New Roman" w:hAnsi="Times New Roman" w:cs="Times New Roman"/>
          <w:lang w:val="ro-RO"/>
        </w:rPr>
        <w:t xml:space="preserve"> </w:t>
      </w:r>
      <w:r w:rsidR="00B075E2" w:rsidRPr="00A73566">
        <w:rPr>
          <w:rFonts w:ascii="Times New Roman" w:hAnsi="Times New Roman" w:cs="Times New Roman"/>
          <w:lang w:val="ro-RO"/>
        </w:rPr>
        <w:t xml:space="preserve">prin crearea </w:t>
      </w:r>
      <w:r w:rsidR="009433CF" w:rsidRPr="00A73566">
        <w:rPr>
          <w:rFonts w:ascii="Times New Roman" w:hAnsi="Times New Roman" w:cs="Times New Roman"/>
          <w:lang w:val="ro-RO"/>
        </w:rPr>
        <w:t xml:space="preserve">și dezvoltarea </w:t>
      </w:r>
      <w:r w:rsidR="00B075E2" w:rsidRPr="00A73566">
        <w:rPr>
          <w:rFonts w:ascii="Times New Roman" w:hAnsi="Times New Roman" w:cs="Times New Roman"/>
          <w:iCs/>
          <w:lang w:val="ro-RO"/>
        </w:rPr>
        <w:t>Fondului de Garantare a Creditelor în Agricultură</w:t>
      </w:r>
      <w:r w:rsidR="00B075E2" w:rsidRPr="00A73566">
        <w:rPr>
          <w:rFonts w:ascii="Times New Roman" w:hAnsi="Times New Roman" w:cs="Times New Roman"/>
          <w:i/>
          <w:iCs/>
          <w:lang w:val="ro-RO"/>
        </w:rPr>
        <w:t>.</w:t>
      </w:r>
    </w:p>
    <w:p w14:paraId="763A5692" w14:textId="3916016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3.2 Consolidarea siguranței alimentelor</w:t>
      </w:r>
      <w:r w:rsidR="00777618" w:rsidRPr="00A73566">
        <w:rPr>
          <w:rFonts w:ascii="Times New Roman" w:hAnsi="Times New Roman" w:cs="Times New Roman"/>
          <w:i/>
          <w:iCs/>
          <w:lang w:val="ro-RO"/>
        </w:rPr>
        <w:t xml:space="preserve"> și bunăstării animalelor</w:t>
      </w:r>
    </w:p>
    <w:p w14:paraId="371805D7" w14:textId="6E97E25C" w:rsidR="001E0A0D" w:rsidRPr="00A73566" w:rsidRDefault="00426E7F" w:rsidP="00A45DFD">
      <w:pPr>
        <w:ind w:firstLine="567"/>
        <w:rPr>
          <w:rFonts w:ascii="Times New Roman" w:hAnsi="Times New Roman" w:cs="Times New Roman"/>
          <w:lang w:val="ro-RO"/>
        </w:rPr>
      </w:pPr>
      <w:r w:rsidRPr="00A73566">
        <w:rPr>
          <w:rFonts w:ascii="Times New Roman" w:hAnsi="Times New Roman" w:cs="Times New Roman"/>
          <w:lang w:val="ro-RO"/>
        </w:rPr>
        <w:t xml:space="preserve">Pentru atingerea acestui obiect specific, </w:t>
      </w:r>
      <w:r w:rsidR="00BF3E71" w:rsidRPr="00A73566">
        <w:rPr>
          <w:rFonts w:ascii="Times New Roman" w:hAnsi="Times New Roman" w:cs="Times New Roman"/>
          <w:lang w:val="ro-RO"/>
        </w:rPr>
        <w:t xml:space="preserve">sunt planificate un </w:t>
      </w:r>
      <w:r w:rsidR="001E0A0D" w:rsidRPr="00A73566">
        <w:rPr>
          <w:rFonts w:ascii="Times New Roman" w:hAnsi="Times New Roman" w:cs="Times New Roman"/>
          <w:lang w:val="ro-RO"/>
        </w:rPr>
        <w:t>set de măsuri orientate spre realizarea celor mai înalte standarde de protecție a sănătății publice și a intereselor consumatorilor</w:t>
      </w:r>
      <w:r w:rsidRPr="00A73566">
        <w:rPr>
          <w:rFonts w:ascii="Times New Roman" w:hAnsi="Times New Roman" w:cs="Times New Roman"/>
          <w:lang w:val="ro-RO"/>
        </w:rPr>
        <w:t>, și anu</w:t>
      </w:r>
      <w:r w:rsidR="006854A4" w:rsidRPr="00A73566">
        <w:rPr>
          <w:rFonts w:ascii="Times New Roman" w:hAnsi="Times New Roman" w:cs="Times New Roman"/>
          <w:lang w:val="ro-RO"/>
        </w:rPr>
        <w:t>me</w:t>
      </w:r>
      <w:r w:rsidR="0069367A" w:rsidRPr="00A73566">
        <w:rPr>
          <w:rFonts w:ascii="Times New Roman" w:hAnsi="Times New Roman" w:cs="Times New Roman"/>
          <w:lang w:val="ro-RO"/>
        </w:rPr>
        <w:t>:</w:t>
      </w:r>
      <w:r w:rsidR="006E284B" w:rsidRPr="00A73566">
        <w:rPr>
          <w:rFonts w:ascii="Times New Roman" w:hAnsi="Times New Roman" w:cs="Times New Roman"/>
          <w:lang w:val="ro-RO"/>
        </w:rPr>
        <w:t xml:space="preserve"> (i) </w:t>
      </w:r>
      <w:r w:rsidR="0069367A" w:rsidRPr="00A73566">
        <w:rPr>
          <w:rFonts w:ascii="Times New Roman" w:hAnsi="Times New Roman" w:cs="Times New Roman"/>
          <w:lang w:val="ro-RO"/>
        </w:rPr>
        <w:t>îmbunătățirea</w:t>
      </w:r>
      <w:r w:rsidR="001E0A0D" w:rsidRPr="00A73566">
        <w:rPr>
          <w:rFonts w:ascii="Times New Roman" w:hAnsi="Times New Roman" w:cs="Times New Roman"/>
          <w:lang w:val="ro-RO"/>
        </w:rPr>
        <w:t xml:space="preserve"> cadrului normativ național prin armonizarea </w:t>
      </w:r>
      <w:r w:rsidR="006854A4" w:rsidRPr="00A73566">
        <w:rPr>
          <w:rFonts w:ascii="Times New Roman" w:hAnsi="Times New Roman" w:cs="Times New Roman"/>
          <w:lang w:val="ro-RO"/>
        </w:rPr>
        <w:t>ș</w:t>
      </w:r>
      <w:r w:rsidR="001E0A0D" w:rsidRPr="00A73566">
        <w:rPr>
          <w:rFonts w:ascii="Times New Roman" w:hAnsi="Times New Roman" w:cs="Times New Roman"/>
          <w:lang w:val="ro-RO"/>
        </w:rPr>
        <w:t>i ajustarea</w:t>
      </w:r>
      <w:r w:rsidR="006854A4" w:rsidRPr="00A73566">
        <w:rPr>
          <w:rFonts w:ascii="Times New Roman" w:hAnsi="Times New Roman" w:cs="Times New Roman"/>
          <w:lang w:val="ro-RO"/>
        </w:rPr>
        <w:t xml:space="preserve"> acestuia</w:t>
      </w:r>
      <w:r w:rsidR="001E0A0D" w:rsidRPr="00A73566">
        <w:rPr>
          <w:rFonts w:ascii="Times New Roman" w:hAnsi="Times New Roman" w:cs="Times New Roman"/>
          <w:lang w:val="ro-RO"/>
        </w:rPr>
        <w:t xml:space="preserve"> la </w:t>
      </w:r>
      <w:r w:rsidR="006E284B" w:rsidRPr="00A73566">
        <w:rPr>
          <w:rFonts w:ascii="Times New Roman" w:hAnsi="Times New Roman" w:cs="Times New Roman"/>
          <w:lang w:val="ro-RO"/>
        </w:rPr>
        <w:t>A</w:t>
      </w:r>
      <w:r w:rsidR="001E0A0D" w:rsidRPr="00A73566">
        <w:rPr>
          <w:rFonts w:ascii="Times New Roman" w:hAnsi="Times New Roman" w:cs="Times New Roman"/>
          <w:lang w:val="ro-RO"/>
        </w:rPr>
        <w:t xml:space="preserve">quis-ul European; </w:t>
      </w:r>
      <w:r w:rsidR="006E284B" w:rsidRPr="00A73566">
        <w:rPr>
          <w:rFonts w:ascii="Times New Roman" w:hAnsi="Times New Roman" w:cs="Times New Roman"/>
          <w:lang w:val="ro-RO"/>
        </w:rPr>
        <w:t xml:space="preserve">(ii) </w:t>
      </w:r>
      <w:r w:rsidR="0069367A" w:rsidRPr="00A73566">
        <w:rPr>
          <w:rFonts w:ascii="Times New Roman" w:hAnsi="Times New Roman" w:cs="Times New Roman"/>
          <w:lang w:val="ro-RO"/>
        </w:rPr>
        <w:t>p</w:t>
      </w:r>
      <w:r w:rsidR="006E284B" w:rsidRPr="00A73566">
        <w:rPr>
          <w:rFonts w:ascii="Times New Roman" w:hAnsi="Times New Roman" w:cs="Times New Roman"/>
          <w:lang w:val="ro-RO"/>
        </w:rPr>
        <w:t>erfecționarea sistemului de control de-a lungul lanțului agroalimentar</w:t>
      </w:r>
      <w:r w:rsidR="006854A4" w:rsidRPr="00A73566">
        <w:rPr>
          <w:rFonts w:ascii="Times New Roman" w:hAnsi="Times New Roman" w:cs="Times New Roman"/>
          <w:lang w:val="ro-RO"/>
        </w:rPr>
        <w:t>,</w:t>
      </w:r>
      <w:r w:rsidR="006E284B" w:rsidRPr="00A73566">
        <w:rPr>
          <w:rFonts w:ascii="Times New Roman" w:hAnsi="Times New Roman" w:cs="Times New Roman"/>
          <w:lang w:val="ro-RO"/>
        </w:rPr>
        <w:t xml:space="preserve"> (iii) </w:t>
      </w:r>
      <w:r w:rsidR="0069367A" w:rsidRPr="00A73566">
        <w:rPr>
          <w:rFonts w:ascii="Times New Roman" w:hAnsi="Times New Roman" w:cs="Times New Roman"/>
          <w:lang w:val="ro-RO"/>
        </w:rPr>
        <w:t>d</w:t>
      </w:r>
      <w:r w:rsidR="006E284B" w:rsidRPr="00A73566">
        <w:rPr>
          <w:rFonts w:ascii="Times New Roman" w:hAnsi="Times New Roman" w:cs="Times New Roman"/>
          <w:lang w:val="ro-RO"/>
        </w:rPr>
        <w:t>otarea și consolidarea capacității laboratoarelor naționale, (iv)</w:t>
      </w:r>
      <w:r w:rsidR="0069367A" w:rsidRPr="00A73566">
        <w:rPr>
          <w:rFonts w:ascii="Times New Roman" w:hAnsi="Times New Roman" w:cs="Times New Roman"/>
          <w:lang w:val="ro-RO"/>
        </w:rPr>
        <w:t xml:space="preserve">  c</w:t>
      </w:r>
      <w:r w:rsidR="006E284B" w:rsidRPr="00A73566">
        <w:rPr>
          <w:rFonts w:ascii="Times New Roman" w:hAnsi="Times New Roman" w:cs="Times New Roman"/>
          <w:lang w:val="ro-RO"/>
        </w:rPr>
        <w:t>onsolidarea capacităților sistemului sanitar-veterinar</w:t>
      </w:r>
      <w:r w:rsidR="006854A4" w:rsidRPr="00A73566">
        <w:rPr>
          <w:rFonts w:ascii="Times New Roman" w:hAnsi="Times New Roman" w:cs="Times New Roman"/>
          <w:lang w:val="ro-RO"/>
        </w:rPr>
        <w:t xml:space="preserve">, </w:t>
      </w:r>
      <w:r w:rsidR="006E284B" w:rsidRPr="00A73566">
        <w:rPr>
          <w:rFonts w:ascii="Times New Roman" w:hAnsi="Times New Roman" w:cs="Times New Roman"/>
          <w:lang w:val="ro-RO"/>
        </w:rPr>
        <w:t>(v) dezvolt</w:t>
      </w:r>
      <w:r w:rsidR="006854A4" w:rsidRPr="00A73566">
        <w:rPr>
          <w:rFonts w:ascii="Times New Roman" w:hAnsi="Times New Roman" w:cs="Times New Roman"/>
          <w:lang w:val="ro-RO"/>
        </w:rPr>
        <w:t>area</w:t>
      </w:r>
      <w:r w:rsidR="006E284B" w:rsidRPr="00A73566">
        <w:rPr>
          <w:rFonts w:ascii="Times New Roman" w:hAnsi="Times New Roman" w:cs="Times New Roman"/>
          <w:lang w:val="ro-RO"/>
        </w:rPr>
        <w:t xml:space="preserve"> sistem</w:t>
      </w:r>
      <w:r w:rsidR="006854A4" w:rsidRPr="00A73566">
        <w:rPr>
          <w:rFonts w:ascii="Times New Roman" w:hAnsi="Times New Roman" w:cs="Times New Roman"/>
          <w:lang w:val="ro-RO"/>
        </w:rPr>
        <w:t>ului</w:t>
      </w:r>
      <w:r w:rsidR="006E284B" w:rsidRPr="00A73566">
        <w:rPr>
          <w:rFonts w:ascii="Times New Roman" w:hAnsi="Times New Roman" w:cs="Times New Roman"/>
          <w:lang w:val="ro-RO"/>
        </w:rPr>
        <w:t xml:space="preserve"> de colectare și eliminare sigură a subproduselor de origine animală și </w:t>
      </w:r>
      <w:r w:rsidR="006854A4" w:rsidRPr="00A73566">
        <w:rPr>
          <w:rFonts w:ascii="Times New Roman" w:hAnsi="Times New Roman" w:cs="Times New Roman"/>
          <w:lang w:val="ro-RO"/>
        </w:rPr>
        <w:t xml:space="preserve">a </w:t>
      </w:r>
      <w:r w:rsidR="006E284B" w:rsidRPr="00A73566">
        <w:rPr>
          <w:rFonts w:ascii="Times New Roman" w:hAnsi="Times New Roman" w:cs="Times New Roman"/>
          <w:lang w:val="ro-RO"/>
        </w:rPr>
        <w:t>produsel</w:t>
      </w:r>
      <w:r w:rsidR="006854A4" w:rsidRPr="00A73566">
        <w:rPr>
          <w:rFonts w:ascii="Times New Roman" w:hAnsi="Times New Roman" w:cs="Times New Roman"/>
          <w:lang w:val="ro-RO"/>
        </w:rPr>
        <w:t>or</w:t>
      </w:r>
      <w:r w:rsidR="006E284B" w:rsidRPr="00A73566">
        <w:rPr>
          <w:rFonts w:ascii="Times New Roman" w:hAnsi="Times New Roman" w:cs="Times New Roman"/>
          <w:lang w:val="ro-RO"/>
        </w:rPr>
        <w:t xml:space="preserve"> derivate care nu </w:t>
      </w:r>
      <w:r w:rsidR="003F119C" w:rsidRPr="00A73566">
        <w:rPr>
          <w:rFonts w:ascii="Times New Roman" w:hAnsi="Times New Roman" w:cs="Times New Roman"/>
          <w:lang w:val="ro-RO"/>
        </w:rPr>
        <w:t>s</w:t>
      </w:r>
      <w:r w:rsidR="006854A4" w:rsidRPr="00A73566">
        <w:rPr>
          <w:rFonts w:ascii="Times New Roman" w:hAnsi="Times New Roman" w:cs="Times New Roman"/>
          <w:lang w:val="ro-RO"/>
        </w:rPr>
        <w:t>u</w:t>
      </w:r>
      <w:r w:rsidR="003F119C" w:rsidRPr="00A73566">
        <w:rPr>
          <w:rFonts w:ascii="Times New Roman" w:hAnsi="Times New Roman" w:cs="Times New Roman"/>
          <w:lang w:val="ro-RO"/>
        </w:rPr>
        <w:t>nt</w:t>
      </w:r>
      <w:r w:rsidR="006E284B" w:rsidRPr="00A73566">
        <w:rPr>
          <w:rFonts w:ascii="Times New Roman" w:hAnsi="Times New Roman" w:cs="Times New Roman"/>
          <w:lang w:val="ro-RO"/>
        </w:rPr>
        <w:t xml:space="preserve"> destinate consumului uman, (vi) </w:t>
      </w:r>
      <w:r w:rsidR="0069367A" w:rsidRPr="00A73566">
        <w:rPr>
          <w:rFonts w:ascii="Times New Roman" w:hAnsi="Times New Roman" w:cs="Times New Roman"/>
          <w:lang w:val="ro-RO"/>
        </w:rPr>
        <w:t>f</w:t>
      </w:r>
      <w:r w:rsidR="006E284B" w:rsidRPr="00A73566">
        <w:rPr>
          <w:rFonts w:ascii="Times New Roman" w:hAnsi="Times New Roman" w:cs="Times New Roman"/>
          <w:lang w:val="ro-RO"/>
        </w:rPr>
        <w:t xml:space="preserve">ortificarea posturilor de inspecție la frontieră, (vii) </w:t>
      </w:r>
      <w:r w:rsidR="0069367A" w:rsidRPr="00A73566">
        <w:rPr>
          <w:rFonts w:ascii="Times New Roman" w:hAnsi="Times New Roman" w:cs="Times New Roman"/>
          <w:lang w:val="ro-RO"/>
        </w:rPr>
        <w:t>finaliz</w:t>
      </w:r>
      <w:r w:rsidR="006E284B" w:rsidRPr="00A73566">
        <w:rPr>
          <w:rFonts w:ascii="Times New Roman" w:hAnsi="Times New Roman" w:cs="Times New Roman"/>
          <w:lang w:val="ro-RO"/>
        </w:rPr>
        <w:t xml:space="preserve">area negocierilor </w:t>
      </w:r>
      <w:r w:rsidR="0069367A" w:rsidRPr="00A73566">
        <w:rPr>
          <w:rFonts w:ascii="Times New Roman" w:hAnsi="Times New Roman" w:cs="Times New Roman"/>
          <w:lang w:val="ro-RO"/>
        </w:rPr>
        <w:t>și</w:t>
      </w:r>
      <w:r w:rsidR="006E284B" w:rsidRPr="00A73566">
        <w:rPr>
          <w:rFonts w:ascii="Times New Roman" w:hAnsi="Times New Roman" w:cs="Times New Roman"/>
          <w:lang w:val="ro-RO"/>
        </w:rPr>
        <w:t xml:space="preserve"> obținerea dreptului de export în U</w:t>
      </w:r>
      <w:r w:rsidR="0069367A" w:rsidRPr="00A73566">
        <w:rPr>
          <w:rFonts w:ascii="Times New Roman" w:hAnsi="Times New Roman" w:cs="Times New Roman"/>
          <w:lang w:val="ro-RO"/>
        </w:rPr>
        <w:t>E</w:t>
      </w:r>
      <w:r w:rsidR="006E284B" w:rsidRPr="00A73566">
        <w:rPr>
          <w:rFonts w:ascii="Times New Roman" w:hAnsi="Times New Roman" w:cs="Times New Roman"/>
          <w:lang w:val="ro-RO"/>
        </w:rPr>
        <w:t xml:space="preserve"> </w:t>
      </w:r>
      <w:r w:rsidR="00C2040F" w:rsidRPr="00A73566">
        <w:rPr>
          <w:rFonts w:ascii="Times New Roman" w:hAnsi="Times New Roman" w:cs="Times New Roman"/>
          <w:lang w:val="ro-RO"/>
        </w:rPr>
        <w:t xml:space="preserve">a </w:t>
      </w:r>
      <w:r w:rsidR="006E284B" w:rsidRPr="00A73566">
        <w:rPr>
          <w:rFonts w:ascii="Times New Roman" w:hAnsi="Times New Roman" w:cs="Times New Roman"/>
          <w:lang w:val="ro-RO"/>
        </w:rPr>
        <w:t xml:space="preserve">cărnii de pasăre și </w:t>
      </w:r>
      <w:r w:rsidR="006854A4" w:rsidRPr="00A73566">
        <w:rPr>
          <w:rFonts w:ascii="Times New Roman" w:hAnsi="Times New Roman" w:cs="Times New Roman"/>
          <w:lang w:val="ro-RO"/>
        </w:rPr>
        <w:t xml:space="preserve">a </w:t>
      </w:r>
      <w:r w:rsidR="006E284B" w:rsidRPr="00A73566">
        <w:rPr>
          <w:rFonts w:ascii="Times New Roman" w:hAnsi="Times New Roman" w:cs="Times New Roman"/>
          <w:lang w:val="ro-RO"/>
        </w:rPr>
        <w:t>ouă</w:t>
      </w:r>
      <w:r w:rsidR="006854A4" w:rsidRPr="00A73566">
        <w:rPr>
          <w:rFonts w:ascii="Times New Roman" w:hAnsi="Times New Roman" w:cs="Times New Roman"/>
          <w:lang w:val="ro-RO"/>
        </w:rPr>
        <w:t>lor</w:t>
      </w:r>
      <w:r w:rsidR="006E284B" w:rsidRPr="00A73566">
        <w:rPr>
          <w:rFonts w:ascii="Times New Roman" w:hAnsi="Times New Roman" w:cs="Times New Roman"/>
          <w:lang w:val="ro-RO"/>
        </w:rPr>
        <w:t xml:space="preserve"> de categoria B, </w:t>
      </w:r>
      <w:r w:rsidR="003F119C" w:rsidRPr="00A73566">
        <w:rPr>
          <w:rFonts w:ascii="Times New Roman" w:hAnsi="Times New Roman" w:cs="Times New Roman"/>
          <w:lang w:val="ro-RO"/>
        </w:rPr>
        <w:t xml:space="preserve">(viii) </w:t>
      </w:r>
      <w:r w:rsidR="0069367A" w:rsidRPr="00A73566">
        <w:rPr>
          <w:rFonts w:ascii="Times New Roman" w:hAnsi="Times New Roman" w:cs="Times New Roman"/>
          <w:lang w:val="ro-RO"/>
        </w:rPr>
        <w:t>d</w:t>
      </w:r>
      <w:r w:rsidR="003F119C" w:rsidRPr="00A73566">
        <w:rPr>
          <w:rFonts w:ascii="Times New Roman" w:hAnsi="Times New Roman" w:cs="Times New Roman"/>
          <w:lang w:val="ro-RO"/>
        </w:rPr>
        <w:t>ezvoltarea unui sistem integrat</w:t>
      </w:r>
      <w:r w:rsidR="0069367A" w:rsidRPr="00A73566">
        <w:rPr>
          <w:rFonts w:ascii="Times New Roman" w:hAnsi="Times New Roman" w:cs="Times New Roman"/>
          <w:lang w:val="ro-RO"/>
        </w:rPr>
        <w:t xml:space="preserve"> și digitalizat </w:t>
      </w:r>
      <w:r w:rsidR="003F119C" w:rsidRPr="00A73566">
        <w:rPr>
          <w:rFonts w:ascii="Times New Roman" w:hAnsi="Times New Roman" w:cs="Times New Roman"/>
          <w:lang w:val="ro-RO"/>
        </w:rPr>
        <w:t xml:space="preserve">al evidentei </w:t>
      </w:r>
      <w:r w:rsidR="006854A4" w:rsidRPr="00A73566">
        <w:rPr>
          <w:rFonts w:ascii="Times New Roman" w:hAnsi="Times New Roman" w:cs="Times New Roman"/>
          <w:lang w:val="ro-RO"/>
        </w:rPr>
        <w:t>ș</w:t>
      </w:r>
      <w:r w:rsidR="003F119C" w:rsidRPr="00A73566">
        <w:rPr>
          <w:rFonts w:ascii="Times New Roman" w:hAnsi="Times New Roman" w:cs="Times New Roman"/>
          <w:lang w:val="ro-RO"/>
        </w:rPr>
        <w:t xml:space="preserve">i </w:t>
      </w:r>
      <w:r w:rsidR="00A4771E" w:rsidRPr="00A73566">
        <w:rPr>
          <w:rFonts w:ascii="Times New Roman" w:hAnsi="Times New Roman" w:cs="Times New Roman"/>
          <w:lang w:val="ro-RO"/>
        </w:rPr>
        <w:t>gestiunii</w:t>
      </w:r>
      <w:r w:rsidR="003F119C" w:rsidRPr="00A73566">
        <w:rPr>
          <w:rFonts w:ascii="Times New Roman" w:hAnsi="Times New Roman" w:cs="Times New Roman"/>
          <w:lang w:val="ro-RO"/>
        </w:rPr>
        <w:t xml:space="preserve"> domeniului siguranței alimentelor și bunăstării animalelor e-ANSA</w:t>
      </w:r>
      <w:r w:rsidR="0069367A" w:rsidRPr="00A73566">
        <w:rPr>
          <w:rFonts w:ascii="Times New Roman" w:hAnsi="Times New Roman" w:cs="Times New Roman"/>
          <w:lang w:val="ro-RO"/>
        </w:rPr>
        <w:t xml:space="preserve">. </w:t>
      </w:r>
      <w:r w:rsidR="001E0A0D" w:rsidRPr="00A73566">
        <w:rPr>
          <w:rFonts w:ascii="Times New Roman" w:hAnsi="Times New Roman" w:cs="Times New Roman"/>
          <w:lang w:val="ro-RO"/>
        </w:rPr>
        <w:t>Pentru a garanta siguranța alimentară</w:t>
      </w:r>
      <w:r w:rsidR="006854A4" w:rsidRPr="00A73566">
        <w:rPr>
          <w:rFonts w:ascii="Times New Roman" w:hAnsi="Times New Roman" w:cs="Times New Roman"/>
          <w:lang w:val="ro-RO"/>
        </w:rPr>
        <w:t>,</w:t>
      </w:r>
      <w:r w:rsidR="001E0A0D" w:rsidRPr="00A73566">
        <w:rPr>
          <w:rFonts w:ascii="Times New Roman" w:hAnsi="Times New Roman" w:cs="Times New Roman"/>
          <w:lang w:val="ro-RO"/>
        </w:rPr>
        <w:t xml:space="preserve"> va fi elaborat și implementat un set de măsuri orientate spre asigurarea sănătății și bunăstării animalelor, armonizate cu normele europene și transpuse în programe naționale sectoriale.</w:t>
      </w:r>
    </w:p>
    <w:p w14:paraId="2FA4EB0A" w14:textId="1A8455DC"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3.3 Creșterea  competitivității și integrarea practicilor de marketing în agricultură</w:t>
      </w:r>
    </w:p>
    <w:p w14:paraId="48CD4DD1" w14:textId="69A8C9DD" w:rsidR="00EF5174" w:rsidRPr="00A73566" w:rsidRDefault="00EF5174" w:rsidP="00A45DFD">
      <w:pPr>
        <w:ind w:firstLine="567"/>
        <w:rPr>
          <w:rFonts w:ascii="Calibri" w:eastAsia="Times New Roman" w:hAnsi="Calibri" w:cs="Calibri"/>
          <w:lang w:val="ro-RO"/>
        </w:rPr>
      </w:pPr>
      <w:r w:rsidRPr="00A73566">
        <w:rPr>
          <w:rFonts w:ascii="Times New Roman" w:eastAsia="Times New Roman" w:hAnsi="Times New Roman" w:cs="Times New Roman"/>
          <w:lang w:val="ro-RO"/>
        </w:rPr>
        <w:t>Comercializarea producției agroalimentare rămâne a fi una din problemele cheie invocate de producătorii agricoli</w:t>
      </w:r>
      <w:r w:rsidR="006854A4" w:rsidRPr="00A73566">
        <w:rPr>
          <w:rFonts w:ascii="Times New Roman" w:eastAsia="Times New Roman" w:hAnsi="Times New Roman" w:cs="Times New Roman"/>
          <w:lang w:val="ro-RO"/>
        </w:rPr>
        <w:t>,</w:t>
      </w:r>
      <w:r w:rsidRPr="00A73566">
        <w:rPr>
          <w:rFonts w:ascii="Times New Roman" w:eastAsia="Times New Roman" w:hAnsi="Times New Roman" w:cs="Times New Roman"/>
          <w:lang w:val="ro-RO"/>
        </w:rPr>
        <w:t xml:space="preserve"> indiferent de forma de proprietate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w:t>
      </w:r>
      <w:r w:rsidR="006854A4" w:rsidRPr="00A73566">
        <w:rPr>
          <w:rFonts w:ascii="Times New Roman" w:eastAsia="Times New Roman" w:hAnsi="Times New Roman" w:cs="Times New Roman"/>
          <w:lang w:val="ro-RO"/>
        </w:rPr>
        <w:t xml:space="preserve">de </w:t>
      </w:r>
      <w:r w:rsidRPr="00A73566">
        <w:rPr>
          <w:rFonts w:ascii="Times New Roman" w:eastAsia="Times New Roman" w:hAnsi="Times New Roman" w:cs="Times New Roman"/>
          <w:lang w:val="ro-RO"/>
        </w:rPr>
        <w:t>mărimea gospodăriei. Atât pe piața local</w:t>
      </w:r>
      <w:r w:rsidR="006854A4" w:rsidRPr="00A73566">
        <w:rPr>
          <w:rFonts w:ascii="Times New Roman" w:eastAsia="Times New Roman" w:hAnsi="Times New Roman" w:cs="Times New Roman"/>
          <w:lang w:val="ro-RO"/>
        </w:rPr>
        <w:t>ă,</w:t>
      </w:r>
      <w:r w:rsidRPr="00A73566">
        <w:rPr>
          <w:rFonts w:ascii="Times New Roman" w:eastAsia="Times New Roman" w:hAnsi="Times New Roman" w:cs="Times New Roman"/>
          <w:lang w:val="ro-RO"/>
        </w:rPr>
        <w:t xml:space="preserve"> cât și pe piaț</w:t>
      </w:r>
      <w:r w:rsidR="006854A4" w:rsidRPr="00A73566">
        <w:rPr>
          <w:rFonts w:ascii="Times New Roman" w:eastAsia="Times New Roman" w:hAnsi="Times New Roman" w:cs="Times New Roman"/>
          <w:lang w:val="ro-RO"/>
        </w:rPr>
        <w:t>a</w:t>
      </w:r>
      <w:r w:rsidRPr="00A73566">
        <w:rPr>
          <w:rFonts w:ascii="Times New Roman" w:eastAsia="Times New Roman" w:hAnsi="Times New Roman" w:cs="Times New Roman"/>
          <w:lang w:val="ro-RO"/>
        </w:rPr>
        <w:t xml:space="preserve"> internațională, segmentul comercializării producției </w:t>
      </w:r>
      <w:r w:rsidR="008D4ED9" w:rsidRPr="00A73566">
        <w:rPr>
          <w:rFonts w:ascii="Times New Roman" w:eastAsia="Times New Roman" w:hAnsi="Times New Roman" w:cs="Times New Roman"/>
          <w:lang w:val="ro-RO"/>
        </w:rPr>
        <w:t xml:space="preserve">autohtone </w:t>
      </w:r>
      <w:r w:rsidRPr="00A73566">
        <w:rPr>
          <w:rFonts w:ascii="Times New Roman" w:eastAsia="Times New Roman" w:hAnsi="Times New Roman" w:cs="Times New Roman"/>
          <w:lang w:val="ro-RO"/>
        </w:rPr>
        <w:t>se confruntă</w:t>
      </w:r>
      <w:r w:rsidR="006854A4" w:rsidRPr="00A73566">
        <w:rPr>
          <w:rFonts w:ascii="Times New Roman" w:eastAsia="Times New Roman" w:hAnsi="Times New Roman" w:cs="Times New Roman"/>
          <w:lang w:val="ro-RO"/>
        </w:rPr>
        <w:t>,</w:t>
      </w:r>
      <w:r w:rsidRPr="00A73566">
        <w:rPr>
          <w:rFonts w:ascii="Times New Roman" w:eastAsia="Times New Roman" w:hAnsi="Times New Roman" w:cs="Times New Roman"/>
          <w:lang w:val="ro-RO"/>
        </w:rPr>
        <w:t xml:space="preserve"> </w:t>
      </w:r>
      <w:r w:rsidR="006854A4" w:rsidRPr="00A73566">
        <w:rPr>
          <w:rFonts w:ascii="Times New Roman" w:eastAsia="Times New Roman" w:hAnsi="Times New Roman" w:cs="Times New Roman"/>
          <w:lang w:val="ro-RO"/>
        </w:rPr>
        <w:t>î</w:t>
      </w:r>
      <w:r w:rsidRPr="00A73566">
        <w:rPr>
          <w:rFonts w:ascii="Times New Roman" w:eastAsia="Times New Roman" w:hAnsi="Times New Roman" w:cs="Times New Roman"/>
          <w:lang w:val="ro-RO"/>
        </w:rPr>
        <w:t>n mare parte</w:t>
      </w:r>
      <w:r w:rsidR="006854A4" w:rsidRPr="00A73566">
        <w:rPr>
          <w:rFonts w:ascii="Times New Roman" w:eastAsia="Times New Roman" w:hAnsi="Times New Roman" w:cs="Times New Roman"/>
          <w:lang w:val="ro-RO"/>
        </w:rPr>
        <w:t>,</w:t>
      </w:r>
      <w:r w:rsidRPr="00A73566">
        <w:rPr>
          <w:rFonts w:ascii="Times New Roman" w:eastAsia="Times New Roman" w:hAnsi="Times New Roman" w:cs="Times New Roman"/>
          <w:lang w:val="ro-RO"/>
        </w:rPr>
        <w:t xml:space="preserve"> cu aceleași provocări: calitatea, omogenitatea și cantitatea loturilor propuse spre comercializare, psihologia de prezentare a producției </w:t>
      </w:r>
      <w:r w:rsidR="006854A4" w:rsidRPr="00A73566">
        <w:rPr>
          <w:rFonts w:ascii="Times New Roman" w:eastAsia="Times New Roman" w:hAnsi="Times New Roman" w:cs="Times New Roman"/>
          <w:lang w:val="ro-RO"/>
        </w:rPr>
        <w:t>pe</w:t>
      </w:r>
      <w:r w:rsidRPr="00A73566">
        <w:rPr>
          <w:rFonts w:ascii="Times New Roman" w:eastAsia="Times New Roman" w:hAnsi="Times New Roman" w:cs="Times New Roman"/>
          <w:lang w:val="ro-RO"/>
        </w:rPr>
        <w:t xml:space="preserve"> piaț</w:t>
      </w:r>
      <w:r w:rsidR="006854A4" w:rsidRPr="00A73566">
        <w:rPr>
          <w:rFonts w:ascii="Times New Roman" w:eastAsia="Times New Roman" w:hAnsi="Times New Roman" w:cs="Times New Roman"/>
          <w:lang w:val="ro-RO"/>
        </w:rPr>
        <w:t>ă</w:t>
      </w:r>
      <w:r w:rsidRPr="00A73566">
        <w:rPr>
          <w:rFonts w:ascii="Times New Roman" w:eastAsia="Times New Roman" w:hAnsi="Times New Roman" w:cs="Times New Roman"/>
          <w:lang w:val="ro-RO"/>
        </w:rPr>
        <w:t xml:space="preserve">, lipsa unei politici clare la nivel de stat în raport cu piețele de desfacere, </w:t>
      </w:r>
      <w:r w:rsidR="006854A4" w:rsidRPr="00A73566">
        <w:rPr>
          <w:rFonts w:ascii="Times New Roman" w:eastAsia="Times New Roman" w:hAnsi="Times New Roman" w:cs="Times New Roman"/>
          <w:lang w:val="ro-RO"/>
        </w:rPr>
        <w:t>lipsa</w:t>
      </w:r>
      <w:r w:rsidRPr="00A73566">
        <w:rPr>
          <w:rFonts w:ascii="Times New Roman" w:eastAsia="Times New Roman" w:hAnsi="Times New Roman" w:cs="Times New Roman"/>
          <w:lang w:val="ro-RO"/>
        </w:rPr>
        <w:t xml:space="preserve"> rapoartelor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studiilor de marketing ce ar ghida producătorii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procesatorii </w:t>
      </w:r>
      <w:r w:rsidR="006854A4" w:rsidRPr="00A73566">
        <w:rPr>
          <w:rFonts w:ascii="Times New Roman" w:eastAsia="Times New Roman" w:hAnsi="Times New Roman" w:cs="Times New Roman"/>
          <w:lang w:val="ro-RO"/>
        </w:rPr>
        <w:t>î</w:t>
      </w:r>
      <w:r w:rsidRPr="00A73566">
        <w:rPr>
          <w:rFonts w:ascii="Times New Roman" w:eastAsia="Times New Roman" w:hAnsi="Times New Roman" w:cs="Times New Roman"/>
          <w:lang w:val="ro-RO"/>
        </w:rPr>
        <w:t>n activitatea de creare a produsului marf</w:t>
      </w:r>
      <w:r w:rsidR="006854A4" w:rsidRPr="00A73566">
        <w:rPr>
          <w:rFonts w:ascii="Times New Roman" w:eastAsia="Times New Roman" w:hAnsi="Times New Roman" w:cs="Times New Roman"/>
          <w:lang w:val="ro-RO"/>
        </w:rPr>
        <w:t>ă</w:t>
      </w:r>
      <w:r w:rsidRPr="00A73566">
        <w:rPr>
          <w:rFonts w:ascii="Times New Roman" w:eastAsia="Times New Roman" w:hAnsi="Times New Roman" w:cs="Times New Roman"/>
          <w:lang w:val="ro-RO"/>
        </w:rPr>
        <w:t xml:space="preserve">, precum și oferirea produselor adecvate </w:t>
      </w:r>
      <w:r w:rsidR="006854A4" w:rsidRPr="00A73566">
        <w:rPr>
          <w:rFonts w:ascii="Times New Roman" w:eastAsia="Times New Roman" w:hAnsi="Times New Roman" w:cs="Times New Roman"/>
          <w:lang w:val="ro-RO"/>
        </w:rPr>
        <w:t xml:space="preserve">la </w:t>
      </w:r>
      <w:r w:rsidRPr="00A73566">
        <w:rPr>
          <w:rFonts w:ascii="Times New Roman" w:eastAsia="Times New Roman" w:hAnsi="Times New Roman" w:cs="Times New Roman"/>
          <w:lang w:val="ro-RO"/>
        </w:rPr>
        <w:t>solicităril</w:t>
      </w:r>
      <w:r w:rsidR="006854A4" w:rsidRPr="00A73566">
        <w:rPr>
          <w:rFonts w:ascii="Times New Roman" w:eastAsia="Times New Roman" w:hAnsi="Times New Roman" w:cs="Times New Roman"/>
          <w:lang w:val="ro-RO"/>
        </w:rPr>
        <w:t>e</w:t>
      </w:r>
      <w:r w:rsidRPr="00A73566">
        <w:rPr>
          <w:rFonts w:ascii="Times New Roman" w:eastAsia="Times New Roman" w:hAnsi="Times New Roman" w:cs="Times New Roman"/>
          <w:lang w:val="ro-RO"/>
        </w:rPr>
        <w:t xml:space="preserve"> consumatorilor d</w:t>
      </w:r>
      <w:r w:rsidR="006854A4" w:rsidRPr="00A73566">
        <w:rPr>
          <w:rFonts w:ascii="Times New Roman" w:eastAsia="Times New Roman" w:hAnsi="Times New Roman" w:cs="Times New Roman"/>
          <w:lang w:val="ro-RO"/>
        </w:rPr>
        <w:t xml:space="preserve">e pe </w:t>
      </w:r>
      <w:r w:rsidRPr="00A73566">
        <w:rPr>
          <w:rFonts w:ascii="Times New Roman" w:eastAsia="Times New Roman" w:hAnsi="Times New Roman" w:cs="Times New Roman"/>
          <w:lang w:val="ro-RO"/>
        </w:rPr>
        <w:t xml:space="preserve"> aceste piețe. </w:t>
      </w:r>
    </w:p>
    <w:p w14:paraId="072F1C4D" w14:textId="11EDD19B" w:rsidR="00EF5174" w:rsidRPr="00A73566" w:rsidRDefault="00EF5174" w:rsidP="00A45DFD">
      <w:pPr>
        <w:ind w:firstLine="567"/>
        <w:rPr>
          <w:rFonts w:ascii="Calibri" w:eastAsia="Times New Roman" w:hAnsi="Calibri" w:cs="Calibri"/>
          <w:lang w:val="ro-RO"/>
        </w:rPr>
      </w:pPr>
      <w:r w:rsidRPr="00A73566">
        <w:rPr>
          <w:rFonts w:ascii="Times New Roman" w:eastAsia="Times New Roman" w:hAnsi="Times New Roman" w:cs="Times New Roman"/>
          <w:lang w:val="ro-RO"/>
        </w:rPr>
        <w:t xml:space="preserve">Recunoscând segmentul de marketing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i comercializare a producției agroalimentare</w:t>
      </w:r>
      <w:r w:rsidR="008D4ED9" w:rsidRPr="00A73566">
        <w:rPr>
          <w:rFonts w:ascii="Times New Roman" w:eastAsia="Times New Roman" w:hAnsi="Times New Roman" w:cs="Times New Roman"/>
          <w:lang w:val="ro-RO"/>
        </w:rPr>
        <w:t xml:space="preserve"> ca pilon cheie in dezvoltarea agroindustriali </w:t>
      </w:r>
      <w:r w:rsidRPr="00A73566">
        <w:rPr>
          <w:rFonts w:ascii="Times New Roman" w:eastAsia="Times New Roman" w:hAnsi="Times New Roman" w:cs="Times New Roman"/>
          <w:lang w:val="ro-RO"/>
        </w:rPr>
        <w:t>, Strategia prevede</w:t>
      </w:r>
      <w:r w:rsidR="006854A4" w:rsidRPr="00A73566">
        <w:rPr>
          <w:rFonts w:ascii="Times New Roman" w:eastAsia="Times New Roman" w:hAnsi="Times New Roman" w:cs="Times New Roman"/>
          <w:lang w:val="ro-RO"/>
        </w:rPr>
        <w:t>:</w:t>
      </w:r>
      <w:r w:rsidRPr="00A73566">
        <w:rPr>
          <w:rFonts w:ascii="Times New Roman" w:eastAsia="Times New Roman" w:hAnsi="Times New Roman" w:cs="Times New Roman"/>
          <w:lang w:val="ro-RO"/>
        </w:rPr>
        <w:t xml:space="preserve"> (i) elaborarea Programului național pentru susținerea și dezvoltarea exportului producției agroindustriale, (ii) crearea Centrului de </w:t>
      </w:r>
      <w:r w:rsidR="00CE098D" w:rsidRPr="00A73566">
        <w:rPr>
          <w:rFonts w:ascii="Times New Roman" w:eastAsia="Times New Roman" w:hAnsi="Times New Roman" w:cs="Times New Roman"/>
          <w:lang w:val="ro-RO"/>
        </w:rPr>
        <w:t>a</w:t>
      </w:r>
      <w:r w:rsidR="008D4ED9" w:rsidRPr="00A73566">
        <w:rPr>
          <w:rFonts w:ascii="Times New Roman" w:eastAsia="Times New Roman" w:hAnsi="Times New Roman" w:cs="Times New Roman"/>
          <w:lang w:val="ro-RO"/>
        </w:rPr>
        <w:t>gromarketing</w:t>
      </w:r>
      <w:r w:rsidRPr="00A73566">
        <w:rPr>
          <w:rFonts w:ascii="Times New Roman" w:eastAsia="Times New Roman" w:hAnsi="Times New Roman" w:cs="Times New Roman"/>
          <w:lang w:val="ro-RO"/>
        </w:rPr>
        <w:t>, Centrului agroalimentar (HUB),</w:t>
      </w:r>
      <w:r w:rsidR="008D4ED9" w:rsidRPr="00A73566">
        <w:rPr>
          <w:rFonts w:ascii="Times New Roman" w:eastAsia="Times New Roman" w:hAnsi="Times New Roman" w:cs="Times New Roman"/>
          <w:lang w:val="ro-RO"/>
        </w:rPr>
        <w:t xml:space="preserve"> și </w:t>
      </w:r>
      <w:r w:rsidRPr="00A73566">
        <w:rPr>
          <w:rFonts w:ascii="Times New Roman" w:eastAsia="Times New Roman" w:hAnsi="Times New Roman" w:cs="Times New Roman"/>
          <w:lang w:val="ro-RO"/>
        </w:rPr>
        <w:t xml:space="preserve"> Bursei virtuale a produselor autohtone, (iii) instituirea unei platforme permanente de discuții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ghidare dintre reprezentanții Ministerului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reprezentanții misiunilor diplomatice ale Republicii Moldova, (iv) crearea </w:t>
      </w:r>
      <w:r w:rsidR="006854A4"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dezvoltarea oficiului horticol </w:t>
      </w:r>
      <w:r w:rsidR="005D552F" w:rsidRPr="00A73566">
        <w:rPr>
          <w:rFonts w:ascii="Times New Roman" w:eastAsia="Times New Roman" w:hAnsi="Times New Roman" w:cs="Times New Roman"/>
          <w:lang w:val="ro-RO"/>
        </w:rPr>
        <w:t>î</w:t>
      </w:r>
      <w:r w:rsidRPr="00A73566">
        <w:rPr>
          <w:rFonts w:ascii="Times New Roman" w:eastAsia="Times New Roman" w:hAnsi="Times New Roman" w:cs="Times New Roman"/>
          <w:lang w:val="ro-RO"/>
        </w:rPr>
        <w:t xml:space="preserve">n scopul promovării produselor horticole </w:t>
      </w:r>
      <w:r w:rsidR="005D552F" w:rsidRPr="00A73566">
        <w:rPr>
          <w:rFonts w:ascii="Times New Roman" w:eastAsia="Times New Roman" w:hAnsi="Times New Roman" w:cs="Times New Roman"/>
          <w:lang w:val="ro-RO"/>
        </w:rPr>
        <w:t>pe</w:t>
      </w:r>
      <w:r w:rsidRPr="00A73566">
        <w:rPr>
          <w:rFonts w:ascii="Times New Roman" w:eastAsia="Times New Roman" w:hAnsi="Times New Roman" w:cs="Times New Roman"/>
          <w:lang w:val="ro-RO"/>
        </w:rPr>
        <w:t xml:space="preserve"> piețele de desfacere </w:t>
      </w:r>
      <w:r w:rsidR="005D552F"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i asistenț</w:t>
      </w:r>
      <w:r w:rsidR="005D552F" w:rsidRPr="00A73566">
        <w:rPr>
          <w:rFonts w:ascii="Times New Roman" w:eastAsia="Times New Roman" w:hAnsi="Times New Roman" w:cs="Times New Roman"/>
          <w:lang w:val="ro-RO"/>
        </w:rPr>
        <w:t>ei</w:t>
      </w:r>
      <w:r w:rsidR="008D4ED9" w:rsidRPr="00A73566">
        <w:rPr>
          <w:rFonts w:ascii="Times New Roman" w:eastAsia="Times New Roman" w:hAnsi="Times New Roman" w:cs="Times New Roman"/>
          <w:lang w:val="ro-RO"/>
        </w:rPr>
        <w:t xml:space="preserve"> </w:t>
      </w:r>
      <w:r w:rsidRPr="00A73566">
        <w:rPr>
          <w:rFonts w:ascii="Times New Roman" w:eastAsia="Times New Roman" w:hAnsi="Times New Roman" w:cs="Times New Roman"/>
          <w:lang w:val="ro-RO"/>
        </w:rPr>
        <w:t>în producere. De asemenea</w:t>
      </w:r>
      <w:r w:rsidR="005D552F" w:rsidRPr="00A73566">
        <w:rPr>
          <w:rFonts w:ascii="Times New Roman" w:eastAsia="Times New Roman" w:hAnsi="Times New Roman" w:cs="Times New Roman"/>
          <w:lang w:val="ro-RO"/>
        </w:rPr>
        <w:t>,</w:t>
      </w:r>
      <w:r w:rsidRPr="00A73566">
        <w:rPr>
          <w:rFonts w:ascii="Times New Roman" w:eastAsia="Times New Roman" w:hAnsi="Times New Roman" w:cs="Times New Roman"/>
          <w:lang w:val="ro-RO"/>
        </w:rPr>
        <w:t xml:space="preserve"> vor fi susținute eforturile agenților economici </w:t>
      </w:r>
      <w:r w:rsidR="005D552F" w:rsidRPr="00A73566">
        <w:rPr>
          <w:rFonts w:ascii="Times New Roman" w:eastAsia="Times New Roman" w:hAnsi="Times New Roman" w:cs="Times New Roman"/>
          <w:lang w:val="ro-RO"/>
        </w:rPr>
        <w:t>î</w:t>
      </w:r>
      <w:r w:rsidRPr="00A73566">
        <w:rPr>
          <w:rFonts w:ascii="Times New Roman" w:eastAsia="Times New Roman" w:hAnsi="Times New Roman" w:cs="Times New Roman"/>
          <w:lang w:val="ro-RO"/>
        </w:rPr>
        <w:t xml:space="preserve">n crearea unei rețele naționale de achiziționare a producției de la gospodăriile casnice </w:t>
      </w:r>
      <w:r w:rsidR="005D552F"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 xml:space="preserve">i </w:t>
      </w:r>
      <w:r w:rsidR="005D552F" w:rsidRPr="00A73566">
        <w:rPr>
          <w:rFonts w:ascii="Times New Roman" w:eastAsia="Times New Roman" w:hAnsi="Times New Roman" w:cs="Times New Roman"/>
          <w:lang w:val="ro-RO"/>
        </w:rPr>
        <w:t xml:space="preserve">de la </w:t>
      </w:r>
      <w:r w:rsidRPr="00A73566">
        <w:rPr>
          <w:rFonts w:ascii="Times New Roman" w:eastAsia="Times New Roman" w:hAnsi="Times New Roman" w:cs="Times New Roman"/>
          <w:lang w:val="ro-RO"/>
        </w:rPr>
        <w:t xml:space="preserve">micii fermieri, precum și activitățile de reducere a exportului materiei prime în favoarea produselor procesate </w:t>
      </w:r>
      <w:r w:rsidR="005D552F" w:rsidRPr="00A73566">
        <w:rPr>
          <w:rFonts w:ascii="Times New Roman" w:eastAsia="Times New Roman" w:hAnsi="Times New Roman" w:cs="Times New Roman"/>
          <w:lang w:val="ro-RO"/>
        </w:rPr>
        <w:t>ș</w:t>
      </w:r>
      <w:r w:rsidRPr="00A73566">
        <w:rPr>
          <w:rFonts w:ascii="Times New Roman" w:eastAsia="Times New Roman" w:hAnsi="Times New Roman" w:cs="Times New Roman"/>
          <w:lang w:val="ro-RO"/>
        </w:rPr>
        <w:t>i ambalate.</w:t>
      </w:r>
    </w:p>
    <w:p w14:paraId="0C1A1314" w14:textId="7BEEDEC7" w:rsidR="001E0A0D" w:rsidRPr="00A73566" w:rsidRDefault="001E0A0D" w:rsidP="001E0A0D">
      <w:pPr>
        <w:rPr>
          <w:rFonts w:ascii="Times New Roman" w:hAnsi="Times New Roman" w:cs="Times New Roman"/>
          <w:b/>
          <w:bCs/>
          <w:lang w:val="ro-RO"/>
        </w:rPr>
      </w:pPr>
      <w:r w:rsidRPr="00A73566">
        <w:rPr>
          <w:rFonts w:ascii="Times New Roman" w:hAnsi="Times New Roman" w:cs="Times New Roman"/>
          <w:b/>
          <w:bCs/>
          <w:lang w:val="ro-RO"/>
        </w:rPr>
        <w:t>Obiectivul 4 Susținerea unei dezvoltări socioeconomice rurale sustenabile</w:t>
      </w:r>
      <w:r w:rsidRPr="00A73566" w:rsidDel="00D80C1E">
        <w:rPr>
          <w:rFonts w:ascii="Times New Roman" w:hAnsi="Times New Roman" w:cs="Times New Roman"/>
          <w:b/>
          <w:bCs/>
          <w:lang w:val="ro-RO"/>
        </w:rPr>
        <w:t xml:space="preserve"> </w:t>
      </w:r>
      <w:r w:rsidRPr="00A73566">
        <w:rPr>
          <w:rFonts w:ascii="Times New Roman" w:hAnsi="Times New Roman" w:cs="Times New Roman"/>
          <w:lang w:val="ro-RO"/>
        </w:rPr>
        <w:t>este orientat spre ameliorarea condițiilor de trai și diversificarea economi</w:t>
      </w:r>
      <w:r w:rsidR="005D552F" w:rsidRPr="00A73566">
        <w:rPr>
          <w:rFonts w:ascii="Times New Roman" w:hAnsi="Times New Roman" w:cs="Times New Roman"/>
          <w:lang w:val="ro-RO"/>
        </w:rPr>
        <w:t>ei</w:t>
      </w:r>
      <w:r w:rsidRPr="00A73566">
        <w:rPr>
          <w:rFonts w:ascii="Times New Roman" w:hAnsi="Times New Roman" w:cs="Times New Roman"/>
          <w:lang w:val="ro-RO"/>
        </w:rPr>
        <w:t xml:space="preserve"> locale prin adresarea integrată a provocărilor ce țin de migrația în masă, scăderea ratei fertilității, îmbătrânirea populației, insuficiența serviciilor de bază, subdezvoltarea infrastructurii sociale, lipsa locurilor de muncă.</w:t>
      </w:r>
    </w:p>
    <w:p w14:paraId="5F5A9039" w14:textId="15E56072" w:rsidR="001E0A0D" w:rsidRPr="00A73566" w:rsidRDefault="001E0A0D" w:rsidP="001E0A0D">
      <w:pPr>
        <w:rPr>
          <w:rFonts w:ascii="Times New Roman" w:hAnsi="Times New Roman" w:cs="Times New Roman"/>
          <w:b/>
          <w:bCs/>
          <w:i/>
          <w:iCs/>
          <w:lang w:val="ro-RO"/>
        </w:rPr>
      </w:pPr>
      <w:r w:rsidRPr="00A73566">
        <w:rPr>
          <w:rFonts w:ascii="Times New Roman" w:hAnsi="Times New Roman" w:cs="Times New Roman"/>
          <w:b/>
          <w:bCs/>
          <w:i/>
          <w:iCs/>
          <w:lang w:val="ro-RO"/>
        </w:rPr>
        <w:t>Obiectivele specifice ce vor contribui la atingerea Obiectivului General 4:</w:t>
      </w:r>
    </w:p>
    <w:p w14:paraId="305BD01F" w14:textId="7777777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4.1 Sporirea investițiilor în infrastructura fizică și de servicii din mediul rural</w:t>
      </w:r>
    </w:p>
    <w:p w14:paraId="4D4C00F0" w14:textId="085510C7" w:rsidR="001E0A0D" w:rsidRPr="00A73566" w:rsidRDefault="00C2345F" w:rsidP="00A45DFD">
      <w:pPr>
        <w:ind w:firstLine="567"/>
        <w:rPr>
          <w:rFonts w:ascii="Times New Roman" w:hAnsi="Times New Roman" w:cs="Times New Roman"/>
          <w:b/>
          <w:i/>
          <w:iCs/>
          <w:lang w:val="ro-RO"/>
        </w:rPr>
      </w:pPr>
      <w:r w:rsidRPr="00A73566">
        <w:rPr>
          <w:rFonts w:ascii="Times New Roman" w:hAnsi="Times New Roman" w:cs="Times New Roman"/>
          <w:lang w:val="ro-RO"/>
        </w:rPr>
        <w:t>Progresul lent în dezvoltarea rurală este determinat de o serie de carențe legate de dotarea slabă cu infrastructură de bază care să asigure condiții prielnice de trai și premisele pentru desfășurarea activității economice. Stimularea economiilor locale reprezintă o premisă a dezvoltării sustenabile. Prin acest obiectiv</w:t>
      </w:r>
      <w:r w:rsidR="005D552F" w:rsidRPr="00A73566">
        <w:rPr>
          <w:rFonts w:ascii="Times New Roman" w:hAnsi="Times New Roman" w:cs="Times New Roman"/>
          <w:lang w:val="ro-RO"/>
        </w:rPr>
        <w:t>,</w:t>
      </w:r>
      <w:r w:rsidRPr="00A73566">
        <w:rPr>
          <w:rFonts w:ascii="Times New Roman" w:hAnsi="Times New Roman" w:cs="Times New Roman"/>
          <w:lang w:val="ro-RO"/>
        </w:rPr>
        <w:t xml:space="preserve"> vor fi implementate măsuri de susținere a sectorului public și privat pentru dezvoltarea și extinderea infrastructurii</w:t>
      </w:r>
      <w:r w:rsidR="005D552F" w:rsidRPr="00A73566">
        <w:rPr>
          <w:rFonts w:ascii="Times New Roman" w:hAnsi="Times New Roman" w:cs="Times New Roman"/>
          <w:lang w:val="ro-RO"/>
        </w:rPr>
        <w:t>,</w:t>
      </w:r>
      <w:r w:rsidRPr="00A73566">
        <w:rPr>
          <w:rFonts w:ascii="Times New Roman" w:hAnsi="Times New Roman" w:cs="Times New Roman"/>
          <w:lang w:val="ro-RO"/>
        </w:rPr>
        <w:t xml:space="preserve"> care să favorizeze activitatea economică. Sprijinirea intervențiilor </w:t>
      </w:r>
      <w:r w:rsidR="005D552F" w:rsidRPr="00A73566">
        <w:rPr>
          <w:rFonts w:ascii="Times New Roman" w:hAnsi="Times New Roman" w:cs="Times New Roman"/>
          <w:lang w:val="ro-RO"/>
        </w:rPr>
        <w:t>în</w:t>
      </w:r>
      <w:r w:rsidRPr="00A73566">
        <w:rPr>
          <w:rFonts w:ascii="Times New Roman" w:hAnsi="Times New Roman" w:cs="Times New Roman"/>
          <w:lang w:val="ro-RO"/>
        </w:rPr>
        <w:t xml:space="preserve"> dezvoltarea infrastructurii conexe pentru afacerile rurale va fi una dintre direcțiile cheie care va contribui la transpunerea obiectivului PAC pentru dezvoltarea dinamică a zonelor rurale. Pentru realizarea obiectivului propus va fi elaborat și ajustat cadrul normativ care ar permite acordarea subvențiilor pentru îmbunătățirea </w:t>
      </w:r>
      <w:r w:rsidR="005D552F" w:rsidRPr="00A73566">
        <w:rPr>
          <w:rFonts w:ascii="Times New Roman" w:hAnsi="Times New Roman" w:cs="Times New Roman"/>
          <w:lang w:val="ro-RO"/>
        </w:rPr>
        <w:t>condițiilor</w:t>
      </w:r>
      <w:r w:rsidRPr="00A73566">
        <w:rPr>
          <w:rFonts w:ascii="Times New Roman" w:hAnsi="Times New Roman" w:cs="Times New Roman"/>
          <w:lang w:val="ro-RO"/>
        </w:rPr>
        <w:t xml:space="preserve"> de muncă și de trai în mediul rural. De asemenea</w:t>
      </w:r>
      <w:r w:rsidR="005D552F" w:rsidRPr="00A73566">
        <w:rPr>
          <w:rFonts w:ascii="Times New Roman" w:hAnsi="Times New Roman" w:cs="Times New Roman"/>
          <w:lang w:val="ro-RO"/>
        </w:rPr>
        <w:t>,</w:t>
      </w:r>
      <w:r w:rsidRPr="00A73566">
        <w:rPr>
          <w:rFonts w:ascii="Times New Roman" w:hAnsi="Times New Roman" w:cs="Times New Roman"/>
          <w:lang w:val="ro-RO"/>
        </w:rPr>
        <w:t xml:space="preserve"> vor fi identificate domeniile prioritare de intervenție, precum și modul de repartizare a ajutorului financiar pentru dezvoltarea proporțională a aspectelor sociale și economice a zonelor rurale. Susținerea dezvoltării infrastructurii rurale se va realiza prin acordarea de granturi pentru proiectele de infrastructură atât aferente exploatațiilor agricole și/sau afacerilor non-agricole, cât și pentru dezvoltarea localităților rurale</w:t>
      </w:r>
      <w:r w:rsidR="001E0A0D" w:rsidRPr="00A73566">
        <w:rPr>
          <w:rFonts w:ascii="Times New Roman" w:hAnsi="Times New Roman" w:cs="Times New Roman"/>
          <w:lang w:val="ro-RO"/>
        </w:rPr>
        <w:t>.</w:t>
      </w:r>
    </w:p>
    <w:p w14:paraId="77CCE28F" w14:textId="42715A5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4.2 Încurajarea afaceri</w:t>
      </w:r>
      <w:r w:rsidR="005D552F" w:rsidRPr="00A73566">
        <w:rPr>
          <w:rFonts w:ascii="Times New Roman" w:hAnsi="Times New Roman" w:cs="Times New Roman"/>
          <w:i/>
          <w:iCs/>
          <w:lang w:val="ro-RO"/>
        </w:rPr>
        <w:t>lor</w:t>
      </w:r>
      <w:r w:rsidRPr="00A73566">
        <w:rPr>
          <w:rFonts w:ascii="Times New Roman" w:hAnsi="Times New Roman" w:cs="Times New Roman"/>
          <w:i/>
          <w:iCs/>
          <w:lang w:val="ro-RO"/>
        </w:rPr>
        <w:t xml:space="preserve"> non-agricole din zonele rural</w:t>
      </w:r>
      <w:r w:rsidR="005D552F" w:rsidRPr="00A73566">
        <w:rPr>
          <w:rFonts w:ascii="Times New Roman" w:hAnsi="Times New Roman" w:cs="Times New Roman"/>
          <w:i/>
          <w:iCs/>
          <w:lang w:val="ro-RO"/>
        </w:rPr>
        <w:t>e</w:t>
      </w:r>
    </w:p>
    <w:p w14:paraId="4763380E" w14:textId="7079FC15" w:rsidR="00C2345F" w:rsidRPr="00A73566" w:rsidRDefault="00C2345F" w:rsidP="00A45DFD">
      <w:pPr>
        <w:ind w:firstLine="567"/>
        <w:rPr>
          <w:rFonts w:ascii="Times New Roman" w:hAnsi="Times New Roman" w:cs="Times New Roman"/>
          <w:lang w:val="ro-RO"/>
        </w:rPr>
      </w:pPr>
      <w:r w:rsidRPr="00A73566">
        <w:rPr>
          <w:rFonts w:ascii="Times New Roman" w:hAnsi="Times New Roman" w:cs="Times New Roman"/>
          <w:lang w:val="ro-RO"/>
        </w:rPr>
        <w:t>Prin realizarea acestui obiectiv</w:t>
      </w:r>
      <w:r w:rsidR="005D552F" w:rsidRPr="00A73566">
        <w:rPr>
          <w:rFonts w:ascii="Times New Roman" w:hAnsi="Times New Roman" w:cs="Times New Roman"/>
          <w:lang w:val="ro-RO"/>
        </w:rPr>
        <w:t>,</w:t>
      </w:r>
      <w:r w:rsidRPr="00A73566">
        <w:rPr>
          <w:rFonts w:ascii="Times New Roman" w:hAnsi="Times New Roman" w:cs="Times New Roman"/>
          <w:lang w:val="ro-RO"/>
        </w:rPr>
        <w:t xml:space="preserve"> se v</w:t>
      </w:r>
      <w:r w:rsidR="005D552F" w:rsidRPr="00A73566">
        <w:rPr>
          <w:rFonts w:ascii="Times New Roman" w:hAnsi="Times New Roman" w:cs="Times New Roman"/>
          <w:lang w:val="ro-RO"/>
        </w:rPr>
        <w:t xml:space="preserve">a interveni pentru a </w:t>
      </w:r>
      <w:r w:rsidRPr="00A73566">
        <w:rPr>
          <w:rFonts w:ascii="Times New Roman" w:hAnsi="Times New Roman" w:cs="Times New Roman"/>
          <w:lang w:val="ro-RO"/>
        </w:rPr>
        <w:t>capacita și spriji</w:t>
      </w:r>
      <w:r w:rsidR="00CE098D" w:rsidRPr="00A73566">
        <w:rPr>
          <w:rFonts w:ascii="Times New Roman" w:hAnsi="Times New Roman" w:cs="Times New Roman"/>
          <w:lang w:val="ro-RO"/>
        </w:rPr>
        <w:t>n</w:t>
      </w:r>
      <w:r w:rsidRPr="00A73566">
        <w:rPr>
          <w:rFonts w:ascii="Times New Roman" w:hAnsi="Times New Roman" w:cs="Times New Roman"/>
          <w:lang w:val="ro-RO"/>
        </w:rPr>
        <w:t xml:space="preserve"> direct inițierea și dezvoltarea afacerilor în zonele rurale, ce au ca scop diversificarea activităților și crearea oportunităților ocupaționale. Aceasta prevede atât perfecționarea cadrului normativ privind activitățile non agricole, cât și sprijin financiar pentru startu</w:t>
      </w:r>
      <w:r w:rsidR="005D552F" w:rsidRPr="00A73566">
        <w:rPr>
          <w:rFonts w:ascii="Times New Roman" w:hAnsi="Times New Roman" w:cs="Times New Roman"/>
          <w:lang w:val="ro-RO"/>
        </w:rPr>
        <w:t>p-u</w:t>
      </w:r>
      <w:r w:rsidRPr="00A73566">
        <w:rPr>
          <w:rFonts w:ascii="Times New Roman" w:hAnsi="Times New Roman" w:cs="Times New Roman"/>
          <w:lang w:val="ro-RO"/>
        </w:rPr>
        <w:t>ri de afaceri în diverse domenii din zonele rurale. O măsură specială va fi dedicată susținerii și dezvoltării turismului rural.</w:t>
      </w:r>
    </w:p>
    <w:p w14:paraId="7F8CA0C8" w14:textId="7777777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4.3 Implicarea comunității locale în implementarea strategiilor de dezvoltare locală</w:t>
      </w:r>
    </w:p>
    <w:p w14:paraId="5101182F" w14:textId="2622EE11" w:rsidR="001E0A0D" w:rsidRPr="00A73566" w:rsidRDefault="00C2345F" w:rsidP="00A45DFD">
      <w:pPr>
        <w:ind w:firstLine="567"/>
        <w:rPr>
          <w:rFonts w:ascii="Times New Roman" w:hAnsi="Times New Roman" w:cs="Times New Roman"/>
          <w:lang w:val="ro-RO"/>
        </w:rPr>
      </w:pPr>
      <w:r w:rsidRPr="00A73566">
        <w:rPr>
          <w:rFonts w:ascii="Times New Roman" w:hAnsi="Times New Roman" w:cs="Times New Roman"/>
          <w:lang w:val="ro-RO"/>
        </w:rPr>
        <w:t>Pentru a susține dezvoltarea rurală sustenabilă, revitalizarea zonelor rurale și cre</w:t>
      </w:r>
      <w:r w:rsidR="005D552F" w:rsidRPr="00A73566">
        <w:rPr>
          <w:rFonts w:ascii="Times New Roman" w:hAnsi="Times New Roman" w:cs="Times New Roman"/>
          <w:lang w:val="ro-RO"/>
        </w:rPr>
        <w:t>area</w:t>
      </w:r>
      <w:r w:rsidRPr="00A73566">
        <w:rPr>
          <w:rFonts w:ascii="Times New Roman" w:hAnsi="Times New Roman" w:cs="Times New Roman"/>
          <w:lang w:val="ro-RO"/>
        </w:rPr>
        <w:t xml:space="preserve"> locurilor de muncă, în perioada următoare de programare vor fi implementate un șir de </w:t>
      </w:r>
      <w:r w:rsidR="005D552F" w:rsidRPr="00A73566">
        <w:rPr>
          <w:rFonts w:ascii="Times New Roman" w:hAnsi="Times New Roman" w:cs="Times New Roman"/>
          <w:lang w:val="ro-RO"/>
        </w:rPr>
        <w:t>măsuri</w:t>
      </w:r>
      <w:r w:rsidRPr="00A73566">
        <w:rPr>
          <w:rFonts w:ascii="Times New Roman" w:hAnsi="Times New Roman" w:cs="Times New Roman"/>
          <w:lang w:val="ro-RO"/>
        </w:rPr>
        <w:t xml:space="preserve"> menite să contribuie la extinderea și dezvoltarea rețelei de Grupuri de Acțiuni Locală (GAL), dar și de suport la  implementarea proiectelor priorita</w:t>
      </w:r>
      <w:r w:rsidR="000F7F1F" w:rsidRPr="00A73566">
        <w:rPr>
          <w:rFonts w:ascii="Times New Roman" w:hAnsi="Times New Roman" w:cs="Times New Roman"/>
          <w:lang w:val="ro-RO"/>
        </w:rPr>
        <w:t>r</w:t>
      </w:r>
      <w:r w:rsidRPr="00A73566">
        <w:rPr>
          <w:rFonts w:ascii="Times New Roman" w:hAnsi="Times New Roman" w:cs="Times New Roman"/>
          <w:lang w:val="ro-RO"/>
        </w:rPr>
        <w:t>e la nivel local</w:t>
      </w:r>
      <w:r w:rsidR="00B20A38" w:rsidRPr="00A73566">
        <w:rPr>
          <w:rFonts w:ascii="Times New Roman" w:hAnsi="Times New Roman" w:cs="Times New Roman"/>
          <w:lang w:val="ro-RO"/>
        </w:rPr>
        <w:t>,</w:t>
      </w:r>
      <w:r w:rsidRPr="00A73566">
        <w:rPr>
          <w:rFonts w:ascii="Times New Roman" w:hAnsi="Times New Roman" w:cs="Times New Roman"/>
          <w:lang w:val="ro-RO"/>
        </w:rPr>
        <w:t xml:space="preserve"> prin implicarea și consolidarea comunităților locale. </w:t>
      </w:r>
      <w:r w:rsidR="00B20A38" w:rsidRPr="00A73566">
        <w:rPr>
          <w:rFonts w:ascii="Times New Roman" w:hAnsi="Times New Roman" w:cs="Times New Roman"/>
          <w:lang w:val="ro-RO"/>
        </w:rPr>
        <w:t>P</w:t>
      </w:r>
      <w:r w:rsidRPr="00A73566">
        <w:rPr>
          <w:rFonts w:ascii="Times New Roman" w:hAnsi="Times New Roman" w:cs="Times New Roman"/>
          <w:lang w:val="ro-RO"/>
        </w:rPr>
        <w:t>entru realizarea acestui obiectiv</w:t>
      </w:r>
      <w:r w:rsidR="00B20A38" w:rsidRPr="00A73566">
        <w:rPr>
          <w:rFonts w:ascii="Times New Roman" w:hAnsi="Times New Roman" w:cs="Times New Roman"/>
          <w:lang w:val="ro-RO"/>
        </w:rPr>
        <w:t>,</w:t>
      </w:r>
      <w:r w:rsidRPr="00A73566">
        <w:rPr>
          <w:rFonts w:ascii="Times New Roman" w:hAnsi="Times New Roman" w:cs="Times New Roman"/>
          <w:lang w:val="ro-RO"/>
        </w:rPr>
        <w:t xml:space="preserve"> </w:t>
      </w:r>
      <w:r w:rsidR="00825A80" w:rsidRPr="00A73566">
        <w:rPr>
          <w:rFonts w:ascii="Times New Roman" w:hAnsi="Times New Roman" w:cs="Times New Roman"/>
          <w:lang w:val="ro-RO"/>
        </w:rPr>
        <w:t xml:space="preserve">va fi elaborat cadrul normativ care va pune în aplicare abordarea  LEADER, prin care se </w:t>
      </w:r>
      <w:r w:rsidR="00B20A38" w:rsidRPr="00A73566">
        <w:rPr>
          <w:rFonts w:ascii="Times New Roman" w:hAnsi="Times New Roman" w:cs="Times New Roman"/>
          <w:lang w:val="ro-RO"/>
        </w:rPr>
        <w:t>va acorda</w:t>
      </w:r>
      <w:r w:rsidRPr="00A73566">
        <w:rPr>
          <w:rFonts w:ascii="Times New Roman" w:hAnsi="Times New Roman" w:cs="Times New Roman"/>
          <w:lang w:val="ro-RO"/>
        </w:rPr>
        <w:t xml:space="preserve"> sprijin pentru constituirea și funcționarea GAl-lor, inclusiv </w:t>
      </w:r>
      <w:r w:rsidR="00B20A38" w:rsidRPr="00A73566">
        <w:rPr>
          <w:rFonts w:ascii="Times New Roman" w:hAnsi="Times New Roman" w:cs="Times New Roman"/>
          <w:lang w:val="ro-RO"/>
        </w:rPr>
        <w:t xml:space="preserve">pentru </w:t>
      </w:r>
      <w:r w:rsidRPr="00A73566">
        <w:rPr>
          <w:rFonts w:ascii="Times New Roman" w:hAnsi="Times New Roman" w:cs="Times New Roman"/>
          <w:lang w:val="ro-RO"/>
        </w:rPr>
        <w:t xml:space="preserve">dezvoltarea și susținerea implementării strategiilor de dezvoltare locală. </w:t>
      </w:r>
      <w:r w:rsidR="00B20A38" w:rsidRPr="00A73566">
        <w:rPr>
          <w:rFonts w:ascii="Times New Roman" w:hAnsi="Times New Roman" w:cs="Times New Roman"/>
          <w:lang w:val="ro-RO"/>
        </w:rPr>
        <w:t>În rezultat, 75% din localitățile rurale vor fi încadrate în GAL-uri.</w:t>
      </w:r>
    </w:p>
    <w:p w14:paraId="3209A2E9" w14:textId="77777777" w:rsidR="001E0A0D" w:rsidRPr="00A73566" w:rsidRDefault="001E0A0D" w:rsidP="001E0A0D">
      <w:pPr>
        <w:rPr>
          <w:rFonts w:ascii="Times New Roman" w:hAnsi="Times New Roman" w:cs="Times New Roman"/>
          <w:i/>
          <w:iCs/>
          <w:lang w:val="ro-RO"/>
        </w:rPr>
      </w:pPr>
      <w:r w:rsidRPr="00A73566">
        <w:rPr>
          <w:rFonts w:ascii="Times New Roman" w:hAnsi="Times New Roman" w:cs="Times New Roman"/>
          <w:i/>
          <w:iCs/>
          <w:lang w:val="ro-RO"/>
        </w:rPr>
        <w:t>4.4 Stimularea tinerilor fermieri prin facilitarea dezvoltării afacerilor în mediul rural</w:t>
      </w:r>
    </w:p>
    <w:p w14:paraId="36BB8456" w14:textId="240FE79A" w:rsidR="001E0A0D" w:rsidRPr="00A73566" w:rsidRDefault="00C2345F" w:rsidP="00A45DFD">
      <w:pPr>
        <w:ind w:firstLine="567"/>
        <w:rPr>
          <w:rFonts w:ascii="Times New Roman" w:hAnsi="Times New Roman" w:cs="Times New Roman"/>
          <w:lang w:val="ro-RO"/>
        </w:rPr>
      </w:pPr>
      <w:r w:rsidRPr="00A73566">
        <w:rPr>
          <w:rFonts w:ascii="Times New Roman" w:hAnsi="Times New Roman" w:cs="Times New Roman"/>
          <w:lang w:val="ro-RO"/>
        </w:rPr>
        <w:t>Mediul rural rămâne în continuare neatractiv pentru tineri</w:t>
      </w:r>
      <w:r w:rsidR="00B20A38" w:rsidRPr="00A73566">
        <w:rPr>
          <w:rFonts w:ascii="Times New Roman" w:hAnsi="Times New Roman" w:cs="Times New Roman"/>
          <w:lang w:val="ro-RO"/>
        </w:rPr>
        <w:t>, și asta</w:t>
      </w:r>
      <w:r w:rsidRPr="00A73566">
        <w:rPr>
          <w:rFonts w:ascii="Times New Roman" w:hAnsi="Times New Roman" w:cs="Times New Roman"/>
          <w:lang w:val="ro-RO"/>
        </w:rPr>
        <w:t xml:space="preserve"> din lipsa oportunităților de angajare, a condițiilor precare de trai și a salariilor mici. Disponibilitatea locurilor de muncă este relativ limitată pentru ei, motiv pentru care se impune continuarea intervențiilor menite să sprijine tinerii să își dezvolte afaceri și să creeze noi locuri de muncă în zonele rurale, contribuind astfel la diminuarea procesului migraționist din zonele rurale. Pentru acoperirea acestor nevoi</w:t>
      </w:r>
      <w:r w:rsidR="00B20A38" w:rsidRPr="00A73566">
        <w:rPr>
          <w:rFonts w:ascii="Times New Roman" w:hAnsi="Times New Roman" w:cs="Times New Roman"/>
          <w:lang w:val="ro-RO"/>
        </w:rPr>
        <w:t>,</w:t>
      </w:r>
      <w:r w:rsidRPr="00A73566">
        <w:rPr>
          <w:rFonts w:ascii="Times New Roman" w:hAnsi="Times New Roman" w:cs="Times New Roman"/>
          <w:lang w:val="ro-RO"/>
        </w:rPr>
        <w:t xml:space="preserve"> va</w:t>
      </w:r>
      <w:r w:rsidR="00B20A38" w:rsidRPr="00A73566">
        <w:rPr>
          <w:rFonts w:ascii="Times New Roman" w:hAnsi="Times New Roman" w:cs="Times New Roman"/>
          <w:lang w:val="ro-RO"/>
        </w:rPr>
        <w:t xml:space="preserve"> fi</w:t>
      </w:r>
      <w:r w:rsidRPr="00A73566">
        <w:rPr>
          <w:rFonts w:ascii="Times New Roman" w:hAnsi="Times New Roman" w:cs="Times New Roman"/>
          <w:lang w:val="ro-RO"/>
        </w:rPr>
        <w:t xml:space="preserve"> elabora</w:t>
      </w:r>
      <w:r w:rsidR="00B20A38" w:rsidRPr="00A73566">
        <w:rPr>
          <w:rFonts w:ascii="Times New Roman" w:hAnsi="Times New Roman" w:cs="Times New Roman"/>
          <w:lang w:val="ro-RO"/>
        </w:rPr>
        <w:t>t</w:t>
      </w:r>
      <w:r w:rsidRPr="00A73566">
        <w:rPr>
          <w:rFonts w:ascii="Times New Roman" w:hAnsi="Times New Roman" w:cs="Times New Roman"/>
          <w:lang w:val="ro-RO"/>
        </w:rPr>
        <w:t xml:space="preserve"> cadrul normativ special </w:t>
      </w:r>
      <w:r w:rsidR="00B20A38" w:rsidRPr="00A73566">
        <w:rPr>
          <w:rFonts w:ascii="Times New Roman" w:hAnsi="Times New Roman" w:cs="Times New Roman"/>
          <w:lang w:val="ro-RO"/>
        </w:rPr>
        <w:t>ș</w:t>
      </w:r>
      <w:r w:rsidRPr="00A73566">
        <w:rPr>
          <w:rFonts w:ascii="Times New Roman" w:hAnsi="Times New Roman" w:cs="Times New Roman"/>
          <w:lang w:val="ro-RO"/>
        </w:rPr>
        <w:t>i se va acorda subvenții în avans pentru tinerii fermieri</w:t>
      </w:r>
      <w:r w:rsidR="00B20A38" w:rsidRPr="00A73566">
        <w:rPr>
          <w:rFonts w:ascii="Times New Roman" w:hAnsi="Times New Roman" w:cs="Times New Roman"/>
          <w:lang w:val="ro-RO"/>
        </w:rPr>
        <w:t>,</w:t>
      </w:r>
      <w:r w:rsidRPr="00A73566">
        <w:rPr>
          <w:rFonts w:ascii="Times New Roman" w:hAnsi="Times New Roman" w:cs="Times New Roman"/>
          <w:lang w:val="ro-RO"/>
        </w:rPr>
        <w:t xml:space="preserve"> dornici să inițieze și să dezvolte afaceri agricole. De asemenea</w:t>
      </w:r>
      <w:r w:rsidR="00B20A38" w:rsidRPr="00A73566">
        <w:rPr>
          <w:rFonts w:ascii="Times New Roman" w:hAnsi="Times New Roman" w:cs="Times New Roman"/>
          <w:lang w:val="ro-RO"/>
        </w:rPr>
        <w:t>,</w:t>
      </w:r>
      <w:r w:rsidRPr="00A73566">
        <w:rPr>
          <w:rFonts w:ascii="Times New Roman" w:hAnsi="Times New Roman" w:cs="Times New Roman"/>
          <w:lang w:val="ro-RO"/>
        </w:rPr>
        <w:t xml:space="preserve"> va</w:t>
      </w:r>
      <w:r w:rsidR="00B20A38" w:rsidRPr="00A73566">
        <w:rPr>
          <w:rFonts w:ascii="Times New Roman" w:hAnsi="Times New Roman" w:cs="Times New Roman"/>
          <w:lang w:val="ro-RO"/>
        </w:rPr>
        <w:t xml:space="preserve"> fi</w:t>
      </w:r>
      <w:r w:rsidRPr="00A73566">
        <w:rPr>
          <w:rFonts w:ascii="Times New Roman" w:hAnsi="Times New Roman" w:cs="Times New Roman"/>
          <w:lang w:val="ro-RO"/>
        </w:rPr>
        <w:t xml:space="preserve"> facilita</w:t>
      </w:r>
      <w:r w:rsidR="00B20A38" w:rsidRPr="00A73566">
        <w:rPr>
          <w:rFonts w:ascii="Times New Roman" w:hAnsi="Times New Roman" w:cs="Times New Roman"/>
          <w:lang w:val="ro-RO"/>
        </w:rPr>
        <w:t>t</w:t>
      </w:r>
      <w:r w:rsidRPr="00A73566">
        <w:rPr>
          <w:rFonts w:ascii="Times New Roman" w:hAnsi="Times New Roman" w:cs="Times New Roman"/>
          <w:lang w:val="ro-RO"/>
        </w:rPr>
        <w:t xml:space="preserve"> accesul acestor categorii de persoane la instruiri</w:t>
      </w:r>
      <w:r w:rsidR="00B20A38" w:rsidRPr="00A73566">
        <w:rPr>
          <w:rFonts w:ascii="Times New Roman" w:hAnsi="Times New Roman" w:cs="Times New Roman"/>
          <w:lang w:val="ro-RO"/>
        </w:rPr>
        <w:t xml:space="preserve"> </w:t>
      </w:r>
      <w:r w:rsidRPr="00A73566">
        <w:rPr>
          <w:rFonts w:ascii="Times New Roman" w:hAnsi="Times New Roman" w:cs="Times New Roman"/>
          <w:lang w:val="ro-RO"/>
        </w:rPr>
        <w:t>și la servicii de consultanță în vederea inițier</w:t>
      </w:r>
      <w:r w:rsidR="00B20A38" w:rsidRPr="00A73566">
        <w:rPr>
          <w:rFonts w:ascii="Times New Roman" w:hAnsi="Times New Roman" w:cs="Times New Roman"/>
          <w:lang w:val="ro-RO"/>
        </w:rPr>
        <w:t>ii</w:t>
      </w:r>
      <w:r w:rsidRPr="00A73566">
        <w:rPr>
          <w:rFonts w:ascii="Times New Roman" w:hAnsi="Times New Roman" w:cs="Times New Roman"/>
          <w:lang w:val="ro-RO"/>
        </w:rPr>
        <w:t xml:space="preserve"> afacerilor </w:t>
      </w:r>
      <w:r w:rsidR="00B20A38" w:rsidRPr="00A73566">
        <w:rPr>
          <w:rFonts w:ascii="Times New Roman" w:hAnsi="Times New Roman" w:cs="Times New Roman"/>
          <w:lang w:val="ro-RO"/>
        </w:rPr>
        <w:t>proprii</w:t>
      </w:r>
      <w:r w:rsidR="001E0A0D" w:rsidRPr="00A73566">
        <w:rPr>
          <w:rFonts w:ascii="Times New Roman" w:hAnsi="Times New Roman" w:cs="Times New Roman"/>
          <w:lang w:val="ro-RO"/>
        </w:rPr>
        <w:t xml:space="preserve">. </w:t>
      </w:r>
    </w:p>
    <w:p w14:paraId="52D099DA" w14:textId="3E8B7699" w:rsidR="001E0A0D" w:rsidRDefault="00B20A38" w:rsidP="00A45DFD">
      <w:pPr>
        <w:ind w:firstLine="567"/>
        <w:rPr>
          <w:rFonts w:ascii="Times New Roman" w:hAnsi="Times New Roman" w:cs="Times New Roman"/>
          <w:lang w:val="ro-RO"/>
        </w:rPr>
      </w:pPr>
      <w:r w:rsidRPr="00A73566">
        <w:rPr>
          <w:rFonts w:ascii="Times New Roman" w:hAnsi="Times New Roman" w:cs="Times New Roman"/>
          <w:lang w:val="ro-RO"/>
        </w:rPr>
        <w:t>O</w:t>
      </w:r>
      <w:r w:rsidR="00E718F0" w:rsidRPr="00A73566">
        <w:rPr>
          <w:rFonts w:ascii="Times New Roman" w:hAnsi="Times New Roman" w:cs="Times New Roman"/>
          <w:lang w:val="ro-RO"/>
        </w:rPr>
        <w:t>biectivele specifice sunt aliniate la obiectivele Politicii Agricole Comune UE. C</w:t>
      </w:r>
      <w:r w:rsidR="005D3572" w:rsidRPr="00A73566">
        <w:rPr>
          <w:rFonts w:ascii="Times New Roman" w:hAnsi="Times New Roman" w:cs="Times New Roman"/>
          <w:lang w:val="ro-RO"/>
        </w:rPr>
        <w:t>orespondența obiectivelor</w:t>
      </w:r>
      <w:r w:rsidR="00E718F0" w:rsidRPr="00A73566">
        <w:rPr>
          <w:rFonts w:ascii="Times New Roman" w:hAnsi="Times New Roman" w:cs="Times New Roman"/>
          <w:lang w:val="ro-RO"/>
        </w:rPr>
        <w:t xml:space="preserve"> specifice SNDAR 2027 cu obiectivele specifice</w:t>
      </w:r>
      <w:r w:rsidR="005D3572" w:rsidRPr="00A73566">
        <w:rPr>
          <w:rFonts w:ascii="Times New Roman" w:hAnsi="Times New Roman" w:cs="Times New Roman"/>
          <w:lang w:val="ro-RO"/>
        </w:rPr>
        <w:t xml:space="preserve"> </w:t>
      </w:r>
      <w:r w:rsidR="00E718F0" w:rsidRPr="00A73566">
        <w:rPr>
          <w:rFonts w:ascii="Times New Roman" w:hAnsi="Times New Roman" w:cs="Times New Roman"/>
          <w:lang w:val="ro-RO"/>
        </w:rPr>
        <w:t>PAC se prezintă în Anexa 9.1</w:t>
      </w:r>
    </w:p>
    <w:p w14:paraId="0751A2F4" w14:textId="77777777" w:rsidR="00A45DFD" w:rsidRPr="00A45DFD" w:rsidRDefault="00A45DFD" w:rsidP="00A45DFD">
      <w:pPr>
        <w:ind w:firstLine="567"/>
        <w:rPr>
          <w:rFonts w:ascii="Times New Roman" w:hAnsi="Times New Roman" w:cs="Times New Roman"/>
          <w:sz w:val="18"/>
          <w:szCs w:val="18"/>
          <w:lang w:val="ro-RO"/>
        </w:rPr>
      </w:pPr>
    </w:p>
    <w:p w14:paraId="2C012BF8" w14:textId="77777777" w:rsidR="002F5E57" w:rsidRDefault="002F5E57" w:rsidP="003E5B33">
      <w:pPr>
        <w:pStyle w:val="Heading1"/>
        <w:spacing w:after="0"/>
        <w:rPr>
          <w:rFonts w:ascii="Times New Roman" w:hAnsi="Times New Roman" w:cs="Times New Roman"/>
          <w:lang w:val="ro-RO"/>
        </w:rPr>
      </w:pPr>
      <w:bookmarkStart w:id="126" w:name="_Toc86944656"/>
      <w:bookmarkStart w:id="127" w:name="_Toc88132124"/>
      <w:r w:rsidRPr="00A73566">
        <w:rPr>
          <w:rFonts w:ascii="Times New Roman" w:hAnsi="Times New Roman" w:cs="Times New Roman"/>
          <w:lang w:val="ro-RO"/>
        </w:rPr>
        <w:t>Domenii de intervenție</w:t>
      </w:r>
      <w:bookmarkEnd w:id="126"/>
      <w:bookmarkEnd w:id="127"/>
      <w:r w:rsidRPr="00A73566">
        <w:rPr>
          <w:rFonts w:ascii="Times New Roman" w:hAnsi="Times New Roman" w:cs="Times New Roman"/>
          <w:lang w:val="ro-RO"/>
        </w:rPr>
        <w:t xml:space="preserve"> </w:t>
      </w:r>
    </w:p>
    <w:p w14:paraId="283EBD31" w14:textId="77777777" w:rsidR="003E5B33" w:rsidRPr="003E5B33" w:rsidRDefault="003E5B33" w:rsidP="003E5B33">
      <w:pPr>
        <w:rPr>
          <w:lang w:val="ro-RO"/>
        </w:rPr>
      </w:pPr>
    </w:p>
    <w:p w14:paraId="44008663" w14:textId="77777777" w:rsidR="002F5E57" w:rsidRPr="00A73566" w:rsidRDefault="002F5E57" w:rsidP="00A45DFD">
      <w:pPr>
        <w:spacing w:after="0"/>
        <w:ind w:firstLine="426"/>
        <w:rPr>
          <w:rFonts w:ascii="Times New Roman" w:hAnsi="Times New Roman" w:cs="Times New Roman"/>
          <w:lang w:val="ro-RO"/>
        </w:rPr>
      </w:pPr>
      <w:r w:rsidRPr="00A73566">
        <w:rPr>
          <w:rFonts w:ascii="Times New Roman" w:hAnsi="Times New Roman" w:cs="Times New Roman"/>
          <w:lang w:val="ro-RO"/>
        </w:rPr>
        <w:t xml:space="preserve">Politica de dezvoltare agricolă și rurală, prin natura sa, are un caracter complex și o arie de acoperire extinsă. Totodată, aceasta are mandatul de a asigura dezvoltarea echilibrată și armonioasă în raport cu mediul ambiant. </w:t>
      </w:r>
    </w:p>
    <w:p w14:paraId="63304DC4" w14:textId="77777777" w:rsidR="002F5E57" w:rsidRPr="00A73566" w:rsidRDefault="002F5E57" w:rsidP="002F5E57">
      <w:pPr>
        <w:rPr>
          <w:rFonts w:ascii="Times New Roman" w:hAnsi="Times New Roman" w:cs="Times New Roman"/>
          <w:lang w:val="ro-RO"/>
        </w:rPr>
      </w:pPr>
      <w:r w:rsidRPr="00A73566">
        <w:rPr>
          <w:rFonts w:ascii="Times New Roman" w:hAnsi="Times New Roman" w:cs="Times New Roman"/>
          <w:lang w:val="ro-RO"/>
        </w:rPr>
        <w:t xml:space="preserve">Pe de altă parte, natura problemelor și modalitatea de intervenție impune abordarea structurată a sectorului pentru a maximiza eforturile și impactul asupra acestora. În acest context, politica de dezvoltare agricolă și rurală își propune divizarea convențională a intervențiilor sale pe următoarele domenii specifice: </w:t>
      </w:r>
    </w:p>
    <w:p w14:paraId="4F24552F" w14:textId="76056688" w:rsidR="002F5E57" w:rsidRPr="00A73566" w:rsidRDefault="00505EEF" w:rsidP="00E720EE">
      <w:pPr>
        <w:pStyle w:val="ListParagraph"/>
        <w:numPr>
          <w:ilvl w:val="0"/>
          <w:numId w:val="13"/>
        </w:numPr>
        <w:spacing w:after="0"/>
        <w:rPr>
          <w:rFonts w:ascii="Times New Roman" w:hAnsi="Times New Roman" w:cs="Times New Roman"/>
          <w:b/>
          <w:bCs/>
          <w:i/>
          <w:iCs/>
          <w:color w:val="auto"/>
          <w:lang w:val="ro-RO"/>
        </w:rPr>
      </w:pPr>
      <w:bookmarkStart w:id="128" w:name="_Hlk88128824"/>
      <w:r w:rsidRPr="00A73566">
        <w:rPr>
          <w:rFonts w:ascii="Times New Roman" w:hAnsi="Times New Roman" w:cs="Times New Roman"/>
          <w:b/>
          <w:bCs/>
          <w:i/>
          <w:iCs/>
          <w:color w:val="auto"/>
          <w:lang w:val="ro-RO"/>
        </w:rPr>
        <w:t>Producție vegetală</w:t>
      </w:r>
    </w:p>
    <w:bookmarkEnd w:id="128"/>
    <w:p w14:paraId="3C19EC81" w14:textId="2196ABD8" w:rsidR="00505EEF" w:rsidRPr="00A73566" w:rsidRDefault="00505EEF" w:rsidP="00E720EE">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Zootehnia</w:t>
      </w:r>
    </w:p>
    <w:p w14:paraId="40E3DC54" w14:textId="0BE12E80" w:rsidR="00A72CF9" w:rsidRPr="00A73566" w:rsidRDefault="00A72CF9" w:rsidP="00E720EE">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Agricultura Ecologică</w:t>
      </w:r>
    </w:p>
    <w:p w14:paraId="3FE4C504" w14:textId="77777777" w:rsidR="002F5E57" w:rsidRPr="00A73566" w:rsidRDefault="002F5E57" w:rsidP="00E720EE">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Industria alimentară (procesare)</w:t>
      </w:r>
    </w:p>
    <w:p w14:paraId="3C823B88" w14:textId="77777777" w:rsidR="00A72CF9" w:rsidRPr="00A73566" w:rsidRDefault="00A72CF9" w:rsidP="00E720EE">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Marketingul si comercializare producției agroindustriale</w:t>
      </w:r>
    </w:p>
    <w:p w14:paraId="0B8BAE90" w14:textId="08070F27" w:rsidR="00505EEF" w:rsidRPr="00A73566" w:rsidRDefault="00505EEF" w:rsidP="00E720EE">
      <w:pPr>
        <w:pStyle w:val="ListParagraph"/>
        <w:numPr>
          <w:ilvl w:val="0"/>
          <w:numId w:val="13"/>
        </w:numPr>
        <w:spacing w:after="0"/>
        <w:rPr>
          <w:rFonts w:ascii="Times New Roman" w:hAnsi="Times New Roman" w:cs="Times New Roman"/>
          <w:b/>
          <w:bCs/>
          <w:i/>
          <w:iCs/>
          <w:lang w:val="ro-RO"/>
        </w:rPr>
      </w:pPr>
      <w:r w:rsidRPr="00A73566">
        <w:rPr>
          <w:rFonts w:ascii="Times New Roman" w:hAnsi="Times New Roman" w:cs="Times New Roman"/>
          <w:b/>
          <w:bCs/>
          <w:i/>
          <w:iCs/>
          <w:color w:val="auto"/>
          <w:lang w:val="ro-RO"/>
        </w:rPr>
        <w:t>Siguranța alimentelor și asigurarea bunăstării animalelor</w:t>
      </w:r>
    </w:p>
    <w:p w14:paraId="408E26BD" w14:textId="12F0A762" w:rsidR="002F5E57" w:rsidRPr="00A73566" w:rsidRDefault="00D76165" w:rsidP="00E720EE">
      <w:pPr>
        <w:pStyle w:val="ListParagraph"/>
        <w:numPr>
          <w:ilvl w:val="0"/>
          <w:numId w:val="13"/>
        </w:numPr>
        <w:spacing w:after="0"/>
        <w:rPr>
          <w:rFonts w:ascii="Times New Roman" w:hAnsi="Times New Roman" w:cs="Times New Roman"/>
          <w:b/>
          <w:bCs/>
          <w:i/>
          <w:iCs/>
          <w:lang w:val="ro-RO"/>
        </w:rPr>
      </w:pPr>
      <w:r w:rsidRPr="00A73566">
        <w:rPr>
          <w:rFonts w:ascii="Times New Roman" w:hAnsi="Times New Roman" w:cs="Times New Roman"/>
          <w:b/>
          <w:bCs/>
          <w:i/>
          <w:iCs/>
          <w:color w:val="auto"/>
          <w:lang w:val="ro-RO"/>
        </w:rPr>
        <w:t xml:space="preserve">Educație, cercetare-dezvoltare și consultanță în agricultură  </w:t>
      </w:r>
      <w:r w:rsidR="002F5E57" w:rsidRPr="00A73566">
        <w:rPr>
          <w:rFonts w:ascii="Times New Roman" w:hAnsi="Times New Roman" w:cs="Times New Roman"/>
          <w:b/>
          <w:bCs/>
          <w:i/>
          <w:iCs/>
          <w:color w:val="auto"/>
          <w:lang w:val="ro-RO"/>
        </w:rPr>
        <w:t xml:space="preserve"> </w:t>
      </w:r>
    </w:p>
    <w:p w14:paraId="3C1949F7" w14:textId="34112D97" w:rsidR="00F662AC" w:rsidRPr="00A73566" w:rsidRDefault="002F5E57" w:rsidP="00E720EE">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Dezvoltare Rurală</w:t>
      </w:r>
    </w:p>
    <w:p w14:paraId="32E4A2B3" w14:textId="120EC84F" w:rsidR="00F662AC" w:rsidRPr="00A73566" w:rsidRDefault="00F662AC" w:rsidP="00F662AC">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 xml:space="preserve">Îmbunătățiri funciare în scopul asigurării managementului durabil al resurselor de sol  </w:t>
      </w:r>
    </w:p>
    <w:p w14:paraId="32E90C8A" w14:textId="313755D5" w:rsidR="0013277A" w:rsidRDefault="00F662AC" w:rsidP="00F662AC">
      <w:pPr>
        <w:pStyle w:val="ListParagraph"/>
        <w:numPr>
          <w:ilvl w:val="0"/>
          <w:numId w:val="13"/>
        </w:numPr>
        <w:spacing w:after="0"/>
        <w:rPr>
          <w:rFonts w:ascii="Times New Roman" w:hAnsi="Times New Roman" w:cs="Times New Roman"/>
          <w:b/>
          <w:bCs/>
          <w:i/>
          <w:iCs/>
          <w:color w:val="auto"/>
          <w:lang w:val="ro-RO"/>
        </w:rPr>
      </w:pPr>
      <w:r w:rsidRPr="00A73566">
        <w:rPr>
          <w:rFonts w:ascii="Times New Roman" w:hAnsi="Times New Roman" w:cs="Times New Roman"/>
          <w:b/>
          <w:bCs/>
          <w:i/>
          <w:iCs/>
          <w:color w:val="auto"/>
          <w:lang w:val="ro-RO"/>
        </w:rPr>
        <w:t xml:space="preserve">Revitalizarea sectorului hidroameliorației  </w:t>
      </w:r>
    </w:p>
    <w:p w14:paraId="09FC9241" w14:textId="77777777" w:rsidR="00A45DFD" w:rsidRPr="00A73566" w:rsidRDefault="00A45DFD" w:rsidP="00A45DFD">
      <w:pPr>
        <w:pStyle w:val="ListParagraph"/>
        <w:spacing w:after="0"/>
        <w:rPr>
          <w:rFonts w:ascii="Times New Roman" w:hAnsi="Times New Roman" w:cs="Times New Roman"/>
          <w:b/>
          <w:bCs/>
          <w:i/>
          <w:iCs/>
          <w:color w:val="auto"/>
          <w:lang w:val="ro-RO"/>
        </w:rPr>
      </w:pPr>
    </w:p>
    <w:p w14:paraId="29A30B1B" w14:textId="331E99FB" w:rsidR="00C52C53" w:rsidRPr="00A73566" w:rsidRDefault="00C52C53" w:rsidP="00C52C53">
      <w:pPr>
        <w:rPr>
          <w:rFonts w:ascii="Times New Roman" w:hAnsi="Times New Roman" w:cs="Times New Roman"/>
          <w:lang w:val="ro-RO"/>
        </w:rPr>
      </w:pPr>
      <w:r w:rsidRPr="00A73566">
        <w:rPr>
          <w:rFonts w:ascii="Times New Roman" w:hAnsi="Times New Roman" w:cs="Times New Roman"/>
          <w:lang w:val="ro-RO"/>
        </w:rPr>
        <w:t>Pentru fiecare dintre domeniile de intervenție vor fi elaborate Programe de dezvoltare pe termen mediu, după cum urmează:</w:t>
      </w:r>
    </w:p>
    <w:p w14:paraId="368C2FEF" w14:textId="2440CF42" w:rsidR="00C52C53" w:rsidRPr="00A73566" w:rsidRDefault="00C52C53" w:rsidP="00A72CF9">
      <w:pPr>
        <w:spacing w:after="0"/>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E970FE" w:rsidRPr="00A73566">
        <w:rPr>
          <w:rFonts w:ascii="Times New Roman" w:hAnsi="Times New Roman" w:cs="Times New Roman"/>
          <w:b/>
          <w:bCs/>
          <w:i/>
          <w:iCs/>
          <w:lang w:val="ro-RO"/>
        </w:rPr>
        <w:t>1:</w:t>
      </w:r>
      <w:r w:rsidR="001D0EB0" w:rsidRPr="00A73566">
        <w:rPr>
          <w:rFonts w:ascii="Times New Roman" w:hAnsi="Times New Roman" w:cs="Times New Roman"/>
          <w:b/>
          <w:bCs/>
          <w:i/>
          <w:iCs/>
          <w:lang w:val="ro-RO"/>
        </w:rPr>
        <w:t xml:space="preserve"> </w:t>
      </w:r>
      <w:r w:rsidR="00A72CF9" w:rsidRPr="00A73566">
        <w:rPr>
          <w:rFonts w:ascii="Times New Roman" w:hAnsi="Times New Roman" w:cs="Times New Roman"/>
          <w:b/>
          <w:bCs/>
          <w:i/>
          <w:iCs/>
          <w:lang w:val="ro-RO"/>
        </w:rPr>
        <w:t>D</w:t>
      </w:r>
      <w:r w:rsidRPr="00A73566">
        <w:rPr>
          <w:rFonts w:ascii="Times New Roman" w:hAnsi="Times New Roman" w:cs="Times New Roman"/>
          <w:b/>
          <w:bCs/>
          <w:i/>
          <w:iCs/>
          <w:lang w:val="ro-RO"/>
        </w:rPr>
        <w:t>ezvoltarea horticulturii</w:t>
      </w:r>
      <w:r w:rsidR="00A72CF9" w:rsidRPr="00A73566">
        <w:rPr>
          <w:rFonts w:ascii="Times New Roman" w:hAnsi="Times New Roman" w:cs="Times New Roman"/>
          <w:b/>
          <w:bCs/>
          <w:i/>
          <w:iCs/>
          <w:lang w:val="ro-RO"/>
        </w:rPr>
        <w:t xml:space="preserve"> </w:t>
      </w:r>
      <w:r w:rsidRPr="00A73566">
        <w:rPr>
          <w:rFonts w:ascii="Times New Roman" w:hAnsi="Times New Roman" w:cs="Times New Roman"/>
          <w:lang w:val="ro-RO"/>
        </w:rPr>
        <w:t xml:space="preserve">va asigura transpunerea obiectivelor generale ale strategiei pentru domeniul de intervenție </w:t>
      </w:r>
      <w:r w:rsidR="00A2387D" w:rsidRPr="00A73566">
        <w:rPr>
          <w:rFonts w:ascii="Times New Roman" w:hAnsi="Times New Roman" w:cs="Times New Roman"/>
          <w:lang w:val="ro-RO"/>
        </w:rPr>
        <w:t>a producției vegetale</w:t>
      </w:r>
      <w:r w:rsidRPr="00A73566">
        <w:rPr>
          <w:rFonts w:ascii="Times New Roman" w:hAnsi="Times New Roman" w:cs="Times New Roman"/>
          <w:lang w:val="ro-RO"/>
        </w:rPr>
        <w:t xml:space="preserve"> și definirea </w:t>
      </w:r>
      <w:r w:rsidR="00F662AC" w:rsidRPr="00A73566">
        <w:rPr>
          <w:rFonts w:ascii="Times New Roman" w:hAnsi="Times New Roman" w:cs="Times New Roman"/>
          <w:lang w:val="ro-RO"/>
        </w:rPr>
        <w:t>activităților</w:t>
      </w:r>
      <w:r w:rsidRPr="00A73566">
        <w:rPr>
          <w:rFonts w:ascii="Times New Roman" w:hAnsi="Times New Roman" w:cs="Times New Roman"/>
          <w:lang w:val="ro-RO"/>
        </w:rPr>
        <w:t xml:space="preserve"> specifice pentru fiecare dintre sub sectoarele cheie ale sectorului vegetal, care se vor regăsi în sub sectoare prioritare: horticultură, viticultură, nucifere</w:t>
      </w:r>
      <w:r w:rsidR="000F7F1F" w:rsidRPr="00A73566">
        <w:rPr>
          <w:rFonts w:ascii="Times New Roman" w:hAnsi="Times New Roman" w:cs="Times New Roman"/>
          <w:lang w:val="ro-RO"/>
        </w:rPr>
        <w:t xml:space="preserve"> </w:t>
      </w:r>
      <w:r w:rsidRPr="00A73566">
        <w:rPr>
          <w:rFonts w:ascii="Times New Roman" w:hAnsi="Times New Roman" w:cs="Times New Roman"/>
          <w:lang w:val="ro-RO"/>
        </w:rPr>
        <w:t>ș.a.</w:t>
      </w:r>
    </w:p>
    <w:p w14:paraId="274DDF1C" w14:textId="3F483A61" w:rsidR="00A72CF9" w:rsidRPr="00A73566" w:rsidRDefault="00A72CF9" w:rsidP="00E970FE">
      <w:pPr>
        <w:rPr>
          <w:rFonts w:ascii="Times New Roman" w:hAnsi="Times New Roman" w:cs="Times New Roman"/>
          <w:b/>
          <w:i/>
          <w:iCs/>
          <w:lang w:val="ro-RO"/>
        </w:rPr>
      </w:pPr>
      <w:r w:rsidRPr="00A73566">
        <w:rPr>
          <w:rFonts w:ascii="Times New Roman" w:hAnsi="Times New Roman" w:cs="Times New Roman"/>
          <w:b/>
          <w:i/>
          <w:iCs/>
          <w:lang w:val="ro-RO"/>
        </w:rPr>
        <w:t xml:space="preserve">Program </w:t>
      </w:r>
      <w:r w:rsidR="00E970FE" w:rsidRPr="00A73566">
        <w:rPr>
          <w:rFonts w:ascii="Times New Roman" w:hAnsi="Times New Roman" w:cs="Times New Roman"/>
          <w:b/>
          <w:i/>
          <w:iCs/>
          <w:lang w:val="ro-RO"/>
        </w:rPr>
        <w:t>2:</w:t>
      </w:r>
      <w:r w:rsidRPr="00A73566">
        <w:rPr>
          <w:rFonts w:ascii="Times New Roman" w:hAnsi="Times New Roman" w:cs="Times New Roman"/>
          <w:b/>
          <w:i/>
          <w:iCs/>
          <w:lang w:val="ro-RO"/>
        </w:rPr>
        <w:t xml:space="preserve"> Dezvoltarea sectorului de producere a leguminoaselor pentru boabe</w:t>
      </w:r>
      <w:r w:rsidR="00E970FE" w:rsidRPr="00A73566">
        <w:rPr>
          <w:rFonts w:ascii="Times New Roman" w:hAnsi="Times New Roman" w:cs="Times New Roman"/>
          <w:b/>
          <w:i/>
          <w:iCs/>
          <w:lang w:val="ro-RO"/>
        </w:rPr>
        <w:t xml:space="preserve">. </w:t>
      </w:r>
      <w:r w:rsidRPr="00A73566">
        <w:rPr>
          <w:rFonts w:ascii="Times New Roman" w:hAnsi="Times New Roman" w:cs="Times New Roman"/>
          <w:lang w:val="ro-RO"/>
        </w:rPr>
        <w:t>Implementarea acestui program va asigura dezvoltarea durabilă a agriculturii, obținerea proteinei ieftine și valoroase, asigurarea securității alimentare, furajere și cu materie primă industria de procesare, contribuirea eficientă la valorificarea structurii și fertilității solului, asigurarea securității energetice, excelenți premergători în asolamentele de culturi, realizează rea recolte stabile, producerea unui efect economic și social major, realizarea existenței și funcționării sistemice a ciclului biologic în biosisteme.</w:t>
      </w:r>
    </w:p>
    <w:p w14:paraId="4F3066B3" w14:textId="4C030009" w:rsidR="00C52C53" w:rsidRPr="00A73566" w:rsidRDefault="00C52C53" w:rsidP="00A72CF9">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1D0EB0" w:rsidRPr="00A73566">
        <w:rPr>
          <w:rFonts w:ascii="Times New Roman" w:hAnsi="Times New Roman" w:cs="Times New Roman"/>
          <w:b/>
          <w:bCs/>
          <w:i/>
          <w:iCs/>
          <w:lang w:val="ro-RO"/>
        </w:rPr>
        <w:t>3</w:t>
      </w:r>
      <w:r w:rsidR="00E970FE" w:rsidRPr="00A73566">
        <w:rPr>
          <w:rFonts w:ascii="Times New Roman" w:hAnsi="Times New Roman" w:cs="Times New Roman"/>
          <w:b/>
          <w:bCs/>
          <w:i/>
          <w:iCs/>
          <w:lang w:val="ro-RO"/>
        </w:rPr>
        <w:t>:</w:t>
      </w:r>
      <w:r w:rsidRPr="00A73566">
        <w:rPr>
          <w:rFonts w:ascii="Times New Roman" w:hAnsi="Times New Roman" w:cs="Times New Roman"/>
          <w:b/>
          <w:bCs/>
          <w:i/>
          <w:iCs/>
          <w:lang w:val="ro-RO"/>
        </w:rPr>
        <w:t xml:space="preserve"> Dezvoltarea</w:t>
      </w:r>
      <w:r w:rsidR="00A52DB1" w:rsidRPr="00A73566">
        <w:rPr>
          <w:rFonts w:ascii="Times New Roman" w:hAnsi="Times New Roman" w:cs="Times New Roman"/>
          <w:b/>
          <w:bCs/>
          <w:i/>
          <w:iCs/>
          <w:lang w:val="ro-RO"/>
        </w:rPr>
        <w:t xml:space="preserve"> sectorului de producere și procesare a </w:t>
      </w:r>
      <w:r w:rsidRPr="00A73566">
        <w:rPr>
          <w:rFonts w:ascii="Times New Roman" w:hAnsi="Times New Roman" w:cs="Times New Roman"/>
          <w:b/>
          <w:bCs/>
          <w:i/>
          <w:iCs/>
          <w:lang w:val="ro-RO"/>
        </w:rPr>
        <w:t>plantelor aromatice, medicinale si condimentare</w:t>
      </w:r>
      <w:r w:rsidR="00A72CF9" w:rsidRPr="00A73566">
        <w:rPr>
          <w:rFonts w:ascii="Times New Roman" w:hAnsi="Times New Roman" w:cs="Times New Roman"/>
          <w:b/>
          <w:bCs/>
          <w:i/>
          <w:iCs/>
          <w:lang w:val="ro-RO"/>
        </w:rPr>
        <w:t xml:space="preserve"> </w:t>
      </w:r>
      <w:r w:rsidRPr="00A73566">
        <w:rPr>
          <w:rFonts w:ascii="Times New Roman" w:hAnsi="Times New Roman" w:cs="Times New Roman"/>
          <w:lang w:val="ro-RO"/>
        </w:rPr>
        <w:t xml:space="preserve">va contribui la relansarea sectorului de plante aromatice, medicinale si condimentare, astfel se va creată baza pentru restabilirea unui sector cu potențial economic major si cu influența considerabila, asupra: crearea locurilor de munca, sporirea bazei fiscale, creșterea bunăstării populației in spațiul rural, creșterea exporturilor si dezvoltarea industriilor conexe. În mod revitalizarea sectorului va crea oportunități de dezvoltare pentru producătorii agricoli mici si gospodăriilor casnice.  </w:t>
      </w:r>
    </w:p>
    <w:p w14:paraId="7F122432" w14:textId="364D0BB3" w:rsidR="00A2387D" w:rsidRPr="00A73566" w:rsidRDefault="00C52C53" w:rsidP="00E970FE">
      <w:pPr>
        <w:spacing w:after="0"/>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E970FE" w:rsidRPr="00A73566">
        <w:rPr>
          <w:rFonts w:ascii="Times New Roman" w:hAnsi="Times New Roman" w:cs="Times New Roman"/>
          <w:b/>
          <w:bCs/>
          <w:i/>
          <w:iCs/>
          <w:lang w:val="ro-RO"/>
        </w:rPr>
        <w:t>4:</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Dezvoltarea agriculturii conservative</w:t>
      </w:r>
      <w:r w:rsidR="00E970FE" w:rsidRPr="00A73566">
        <w:rPr>
          <w:rFonts w:ascii="Times New Roman" w:hAnsi="Times New Roman" w:cs="Times New Roman"/>
          <w:b/>
          <w:bCs/>
          <w:i/>
          <w:iCs/>
          <w:lang w:val="ro-RO"/>
        </w:rPr>
        <w:t xml:space="preserve">. </w:t>
      </w:r>
      <w:r w:rsidRPr="00A73566">
        <w:rPr>
          <w:rFonts w:ascii="Times New Roman" w:hAnsi="Times New Roman" w:cs="Times New Roman"/>
          <w:lang w:val="ro-RO"/>
        </w:rPr>
        <w:t>Implementarea acestui program va da un imbold pozitiv pentru sporirea rezilienței față de schimbările climatice, ameliorarea fertilității solului, reducerea consumului de fertilizanți minerali, stabilizarea productivității agricole și  dezvoltarea agriculturii ecologice. Programul va veni cu un suport pentru fermierii care vor implementa aceste tehnologii și in special în perioada de tranziție de la agricultura convențională.</w:t>
      </w:r>
    </w:p>
    <w:p w14:paraId="7FABCD91" w14:textId="55026368" w:rsidR="00A2387D" w:rsidRPr="00A73566" w:rsidRDefault="00A2387D" w:rsidP="00E970FE">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E970FE" w:rsidRPr="00A73566">
        <w:rPr>
          <w:rFonts w:ascii="Times New Roman" w:hAnsi="Times New Roman" w:cs="Times New Roman"/>
          <w:b/>
          <w:bCs/>
          <w:i/>
          <w:iCs/>
          <w:lang w:val="ro-RO"/>
        </w:rPr>
        <w:t>5:</w:t>
      </w:r>
      <w:r w:rsidRPr="00A73566">
        <w:rPr>
          <w:rFonts w:ascii="Times New Roman" w:hAnsi="Times New Roman" w:cs="Times New Roman"/>
          <w:b/>
          <w:bCs/>
          <w:i/>
          <w:iCs/>
          <w:lang w:val="ro-RO"/>
        </w:rPr>
        <w:t xml:space="preserve"> Promovarea și dezvoltarea </w:t>
      </w:r>
      <w:r w:rsidR="00A72CF9" w:rsidRPr="00A73566">
        <w:rPr>
          <w:rFonts w:ascii="Times New Roman" w:hAnsi="Times New Roman" w:cs="Times New Roman"/>
          <w:b/>
          <w:bCs/>
          <w:i/>
          <w:iCs/>
          <w:lang w:val="ro-RO"/>
        </w:rPr>
        <w:t>a</w:t>
      </w:r>
      <w:r w:rsidRPr="00A73566">
        <w:rPr>
          <w:rFonts w:ascii="Times New Roman" w:hAnsi="Times New Roman" w:cs="Times New Roman"/>
          <w:b/>
          <w:bCs/>
          <w:i/>
          <w:iCs/>
          <w:lang w:val="ro-RO"/>
        </w:rPr>
        <w:t xml:space="preserve">griculturii </w:t>
      </w:r>
      <w:r w:rsidR="00A72CF9" w:rsidRPr="00A73566">
        <w:rPr>
          <w:rFonts w:ascii="Times New Roman" w:hAnsi="Times New Roman" w:cs="Times New Roman"/>
          <w:b/>
          <w:bCs/>
          <w:i/>
          <w:iCs/>
          <w:lang w:val="ro-RO"/>
        </w:rPr>
        <w:t>e</w:t>
      </w:r>
      <w:r w:rsidRPr="00A73566">
        <w:rPr>
          <w:rFonts w:ascii="Times New Roman" w:hAnsi="Times New Roman" w:cs="Times New Roman"/>
          <w:b/>
          <w:bCs/>
          <w:i/>
          <w:iCs/>
          <w:lang w:val="ro-RO"/>
        </w:rPr>
        <w:t>cologice</w:t>
      </w:r>
      <w:r w:rsidR="00E970FE" w:rsidRPr="00A73566">
        <w:rPr>
          <w:rFonts w:ascii="Times New Roman" w:hAnsi="Times New Roman" w:cs="Times New Roman"/>
          <w:b/>
          <w:bCs/>
          <w:i/>
          <w:iCs/>
          <w:lang w:val="ro-RO"/>
        </w:rPr>
        <w:t xml:space="preserve"> </w:t>
      </w:r>
      <w:r w:rsidRPr="00A73566">
        <w:rPr>
          <w:rFonts w:ascii="Times New Roman" w:hAnsi="Times New Roman" w:cs="Times New Roman"/>
          <w:lang w:val="ro-RO"/>
        </w:rPr>
        <w:t>va transpune obiectivele generale și specifice ale strategiei vizând dezvoltarea agriculturii ecologice, implementarea măsurilor de conservare a biodiversității și promovarea a practicilor agricole prietenoase mediului.</w:t>
      </w:r>
    </w:p>
    <w:p w14:paraId="5F9EB61F" w14:textId="3A2FFC87" w:rsidR="00C52C53" w:rsidRPr="00A73566" w:rsidRDefault="00C52C53" w:rsidP="00C52C53">
      <w:pPr>
        <w:spacing w:after="0"/>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A52DB1" w:rsidRPr="00A73566">
        <w:rPr>
          <w:rFonts w:ascii="Times New Roman" w:hAnsi="Times New Roman" w:cs="Times New Roman"/>
          <w:b/>
          <w:bCs/>
          <w:i/>
          <w:iCs/>
          <w:lang w:val="ro-RO"/>
        </w:rPr>
        <w:t>6</w:t>
      </w:r>
      <w:r w:rsidR="00E970FE" w:rsidRPr="00A73566">
        <w:rPr>
          <w:rFonts w:ascii="Times New Roman" w:hAnsi="Times New Roman" w:cs="Times New Roman"/>
          <w:b/>
          <w:bCs/>
          <w:i/>
          <w:iCs/>
          <w:lang w:val="ro-RO"/>
        </w:rPr>
        <w:t>:</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 xml:space="preserve">Îmbunătățiri funciare în scopul asigurării managementului durabil al resurselor de sol </w:t>
      </w:r>
    </w:p>
    <w:p w14:paraId="66BDA51E" w14:textId="14C832EA" w:rsidR="00C52C53" w:rsidRPr="00A73566" w:rsidRDefault="00C52C53" w:rsidP="00D75E29">
      <w:pPr>
        <w:rPr>
          <w:rFonts w:ascii="Times New Roman" w:hAnsi="Times New Roman" w:cs="Times New Roman"/>
          <w:lang w:val="ro-RO"/>
        </w:rPr>
      </w:pPr>
      <w:r w:rsidRPr="00A73566">
        <w:rPr>
          <w:rFonts w:ascii="Times New Roman" w:hAnsi="Times New Roman" w:cs="Times New Roman"/>
          <w:lang w:val="ro-RO"/>
        </w:rPr>
        <w:t xml:space="preserve">Programul va asigura implementarea măsurilor de stopare a degradării şi de sporire a fertilității solurilor prin modernizarea </w:t>
      </w:r>
      <w:r w:rsidR="00A72CF9" w:rsidRPr="00A73566">
        <w:rPr>
          <w:rFonts w:ascii="Times New Roman" w:hAnsi="Times New Roman" w:cs="Times New Roman"/>
          <w:lang w:val="ro-RO"/>
        </w:rPr>
        <w:t>și</w:t>
      </w:r>
      <w:r w:rsidRPr="00A73566">
        <w:rPr>
          <w:rFonts w:ascii="Times New Roman" w:hAnsi="Times New Roman" w:cs="Times New Roman"/>
          <w:lang w:val="ro-RO"/>
        </w:rPr>
        <w:t xml:space="preserve"> extinderea sistemului de îmbunătățiri funciare, implementarea tehnologiilor moderne </w:t>
      </w:r>
      <w:r w:rsidR="00ED2147" w:rsidRPr="00A73566">
        <w:rPr>
          <w:rFonts w:ascii="Times New Roman" w:hAnsi="Times New Roman" w:cs="Times New Roman"/>
          <w:lang w:val="ro-RO"/>
        </w:rPr>
        <w:t>și</w:t>
      </w:r>
      <w:r w:rsidRPr="00A73566">
        <w:rPr>
          <w:rFonts w:ascii="Times New Roman" w:hAnsi="Times New Roman" w:cs="Times New Roman"/>
          <w:lang w:val="ro-RO"/>
        </w:rPr>
        <w:t xml:space="preserve"> a practicilor agricole prietenoase mediului.</w:t>
      </w:r>
    </w:p>
    <w:p w14:paraId="0FF122CF" w14:textId="05C09240" w:rsidR="00C52C53" w:rsidRPr="00A73566" w:rsidRDefault="00C52C53" w:rsidP="006655CD">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A52DB1" w:rsidRPr="00A73566">
        <w:rPr>
          <w:rFonts w:ascii="Times New Roman" w:hAnsi="Times New Roman" w:cs="Times New Roman"/>
          <w:b/>
          <w:bCs/>
          <w:i/>
          <w:iCs/>
          <w:lang w:val="ro-RO"/>
        </w:rPr>
        <w:t>8</w:t>
      </w:r>
      <w:r w:rsidR="00E970FE" w:rsidRPr="00A73566">
        <w:rPr>
          <w:rFonts w:ascii="Times New Roman" w:hAnsi="Times New Roman" w:cs="Times New Roman"/>
          <w:b/>
          <w:bCs/>
          <w:i/>
          <w:iCs/>
          <w:lang w:val="ro-RO"/>
        </w:rPr>
        <w:t>:</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 xml:space="preserve">Revitalizarea sectorului hidroameliorației </w:t>
      </w:r>
      <w:r w:rsidRPr="00A73566">
        <w:rPr>
          <w:rFonts w:ascii="Times New Roman" w:hAnsi="Times New Roman" w:cs="Times New Roman"/>
          <w:lang w:val="ro-RO"/>
        </w:rPr>
        <w:t xml:space="preserve"> va transpune obiectivele generale și specifice ale strategiei pentru a asigura dezvoltarea sectorului.</w:t>
      </w:r>
    </w:p>
    <w:p w14:paraId="5EAF7510" w14:textId="722AE7C4" w:rsidR="00C52C53" w:rsidRPr="00A73566" w:rsidRDefault="00C52C53" w:rsidP="00C52C53">
      <w:pPr>
        <w:spacing w:after="0"/>
        <w:rPr>
          <w:rFonts w:ascii="Times New Roman" w:hAnsi="Times New Roman" w:cs="Times New Roman"/>
          <w:b/>
          <w:bCs/>
          <w:i/>
          <w:iCs/>
          <w:lang w:val="ro-RO"/>
        </w:rPr>
      </w:pPr>
      <w:r w:rsidRPr="00A73566">
        <w:rPr>
          <w:rFonts w:ascii="Times New Roman" w:hAnsi="Times New Roman" w:cs="Times New Roman"/>
          <w:b/>
          <w:bCs/>
          <w:lang w:val="ro-RO"/>
        </w:rPr>
        <w:t>Prog</w:t>
      </w:r>
      <w:r w:rsidRPr="00A73566">
        <w:rPr>
          <w:rFonts w:ascii="Times New Roman" w:hAnsi="Times New Roman" w:cs="Times New Roman"/>
          <w:b/>
          <w:bCs/>
          <w:i/>
          <w:iCs/>
          <w:lang w:val="ro-RO"/>
        </w:rPr>
        <w:t xml:space="preserve">ramul </w:t>
      </w:r>
      <w:r w:rsidR="00A52DB1" w:rsidRPr="00A73566">
        <w:rPr>
          <w:rFonts w:ascii="Times New Roman" w:hAnsi="Times New Roman" w:cs="Times New Roman"/>
          <w:b/>
          <w:bCs/>
          <w:i/>
          <w:iCs/>
          <w:lang w:val="ro-RO"/>
        </w:rPr>
        <w:t>9</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Valorificarea sectorului zootehnic</w:t>
      </w:r>
    </w:p>
    <w:p w14:paraId="0C2AD051" w14:textId="77777777" w:rsidR="00C52C53" w:rsidRPr="00A73566" w:rsidRDefault="00C52C53" w:rsidP="00D75E29">
      <w:pPr>
        <w:rPr>
          <w:rFonts w:ascii="Times New Roman" w:hAnsi="Times New Roman" w:cs="Times New Roman"/>
          <w:lang w:val="ro-RO"/>
        </w:rPr>
      </w:pPr>
      <w:r w:rsidRPr="00A73566">
        <w:rPr>
          <w:rFonts w:ascii="Times New Roman" w:hAnsi="Times New Roman" w:cs="Times New Roman"/>
          <w:lang w:val="ro-RO"/>
        </w:rPr>
        <w:t>Programele vor transpune obiectivele generale și specifice pentru dezvoltarea cadrului regulatoriu și de politici care ar facilita dezvoltarea sectorului zootehnic. Vor fi dezvoltate  4 programe pentru sectoarele cheie: producerea și procesarea laptelui, producerea și procesarea cărnii și a ouălor, ovine și caprine, acvacultură, după cum urmează:</w:t>
      </w:r>
    </w:p>
    <w:p w14:paraId="61865D4F" w14:textId="15075979" w:rsidR="00C52C53" w:rsidRPr="00A73566" w:rsidRDefault="00C52C53" w:rsidP="000F7F1F">
      <w:pPr>
        <w:rPr>
          <w:rFonts w:ascii="Times New Roman" w:hAnsi="Times New Roman" w:cs="Times New Roman"/>
          <w:lang w:val="ro-RO"/>
        </w:rPr>
      </w:pPr>
      <w:r w:rsidRPr="00A73566">
        <w:rPr>
          <w:rFonts w:ascii="Times New Roman" w:hAnsi="Times New Roman" w:cs="Times New Roman"/>
          <w:i/>
          <w:lang w:val="ro-RO"/>
        </w:rPr>
        <w:t>Programul Național de dezvoltare a sectorului de producere a laptelui</w:t>
      </w:r>
      <w:r w:rsidRPr="00A73566">
        <w:rPr>
          <w:rFonts w:ascii="Times New Roman" w:hAnsi="Times New Roman" w:cs="Times New Roman"/>
          <w:lang w:val="ro-RO"/>
        </w:rPr>
        <w:t xml:space="preserve"> – care va avea ținta de a fi înființate 100 ferme noi de producere a laptelui, cu un efectiv de câte 100 capete de vaci mulgătoare per exploatație (efectiv total 10 mii capete), productivitatea medie fiind 8 mii kg/cap/lactație. Totodată, se va pune accent și pe modernizarea celor peste 200 ferme zootehnice deja existente, precum și completarea lor cu animale înalt productive</w:t>
      </w:r>
      <w:r w:rsidR="00A72CF9" w:rsidRPr="00A73566">
        <w:rPr>
          <w:rFonts w:ascii="Times New Roman" w:hAnsi="Times New Roman" w:cs="Times New Roman"/>
          <w:lang w:val="ro-RO"/>
        </w:rPr>
        <w:t>.</w:t>
      </w:r>
    </w:p>
    <w:p w14:paraId="7AB68E24" w14:textId="5FD31136" w:rsidR="00C52C53" w:rsidRPr="00A73566" w:rsidRDefault="00C52C53" w:rsidP="000F7F1F">
      <w:pPr>
        <w:rPr>
          <w:rFonts w:ascii="Times New Roman" w:hAnsi="Times New Roman" w:cs="Times New Roman"/>
          <w:lang w:val="ro-RO"/>
        </w:rPr>
      </w:pPr>
      <w:r w:rsidRPr="00A73566">
        <w:rPr>
          <w:rFonts w:ascii="Times New Roman" w:hAnsi="Times New Roman" w:cs="Times New Roman"/>
          <w:i/>
          <w:lang w:val="ro-RO"/>
        </w:rPr>
        <w:t>Programul Național de dezvoltare a sectorului de producere a cărnii și a ouălor</w:t>
      </w:r>
      <w:r w:rsidRPr="00A73566">
        <w:rPr>
          <w:rFonts w:ascii="Times New Roman" w:hAnsi="Times New Roman" w:cs="Times New Roman"/>
          <w:lang w:val="ro-RO"/>
        </w:rPr>
        <w:t xml:space="preserve"> – care va avea ținta de a fi înființate 50 ferme de creștere a bovinelor din rase specializate pentru producția de carne, cu un efectiv de 200 capete de vaci reproducătoare per exploatație (efectiv total 10 mii capete). Totodată, se va pune accent și pe modernizarea fermelor zootehnice de creștere a bovinelor pentru carne, porcinelor, păsărilor și animalelor de blană deja existente, extinderea numărului de ferme din aceste specii cu 20%, dar și a șeptelului de animale cu 50%, în comparație cu cel existent în prezent, precum și completarea lor cu animale înalt productive</w:t>
      </w:r>
      <w:r w:rsidR="00A72CF9" w:rsidRPr="00A73566">
        <w:rPr>
          <w:rFonts w:ascii="Times New Roman" w:hAnsi="Times New Roman" w:cs="Times New Roman"/>
          <w:lang w:val="ro-RO"/>
        </w:rPr>
        <w:t>.</w:t>
      </w:r>
    </w:p>
    <w:p w14:paraId="4877F13D" w14:textId="77777777" w:rsidR="00C52C53" w:rsidRPr="00A73566" w:rsidRDefault="00C52C53" w:rsidP="000F7F1F">
      <w:pPr>
        <w:rPr>
          <w:rFonts w:ascii="Times New Roman" w:hAnsi="Times New Roman" w:cs="Times New Roman"/>
          <w:lang w:val="ro-RO"/>
        </w:rPr>
      </w:pPr>
      <w:r w:rsidRPr="00A73566">
        <w:rPr>
          <w:rFonts w:ascii="Times New Roman" w:hAnsi="Times New Roman" w:cs="Times New Roman"/>
          <w:i/>
          <w:lang w:val="ro-RO"/>
        </w:rPr>
        <w:t>Programul Național de dezvoltare a sectorului de creștere a ovinelor și caprinelor</w:t>
      </w:r>
      <w:r w:rsidRPr="00A73566">
        <w:rPr>
          <w:rFonts w:ascii="Times New Roman" w:hAnsi="Times New Roman" w:cs="Times New Roman"/>
          <w:lang w:val="ro-RO"/>
        </w:rPr>
        <w:t xml:space="preserve"> – care va avea ținta de a fi înființate 200 ferme de creștere a ovinelor pentru lapte, cu un efectiv de 500 capete per exploatație (efectiv total 100 mii capete), 100 ferme de creștere a ovinelor pentru carne, cu un efectiv de 1000 capete per exploatație (efectiv total 100 mii capete), 250 ferme de creștere a caprelor, cu un efectiv de 200 capete per exploatație (efectiv total 100 mii capete).</w:t>
      </w:r>
    </w:p>
    <w:p w14:paraId="3C6E9C3C" w14:textId="77777777" w:rsidR="00C52C53" w:rsidRPr="00A73566" w:rsidRDefault="00C52C53" w:rsidP="00D75E29">
      <w:pPr>
        <w:rPr>
          <w:rFonts w:ascii="Times New Roman" w:hAnsi="Times New Roman" w:cs="Times New Roman"/>
          <w:lang w:val="ro-RO"/>
        </w:rPr>
      </w:pPr>
      <w:r w:rsidRPr="00A73566">
        <w:rPr>
          <w:rFonts w:ascii="Times New Roman" w:hAnsi="Times New Roman" w:cs="Times New Roman"/>
          <w:i/>
          <w:lang w:val="ro-RO"/>
        </w:rPr>
        <w:t>Programul Național de dezvoltare a sectorului de acvacultură</w:t>
      </w:r>
      <w:r w:rsidRPr="00A73566">
        <w:rPr>
          <w:rFonts w:ascii="Times New Roman" w:hAnsi="Times New Roman" w:cs="Times New Roman"/>
          <w:lang w:val="ro-RO"/>
        </w:rPr>
        <w:t xml:space="preserve"> - care va avea ținta de a moderniza crescătoriile existente, dar și inventarierea corpurilor de apă neutilizate în prezent pentru producerea peștelui, precum și de a spori producția de pește autohton de la 13,8 mii tone, până la 25 mii tone, iar consumul de pește autohton per cap de locuitor, să fie conformat normelor fiziologice, adică la 14 kg, în comparație cu valoarea de 11,3 kg consumată în prezent.</w:t>
      </w:r>
    </w:p>
    <w:p w14:paraId="660F7763" w14:textId="655BE0EE" w:rsidR="004208A6" w:rsidRPr="00A73566" w:rsidRDefault="00C52C53" w:rsidP="006655CD">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A52DB1" w:rsidRPr="00A73566">
        <w:rPr>
          <w:rFonts w:ascii="Times New Roman" w:hAnsi="Times New Roman" w:cs="Times New Roman"/>
          <w:b/>
          <w:bCs/>
          <w:i/>
          <w:iCs/>
          <w:lang w:val="ro-RO"/>
        </w:rPr>
        <w:t>10</w:t>
      </w:r>
      <w:r w:rsidR="006655CD" w:rsidRPr="00A73566">
        <w:rPr>
          <w:rFonts w:ascii="Times New Roman" w:hAnsi="Times New Roman" w:cs="Times New Roman"/>
          <w:b/>
          <w:bCs/>
          <w:i/>
          <w:iCs/>
          <w:lang w:val="ro-RO"/>
        </w:rPr>
        <w:t>:</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Revitalizarea sectorului de procesare a producție</w:t>
      </w:r>
      <w:r w:rsidR="00296C75" w:rsidRPr="00A73566">
        <w:rPr>
          <w:rFonts w:ascii="Times New Roman" w:hAnsi="Times New Roman" w:cs="Times New Roman"/>
          <w:b/>
          <w:bCs/>
          <w:i/>
          <w:iCs/>
          <w:lang w:val="ro-RO"/>
        </w:rPr>
        <w:t>i</w:t>
      </w:r>
      <w:r w:rsidRPr="00A73566">
        <w:rPr>
          <w:rFonts w:ascii="Times New Roman" w:hAnsi="Times New Roman" w:cs="Times New Roman"/>
          <w:b/>
          <w:bCs/>
          <w:i/>
          <w:iCs/>
          <w:lang w:val="ro-RO"/>
        </w:rPr>
        <w:t xml:space="preserve"> agricole</w:t>
      </w:r>
      <w:r w:rsidRPr="00A73566">
        <w:rPr>
          <w:rFonts w:ascii="Times New Roman" w:hAnsi="Times New Roman" w:cs="Times New Roman"/>
          <w:lang w:val="ro-RO"/>
        </w:rPr>
        <w:t xml:space="preserve"> va transpune obiectivele generale și specifice ale strategiei pentru domeniul industriei alimentare în vederea dezvoltării sectorului de procesare, prin acțiuni menite să optimizeze cadrul regulatoriu și strategi</w:t>
      </w:r>
      <w:r w:rsidR="004208A6" w:rsidRPr="00A73566">
        <w:rPr>
          <w:rFonts w:ascii="Times New Roman" w:hAnsi="Times New Roman" w:cs="Times New Roman"/>
          <w:lang w:val="ro-RO"/>
        </w:rPr>
        <w:t>c</w:t>
      </w:r>
      <w:r w:rsidRPr="00A73566">
        <w:rPr>
          <w:rFonts w:ascii="Times New Roman" w:hAnsi="Times New Roman" w:cs="Times New Roman"/>
          <w:lang w:val="ro-RO"/>
        </w:rPr>
        <w:t xml:space="preserve"> de atragere a investițiilor în procesarea </w:t>
      </w:r>
      <w:r w:rsidR="00112A26" w:rsidRPr="00A73566">
        <w:rPr>
          <w:rFonts w:ascii="Times New Roman" w:hAnsi="Times New Roman" w:cs="Times New Roman"/>
          <w:lang w:val="ro-RO"/>
        </w:rPr>
        <w:t xml:space="preserve">legumelor și </w:t>
      </w:r>
      <w:r w:rsidRPr="00A73566">
        <w:rPr>
          <w:rFonts w:ascii="Times New Roman" w:hAnsi="Times New Roman" w:cs="Times New Roman"/>
          <w:lang w:val="ro-RO"/>
        </w:rPr>
        <w:t xml:space="preserve">fructelor. </w:t>
      </w:r>
      <w:r w:rsidR="00112A26" w:rsidRPr="00A73566">
        <w:rPr>
          <w:rFonts w:ascii="Times New Roman" w:hAnsi="Times New Roman" w:cs="Times New Roman"/>
          <w:lang w:val="ro-RO"/>
        </w:rPr>
        <w:t xml:space="preserve">În cadrul acestui program se va regăsi și </w:t>
      </w:r>
      <w:r w:rsidR="004208A6" w:rsidRPr="00A73566">
        <w:rPr>
          <w:rFonts w:ascii="Times New Roman" w:hAnsi="Times New Roman" w:cs="Times New Roman"/>
          <w:i/>
          <w:lang w:val="ro-RO"/>
        </w:rPr>
        <w:t>Programul național de dezvoltare a sectorului vitivinicol</w:t>
      </w:r>
      <w:r w:rsidR="00112A26" w:rsidRPr="00A73566">
        <w:rPr>
          <w:rFonts w:ascii="Times New Roman" w:hAnsi="Times New Roman" w:cs="Times New Roman"/>
          <w:i/>
          <w:lang w:val="ro-RO"/>
        </w:rPr>
        <w:t xml:space="preserve">, care </w:t>
      </w:r>
      <w:r w:rsidR="004208A6" w:rsidRPr="00A73566">
        <w:rPr>
          <w:rFonts w:ascii="Times New Roman" w:hAnsi="Times New Roman" w:cs="Times New Roman"/>
          <w:lang w:val="ro-RO"/>
        </w:rPr>
        <w:t xml:space="preserve"> va asigura transpunerea obiectivelor generale ale strategiei în domeniul de intervenție și va contribui la: a) relansarea sectorului pe plan internațional, </w:t>
      </w:r>
      <w:r w:rsidR="00112A26" w:rsidRPr="00A73566">
        <w:rPr>
          <w:rFonts w:ascii="Times New Roman" w:hAnsi="Times New Roman" w:cs="Times New Roman"/>
          <w:lang w:val="ro-RO"/>
        </w:rPr>
        <w:t>b) sporirea</w:t>
      </w:r>
      <w:r w:rsidR="004208A6" w:rsidRPr="00A73566">
        <w:rPr>
          <w:rFonts w:ascii="Times New Roman" w:hAnsi="Times New Roman" w:cs="Times New Roman"/>
          <w:lang w:val="ro-RO"/>
        </w:rPr>
        <w:t xml:space="preserve"> valor</w:t>
      </w:r>
      <w:r w:rsidR="00112A26" w:rsidRPr="00A73566">
        <w:rPr>
          <w:rFonts w:ascii="Times New Roman" w:hAnsi="Times New Roman" w:cs="Times New Roman"/>
          <w:lang w:val="ro-RO"/>
        </w:rPr>
        <w:t>ii adăugate a</w:t>
      </w:r>
      <w:r w:rsidR="004208A6" w:rsidRPr="00A73566">
        <w:rPr>
          <w:rFonts w:ascii="Times New Roman" w:hAnsi="Times New Roman" w:cs="Times New Roman"/>
          <w:lang w:val="ro-RO"/>
        </w:rPr>
        <w:t xml:space="preserve"> sectorului vitivinicol prin trecerea la un model internațional condus de piață prin reducerea ofertei excesive, </w:t>
      </w:r>
      <w:r w:rsidR="00112A26" w:rsidRPr="00A73566">
        <w:rPr>
          <w:rFonts w:ascii="Times New Roman" w:hAnsi="Times New Roman" w:cs="Times New Roman"/>
          <w:lang w:val="ro-RO"/>
        </w:rPr>
        <w:t>c)</w:t>
      </w:r>
      <w:r w:rsidR="004208A6" w:rsidRPr="00A73566">
        <w:rPr>
          <w:rFonts w:ascii="Times New Roman" w:hAnsi="Times New Roman" w:cs="Times New Roman"/>
          <w:lang w:val="ro-RO"/>
        </w:rPr>
        <w:t xml:space="preserve"> dezvoltarea sustenabilă a sectorului vitivinicol și optimizarea componentelor acestuia, </w:t>
      </w:r>
      <w:r w:rsidR="00112A26" w:rsidRPr="00A73566">
        <w:rPr>
          <w:rFonts w:ascii="Times New Roman" w:hAnsi="Times New Roman" w:cs="Times New Roman"/>
          <w:lang w:val="ro-RO"/>
        </w:rPr>
        <w:t>d) crearea</w:t>
      </w:r>
      <w:r w:rsidR="004208A6" w:rsidRPr="00A73566">
        <w:rPr>
          <w:rFonts w:ascii="Times New Roman" w:hAnsi="Times New Roman" w:cs="Times New Roman"/>
          <w:lang w:val="ro-RO"/>
        </w:rPr>
        <w:t xml:space="preserve"> un mediu favorabil pentru diversificarea în continuare a piețelor de desfacere pentru produsele sectorului vitivinicol și plasarea acestora pe un segment mai superior de prețuri de comercializare, </w:t>
      </w:r>
      <w:r w:rsidR="00112A26" w:rsidRPr="00A73566">
        <w:rPr>
          <w:rFonts w:ascii="Times New Roman" w:hAnsi="Times New Roman" w:cs="Times New Roman"/>
          <w:lang w:val="ro-RO"/>
        </w:rPr>
        <w:t xml:space="preserve">precum și </w:t>
      </w:r>
      <w:r w:rsidR="004208A6" w:rsidRPr="00A73566">
        <w:rPr>
          <w:rFonts w:ascii="Times New Roman" w:hAnsi="Times New Roman" w:cs="Times New Roman"/>
          <w:lang w:val="ro-RO"/>
        </w:rPr>
        <w:t>condițiilor favorabile pentru dezvoltarea echilibrată a tuturor categoriilor de întreprinderi vitivinicole și pentru cooperarea producătorilor mici.</w:t>
      </w:r>
    </w:p>
    <w:p w14:paraId="14FEE931" w14:textId="30C8DA50" w:rsidR="00A2387D" w:rsidRPr="00A73566" w:rsidRDefault="00A2387D" w:rsidP="00A2387D">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6655CD" w:rsidRPr="00A73566">
        <w:rPr>
          <w:rFonts w:ascii="Times New Roman" w:hAnsi="Times New Roman" w:cs="Times New Roman"/>
          <w:b/>
          <w:bCs/>
          <w:i/>
          <w:iCs/>
          <w:lang w:val="ro-RO"/>
        </w:rPr>
        <w:t>1</w:t>
      </w:r>
      <w:r w:rsidRPr="00A73566">
        <w:rPr>
          <w:rFonts w:ascii="Times New Roman" w:hAnsi="Times New Roman" w:cs="Times New Roman"/>
          <w:b/>
          <w:bCs/>
          <w:i/>
          <w:iCs/>
          <w:lang w:val="ro-RO"/>
        </w:rPr>
        <w:t>1</w:t>
      </w:r>
      <w:r w:rsidR="006655CD" w:rsidRPr="00A73566">
        <w:rPr>
          <w:rFonts w:ascii="Times New Roman" w:hAnsi="Times New Roman" w:cs="Times New Roman"/>
          <w:b/>
          <w:bCs/>
          <w:i/>
          <w:iCs/>
          <w:lang w:val="ro-RO"/>
        </w:rPr>
        <w:t>:</w:t>
      </w:r>
      <w:r w:rsidRPr="00A73566">
        <w:rPr>
          <w:rFonts w:ascii="Times New Roman" w:hAnsi="Times New Roman" w:cs="Times New Roman"/>
          <w:b/>
          <w:bCs/>
          <w:i/>
          <w:iCs/>
          <w:lang w:val="ro-RO"/>
        </w:rPr>
        <w:t xml:space="preserve"> </w:t>
      </w:r>
      <w:r w:rsidR="00A72CF9" w:rsidRPr="00A73566">
        <w:rPr>
          <w:rFonts w:ascii="Times New Roman" w:hAnsi="Times New Roman" w:cs="Times New Roman"/>
          <w:b/>
          <w:bCs/>
          <w:i/>
          <w:iCs/>
          <w:lang w:val="ro-RO"/>
        </w:rPr>
        <w:t>S</w:t>
      </w:r>
      <w:r w:rsidRPr="00A73566">
        <w:rPr>
          <w:rFonts w:ascii="Times New Roman" w:hAnsi="Times New Roman" w:cs="Times New Roman"/>
          <w:b/>
          <w:bCs/>
          <w:i/>
          <w:iCs/>
          <w:lang w:val="ro-RO"/>
        </w:rPr>
        <w:t>usținerea și dezvoltarea exportului producției agroindustrial</w:t>
      </w:r>
      <w:r w:rsidR="00A72CF9" w:rsidRPr="00A73566">
        <w:rPr>
          <w:rFonts w:ascii="Times New Roman" w:hAnsi="Times New Roman" w:cs="Times New Roman"/>
          <w:b/>
          <w:bCs/>
          <w:i/>
          <w:iCs/>
          <w:lang w:val="ro-RO"/>
        </w:rPr>
        <w:t>e</w:t>
      </w:r>
      <w:r w:rsidR="006655CD" w:rsidRPr="00A73566">
        <w:rPr>
          <w:rFonts w:ascii="Times New Roman" w:hAnsi="Times New Roman" w:cs="Times New Roman"/>
          <w:b/>
          <w:bCs/>
          <w:i/>
          <w:iCs/>
          <w:lang w:val="ro-RO"/>
        </w:rPr>
        <w:t xml:space="preserve">. </w:t>
      </w:r>
      <w:r w:rsidRPr="00A73566">
        <w:rPr>
          <w:rFonts w:ascii="Times New Roman" w:hAnsi="Times New Roman" w:cs="Times New Roman"/>
          <w:lang w:val="ro-RO"/>
        </w:rPr>
        <w:t xml:space="preserve">Programul va asigura dezvoltarea agriculturii în baza analizelor de </w:t>
      </w:r>
      <w:r w:rsidR="00A72CF9" w:rsidRPr="00A73566">
        <w:rPr>
          <w:rFonts w:ascii="Times New Roman" w:hAnsi="Times New Roman" w:cs="Times New Roman"/>
          <w:lang w:val="ro-RO"/>
        </w:rPr>
        <w:t>a</w:t>
      </w:r>
      <w:r w:rsidRPr="00A73566">
        <w:rPr>
          <w:rFonts w:ascii="Times New Roman" w:hAnsi="Times New Roman" w:cs="Times New Roman"/>
          <w:lang w:val="ro-RO"/>
        </w:rPr>
        <w:t xml:space="preserve">gromarketing și in concordanța cu direcțiile de dezvoltare si cerințele consumatorilor atât in piețele locale cat si cele internaționale. Programul va veni cu acțiuni și masuri de suport pentru agricultori si companiile exportatoare, întru adaptarea la noile condiții  impuse de către  piețelor de desfacere. De asemenea programul va dezvolta conceptul efortului național în promovarea si dezvoltarea exporturilor ca fiind soluțiile cheie în dezvoltării sustenabile a sectorului agroindustrial.  </w:t>
      </w:r>
    </w:p>
    <w:p w14:paraId="327F8EFA" w14:textId="6B54A7F7" w:rsidR="00C52C53" w:rsidRPr="00A73566" w:rsidRDefault="00C52C53" w:rsidP="006655CD">
      <w:pPr>
        <w:rPr>
          <w:rFonts w:ascii="Times New Roman" w:hAnsi="Times New Roman" w:cs="Times New Roman"/>
          <w:b/>
          <w:bCs/>
          <w:i/>
          <w:iCs/>
          <w:lang w:val="ro-RO"/>
        </w:rPr>
      </w:pPr>
      <w:r w:rsidRPr="00A73566">
        <w:rPr>
          <w:rFonts w:ascii="Times New Roman" w:hAnsi="Times New Roman" w:cs="Times New Roman"/>
          <w:b/>
          <w:bCs/>
          <w:i/>
          <w:iCs/>
          <w:lang w:val="ro-RO"/>
        </w:rPr>
        <w:t xml:space="preserve">Programul </w:t>
      </w:r>
      <w:r w:rsidR="001D0EB0" w:rsidRPr="00A73566">
        <w:rPr>
          <w:rFonts w:ascii="Times New Roman" w:hAnsi="Times New Roman" w:cs="Times New Roman"/>
          <w:b/>
          <w:bCs/>
          <w:i/>
          <w:iCs/>
          <w:lang w:val="ro-RO"/>
        </w:rPr>
        <w:t>1</w:t>
      </w:r>
      <w:r w:rsidR="006655CD" w:rsidRPr="00A73566">
        <w:rPr>
          <w:rFonts w:ascii="Times New Roman" w:hAnsi="Times New Roman" w:cs="Times New Roman"/>
          <w:b/>
          <w:bCs/>
          <w:i/>
          <w:iCs/>
          <w:lang w:val="ro-RO"/>
        </w:rPr>
        <w:t>2:</w:t>
      </w:r>
      <w:r w:rsidR="001D0EB0" w:rsidRPr="00A73566">
        <w:rPr>
          <w:rFonts w:ascii="Times New Roman" w:hAnsi="Times New Roman" w:cs="Times New Roman"/>
          <w:b/>
          <w:bCs/>
          <w:i/>
          <w:iCs/>
          <w:lang w:val="ro-RO"/>
        </w:rPr>
        <w:t xml:space="preserve"> </w:t>
      </w:r>
      <w:r w:rsidRPr="00A73566">
        <w:rPr>
          <w:rFonts w:ascii="Times New Roman" w:hAnsi="Times New Roman" w:cs="Times New Roman"/>
          <w:b/>
          <w:bCs/>
          <w:i/>
          <w:iCs/>
          <w:lang w:val="ro-RO"/>
        </w:rPr>
        <w:t xml:space="preserve">Consolidarea </w:t>
      </w:r>
      <w:r w:rsidR="00A2387D" w:rsidRPr="00A73566">
        <w:rPr>
          <w:rFonts w:ascii="Times New Roman" w:hAnsi="Times New Roman" w:cs="Times New Roman"/>
          <w:b/>
          <w:bCs/>
          <w:i/>
          <w:iCs/>
          <w:lang w:val="ro-RO"/>
        </w:rPr>
        <w:t>s</w:t>
      </w:r>
      <w:r w:rsidRPr="00A73566">
        <w:rPr>
          <w:rFonts w:ascii="Times New Roman" w:hAnsi="Times New Roman" w:cs="Times New Roman"/>
          <w:b/>
          <w:bCs/>
          <w:i/>
          <w:iCs/>
          <w:lang w:val="ro-RO"/>
        </w:rPr>
        <w:t xml:space="preserve">iguranței </w:t>
      </w:r>
      <w:r w:rsidR="00A2387D" w:rsidRPr="00A73566">
        <w:rPr>
          <w:rFonts w:ascii="Times New Roman" w:hAnsi="Times New Roman" w:cs="Times New Roman"/>
          <w:b/>
          <w:bCs/>
          <w:i/>
          <w:iCs/>
          <w:lang w:val="ro-RO"/>
        </w:rPr>
        <w:t>a</w:t>
      </w:r>
      <w:r w:rsidRPr="00A73566">
        <w:rPr>
          <w:rFonts w:ascii="Times New Roman" w:hAnsi="Times New Roman" w:cs="Times New Roman"/>
          <w:b/>
          <w:bCs/>
          <w:i/>
          <w:iCs/>
          <w:lang w:val="ro-RO"/>
        </w:rPr>
        <w:t>limentare a țării</w:t>
      </w:r>
      <w:r w:rsidR="006655CD" w:rsidRPr="00A73566">
        <w:rPr>
          <w:rFonts w:ascii="Times New Roman" w:hAnsi="Times New Roman" w:cs="Times New Roman"/>
          <w:b/>
          <w:bCs/>
          <w:i/>
          <w:iCs/>
          <w:lang w:val="ro-RO"/>
        </w:rPr>
        <w:t xml:space="preserve"> </w:t>
      </w:r>
      <w:r w:rsidRPr="00A73566">
        <w:rPr>
          <w:rFonts w:ascii="Times New Roman" w:hAnsi="Times New Roman" w:cs="Times New Roman"/>
          <w:lang w:val="ro-RO"/>
        </w:rPr>
        <w:t xml:space="preserve"> are ca scop atingerea unui nivel înalt al siguranței alimentelor și protecției consumatorilor, precum și alinierea la prevederile Regulamentelor europene in materie de siguranța a alimentelor, protecției consumatorului, dar si bunăstării animalelor.   </w:t>
      </w:r>
    </w:p>
    <w:p w14:paraId="2EE4F9A3" w14:textId="48BAD106" w:rsidR="00C52C53" w:rsidRPr="00A73566" w:rsidRDefault="00C52C53" w:rsidP="00C52C53">
      <w:pPr>
        <w:rPr>
          <w:rFonts w:ascii="Times New Roman" w:hAnsi="Times New Roman" w:cs="Times New Roman"/>
          <w:lang w:val="ro-RO"/>
        </w:rPr>
      </w:pPr>
      <w:r w:rsidRPr="00A73566">
        <w:rPr>
          <w:rFonts w:ascii="Times New Roman" w:hAnsi="Times New Roman" w:cs="Times New Roman"/>
          <w:b/>
          <w:i/>
          <w:lang w:val="ro-RO"/>
        </w:rPr>
        <w:t xml:space="preserve">Programul </w:t>
      </w:r>
      <w:r w:rsidR="001D0EB0" w:rsidRPr="00A73566">
        <w:rPr>
          <w:rFonts w:ascii="Times New Roman" w:hAnsi="Times New Roman" w:cs="Times New Roman"/>
          <w:b/>
          <w:i/>
          <w:lang w:val="ro-RO"/>
        </w:rPr>
        <w:t>1</w:t>
      </w:r>
      <w:r w:rsidR="00771976" w:rsidRPr="00A73566">
        <w:rPr>
          <w:rFonts w:ascii="Times New Roman" w:hAnsi="Times New Roman" w:cs="Times New Roman"/>
          <w:b/>
          <w:i/>
          <w:lang w:val="ro-RO"/>
        </w:rPr>
        <w:t>3</w:t>
      </w:r>
      <w:r w:rsidR="006655CD" w:rsidRPr="00A73566">
        <w:rPr>
          <w:rFonts w:ascii="Times New Roman" w:hAnsi="Times New Roman" w:cs="Times New Roman"/>
          <w:b/>
          <w:i/>
          <w:lang w:val="ro-RO"/>
        </w:rPr>
        <w:t>:</w:t>
      </w:r>
      <w:r w:rsidR="001D0EB0" w:rsidRPr="00A73566">
        <w:rPr>
          <w:rFonts w:ascii="Times New Roman" w:hAnsi="Times New Roman" w:cs="Times New Roman"/>
          <w:b/>
          <w:i/>
          <w:lang w:val="ro-RO"/>
        </w:rPr>
        <w:t xml:space="preserve"> </w:t>
      </w:r>
      <w:r w:rsidR="00B84564" w:rsidRPr="00A73566">
        <w:rPr>
          <w:rFonts w:ascii="Times New Roman" w:hAnsi="Times New Roman" w:cs="Times New Roman"/>
          <w:b/>
          <w:i/>
          <w:lang w:val="ro-RO"/>
        </w:rPr>
        <w:t>Porgramul cercetare-dezvoltare-inovare în domeniul agroalimentar</w:t>
      </w:r>
      <w:r w:rsidR="00B84564" w:rsidRPr="00A73566">
        <w:rPr>
          <w:rFonts w:ascii="Times New Roman" w:hAnsi="Times New Roman" w:cs="Times New Roman"/>
          <w:lang w:val="ro-RO"/>
        </w:rPr>
        <w:t xml:space="preserve"> </w:t>
      </w:r>
      <w:r w:rsidRPr="00A73566">
        <w:rPr>
          <w:rFonts w:ascii="Times New Roman" w:hAnsi="Times New Roman" w:cs="Times New Roman"/>
          <w:lang w:val="ro-RO"/>
        </w:rPr>
        <w:t>va permite stabilirea priorităților de cercetare-inovare necesare pentru a atinge obiectivele domeniului agroalimentar, astfel încât să asigure un grad ridicat de securitate și siguranța alimentară la nivel național; va spori  capacitatea sistemului de cercetare-inovare din domeniul agroalimentar de a acumula cunoștințe, rezultate și experiențe de cel mai înalt nivel științific și tehnologic, în vederea diseminării și transferului tehnologic către mediul economic.</w:t>
      </w:r>
    </w:p>
    <w:p w14:paraId="21499FBC" w14:textId="704AE1B1" w:rsidR="00C52C53" w:rsidRPr="00A73566" w:rsidRDefault="00C52C53" w:rsidP="00C52C53">
      <w:pPr>
        <w:rPr>
          <w:rFonts w:ascii="Times New Roman" w:hAnsi="Times New Roman" w:cs="Times New Roman"/>
          <w:lang w:val="ro-RO"/>
        </w:rPr>
      </w:pPr>
      <w:r w:rsidRPr="00A73566">
        <w:rPr>
          <w:rFonts w:ascii="Times New Roman" w:hAnsi="Times New Roman" w:cs="Times New Roman"/>
          <w:b/>
          <w:i/>
          <w:lang w:val="ro-RO"/>
        </w:rPr>
        <w:t xml:space="preserve">Programul </w:t>
      </w:r>
      <w:r w:rsidR="001D0EB0" w:rsidRPr="00A73566">
        <w:rPr>
          <w:rFonts w:ascii="Times New Roman" w:hAnsi="Times New Roman" w:cs="Times New Roman"/>
          <w:b/>
          <w:i/>
          <w:lang w:val="ro-RO"/>
        </w:rPr>
        <w:t>1</w:t>
      </w:r>
      <w:r w:rsidR="00771976" w:rsidRPr="00A73566">
        <w:rPr>
          <w:rFonts w:ascii="Times New Roman" w:hAnsi="Times New Roman" w:cs="Times New Roman"/>
          <w:b/>
          <w:i/>
          <w:lang w:val="ro-RO"/>
        </w:rPr>
        <w:t>4</w:t>
      </w:r>
      <w:r w:rsidR="001D0EB0" w:rsidRPr="00A73566">
        <w:rPr>
          <w:rFonts w:ascii="Times New Roman" w:hAnsi="Times New Roman" w:cs="Times New Roman"/>
          <w:b/>
          <w:i/>
          <w:lang w:val="ro-RO"/>
        </w:rPr>
        <w:t xml:space="preserve">. </w:t>
      </w:r>
      <w:r w:rsidR="00B84564" w:rsidRPr="00A73566">
        <w:rPr>
          <w:rFonts w:ascii="Times New Roman" w:hAnsi="Times New Roman" w:cs="Times New Roman"/>
          <w:b/>
          <w:i/>
          <w:lang w:val="ro-RO"/>
        </w:rPr>
        <w:t>Programul de dezvoltare a serviciilor de consultanță și extensiune rurală</w:t>
      </w:r>
      <w:r w:rsidRPr="00A73566">
        <w:rPr>
          <w:rFonts w:ascii="Times New Roman" w:hAnsi="Times New Roman" w:cs="Times New Roman"/>
          <w:lang w:val="ro-RO"/>
        </w:rPr>
        <w:t xml:space="preserve"> va dezvolta actuala capacități de consultanță, atât în sensul asigurării unui nivel ridicat al pregătirii profesionale a consultanților, cât si în sensul implicării mai active a fermierilor în procesul decizional.</w:t>
      </w:r>
    </w:p>
    <w:p w14:paraId="2081A7A5" w14:textId="2675D290" w:rsidR="00C52C53" w:rsidRPr="00A73566" w:rsidRDefault="00C52C53" w:rsidP="00D75E29">
      <w:pPr>
        <w:rPr>
          <w:rFonts w:ascii="Times New Roman" w:hAnsi="Times New Roman" w:cs="Times New Roman"/>
          <w:lang w:val="ro-RO"/>
        </w:rPr>
      </w:pPr>
      <w:r w:rsidRPr="00A73566">
        <w:rPr>
          <w:rFonts w:ascii="Times New Roman" w:hAnsi="Times New Roman" w:cs="Times New Roman"/>
          <w:b/>
          <w:i/>
          <w:lang w:val="ro-RO"/>
        </w:rPr>
        <w:t xml:space="preserve">Programul </w:t>
      </w:r>
      <w:r w:rsidR="001D0EB0" w:rsidRPr="00A73566">
        <w:rPr>
          <w:rFonts w:ascii="Times New Roman" w:hAnsi="Times New Roman" w:cs="Times New Roman"/>
          <w:b/>
          <w:i/>
          <w:lang w:val="ro-RO"/>
        </w:rPr>
        <w:t>1</w:t>
      </w:r>
      <w:r w:rsidR="00771976" w:rsidRPr="00A73566">
        <w:rPr>
          <w:rFonts w:ascii="Times New Roman" w:hAnsi="Times New Roman" w:cs="Times New Roman"/>
          <w:b/>
          <w:i/>
          <w:lang w:val="ro-RO"/>
        </w:rPr>
        <w:t>5</w:t>
      </w:r>
      <w:r w:rsidR="001D0EB0" w:rsidRPr="00A73566">
        <w:rPr>
          <w:rFonts w:ascii="Times New Roman" w:hAnsi="Times New Roman" w:cs="Times New Roman"/>
          <w:b/>
          <w:i/>
          <w:lang w:val="ro-RO"/>
        </w:rPr>
        <w:t xml:space="preserve">. </w:t>
      </w:r>
      <w:r w:rsidRPr="00A73566">
        <w:rPr>
          <w:rFonts w:ascii="Times New Roman" w:hAnsi="Times New Roman" w:cs="Times New Roman"/>
          <w:b/>
          <w:i/>
          <w:lang w:val="ro-RO"/>
        </w:rPr>
        <w:t>Promovarea și dezvoltarea a învățământului agricol</w:t>
      </w:r>
      <w:r w:rsidRPr="00A73566">
        <w:rPr>
          <w:rFonts w:ascii="Times New Roman" w:hAnsi="Times New Roman" w:cs="Times New Roman"/>
          <w:i/>
          <w:lang w:val="ro-RO"/>
        </w:rPr>
        <w:t xml:space="preserve"> </w:t>
      </w:r>
      <w:r w:rsidRPr="00A73566">
        <w:rPr>
          <w:rFonts w:ascii="Times New Roman" w:hAnsi="Times New Roman" w:cs="Times New Roman"/>
          <w:lang w:val="ro-RO"/>
        </w:rPr>
        <w:t>va asigura modernizarea educației în mediul rural, creșterea atractivității învățământului agricol, precum și inițierea parteneriatelor între instituțiile de învățământ și mediul economic.</w:t>
      </w:r>
    </w:p>
    <w:p w14:paraId="5AE208B1" w14:textId="6CFEFE29" w:rsidR="00A2387D" w:rsidRPr="00A73566" w:rsidRDefault="00A2387D" w:rsidP="00A2387D">
      <w:pPr>
        <w:spacing w:after="160" w:line="259" w:lineRule="auto"/>
        <w:jc w:val="left"/>
        <w:rPr>
          <w:rFonts w:ascii="Times New Roman" w:hAnsi="Times New Roman" w:cs="Times New Roman"/>
          <w:b/>
          <w:bCs/>
          <w:i/>
          <w:iCs/>
          <w:lang w:val="ro-RO"/>
        </w:rPr>
      </w:pPr>
      <w:r w:rsidRPr="00A73566">
        <w:rPr>
          <w:rFonts w:ascii="Times New Roman" w:hAnsi="Times New Roman" w:cs="Times New Roman"/>
          <w:b/>
          <w:bCs/>
          <w:i/>
          <w:iCs/>
          <w:lang w:val="ro-RO"/>
        </w:rPr>
        <w:t>Programul 1</w:t>
      </w:r>
      <w:r w:rsidR="00771976" w:rsidRPr="00A73566">
        <w:rPr>
          <w:rFonts w:ascii="Times New Roman" w:hAnsi="Times New Roman" w:cs="Times New Roman"/>
          <w:b/>
          <w:bCs/>
          <w:i/>
          <w:iCs/>
          <w:lang w:val="ro-RO"/>
        </w:rPr>
        <w:t>6</w:t>
      </w:r>
      <w:r w:rsidRPr="00A73566">
        <w:rPr>
          <w:rFonts w:ascii="Times New Roman" w:hAnsi="Times New Roman" w:cs="Times New Roman"/>
          <w:b/>
          <w:bCs/>
          <w:i/>
          <w:iCs/>
          <w:lang w:val="ro-RO"/>
        </w:rPr>
        <w:t xml:space="preserve">. Programului național pentru digitalizarea si automatizarea proceselor agroindustriale </w:t>
      </w:r>
      <w:r w:rsidRPr="00A73566">
        <w:rPr>
          <w:rFonts w:ascii="Times New Roman" w:hAnsi="Times New Roman" w:cs="Times New Roman"/>
          <w:lang w:val="ro-RO"/>
        </w:rPr>
        <w:t>are ca scop facilitarea implementării și dezvoltării rapida a tehnologiilor informaționale in sectorul agroindustrial al Republicii Moldova.</w:t>
      </w:r>
    </w:p>
    <w:p w14:paraId="077276A7" w14:textId="756CB6AA" w:rsidR="00C52C53" w:rsidRPr="00A73566" w:rsidRDefault="00C52C53" w:rsidP="00C52C53">
      <w:pPr>
        <w:spacing w:after="0"/>
        <w:rPr>
          <w:rFonts w:ascii="Times New Roman" w:hAnsi="Times New Roman" w:cs="Times New Roman"/>
          <w:lang w:val="ro-RO"/>
        </w:rPr>
      </w:pPr>
      <w:r w:rsidRPr="00A73566">
        <w:rPr>
          <w:rFonts w:ascii="Times New Roman" w:hAnsi="Times New Roman" w:cs="Times New Roman"/>
          <w:b/>
          <w:bCs/>
          <w:i/>
          <w:iCs/>
          <w:lang w:val="ro-RO"/>
        </w:rPr>
        <w:t xml:space="preserve">Programul </w:t>
      </w:r>
      <w:r w:rsidR="001D0EB0" w:rsidRPr="00A73566">
        <w:rPr>
          <w:rFonts w:ascii="Times New Roman" w:hAnsi="Times New Roman" w:cs="Times New Roman"/>
          <w:b/>
          <w:bCs/>
          <w:i/>
          <w:iCs/>
          <w:lang w:val="ro-RO"/>
        </w:rPr>
        <w:t>1</w:t>
      </w:r>
      <w:r w:rsidR="00771976" w:rsidRPr="00A73566">
        <w:rPr>
          <w:rFonts w:ascii="Times New Roman" w:hAnsi="Times New Roman" w:cs="Times New Roman"/>
          <w:b/>
          <w:bCs/>
          <w:i/>
          <w:iCs/>
          <w:lang w:val="ro-RO"/>
        </w:rPr>
        <w:t>7</w:t>
      </w:r>
      <w:r w:rsidR="001D0EB0" w:rsidRPr="00A73566">
        <w:rPr>
          <w:rFonts w:ascii="Times New Roman" w:hAnsi="Times New Roman" w:cs="Times New Roman"/>
          <w:b/>
          <w:bCs/>
          <w:i/>
          <w:iCs/>
          <w:lang w:val="ro-RO"/>
        </w:rPr>
        <w:t xml:space="preserve">. </w:t>
      </w:r>
      <w:r w:rsidR="003853EA" w:rsidRPr="00A73566">
        <w:rPr>
          <w:rFonts w:ascii="Times New Roman" w:hAnsi="Times New Roman" w:cs="Times New Roman"/>
          <w:b/>
          <w:bCs/>
          <w:i/>
          <w:iCs/>
          <w:lang w:val="ro-RO"/>
        </w:rPr>
        <w:t xml:space="preserve">Programul de </w:t>
      </w:r>
      <w:r w:rsidRPr="00A73566">
        <w:rPr>
          <w:rFonts w:ascii="Times New Roman" w:hAnsi="Times New Roman" w:cs="Times New Roman"/>
          <w:b/>
          <w:bCs/>
          <w:i/>
          <w:iCs/>
          <w:lang w:val="ro-RO"/>
        </w:rPr>
        <w:t>dezvoltare rurală</w:t>
      </w:r>
      <w:r w:rsidR="006655CD" w:rsidRPr="00A73566">
        <w:rPr>
          <w:rFonts w:ascii="Times New Roman" w:hAnsi="Times New Roman" w:cs="Times New Roman"/>
          <w:b/>
          <w:bCs/>
          <w:i/>
          <w:iCs/>
          <w:lang w:val="ro-RO"/>
        </w:rPr>
        <w:t xml:space="preserve"> </w:t>
      </w:r>
      <w:r w:rsidRPr="00A73566">
        <w:rPr>
          <w:rFonts w:ascii="Times New Roman" w:hAnsi="Times New Roman" w:cs="Times New Roman"/>
          <w:lang w:val="ro-RO"/>
        </w:rPr>
        <w:t>va transpune obiectivele generale și specifice ale strategiei pentru a asigura o dezvoltare rurală echilibrată, vizând intervențiile legate de dezvoltarea locală, prin implicarea comunității și implementarea abordării LEADER.</w:t>
      </w:r>
    </w:p>
    <w:p w14:paraId="7B6D9FCC" w14:textId="77777777" w:rsidR="00AD4E5F" w:rsidRPr="00A73566" w:rsidRDefault="00AD4E5F" w:rsidP="00C52C53">
      <w:pPr>
        <w:spacing w:after="0"/>
        <w:rPr>
          <w:rFonts w:ascii="Times New Roman" w:hAnsi="Times New Roman" w:cs="Times New Roman"/>
          <w:lang w:val="ro-RO"/>
        </w:rPr>
      </w:pPr>
    </w:p>
    <w:p w14:paraId="0CF011FD" w14:textId="73748693" w:rsidR="00AD4E5F" w:rsidRPr="00A73566" w:rsidRDefault="00AD4E5F" w:rsidP="00C52C53">
      <w:pPr>
        <w:spacing w:after="0"/>
        <w:rPr>
          <w:rFonts w:ascii="Times New Roman" w:hAnsi="Times New Roman" w:cs="Times New Roman"/>
          <w:bCs/>
          <w:iCs/>
          <w:lang w:val="ro-RO"/>
        </w:rPr>
      </w:pPr>
      <w:r w:rsidRPr="00A73566">
        <w:rPr>
          <w:rFonts w:ascii="Times New Roman" w:hAnsi="Times New Roman" w:cs="Times New Roman"/>
          <w:b/>
          <w:bCs/>
          <w:i/>
          <w:iCs/>
          <w:lang w:val="ro-RO"/>
        </w:rPr>
        <w:t>Programul 18. Programul național de dezvoltare a sectorului vitivinicol</w:t>
      </w:r>
      <w:r w:rsidRPr="00A73566">
        <w:rPr>
          <w:rFonts w:ascii="Times New Roman" w:eastAsia="Calibri" w:hAnsi="Times New Roman" w:cs="Times New Roman"/>
          <w:sz w:val="28"/>
          <w:lang w:val="ro-RO"/>
        </w:rPr>
        <w:t xml:space="preserve"> </w:t>
      </w:r>
      <w:r w:rsidRPr="00A73566">
        <w:rPr>
          <w:rFonts w:ascii="Times New Roman" w:hAnsi="Times New Roman" w:cs="Times New Roman"/>
          <w:bCs/>
          <w:iCs/>
          <w:lang w:val="ro-RO"/>
        </w:rPr>
        <w:t>va contribui la relansarea sectorului pe plan internațional, va spori valoare sectorului vitivinicol prin trecerea la un model internațional condus de piață prin reducerea ofertei excesive; va contribui la dezvoltarea sustenabilă a sectorului vitivinicol și optimizarea componentelor acestuia; va crea un mediu favorabil pentru diversificarea în continuare a piețelor de desfacere pentru produsele sectorului vitivinicol și plasarea acestora pe un segment mai superior de prețuri de comercializare; va crea condiții favorabile pentru dezvoltarea echilibrată a tuturor categoriilor de întreprinderi vitivinicole și pentru cooperarea producătorilor mici.</w:t>
      </w:r>
    </w:p>
    <w:p w14:paraId="7697C056" w14:textId="77777777" w:rsidR="001D0EB0" w:rsidRPr="00A73566" w:rsidRDefault="001D0EB0" w:rsidP="00C52C53">
      <w:pPr>
        <w:spacing w:after="0"/>
        <w:rPr>
          <w:rFonts w:ascii="Times New Roman" w:hAnsi="Times New Roman" w:cs="Times New Roman"/>
          <w:lang w:val="ro-RO"/>
        </w:rPr>
      </w:pPr>
    </w:p>
    <w:p w14:paraId="5D47D73C" w14:textId="794AA745" w:rsidR="00401C15" w:rsidRPr="00A73566" w:rsidRDefault="00401C15" w:rsidP="00264E9E">
      <w:pPr>
        <w:pStyle w:val="Heading1"/>
        <w:spacing w:after="360"/>
        <w:rPr>
          <w:rFonts w:ascii="Times New Roman" w:hAnsi="Times New Roman" w:cs="Times New Roman"/>
          <w:lang w:val="ro-RO"/>
        </w:rPr>
      </w:pPr>
      <w:bookmarkStart w:id="129" w:name="_Toc86496362"/>
      <w:bookmarkStart w:id="130" w:name="_Toc88132125"/>
      <w:r w:rsidRPr="00A73566">
        <w:rPr>
          <w:rFonts w:ascii="Times New Roman" w:hAnsi="Times New Roman" w:cs="Times New Roman"/>
          <w:lang w:val="ro-RO"/>
        </w:rPr>
        <w:t>Impact</w:t>
      </w:r>
      <w:bookmarkEnd w:id="129"/>
      <w:bookmarkEnd w:id="130"/>
    </w:p>
    <w:p w14:paraId="2CE76195" w14:textId="41245392" w:rsidR="005D330A" w:rsidRPr="00A73566" w:rsidRDefault="005D330A" w:rsidP="00A45DFD">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În calitate de Document de politici publice pe termen lung, SNDAR 2027, în mod evident, va avea </w:t>
      </w:r>
      <w:r w:rsidR="00406237" w:rsidRPr="00A73566">
        <w:rPr>
          <w:rFonts w:ascii="Times New Roman" w:hAnsi="Times New Roman" w:cs="Times New Roman"/>
          <w:sz w:val="24"/>
          <w:szCs w:val="24"/>
          <w:lang w:val="ro-RO"/>
        </w:rPr>
        <w:t xml:space="preserve">mai multe categorii de </w:t>
      </w:r>
      <w:r w:rsidRPr="00A73566">
        <w:rPr>
          <w:rFonts w:ascii="Times New Roman" w:hAnsi="Times New Roman" w:cs="Times New Roman"/>
          <w:sz w:val="24"/>
          <w:szCs w:val="24"/>
          <w:lang w:val="ro-RO"/>
        </w:rPr>
        <w:t>impact</w:t>
      </w:r>
      <w:r w:rsidR="00406237"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w:t>
      </w:r>
    </w:p>
    <w:p w14:paraId="43976B91" w14:textId="77777777" w:rsidR="005D330A" w:rsidRPr="00A73566" w:rsidRDefault="005D330A" w:rsidP="005D330A">
      <w:pPr>
        <w:pStyle w:val="Focus"/>
        <w:rPr>
          <w:rFonts w:ascii="Times New Roman" w:hAnsi="Times New Roman" w:cs="Times New Roman"/>
          <w:lang w:val="ro-RO"/>
        </w:rPr>
      </w:pPr>
      <w:r w:rsidRPr="00A73566">
        <w:rPr>
          <w:rFonts w:ascii="Times New Roman" w:hAnsi="Times New Roman" w:cs="Times New Roman"/>
          <w:lang w:val="ro-RO"/>
        </w:rPr>
        <w:t xml:space="preserve">Impactul economic </w:t>
      </w:r>
    </w:p>
    <w:p w14:paraId="23067CBC" w14:textId="77777777" w:rsidR="005D330A" w:rsidRPr="00A73566" w:rsidRDefault="005D330A" w:rsidP="00A45DFD">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sz w:val="24"/>
          <w:szCs w:val="24"/>
          <w:lang w:val="ro-RO"/>
        </w:rPr>
        <w:t xml:space="preserve">Impactului economic, se referă la atingerea indicatorilor stabiliți în SND 2027 pentru Ob1 - </w:t>
      </w:r>
      <w:r w:rsidRPr="00A73566">
        <w:rPr>
          <w:rFonts w:ascii="Times New Roman" w:hAnsi="Times New Roman" w:cs="Times New Roman"/>
          <w:color w:val="000000" w:themeColor="text1"/>
          <w:sz w:val="24"/>
          <w:szCs w:val="24"/>
          <w:lang w:val="ro-RO"/>
        </w:rPr>
        <w:t xml:space="preserve">Creșterea veniturilor din surse durabile și atenuarea inegalităților economice. </w:t>
      </w:r>
    </w:p>
    <w:p w14:paraId="0B03261F" w14:textId="63A3C52A"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 xml:space="preserve">În ipoteza depășirii COVID-19 și reluării proceselor economice globale din perioada pre-pandemică, în perioada 2022 – 2027 se poate anticipa o recuperare destul de rapidă a economiei, urmată de o creștere </w:t>
      </w:r>
      <w:r w:rsidR="00B2792D" w:rsidRPr="00A73566">
        <w:rPr>
          <w:rFonts w:ascii="Times New Roman" w:hAnsi="Times New Roman" w:cs="Times New Roman"/>
          <w:color w:val="000000" w:themeColor="text1"/>
          <w:sz w:val="24"/>
          <w:szCs w:val="24"/>
          <w:lang w:val="ro-RO"/>
        </w:rPr>
        <w:t>a</w:t>
      </w:r>
      <w:r w:rsidR="009F390E" w:rsidRPr="00A73566">
        <w:rPr>
          <w:rFonts w:ascii="Times New Roman" w:hAnsi="Times New Roman" w:cs="Times New Roman"/>
          <w:color w:val="000000" w:themeColor="text1"/>
          <w:sz w:val="24"/>
          <w:szCs w:val="24"/>
          <w:lang w:val="ro-RO"/>
        </w:rPr>
        <w:t>nual</w:t>
      </w:r>
      <w:r w:rsidRPr="00A73566">
        <w:rPr>
          <w:rFonts w:ascii="Times New Roman" w:hAnsi="Times New Roman" w:cs="Times New Roman"/>
          <w:color w:val="000000" w:themeColor="text1"/>
          <w:sz w:val="24"/>
          <w:szCs w:val="24"/>
          <w:lang w:val="ro-RO"/>
        </w:rPr>
        <w:t xml:space="preserve">ă  cu </w:t>
      </w:r>
      <w:r w:rsidR="00B24158" w:rsidRPr="00A73566">
        <w:rPr>
          <w:rFonts w:ascii="Times New Roman" w:hAnsi="Times New Roman" w:cs="Times New Roman"/>
          <w:color w:val="000000" w:themeColor="text1"/>
          <w:sz w:val="24"/>
          <w:szCs w:val="24"/>
          <w:lang w:val="ro-RO"/>
        </w:rPr>
        <w:t>4</w:t>
      </w:r>
      <w:r w:rsidRPr="00A73566">
        <w:rPr>
          <w:rFonts w:ascii="Times New Roman" w:hAnsi="Times New Roman" w:cs="Times New Roman"/>
          <w:color w:val="000000" w:themeColor="text1"/>
          <w:sz w:val="24"/>
          <w:szCs w:val="24"/>
          <w:lang w:val="ro-RO"/>
        </w:rPr>
        <w:t>-</w:t>
      </w:r>
      <w:r w:rsidR="00101D1D" w:rsidRPr="00A73566">
        <w:rPr>
          <w:rFonts w:ascii="Times New Roman" w:hAnsi="Times New Roman" w:cs="Times New Roman"/>
          <w:color w:val="000000" w:themeColor="text1"/>
          <w:sz w:val="24"/>
          <w:szCs w:val="24"/>
          <w:lang w:val="ro-RO"/>
        </w:rPr>
        <w:t>4.2</w:t>
      </w:r>
      <w:r w:rsidRPr="00A73566">
        <w:rPr>
          <w:rFonts w:ascii="Times New Roman" w:hAnsi="Times New Roman" w:cs="Times New Roman"/>
          <w:color w:val="000000" w:themeColor="text1"/>
          <w:sz w:val="24"/>
          <w:szCs w:val="24"/>
          <w:lang w:val="ro-RO"/>
        </w:rPr>
        <w:t xml:space="preserve">% . </w:t>
      </w:r>
      <w:r w:rsidR="001D29FD" w:rsidRPr="00A73566">
        <w:rPr>
          <w:rFonts w:ascii="Times New Roman" w:hAnsi="Times New Roman" w:cs="Times New Roman"/>
          <w:color w:val="000000" w:themeColor="text1"/>
          <w:sz w:val="24"/>
          <w:szCs w:val="24"/>
          <w:lang w:val="ro-RO"/>
        </w:rPr>
        <w:t>Investițiile</w:t>
      </w:r>
      <w:r w:rsidRPr="00A73566">
        <w:rPr>
          <w:rFonts w:ascii="Times New Roman" w:hAnsi="Times New Roman" w:cs="Times New Roman"/>
          <w:color w:val="000000" w:themeColor="text1"/>
          <w:sz w:val="24"/>
          <w:szCs w:val="24"/>
          <w:lang w:val="ro-RO"/>
        </w:rPr>
        <w:t xml:space="preserve"> publice în sectorul agricol urmează să continue tendința istorică și să înregistreze creșteri constante</w:t>
      </w:r>
      <w:r w:rsidR="00101D1D" w:rsidRPr="00A73566">
        <w:rPr>
          <w:rFonts w:ascii="Times New Roman" w:hAnsi="Times New Roman" w:cs="Times New Roman"/>
          <w:color w:val="000000" w:themeColor="text1"/>
          <w:sz w:val="24"/>
          <w:szCs w:val="24"/>
          <w:lang w:val="ro-RO"/>
        </w:rPr>
        <w:t xml:space="preserve"> de peste </w:t>
      </w:r>
      <w:r w:rsidRPr="00A73566">
        <w:rPr>
          <w:rFonts w:ascii="Times New Roman" w:hAnsi="Times New Roman" w:cs="Times New Roman"/>
          <w:color w:val="000000" w:themeColor="text1"/>
          <w:sz w:val="24"/>
          <w:szCs w:val="24"/>
          <w:lang w:val="ro-RO"/>
        </w:rPr>
        <w:t>nivelul de 3 mld MDL anual către 2027. În același timp, în urma elimin</w:t>
      </w:r>
      <w:r w:rsidR="00DB400E" w:rsidRPr="00A73566">
        <w:rPr>
          <w:rFonts w:ascii="Times New Roman" w:hAnsi="Times New Roman" w:cs="Times New Roman"/>
          <w:color w:val="000000" w:themeColor="text1"/>
          <w:sz w:val="24"/>
          <w:szCs w:val="24"/>
          <w:lang w:val="ro-RO"/>
        </w:rPr>
        <w:t>ării</w:t>
      </w:r>
      <w:r w:rsidRPr="00A73566">
        <w:rPr>
          <w:rFonts w:ascii="Times New Roman" w:hAnsi="Times New Roman" w:cs="Times New Roman"/>
          <w:color w:val="000000" w:themeColor="text1"/>
          <w:sz w:val="24"/>
          <w:szCs w:val="24"/>
          <w:lang w:val="ro-RO"/>
        </w:rPr>
        <w:t xml:space="preserve"> barierelor birocratice, creșterii valorii adăugate în agricultură și a productivității muncii, ponderea investițiilor private în totalul investițiilor în agricultură urmează să crească la cca. 13 mld MDL către 2027, </w:t>
      </w:r>
      <w:r w:rsidR="00DB400E" w:rsidRPr="00A73566">
        <w:rPr>
          <w:rFonts w:ascii="Times New Roman" w:hAnsi="Times New Roman" w:cs="Times New Roman"/>
          <w:color w:val="000000" w:themeColor="text1"/>
          <w:sz w:val="24"/>
          <w:szCs w:val="24"/>
          <w:lang w:val="ro-RO"/>
        </w:rPr>
        <w:t>adică</w:t>
      </w:r>
      <w:r w:rsidRPr="00A73566">
        <w:rPr>
          <w:rFonts w:ascii="Times New Roman" w:hAnsi="Times New Roman" w:cs="Times New Roman"/>
          <w:color w:val="000000" w:themeColor="text1"/>
          <w:sz w:val="24"/>
          <w:szCs w:val="24"/>
          <w:lang w:val="ro-RO"/>
        </w:rPr>
        <w:t xml:space="preserve"> valoarea totală a investițiilor în sectorul agricol va constitui cca. 4.63% din PIB față de 1.66% în 2020. </w:t>
      </w:r>
    </w:p>
    <w:p w14:paraId="12DA33DA" w14:textId="77777777" w:rsidR="005D330A" w:rsidRPr="00A73566" w:rsidRDefault="005D330A" w:rsidP="005D330A">
      <w:pPr>
        <w:pStyle w:val="Focus"/>
        <w:rPr>
          <w:rFonts w:ascii="Times New Roman" w:hAnsi="Times New Roman" w:cs="Times New Roman"/>
          <w:lang w:val="ro-RO"/>
        </w:rPr>
      </w:pPr>
      <w:r w:rsidRPr="00A73566">
        <w:rPr>
          <w:rFonts w:ascii="Times New Roman" w:hAnsi="Times New Roman" w:cs="Times New Roman"/>
          <w:lang w:val="ro-RO"/>
        </w:rPr>
        <w:t>Impactul Social</w:t>
      </w:r>
    </w:p>
    <w:p w14:paraId="5803FBB3" w14:textId="77777777"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 xml:space="preserve">Impactul social implică facilitarea atingerii indicatorilor de impact specifici obiectivelor prevăzute de SND 2030 în domeniul dat și anume cele ce ține de creșterea accesului populației din mediul rural la infrastructura fizică și utilitățile publice. </w:t>
      </w:r>
    </w:p>
    <w:p w14:paraId="2BDBE323" w14:textId="716FA8B3"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 xml:space="preserve">Creșterea investițiilor în sectorul agricol și în infrastructura rurală </w:t>
      </w:r>
      <w:r w:rsidR="002E5BA2">
        <w:rPr>
          <w:rFonts w:ascii="Times New Roman" w:hAnsi="Times New Roman" w:cs="Times New Roman"/>
          <w:color w:val="000000" w:themeColor="text1"/>
          <w:sz w:val="24"/>
          <w:szCs w:val="24"/>
          <w:lang w:val="ro-RO"/>
        </w:rPr>
        <w:t>mă</w:t>
      </w:r>
      <w:r w:rsidR="00DB400E" w:rsidRPr="00A73566">
        <w:rPr>
          <w:rFonts w:ascii="Times New Roman" w:hAnsi="Times New Roman" w:cs="Times New Roman"/>
          <w:color w:val="000000" w:themeColor="text1"/>
          <w:sz w:val="24"/>
          <w:szCs w:val="24"/>
          <w:lang w:val="ro-RO"/>
        </w:rPr>
        <w:t>rirea</w:t>
      </w:r>
      <w:r w:rsidRPr="00A73566">
        <w:rPr>
          <w:rFonts w:ascii="Times New Roman" w:hAnsi="Times New Roman" w:cs="Times New Roman"/>
          <w:color w:val="000000" w:themeColor="text1"/>
          <w:sz w:val="24"/>
          <w:szCs w:val="24"/>
          <w:lang w:val="ro-RO"/>
        </w:rPr>
        <w:t xml:space="preserve"> salari</w:t>
      </w:r>
      <w:r w:rsidR="00DB400E" w:rsidRPr="00A73566">
        <w:rPr>
          <w:rFonts w:ascii="Times New Roman" w:hAnsi="Times New Roman" w:cs="Times New Roman"/>
          <w:color w:val="000000" w:themeColor="text1"/>
          <w:sz w:val="24"/>
          <w:szCs w:val="24"/>
          <w:lang w:val="ro-RO"/>
        </w:rPr>
        <w:t>ului</w:t>
      </w:r>
      <w:r w:rsidRPr="00A73566">
        <w:rPr>
          <w:rFonts w:ascii="Times New Roman" w:hAnsi="Times New Roman" w:cs="Times New Roman"/>
          <w:color w:val="000000" w:themeColor="text1"/>
          <w:sz w:val="24"/>
          <w:szCs w:val="24"/>
          <w:lang w:val="ro-RO"/>
        </w:rPr>
        <w:t xml:space="preserve"> în sectorul agricol </w:t>
      </w:r>
      <w:r w:rsidR="00DB400E" w:rsidRPr="00A73566">
        <w:rPr>
          <w:rFonts w:ascii="Times New Roman" w:hAnsi="Times New Roman" w:cs="Times New Roman"/>
          <w:color w:val="000000" w:themeColor="text1"/>
          <w:sz w:val="24"/>
          <w:szCs w:val="24"/>
          <w:lang w:val="ro-RO"/>
        </w:rPr>
        <w:t xml:space="preserve">ca urmare a </w:t>
      </w:r>
      <w:r w:rsidRPr="00A73566">
        <w:rPr>
          <w:rFonts w:ascii="Times New Roman" w:hAnsi="Times New Roman" w:cs="Times New Roman"/>
          <w:color w:val="000000" w:themeColor="text1"/>
          <w:sz w:val="24"/>
          <w:szCs w:val="24"/>
          <w:lang w:val="ro-RO"/>
        </w:rPr>
        <w:t xml:space="preserve">creșterii productivității în agricultură urmează să diminueze exodul populației din mediul rural. </w:t>
      </w:r>
    </w:p>
    <w:p w14:paraId="2DA578C7" w14:textId="52D66E84"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O altă componentă importantă o reprezintă creșterea veniturilor populației rurale. Implementarea Strategiei va contribui la creșterea salarizării în mediul rural și</w:t>
      </w:r>
      <w:r w:rsidR="00DB400E" w:rsidRPr="00A73566">
        <w:rPr>
          <w:rFonts w:ascii="Times New Roman" w:hAnsi="Times New Roman" w:cs="Times New Roman"/>
          <w:color w:val="000000" w:themeColor="text1"/>
          <w:sz w:val="24"/>
          <w:szCs w:val="24"/>
          <w:lang w:val="ro-RO"/>
        </w:rPr>
        <w:t>,</w:t>
      </w:r>
      <w:r w:rsidRPr="00A73566">
        <w:rPr>
          <w:rFonts w:ascii="Times New Roman" w:hAnsi="Times New Roman" w:cs="Times New Roman"/>
          <w:color w:val="000000" w:themeColor="text1"/>
          <w:sz w:val="24"/>
          <w:szCs w:val="24"/>
          <w:lang w:val="ro-RO"/>
        </w:rPr>
        <w:t xml:space="preserve"> implicit</w:t>
      </w:r>
      <w:r w:rsidR="00DB400E" w:rsidRPr="00A73566">
        <w:rPr>
          <w:rFonts w:ascii="Times New Roman" w:hAnsi="Times New Roman" w:cs="Times New Roman"/>
          <w:color w:val="000000" w:themeColor="text1"/>
          <w:sz w:val="24"/>
          <w:szCs w:val="24"/>
          <w:lang w:val="ro-RO"/>
        </w:rPr>
        <w:t>,</w:t>
      </w:r>
      <w:r w:rsidRPr="00A73566">
        <w:rPr>
          <w:rFonts w:ascii="Times New Roman" w:hAnsi="Times New Roman" w:cs="Times New Roman"/>
          <w:color w:val="000000" w:themeColor="text1"/>
          <w:sz w:val="24"/>
          <w:szCs w:val="24"/>
          <w:lang w:val="ro-RO"/>
        </w:rPr>
        <w:t xml:space="preserve"> a veniturilor populației</w:t>
      </w:r>
      <w:r w:rsidR="00DB400E" w:rsidRPr="00A73566">
        <w:rPr>
          <w:rFonts w:ascii="Times New Roman" w:hAnsi="Times New Roman" w:cs="Times New Roman"/>
          <w:color w:val="000000" w:themeColor="text1"/>
          <w:sz w:val="24"/>
          <w:szCs w:val="24"/>
          <w:lang w:val="ro-RO"/>
        </w:rPr>
        <w:t>.</w:t>
      </w:r>
      <w:r w:rsidRPr="00A73566">
        <w:rPr>
          <w:rFonts w:ascii="Times New Roman" w:hAnsi="Times New Roman" w:cs="Times New Roman"/>
          <w:color w:val="000000" w:themeColor="text1"/>
          <w:sz w:val="24"/>
          <w:szCs w:val="24"/>
          <w:lang w:val="ro-RO"/>
        </w:rPr>
        <w:t xml:space="preserve"> Totodată, prin dezvoltarea sub-sectorului de procesare și a industriei alimentare este estimată scăderea ponderi angajării neformale în sectorul agricol. </w:t>
      </w:r>
    </w:p>
    <w:p w14:paraId="40173393" w14:textId="77777777" w:rsidR="005D330A" w:rsidRPr="00A73566" w:rsidRDefault="005D330A" w:rsidP="005D330A">
      <w:pPr>
        <w:pStyle w:val="Focus"/>
        <w:rPr>
          <w:rFonts w:ascii="Times New Roman" w:hAnsi="Times New Roman" w:cs="Times New Roman"/>
          <w:lang w:val="ro-RO"/>
        </w:rPr>
      </w:pPr>
      <w:r w:rsidRPr="00A73566">
        <w:rPr>
          <w:rFonts w:ascii="Times New Roman" w:hAnsi="Times New Roman" w:cs="Times New Roman"/>
          <w:lang w:val="ro-RO"/>
        </w:rPr>
        <w:t xml:space="preserve">Impactul de mediu </w:t>
      </w:r>
    </w:p>
    <w:p w14:paraId="55225A9A" w14:textId="49FF80DC"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SNDAR 2027 va facilita dezvoltarea agriculturii cu impact redus asupra  mediului</w:t>
      </w:r>
      <w:r w:rsidR="00D93D42" w:rsidRPr="00A73566">
        <w:rPr>
          <w:rFonts w:ascii="Times New Roman" w:hAnsi="Times New Roman" w:cs="Times New Roman"/>
          <w:color w:val="000000" w:themeColor="text1"/>
          <w:sz w:val="24"/>
          <w:szCs w:val="24"/>
          <w:lang w:val="ro-RO"/>
        </w:rPr>
        <w:t xml:space="preserve"> și</w:t>
      </w:r>
      <w:r w:rsidRPr="00A73566">
        <w:rPr>
          <w:rFonts w:ascii="Times New Roman" w:hAnsi="Times New Roman" w:cs="Times New Roman"/>
          <w:color w:val="000000" w:themeColor="text1"/>
          <w:sz w:val="24"/>
          <w:szCs w:val="24"/>
          <w:lang w:val="ro-RO"/>
        </w:rPr>
        <w:t xml:space="preserve"> creșterea indicatorilor </w:t>
      </w:r>
      <w:r w:rsidR="00D93D42" w:rsidRPr="00A73566">
        <w:rPr>
          <w:rFonts w:ascii="Times New Roman" w:hAnsi="Times New Roman" w:cs="Times New Roman"/>
          <w:color w:val="000000" w:themeColor="text1"/>
          <w:sz w:val="24"/>
          <w:szCs w:val="24"/>
          <w:lang w:val="ro-RO"/>
        </w:rPr>
        <w:t xml:space="preserve">de </w:t>
      </w:r>
      <w:r w:rsidRPr="00A73566">
        <w:rPr>
          <w:rFonts w:ascii="Times New Roman" w:hAnsi="Times New Roman" w:cs="Times New Roman"/>
          <w:color w:val="000000" w:themeColor="text1"/>
          <w:sz w:val="24"/>
          <w:szCs w:val="24"/>
          <w:lang w:val="ro-RO"/>
        </w:rPr>
        <w:t>dezvoltare</w:t>
      </w:r>
      <w:r w:rsidR="00D93D42" w:rsidRPr="00A73566">
        <w:rPr>
          <w:rFonts w:ascii="Times New Roman" w:hAnsi="Times New Roman" w:cs="Times New Roman"/>
          <w:color w:val="000000" w:themeColor="text1"/>
          <w:sz w:val="24"/>
          <w:szCs w:val="24"/>
          <w:lang w:val="ro-RO"/>
        </w:rPr>
        <w:t xml:space="preserve"> </w:t>
      </w:r>
      <w:r w:rsidRPr="00A73566">
        <w:rPr>
          <w:rFonts w:ascii="Times New Roman" w:hAnsi="Times New Roman" w:cs="Times New Roman"/>
          <w:color w:val="000000" w:themeColor="text1"/>
          <w:sz w:val="24"/>
          <w:szCs w:val="24"/>
          <w:lang w:val="ro-RO"/>
        </w:rPr>
        <w:t>a agriculturii ecologice, contribui</w:t>
      </w:r>
      <w:r w:rsidR="00D93D42" w:rsidRPr="00A73566">
        <w:rPr>
          <w:rFonts w:ascii="Times New Roman" w:hAnsi="Times New Roman" w:cs="Times New Roman"/>
          <w:color w:val="000000" w:themeColor="text1"/>
          <w:sz w:val="24"/>
          <w:szCs w:val="24"/>
          <w:lang w:val="ro-RO"/>
        </w:rPr>
        <w:t>nd astfel</w:t>
      </w:r>
      <w:r w:rsidRPr="00A73566">
        <w:rPr>
          <w:rFonts w:ascii="Times New Roman" w:hAnsi="Times New Roman" w:cs="Times New Roman"/>
          <w:color w:val="000000" w:themeColor="text1"/>
          <w:sz w:val="24"/>
          <w:szCs w:val="24"/>
          <w:lang w:val="ro-RO"/>
        </w:rPr>
        <w:t xml:space="preserve"> la atingerea Ob10 din SND 2030 - Asigurarea dreptului fundamental la un mediu sănătos și sigur. </w:t>
      </w:r>
    </w:p>
    <w:p w14:paraId="159406FA" w14:textId="77777777" w:rsidR="0082182E"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 xml:space="preserve">Diminuarea degradării solului prin implementarea practicilor agro-tehnologice adecvate de restabilirea a biotei </w:t>
      </w:r>
      <w:r w:rsidR="00462D9E" w:rsidRPr="00A73566">
        <w:rPr>
          <w:rFonts w:ascii="Times New Roman" w:hAnsi="Times New Roman" w:cs="Times New Roman"/>
          <w:color w:val="000000" w:themeColor="text1"/>
          <w:sz w:val="24"/>
          <w:szCs w:val="24"/>
          <w:lang w:val="ro-RO"/>
        </w:rPr>
        <w:t>î</w:t>
      </w:r>
      <w:r w:rsidRPr="00A73566">
        <w:rPr>
          <w:rFonts w:ascii="Times New Roman" w:hAnsi="Times New Roman" w:cs="Times New Roman"/>
          <w:color w:val="000000" w:themeColor="text1"/>
          <w:sz w:val="24"/>
          <w:szCs w:val="24"/>
          <w:lang w:val="ro-RO"/>
        </w:rPr>
        <w:t xml:space="preserve">n sol, implementarea tehnologiilor conservative de lucrare a solului, reducerea efectelor schimbărilor climaterice prin sporirea biodiversității culturilor, implementarea tehnologiilor de producere prietenoase mediului, restabilirea fâșiilor de protecție </w:t>
      </w:r>
      <w:r w:rsidR="00D93D42" w:rsidRPr="00A73566">
        <w:rPr>
          <w:rFonts w:ascii="Times New Roman" w:hAnsi="Times New Roman" w:cs="Times New Roman"/>
          <w:color w:val="000000" w:themeColor="text1"/>
          <w:sz w:val="24"/>
          <w:szCs w:val="24"/>
          <w:lang w:val="ro-RO"/>
        </w:rPr>
        <w:t>î</w:t>
      </w:r>
      <w:r w:rsidRPr="00A73566">
        <w:rPr>
          <w:rFonts w:ascii="Times New Roman" w:hAnsi="Times New Roman" w:cs="Times New Roman"/>
          <w:color w:val="000000" w:themeColor="text1"/>
          <w:sz w:val="24"/>
          <w:szCs w:val="24"/>
          <w:lang w:val="ro-RO"/>
        </w:rPr>
        <w:t xml:space="preserve">n cadrul exploatațiilor agricole rămân a fi momentele cheie </w:t>
      </w:r>
      <w:r w:rsidR="00D93D42" w:rsidRPr="00A73566">
        <w:rPr>
          <w:rFonts w:ascii="Times New Roman" w:hAnsi="Times New Roman" w:cs="Times New Roman"/>
          <w:color w:val="000000" w:themeColor="text1"/>
          <w:sz w:val="24"/>
          <w:szCs w:val="24"/>
          <w:lang w:val="ro-RO"/>
        </w:rPr>
        <w:t>î</w:t>
      </w:r>
      <w:r w:rsidRPr="00A73566">
        <w:rPr>
          <w:rFonts w:ascii="Times New Roman" w:hAnsi="Times New Roman" w:cs="Times New Roman"/>
          <w:color w:val="000000" w:themeColor="text1"/>
          <w:sz w:val="24"/>
          <w:szCs w:val="24"/>
          <w:lang w:val="ro-RO"/>
        </w:rPr>
        <w:t xml:space="preserve">n asigurarea impactului de mediu asupra dezvoltării sectorului agricol. </w:t>
      </w:r>
    </w:p>
    <w:p w14:paraId="2B00E374" w14:textId="6ADC622F" w:rsidR="005D330A" w:rsidRPr="00A73566" w:rsidRDefault="00D93D42"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Î</w:t>
      </w:r>
      <w:r w:rsidR="005D330A" w:rsidRPr="00A73566">
        <w:rPr>
          <w:rFonts w:ascii="Times New Roman" w:hAnsi="Times New Roman" w:cs="Times New Roman"/>
          <w:color w:val="000000" w:themeColor="text1"/>
          <w:sz w:val="24"/>
          <w:szCs w:val="24"/>
          <w:lang w:val="ro-RO"/>
        </w:rPr>
        <w:t>n acest sens</w:t>
      </w:r>
      <w:r w:rsidRPr="00A73566">
        <w:rPr>
          <w:rFonts w:ascii="Times New Roman" w:hAnsi="Times New Roman" w:cs="Times New Roman"/>
          <w:color w:val="000000" w:themeColor="text1"/>
          <w:sz w:val="24"/>
          <w:szCs w:val="24"/>
          <w:lang w:val="ro-RO"/>
        </w:rPr>
        <w:t>,</w:t>
      </w:r>
      <w:r w:rsidR="005D330A" w:rsidRPr="00A73566">
        <w:rPr>
          <w:rFonts w:ascii="Times New Roman" w:hAnsi="Times New Roman" w:cs="Times New Roman"/>
          <w:color w:val="000000" w:themeColor="text1"/>
          <w:sz w:val="24"/>
          <w:szCs w:val="24"/>
          <w:lang w:val="ro-RO"/>
        </w:rPr>
        <w:t xml:space="preserve"> investițiile publice urmează s</w:t>
      </w:r>
      <w:r w:rsidRPr="00A73566">
        <w:rPr>
          <w:rFonts w:ascii="Times New Roman" w:hAnsi="Times New Roman" w:cs="Times New Roman"/>
          <w:color w:val="000000" w:themeColor="text1"/>
          <w:sz w:val="24"/>
          <w:szCs w:val="24"/>
          <w:lang w:val="ro-RO"/>
        </w:rPr>
        <w:t>ă</w:t>
      </w:r>
      <w:r w:rsidR="005D330A" w:rsidRPr="00A73566">
        <w:rPr>
          <w:rFonts w:ascii="Times New Roman" w:hAnsi="Times New Roman" w:cs="Times New Roman"/>
          <w:color w:val="000000" w:themeColor="text1"/>
          <w:sz w:val="24"/>
          <w:szCs w:val="24"/>
          <w:lang w:val="ro-RO"/>
        </w:rPr>
        <w:t xml:space="preserve"> asigure reabilitarea fâșiilor de protecție dintre  exploatațiile agricole, </w:t>
      </w:r>
      <w:r w:rsidRPr="00A73566">
        <w:rPr>
          <w:rFonts w:ascii="Times New Roman" w:hAnsi="Times New Roman" w:cs="Times New Roman"/>
          <w:color w:val="000000" w:themeColor="text1"/>
          <w:sz w:val="24"/>
          <w:szCs w:val="24"/>
          <w:lang w:val="ro-RO"/>
        </w:rPr>
        <w:t>î</w:t>
      </w:r>
      <w:r w:rsidR="005D330A" w:rsidRPr="00A73566">
        <w:rPr>
          <w:rFonts w:ascii="Times New Roman" w:hAnsi="Times New Roman" w:cs="Times New Roman"/>
          <w:color w:val="000000" w:themeColor="text1"/>
          <w:sz w:val="24"/>
          <w:szCs w:val="24"/>
          <w:lang w:val="ro-RO"/>
        </w:rPr>
        <w:t xml:space="preserve">n special cu pomi de nuc. Prin aceasta se va asigura suportul tridimensional pentru sector: </w:t>
      </w:r>
      <w:r w:rsidRPr="00A73566">
        <w:rPr>
          <w:rFonts w:ascii="Times New Roman" w:hAnsi="Times New Roman" w:cs="Times New Roman"/>
          <w:color w:val="000000" w:themeColor="text1"/>
          <w:sz w:val="24"/>
          <w:szCs w:val="24"/>
          <w:lang w:val="ro-RO"/>
        </w:rPr>
        <w:t>r</w:t>
      </w:r>
      <w:r w:rsidR="005D330A" w:rsidRPr="00A73566">
        <w:rPr>
          <w:rFonts w:ascii="Times New Roman" w:hAnsi="Times New Roman" w:cs="Times New Roman"/>
          <w:color w:val="000000" w:themeColor="text1"/>
          <w:sz w:val="24"/>
          <w:szCs w:val="24"/>
          <w:lang w:val="ro-RO"/>
        </w:rPr>
        <w:t xml:space="preserve">educerea efectelor distrugătoare ale vântului, sporirea suprafețelor verzi, dar </w:t>
      </w:r>
      <w:r w:rsidRPr="00A73566">
        <w:rPr>
          <w:rFonts w:ascii="Times New Roman" w:hAnsi="Times New Roman" w:cs="Times New Roman"/>
          <w:color w:val="000000" w:themeColor="text1"/>
          <w:sz w:val="24"/>
          <w:szCs w:val="24"/>
          <w:lang w:val="ro-RO"/>
        </w:rPr>
        <w:t>ș</w:t>
      </w:r>
      <w:r w:rsidR="005D330A" w:rsidRPr="00A73566">
        <w:rPr>
          <w:rFonts w:ascii="Times New Roman" w:hAnsi="Times New Roman" w:cs="Times New Roman"/>
          <w:color w:val="000000" w:themeColor="text1"/>
          <w:sz w:val="24"/>
          <w:szCs w:val="24"/>
          <w:lang w:val="ro-RO"/>
        </w:rPr>
        <w:t xml:space="preserve">i efectul economic din creșterea culturii de nuc.    </w:t>
      </w:r>
    </w:p>
    <w:p w14:paraId="23C8EC7D" w14:textId="2472CCFC"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Un rol important în etapa următoare va fi atribuit dezvoltării agriculturii verzi care</w:t>
      </w:r>
      <w:r w:rsidR="00D93D42" w:rsidRPr="00A73566">
        <w:rPr>
          <w:rFonts w:ascii="Times New Roman" w:hAnsi="Times New Roman" w:cs="Times New Roman"/>
          <w:color w:val="000000" w:themeColor="text1"/>
          <w:sz w:val="24"/>
          <w:szCs w:val="24"/>
          <w:lang w:val="ro-RO"/>
        </w:rPr>
        <w:t xml:space="preserve">: </w:t>
      </w:r>
      <w:r w:rsidR="00130AB1" w:rsidRPr="00A73566">
        <w:rPr>
          <w:rFonts w:ascii="Times New Roman" w:hAnsi="Times New Roman" w:cs="Times New Roman"/>
          <w:color w:val="000000" w:themeColor="text1"/>
          <w:sz w:val="24"/>
          <w:szCs w:val="24"/>
          <w:lang w:val="ro-RO"/>
        </w:rPr>
        <w:t>a)</w:t>
      </w:r>
      <w:r w:rsidR="00D93D42" w:rsidRPr="00A73566">
        <w:rPr>
          <w:rFonts w:ascii="Times New Roman" w:hAnsi="Times New Roman" w:cs="Times New Roman"/>
          <w:color w:val="000000" w:themeColor="text1"/>
          <w:sz w:val="24"/>
          <w:szCs w:val="24"/>
          <w:lang w:val="ro-RO"/>
        </w:rPr>
        <w:t xml:space="preserve"> </w:t>
      </w:r>
      <w:r w:rsidR="00130AB1" w:rsidRPr="00A73566">
        <w:rPr>
          <w:rFonts w:ascii="Times New Roman" w:hAnsi="Times New Roman" w:cs="Times New Roman"/>
          <w:color w:val="000000" w:themeColor="text1"/>
          <w:sz w:val="24"/>
          <w:szCs w:val="24"/>
          <w:lang w:val="ro-RO"/>
        </w:rPr>
        <w:t xml:space="preserve">va </w:t>
      </w:r>
      <w:r w:rsidRPr="00A73566">
        <w:rPr>
          <w:rFonts w:ascii="Times New Roman" w:hAnsi="Times New Roman" w:cs="Times New Roman"/>
          <w:color w:val="000000" w:themeColor="text1"/>
          <w:sz w:val="24"/>
          <w:szCs w:val="24"/>
          <w:lang w:val="ro-RO"/>
        </w:rPr>
        <w:t>garanta securit</w:t>
      </w:r>
      <w:r w:rsidR="00D93D42" w:rsidRPr="00A73566">
        <w:rPr>
          <w:rFonts w:ascii="Times New Roman" w:hAnsi="Times New Roman" w:cs="Times New Roman"/>
          <w:color w:val="000000" w:themeColor="text1"/>
          <w:sz w:val="24"/>
          <w:szCs w:val="24"/>
          <w:lang w:val="ro-RO"/>
        </w:rPr>
        <w:t>atea</w:t>
      </w:r>
      <w:r w:rsidRPr="00A73566">
        <w:rPr>
          <w:rFonts w:ascii="Times New Roman" w:hAnsi="Times New Roman" w:cs="Times New Roman"/>
          <w:color w:val="000000" w:themeColor="text1"/>
          <w:sz w:val="24"/>
          <w:szCs w:val="24"/>
          <w:lang w:val="ro-RO"/>
        </w:rPr>
        <w:t xml:space="preserve"> alimentar</w:t>
      </w:r>
      <w:r w:rsidR="00D93D42" w:rsidRPr="00A73566">
        <w:rPr>
          <w:rFonts w:ascii="Times New Roman" w:hAnsi="Times New Roman" w:cs="Times New Roman"/>
          <w:color w:val="000000" w:themeColor="text1"/>
          <w:sz w:val="24"/>
          <w:szCs w:val="24"/>
          <w:lang w:val="ro-RO"/>
        </w:rPr>
        <w:t>ă</w:t>
      </w:r>
      <w:r w:rsidRPr="00A73566">
        <w:rPr>
          <w:rFonts w:ascii="Times New Roman" w:hAnsi="Times New Roman" w:cs="Times New Roman"/>
          <w:color w:val="000000" w:themeColor="text1"/>
          <w:sz w:val="24"/>
          <w:szCs w:val="24"/>
          <w:lang w:val="ro-RO"/>
        </w:rPr>
        <w:t xml:space="preserve"> în contextul schimbărilor climatice și al declinului biodiversității</w:t>
      </w:r>
      <w:r w:rsidR="0082182E">
        <w:rPr>
          <w:rFonts w:ascii="Times New Roman" w:hAnsi="Times New Roman" w:cs="Times New Roman"/>
          <w:color w:val="000000" w:themeColor="text1"/>
          <w:sz w:val="24"/>
          <w:szCs w:val="24"/>
          <w:lang w:val="ro-RO"/>
        </w:rPr>
        <w:t>;</w:t>
      </w:r>
      <w:r w:rsidR="00D93D42" w:rsidRPr="00A73566">
        <w:rPr>
          <w:rFonts w:ascii="Times New Roman" w:hAnsi="Times New Roman" w:cs="Times New Roman"/>
          <w:color w:val="000000" w:themeColor="text1"/>
          <w:sz w:val="24"/>
          <w:szCs w:val="24"/>
          <w:lang w:val="ro-RO"/>
        </w:rPr>
        <w:t xml:space="preserve"> </w:t>
      </w:r>
      <w:r w:rsidR="00130AB1" w:rsidRPr="00A73566">
        <w:rPr>
          <w:rFonts w:ascii="Times New Roman" w:hAnsi="Times New Roman" w:cs="Times New Roman"/>
          <w:color w:val="000000" w:themeColor="text1"/>
          <w:sz w:val="24"/>
          <w:szCs w:val="24"/>
          <w:lang w:val="ro-RO"/>
        </w:rPr>
        <w:t>b)</w:t>
      </w:r>
      <w:r w:rsidR="00D93D42" w:rsidRPr="00A73566">
        <w:rPr>
          <w:rFonts w:ascii="Times New Roman" w:hAnsi="Times New Roman" w:cs="Times New Roman"/>
          <w:color w:val="000000" w:themeColor="text1"/>
          <w:sz w:val="24"/>
          <w:szCs w:val="24"/>
          <w:lang w:val="ro-RO"/>
        </w:rPr>
        <w:t xml:space="preserve">va </w:t>
      </w:r>
      <w:r w:rsidRPr="00A73566">
        <w:rPr>
          <w:rFonts w:ascii="Times New Roman" w:hAnsi="Times New Roman" w:cs="Times New Roman"/>
          <w:color w:val="000000" w:themeColor="text1"/>
          <w:sz w:val="24"/>
          <w:szCs w:val="24"/>
          <w:lang w:val="ro-RO"/>
        </w:rPr>
        <w:t>reduce amprent</w:t>
      </w:r>
      <w:r w:rsidR="00D93D42" w:rsidRPr="00A73566">
        <w:rPr>
          <w:rFonts w:ascii="Times New Roman" w:hAnsi="Times New Roman" w:cs="Times New Roman"/>
          <w:color w:val="000000" w:themeColor="text1"/>
          <w:sz w:val="24"/>
          <w:szCs w:val="24"/>
          <w:lang w:val="ro-RO"/>
        </w:rPr>
        <w:t>a</w:t>
      </w:r>
      <w:r w:rsidRPr="00A73566">
        <w:rPr>
          <w:rFonts w:ascii="Times New Roman" w:hAnsi="Times New Roman" w:cs="Times New Roman"/>
          <w:color w:val="000000" w:themeColor="text1"/>
          <w:sz w:val="24"/>
          <w:szCs w:val="24"/>
          <w:lang w:val="ro-RO"/>
        </w:rPr>
        <w:t xml:space="preserve"> sistemului alimentar asupra mediului și a climei</w:t>
      </w:r>
      <w:r w:rsidR="0082182E">
        <w:rPr>
          <w:rFonts w:ascii="Times New Roman" w:hAnsi="Times New Roman" w:cs="Times New Roman"/>
          <w:color w:val="000000" w:themeColor="text1"/>
          <w:sz w:val="24"/>
          <w:szCs w:val="24"/>
          <w:lang w:val="ro-RO"/>
        </w:rPr>
        <w:t>;</w:t>
      </w:r>
      <w:r w:rsidR="00D93D42" w:rsidRPr="00A73566">
        <w:rPr>
          <w:rFonts w:ascii="Times New Roman" w:hAnsi="Times New Roman" w:cs="Times New Roman"/>
          <w:color w:val="000000" w:themeColor="text1"/>
          <w:sz w:val="24"/>
          <w:szCs w:val="24"/>
          <w:lang w:val="ro-RO"/>
        </w:rPr>
        <w:t xml:space="preserve"> </w:t>
      </w:r>
      <w:r w:rsidR="00130AB1" w:rsidRPr="00A73566">
        <w:rPr>
          <w:rFonts w:ascii="Times New Roman" w:hAnsi="Times New Roman" w:cs="Times New Roman"/>
          <w:color w:val="000000" w:themeColor="text1"/>
          <w:sz w:val="24"/>
          <w:szCs w:val="24"/>
          <w:lang w:val="ro-RO"/>
        </w:rPr>
        <w:t xml:space="preserve">c) </w:t>
      </w:r>
      <w:r w:rsidR="00D93D42" w:rsidRPr="00A73566">
        <w:rPr>
          <w:rFonts w:ascii="Times New Roman" w:hAnsi="Times New Roman" w:cs="Times New Roman"/>
          <w:color w:val="000000" w:themeColor="text1"/>
          <w:sz w:val="24"/>
          <w:szCs w:val="24"/>
          <w:lang w:val="ro-RO"/>
        </w:rPr>
        <w:t xml:space="preserve">va </w:t>
      </w:r>
      <w:r w:rsidRPr="00A73566">
        <w:rPr>
          <w:rFonts w:ascii="Times New Roman" w:hAnsi="Times New Roman" w:cs="Times New Roman"/>
          <w:color w:val="000000" w:themeColor="text1"/>
          <w:sz w:val="24"/>
          <w:szCs w:val="24"/>
          <w:lang w:val="ro-RO"/>
        </w:rPr>
        <w:t>consolida rezilienț</w:t>
      </w:r>
      <w:r w:rsidR="00D93D42" w:rsidRPr="00A73566">
        <w:rPr>
          <w:rFonts w:ascii="Times New Roman" w:hAnsi="Times New Roman" w:cs="Times New Roman"/>
          <w:color w:val="000000" w:themeColor="text1"/>
          <w:sz w:val="24"/>
          <w:szCs w:val="24"/>
          <w:lang w:val="ro-RO"/>
        </w:rPr>
        <w:t>a</w:t>
      </w:r>
      <w:r w:rsidRPr="00A73566">
        <w:rPr>
          <w:rFonts w:ascii="Times New Roman" w:hAnsi="Times New Roman" w:cs="Times New Roman"/>
          <w:color w:val="000000" w:themeColor="text1"/>
          <w:sz w:val="24"/>
          <w:szCs w:val="24"/>
          <w:lang w:val="ro-RO"/>
        </w:rPr>
        <w:t xml:space="preserve"> sistemului alimentar</w:t>
      </w:r>
      <w:r w:rsidR="00D93D42" w:rsidRPr="00A73566">
        <w:rPr>
          <w:rFonts w:ascii="Times New Roman" w:hAnsi="Times New Roman" w:cs="Times New Roman"/>
          <w:color w:val="000000" w:themeColor="text1"/>
          <w:sz w:val="24"/>
          <w:szCs w:val="24"/>
          <w:lang w:val="ro-RO"/>
        </w:rPr>
        <w:t xml:space="preserve"> și </w:t>
      </w:r>
      <w:r w:rsidR="00130AB1" w:rsidRPr="00A73566">
        <w:rPr>
          <w:rFonts w:ascii="Times New Roman" w:hAnsi="Times New Roman" w:cs="Times New Roman"/>
          <w:color w:val="000000" w:themeColor="text1"/>
          <w:sz w:val="24"/>
          <w:szCs w:val="24"/>
          <w:lang w:val="ro-RO"/>
        </w:rPr>
        <w:t xml:space="preserve">d) </w:t>
      </w:r>
      <w:r w:rsidR="00D93D42" w:rsidRPr="00A73566">
        <w:rPr>
          <w:rFonts w:ascii="Times New Roman" w:hAnsi="Times New Roman" w:cs="Times New Roman"/>
          <w:color w:val="000000" w:themeColor="text1"/>
          <w:sz w:val="24"/>
          <w:szCs w:val="24"/>
          <w:lang w:val="ro-RO"/>
        </w:rPr>
        <w:t xml:space="preserve">va asigura </w:t>
      </w:r>
      <w:r w:rsidRPr="00A73566">
        <w:rPr>
          <w:rFonts w:ascii="Times New Roman" w:hAnsi="Times New Roman" w:cs="Times New Roman"/>
          <w:color w:val="000000" w:themeColor="text1"/>
          <w:sz w:val="24"/>
          <w:szCs w:val="24"/>
          <w:lang w:val="ro-RO"/>
        </w:rPr>
        <w:t>tranziți</w:t>
      </w:r>
      <w:r w:rsidR="00D93D42" w:rsidRPr="00A73566">
        <w:rPr>
          <w:rFonts w:ascii="Times New Roman" w:hAnsi="Times New Roman" w:cs="Times New Roman"/>
          <w:color w:val="000000" w:themeColor="text1"/>
          <w:sz w:val="24"/>
          <w:szCs w:val="24"/>
          <w:lang w:val="ro-RO"/>
        </w:rPr>
        <w:t xml:space="preserve">a </w:t>
      </w:r>
      <w:r w:rsidRPr="00A73566">
        <w:rPr>
          <w:rFonts w:ascii="Times New Roman" w:hAnsi="Times New Roman" w:cs="Times New Roman"/>
          <w:color w:val="000000" w:themeColor="text1"/>
          <w:sz w:val="24"/>
          <w:szCs w:val="24"/>
          <w:lang w:val="ro-RO"/>
        </w:rPr>
        <w:t>către o sustenabilitate competitivă, de la fermă la consumator.</w:t>
      </w:r>
    </w:p>
    <w:p w14:paraId="6E254436" w14:textId="2916F589"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 xml:space="preserve">Reabilitarea sistemelor de irigare </w:t>
      </w:r>
      <w:r w:rsidR="00D93D42" w:rsidRPr="00A73566">
        <w:rPr>
          <w:rFonts w:ascii="Times New Roman" w:hAnsi="Times New Roman" w:cs="Times New Roman"/>
          <w:color w:val="000000" w:themeColor="text1"/>
          <w:sz w:val="24"/>
          <w:szCs w:val="24"/>
          <w:lang w:val="ro-RO"/>
        </w:rPr>
        <w:t>ș</w:t>
      </w:r>
      <w:r w:rsidRPr="00A73566">
        <w:rPr>
          <w:rFonts w:ascii="Times New Roman" w:hAnsi="Times New Roman" w:cs="Times New Roman"/>
          <w:color w:val="000000" w:themeColor="text1"/>
          <w:sz w:val="24"/>
          <w:szCs w:val="24"/>
          <w:lang w:val="ro-RO"/>
        </w:rPr>
        <w:t>i dezvoltarea sectoarelor agricole ce necesita consum sporit de ap</w:t>
      </w:r>
      <w:r w:rsidR="00D93D42" w:rsidRPr="00A73566">
        <w:rPr>
          <w:rFonts w:ascii="Times New Roman" w:hAnsi="Times New Roman" w:cs="Times New Roman"/>
          <w:color w:val="000000" w:themeColor="text1"/>
          <w:sz w:val="24"/>
          <w:szCs w:val="24"/>
          <w:lang w:val="ro-RO"/>
        </w:rPr>
        <w:t>ă</w:t>
      </w:r>
      <w:r w:rsidRPr="00A73566">
        <w:rPr>
          <w:rFonts w:ascii="Times New Roman" w:hAnsi="Times New Roman" w:cs="Times New Roman"/>
          <w:color w:val="000000" w:themeColor="text1"/>
          <w:sz w:val="24"/>
          <w:szCs w:val="24"/>
          <w:lang w:val="ro-RO"/>
        </w:rPr>
        <w:t xml:space="preserve"> trebuie s</w:t>
      </w:r>
      <w:r w:rsidR="00D93D42" w:rsidRPr="00A73566">
        <w:rPr>
          <w:rFonts w:ascii="Times New Roman" w:hAnsi="Times New Roman" w:cs="Times New Roman"/>
          <w:color w:val="000000" w:themeColor="text1"/>
          <w:sz w:val="24"/>
          <w:szCs w:val="24"/>
          <w:lang w:val="ro-RO"/>
        </w:rPr>
        <w:t>ă</w:t>
      </w:r>
      <w:r w:rsidRPr="00A73566">
        <w:rPr>
          <w:rFonts w:ascii="Times New Roman" w:hAnsi="Times New Roman" w:cs="Times New Roman"/>
          <w:color w:val="000000" w:themeColor="text1"/>
          <w:sz w:val="24"/>
          <w:szCs w:val="24"/>
          <w:lang w:val="ro-RO"/>
        </w:rPr>
        <w:t xml:space="preserve"> fie efectuat</w:t>
      </w:r>
      <w:r w:rsidR="00D93D42" w:rsidRPr="00A73566">
        <w:rPr>
          <w:rFonts w:ascii="Times New Roman" w:hAnsi="Times New Roman" w:cs="Times New Roman"/>
          <w:color w:val="000000" w:themeColor="text1"/>
          <w:sz w:val="24"/>
          <w:szCs w:val="24"/>
          <w:lang w:val="ro-RO"/>
        </w:rPr>
        <w:t>ă</w:t>
      </w:r>
      <w:r w:rsidRPr="00A73566">
        <w:rPr>
          <w:rFonts w:ascii="Times New Roman" w:hAnsi="Times New Roman" w:cs="Times New Roman"/>
          <w:color w:val="000000" w:themeColor="text1"/>
          <w:sz w:val="24"/>
          <w:szCs w:val="24"/>
          <w:lang w:val="ro-RO"/>
        </w:rPr>
        <w:t xml:space="preserve"> </w:t>
      </w:r>
      <w:r w:rsidR="00D93D42" w:rsidRPr="00A73566">
        <w:rPr>
          <w:rFonts w:ascii="Times New Roman" w:hAnsi="Times New Roman" w:cs="Times New Roman"/>
          <w:color w:val="000000" w:themeColor="text1"/>
          <w:sz w:val="24"/>
          <w:szCs w:val="24"/>
          <w:lang w:val="ro-RO"/>
        </w:rPr>
        <w:t>î</w:t>
      </w:r>
      <w:r w:rsidRPr="00A73566">
        <w:rPr>
          <w:rFonts w:ascii="Times New Roman" w:hAnsi="Times New Roman" w:cs="Times New Roman"/>
          <w:color w:val="000000" w:themeColor="text1"/>
          <w:sz w:val="24"/>
          <w:szCs w:val="24"/>
          <w:lang w:val="ro-RO"/>
        </w:rPr>
        <w:t>n strict</w:t>
      </w:r>
      <w:r w:rsidR="00D93D42" w:rsidRPr="00A73566">
        <w:rPr>
          <w:rFonts w:ascii="Times New Roman" w:hAnsi="Times New Roman" w:cs="Times New Roman"/>
          <w:color w:val="000000" w:themeColor="text1"/>
          <w:sz w:val="24"/>
          <w:szCs w:val="24"/>
          <w:lang w:val="ro-RO"/>
        </w:rPr>
        <w:t>ă</w:t>
      </w:r>
      <w:r w:rsidRPr="00A73566">
        <w:rPr>
          <w:rFonts w:ascii="Times New Roman" w:hAnsi="Times New Roman" w:cs="Times New Roman"/>
          <w:color w:val="000000" w:themeColor="text1"/>
          <w:sz w:val="24"/>
          <w:szCs w:val="24"/>
          <w:lang w:val="ro-RO"/>
        </w:rPr>
        <w:t xml:space="preserve"> conformitate cu disponibilitatea resurselor acvatice, calitatea apei precum </w:t>
      </w:r>
      <w:r w:rsidR="00D93D42" w:rsidRPr="00A73566">
        <w:rPr>
          <w:rFonts w:ascii="Times New Roman" w:hAnsi="Times New Roman" w:cs="Times New Roman"/>
          <w:color w:val="000000" w:themeColor="text1"/>
          <w:sz w:val="24"/>
          <w:szCs w:val="24"/>
          <w:lang w:val="ro-RO"/>
        </w:rPr>
        <w:t>ș</w:t>
      </w:r>
      <w:r w:rsidRPr="00A73566">
        <w:rPr>
          <w:rFonts w:ascii="Times New Roman" w:hAnsi="Times New Roman" w:cs="Times New Roman"/>
          <w:color w:val="000000" w:themeColor="text1"/>
          <w:sz w:val="24"/>
          <w:szCs w:val="24"/>
          <w:lang w:val="ro-RO"/>
        </w:rPr>
        <w:t xml:space="preserve">i pretabilitatea solului. </w:t>
      </w:r>
    </w:p>
    <w:p w14:paraId="26B6BAD0" w14:textId="77777777" w:rsidR="005D330A" w:rsidRPr="00A73566" w:rsidRDefault="005D330A" w:rsidP="0082182E">
      <w:pPr>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sz w:val="24"/>
          <w:szCs w:val="24"/>
          <w:lang w:val="ro-RO"/>
        </w:rPr>
        <w:t>În același timp, Strategia va include dimensiunile transversale ce țin de egalitatea de gen și principiul tratamentului egal, asigurând ajustarea corespunzătoare a intervențiilor sale în cadrul programelor sectoriale.</w:t>
      </w:r>
    </w:p>
    <w:p w14:paraId="1312B994" w14:textId="0B496F48" w:rsidR="005D330A" w:rsidRPr="00A73566" w:rsidRDefault="005D330A" w:rsidP="005D330A">
      <w:pPr>
        <w:rPr>
          <w:rFonts w:ascii="Times New Roman" w:hAnsi="Times New Roman" w:cs="Times New Roman"/>
          <w:sz w:val="24"/>
          <w:szCs w:val="24"/>
          <w:lang w:val="ro-RO"/>
        </w:rPr>
      </w:pPr>
      <w:r w:rsidRPr="00A73566">
        <w:rPr>
          <w:rFonts w:ascii="Times New Roman" w:hAnsi="Times New Roman" w:cs="Times New Roman"/>
          <w:sz w:val="24"/>
          <w:szCs w:val="24"/>
          <w:lang w:val="ro-RO"/>
        </w:rPr>
        <w:t>Având în vedere caracterul extins al S</w:t>
      </w:r>
      <w:r w:rsidR="00130AB1" w:rsidRPr="00A73566">
        <w:rPr>
          <w:rFonts w:ascii="Times New Roman" w:hAnsi="Times New Roman" w:cs="Times New Roman"/>
          <w:sz w:val="24"/>
          <w:szCs w:val="24"/>
          <w:lang w:val="ro-RO"/>
        </w:rPr>
        <w:t>NDAR</w:t>
      </w:r>
      <w:r w:rsidRPr="00A73566">
        <w:rPr>
          <w:rFonts w:ascii="Times New Roman" w:hAnsi="Times New Roman" w:cs="Times New Roman"/>
          <w:sz w:val="24"/>
          <w:szCs w:val="24"/>
          <w:lang w:val="ro-RO"/>
        </w:rPr>
        <w:t xml:space="preserve">, Strategia își propune atingerea unor rezultate de dezvoltare durabile în sectorul agricol și cel al dezvoltării rurale, printre care: </w:t>
      </w:r>
    </w:p>
    <w:p w14:paraId="506628AC" w14:textId="77777777" w:rsidR="005D330A" w:rsidRPr="00A73566" w:rsidRDefault="005D330A" w:rsidP="00E720EE">
      <w:pPr>
        <w:pStyle w:val="ListParagraph"/>
        <w:numPr>
          <w:ilvl w:val="0"/>
          <w:numId w:val="16"/>
        </w:numPr>
        <w:rPr>
          <w:rFonts w:ascii="Times New Roman" w:hAnsi="Times New Roman" w:cs="Times New Roman"/>
          <w:sz w:val="24"/>
          <w:szCs w:val="24"/>
          <w:lang w:val="ro-RO"/>
        </w:rPr>
      </w:pPr>
      <w:r w:rsidRPr="00A73566">
        <w:rPr>
          <w:rFonts w:ascii="Times New Roman" w:hAnsi="Times New Roman" w:cs="Times New Roman"/>
          <w:sz w:val="24"/>
          <w:szCs w:val="24"/>
          <w:lang w:val="ro-RO"/>
        </w:rPr>
        <w:t>Creșterea accelerată a investițiilor private în sectorul agroalimentar</w:t>
      </w:r>
    </w:p>
    <w:p w14:paraId="7A333A61" w14:textId="37FCE9C0"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Analiza datelor pentru perioada 2014 -2020 denotă că ponderea investițiilor publice în active materiale pe termen lung în agricultură a fost de 26.6%, restul reprezentând investiții private. Astfel, </w:t>
      </w:r>
      <w:r w:rsidR="00DB400E" w:rsidRPr="00A73566">
        <w:rPr>
          <w:rFonts w:ascii="Times New Roman" w:hAnsi="Times New Roman" w:cs="Times New Roman"/>
          <w:sz w:val="24"/>
          <w:szCs w:val="24"/>
          <w:lang w:val="ro-RO"/>
        </w:rPr>
        <w:t>creșterea</w:t>
      </w:r>
      <w:r w:rsidRPr="00A73566">
        <w:rPr>
          <w:rFonts w:ascii="Times New Roman" w:hAnsi="Times New Roman" w:cs="Times New Roman"/>
          <w:sz w:val="24"/>
          <w:szCs w:val="24"/>
          <w:lang w:val="ro-RO"/>
        </w:rPr>
        <w:t xml:space="preserve"> investițiilor, inclusiv prin dezvoltarea unor instrumente financiare atrăgătoare</w:t>
      </w:r>
      <w:r w:rsidR="00DB400E"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va facilita creșterea investițiilor private în sectorul agroalimentar. Totodată, este necesară și creșterea investițiilor publice directe, inclusiv prin majorarea și eficientizarea FNDAMR. Majorarea investițiilor publice țintește atât îmbunătățirea standardelor de viață pentru populație, inclusiv cea rurală, cât și încurajarea investițiilor private, în special în regiunile defavorizate. Pentru finanțarea investițiilor publice vor fi utilizate în mod prioritar sursele externe, mai ieftine decât cele interne, iar în paralel va fi raționalizat consumul curent al administrației publice. Orientarea finanțării investițiilor spre sursele externe și raționalizarea consumului curent va reduce cererea publică pentru resursele din sectorul financiar, care va fi mai motivat să le aloce în proiectele investiționale ale sectorului privat.</w:t>
      </w:r>
    </w:p>
    <w:p w14:paraId="1A538AA9" w14:textId="77777777" w:rsidR="005D330A" w:rsidRPr="00A73566" w:rsidRDefault="005D330A" w:rsidP="00E720EE">
      <w:pPr>
        <w:pStyle w:val="ListParagraph"/>
        <w:numPr>
          <w:ilvl w:val="0"/>
          <w:numId w:val="16"/>
        </w:numPr>
        <w:rPr>
          <w:rFonts w:ascii="Times New Roman" w:hAnsi="Times New Roman" w:cs="Times New Roman"/>
          <w:sz w:val="24"/>
          <w:szCs w:val="24"/>
          <w:lang w:val="ro-RO"/>
        </w:rPr>
      </w:pPr>
      <w:r w:rsidRPr="00A73566">
        <w:rPr>
          <w:rFonts w:ascii="Times New Roman" w:hAnsi="Times New Roman" w:cs="Times New Roman"/>
          <w:sz w:val="24"/>
          <w:szCs w:val="24"/>
          <w:lang w:val="ro-RO"/>
        </w:rPr>
        <w:t>Creșterea productivității afacerilor agricole</w:t>
      </w:r>
    </w:p>
    <w:p w14:paraId="11FB2CC5" w14:textId="66F7415E"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Datele statistice analizate denotă o valoare redusă a productivității muncii în sectorul agricol din Moldova, or creșterea productivității reprezintă un element crucial al concurentei </w:t>
      </w:r>
      <w:r w:rsidR="00097332" w:rsidRPr="00A73566">
        <w:rPr>
          <w:rFonts w:ascii="Times New Roman" w:hAnsi="Times New Roman" w:cs="Times New Roman"/>
          <w:sz w:val="24"/>
          <w:szCs w:val="24"/>
          <w:lang w:val="ro-RO"/>
        </w:rPr>
        <w:t>pe</w:t>
      </w:r>
      <w:r w:rsidRPr="00A73566">
        <w:rPr>
          <w:rFonts w:ascii="Times New Roman" w:hAnsi="Times New Roman" w:cs="Times New Roman"/>
          <w:sz w:val="24"/>
          <w:szCs w:val="24"/>
          <w:lang w:val="ro-RO"/>
        </w:rPr>
        <w:t xml:space="preserve"> piața de desfacere și creșterea veniturilor angajaților antrenate în activități agricole. În acest sens, este indicată canalizarea investițiilor atât publice cât și private în direcția dezvoltării componentelor cu valoare adăugată din lanțul </w:t>
      </w:r>
      <w:r w:rsidR="00097332" w:rsidRPr="00A73566">
        <w:rPr>
          <w:rFonts w:ascii="Times New Roman" w:hAnsi="Times New Roman" w:cs="Times New Roman"/>
          <w:sz w:val="24"/>
          <w:szCs w:val="24"/>
          <w:lang w:val="ro-RO"/>
        </w:rPr>
        <w:t xml:space="preserve">de </w:t>
      </w:r>
      <w:r w:rsidRPr="00A73566">
        <w:rPr>
          <w:rFonts w:ascii="Times New Roman" w:hAnsi="Times New Roman" w:cs="Times New Roman"/>
          <w:sz w:val="24"/>
          <w:szCs w:val="24"/>
          <w:lang w:val="ro-RO"/>
        </w:rPr>
        <w:t xml:space="preserve">valori agro-industrial, precum cel zootehnic. </w:t>
      </w:r>
    </w:p>
    <w:p w14:paraId="6BF13DF5" w14:textId="33B82948"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Un instrument important în acest sens urmează să </w:t>
      </w:r>
      <w:r w:rsidR="00097332" w:rsidRPr="00A73566">
        <w:rPr>
          <w:rFonts w:ascii="Times New Roman" w:hAnsi="Times New Roman" w:cs="Times New Roman"/>
          <w:sz w:val="24"/>
          <w:szCs w:val="24"/>
          <w:lang w:val="ro-RO"/>
        </w:rPr>
        <w:t xml:space="preserve">îl </w:t>
      </w:r>
      <w:r w:rsidRPr="00A73566">
        <w:rPr>
          <w:rFonts w:ascii="Times New Roman" w:hAnsi="Times New Roman" w:cs="Times New Roman"/>
          <w:sz w:val="24"/>
          <w:szCs w:val="24"/>
          <w:lang w:val="ro-RO"/>
        </w:rPr>
        <w:t>reprezint</w:t>
      </w:r>
      <w:r w:rsidR="00097332" w:rsidRPr="00A73566">
        <w:rPr>
          <w:rFonts w:ascii="Times New Roman" w:hAnsi="Times New Roman" w:cs="Times New Roman"/>
          <w:sz w:val="24"/>
          <w:szCs w:val="24"/>
          <w:lang w:val="ro-RO"/>
        </w:rPr>
        <w:t>e</w:t>
      </w:r>
      <w:r w:rsidRPr="00A73566">
        <w:rPr>
          <w:rFonts w:ascii="Times New Roman" w:hAnsi="Times New Roman" w:cs="Times New Roman"/>
          <w:sz w:val="24"/>
          <w:szCs w:val="24"/>
          <w:lang w:val="ro-RO"/>
        </w:rPr>
        <w:t xml:space="preserve"> FNDAMR, a</w:t>
      </w:r>
      <w:r w:rsidR="00097332" w:rsidRPr="00A73566">
        <w:rPr>
          <w:rFonts w:ascii="Times New Roman" w:hAnsi="Times New Roman" w:cs="Times New Roman"/>
          <w:sz w:val="24"/>
          <w:szCs w:val="24"/>
          <w:lang w:val="ro-RO"/>
        </w:rPr>
        <w:t>l</w:t>
      </w:r>
      <w:r w:rsidRPr="00A73566">
        <w:rPr>
          <w:rFonts w:ascii="Times New Roman" w:hAnsi="Times New Roman" w:cs="Times New Roman"/>
          <w:sz w:val="24"/>
          <w:szCs w:val="24"/>
          <w:lang w:val="ro-RO"/>
        </w:rPr>
        <w:t xml:space="preserve"> cărui regulament urmează să fie revăzut în sensul susținerii investițiilor în activitățile agricole și industriei alimentare cu valoare adăugată ridicată. </w:t>
      </w:r>
      <w:r w:rsidR="00255827" w:rsidRPr="00A73566">
        <w:rPr>
          <w:rFonts w:ascii="Times New Roman" w:hAnsi="Times New Roman" w:cs="Times New Roman"/>
          <w:sz w:val="24"/>
          <w:szCs w:val="24"/>
          <w:lang w:val="ro-RO"/>
        </w:rPr>
        <w:t xml:space="preserve">Baza decizionala pentru dezvoltarea masurilor de sprijin trebuie sa fie raționamentul economic al viitoarelor decizii, asigurat cu informații confirmative privind evoluția cererii si ofertei în piețele de desfacerea a producției moldovenești.   </w:t>
      </w:r>
    </w:p>
    <w:p w14:paraId="20E2C948" w14:textId="6E4638B4"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Un element esențial </w:t>
      </w:r>
      <w:r w:rsidR="00097332" w:rsidRPr="00A73566">
        <w:rPr>
          <w:rFonts w:ascii="Times New Roman" w:hAnsi="Times New Roman" w:cs="Times New Roman"/>
          <w:sz w:val="24"/>
          <w:szCs w:val="24"/>
          <w:lang w:val="ro-RO"/>
        </w:rPr>
        <w:t>î</w:t>
      </w:r>
      <w:r w:rsidRPr="00A73566">
        <w:rPr>
          <w:rFonts w:ascii="Times New Roman" w:hAnsi="Times New Roman" w:cs="Times New Roman"/>
          <w:sz w:val="24"/>
          <w:szCs w:val="24"/>
          <w:lang w:val="ro-RO"/>
        </w:rPr>
        <w:t>n sporirea productivității afacerilor agricole îl po</w:t>
      </w:r>
      <w:r w:rsidR="009A2BC5" w:rsidRPr="00A73566">
        <w:rPr>
          <w:rFonts w:ascii="Times New Roman" w:hAnsi="Times New Roman" w:cs="Times New Roman"/>
          <w:sz w:val="24"/>
          <w:szCs w:val="24"/>
          <w:lang w:val="ro-RO"/>
        </w:rPr>
        <w:t>t</w:t>
      </w:r>
      <w:r w:rsidRPr="00A73566">
        <w:rPr>
          <w:rFonts w:ascii="Times New Roman" w:hAnsi="Times New Roman" w:cs="Times New Roman"/>
          <w:sz w:val="24"/>
          <w:szCs w:val="24"/>
          <w:lang w:val="ro-RO"/>
        </w:rPr>
        <w:t xml:space="preserve"> juca </w:t>
      </w:r>
      <w:r w:rsidR="009A2BC5" w:rsidRPr="00A73566">
        <w:rPr>
          <w:rFonts w:ascii="Times New Roman" w:hAnsi="Times New Roman" w:cs="Times New Roman"/>
          <w:sz w:val="24"/>
          <w:szCs w:val="24"/>
          <w:lang w:val="ro-RO"/>
        </w:rPr>
        <w:t>Parcurile Inovaționale Tehnologice bazate pe infrastructura sferei de învățământ primar agricol</w:t>
      </w:r>
      <w:r w:rsidRPr="00A73566">
        <w:rPr>
          <w:rFonts w:ascii="Times New Roman" w:hAnsi="Times New Roman" w:cs="Times New Roman"/>
          <w:sz w:val="24"/>
          <w:szCs w:val="24"/>
          <w:lang w:val="ro-RO"/>
        </w:rPr>
        <w:t xml:space="preserve">, care </w:t>
      </w:r>
      <w:r w:rsidR="009A2BC5" w:rsidRPr="00A73566">
        <w:rPr>
          <w:rFonts w:ascii="Times New Roman" w:hAnsi="Times New Roman" w:cs="Times New Roman"/>
          <w:sz w:val="24"/>
          <w:szCs w:val="24"/>
          <w:lang w:val="ro-RO"/>
        </w:rPr>
        <w:t xml:space="preserve">în conlucrare cu instituțiile de cercetări științifice pe domeniul agroindustrial </w:t>
      </w:r>
      <w:r w:rsidRPr="00A73566">
        <w:rPr>
          <w:rFonts w:ascii="Times New Roman" w:hAnsi="Times New Roman" w:cs="Times New Roman"/>
          <w:sz w:val="24"/>
          <w:szCs w:val="24"/>
          <w:lang w:val="ro-RO"/>
        </w:rPr>
        <w:t>v</w:t>
      </w:r>
      <w:r w:rsidR="009A2BC5" w:rsidRPr="00A73566">
        <w:rPr>
          <w:rFonts w:ascii="Times New Roman" w:hAnsi="Times New Roman" w:cs="Times New Roman"/>
          <w:sz w:val="24"/>
          <w:szCs w:val="24"/>
          <w:lang w:val="ro-RO"/>
        </w:rPr>
        <w:t>or asigura acordarea serviciilor de consultanță, instruire și transfer tehnologic pentru marea majoritate a entităților</w:t>
      </w:r>
      <w:r w:rsidRPr="00A73566">
        <w:rPr>
          <w:rFonts w:ascii="Times New Roman" w:hAnsi="Times New Roman" w:cs="Times New Roman"/>
          <w:sz w:val="24"/>
          <w:szCs w:val="24"/>
          <w:lang w:val="ro-RO"/>
        </w:rPr>
        <w:t xml:space="preserve">. </w:t>
      </w:r>
      <w:r w:rsidR="00264E9E" w:rsidRPr="00A73566">
        <w:rPr>
          <w:rFonts w:ascii="Times New Roman" w:hAnsi="Times New Roman" w:cs="Times New Roman"/>
          <w:sz w:val="24"/>
          <w:szCs w:val="24"/>
          <w:lang w:val="ro-RO"/>
        </w:rPr>
        <w:t>Parcurile Inovaționale Tehnologice</w:t>
      </w:r>
      <w:r w:rsidRPr="00A73566">
        <w:rPr>
          <w:rFonts w:ascii="Times New Roman" w:hAnsi="Times New Roman" w:cs="Times New Roman"/>
          <w:sz w:val="24"/>
          <w:szCs w:val="24"/>
          <w:lang w:val="ro-RO"/>
        </w:rPr>
        <w:t xml:space="preserve"> urmează s</w:t>
      </w:r>
      <w:r w:rsidR="00097332" w:rsidRPr="00A73566">
        <w:rPr>
          <w:rFonts w:ascii="Times New Roman" w:hAnsi="Times New Roman" w:cs="Times New Roman"/>
          <w:sz w:val="24"/>
          <w:szCs w:val="24"/>
          <w:lang w:val="ro-RO"/>
        </w:rPr>
        <w:t>ă</w:t>
      </w:r>
      <w:r w:rsidRPr="00A73566">
        <w:rPr>
          <w:rFonts w:ascii="Times New Roman" w:hAnsi="Times New Roman" w:cs="Times New Roman"/>
          <w:sz w:val="24"/>
          <w:szCs w:val="24"/>
          <w:lang w:val="ro-RO"/>
        </w:rPr>
        <w:t xml:space="preserve"> preia rolul </w:t>
      </w:r>
      <w:r w:rsidR="00097332" w:rsidRPr="00A73566">
        <w:rPr>
          <w:rFonts w:ascii="Times New Roman" w:hAnsi="Times New Roman" w:cs="Times New Roman"/>
          <w:sz w:val="24"/>
          <w:szCs w:val="24"/>
          <w:lang w:val="ro-RO"/>
        </w:rPr>
        <w:t xml:space="preserve">de </w:t>
      </w:r>
      <w:r w:rsidRPr="00A73566">
        <w:rPr>
          <w:rFonts w:ascii="Times New Roman" w:hAnsi="Times New Roman" w:cs="Times New Roman"/>
          <w:sz w:val="24"/>
          <w:szCs w:val="24"/>
          <w:lang w:val="ro-RO"/>
        </w:rPr>
        <w:t>locomotiv</w:t>
      </w:r>
      <w:r w:rsidR="00264E9E" w:rsidRPr="00A73566">
        <w:rPr>
          <w:rFonts w:ascii="Times New Roman" w:hAnsi="Times New Roman" w:cs="Times New Roman"/>
          <w:sz w:val="24"/>
          <w:szCs w:val="24"/>
          <w:lang w:val="ro-RO"/>
        </w:rPr>
        <w:t>e</w:t>
      </w:r>
      <w:r w:rsidRPr="00A73566">
        <w:rPr>
          <w:rFonts w:ascii="Times New Roman" w:hAnsi="Times New Roman" w:cs="Times New Roman"/>
          <w:sz w:val="24"/>
          <w:szCs w:val="24"/>
          <w:lang w:val="ro-RO"/>
        </w:rPr>
        <w:t xml:space="preserve"> în implementarea tehnologiilor agricole pretabile pentru condițiile piedo-climaterice ale fiecărei regiuni agro-climaterice din țară.</w:t>
      </w:r>
    </w:p>
    <w:p w14:paraId="3BD4395E" w14:textId="75441F1A" w:rsidR="00D975BE" w:rsidRPr="00A73566" w:rsidRDefault="00D975BE" w:rsidP="00E720EE">
      <w:pPr>
        <w:pStyle w:val="ListParagraph"/>
        <w:numPr>
          <w:ilvl w:val="0"/>
          <w:numId w:val="25"/>
        </w:numPr>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Dezvoltarea unei economii bazate pe cunoaștere și inovare </w:t>
      </w:r>
    </w:p>
    <w:p w14:paraId="20DDDE96" w14:textId="2030C845" w:rsidR="00D975BE" w:rsidRPr="00A73566" w:rsidRDefault="00D975BE" w:rsidP="0082182E">
      <w:pPr>
        <w:spacing w:after="0"/>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Creșterea inteligentă are un rol esențial în consolidarea cunoașterii și inovării ca elemente motrice ale viitoarei creșteri. Pentru aceasta este necesar de îmb</w:t>
      </w:r>
      <w:r w:rsidR="00E325B9" w:rsidRPr="00A73566">
        <w:rPr>
          <w:rFonts w:ascii="Times New Roman" w:hAnsi="Times New Roman" w:cs="Times New Roman"/>
          <w:sz w:val="24"/>
          <w:szCs w:val="24"/>
          <w:lang w:val="ro-RO"/>
        </w:rPr>
        <w:t>u</w:t>
      </w:r>
      <w:r w:rsidRPr="00A73566">
        <w:rPr>
          <w:rFonts w:ascii="Times New Roman" w:hAnsi="Times New Roman" w:cs="Times New Roman"/>
          <w:sz w:val="24"/>
          <w:szCs w:val="24"/>
          <w:lang w:val="ro-RO"/>
        </w:rPr>
        <w:t xml:space="preserve">nătățit calitatea sistemului </w:t>
      </w:r>
      <w:r w:rsidR="00F71C1C" w:rsidRPr="00A73566">
        <w:rPr>
          <w:rFonts w:ascii="Times New Roman" w:hAnsi="Times New Roman" w:cs="Times New Roman"/>
          <w:sz w:val="24"/>
          <w:szCs w:val="24"/>
          <w:lang w:val="ro-RO"/>
        </w:rPr>
        <w:t xml:space="preserve"> învățămâ</w:t>
      </w:r>
      <w:r w:rsidRPr="00A73566">
        <w:rPr>
          <w:rFonts w:ascii="Times New Roman" w:hAnsi="Times New Roman" w:cs="Times New Roman"/>
          <w:sz w:val="24"/>
          <w:szCs w:val="24"/>
          <w:lang w:val="ro-RO"/>
        </w:rPr>
        <w:t>ntului agrar, întărirea performanț</w:t>
      </w:r>
      <w:r w:rsidR="00E325B9" w:rsidRPr="00A73566">
        <w:rPr>
          <w:rFonts w:ascii="Times New Roman" w:hAnsi="Times New Roman" w:cs="Times New Roman"/>
          <w:sz w:val="24"/>
          <w:szCs w:val="24"/>
          <w:lang w:val="ro-RO"/>
        </w:rPr>
        <w:t>ei</w:t>
      </w:r>
      <w:r w:rsidRPr="00A73566">
        <w:rPr>
          <w:rFonts w:ascii="Times New Roman" w:hAnsi="Times New Roman" w:cs="Times New Roman"/>
          <w:sz w:val="24"/>
          <w:szCs w:val="24"/>
          <w:lang w:val="ro-RO"/>
        </w:rPr>
        <w:t xml:space="preserve"> în cercetare</w:t>
      </w:r>
      <w:r w:rsidR="00E325B9"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promovarea inovării și transferul de cun</w:t>
      </w:r>
      <w:r w:rsidR="002E5BA2">
        <w:rPr>
          <w:rFonts w:ascii="Times New Roman" w:hAnsi="Times New Roman" w:cs="Times New Roman"/>
          <w:sz w:val="24"/>
          <w:szCs w:val="24"/>
          <w:lang w:val="ro-RO"/>
        </w:rPr>
        <w:t>oștințe. Este necesar de utiliza</w:t>
      </w:r>
      <w:r w:rsidRPr="00A73566">
        <w:rPr>
          <w:rFonts w:ascii="Times New Roman" w:hAnsi="Times New Roman" w:cs="Times New Roman"/>
          <w:sz w:val="24"/>
          <w:szCs w:val="24"/>
          <w:lang w:val="ro-RO"/>
        </w:rPr>
        <w:t>t pe deplin tehnologiile informaționale și comunicaționale și să ne asigurăm că ideile inovatoare pot fi transpuse în noi produse de servicii care generează creștere, locuri de muncă de calitate și contribuie la abordarea provocărilor cu care se confruntă sectorul. Pentru a reuși, toate acestea trebuie corelate cu spiritul de antreprenor și cu accentul pe</w:t>
      </w:r>
      <w:r w:rsidR="002E5BA2">
        <w:rPr>
          <w:rFonts w:ascii="Times New Roman" w:hAnsi="Times New Roman" w:cs="Times New Roman"/>
          <w:sz w:val="24"/>
          <w:szCs w:val="24"/>
          <w:lang w:val="ro-RO"/>
        </w:rPr>
        <w:t xml:space="preserve"> nevoile și oportunitățile piețe</w:t>
      </w:r>
      <w:r w:rsidRPr="00A73566">
        <w:rPr>
          <w:rFonts w:ascii="Times New Roman" w:hAnsi="Times New Roman" w:cs="Times New Roman"/>
          <w:sz w:val="24"/>
          <w:szCs w:val="24"/>
          <w:lang w:val="ro-RO"/>
        </w:rPr>
        <w:t>i.</w:t>
      </w:r>
    </w:p>
    <w:p w14:paraId="57A99C4B" w14:textId="484FB69C" w:rsidR="00D975BE" w:rsidRPr="00A73566" w:rsidRDefault="00D975BE" w:rsidP="0082182E">
      <w:pPr>
        <w:spacing w:after="0"/>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Investirea în cercetare-dezvoltare și inovare, educație și în tehnologii eficiente din punctul de vedere al utilizării resurselor va aduce beneficii sectoarelor tradiționale, zonelor rurale, precum și economiilor bazate pe servicii și cu un nivel ridicat de competență. </w:t>
      </w:r>
    </w:p>
    <w:p w14:paraId="3A29AF54" w14:textId="77777777" w:rsidR="00D975BE" w:rsidRPr="00A73566" w:rsidRDefault="00D975BE" w:rsidP="0082182E">
      <w:pPr>
        <w:spacing w:after="0"/>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Investirea în cercetare-dezvoltare și inovare, educație și în tehnologii eficiente din punctul de vedere al utilizării resurselor va aduce beneficii sectoarelor tradiționale, zonelor rurale, precum și economiilor bazate pe servicii și cu un nivel ridicat de competență. </w:t>
      </w:r>
    </w:p>
    <w:p w14:paraId="6C380227" w14:textId="0A7FCD4C" w:rsidR="00D975BE" w:rsidRPr="00A73566" w:rsidRDefault="00D975BE" w:rsidP="0082182E">
      <w:pPr>
        <w:spacing w:after="0"/>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Asigurarea unor niveluri de studii calitative favorizează șansele de angajare, iar înregistrarea unor progrese în cea ce </w:t>
      </w:r>
      <w:r w:rsidR="00264E9E" w:rsidRPr="00A73566">
        <w:rPr>
          <w:rFonts w:ascii="Times New Roman" w:hAnsi="Times New Roman" w:cs="Times New Roman"/>
          <w:sz w:val="24"/>
          <w:szCs w:val="24"/>
          <w:lang w:val="ro-RO"/>
        </w:rPr>
        <w:t>privește</w:t>
      </w:r>
      <w:r w:rsidRPr="00A73566">
        <w:rPr>
          <w:rFonts w:ascii="Times New Roman" w:hAnsi="Times New Roman" w:cs="Times New Roman"/>
          <w:sz w:val="24"/>
          <w:szCs w:val="24"/>
          <w:lang w:val="ro-RO"/>
        </w:rPr>
        <w:t xml:space="preserve"> creșterea ratei de ocupare a forței de muncă contribuie la reducerea sărăciei. O capacitate sporită de cercetare-dezvoltare și inovare în toate sectoarele economiei, combinată cu o utilizare mai eficientă a resurselor va îmbunătăți competitivitatea și vor accelera crearea locurilor de muncă.</w:t>
      </w:r>
      <w:r w:rsidR="00264E9E" w:rsidRPr="00A73566">
        <w:rPr>
          <w:rFonts w:ascii="Times New Roman" w:hAnsi="Times New Roman" w:cs="Times New Roman"/>
          <w:sz w:val="24"/>
          <w:szCs w:val="24"/>
          <w:lang w:val="ro-RO"/>
        </w:rPr>
        <w:t xml:space="preserve"> </w:t>
      </w:r>
      <w:r w:rsidRPr="00A73566">
        <w:rPr>
          <w:rFonts w:ascii="Times New Roman" w:hAnsi="Times New Roman" w:cs="Times New Roman"/>
          <w:sz w:val="24"/>
          <w:szCs w:val="24"/>
          <w:lang w:val="ro-RO"/>
        </w:rPr>
        <w:t>Investirea în tehnologii mai ecologice,</w:t>
      </w:r>
      <w:r w:rsidR="002E5BA2">
        <w:rPr>
          <w:rFonts w:ascii="Times New Roman" w:hAnsi="Times New Roman" w:cs="Times New Roman"/>
          <w:sz w:val="24"/>
          <w:szCs w:val="24"/>
          <w:lang w:val="ro-RO"/>
        </w:rPr>
        <w:t xml:space="preserve"> </w:t>
      </w:r>
      <w:r w:rsidRPr="00A73566">
        <w:rPr>
          <w:rFonts w:ascii="Times New Roman" w:hAnsi="Times New Roman" w:cs="Times New Roman"/>
          <w:sz w:val="24"/>
          <w:szCs w:val="24"/>
          <w:lang w:val="ro-RO"/>
        </w:rPr>
        <w:t xml:space="preserve">va proteja mediul și va </w:t>
      </w:r>
      <w:r w:rsidR="00264E9E" w:rsidRPr="00A73566">
        <w:rPr>
          <w:rFonts w:ascii="Times New Roman" w:hAnsi="Times New Roman" w:cs="Times New Roman"/>
          <w:sz w:val="24"/>
          <w:szCs w:val="24"/>
          <w:lang w:val="ro-RO"/>
        </w:rPr>
        <w:t>contribui</w:t>
      </w:r>
      <w:r w:rsidRPr="00A73566">
        <w:rPr>
          <w:rFonts w:ascii="Times New Roman" w:hAnsi="Times New Roman" w:cs="Times New Roman"/>
          <w:sz w:val="24"/>
          <w:szCs w:val="24"/>
          <w:lang w:val="ro-RO"/>
        </w:rPr>
        <w:t xml:space="preserve"> la combaterea </w:t>
      </w:r>
      <w:r w:rsidR="00264E9E" w:rsidRPr="00A73566">
        <w:rPr>
          <w:rFonts w:ascii="Times New Roman" w:hAnsi="Times New Roman" w:cs="Times New Roman"/>
          <w:sz w:val="24"/>
          <w:szCs w:val="24"/>
          <w:lang w:val="ro-RO"/>
        </w:rPr>
        <w:t>schimbărilor</w:t>
      </w:r>
      <w:r w:rsidRPr="00A73566">
        <w:rPr>
          <w:rFonts w:ascii="Times New Roman" w:hAnsi="Times New Roman" w:cs="Times New Roman"/>
          <w:sz w:val="24"/>
          <w:szCs w:val="24"/>
          <w:lang w:val="ro-RO"/>
        </w:rPr>
        <w:t xml:space="preserve"> climaterice și va crea noi oportunități de afaceri și noi locuri de muncă.</w:t>
      </w:r>
    </w:p>
    <w:p w14:paraId="1AFEC073" w14:textId="56269EA5" w:rsidR="00D975BE" w:rsidRPr="00A73566" w:rsidRDefault="00D975BE" w:rsidP="0082182E">
      <w:pPr>
        <w:spacing w:after="0"/>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Criza pandemică globală a accelerat digitalizarea agriculturii, iar fermierii sunt mai determinați să implementeze soluții inteligente pentru a crește performanța domeniului, în </w:t>
      </w:r>
      <w:r w:rsidR="00264E9E" w:rsidRPr="00A73566">
        <w:rPr>
          <w:rFonts w:ascii="Times New Roman" w:hAnsi="Times New Roman" w:cs="Times New Roman"/>
          <w:sz w:val="24"/>
          <w:szCs w:val="24"/>
          <w:lang w:val="ro-RO"/>
        </w:rPr>
        <w:t>acces</w:t>
      </w:r>
      <w:r w:rsidRPr="00A73566">
        <w:rPr>
          <w:rFonts w:ascii="Times New Roman" w:hAnsi="Times New Roman" w:cs="Times New Roman"/>
          <w:sz w:val="24"/>
          <w:szCs w:val="24"/>
          <w:lang w:val="ro-RO"/>
        </w:rPr>
        <w:t xml:space="preserve"> sens, este necesar de  promovat competitivitatea și durabilitatea agriculturii cu ajutorul tehnologiilor informaționale.</w:t>
      </w:r>
    </w:p>
    <w:p w14:paraId="7E82907A" w14:textId="77777777" w:rsidR="005D330A" w:rsidRPr="00A73566" w:rsidRDefault="005D330A" w:rsidP="00264E9E">
      <w:pPr>
        <w:pStyle w:val="ListParagraph"/>
        <w:numPr>
          <w:ilvl w:val="0"/>
          <w:numId w:val="16"/>
        </w:numPr>
        <w:spacing w:before="120"/>
        <w:ind w:left="714" w:hanging="35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Dezvoltarea capacităților de producție a produselor de origine animalieră, inclusiv a componentelor de procesare </w:t>
      </w:r>
    </w:p>
    <w:p w14:paraId="71ED8E41" w14:textId="6E45B853"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În sensul creșterii productivității și valorii adăugate în agricultură, dezvoltarea capacităților de producție a produselor de origine animalieră este strict necesară. Având în vederea complexitatea domeniului, dar și valoarea adăugată ridicată a acestuia comparativ cu alte sub-sectoare ale agriculturii, este esențială facilitarea canalizării investițiilor private și publice în domeniul </w:t>
      </w:r>
      <w:r w:rsidR="00097332" w:rsidRPr="00A73566">
        <w:rPr>
          <w:rFonts w:ascii="Times New Roman" w:hAnsi="Times New Roman" w:cs="Times New Roman"/>
          <w:sz w:val="24"/>
          <w:szCs w:val="24"/>
          <w:lang w:val="ro-RO"/>
        </w:rPr>
        <w:t>respectiv</w:t>
      </w:r>
      <w:r w:rsidRPr="00A73566">
        <w:rPr>
          <w:rFonts w:ascii="Times New Roman" w:hAnsi="Times New Roman" w:cs="Times New Roman"/>
          <w:sz w:val="24"/>
          <w:szCs w:val="24"/>
          <w:lang w:val="ro-RO"/>
        </w:rPr>
        <w:t xml:space="preserve">. În ceea ce privește investițiile publice, acestea urmează să fie facilitate prin revizuirea regulamentului FNDAMR, dar și </w:t>
      </w:r>
      <w:r w:rsidR="00097332" w:rsidRPr="00A73566">
        <w:rPr>
          <w:rFonts w:ascii="Times New Roman" w:hAnsi="Times New Roman" w:cs="Times New Roman"/>
          <w:sz w:val="24"/>
          <w:szCs w:val="24"/>
          <w:lang w:val="ro-RO"/>
        </w:rPr>
        <w:t xml:space="preserve">prin </w:t>
      </w:r>
      <w:r w:rsidRPr="00A73566">
        <w:rPr>
          <w:rFonts w:ascii="Times New Roman" w:hAnsi="Times New Roman" w:cs="Times New Roman"/>
          <w:sz w:val="24"/>
          <w:szCs w:val="24"/>
          <w:lang w:val="ro-RO"/>
        </w:rPr>
        <w:t xml:space="preserve">dezvoltarea unor programe de stat de nișă, precum </w:t>
      </w:r>
      <w:r w:rsidR="00097332" w:rsidRPr="00A73566">
        <w:rPr>
          <w:rFonts w:ascii="Times New Roman" w:hAnsi="Times New Roman" w:cs="Times New Roman"/>
          <w:sz w:val="24"/>
          <w:szCs w:val="24"/>
          <w:lang w:val="ro-RO"/>
        </w:rPr>
        <w:t>ș</w:t>
      </w:r>
      <w:r w:rsidRPr="00A73566">
        <w:rPr>
          <w:rFonts w:ascii="Times New Roman" w:hAnsi="Times New Roman" w:cs="Times New Roman"/>
          <w:sz w:val="24"/>
          <w:szCs w:val="24"/>
          <w:lang w:val="ro-RO"/>
        </w:rPr>
        <w:t xml:space="preserve">i </w:t>
      </w:r>
      <w:r w:rsidR="00097332" w:rsidRPr="00A73566">
        <w:rPr>
          <w:rFonts w:ascii="Times New Roman" w:hAnsi="Times New Roman" w:cs="Times New Roman"/>
          <w:sz w:val="24"/>
          <w:szCs w:val="24"/>
          <w:lang w:val="ro-RO"/>
        </w:rPr>
        <w:t xml:space="preserve">prin </w:t>
      </w:r>
      <w:r w:rsidRPr="00A73566">
        <w:rPr>
          <w:rFonts w:ascii="Times New Roman" w:hAnsi="Times New Roman" w:cs="Times New Roman"/>
          <w:sz w:val="24"/>
          <w:szCs w:val="24"/>
          <w:lang w:val="ro-RO"/>
        </w:rPr>
        <w:t>conectarea sectoarelor conexe, cum ar fi producerea furajelor</w:t>
      </w:r>
      <w:r w:rsidR="00097332"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În cazul facilitării investițiilor private, este importantă eliminarea barierelor birocratice, facilitarea dezvoltării lanțului de aprovizionare cu materie primă și material semincer, dar și dezvoltare</w:t>
      </w:r>
      <w:r w:rsidR="00097332" w:rsidRPr="00A73566">
        <w:rPr>
          <w:rFonts w:ascii="Times New Roman" w:hAnsi="Times New Roman" w:cs="Times New Roman"/>
          <w:sz w:val="24"/>
          <w:szCs w:val="24"/>
          <w:lang w:val="ro-RO"/>
        </w:rPr>
        <w:t>a</w:t>
      </w:r>
      <w:r w:rsidRPr="00A73566">
        <w:rPr>
          <w:rFonts w:ascii="Times New Roman" w:hAnsi="Times New Roman" w:cs="Times New Roman"/>
          <w:sz w:val="24"/>
          <w:szCs w:val="24"/>
          <w:lang w:val="ro-RO"/>
        </w:rPr>
        <w:t xml:space="preserve"> capacităților de certificare în vederea deschiderii oportunităților de export. </w:t>
      </w:r>
    </w:p>
    <w:p w14:paraId="41775038" w14:textId="77777777" w:rsidR="005D330A" w:rsidRPr="00A73566" w:rsidRDefault="005D330A" w:rsidP="00E720EE">
      <w:pPr>
        <w:pStyle w:val="ListParagraph"/>
        <w:numPr>
          <w:ilvl w:val="0"/>
          <w:numId w:val="17"/>
        </w:numPr>
        <w:rPr>
          <w:rFonts w:ascii="Times New Roman" w:hAnsi="Times New Roman" w:cs="Times New Roman"/>
          <w:sz w:val="24"/>
          <w:szCs w:val="24"/>
          <w:lang w:val="ro-RO"/>
        </w:rPr>
      </w:pPr>
      <w:r w:rsidRPr="00A73566">
        <w:rPr>
          <w:rFonts w:ascii="Times New Roman" w:hAnsi="Times New Roman" w:cs="Times New Roman"/>
          <w:sz w:val="24"/>
          <w:szCs w:val="24"/>
          <w:lang w:val="ro-RO"/>
        </w:rPr>
        <w:t>Dezvoltarea sectorului de procesare a producției agricole</w:t>
      </w:r>
    </w:p>
    <w:p w14:paraId="194D50E2" w14:textId="7577CD7A" w:rsidR="005D330A"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Lanțul valorii adăugate </w:t>
      </w:r>
      <w:r w:rsidR="00097332" w:rsidRPr="00A73566">
        <w:rPr>
          <w:rFonts w:ascii="Times New Roman" w:hAnsi="Times New Roman" w:cs="Times New Roman"/>
          <w:sz w:val="24"/>
          <w:szCs w:val="24"/>
          <w:lang w:val="ro-RO"/>
        </w:rPr>
        <w:t>î</w:t>
      </w:r>
      <w:r w:rsidRPr="00A73566">
        <w:rPr>
          <w:rFonts w:ascii="Times New Roman" w:hAnsi="Times New Roman" w:cs="Times New Roman"/>
          <w:sz w:val="24"/>
          <w:szCs w:val="24"/>
          <w:lang w:val="ro-RO"/>
        </w:rPr>
        <w:t>n sectorul agroindustrial trebuie s</w:t>
      </w:r>
      <w:r w:rsidR="00097332" w:rsidRPr="00A73566">
        <w:rPr>
          <w:rFonts w:ascii="Times New Roman" w:hAnsi="Times New Roman" w:cs="Times New Roman"/>
          <w:sz w:val="24"/>
          <w:szCs w:val="24"/>
          <w:lang w:val="ro-RO"/>
        </w:rPr>
        <w:t>ă</w:t>
      </w:r>
      <w:r w:rsidRPr="00A73566">
        <w:rPr>
          <w:rFonts w:ascii="Times New Roman" w:hAnsi="Times New Roman" w:cs="Times New Roman"/>
          <w:sz w:val="24"/>
          <w:szCs w:val="24"/>
          <w:lang w:val="ro-RO"/>
        </w:rPr>
        <w:t xml:space="preserve"> se finalizeze cu segmentul de procesare</w:t>
      </w:r>
      <w:r w:rsidR="00097332" w:rsidRPr="00A73566">
        <w:rPr>
          <w:rFonts w:ascii="Times New Roman" w:hAnsi="Times New Roman" w:cs="Times New Roman"/>
          <w:sz w:val="24"/>
          <w:szCs w:val="24"/>
          <w:lang w:val="ro-RO"/>
        </w:rPr>
        <w:t xml:space="preserve"> </w:t>
      </w:r>
      <w:r w:rsidRPr="00A73566">
        <w:rPr>
          <w:rFonts w:ascii="Times New Roman" w:hAnsi="Times New Roman" w:cs="Times New Roman"/>
          <w:sz w:val="24"/>
          <w:szCs w:val="24"/>
          <w:lang w:val="ro-RO"/>
        </w:rPr>
        <w:t xml:space="preserve">a  producției agricole. Exportul producției agricole </w:t>
      </w:r>
      <w:r w:rsidR="00097332" w:rsidRPr="00A73566">
        <w:rPr>
          <w:rFonts w:ascii="Times New Roman" w:hAnsi="Times New Roman" w:cs="Times New Roman"/>
          <w:sz w:val="24"/>
          <w:szCs w:val="24"/>
          <w:lang w:val="ro-RO"/>
        </w:rPr>
        <w:t>ca</w:t>
      </w:r>
      <w:r w:rsidRPr="00A73566">
        <w:rPr>
          <w:rFonts w:ascii="Times New Roman" w:hAnsi="Times New Roman" w:cs="Times New Roman"/>
          <w:sz w:val="24"/>
          <w:szCs w:val="24"/>
          <w:lang w:val="ro-RO"/>
        </w:rPr>
        <w:t xml:space="preserve"> materie prim</w:t>
      </w:r>
      <w:r w:rsidR="00097332" w:rsidRPr="00A73566">
        <w:rPr>
          <w:rFonts w:ascii="Times New Roman" w:hAnsi="Times New Roman" w:cs="Times New Roman"/>
          <w:sz w:val="24"/>
          <w:szCs w:val="24"/>
          <w:lang w:val="ro-RO"/>
        </w:rPr>
        <w:t>ă</w:t>
      </w:r>
      <w:r w:rsidRPr="00A73566">
        <w:rPr>
          <w:rFonts w:ascii="Times New Roman" w:hAnsi="Times New Roman" w:cs="Times New Roman"/>
          <w:sz w:val="24"/>
          <w:szCs w:val="24"/>
          <w:lang w:val="ro-RO"/>
        </w:rPr>
        <w:t xml:space="preserve"> este dăunător pentru Republica Moldova atât din punct de vedere economic</w:t>
      </w:r>
      <w:r w:rsidR="007B7CDB"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cat </w:t>
      </w:r>
      <w:r w:rsidR="007B7CDB" w:rsidRPr="00A73566">
        <w:rPr>
          <w:rFonts w:ascii="Times New Roman" w:hAnsi="Times New Roman" w:cs="Times New Roman"/>
          <w:sz w:val="24"/>
          <w:szCs w:val="24"/>
          <w:lang w:val="ro-RO"/>
        </w:rPr>
        <w:t>ș</w:t>
      </w:r>
      <w:r w:rsidRPr="00A73566">
        <w:rPr>
          <w:rFonts w:ascii="Times New Roman" w:hAnsi="Times New Roman" w:cs="Times New Roman"/>
          <w:sz w:val="24"/>
          <w:szCs w:val="24"/>
          <w:lang w:val="ro-RO"/>
        </w:rPr>
        <w:t>i din punct de vedere social</w:t>
      </w:r>
      <w:r w:rsidR="007B7CDB" w:rsidRPr="00A73566">
        <w:rPr>
          <w:rFonts w:ascii="Times New Roman" w:hAnsi="Times New Roman" w:cs="Times New Roman"/>
          <w:sz w:val="24"/>
          <w:szCs w:val="24"/>
          <w:lang w:val="ro-RO"/>
        </w:rPr>
        <w:t>. E</w:t>
      </w:r>
      <w:r w:rsidRPr="00A73566">
        <w:rPr>
          <w:rFonts w:ascii="Times New Roman" w:hAnsi="Times New Roman" w:cs="Times New Roman"/>
          <w:sz w:val="24"/>
          <w:szCs w:val="24"/>
          <w:lang w:val="ro-RO"/>
        </w:rPr>
        <w:t xml:space="preserve">xodul populației </w:t>
      </w:r>
      <w:r w:rsidR="007B7CDB" w:rsidRPr="00A73566">
        <w:rPr>
          <w:rFonts w:ascii="Times New Roman" w:hAnsi="Times New Roman" w:cs="Times New Roman"/>
          <w:sz w:val="24"/>
          <w:szCs w:val="24"/>
          <w:lang w:val="ro-RO"/>
        </w:rPr>
        <w:t>este, î</w:t>
      </w:r>
      <w:r w:rsidRPr="00A73566">
        <w:rPr>
          <w:rFonts w:ascii="Times New Roman" w:hAnsi="Times New Roman" w:cs="Times New Roman"/>
          <w:sz w:val="24"/>
          <w:szCs w:val="24"/>
          <w:lang w:val="ro-RO"/>
        </w:rPr>
        <w:t>n mare măsur</w:t>
      </w:r>
      <w:r w:rsidR="007B7CDB" w:rsidRPr="00A73566">
        <w:rPr>
          <w:rFonts w:ascii="Times New Roman" w:hAnsi="Times New Roman" w:cs="Times New Roman"/>
          <w:sz w:val="24"/>
          <w:szCs w:val="24"/>
          <w:lang w:val="ro-RO"/>
        </w:rPr>
        <w:t>ă,</w:t>
      </w:r>
      <w:r w:rsidRPr="00A73566">
        <w:rPr>
          <w:rFonts w:ascii="Times New Roman" w:hAnsi="Times New Roman" w:cs="Times New Roman"/>
          <w:sz w:val="24"/>
          <w:szCs w:val="24"/>
          <w:lang w:val="ro-RO"/>
        </w:rPr>
        <w:t xml:space="preserve"> rezultatul lipsei locurilor de munca permanente și bine plătite, precum </w:t>
      </w:r>
      <w:r w:rsidR="007B7CDB" w:rsidRPr="00A73566">
        <w:rPr>
          <w:rFonts w:ascii="Times New Roman" w:hAnsi="Times New Roman" w:cs="Times New Roman"/>
          <w:sz w:val="24"/>
          <w:szCs w:val="24"/>
          <w:lang w:val="ro-RO"/>
        </w:rPr>
        <w:t>ș</w:t>
      </w:r>
      <w:r w:rsidRPr="00A73566">
        <w:rPr>
          <w:rFonts w:ascii="Times New Roman" w:hAnsi="Times New Roman" w:cs="Times New Roman"/>
          <w:sz w:val="24"/>
          <w:szCs w:val="24"/>
          <w:lang w:val="ro-RO"/>
        </w:rPr>
        <w:t>i a valorii adăugate reduse, ce nu permite asigurarea dezvoltării sustenabile a sectorului. Sarcina</w:t>
      </w:r>
      <w:r w:rsidR="007B7CDB" w:rsidRPr="00A73566">
        <w:rPr>
          <w:rFonts w:ascii="Times New Roman" w:hAnsi="Times New Roman" w:cs="Times New Roman"/>
          <w:sz w:val="24"/>
          <w:szCs w:val="24"/>
          <w:lang w:val="ro-RO"/>
        </w:rPr>
        <w:t xml:space="preserve"> pentru</w:t>
      </w:r>
      <w:r w:rsidRPr="00A73566">
        <w:rPr>
          <w:rFonts w:ascii="Times New Roman" w:hAnsi="Times New Roman" w:cs="Times New Roman"/>
          <w:sz w:val="24"/>
          <w:szCs w:val="24"/>
          <w:lang w:val="ro-RO"/>
        </w:rPr>
        <w:t xml:space="preserve"> perioad</w:t>
      </w:r>
      <w:r w:rsidR="007B7CDB" w:rsidRPr="00A73566">
        <w:rPr>
          <w:rFonts w:ascii="Times New Roman" w:hAnsi="Times New Roman" w:cs="Times New Roman"/>
          <w:sz w:val="24"/>
          <w:szCs w:val="24"/>
          <w:lang w:val="ro-RO"/>
        </w:rPr>
        <w:t>a</w:t>
      </w:r>
      <w:r w:rsidRPr="00A73566">
        <w:rPr>
          <w:rFonts w:ascii="Times New Roman" w:hAnsi="Times New Roman" w:cs="Times New Roman"/>
          <w:sz w:val="24"/>
          <w:szCs w:val="24"/>
          <w:lang w:val="ro-RO"/>
        </w:rPr>
        <w:t xml:space="preserve"> următoare const</w:t>
      </w:r>
      <w:r w:rsidR="007B7CDB" w:rsidRPr="00A73566">
        <w:rPr>
          <w:rFonts w:ascii="Times New Roman" w:hAnsi="Times New Roman" w:cs="Times New Roman"/>
          <w:sz w:val="24"/>
          <w:szCs w:val="24"/>
          <w:lang w:val="ro-RO"/>
        </w:rPr>
        <w:t>ă</w:t>
      </w:r>
      <w:r w:rsidRPr="00A73566">
        <w:rPr>
          <w:rFonts w:ascii="Times New Roman" w:hAnsi="Times New Roman" w:cs="Times New Roman"/>
          <w:sz w:val="24"/>
          <w:szCs w:val="24"/>
          <w:lang w:val="ro-RO"/>
        </w:rPr>
        <w:t xml:space="preserve"> în canalizarea eforturilor entităților statului </w:t>
      </w:r>
      <w:r w:rsidR="007B7CDB" w:rsidRPr="00A73566">
        <w:rPr>
          <w:rFonts w:ascii="Times New Roman" w:hAnsi="Times New Roman" w:cs="Times New Roman"/>
          <w:sz w:val="24"/>
          <w:szCs w:val="24"/>
          <w:lang w:val="ro-RO"/>
        </w:rPr>
        <w:t>ș</w:t>
      </w:r>
      <w:r w:rsidRPr="00A73566">
        <w:rPr>
          <w:rFonts w:ascii="Times New Roman" w:hAnsi="Times New Roman" w:cs="Times New Roman"/>
          <w:sz w:val="24"/>
          <w:szCs w:val="24"/>
          <w:lang w:val="ro-RO"/>
        </w:rPr>
        <w:t xml:space="preserve">i businessului privat pentru atragerea investițiilor </w:t>
      </w:r>
      <w:r w:rsidR="007B7CDB" w:rsidRPr="00A73566">
        <w:rPr>
          <w:rFonts w:ascii="Times New Roman" w:hAnsi="Times New Roman" w:cs="Times New Roman"/>
          <w:sz w:val="24"/>
          <w:szCs w:val="24"/>
          <w:lang w:val="ro-RO"/>
        </w:rPr>
        <w:t>î</w:t>
      </w:r>
      <w:r w:rsidRPr="00A73566">
        <w:rPr>
          <w:rFonts w:ascii="Times New Roman" w:hAnsi="Times New Roman" w:cs="Times New Roman"/>
          <w:sz w:val="24"/>
          <w:szCs w:val="24"/>
          <w:lang w:val="ro-RO"/>
        </w:rPr>
        <w:t>n infrastructura de procesare a producției agricole</w:t>
      </w:r>
      <w:r w:rsidR="007B7CDB"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micșorând la maximum exportul materiei prime.     </w:t>
      </w:r>
    </w:p>
    <w:p w14:paraId="4624AE17" w14:textId="77777777" w:rsidR="005D330A" w:rsidRPr="00A73566" w:rsidRDefault="005D330A" w:rsidP="00E720EE">
      <w:pPr>
        <w:pStyle w:val="ListParagraph"/>
        <w:numPr>
          <w:ilvl w:val="0"/>
          <w:numId w:val="16"/>
        </w:numPr>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Creșterea calității vieții în mediul rural </w:t>
      </w:r>
    </w:p>
    <w:p w14:paraId="083786D8" w14:textId="5AFA5DAD" w:rsidR="005D330A" w:rsidRPr="00A73566" w:rsidRDefault="007B7CDB"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Dezvoltarea s</w:t>
      </w:r>
      <w:r w:rsidR="005D330A" w:rsidRPr="00A73566">
        <w:rPr>
          <w:rFonts w:ascii="Times New Roman" w:hAnsi="Times New Roman" w:cs="Times New Roman"/>
          <w:sz w:val="24"/>
          <w:szCs w:val="24"/>
          <w:lang w:val="ro-RO"/>
        </w:rPr>
        <w:t>ectorul</w:t>
      </w:r>
      <w:r w:rsidRPr="00A73566">
        <w:rPr>
          <w:rFonts w:ascii="Times New Roman" w:hAnsi="Times New Roman" w:cs="Times New Roman"/>
          <w:sz w:val="24"/>
          <w:szCs w:val="24"/>
          <w:lang w:val="ro-RO"/>
        </w:rPr>
        <w:t>ui</w:t>
      </w:r>
      <w:r w:rsidR="005D330A" w:rsidRPr="00A73566">
        <w:rPr>
          <w:rFonts w:ascii="Times New Roman" w:hAnsi="Times New Roman" w:cs="Times New Roman"/>
          <w:sz w:val="24"/>
          <w:szCs w:val="24"/>
          <w:lang w:val="ro-RO"/>
        </w:rPr>
        <w:t xml:space="preserve"> agricol este strâns legată de </w:t>
      </w:r>
      <w:r w:rsidRPr="00A73566">
        <w:rPr>
          <w:rFonts w:ascii="Times New Roman" w:hAnsi="Times New Roman" w:cs="Times New Roman"/>
          <w:sz w:val="24"/>
          <w:szCs w:val="24"/>
          <w:lang w:val="ro-RO"/>
        </w:rPr>
        <w:t xml:space="preserve"> </w:t>
      </w:r>
      <w:r w:rsidR="005D330A" w:rsidRPr="00A73566">
        <w:rPr>
          <w:rFonts w:ascii="Times New Roman" w:hAnsi="Times New Roman" w:cs="Times New Roman"/>
          <w:sz w:val="24"/>
          <w:szCs w:val="24"/>
          <w:lang w:val="ro-RO"/>
        </w:rPr>
        <w:t>dezvoltarea mediului rural. Astfel, sectorul agricol este direct și în cea mai mare măsură afectat de stagnarea nivelului calității vieții în mediul rural. Creșterea calității vieții în mediul rural este esențială</w:t>
      </w:r>
      <w:r w:rsidRPr="00A73566">
        <w:rPr>
          <w:rFonts w:ascii="Times New Roman" w:hAnsi="Times New Roman" w:cs="Times New Roman"/>
          <w:sz w:val="24"/>
          <w:szCs w:val="24"/>
          <w:lang w:val="ro-RO"/>
        </w:rPr>
        <w:t>,</w:t>
      </w:r>
      <w:r w:rsidR="005D330A" w:rsidRPr="00A73566">
        <w:rPr>
          <w:rFonts w:ascii="Times New Roman" w:hAnsi="Times New Roman" w:cs="Times New Roman"/>
          <w:sz w:val="24"/>
          <w:szCs w:val="24"/>
          <w:lang w:val="ro-RO"/>
        </w:rPr>
        <w:t xml:space="preserve"> în primul rând</w:t>
      </w:r>
      <w:r w:rsidRPr="00A73566">
        <w:rPr>
          <w:rFonts w:ascii="Times New Roman" w:hAnsi="Times New Roman" w:cs="Times New Roman"/>
          <w:sz w:val="24"/>
          <w:szCs w:val="24"/>
          <w:lang w:val="ro-RO"/>
        </w:rPr>
        <w:t>,</w:t>
      </w:r>
      <w:r w:rsidR="005D330A" w:rsidRPr="00A73566">
        <w:rPr>
          <w:rFonts w:ascii="Times New Roman" w:hAnsi="Times New Roman" w:cs="Times New Roman"/>
          <w:sz w:val="24"/>
          <w:szCs w:val="24"/>
          <w:lang w:val="ro-RO"/>
        </w:rPr>
        <w:t xml:space="preserve"> pentru stoparea exodului populației în zonele urbane sau peste hotarele țării, dar și pentru asigurarea unei echități sociale în vederea asigurării la serviciile publice fundamentale a tuturor cetățenilor. Una din sarcinile cheie ce urmează a fi realizate în perioada următoare rămâne a fi  facilitarea dezvoltării afacerilor agricole care ar asigura angajarea forței de munca pentru perioada unui an agricol cu salarii competitive</w:t>
      </w:r>
      <w:r w:rsidRPr="00A73566">
        <w:rPr>
          <w:rFonts w:ascii="Times New Roman" w:hAnsi="Times New Roman" w:cs="Times New Roman"/>
          <w:sz w:val="24"/>
          <w:szCs w:val="24"/>
          <w:lang w:val="ro-RO"/>
        </w:rPr>
        <w:t>.</w:t>
      </w:r>
      <w:r w:rsidR="005D330A" w:rsidRPr="00A73566">
        <w:rPr>
          <w:rFonts w:ascii="Times New Roman" w:hAnsi="Times New Roman" w:cs="Times New Roman"/>
          <w:sz w:val="24"/>
          <w:szCs w:val="24"/>
          <w:lang w:val="ro-RO"/>
        </w:rPr>
        <w:t xml:space="preserve"> </w:t>
      </w:r>
    </w:p>
    <w:p w14:paraId="6885694F" w14:textId="2FA53F35" w:rsidR="00401C15" w:rsidRPr="00A73566" w:rsidRDefault="005D330A"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Investițiile în infrastructura rurală urmează a fi canalizate către domeniile cele mai vulnerabile și esențiale din punct de vedere a calității vieții</w:t>
      </w:r>
      <w:r w:rsidR="007B7CDB"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și anume</w:t>
      </w:r>
      <w:r w:rsidR="007B7CDB" w:rsidRPr="00A73566">
        <w:rPr>
          <w:rFonts w:ascii="Times New Roman" w:hAnsi="Times New Roman" w:cs="Times New Roman"/>
          <w:sz w:val="24"/>
          <w:szCs w:val="24"/>
          <w:lang w:val="ro-RO"/>
        </w:rPr>
        <w:t>:</w:t>
      </w:r>
      <w:r w:rsidRPr="00A73566">
        <w:rPr>
          <w:rFonts w:ascii="Times New Roman" w:hAnsi="Times New Roman" w:cs="Times New Roman"/>
          <w:sz w:val="24"/>
          <w:szCs w:val="24"/>
          <w:lang w:val="ro-RO"/>
        </w:rPr>
        <w:t xml:space="preserve"> dezvoltarea infrastructurii de apă și canalizare, construcția drumurilor, creșterea infrastructurii sociale. </w:t>
      </w:r>
    </w:p>
    <w:p w14:paraId="15A5C83E" w14:textId="77777777" w:rsidR="00F71C1C" w:rsidRPr="00A73566" w:rsidRDefault="00F71C1C" w:rsidP="00501B46">
      <w:pPr>
        <w:ind w:firstLine="426"/>
        <w:rPr>
          <w:rFonts w:ascii="Times New Roman" w:hAnsi="Times New Roman" w:cs="Times New Roman"/>
          <w:sz w:val="24"/>
          <w:szCs w:val="24"/>
          <w:lang w:val="ro-RO"/>
        </w:rPr>
      </w:pPr>
    </w:p>
    <w:p w14:paraId="3DAE5044" w14:textId="5FA85723" w:rsidR="00401C15" w:rsidRPr="00A73566" w:rsidRDefault="00401C15" w:rsidP="00F0137B">
      <w:pPr>
        <w:pStyle w:val="Heading1"/>
        <w:spacing w:after="360"/>
        <w:ind w:left="360" w:hanging="360"/>
        <w:rPr>
          <w:rFonts w:ascii="Times New Roman" w:hAnsi="Times New Roman" w:cs="Times New Roman"/>
          <w:lang w:val="ro-RO"/>
        </w:rPr>
      </w:pPr>
      <w:bookmarkStart w:id="131" w:name="_Toc86496363"/>
      <w:bookmarkStart w:id="132" w:name="_Toc88132126"/>
      <w:r w:rsidRPr="00A73566">
        <w:rPr>
          <w:rFonts w:ascii="Times New Roman" w:hAnsi="Times New Roman" w:cs="Times New Roman"/>
          <w:lang w:val="ro-RO"/>
        </w:rPr>
        <w:t>Indicatori de Monitorizare și Evaluare</w:t>
      </w:r>
      <w:bookmarkEnd w:id="131"/>
      <w:bookmarkEnd w:id="132"/>
    </w:p>
    <w:p w14:paraId="7ED87A98" w14:textId="77777777" w:rsidR="00C37CB1" w:rsidRPr="00A73566" w:rsidRDefault="00C37CB1" w:rsidP="0082182E">
      <w:pPr>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Cadrul de indicatori ai Strategiei este structurat pe pilonii strategici ai documentului. Astfel la nivelul obiectivului general, impactul intervențiilor va fi estimat prin intermediul indicatorilor de impact. Formularea acestora corespunde atât cadrului de programare (termen de 7 ani), cât și angajamentelor strategice la nivel de țară – indicatorii de impact aferenți politicii de dezvoltare agricolă și rurală formulată în cadrul SND 2030, precum și alinierea la indicatorii formulații de către Politica Agricolă Comună. </w:t>
      </w:r>
    </w:p>
    <w:p w14:paraId="01070C05" w14:textId="77777777" w:rsidR="00130AB1" w:rsidRPr="00A73566" w:rsidRDefault="00C37CB1" w:rsidP="0082182E">
      <w:pPr>
        <w:spacing w:after="160" w:line="256" w:lineRule="auto"/>
        <w:ind w:firstLine="567"/>
        <w:rPr>
          <w:rFonts w:ascii="Times New Roman" w:hAnsi="Times New Roman" w:cs="Times New Roman"/>
          <w:sz w:val="24"/>
          <w:szCs w:val="24"/>
          <w:lang w:val="ro-RO"/>
        </w:rPr>
      </w:pPr>
      <w:r w:rsidRPr="00A73566">
        <w:rPr>
          <w:rFonts w:ascii="Times New Roman" w:hAnsi="Times New Roman" w:cs="Times New Roman"/>
          <w:sz w:val="24"/>
          <w:szCs w:val="24"/>
          <w:lang w:val="ro-RO"/>
        </w:rPr>
        <w:t>Indicatorii de impact urmăresc efectul cumulativ al politicii asupra dezvoltării sectorului agricol și a îmbunătățirii nivelului de trai în mediul rural și urmează să fie resimțite pe termen lung.</w:t>
      </w:r>
    </w:p>
    <w:p w14:paraId="020CF64F" w14:textId="2F4628B8" w:rsidR="00130AB1" w:rsidRPr="0082182E" w:rsidRDefault="00130AB1" w:rsidP="00C37CB1">
      <w:pPr>
        <w:spacing w:after="160" w:line="256" w:lineRule="auto"/>
        <w:rPr>
          <w:rFonts w:ascii="Times New Roman" w:hAnsi="Times New Roman" w:cs="Times New Roman"/>
          <w:b/>
          <w:caps/>
          <w:color w:val="134753" w:themeColor="text2"/>
          <w:sz w:val="18"/>
          <w:szCs w:val="18"/>
          <w:lang w:val="ro-RO"/>
        </w:rPr>
      </w:pPr>
      <w:r w:rsidRPr="0082182E">
        <w:rPr>
          <w:rFonts w:ascii="Times New Roman" w:hAnsi="Times New Roman" w:cs="Times New Roman"/>
          <w:b/>
          <w:caps/>
          <w:color w:val="134753" w:themeColor="text2"/>
          <w:sz w:val="18"/>
          <w:szCs w:val="18"/>
          <w:lang w:val="ro-RO"/>
        </w:rPr>
        <w:t xml:space="preserve">Tabelul 15. CADRUL DE INDICATORI DE IMPACT </w:t>
      </w:r>
    </w:p>
    <w:tbl>
      <w:tblPr>
        <w:tblW w:w="9654" w:type="dxa"/>
        <w:tblInd w:w="93" w:type="dxa"/>
        <w:tblLook w:val="04A0" w:firstRow="1" w:lastRow="0" w:firstColumn="1" w:lastColumn="0" w:noHBand="0" w:noVBand="1"/>
      </w:tblPr>
      <w:tblGrid>
        <w:gridCol w:w="2080"/>
        <w:gridCol w:w="3605"/>
        <w:gridCol w:w="2127"/>
        <w:gridCol w:w="1842"/>
      </w:tblGrid>
      <w:tr w:rsidR="009671FA" w:rsidRPr="0082182E" w14:paraId="48411891" w14:textId="77777777" w:rsidTr="009671FA">
        <w:trPr>
          <w:trHeight w:val="330"/>
        </w:trPr>
        <w:tc>
          <w:tcPr>
            <w:tcW w:w="2080"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7F6A815A" w14:textId="77777777" w:rsidR="009671FA" w:rsidRPr="0082182E" w:rsidRDefault="009671FA" w:rsidP="009671FA">
            <w:pPr>
              <w:spacing w:after="0"/>
              <w:jc w:val="center"/>
              <w:rPr>
                <w:rFonts w:ascii="Times New Roman" w:eastAsia="Times New Roman" w:hAnsi="Times New Roman" w:cs="Times New Roman"/>
                <w:b/>
                <w:bCs/>
                <w:color w:val="000000"/>
                <w:sz w:val="18"/>
                <w:szCs w:val="18"/>
                <w:lang w:val="ro-RO" w:eastAsia="ru-RU"/>
              </w:rPr>
            </w:pPr>
            <w:r w:rsidRPr="0082182E">
              <w:rPr>
                <w:rFonts w:ascii="Times New Roman" w:eastAsia="Times New Roman" w:hAnsi="Times New Roman" w:cs="Times New Roman"/>
                <w:b/>
                <w:bCs/>
                <w:color w:val="FFFFFF"/>
                <w:sz w:val="18"/>
                <w:szCs w:val="18"/>
                <w:lang w:val="ro-RO" w:eastAsia="ru-RU"/>
              </w:rPr>
              <w:t>OBIECTIV GENERAL</w:t>
            </w:r>
          </w:p>
        </w:tc>
        <w:tc>
          <w:tcPr>
            <w:tcW w:w="3605" w:type="dxa"/>
            <w:tcBorders>
              <w:top w:val="single" w:sz="8" w:space="0" w:color="auto"/>
              <w:left w:val="nil"/>
              <w:bottom w:val="single" w:sz="8" w:space="0" w:color="auto"/>
              <w:right w:val="single" w:sz="8" w:space="0" w:color="auto"/>
            </w:tcBorders>
            <w:shd w:val="clear" w:color="000000" w:fill="0E353E"/>
            <w:vAlign w:val="center"/>
            <w:hideMark/>
          </w:tcPr>
          <w:p w14:paraId="33F14EA9"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INDICATOR DE IMPACT</w:t>
            </w:r>
          </w:p>
        </w:tc>
        <w:tc>
          <w:tcPr>
            <w:tcW w:w="2127" w:type="dxa"/>
            <w:tcBorders>
              <w:top w:val="single" w:sz="8" w:space="0" w:color="auto"/>
              <w:left w:val="nil"/>
              <w:bottom w:val="single" w:sz="8" w:space="0" w:color="auto"/>
              <w:right w:val="single" w:sz="8" w:space="0" w:color="auto"/>
            </w:tcBorders>
            <w:shd w:val="clear" w:color="000000" w:fill="0E353E"/>
            <w:vAlign w:val="center"/>
            <w:hideMark/>
          </w:tcPr>
          <w:p w14:paraId="4B6371B3"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VALOAREA DE REFERINȚĂ 2020</w:t>
            </w:r>
          </w:p>
        </w:tc>
        <w:tc>
          <w:tcPr>
            <w:tcW w:w="1842" w:type="dxa"/>
            <w:tcBorders>
              <w:top w:val="single" w:sz="8" w:space="0" w:color="auto"/>
              <w:left w:val="nil"/>
              <w:bottom w:val="single" w:sz="8" w:space="0" w:color="auto"/>
              <w:right w:val="single" w:sz="8" w:space="0" w:color="auto"/>
            </w:tcBorders>
            <w:shd w:val="clear" w:color="000000" w:fill="0E353E"/>
            <w:vAlign w:val="center"/>
            <w:hideMark/>
          </w:tcPr>
          <w:p w14:paraId="410DC4BB"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ȚINTĂ 2027</w:t>
            </w:r>
          </w:p>
        </w:tc>
      </w:tr>
      <w:tr w:rsidR="009671FA" w:rsidRPr="0082182E" w14:paraId="5C456565" w14:textId="77777777" w:rsidTr="009671FA">
        <w:trPr>
          <w:trHeight w:val="31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4585C54"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OG1. Consolidarea potențialului sectorului agricol rezilient la schimbările climatice</w:t>
            </w:r>
          </w:p>
        </w:tc>
        <w:tc>
          <w:tcPr>
            <w:tcW w:w="3605" w:type="dxa"/>
            <w:tcBorders>
              <w:top w:val="nil"/>
              <w:left w:val="nil"/>
              <w:bottom w:val="single" w:sz="8" w:space="0" w:color="auto"/>
              <w:right w:val="single" w:sz="8" w:space="0" w:color="auto"/>
            </w:tcBorders>
            <w:shd w:val="clear" w:color="auto" w:fill="auto"/>
            <w:vAlign w:val="center"/>
            <w:hideMark/>
          </w:tcPr>
          <w:p w14:paraId="4CDABA56"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utilizării inputurilor locale în agricultură (%)</w:t>
            </w:r>
          </w:p>
        </w:tc>
        <w:tc>
          <w:tcPr>
            <w:tcW w:w="2127" w:type="dxa"/>
            <w:tcBorders>
              <w:top w:val="nil"/>
              <w:left w:val="nil"/>
              <w:bottom w:val="single" w:sz="8" w:space="0" w:color="auto"/>
              <w:right w:val="single" w:sz="8" w:space="0" w:color="auto"/>
            </w:tcBorders>
            <w:shd w:val="clear" w:color="auto" w:fill="auto"/>
            <w:vAlign w:val="center"/>
            <w:hideMark/>
          </w:tcPr>
          <w:p w14:paraId="7E2B5B71"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n/a</w:t>
            </w:r>
          </w:p>
        </w:tc>
        <w:tc>
          <w:tcPr>
            <w:tcW w:w="1842" w:type="dxa"/>
            <w:tcBorders>
              <w:top w:val="nil"/>
              <w:left w:val="nil"/>
              <w:bottom w:val="single" w:sz="8" w:space="0" w:color="auto"/>
              <w:right w:val="single" w:sz="8" w:space="0" w:color="auto"/>
            </w:tcBorders>
            <w:shd w:val="clear" w:color="auto" w:fill="auto"/>
            <w:vAlign w:val="center"/>
            <w:hideMark/>
          </w:tcPr>
          <w:p w14:paraId="605FF4F6"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w:t>
            </w:r>
          </w:p>
        </w:tc>
      </w:tr>
      <w:tr w:rsidR="009671FA" w:rsidRPr="0082182E" w14:paraId="102C463E"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6D4FC056"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27928B9E" w14:textId="0FCF05FB" w:rsidR="009671FA" w:rsidRPr="0082182E" w:rsidRDefault="002E5BA2"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 produse alimen</w:t>
            </w:r>
            <w:r w:rsidR="009671FA" w:rsidRPr="0082182E">
              <w:rPr>
                <w:rFonts w:ascii="Times New Roman" w:eastAsia="Times New Roman" w:hAnsi="Times New Roman" w:cs="Times New Roman"/>
                <w:color w:val="000000"/>
                <w:sz w:val="18"/>
                <w:szCs w:val="18"/>
                <w:lang w:val="ro-RO" w:eastAsia="ru-RU"/>
              </w:rPr>
              <w:t>tare ecologice (%)</w:t>
            </w:r>
          </w:p>
        </w:tc>
        <w:tc>
          <w:tcPr>
            <w:tcW w:w="2127" w:type="dxa"/>
            <w:tcBorders>
              <w:top w:val="nil"/>
              <w:left w:val="nil"/>
              <w:bottom w:val="single" w:sz="8" w:space="0" w:color="auto"/>
              <w:right w:val="single" w:sz="8" w:space="0" w:color="auto"/>
            </w:tcBorders>
            <w:shd w:val="clear" w:color="auto" w:fill="auto"/>
            <w:vAlign w:val="center"/>
            <w:hideMark/>
          </w:tcPr>
          <w:p w14:paraId="3C030749"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5%</w:t>
            </w:r>
          </w:p>
        </w:tc>
        <w:tc>
          <w:tcPr>
            <w:tcW w:w="1842" w:type="dxa"/>
            <w:tcBorders>
              <w:top w:val="nil"/>
              <w:left w:val="nil"/>
              <w:bottom w:val="single" w:sz="8" w:space="0" w:color="auto"/>
              <w:right w:val="single" w:sz="8" w:space="0" w:color="auto"/>
            </w:tcBorders>
            <w:shd w:val="clear" w:color="auto" w:fill="auto"/>
            <w:vAlign w:val="center"/>
            <w:hideMark/>
          </w:tcPr>
          <w:p w14:paraId="5B3B6205"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25%</w:t>
            </w:r>
          </w:p>
        </w:tc>
      </w:tr>
      <w:tr w:rsidR="009671FA" w:rsidRPr="0082182E" w14:paraId="3377F856"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0D8F65A2"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513AB8AA" w14:textId="1D835F0A"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Contribuți</w:t>
            </w:r>
            <w:r w:rsidR="002E5BA2" w:rsidRPr="0082182E">
              <w:rPr>
                <w:rFonts w:ascii="Times New Roman" w:eastAsia="Times New Roman" w:hAnsi="Times New Roman" w:cs="Times New Roman"/>
                <w:color w:val="000000"/>
                <w:sz w:val="18"/>
                <w:szCs w:val="18"/>
                <w:lang w:val="ro-RO" w:eastAsia="ru-RU"/>
              </w:rPr>
              <w:t>a agriculturii la reducerea GES</w:t>
            </w:r>
            <w:r w:rsidRPr="0082182E">
              <w:rPr>
                <w:rFonts w:ascii="Times New Roman" w:eastAsia="Times New Roman" w:hAnsi="Times New Roman" w:cs="Times New Roman"/>
                <w:color w:val="000000"/>
                <w:sz w:val="18"/>
                <w:szCs w:val="18"/>
                <w:lang w:val="ro-RO" w:eastAsia="ru-RU"/>
              </w:rPr>
              <w:t>, (Clima.md (2020), %</w:t>
            </w:r>
          </w:p>
        </w:tc>
        <w:tc>
          <w:tcPr>
            <w:tcW w:w="2127" w:type="dxa"/>
            <w:tcBorders>
              <w:top w:val="nil"/>
              <w:left w:val="nil"/>
              <w:bottom w:val="single" w:sz="8" w:space="0" w:color="auto"/>
              <w:right w:val="single" w:sz="8" w:space="0" w:color="auto"/>
            </w:tcBorders>
            <w:shd w:val="clear" w:color="auto" w:fill="auto"/>
            <w:vAlign w:val="center"/>
            <w:hideMark/>
          </w:tcPr>
          <w:p w14:paraId="54CB302B"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bookmarkStart w:id="133" w:name="RANGE!D5"/>
            <w:r w:rsidRPr="0082182E">
              <w:rPr>
                <w:rFonts w:ascii="Times New Roman" w:eastAsia="Times New Roman" w:hAnsi="Times New Roman" w:cs="Times New Roman"/>
                <w:color w:val="000000"/>
                <w:sz w:val="18"/>
                <w:szCs w:val="18"/>
                <w:lang w:val="ro-RO" w:eastAsia="ru-RU"/>
              </w:rPr>
              <w:t>48% (50%)</w:t>
            </w:r>
            <w:bookmarkEnd w:id="133"/>
          </w:p>
        </w:tc>
        <w:tc>
          <w:tcPr>
            <w:tcW w:w="1842" w:type="dxa"/>
            <w:tcBorders>
              <w:top w:val="nil"/>
              <w:left w:val="nil"/>
              <w:bottom w:val="single" w:sz="8" w:space="0" w:color="auto"/>
              <w:right w:val="single" w:sz="8" w:space="0" w:color="auto"/>
            </w:tcBorders>
            <w:shd w:val="clear" w:color="auto" w:fill="auto"/>
            <w:vAlign w:val="center"/>
            <w:hideMark/>
          </w:tcPr>
          <w:p w14:paraId="1203B65E"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41% (44%)</w:t>
            </w:r>
          </w:p>
        </w:tc>
      </w:tr>
      <w:tr w:rsidR="009671FA" w:rsidRPr="0082182E" w14:paraId="314B2C44"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1C7EB9F6"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44B0C71E" w14:textId="709755E8" w:rsidR="009671FA" w:rsidRPr="0082182E" w:rsidRDefault="002E5BA2"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Mă</w:t>
            </w:r>
            <w:r w:rsidR="009671FA" w:rsidRPr="0082182E">
              <w:rPr>
                <w:rFonts w:ascii="Times New Roman" w:eastAsia="Times New Roman" w:hAnsi="Times New Roman" w:cs="Times New Roman"/>
                <w:color w:val="000000"/>
                <w:sz w:val="18"/>
                <w:szCs w:val="18"/>
                <w:lang w:val="ro-RO" w:eastAsia="ru-RU"/>
              </w:rPr>
              <w:t>rimea medie a exploatației agricole (HG 357/2020), ha</w:t>
            </w:r>
          </w:p>
        </w:tc>
        <w:tc>
          <w:tcPr>
            <w:tcW w:w="2127" w:type="dxa"/>
            <w:tcBorders>
              <w:top w:val="nil"/>
              <w:left w:val="nil"/>
              <w:bottom w:val="single" w:sz="8" w:space="0" w:color="auto"/>
              <w:right w:val="single" w:sz="8" w:space="0" w:color="auto"/>
            </w:tcBorders>
            <w:shd w:val="clear" w:color="auto" w:fill="auto"/>
            <w:vAlign w:val="center"/>
            <w:hideMark/>
          </w:tcPr>
          <w:p w14:paraId="4CD39EF1"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1,53</w:t>
            </w:r>
          </w:p>
        </w:tc>
        <w:tc>
          <w:tcPr>
            <w:tcW w:w="1842" w:type="dxa"/>
            <w:tcBorders>
              <w:top w:val="nil"/>
              <w:left w:val="nil"/>
              <w:bottom w:val="single" w:sz="8" w:space="0" w:color="auto"/>
              <w:right w:val="single" w:sz="8" w:space="0" w:color="auto"/>
            </w:tcBorders>
            <w:shd w:val="clear" w:color="auto" w:fill="auto"/>
            <w:vAlign w:val="center"/>
            <w:hideMark/>
          </w:tcPr>
          <w:p w14:paraId="6D85639B"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2.05  (+0.5% anual)</w:t>
            </w:r>
          </w:p>
        </w:tc>
      </w:tr>
      <w:tr w:rsidR="009671FA" w:rsidRPr="0082182E" w14:paraId="5D098B33" w14:textId="77777777" w:rsidTr="009671FA">
        <w:trPr>
          <w:trHeight w:val="31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BEE0964"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OG2. Promovarea practicilor agricole inteligente, eficiente și durabile</w:t>
            </w:r>
          </w:p>
        </w:tc>
        <w:tc>
          <w:tcPr>
            <w:tcW w:w="3605" w:type="dxa"/>
            <w:tcBorders>
              <w:top w:val="nil"/>
              <w:left w:val="nil"/>
              <w:bottom w:val="single" w:sz="8" w:space="0" w:color="auto"/>
              <w:right w:val="single" w:sz="8" w:space="0" w:color="auto"/>
            </w:tcBorders>
            <w:shd w:val="clear" w:color="auto" w:fill="auto"/>
            <w:vAlign w:val="center"/>
            <w:hideMark/>
          </w:tcPr>
          <w:p w14:paraId="65EB0F40"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Productivitatea muncii în agricultură,  BNS(2020), lei/pers</w:t>
            </w:r>
          </w:p>
        </w:tc>
        <w:tc>
          <w:tcPr>
            <w:tcW w:w="2127" w:type="dxa"/>
            <w:tcBorders>
              <w:top w:val="nil"/>
              <w:left w:val="nil"/>
              <w:bottom w:val="single" w:sz="8" w:space="0" w:color="auto"/>
              <w:right w:val="single" w:sz="8" w:space="0" w:color="auto"/>
            </w:tcBorders>
            <w:shd w:val="clear" w:color="auto" w:fill="auto"/>
            <w:vAlign w:val="center"/>
            <w:hideMark/>
          </w:tcPr>
          <w:p w14:paraId="05B506DC"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107378</w:t>
            </w:r>
          </w:p>
        </w:tc>
        <w:tc>
          <w:tcPr>
            <w:tcW w:w="1842" w:type="dxa"/>
            <w:tcBorders>
              <w:top w:val="nil"/>
              <w:left w:val="nil"/>
              <w:bottom w:val="single" w:sz="8" w:space="0" w:color="auto"/>
              <w:right w:val="single" w:sz="8" w:space="0" w:color="auto"/>
            </w:tcBorders>
            <w:shd w:val="clear" w:color="auto" w:fill="auto"/>
            <w:vAlign w:val="center"/>
            <w:hideMark/>
          </w:tcPr>
          <w:p w14:paraId="0CD4DC06"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w:t>
            </w:r>
          </w:p>
        </w:tc>
      </w:tr>
      <w:tr w:rsidR="009671FA" w:rsidRPr="0082182E" w14:paraId="6B13689C"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522E0622"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4AAE21B0"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Rata de ocupare în mediul rural (agricultura si industria de procesare)</w:t>
            </w:r>
          </w:p>
        </w:tc>
        <w:tc>
          <w:tcPr>
            <w:tcW w:w="2127" w:type="dxa"/>
            <w:tcBorders>
              <w:top w:val="nil"/>
              <w:left w:val="nil"/>
              <w:bottom w:val="single" w:sz="8" w:space="0" w:color="auto"/>
              <w:right w:val="single" w:sz="8" w:space="0" w:color="auto"/>
            </w:tcBorders>
            <w:shd w:val="clear" w:color="auto" w:fill="auto"/>
            <w:vAlign w:val="center"/>
            <w:hideMark/>
          </w:tcPr>
          <w:p w14:paraId="154F46E4"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36,3%</w:t>
            </w:r>
          </w:p>
        </w:tc>
        <w:tc>
          <w:tcPr>
            <w:tcW w:w="1842" w:type="dxa"/>
            <w:tcBorders>
              <w:top w:val="nil"/>
              <w:left w:val="nil"/>
              <w:bottom w:val="single" w:sz="8" w:space="0" w:color="auto"/>
              <w:right w:val="single" w:sz="8" w:space="0" w:color="auto"/>
            </w:tcBorders>
            <w:shd w:val="clear" w:color="auto" w:fill="auto"/>
            <w:vAlign w:val="center"/>
            <w:hideMark/>
          </w:tcPr>
          <w:p w14:paraId="1D5F462A"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40%</w:t>
            </w:r>
          </w:p>
        </w:tc>
      </w:tr>
      <w:tr w:rsidR="009671FA" w:rsidRPr="0082182E" w14:paraId="5B4D9F66" w14:textId="77777777" w:rsidTr="009671FA">
        <w:trPr>
          <w:trHeight w:val="525"/>
        </w:trPr>
        <w:tc>
          <w:tcPr>
            <w:tcW w:w="2080" w:type="dxa"/>
            <w:vMerge/>
            <w:tcBorders>
              <w:top w:val="nil"/>
              <w:left w:val="single" w:sz="8" w:space="0" w:color="auto"/>
              <w:bottom w:val="single" w:sz="8" w:space="0" w:color="000000"/>
              <w:right w:val="single" w:sz="8" w:space="0" w:color="auto"/>
            </w:tcBorders>
            <w:vAlign w:val="center"/>
            <w:hideMark/>
          </w:tcPr>
          <w:p w14:paraId="62A12114"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5A7EF892"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cheltuitelor pentru educație, cercetare și inovare în domeniul agricol, MF (2020), %</w:t>
            </w:r>
          </w:p>
        </w:tc>
        <w:tc>
          <w:tcPr>
            <w:tcW w:w="2127" w:type="dxa"/>
            <w:tcBorders>
              <w:top w:val="nil"/>
              <w:left w:val="nil"/>
              <w:bottom w:val="single" w:sz="8" w:space="0" w:color="auto"/>
              <w:right w:val="single" w:sz="8" w:space="0" w:color="auto"/>
            </w:tcBorders>
            <w:shd w:val="clear" w:color="auto" w:fill="auto"/>
            <w:vAlign w:val="center"/>
            <w:hideMark/>
          </w:tcPr>
          <w:p w14:paraId="5412DFFD"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0,09%</w:t>
            </w:r>
          </w:p>
        </w:tc>
        <w:tc>
          <w:tcPr>
            <w:tcW w:w="1842" w:type="dxa"/>
            <w:tcBorders>
              <w:top w:val="nil"/>
              <w:left w:val="nil"/>
              <w:bottom w:val="single" w:sz="8" w:space="0" w:color="auto"/>
              <w:right w:val="single" w:sz="8" w:space="0" w:color="auto"/>
            </w:tcBorders>
            <w:shd w:val="clear" w:color="auto" w:fill="auto"/>
            <w:vAlign w:val="center"/>
            <w:hideMark/>
          </w:tcPr>
          <w:p w14:paraId="7327DCC6"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Min 1.5%</w:t>
            </w:r>
          </w:p>
        </w:tc>
      </w:tr>
      <w:tr w:rsidR="009671FA" w:rsidRPr="0082182E" w14:paraId="57C61E68" w14:textId="77777777" w:rsidTr="009671FA">
        <w:trPr>
          <w:trHeight w:val="31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BE8F57A"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OG3. Dezvoltarea pieței locale și sporirea potențialului de export</w:t>
            </w:r>
          </w:p>
        </w:tc>
        <w:tc>
          <w:tcPr>
            <w:tcW w:w="3605" w:type="dxa"/>
            <w:tcBorders>
              <w:top w:val="nil"/>
              <w:left w:val="nil"/>
              <w:bottom w:val="nil"/>
              <w:right w:val="single" w:sz="8" w:space="0" w:color="auto"/>
            </w:tcBorders>
            <w:shd w:val="clear" w:color="auto" w:fill="auto"/>
            <w:vAlign w:val="center"/>
            <w:hideMark/>
          </w:tcPr>
          <w:p w14:paraId="431E38F7"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Contribuția la formarea PIB, BNS (2020), %</w:t>
            </w:r>
          </w:p>
        </w:tc>
        <w:tc>
          <w:tcPr>
            <w:tcW w:w="2127" w:type="dxa"/>
            <w:tcBorders>
              <w:top w:val="nil"/>
              <w:left w:val="nil"/>
              <w:bottom w:val="nil"/>
              <w:right w:val="single" w:sz="8" w:space="0" w:color="auto"/>
            </w:tcBorders>
            <w:shd w:val="clear" w:color="auto" w:fill="auto"/>
            <w:vAlign w:val="center"/>
            <w:hideMark/>
          </w:tcPr>
          <w:p w14:paraId="797C27EE"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w:t>
            </w:r>
          </w:p>
        </w:tc>
        <w:tc>
          <w:tcPr>
            <w:tcW w:w="1842" w:type="dxa"/>
            <w:tcBorders>
              <w:top w:val="nil"/>
              <w:left w:val="nil"/>
              <w:bottom w:val="nil"/>
              <w:right w:val="single" w:sz="8" w:space="0" w:color="auto"/>
            </w:tcBorders>
            <w:shd w:val="clear" w:color="auto" w:fill="auto"/>
            <w:vAlign w:val="center"/>
            <w:hideMark/>
          </w:tcPr>
          <w:p w14:paraId="2B14CB40"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w:t>
            </w:r>
          </w:p>
        </w:tc>
      </w:tr>
      <w:tr w:rsidR="009671FA" w:rsidRPr="0082182E" w14:paraId="7383B060" w14:textId="77777777" w:rsidTr="009671FA">
        <w:trPr>
          <w:trHeight w:val="300"/>
        </w:trPr>
        <w:tc>
          <w:tcPr>
            <w:tcW w:w="2080" w:type="dxa"/>
            <w:vMerge/>
            <w:tcBorders>
              <w:top w:val="nil"/>
              <w:left w:val="single" w:sz="8" w:space="0" w:color="auto"/>
              <w:bottom w:val="single" w:sz="8" w:space="0" w:color="000000"/>
              <w:right w:val="single" w:sz="8" w:space="0" w:color="auto"/>
            </w:tcBorders>
            <w:vAlign w:val="center"/>
            <w:hideMark/>
          </w:tcPr>
          <w:p w14:paraId="6689528C"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single" w:sz="8" w:space="0" w:color="auto"/>
              <w:left w:val="nil"/>
              <w:bottom w:val="nil"/>
              <w:right w:val="single" w:sz="8" w:space="0" w:color="auto"/>
            </w:tcBorders>
            <w:shd w:val="clear" w:color="auto" w:fill="auto"/>
            <w:vAlign w:val="center"/>
            <w:hideMark/>
          </w:tcPr>
          <w:p w14:paraId="3D30ABBD"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-producerea agricola</w:t>
            </w:r>
          </w:p>
        </w:tc>
        <w:tc>
          <w:tcPr>
            <w:tcW w:w="2127" w:type="dxa"/>
            <w:tcBorders>
              <w:top w:val="single" w:sz="8" w:space="0" w:color="auto"/>
              <w:left w:val="nil"/>
              <w:bottom w:val="nil"/>
              <w:right w:val="single" w:sz="8" w:space="0" w:color="auto"/>
            </w:tcBorders>
            <w:shd w:val="clear" w:color="auto" w:fill="auto"/>
            <w:vAlign w:val="center"/>
            <w:hideMark/>
          </w:tcPr>
          <w:p w14:paraId="0F393433"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9,6 %</w:t>
            </w:r>
          </w:p>
        </w:tc>
        <w:tc>
          <w:tcPr>
            <w:tcW w:w="1842" w:type="dxa"/>
            <w:tcBorders>
              <w:top w:val="single" w:sz="8" w:space="0" w:color="auto"/>
              <w:left w:val="nil"/>
              <w:bottom w:val="nil"/>
              <w:right w:val="single" w:sz="8" w:space="0" w:color="auto"/>
            </w:tcBorders>
            <w:shd w:val="clear" w:color="auto" w:fill="auto"/>
            <w:vAlign w:val="center"/>
            <w:hideMark/>
          </w:tcPr>
          <w:p w14:paraId="20944765"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12,0%</w:t>
            </w:r>
          </w:p>
        </w:tc>
      </w:tr>
      <w:tr w:rsidR="009671FA" w:rsidRPr="0082182E" w14:paraId="5B311C06"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1E12460B"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3E15CE84"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-prelucrarea producției agricole</w:t>
            </w:r>
          </w:p>
        </w:tc>
        <w:tc>
          <w:tcPr>
            <w:tcW w:w="2127" w:type="dxa"/>
            <w:tcBorders>
              <w:top w:val="nil"/>
              <w:left w:val="nil"/>
              <w:bottom w:val="single" w:sz="8" w:space="0" w:color="auto"/>
              <w:right w:val="single" w:sz="8" w:space="0" w:color="auto"/>
            </w:tcBorders>
            <w:shd w:val="clear" w:color="auto" w:fill="auto"/>
            <w:vAlign w:val="center"/>
            <w:hideMark/>
          </w:tcPr>
          <w:p w14:paraId="65A07278"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12,2%</w:t>
            </w:r>
          </w:p>
        </w:tc>
        <w:tc>
          <w:tcPr>
            <w:tcW w:w="1842" w:type="dxa"/>
            <w:tcBorders>
              <w:top w:val="nil"/>
              <w:left w:val="nil"/>
              <w:bottom w:val="single" w:sz="8" w:space="0" w:color="auto"/>
              <w:right w:val="single" w:sz="8" w:space="0" w:color="auto"/>
            </w:tcBorders>
            <w:shd w:val="clear" w:color="auto" w:fill="auto"/>
            <w:vAlign w:val="center"/>
            <w:hideMark/>
          </w:tcPr>
          <w:p w14:paraId="57546199"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14,0%</w:t>
            </w:r>
          </w:p>
        </w:tc>
      </w:tr>
      <w:tr w:rsidR="009671FA" w:rsidRPr="0082182E" w14:paraId="4C38B084"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060CEC2C"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38CD0D3B"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Volumul investițiilor în agricultură, BNS (2020), mlrd lei</w:t>
            </w:r>
          </w:p>
        </w:tc>
        <w:tc>
          <w:tcPr>
            <w:tcW w:w="2127" w:type="dxa"/>
            <w:tcBorders>
              <w:top w:val="nil"/>
              <w:left w:val="nil"/>
              <w:bottom w:val="single" w:sz="8" w:space="0" w:color="auto"/>
              <w:right w:val="single" w:sz="8" w:space="0" w:color="auto"/>
            </w:tcBorders>
            <w:shd w:val="clear" w:color="auto" w:fill="auto"/>
            <w:vAlign w:val="center"/>
            <w:hideMark/>
          </w:tcPr>
          <w:p w14:paraId="2D816195"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2,31 mlrd lei</w:t>
            </w:r>
          </w:p>
        </w:tc>
        <w:tc>
          <w:tcPr>
            <w:tcW w:w="1842" w:type="dxa"/>
            <w:tcBorders>
              <w:top w:val="nil"/>
              <w:left w:val="nil"/>
              <w:bottom w:val="single" w:sz="8" w:space="0" w:color="auto"/>
              <w:right w:val="single" w:sz="8" w:space="0" w:color="auto"/>
            </w:tcBorders>
            <w:shd w:val="clear" w:color="auto" w:fill="auto"/>
            <w:vAlign w:val="center"/>
            <w:hideMark/>
          </w:tcPr>
          <w:p w14:paraId="5789601A"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3,1 - 4,2 mlrd lei</w:t>
            </w:r>
          </w:p>
        </w:tc>
      </w:tr>
      <w:tr w:rsidR="009671FA" w:rsidRPr="0082182E" w14:paraId="5B3F2411" w14:textId="77777777" w:rsidTr="009671FA">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35D8A773"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539CA50B"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valorică a produselor procesate/finite în exportul agroalimentar  (%)</w:t>
            </w:r>
          </w:p>
        </w:tc>
        <w:tc>
          <w:tcPr>
            <w:tcW w:w="2127" w:type="dxa"/>
            <w:tcBorders>
              <w:top w:val="nil"/>
              <w:left w:val="nil"/>
              <w:bottom w:val="single" w:sz="8" w:space="0" w:color="auto"/>
              <w:right w:val="single" w:sz="8" w:space="0" w:color="auto"/>
            </w:tcBorders>
            <w:shd w:val="clear" w:color="auto" w:fill="auto"/>
            <w:vAlign w:val="center"/>
            <w:hideMark/>
          </w:tcPr>
          <w:p w14:paraId="3B746EAA"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49%</w:t>
            </w:r>
          </w:p>
        </w:tc>
        <w:tc>
          <w:tcPr>
            <w:tcW w:w="1842" w:type="dxa"/>
            <w:tcBorders>
              <w:top w:val="nil"/>
              <w:left w:val="nil"/>
              <w:bottom w:val="single" w:sz="8" w:space="0" w:color="auto"/>
              <w:right w:val="single" w:sz="8" w:space="0" w:color="auto"/>
            </w:tcBorders>
            <w:shd w:val="clear" w:color="auto" w:fill="auto"/>
            <w:vAlign w:val="center"/>
            <w:hideMark/>
          </w:tcPr>
          <w:p w14:paraId="7CC63729"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60%</w:t>
            </w:r>
          </w:p>
        </w:tc>
      </w:tr>
      <w:tr w:rsidR="009671FA" w:rsidRPr="0082182E" w14:paraId="5988E230" w14:textId="77777777" w:rsidTr="00501B46">
        <w:trPr>
          <w:trHeight w:val="360"/>
        </w:trPr>
        <w:tc>
          <w:tcPr>
            <w:tcW w:w="2080" w:type="dxa"/>
            <w:vMerge w:val="restart"/>
            <w:tcBorders>
              <w:top w:val="nil"/>
              <w:left w:val="single" w:sz="8" w:space="0" w:color="auto"/>
              <w:bottom w:val="single" w:sz="8" w:space="0" w:color="000000"/>
              <w:right w:val="single" w:sz="8" w:space="0" w:color="auto"/>
            </w:tcBorders>
            <w:shd w:val="clear" w:color="auto" w:fill="auto"/>
            <w:hideMark/>
          </w:tcPr>
          <w:p w14:paraId="205789E7" w14:textId="77777777" w:rsidR="009671FA" w:rsidRPr="0082182E" w:rsidRDefault="009671FA"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OG4. Susținerea unei dezvoltări socioeconomice rurale sustenabile</w:t>
            </w:r>
          </w:p>
        </w:tc>
        <w:tc>
          <w:tcPr>
            <w:tcW w:w="3605" w:type="dxa"/>
            <w:tcBorders>
              <w:top w:val="nil"/>
              <w:left w:val="nil"/>
              <w:bottom w:val="single" w:sz="8" w:space="0" w:color="auto"/>
              <w:right w:val="single" w:sz="8" w:space="0" w:color="auto"/>
            </w:tcBorders>
            <w:shd w:val="clear" w:color="auto" w:fill="auto"/>
            <w:vAlign w:val="center"/>
            <w:hideMark/>
          </w:tcPr>
          <w:p w14:paraId="595221B5" w14:textId="1628156E"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Rata </w:t>
            </w:r>
            <w:r w:rsidR="002E5BA2" w:rsidRPr="0082182E">
              <w:rPr>
                <w:rFonts w:ascii="Times New Roman" w:eastAsia="Times New Roman" w:hAnsi="Times New Roman" w:cs="Times New Roman"/>
                <w:color w:val="000000"/>
                <w:sz w:val="18"/>
                <w:szCs w:val="18"/>
                <w:lang w:val="ro-RO" w:eastAsia="ru-RU"/>
              </w:rPr>
              <w:t>sărăciei</w:t>
            </w:r>
            <w:r w:rsidRPr="0082182E">
              <w:rPr>
                <w:rFonts w:ascii="Times New Roman" w:eastAsia="Times New Roman" w:hAnsi="Times New Roman" w:cs="Times New Roman"/>
                <w:color w:val="000000"/>
                <w:sz w:val="18"/>
                <w:szCs w:val="18"/>
                <w:lang w:val="ro-RO" w:eastAsia="ru-RU"/>
              </w:rPr>
              <w:t xml:space="preserve"> in mediul rural, BNS (2020), %</w:t>
            </w:r>
          </w:p>
        </w:tc>
        <w:tc>
          <w:tcPr>
            <w:tcW w:w="2127" w:type="dxa"/>
            <w:tcBorders>
              <w:top w:val="nil"/>
              <w:left w:val="nil"/>
              <w:bottom w:val="single" w:sz="8" w:space="0" w:color="auto"/>
              <w:right w:val="single" w:sz="8" w:space="0" w:color="auto"/>
            </w:tcBorders>
            <w:shd w:val="clear" w:color="auto" w:fill="auto"/>
            <w:vAlign w:val="center"/>
            <w:hideMark/>
          </w:tcPr>
          <w:p w14:paraId="3EE3FED6"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35,3%</w:t>
            </w:r>
          </w:p>
        </w:tc>
        <w:tc>
          <w:tcPr>
            <w:tcW w:w="1842" w:type="dxa"/>
            <w:tcBorders>
              <w:top w:val="nil"/>
              <w:left w:val="nil"/>
              <w:bottom w:val="single" w:sz="8" w:space="0" w:color="auto"/>
              <w:right w:val="single" w:sz="8" w:space="0" w:color="auto"/>
            </w:tcBorders>
            <w:shd w:val="clear" w:color="auto" w:fill="auto"/>
            <w:vAlign w:val="center"/>
            <w:hideMark/>
          </w:tcPr>
          <w:p w14:paraId="4BB428AA"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w:t>
            </w:r>
          </w:p>
        </w:tc>
      </w:tr>
      <w:tr w:rsidR="009671FA" w:rsidRPr="0082182E" w14:paraId="2EBF074F"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735A42DF"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68C45361" w14:textId="53276C74" w:rsidR="009671FA" w:rsidRPr="0082182E" w:rsidRDefault="00825A80"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proiectelor implementate în mediul rural</w:t>
            </w:r>
          </w:p>
        </w:tc>
        <w:tc>
          <w:tcPr>
            <w:tcW w:w="2127" w:type="dxa"/>
            <w:tcBorders>
              <w:top w:val="nil"/>
              <w:left w:val="nil"/>
              <w:bottom w:val="single" w:sz="8" w:space="0" w:color="auto"/>
              <w:right w:val="single" w:sz="8" w:space="0" w:color="auto"/>
            </w:tcBorders>
            <w:shd w:val="clear" w:color="auto" w:fill="auto"/>
            <w:vAlign w:val="center"/>
            <w:hideMark/>
          </w:tcPr>
          <w:p w14:paraId="4EBF9F82" w14:textId="377F8C76" w:rsidR="009671FA" w:rsidRPr="0082182E" w:rsidRDefault="00825A80"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192</w:t>
            </w:r>
          </w:p>
        </w:tc>
        <w:tc>
          <w:tcPr>
            <w:tcW w:w="1842" w:type="dxa"/>
            <w:tcBorders>
              <w:top w:val="nil"/>
              <w:left w:val="nil"/>
              <w:bottom w:val="single" w:sz="8" w:space="0" w:color="auto"/>
              <w:right w:val="single" w:sz="8" w:space="0" w:color="auto"/>
            </w:tcBorders>
            <w:shd w:val="clear" w:color="auto" w:fill="auto"/>
            <w:vAlign w:val="center"/>
            <w:hideMark/>
          </w:tcPr>
          <w:p w14:paraId="28570DF4" w14:textId="48B5E416" w:rsidR="009671FA" w:rsidRPr="0082182E" w:rsidRDefault="00825A80" w:rsidP="00825A80">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min.50% (anual)</w:t>
            </w:r>
          </w:p>
        </w:tc>
      </w:tr>
      <w:tr w:rsidR="009671FA" w:rsidRPr="0082182E" w14:paraId="730C46F1" w14:textId="77777777" w:rsidTr="009671FA">
        <w:trPr>
          <w:trHeight w:val="315"/>
        </w:trPr>
        <w:tc>
          <w:tcPr>
            <w:tcW w:w="2080" w:type="dxa"/>
            <w:vMerge/>
            <w:tcBorders>
              <w:top w:val="nil"/>
              <w:left w:val="single" w:sz="8" w:space="0" w:color="auto"/>
              <w:bottom w:val="single" w:sz="8" w:space="0" w:color="000000"/>
              <w:right w:val="single" w:sz="8" w:space="0" w:color="auto"/>
            </w:tcBorders>
            <w:vAlign w:val="center"/>
            <w:hideMark/>
          </w:tcPr>
          <w:p w14:paraId="718827FB"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p>
        </w:tc>
        <w:tc>
          <w:tcPr>
            <w:tcW w:w="3605" w:type="dxa"/>
            <w:tcBorders>
              <w:top w:val="nil"/>
              <w:left w:val="nil"/>
              <w:bottom w:val="single" w:sz="8" w:space="0" w:color="auto"/>
              <w:right w:val="single" w:sz="8" w:space="0" w:color="auto"/>
            </w:tcBorders>
            <w:shd w:val="clear" w:color="auto" w:fill="auto"/>
            <w:vAlign w:val="center"/>
            <w:hideMark/>
          </w:tcPr>
          <w:p w14:paraId="0F72B090" w14:textId="5E7F17DA" w:rsidR="009671FA" w:rsidRPr="0082182E" w:rsidRDefault="00825A80"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Creșterea investițiilor în mediul rural</w:t>
            </w:r>
          </w:p>
        </w:tc>
        <w:tc>
          <w:tcPr>
            <w:tcW w:w="2127" w:type="dxa"/>
            <w:tcBorders>
              <w:top w:val="nil"/>
              <w:left w:val="nil"/>
              <w:bottom w:val="single" w:sz="8" w:space="0" w:color="auto"/>
              <w:right w:val="single" w:sz="8" w:space="0" w:color="auto"/>
            </w:tcBorders>
            <w:shd w:val="clear" w:color="auto" w:fill="auto"/>
            <w:vAlign w:val="center"/>
            <w:hideMark/>
          </w:tcPr>
          <w:p w14:paraId="3DEC38D6" w14:textId="49860FC8" w:rsidR="009671FA" w:rsidRPr="0082182E" w:rsidRDefault="00825A80"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160,00 mln. lei</w:t>
            </w:r>
          </w:p>
        </w:tc>
        <w:tc>
          <w:tcPr>
            <w:tcW w:w="1842" w:type="dxa"/>
            <w:tcBorders>
              <w:top w:val="nil"/>
              <w:left w:val="nil"/>
              <w:bottom w:val="single" w:sz="8" w:space="0" w:color="auto"/>
              <w:right w:val="single" w:sz="8" w:space="0" w:color="auto"/>
            </w:tcBorders>
            <w:shd w:val="clear" w:color="auto" w:fill="auto"/>
            <w:vAlign w:val="center"/>
            <w:hideMark/>
          </w:tcPr>
          <w:p w14:paraId="2A4D503F" w14:textId="0F0080C0" w:rsidR="009671FA" w:rsidRPr="0082182E" w:rsidRDefault="00825A80"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min.50 % (anual)</w:t>
            </w:r>
          </w:p>
        </w:tc>
      </w:tr>
    </w:tbl>
    <w:p w14:paraId="03258582" w14:textId="77777777" w:rsidR="0082182E" w:rsidRDefault="0082182E" w:rsidP="00501B46">
      <w:pPr>
        <w:ind w:firstLine="426"/>
        <w:rPr>
          <w:rFonts w:ascii="Times New Roman" w:hAnsi="Times New Roman" w:cs="Times New Roman"/>
          <w:b/>
          <w:bCs/>
          <w:sz w:val="24"/>
          <w:szCs w:val="24"/>
        </w:rPr>
      </w:pPr>
    </w:p>
    <w:p w14:paraId="149E6E20" w14:textId="308D018F" w:rsidR="006655CD" w:rsidRPr="0082182E" w:rsidRDefault="00C37CB1" w:rsidP="0082182E">
      <w:pPr>
        <w:ind w:firstLine="426"/>
        <w:rPr>
          <w:rFonts w:ascii="Times New Roman" w:hAnsi="Times New Roman" w:cs="Times New Roman"/>
          <w:sz w:val="24"/>
          <w:szCs w:val="24"/>
          <w:lang w:val="ro-RO"/>
        </w:rPr>
      </w:pPr>
      <w:r w:rsidRPr="00A73566">
        <w:rPr>
          <w:rFonts w:ascii="Times New Roman" w:hAnsi="Times New Roman" w:cs="Times New Roman"/>
          <w:sz w:val="24"/>
          <w:szCs w:val="24"/>
          <w:lang w:val="ro-RO"/>
        </w:rPr>
        <w:t xml:space="preserve">În vederea estimării rezultatelor directe ale intervențiilor aferente obiectivelor specifice a fost definit un set de indicatori de rezultat meniți să sesizeze schimbările produse de intervențiile implementate care pot </w:t>
      </w:r>
      <w:r w:rsidR="002E5BA2" w:rsidRPr="00A73566">
        <w:rPr>
          <w:rFonts w:ascii="Times New Roman" w:hAnsi="Times New Roman" w:cs="Times New Roman"/>
          <w:sz w:val="24"/>
          <w:szCs w:val="24"/>
          <w:lang w:val="ro-RO"/>
        </w:rPr>
        <w:t>fi</w:t>
      </w:r>
      <w:r w:rsidRPr="00A73566">
        <w:rPr>
          <w:rFonts w:ascii="Times New Roman" w:hAnsi="Times New Roman" w:cs="Times New Roman"/>
          <w:sz w:val="24"/>
          <w:szCs w:val="24"/>
          <w:lang w:val="ro-RO"/>
        </w:rPr>
        <w:t xml:space="preserve"> monitorizare cu o periodicitate a</w:t>
      </w:r>
      <w:r w:rsidR="0082182E">
        <w:rPr>
          <w:rFonts w:ascii="Times New Roman" w:hAnsi="Times New Roman" w:cs="Times New Roman"/>
          <w:sz w:val="24"/>
          <w:szCs w:val="24"/>
          <w:lang w:val="ro-RO"/>
        </w:rPr>
        <w:t>nuală.</w:t>
      </w:r>
    </w:p>
    <w:p w14:paraId="417812C0" w14:textId="77777777" w:rsidR="006655CD" w:rsidRPr="0082182E" w:rsidRDefault="00130AB1" w:rsidP="00D75E29">
      <w:pPr>
        <w:spacing w:after="160" w:line="256" w:lineRule="auto"/>
        <w:jc w:val="left"/>
        <w:rPr>
          <w:rFonts w:ascii="Times New Roman" w:hAnsi="Times New Roman" w:cs="Times New Roman"/>
          <w:b/>
          <w:caps/>
          <w:color w:val="134753" w:themeColor="text2"/>
          <w:sz w:val="18"/>
          <w:szCs w:val="18"/>
          <w:lang w:val="ro-RO"/>
        </w:rPr>
      </w:pPr>
      <w:r w:rsidRPr="0082182E">
        <w:rPr>
          <w:rFonts w:ascii="Times New Roman" w:hAnsi="Times New Roman" w:cs="Times New Roman"/>
          <w:b/>
          <w:caps/>
          <w:color w:val="134753" w:themeColor="text2"/>
          <w:sz w:val="18"/>
          <w:szCs w:val="18"/>
          <w:lang w:val="ro-RO"/>
        </w:rPr>
        <w:t xml:space="preserve">Tabel 16. </w:t>
      </w:r>
      <w:r w:rsidR="00C37CB1" w:rsidRPr="0082182E">
        <w:rPr>
          <w:rFonts w:ascii="Times New Roman" w:hAnsi="Times New Roman" w:cs="Times New Roman"/>
          <w:b/>
          <w:caps/>
          <w:color w:val="134753" w:themeColor="text2"/>
          <w:sz w:val="18"/>
          <w:szCs w:val="18"/>
          <w:lang w:val="ro-RO"/>
        </w:rPr>
        <w:t xml:space="preserve">CADRUL DE INDICATORI DE REZULTAT </w:t>
      </w:r>
    </w:p>
    <w:tbl>
      <w:tblPr>
        <w:tblW w:w="9654" w:type="dxa"/>
        <w:tblInd w:w="93" w:type="dxa"/>
        <w:tblLook w:val="04A0" w:firstRow="1" w:lastRow="0" w:firstColumn="1" w:lastColumn="0" w:noHBand="0" w:noVBand="1"/>
      </w:tblPr>
      <w:tblGrid>
        <w:gridCol w:w="2283"/>
        <w:gridCol w:w="2835"/>
        <w:gridCol w:w="2552"/>
        <w:gridCol w:w="1984"/>
      </w:tblGrid>
      <w:tr w:rsidR="009671FA" w:rsidRPr="0082182E" w14:paraId="4B040F11" w14:textId="77777777" w:rsidTr="009671FA">
        <w:trPr>
          <w:trHeight w:val="330"/>
        </w:trPr>
        <w:tc>
          <w:tcPr>
            <w:tcW w:w="2283"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4B61BD8F"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b/>
                <w:bCs/>
                <w:color w:val="FFFFFF"/>
                <w:sz w:val="18"/>
                <w:szCs w:val="18"/>
                <w:lang w:val="ro-RO" w:eastAsia="ru-RU"/>
              </w:rPr>
              <w:t>OBIECTIV SPECIFIC</w:t>
            </w:r>
          </w:p>
        </w:tc>
        <w:tc>
          <w:tcPr>
            <w:tcW w:w="2835" w:type="dxa"/>
            <w:tcBorders>
              <w:top w:val="single" w:sz="8" w:space="0" w:color="auto"/>
              <w:left w:val="nil"/>
              <w:bottom w:val="single" w:sz="8" w:space="0" w:color="auto"/>
              <w:right w:val="single" w:sz="8" w:space="0" w:color="auto"/>
            </w:tcBorders>
            <w:shd w:val="clear" w:color="000000" w:fill="0E353E"/>
            <w:vAlign w:val="center"/>
            <w:hideMark/>
          </w:tcPr>
          <w:p w14:paraId="7FB20251"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INDICATOR DE REZULTAT</w:t>
            </w:r>
          </w:p>
        </w:tc>
        <w:tc>
          <w:tcPr>
            <w:tcW w:w="2552" w:type="dxa"/>
            <w:tcBorders>
              <w:top w:val="single" w:sz="8" w:space="0" w:color="auto"/>
              <w:left w:val="nil"/>
              <w:bottom w:val="single" w:sz="8" w:space="0" w:color="auto"/>
              <w:right w:val="single" w:sz="8" w:space="0" w:color="auto"/>
            </w:tcBorders>
            <w:shd w:val="clear" w:color="000000" w:fill="0E353E"/>
            <w:vAlign w:val="center"/>
            <w:hideMark/>
          </w:tcPr>
          <w:p w14:paraId="6B0FE8CA"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VALOAREA DE REFERINȚĂ 2020</w:t>
            </w:r>
          </w:p>
        </w:tc>
        <w:tc>
          <w:tcPr>
            <w:tcW w:w="1984" w:type="dxa"/>
            <w:tcBorders>
              <w:top w:val="single" w:sz="8" w:space="0" w:color="auto"/>
              <w:left w:val="nil"/>
              <w:bottom w:val="single" w:sz="8" w:space="0" w:color="auto"/>
              <w:right w:val="single" w:sz="8" w:space="0" w:color="auto"/>
            </w:tcBorders>
            <w:shd w:val="clear" w:color="000000" w:fill="0E353E"/>
            <w:vAlign w:val="center"/>
            <w:hideMark/>
          </w:tcPr>
          <w:p w14:paraId="5C6287E4" w14:textId="77777777" w:rsidR="009671FA" w:rsidRPr="0082182E" w:rsidRDefault="009671FA" w:rsidP="009671FA">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ȚINTĂ 2027</w:t>
            </w:r>
          </w:p>
        </w:tc>
      </w:tr>
      <w:tr w:rsidR="009671FA" w:rsidRPr="0082182E" w14:paraId="07EE5CF5" w14:textId="77777777" w:rsidTr="00F71C1C">
        <w:trPr>
          <w:trHeight w:val="525"/>
        </w:trPr>
        <w:tc>
          <w:tcPr>
            <w:tcW w:w="2283" w:type="dxa"/>
            <w:vMerge w:val="restart"/>
            <w:tcBorders>
              <w:top w:val="nil"/>
              <w:left w:val="single" w:sz="8" w:space="0" w:color="auto"/>
              <w:bottom w:val="single" w:sz="8" w:space="0" w:color="000000"/>
              <w:right w:val="single" w:sz="8" w:space="0" w:color="auto"/>
            </w:tcBorders>
            <w:shd w:val="clear" w:color="auto" w:fill="auto"/>
            <w:vAlign w:val="center"/>
            <w:hideMark/>
          </w:tcPr>
          <w:p w14:paraId="75C2E5D3"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1.1 Asigurarea calității și disponibilității inputurilor în agricultură</w:t>
            </w:r>
          </w:p>
        </w:tc>
        <w:tc>
          <w:tcPr>
            <w:tcW w:w="2835" w:type="dxa"/>
            <w:tcBorders>
              <w:top w:val="nil"/>
              <w:left w:val="nil"/>
              <w:bottom w:val="single" w:sz="8" w:space="0" w:color="auto"/>
              <w:right w:val="single" w:sz="8" w:space="0" w:color="auto"/>
            </w:tcBorders>
            <w:shd w:val="clear" w:color="auto" w:fill="auto"/>
            <w:vAlign w:val="center"/>
            <w:hideMark/>
          </w:tcPr>
          <w:p w14:paraId="50F7CA02"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Producători locali de semințe și material săditor (nr)</w:t>
            </w:r>
          </w:p>
        </w:tc>
        <w:tc>
          <w:tcPr>
            <w:tcW w:w="2552" w:type="dxa"/>
            <w:tcBorders>
              <w:top w:val="nil"/>
              <w:left w:val="nil"/>
              <w:bottom w:val="single" w:sz="8" w:space="0" w:color="auto"/>
              <w:right w:val="single" w:sz="8" w:space="0" w:color="auto"/>
            </w:tcBorders>
            <w:shd w:val="clear" w:color="auto" w:fill="auto"/>
            <w:vAlign w:val="center"/>
            <w:hideMark/>
          </w:tcPr>
          <w:p w14:paraId="4D0DA064"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753</w:t>
            </w:r>
          </w:p>
        </w:tc>
        <w:tc>
          <w:tcPr>
            <w:tcW w:w="1984" w:type="dxa"/>
            <w:tcBorders>
              <w:top w:val="nil"/>
              <w:left w:val="nil"/>
              <w:bottom w:val="single" w:sz="8" w:space="0" w:color="auto"/>
              <w:right w:val="single" w:sz="8" w:space="0" w:color="auto"/>
            </w:tcBorders>
            <w:shd w:val="clear" w:color="auto" w:fill="auto"/>
            <w:vAlign w:val="center"/>
            <w:hideMark/>
          </w:tcPr>
          <w:p w14:paraId="1ECF0B39"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800</w:t>
            </w:r>
          </w:p>
        </w:tc>
      </w:tr>
      <w:tr w:rsidR="009671FA" w:rsidRPr="0082182E" w14:paraId="1829EDDA" w14:textId="77777777" w:rsidTr="00F71C1C">
        <w:trPr>
          <w:trHeight w:val="780"/>
        </w:trPr>
        <w:tc>
          <w:tcPr>
            <w:tcW w:w="2283" w:type="dxa"/>
            <w:vMerge/>
            <w:tcBorders>
              <w:top w:val="nil"/>
              <w:left w:val="single" w:sz="8" w:space="0" w:color="auto"/>
              <w:bottom w:val="single" w:sz="8" w:space="0" w:color="000000"/>
              <w:right w:val="single" w:sz="8" w:space="0" w:color="auto"/>
            </w:tcBorders>
            <w:vAlign w:val="center"/>
            <w:hideMark/>
          </w:tcPr>
          <w:p w14:paraId="5E70CEE9"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28BEAB6B" w14:textId="77777777" w:rsidR="009671FA" w:rsidRPr="0082182E" w:rsidRDefault="009671FA"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Ferme de prăsilă certificate (nr)</w:t>
            </w:r>
          </w:p>
        </w:tc>
        <w:tc>
          <w:tcPr>
            <w:tcW w:w="2552" w:type="dxa"/>
            <w:tcBorders>
              <w:top w:val="nil"/>
              <w:left w:val="nil"/>
              <w:bottom w:val="single" w:sz="8" w:space="0" w:color="auto"/>
              <w:right w:val="single" w:sz="8" w:space="0" w:color="auto"/>
            </w:tcBorders>
            <w:shd w:val="clear" w:color="auto" w:fill="auto"/>
            <w:vAlign w:val="center"/>
            <w:hideMark/>
          </w:tcPr>
          <w:p w14:paraId="35C2FB7E" w14:textId="552B7FAD"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20 bovine, 10 ovine,  1 caprine, 1 porcine, 13 apicole, 1 cabaline, 1 </w:t>
            </w:r>
            <w:r w:rsidR="002E5BA2" w:rsidRPr="0082182E">
              <w:rPr>
                <w:rFonts w:ascii="Times New Roman" w:eastAsia="Times New Roman" w:hAnsi="Times New Roman" w:cs="Times New Roman"/>
                <w:color w:val="000000"/>
                <w:sz w:val="18"/>
                <w:szCs w:val="18"/>
                <w:lang w:val="ro-RO" w:eastAsia="ru-RU"/>
              </w:rPr>
              <w:t>păsării</w:t>
            </w:r>
            <w:r w:rsidRPr="0082182E">
              <w:rPr>
                <w:rFonts w:ascii="Times New Roman" w:eastAsia="Times New Roman" w:hAnsi="Times New Roman" w:cs="Times New Roman"/>
                <w:color w:val="000000"/>
                <w:sz w:val="18"/>
                <w:szCs w:val="18"/>
                <w:lang w:val="ro-RO" w:eastAsia="ru-RU"/>
              </w:rPr>
              <w:t>,  0 piscicole</w:t>
            </w:r>
          </w:p>
        </w:tc>
        <w:tc>
          <w:tcPr>
            <w:tcW w:w="1984" w:type="dxa"/>
            <w:tcBorders>
              <w:top w:val="nil"/>
              <w:left w:val="nil"/>
              <w:bottom w:val="single" w:sz="8" w:space="0" w:color="auto"/>
              <w:right w:val="single" w:sz="8" w:space="0" w:color="auto"/>
            </w:tcBorders>
            <w:shd w:val="clear" w:color="auto" w:fill="auto"/>
            <w:vAlign w:val="center"/>
            <w:hideMark/>
          </w:tcPr>
          <w:p w14:paraId="1436DF87" w14:textId="44B6655B"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30 bovine, 15 ovine,  2 caprine, 3 porcine, 25 apicole, 2 cabaline, 7 </w:t>
            </w:r>
            <w:r w:rsidR="002E5BA2" w:rsidRPr="0082182E">
              <w:rPr>
                <w:rFonts w:ascii="Times New Roman" w:eastAsia="Times New Roman" w:hAnsi="Times New Roman" w:cs="Times New Roman"/>
                <w:color w:val="000000"/>
                <w:sz w:val="18"/>
                <w:szCs w:val="18"/>
                <w:lang w:val="ro-RO" w:eastAsia="ru-RU"/>
              </w:rPr>
              <w:t>păsării</w:t>
            </w:r>
            <w:r w:rsidRPr="0082182E">
              <w:rPr>
                <w:rFonts w:ascii="Times New Roman" w:eastAsia="Times New Roman" w:hAnsi="Times New Roman" w:cs="Times New Roman"/>
                <w:color w:val="000000"/>
                <w:sz w:val="18"/>
                <w:szCs w:val="18"/>
                <w:lang w:val="ro-RO" w:eastAsia="ru-RU"/>
              </w:rPr>
              <w:t>,  9 piscicole</w:t>
            </w:r>
          </w:p>
        </w:tc>
      </w:tr>
      <w:tr w:rsidR="009671FA" w:rsidRPr="0082182E" w14:paraId="1B644A97" w14:textId="77777777" w:rsidTr="00F71C1C">
        <w:trPr>
          <w:trHeight w:val="315"/>
        </w:trPr>
        <w:tc>
          <w:tcPr>
            <w:tcW w:w="2283" w:type="dxa"/>
            <w:vMerge w:val="restart"/>
            <w:tcBorders>
              <w:top w:val="nil"/>
              <w:left w:val="single" w:sz="8" w:space="0" w:color="auto"/>
              <w:bottom w:val="single" w:sz="8" w:space="0" w:color="000000"/>
              <w:right w:val="single" w:sz="8" w:space="0" w:color="auto"/>
            </w:tcBorders>
            <w:shd w:val="clear" w:color="auto" w:fill="auto"/>
            <w:vAlign w:val="center"/>
            <w:hideMark/>
          </w:tcPr>
          <w:p w14:paraId="1B967354"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1.2 Eficientizarea utilizării durabile a resurselor naturale, diminuarea riscurilor în agricultură prin adaptarea la schimbările climatice de apă, sol și energie </w:t>
            </w:r>
          </w:p>
        </w:tc>
        <w:tc>
          <w:tcPr>
            <w:tcW w:w="2835" w:type="dxa"/>
            <w:tcBorders>
              <w:top w:val="nil"/>
              <w:left w:val="nil"/>
              <w:bottom w:val="single" w:sz="8" w:space="0" w:color="auto"/>
              <w:right w:val="single" w:sz="8" w:space="0" w:color="auto"/>
            </w:tcBorders>
            <w:shd w:val="clear" w:color="auto" w:fill="auto"/>
            <w:vAlign w:val="center"/>
            <w:hideMark/>
          </w:tcPr>
          <w:p w14:paraId="75D31AA7"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terenurilor agricole irigate (%)</w:t>
            </w:r>
          </w:p>
        </w:tc>
        <w:tc>
          <w:tcPr>
            <w:tcW w:w="2552" w:type="dxa"/>
            <w:tcBorders>
              <w:top w:val="nil"/>
              <w:left w:val="nil"/>
              <w:bottom w:val="single" w:sz="8" w:space="0" w:color="auto"/>
              <w:right w:val="single" w:sz="8" w:space="0" w:color="auto"/>
            </w:tcBorders>
            <w:shd w:val="clear" w:color="auto" w:fill="auto"/>
            <w:vAlign w:val="center"/>
            <w:hideMark/>
          </w:tcPr>
          <w:p w14:paraId="3EB28143"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5-7%</w:t>
            </w:r>
          </w:p>
        </w:tc>
        <w:tc>
          <w:tcPr>
            <w:tcW w:w="1984" w:type="dxa"/>
            <w:tcBorders>
              <w:top w:val="nil"/>
              <w:left w:val="nil"/>
              <w:bottom w:val="single" w:sz="8" w:space="0" w:color="auto"/>
              <w:right w:val="single" w:sz="8" w:space="0" w:color="auto"/>
            </w:tcBorders>
            <w:shd w:val="clear" w:color="auto" w:fill="auto"/>
            <w:vAlign w:val="center"/>
            <w:hideMark/>
          </w:tcPr>
          <w:p w14:paraId="6115C646"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20%</w:t>
            </w:r>
          </w:p>
        </w:tc>
      </w:tr>
      <w:tr w:rsidR="009671FA" w:rsidRPr="0082182E" w14:paraId="0A543031" w14:textId="77777777" w:rsidTr="00F71C1C">
        <w:trPr>
          <w:trHeight w:val="780"/>
        </w:trPr>
        <w:tc>
          <w:tcPr>
            <w:tcW w:w="2283" w:type="dxa"/>
            <w:vMerge/>
            <w:tcBorders>
              <w:top w:val="nil"/>
              <w:left w:val="single" w:sz="8" w:space="0" w:color="auto"/>
              <w:bottom w:val="single" w:sz="8" w:space="0" w:color="000000"/>
              <w:right w:val="single" w:sz="8" w:space="0" w:color="auto"/>
            </w:tcBorders>
            <w:vAlign w:val="center"/>
            <w:hideMark/>
          </w:tcPr>
          <w:p w14:paraId="718E508E"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7BB53F49" w14:textId="4147830B"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Ponderea </w:t>
            </w:r>
            <w:r w:rsidR="002E5BA2" w:rsidRPr="0082182E">
              <w:rPr>
                <w:rFonts w:ascii="Times New Roman" w:eastAsia="Times New Roman" w:hAnsi="Times New Roman" w:cs="Times New Roman"/>
                <w:color w:val="000000"/>
                <w:sz w:val="18"/>
                <w:szCs w:val="18"/>
                <w:lang w:val="ro-RO" w:eastAsia="ru-RU"/>
              </w:rPr>
              <w:t>suprafețelor agricole lucrate î</w:t>
            </w:r>
            <w:r w:rsidRPr="0082182E">
              <w:rPr>
                <w:rFonts w:ascii="Times New Roman" w:eastAsia="Times New Roman" w:hAnsi="Times New Roman" w:cs="Times New Roman"/>
                <w:color w:val="000000"/>
                <w:sz w:val="18"/>
                <w:szCs w:val="18"/>
                <w:lang w:val="ro-RO" w:eastAsia="ru-RU"/>
              </w:rPr>
              <w:t>n baza principiilor sistemelor conservative</w:t>
            </w:r>
            <w:r w:rsidR="002E5BA2" w:rsidRPr="0082182E">
              <w:rPr>
                <w:rFonts w:ascii="Times New Roman" w:eastAsia="Times New Roman" w:hAnsi="Times New Roman" w:cs="Times New Roman"/>
                <w:color w:val="000000"/>
                <w:sz w:val="18"/>
                <w:szCs w:val="18"/>
                <w:lang w:val="ro-RO" w:eastAsia="ru-RU"/>
              </w:rPr>
              <w:t xml:space="preserve"> de lucrare a sol</w:t>
            </w:r>
            <w:r w:rsidRPr="0082182E">
              <w:rPr>
                <w:rFonts w:ascii="Times New Roman" w:eastAsia="Times New Roman" w:hAnsi="Times New Roman" w:cs="Times New Roman"/>
                <w:color w:val="000000"/>
                <w:sz w:val="18"/>
                <w:szCs w:val="18"/>
                <w:lang w:val="ro-RO" w:eastAsia="ru-RU"/>
              </w:rPr>
              <w:t>ului (%)</w:t>
            </w:r>
          </w:p>
        </w:tc>
        <w:tc>
          <w:tcPr>
            <w:tcW w:w="2552" w:type="dxa"/>
            <w:tcBorders>
              <w:top w:val="nil"/>
              <w:left w:val="nil"/>
              <w:bottom w:val="single" w:sz="8" w:space="0" w:color="auto"/>
              <w:right w:val="single" w:sz="8" w:space="0" w:color="auto"/>
            </w:tcBorders>
            <w:shd w:val="clear" w:color="auto" w:fill="auto"/>
            <w:vAlign w:val="center"/>
            <w:hideMark/>
          </w:tcPr>
          <w:p w14:paraId="7349BC57"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18,8%</w:t>
            </w:r>
          </w:p>
        </w:tc>
        <w:tc>
          <w:tcPr>
            <w:tcW w:w="1984" w:type="dxa"/>
            <w:tcBorders>
              <w:top w:val="nil"/>
              <w:left w:val="nil"/>
              <w:bottom w:val="single" w:sz="8" w:space="0" w:color="auto"/>
              <w:right w:val="single" w:sz="8" w:space="0" w:color="auto"/>
            </w:tcBorders>
            <w:shd w:val="clear" w:color="auto" w:fill="auto"/>
            <w:vAlign w:val="center"/>
            <w:hideMark/>
          </w:tcPr>
          <w:p w14:paraId="6ECB5A4D"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w:t>
            </w:r>
          </w:p>
        </w:tc>
      </w:tr>
      <w:tr w:rsidR="009671FA" w:rsidRPr="0082182E" w14:paraId="63D89CF2" w14:textId="77777777" w:rsidTr="00F71C1C">
        <w:trPr>
          <w:trHeight w:val="525"/>
        </w:trPr>
        <w:tc>
          <w:tcPr>
            <w:tcW w:w="2283" w:type="dxa"/>
            <w:vMerge/>
            <w:tcBorders>
              <w:top w:val="nil"/>
              <w:left w:val="single" w:sz="8" w:space="0" w:color="auto"/>
              <w:bottom w:val="single" w:sz="8" w:space="0" w:color="000000"/>
              <w:right w:val="single" w:sz="8" w:space="0" w:color="auto"/>
            </w:tcBorders>
            <w:vAlign w:val="center"/>
            <w:hideMark/>
          </w:tcPr>
          <w:p w14:paraId="5AC970C9"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7CF8B691" w14:textId="06E8EE0C" w:rsidR="009671FA" w:rsidRPr="0082182E" w:rsidRDefault="009671FA" w:rsidP="009671FA">
            <w:pPr>
              <w:spacing w:after="0"/>
              <w:jc w:val="left"/>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Stopare eroziunii solur</w:t>
            </w:r>
            <w:r w:rsidR="002E5BA2" w:rsidRPr="0082182E">
              <w:rPr>
                <w:rFonts w:ascii="Times New Roman" w:eastAsia="Times New Roman" w:hAnsi="Times New Roman" w:cs="Times New Roman"/>
                <w:sz w:val="18"/>
                <w:szCs w:val="18"/>
                <w:lang w:val="ro-RO" w:eastAsia="ru-RU"/>
              </w:rPr>
              <w:t>ilor prin efectuarea măsurilor de îmbunătăț</w:t>
            </w:r>
            <w:r w:rsidRPr="0082182E">
              <w:rPr>
                <w:rFonts w:ascii="Times New Roman" w:eastAsia="Times New Roman" w:hAnsi="Times New Roman" w:cs="Times New Roman"/>
                <w:sz w:val="18"/>
                <w:szCs w:val="18"/>
                <w:lang w:val="ro-RO" w:eastAsia="ru-RU"/>
              </w:rPr>
              <w:t>iri funciare</w:t>
            </w:r>
          </w:p>
        </w:tc>
        <w:tc>
          <w:tcPr>
            <w:tcW w:w="2552" w:type="dxa"/>
            <w:tcBorders>
              <w:top w:val="nil"/>
              <w:left w:val="nil"/>
              <w:bottom w:val="single" w:sz="8" w:space="0" w:color="auto"/>
              <w:right w:val="single" w:sz="8" w:space="0" w:color="auto"/>
            </w:tcBorders>
            <w:shd w:val="clear" w:color="auto" w:fill="auto"/>
            <w:vAlign w:val="center"/>
            <w:hideMark/>
          </w:tcPr>
          <w:p w14:paraId="6C80D9ED"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2250 ha</w:t>
            </w:r>
          </w:p>
        </w:tc>
        <w:tc>
          <w:tcPr>
            <w:tcW w:w="1984" w:type="dxa"/>
            <w:tcBorders>
              <w:top w:val="nil"/>
              <w:left w:val="nil"/>
              <w:bottom w:val="single" w:sz="8" w:space="0" w:color="auto"/>
              <w:right w:val="single" w:sz="8" w:space="0" w:color="auto"/>
            </w:tcBorders>
            <w:shd w:val="clear" w:color="auto" w:fill="auto"/>
            <w:vAlign w:val="center"/>
            <w:hideMark/>
          </w:tcPr>
          <w:p w14:paraId="26353FAD"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9500 ha</w:t>
            </w:r>
          </w:p>
        </w:tc>
      </w:tr>
      <w:tr w:rsidR="009671FA" w:rsidRPr="0082182E" w14:paraId="5B45DEEC" w14:textId="77777777" w:rsidTr="00F71C1C">
        <w:trPr>
          <w:trHeight w:val="315"/>
        </w:trPr>
        <w:tc>
          <w:tcPr>
            <w:tcW w:w="2283" w:type="dxa"/>
            <w:vMerge/>
            <w:tcBorders>
              <w:top w:val="nil"/>
              <w:left w:val="single" w:sz="8" w:space="0" w:color="auto"/>
              <w:bottom w:val="single" w:sz="8" w:space="0" w:color="000000"/>
              <w:right w:val="single" w:sz="8" w:space="0" w:color="auto"/>
            </w:tcBorders>
            <w:vAlign w:val="center"/>
            <w:hideMark/>
          </w:tcPr>
          <w:p w14:paraId="0809EC99"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7FC666A5"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suprafețelor agricole asigurate  (%)</w:t>
            </w:r>
          </w:p>
        </w:tc>
        <w:tc>
          <w:tcPr>
            <w:tcW w:w="2552" w:type="dxa"/>
            <w:tcBorders>
              <w:top w:val="nil"/>
              <w:left w:val="nil"/>
              <w:bottom w:val="single" w:sz="8" w:space="0" w:color="auto"/>
              <w:right w:val="single" w:sz="8" w:space="0" w:color="auto"/>
            </w:tcBorders>
            <w:shd w:val="clear" w:color="auto" w:fill="auto"/>
            <w:vAlign w:val="center"/>
            <w:hideMark/>
          </w:tcPr>
          <w:p w14:paraId="795CC990"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w:t>
            </w:r>
          </w:p>
        </w:tc>
        <w:tc>
          <w:tcPr>
            <w:tcW w:w="1984" w:type="dxa"/>
            <w:tcBorders>
              <w:top w:val="nil"/>
              <w:left w:val="nil"/>
              <w:bottom w:val="single" w:sz="8" w:space="0" w:color="auto"/>
              <w:right w:val="single" w:sz="8" w:space="0" w:color="auto"/>
            </w:tcBorders>
            <w:shd w:val="clear" w:color="auto" w:fill="auto"/>
            <w:vAlign w:val="center"/>
            <w:hideMark/>
          </w:tcPr>
          <w:p w14:paraId="77ADA2A7"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10%</w:t>
            </w:r>
          </w:p>
        </w:tc>
      </w:tr>
      <w:tr w:rsidR="009671FA" w:rsidRPr="0082182E" w14:paraId="5100F341" w14:textId="77777777" w:rsidTr="00F71C1C">
        <w:trPr>
          <w:trHeight w:val="540"/>
        </w:trPr>
        <w:tc>
          <w:tcPr>
            <w:tcW w:w="2283" w:type="dxa"/>
            <w:vMerge w:val="restart"/>
            <w:tcBorders>
              <w:top w:val="nil"/>
              <w:left w:val="single" w:sz="8" w:space="0" w:color="auto"/>
              <w:bottom w:val="nil"/>
              <w:right w:val="single" w:sz="8" w:space="0" w:color="auto"/>
            </w:tcBorders>
            <w:shd w:val="clear" w:color="auto" w:fill="auto"/>
            <w:vAlign w:val="center"/>
            <w:hideMark/>
          </w:tcPr>
          <w:p w14:paraId="2285E020"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1.3 Conservarea și dezvoltarea biodiversității</w:t>
            </w:r>
          </w:p>
        </w:tc>
        <w:tc>
          <w:tcPr>
            <w:tcW w:w="2835" w:type="dxa"/>
            <w:tcBorders>
              <w:top w:val="nil"/>
              <w:left w:val="nil"/>
              <w:bottom w:val="single" w:sz="8" w:space="0" w:color="auto"/>
              <w:right w:val="single" w:sz="8" w:space="0" w:color="auto"/>
            </w:tcBorders>
            <w:shd w:val="clear" w:color="auto" w:fill="auto"/>
            <w:vAlign w:val="center"/>
            <w:hideMark/>
          </w:tcPr>
          <w:p w14:paraId="04F3DDAE"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Pondera soiurilor locale din totalul soiurilor si hibrizilor din sectorul agricol autohton</w:t>
            </w:r>
          </w:p>
        </w:tc>
        <w:tc>
          <w:tcPr>
            <w:tcW w:w="2552" w:type="dxa"/>
            <w:tcBorders>
              <w:top w:val="nil"/>
              <w:left w:val="nil"/>
              <w:bottom w:val="single" w:sz="8" w:space="0" w:color="auto"/>
              <w:right w:val="single" w:sz="8" w:space="0" w:color="auto"/>
            </w:tcBorders>
            <w:shd w:val="clear" w:color="auto" w:fill="auto"/>
            <w:vAlign w:val="center"/>
            <w:hideMark/>
          </w:tcPr>
          <w:p w14:paraId="1A8C1C94"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28%</w:t>
            </w:r>
          </w:p>
        </w:tc>
        <w:tc>
          <w:tcPr>
            <w:tcW w:w="1984" w:type="dxa"/>
            <w:tcBorders>
              <w:top w:val="nil"/>
              <w:left w:val="nil"/>
              <w:bottom w:val="single" w:sz="8" w:space="0" w:color="auto"/>
              <w:right w:val="single" w:sz="8" w:space="0" w:color="auto"/>
            </w:tcBorders>
            <w:shd w:val="clear" w:color="auto" w:fill="auto"/>
            <w:vAlign w:val="center"/>
            <w:hideMark/>
          </w:tcPr>
          <w:p w14:paraId="0C310E5E"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35%</w:t>
            </w:r>
          </w:p>
        </w:tc>
      </w:tr>
      <w:tr w:rsidR="009671FA" w:rsidRPr="0082182E" w14:paraId="36CCF59E" w14:textId="77777777" w:rsidTr="00F71C1C">
        <w:trPr>
          <w:trHeight w:val="525"/>
        </w:trPr>
        <w:tc>
          <w:tcPr>
            <w:tcW w:w="2283" w:type="dxa"/>
            <w:vMerge/>
            <w:tcBorders>
              <w:top w:val="nil"/>
              <w:left w:val="single" w:sz="8" w:space="0" w:color="auto"/>
              <w:bottom w:val="nil"/>
              <w:right w:val="single" w:sz="8" w:space="0" w:color="auto"/>
            </w:tcBorders>
            <w:vAlign w:val="center"/>
            <w:hideMark/>
          </w:tcPr>
          <w:p w14:paraId="2C80ECEA"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690DA0DA" w14:textId="680873EE" w:rsidR="009671FA" w:rsidRPr="0082182E" w:rsidRDefault="002E5BA2" w:rsidP="009671FA">
            <w:pPr>
              <w:spacing w:after="0"/>
              <w:jc w:val="left"/>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Extinderea suprafețelor fâș</w:t>
            </w:r>
            <w:r w:rsidR="009671FA" w:rsidRPr="0082182E">
              <w:rPr>
                <w:rFonts w:ascii="Times New Roman" w:eastAsia="Times New Roman" w:hAnsi="Times New Roman" w:cs="Times New Roman"/>
                <w:sz w:val="18"/>
                <w:szCs w:val="18"/>
                <w:lang w:val="ro-RO" w:eastAsia="ru-RU"/>
              </w:rPr>
              <w:t xml:space="preserve">iilor forestiere de protecție </w:t>
            </w:r>
          </w:p>
        </w:tc>
        <w:tc>
          <w:tcPr>
            <w:tcW w:w="2552" w:type="dxa"/>
            <w:tcBorders>
              <w:top w:val="nil"/>
              <w:left w:val="nil"/>
              <w:bottom w:val="single" w:sz="8" w:space="0" w:color="auto"/>
              <w:right w:val="single" w:sz="8" w:space="0" w:color="auto"/>
            </w:tcBorders>
            <w:shd w:val="clear" w:color="auto" w:fill="auto"/>
            <w:vAlign w:val="center"/>
            <w:hideMark/>
          </w:tcPr>
          <w:p w14:paraId="4AE0AED9"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7144,7 ha</w:t>
            </w:r>
          </w:p>
        </w:tc>
        <w:tc>
          <w:tcPr>
            <w:tcW w:w="1984" w:type="dxa"/>
            <w:tcBorders>
              <w:top w:val="nil"/>
              <w:left w:val="nil"/>
              <w:bottom w:val="single" w:sz="8" w:space="0" w:color="auto"/>
              <w:right w:val="single" w:sz="8" w:space="0" w:color="auto"/>
            </w:tcBorders>
            <w:shd w:val="clear" w:color="auto" w:fill="auto"/>
            <w:vAlign w:val="center"/>
            <w:hideMark/>
          </w:tcPr>
          <w:p w14:paraId="28A0AB00"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10000 ha (+5% anual)</w:t>
            </w:r>
          </w:p>
        </w:tc>
      </w:tr>
      <w:tr w:rsidR="009671FA" w:rsidRPr="0082182E" w14:paraId="2FD0FB12" w14:textId="77777777" w:rsidTr="00F71C1C">
        <w:trPr>
          <w:trHeight w:val="315"/>
        </w:trPr>
        <w:tc>
          <w:tcPr>
            <w:tcW w:w="2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F78756"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1.4 Promovarea și dezvoltarea agriculturii ecologice</w:t>
            </w:r>
          </w:p>
        </w:tc>
        <w:tc>
          <w:tcPr>
            <w:tcW w:w="2835" w:type="dxa"/>
            <w:tcBorders>
              <w:top w:val="nil"/>
              <w:left w:val="nil"/>
              <w:bottom w:val="single" w:sz="8" w:space="0" w:color="auto"/>
              <w:right w:val="single" w:sz="8" w:space="0" w:color="auto"/>
            </w:tcBorders>
            <w:shd w:val="clear" w:color="auto" w:fill="auto"/>
            <w:vAlign w:val="center"/>
            <w:hideMark/>
          </w:tcPr>
          <w:p w14:paraId="060FDF63"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Beneficiari in agricultura ecologica (nr)</w:t>
            </w:r>
          </w:p>
        </w:tc>
        <w:tc>
          <w:tcPr>
            <w:tcW w:w="2552" w:type="dxa"/>
            <w:tcBorders>
              <w:top w:val="nil"/>
              <w:left w:val="nil"/>
              <w:bottom w:val="single" w:sz="8" w:space="0" w:color="auto"/>
              <w:right w:val="single" w:sz="8" w:space="0" w:color="auto"/>
            </w:tcBorders>
            <w:shd w:val="clear" w:color="auto" w:fill="auto"/>
            <w:vAlign w:val="center"/>
            <w:hideMark/>
          </w:tcPr>
          <w:p w14:paraId="29F99715"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152</w:t>
            </w:r>
          </w:p>
        </w:tc>
        <w:tc>
          <w:tcPr>
            <w:tcW w:w="1984" w:type="dxa"/>
            <w:tcBorders>
              <w:top w:val="nil"/>
              <w:left w:val="nil"/>
              <w:bottom w:val="single" w:sz="8" w:space="0" w:color="auto"/>
              <w:right w:val="single" w:sz="8" w:space="0" w:color="auto"/>
            </w:tcBorders>
            <w:shd w:val="clear" w:color="auto" w:fill="auto"/>
            <w:vAlign w:val="center"/>
            <w:hideMark/>
          </w:tcPr>
          <w:p w14:paraId="6725CA5B"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190</w:t>
            </w:r>
          </w:p>
        </w:tc>
      </w:tr>
      <w:tr w:rsidR="009671FA" w:rsidRPr="0082182E" w14:paraId="3037E6A6" w14:textId="77777777" w:rsidTr="00F71C1C">
        <w:trPr>
          <w:trHeight w:val="525"/>
        </w:trPr>
        <w:tc>
          <w:tcPr>
            <w:tcW w:w="2283" w:type="dxa"/>
            <w:vMerge/>
            <w:tcBorders>
              <w:top w:val="single" w:sz="8" w:space="0" w:color="auto"/>
              <w:left w:val="single" w:sz="8" w:space="0" w:color="auto"/>
              <w:bottom w:val="single" w:sz="8" w:space="0" w:color="000000"/>
              <w:right w:val="single" w:sz="8" w:space="0" w:color="auto"/>
            </w:tcBorders>
            <w:vAlign w:val="center"/>
            <w:hideMark/>
          </w:tcPr>
          <w:p w14:paraId="7F3CBE99"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p>
        </w:tc>
        <w:tc>
          <w:tcPr>
            <w:tcW w:w="2835" w:type="dxa"/>
            <w:tcBorders>
              <w:top w:val="nil"/>
              <w:left w:val="nil"/>
              <w:bottom w:val="single" w:sz="8" w:space="0" w:color="auto"/>
              <w:right w:val="single" w:sz="8" w:space="0" w:color="auto"/>
            </w:tcBorders>
            <w:shd w:val="clear" w:color="auto" w:fill="auto"/>
            <w:vAlign w:val="center"/>
            <w:hideMark/>
          </w:tcPr>
          <w:p w14:paraId="5868E459"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Suprafața totală a terenurilor certificate în sistem ecologic</w:t>
            </w:r>
          </w:p>
        </w:tc>
        <w:tc>
          <w:tcPr>
            <w:tcW w:w="2552" w:type="dxa"/>
            <w:tcBorders>
              <w:top w:val="nil"/>
              <w:left w:val="nil"/>
              <w:bottom w:val="single" w:sz="8" w:space="0" w:color="auto"/>
              <w:right w:val="single" w:sz="8" w:space="0" w:color="auto"/>
            </w:tcBorders>
            <w:shd w:val="clear" w:color="auto" w:fill="auto"/>
            <w:vAlign w:val="center"/>
            <w:hideMark/>
          </w:tcPr>
          <w:p w14:paraId="4B0D1268"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28547 ha</w:t>
            </w:r>
          </w:p>
        </w:tc>
        <w:tc>
          <w:tcPr>
            <w:tcW w:w="1984" w:type="dxa"/>
            <w:tcBorders>
              <w:top w:val="nil"/>
              <w:left w:val="nil"/>
              <w:bottom w:val="single" w:sz="8" w:space="0" w:color="auto"/>
              <w:right w:val="single" w:sz="8" w:space="0" w:color="auto"/>
            </w:tcBorders>
            <w:shd w:val="clear" w:color="auto" w:fill="auto"/>
            <w:vAlign w:val="center"/>
            <w:hideMark/>
          </w:tcPr>
          <w:p w14:paraId="4F880515" w14:textId="77777777" w:rsidR="009671FA" w:rsidRPr="0082182E" w:rsidRDefault="009671FA" w:rsidP="009671FA">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35700 ha</w:t>
            </w:r>
          </w:p>
        </w:tc>
      </w:tr>
      <w:tr w:rsidR="009671FA" w:rsidRPr="0082182E" w14:paraId="4C33DA4C" w14:textId="77777777" w:rsidTr="00F71C1C">
        <w:trPr>
          <w:trHeight w:val="525"/>
        </w:trPr>
        <w:tc>
          <w:tcPr>
            <w:tcW w:w="2283" w:type="dxa"/>
            <w:tcBorders>
              <w:top w:val="nil"/>
              <w:left w:val="single" w:sz="8" w:space="0" w:color="auto"/>
              <w:bottom w:val="single" w:sz="8" w:space="0" w:color="auto"/>
              <w:right w:val="single" w:sz="8" w:space="0" w:color="auto"/>
            </w:tcBorders>
            <w:shd w:val="clear" w:color="auto" w:fill="auto"/>
            <w:vAlign w:val="center"/>
            <w:hideMark/>
          </w:tcPr>
          <w:p w14:paraId="6B9836FC" w14:textId="77777777" w:rsidR="009671FA" w:rsidRPr="0082182E" w:rsidRDefault="009671FA"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1.5 Crearea premiselor și lansarea bioeconomiei</w:t>
            </w:r>
          </w:p>
        </w:tc>
        <w:tc>
          <w:tcPr>
            <w:tcW w:w="2835" w:type="dxa"/>
            <w:tcBorders>
              <w:top w:val="nil"/>
              <w:left w:val="nil"/>
              <w:bottom w:val="single" w:sz="8" w:space="0" w:color="auto"/>
              <w:right w:val="single" w:sz="8" w:space="0" w:color="auto"/>
            </w:tcBorders>
            <w:shd w:val="clear" w:color="auto" w:fill="auto"/>
            <w:vAlign w:val="center"/>
            <w:hideMark/>
          </w:tcPr>
          <w:p w14:paraId="498242BB" w14:textId="77777777" w:rsidR="009671FA" w:rsidRPr="0082182E" w:rsidRDefault="009671FA" w:rsidP="009671FA">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Cadrul de politici și legal asigurat pentru  dezvoltarea bioeconomiei </w:t>
            </w:r>
          </w:p>
        </w:tc>
        <w:tc>
          <w:tcPr>
            <w:tcW w:w="2552" w:type="dxa"/>
            <w:tcBorders>
              <w:top w:val="nil"/>
              <w:left w:val="nil"/>
              <w:bottom w:val="single" w:sz="8" w:space="0" w:color="auto"/>
              <w:right w:val="single" w:sz="8" w:space="0" w:color="auto"/>
            </w:tcBorders>
            <w:shd w:val="clear" w:color="auto" w:fill="auto"/>
            <w:vAlign w:val="center"/>
            <w:hideMark/>
          </w:tcPr>
          <w:p w14:paraId="2546CA0A"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n/a</w:t>
            </w:r>
          </w:p>
        </w:tc>
        <w:tc>
          <w:tcPr>
            <w:tcW w:w="1984" w:type="dxa"/>
            <w:tcBorders>
              <w:top w:val="nil"/>
              <w:left w:val="nil"/>
              <w:bottom w:val="single" w:sz="8" w:space="0" w:color="auto"/>
              <w:right w:val="single" w:sz="8" w:space="0" w:color="auto"/>
            </w:tcBorders>
            <w:shd w:val="clear" w:color="auto" w:fill="auto"/>
            <w:vAlign w:val="center"/>
            <w:hideMark/>
          </w:tcPr>
          <w:p w14:paraId="27C1ADC3" w14:textId="77777777" w:rsidR="009671FA" w:rsidRPr="0082182E" w:rsidRDefault="009671FA" w:rsidP="009671FA">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Cadru de politici regulatoriu elaborat și adoptat</w:t>
            </w:r>
          </w:p>
        </w:tc>
      </w:tr>
    </w:tbl>
    <w:p w14:paraId="57358FC2" w14:textId="23DFDB29" w:rsidR="00B9541D" w:rsidRPr="00A73566" w:rsidRDefault="00B9541D" w:rsidP="00C37CB1">
      <w:pPr>
        <w:rPr>
          <w:rFonts w:ascii="Times New Roman" w:hAnsi="Times New Roman" w:cs="Times New Roman"/>
          <w:sz w:val="24"/>
          <w:szCs w:val="24"/>
          <w:lang w:val="ro-RO"/>
        </w:rPr>
      </w:pPr>
    </w:p>
    <w:tbl>
      <w:tblPr>
        <w:tblW w:w="9654" w:type="dxa"/>
        <w:tblInd w:w="93" w:type="dxa"/>
        <w:tblLook w:val="04A0" w:firstRow="1" w:lastRow="0" w:firstColumn="1" w:lastColumn="0" w:noHBand="0" w:noVBand="1"/>
      </w:tblPr>
      <w:tblGrid>
        <w:gridCol w:w="2142"/>
        <w:gridCol w:w="3543"/>
        <w:gridCol w:w="2127"/>
        <w:gridCol w:w="1842"/>
      </w:tblGrid>
      <w:tr w:rsidR="00C9157C" w:rsidRPr="0082182E" w14:paraId="687BA91E" w14:textId="77777777" w:rsidTr="00914BD2">
        <w:trPr>
          <w:trHeight w:val="467"/>
        </w:trPr>
        <w:tc>
          <w:tcPr>
            <w:tcW w:w="2142" w:type="dxa"/>
            <w:tcBorders>
              <w:top w:val="single" w:sz="8" w:space="0" w:color="auto"/>
              <w:left w:val="single" w:sz="8" w:space="0" w:color="auto"/>
              <w:bottom w:val="single" w:sz="8" w:space="0" w:color="auto"/>
              <w:right w:val="single" w:sz="8" w:space="0" w:color="auto"/>
            </w:tcBorders>
            <w:shd w:val="clear" w:color="000000" w:fill="0E353E"/>
            <w:hideMark/>
          </w:tcPr>
          <w:p w14:paraId="777B50C4" w14:textId="77777777" w:rsidR="00C9157C" w:rsidRPr="0082182E" w:rsidRDefault="00C9157C" w:rsidP="00914BD2">
            <w:pPr>
              <w:spacing w:after="0"/>
              <w:jc w:val="center"/>
              <w:rPr>
                <w:rFonts w:ascii="Times New Roman" w:eastAsia="Times New Roman" w:hAnsi="Times New Roman" w:cs="Times New Roman"/>
                <w:color w:val="000000"/>
                <w:sz w:val="18"/>
                <w:szCs w:val="18"/>
                <w:lang w:val="ro-RO" w:eastAsia="ru-RU"/>
              </w:rPr>
            </w:pPr>
            <w:bookmarkStart w:id="134" w:name="_Toc86496364"/>
            <w:bookmarkStart w:id="135" w:name="_Toc88132127"/>
            <w:r w:rsidRPr="0082182E">
              <w:rPr>
                <w:rFonts w:ascii="Times New Roman" w:eastAsia="Times New Roman" w:hAnsi="Times New Roman" w:cs="Times New Roman"/>
                <w:b/>
                <w:bCs/>
                <w:color w:val="FFFFFF"/>
                <w:sz w:val="18"/>
                <w:szCs w:val="18"/>
                <w:lang w:val="ro-RO" w:eastAsia="ru-RU"/>
              </w:rPr>
              <w:t>OBIECTIV SPECIFIC</w:t>
            </w:r>
          </w:p>
        </w:tc>
        <w:tc>
          <w:tcPr>
            <w:tcW w:w="3543" w:type="dxa"/>
            <w:tcBorders>
              <w:top w:val="single" w:sz="8" w:space="0" w:color="auto"/>
              <w:left w:val="nil"/>
              <w:bottom w:val="single" w:sz="8" w:space="0" w:color="auto"/>
              <w:right w:val="single" w:sz="8" w:space="0" w:color="auto"/>
            </w:tcBorders>
            <w:shd w:val="clear" w:color="000000" w:fill="0E353E"/>
            <w:hideMark/>
          </w:tcPr>
          <w:p w14:paraId="50D65448" w14:textId="77777777" w:rsidR="00C9157C" w:rsidRPr="0082182E" w:rsidRDefault="00C9157C" w:rsidP="00914BD2">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INDICATOR DE REZULTAT</w:t>
            </w:r>
          </w:p>
        </w:tc>
        <w:tc>
          <w:tcPr>
            <w:tcW w:w="2127" w:type="dxa"/>
            <w:tcBorders>
              <w:top w:val="single" w:sz="8" w:space="0" w:color="auto"/>
              <w:left w:val="nil"/>
              <w:bottom w:val="single" w:sz="8" w:space="0" w:color="auto"/>
              <w:right w:val="single" w:sz="8" w:space="0" w:color="auto"/>
            </w:tcBorders>
            <w:shd w:val="clear" w:color="000000" w:fill="0E353E"/>
            <w:hideMark/>
          </w:tcPr>
          <w:p w14:paraId="496C2958" w14:textId="77777777" w:rsidR="00C9157C" w:rsidRPr="0082182E" w:rsidRDefault="00C9157C" w:rsidP="00914BD2">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VALOAREA DE REFERINȚĂ 2020</w:t>
            </w:r>
          </w:p>
        </w:tc>
        <w:tc>
          <w:tcPr>
            <w:tcW w:w="1842" w:type="dxa"/>
            <w:tcBorders>
              <w:top w:val="single" w:sz="8" w:space="0" w:color="auto"/>
              <w:left w:val="nil"/>
              <w:bottom w:val="single" w:sz="8" w:space="0" w:color="auto"/>
              <w:right w:val="single" w:sz="8" w:space="0" w:color="auto"/>
            </w:tcBorders>
            <w:shd w:val="clear" w:color="000000" w:fill="0E353E"/>
            <w:hideMark/>
          </w:tcPr>
          <w:p w14:paraId="557AF0FB" w14:textId="77777777" w:rsidR="00C9157C" w:rsidRPr="0082182E" w:rsidRDefault="00C9157C" w:rsidP="00914BD2">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ȚINTĂ 2027</w:t>
            </w:r>
          </w:p>
        </w:tc>
      </w:tr>
      <w:tr w:rsidR="00C9157C" w:rsidRPr="0082182E" w14:paraId="4C0A98B3" w14:textId="77777777" w:rsidTr="00F71C1C">
        <w:trPr>
          <w:trHeight w:val="315"/>
        </w:trPr>
        <w:tc>
          <w:tcPr>
            <w:tcW w:w="2142" w:type="dxa"/>
            <w:vMerge w:val="restart"/>
            <w:tcBorders>
              <w:top w:val="nil"/>
              <w:left w:val="single" w:sz="8" w:space="0" w:color="auto"/>
              <w:bottom w:val="single" w:sz="8" w:space="0" w:color="000000"/>
              <w:right w:val="single" w:sz="8" w:space="0" w:color="auto"/>
            </w:tcBorders>
            <w:shd w:val="clear" w:color="auto" w:fill="auto"/>
            <w:vAlign w:val="center"/>
            <w:hideMark/>
          </w:tcPr>
          <w:p w14:paraId="6B13DF3A"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2.1 Revigorarea sectoarelor agricole strategice pentru securitatea alimentară a țării</w:t>
            </w:r>
          </w:p>
        </w:tc>
        <w:tc>
          <w:tcPr>
            <w:tcW w:w="3543" w:type="dxa"/>
            <w:tcBorders>
              <w:top w:val="nil"/>
              <w:left w:val="nil"/>
              <w:bottom w:val="single" w:sz="8" w:space="0" w:color="auto"/>
              <w:right w:val="single" w:sz="8" w:space="0" w:color="auto"/>
            </w:tcBorders>
            <w:shd w:val="clear" w:color="auto" w:fill="auto"/>
            <w:vAlign w:val="center"/>
            <w:hideMark/>
          </w:tcPr>
          <w:p w14:paraId="7467B385"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Volumul de producție animalieră</w:t>
            </w:r>
          </w:p>
        </w:tc>
        <w:tc>
          <w:tcPr>
            <w:tcW w:w="2127" w:type="dxa"/>
            <w:tcBorders>
              <w:top w:val="nil"/>
              <w:left w:val="nil"/>
              <w:bottom w:val="single" w:sz="8" w:space="0" w:color="auto"/>
              <w:right w:val="single" w:sz="8" w:space="0" w:color="auto"/>
            </w:tcBorders>
            <w:shd w:val="clear" w:color="auto" w:fill="auto"/>
            <w:vAlign w:val="center"/>
            <w:hideMark/>
          </w:tcPr>
          <w:p w14:paraId="495EF478" w14:textId="68FCEF3D"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9 135 m</w:t>
            </w:r>
            <w:r w:rsidR="004E2E97" w:rsidRPr="0082182E">
              <w:rPr>
                <w:rFonts w:ascii="Times New Roman" w:eastAsia="Times New Roman" w:hAnsi="Times New Roman" w:cs="Times New Roman"/>
                <w:sz w:val="18"/>
                <w:szCs w:val="18"/>
                <w:lang w:val="ro-RO" w:eastAsia="ru-RU"/>
              </w:rPr>
              <w:t>iliarde</w:t>
            </w:r>
            <w:r w:rsidRPr="0082182E">
              <w:rPr>
                <w:rFonts w:ascii="Times New Roman" w:eastAsia="Times New Roman" w:hAnsi="Times New Roman" w:cs="Times New Roman"/>
                <w:sz w:val="18"/>
                <w:szCs w:val="18"/>
                <w:lang w:val="ro-RO" w:eastAsia="ru-RU"/>
              </w:rPr>
              <w:t xml:space="preserve"> lei</w:t>
            </w:r>
          </w:p>
        </w:tc>
        <w:tc>
          <w:tcPr>
            <w:tcW w:w="1842" w:type="dxa"/>
            <w:tcBorders>
              <w:top w:val="nil"/>
              <w:left w:val="nil"/>
              <w:bottom w:val="single" w:sz="8" w:space="0" w:color="auto"/>
              <w:right w:val="single" w:sz="8" w:space="0" w:color="auto"/>
            </w:tcBorders>
            <w:shd w:val="clear" w:color="auto" w:fill="auto"/>
            <w:vAlign w:val="center"/>
            <w:hideMark/>
          </w:tcPr>
          <w:p w14:paraId="5AD582DF"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50%</w:t>
            </w:r>
          </w:p>
        </w:tc>
      </w:tr>
      <w:tr w:rsidR="00C9157C" w:rsidRPr="0082182E" w14:paraId="1C37A78D" w14:textId="77777777" w:rsidTr="00501B46">
        <w:trPr>
          <w:trHeight w:val="315"/>
        </w:trPr>
        <w:tc>
          <w:tcPr>
            <w:tcW w:w="2142" w:type="dxa"/>
            <w:vMerge/>
            <w:tcBorders>
              <w:top w:val="nil"/>
              <w:left w:val="single" w:sz="8" w:space="0" w:color="auto"/>
              <w:bottom w:val="single" w:sz="8" w:space="0" w:color="000000"/>
              <w:right w:val="single" w:sz="8" w:space="0" w:color="auto"/>
            </w:tcBorders>
            <w:hideMark/>
          </w:tcPr>
          <w:p w14:paraId="4D90F640"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4D43CC51" w14:textId="24F649DC" w:rsidR="00C9157C" w:rsidRPr="0082182E" w:rsidRDefault="00F71C1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Suprafețe de planații viticole</w:t>
            </w:r>
          </w:p>
        </w:tc>
        <w:tc>
          <w:tcPr>
            <w:tcW w:w="2127" w:type="dxa"/>
            <w:tcBorders>
              <w:top w:val="nil"/>
              <w:left w:val="nil"/>
              <w:bottom w:val="single" w:sz="8" w:space="0" w:color="auto"/>
              <w:right w:val="single" w:sz="8" w:space="0" w:color="auto"/>
            </w:tcBorders>
            <w:shd w:val="clear" w:color="auto" w:fill="auto"/>
            <w:vAlign w:val="center"/>
            <w:hideMark/>
          </w:tcPr>
          <w:p w14:paraId="3D021BD0" w14:textId="6568F3C6" w:rsidR="00C9157C" w:rsidRPr="0082182E" w:rsidRDefault="00F71C1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121,4 mii ha</w:t>
            </w:r>
          </w:p>
        </w:tc>
        <w:tc>
          <w:tcPr>
            <w:tcW w:w="1842" w:type="dxa"/>
            <w:tcBorders>
              <w:top w:val="nil"/>
              <w:left w:val="nil"/>
              <w:bottom w:val="single" w:sz="8" w:space="0" w:color="auto"/>
              <w:right w:val="single" w:sz="8" w:space="0" w:color="auto"/>
            </w:tcBorders>
            <w:shd w:val="clear" w:color="auto" w:fill="auto"/>
            <w:vAlign w:val="center"/>
            <w:hideMark/>
          </w:tcPr>
          <w:p w14:paraId="14F1D2FB" w14:textId="0A8D0DB5" w:rsidR="00C9157C" w:rsidRPr="0082182E" w:rsidRDefault="00F71C1C" w:rsidP="00F71C1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120 mii ha</w:t>
            </w:r>
            <w:r w:rsidR="00C9157C" w:rsidRPr="0082182E">
              <w:rPr>
                <w:rFonts w:ascii="Times New Roman" w:eastAsia="Times New Roman" w:hAnsi="Times New Roman" w:cs="Times New Roman"/>
                <w:sz w:val="18"/>
                <w:szCs w:val="18"/>
                <w:lang w:val="ro-RO" w:eastAsia="ru-RU"/>
              </w:rPr>
              <w:t xml:space="preserve"> </w:t>
            </w:r>
          </w:p>
        </w:tc>
      </w:tr>
      <w:tr w:rsidR="00C9157C" w:rsidRPr="0082182E" w14:paraId="7EFD3371" w14:textId="77777777" w:rsidTr="00501B46">
        <w:trPr>
          <w:trHeight w:val="315"/>
        </w:trPr>
        <w:tc>
          <w:tcPr>
            <w:tcW w:w="2142" w:type="dxa"/>
            <w:vMerge/>
            <w:tcBorders>
              <w:top w:val="nil"/>
              <w:left w:val="single" w:sz="8" w:space="0" w:color="auto"/>
              <w:bottom w:val="single" w:sz="8" w:space="0" w:color="000000"/>
              <w:right w:val="single" w:sz="8" w:space="0" w:color="auto"/>
            </w:tcBorders>
            <w:hideMark/>
          </w:tcPr>
          <w:p w14:paraId="1E2380D3"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5311E5C2" w14:textId="7C3F88BA" w:rsidR="00C9157C" w:rsidRPr="0082182E" w:rsidRDefault="002E5BA2"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Suprafețele</w:t>
            </w:r>
            <w:r w:rsidR="00C9157C" w:rsidRPr="0082182E">
              <w:rPr>
                <w:rFonts w:ascii="Times New Roman" w:eastAsia="Times New Roman" w:hAnsi="Times New Roman" w:cs="Times New Roman"/>
                <w:color w:val="000000"/>
                <w:sz w:val="18"/>
                <w:szCs w:val="18"/>
                <w:lang w:val="ro-RO" w:eastAsia="ru-RU"/>
              </w:rPr>
              <w:t xml:space="preserve"> de livezi </w:t>
            </w:r>
            <w:r w:rsidRPr="0082182E">
              <w:rPr>
                <w:rFonts w:ascii="Times New Roman" w:eastAsia="Times New Roman" w:hAnsi="Times New Roman" w:cs="Times New Roman"/>
                <w:color w:val="000000"/>
                <w:sz w:val="18"/>
                <w:szCs w:val="18"/>
                <w:lang w:val="ro-RO" w:eastAsia="ru-RU"/>
              </w:rPr>
              <w:t>sămânțoase</w:t>
            </w:r>
            <w:r w:rsidR="00C9157C" w:rsidRPr="0082182E">
              <w:rPr>
                <w:rFonts w:ascii="Times New Roman" w:eastAsia="Times New Roman" w:hAnsi="Times New Roman" w:cs="Times New Roman"/>
                <w:color w:val="000000"/>
                <w:sz w:val="18"/>
                <w:szCs w:val="18"/>
                <w:lang w:val="ro-RO" w:eastAsia="ru-RU"/>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70A82BC6"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60,2 mii ha</w:t>
            </w:r>
          </w:p>
        </w:tc>
        <w:tc>
          <w:tcPr>
            <w:tcW w:w="1842" w:type="dxa"/>
            <w:tcBorders>
              <w:top w:val="nil"/>
              <w:left w:val="nil"/>
              <w:bottom w:val="single" w:sz="8" w:space="0" w:color="auto"/>
              <w:right w:val="single" w:sz="8" w:space="0" w:color="auto"/>
            </w:tcBorders>
            <w:shd w:val="clear" w:color="auto" w:fill="auto"/>
            <w:vAlign w:val="center"/>
            <w:hideMark/>
          </w:tcPr>
          <w:p w14:paraId="7EA44522"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70 mii ha</w:t>
            </w:r>
          </w:p>
        </w:tc>
      </w:tr>
      <w:tr w:rsidR="00C9157C" w:rsidRPr="0082182E" w14:paraId="036B5CB1" w14:textId="77777777" w:rsidTr="00501B46">
        <w:trPr>
          <w:trHeight w:val="315"/>
        </w:trPr>
        <w:tc>
          <w:tcPr>
            <w:tcW w:w="2142" w:type="dxa"/>
            <w:vMerge/>
            <w:tcBorders>
              <w:top w:val="nil"/>
              <w:left w:val="single" w:sz="8" w:space="0" w:color="auto"/>
              <w:bottom w:val="single" w:sz="8" w:space="0" w:color="000000"/>
              <w:right w:val="single" w:sz="8" w:space="0" w:color="auto"/>
            </w:tcBorders>
            <w:hideMark/>
          </w:tcPr>
          <w:p w14:paraId="52AB6D43"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158B7CE2" w14:textId="787B3C42" w:rsidR="00C9157C" w:rsidRPr="0082182E" w:rsidRDefault="002E5BA2"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Suprafețele</w:t>
            </w:r>
            <w:r w:rsidR="00C9157C" w:rsidRPr="0082182E">
              <w:rPr>
                <w:rFonts w:ascii="Times New Roman" w:eastAsia="Times New Roman" w:hAnsi="Times New Roman" w:cs="Times New Roman"/>
                <w:color w:val="000000"/>
                <w:sz w:val="18"/>
                <w:szCs w:val="18"/>
                <w:lang w:val="ro-RO" w:eastAsia="ru-RU"/>
              </w:rPr>
              <w:t xml:space="preserve"> de livezi s</w:t>
            </w:r>
            <w:r w:rsidR="004E7B12" w:rsidRPr="0082182E">
              <w:rPr>
                <w:rFonts w:ascii="Times New Roman" w:eastAsia="Times New Roman" w:hAnsi="Times New Roman" w:cs="Times New Roman"/>
                <w:color w:val="000000"/>
                <w:sz w:val="18"/>
                <w:szCs w:val="18"/>
                <w:lang w:val="ro-RO" w:eastAsia="ru-RU"/>
              </w:rPr>
              <w:t>â</w:t>
            </w:r>
            <w:r w:rsidR="00C9157C" w:rsidRPr="0082182E">
              <w:rPr>
                <w:rFonts w:ascii="Times New Roman" w:eastAsia="Times New Roman" w:hAnsi="Times New Roman" w:cs="Times New Roman"/>
                <w:color w:val="000000"/>
                <w:sz w:val="18"/>
                <w:szCs w:val="18"/>
                <w:lang w:val="ro-RO" w:eastAsia="ru-RU"/>
              </w:rPr>
              <w:t xml:space="preserve">mburoase </w:t>
            </w:r>
          </w:p>
        </w:tc>
        <w:tc>
          <w:tcPr>
            <w:tcW w:w="2127" w:type="dxa"/>
            <w:tcBorders>
              <w:top w:val="nil"/>
              <w:left w:val="nil"/>
              <w:bottom w:val="single" w:sz="8" w:space="0" w:color="auto"/>
              <w:right w:val="single" w:sz="8" w:space="0" w:color="auto"/>
            </w:tcBorders>
            <w:shd w:val="clear" w:color="auto" w:fill="auto"/>
            <w:vAlign w:val="center"/>
            <w:hideMark/>
          </w:tcPr>
          <w:p w14:paraId="23429FE7"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42,4  mii ha</w:t>
            </w:r>
          </w:p>
        </w:tc>
        <w:tc>
          <w:tcPr>
            <w:tcW w:w="1842" w:type="dxa"/>
            <w:tcBorders>
              <w:top w:val="nil"/>
              <w:left w:val="nil"/>
              <w:bottom w:val="single" w:sz="8" w:space="0" w:color="auto"/>
              <w:right w:val="single" w:sz="8" w:space="0" w:color="auto"/>
            </w:tcBorders>
            <w:shd w:val="clear" w:color="auto" w:fill="auto"/>
            <w:vAlign w:val="center"/>
            <w:hideMark/>
          </w:tcPr>
          <w:p w14:paraId="4DFD246E"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45,0 mii ha</w:t>
            </w:r>
          </w:p>
        </w:tc>
      </w:tr>
      <w:tr w:rsidR="00C9157C" w:rsidRPr="0082182E" w14:paraId="61EDB729" w14:textId="77777777" w:rsidTr="00501B46">
        <w:trPr>
          <w:trHeight w:val="315"/>
        </w:trPr>
        <w:tc>
          <w:tcPr>
            <w:tcW w:w="2142" w:type="dxa"/>
            <w:vMerge/>
            <w:tcBorders>
              <w:top w:val="nil"/>
              <w:left w:val="single" w:sz="8" w:space="0" w:color="auto"/>
              <w:bottom w:val="single" w:sz="8" w:space="0" w:color="000000"/>
              <w:right w:val="single" w:sz="8" w:space="0" w:color="auto"/>
            </w:tcBorders>
            <w:hideMark/>
          </w:tcPr>
          <w:p w14:paraId="48CFA5C7"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611794F7" w14:textId="2F78CFFA" w:rsidR="00C9157C" w:rsidRPr="0082182E" w:rsidRDefault="00C9157C" w:rsidP="00C9157C">
            <w:pPr>
              <w:spacing w:after="0"/>
              <w:jc w:val="left"/>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Substituire planta</w:t>
            </w:r>
            <w:r w:rsidR="004E7B12" w:rsidRPr="0082182E">
              <w:rPr>
                <w:rFonts w:ascii="Times New Roman" w:eastAsia="Times New Roman" w:hAnsi="Times New Roman" w:cs="Times New Roman"/>
                <w:sz w:val="18"/>
                <w:szCs w:val="18"/>
                <w:lang w:val="ro-RO" w:eastAsia="ru-RU"/>
              </w:rPr>
              <w:t>ț</w:t>
            </w:r>
            <w:r w:rsidRPr="0082182E">
              <w:rPr>
                <w:rFonts w:ascii="Times New Roman" w:eastAsia="Times New Roman" w:hAnsi="Times New Roman" w:cs="Times New Roman"/>
                <w:sz w:val="18"/>
                <w:szCs w:val="18"/>
                <w:lang w:val="ro-RO" w:eastAsia="ru-RU"/>
              </w:rPr>
              <w:t xml:space="preserve">iilor cu termen de exploatare </w:t>
            </w:r>
            <w:r w:rsidR="002E5BA2" w:rsidRPr="0082182E">
              <w:rPr>
                <w:rFonts w:ascii="Times New Roman" w:eastAsia="Times New Roman" w:hAnsi="Times New Roman" w:cs="Times New Roman"/>
                <w:sz w:val="18"/>
                <w:szCs w:val="18"/>
                <w:lang w:val="ro-RO" w:eastAsia="ru-RU"/>
              </w:rPr>
              <w:t>depășit</w:t>
            </w:r>
            <w:r w:rsidRPr="0082182E">
              <w:rPr>
                <w:rFonts w:ascii="Times New Roman" w:eastAsia="Times New Roman" w:hAnsi="Times New Roman" w:cs="Times New Roman"/>
                <w:sz w:val="18"/>
                <w:szCs w:val="18"/>
                <w:lang w:val="ro-RO" w:eastAsia="ru-RU"/>
              </w:rPr>
              <w:t xml:space="preserve"> </w:t>
            </w:r>
          </w:p>
        </w:tc>
        <w:tc>
          <w:tcPr>
            <w:tcW w:w="2127" w:type="dxa"/>
            <w:tcBorders>
              <w:top w:val="nil"/>
              <w:left w:val="nil"/>
              <w:bottom w:val="single" w:sz="8" w:space="0" w:color="auto"/>
              <w:right w:val="single" w:sz="8" w:space="0" w:color="auto"/>
            </w:tcBorders>
            <w:shd w:val="clear" w:color="auto" w:fill="auto"/>
            <w:vAlign w:val="center"/>
            <w:hideMark/>
          </w:tcPr>
          <w:p w14:paraId="60BAA11E"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3,5%</w:t>
            </w:r>
          </w:p>
        </w:tc>
        <w:tc>
          <w:tcPr>
            <w:tcW w:w="1842" w:type="dxa"/>
            <w:tcBorders>
              <w:top w:val="nil"/>
              <w:left w:val="nil"/>
              <w:bottom w:val="single" w:sz="8" w:space="0" w:color="auto"/>
              <w:right w:val="single" w:sz="8" w:space="0" w:color="auto"/>
            </w:tcBorders>
            <w:shd w:val="clear" w:color="auto" w:fill="auto"/>
            <w:vAlign w:val="center"/>
            <w:hideMark/>
          </w:tcPr>
          <w:p w14:paraId="72C3F07C"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5%</w:t>
            </w:r>
          </w:p>
        </w:tc>
      </w:tr>
      <w:tr w:rsidR="00C9157C" w:rsidRPr="0082182E" w14:paraId="505E4636" w14:textId="77777777" w:rsidTr="00501B46">
        <w:trPr>
          <w:trHeight w:val="525"/>
        </w:trPr>
        <w:tc>
          <w:tcPr>
            <w:tcW w:w="2142" w:type="dxa"/>
            <w:vMerge/>
            <w:tcBorders>
              <w:top w:val="nil"/>
              <w:left w:val="single" w:sz="8" w:space="0" w:color="auto"/>
              <w:bottom w:val="single" w:sz="8" w:space="0" w:color="000000"/>
              <w:right w:val="single" w:sz="8" w:space="0" w:color="auto"/>
            </w:tcBorders>
            <w:hideMark/>
          </w:tcPr>
          <w:p w14:paraId="7798924F"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3331C88D"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Suprafața de terenuri cultivate cu plante aromatice și medicinale</w:t>
            </w:r>
          </w:p>
        </w:tc>
        <w:tc>
          <w:tcPr>
            <w:tcW w:w="2127" w:type="dxa"/>
            <w:tcBorders>
              <w:top w:val="nil"/>
              <w:left w:val="nil"/>
              <w:bottom w:val="single" w:sz="8" w:space="0" w:color="auto"/>
              <w:right w:val="single" w:sz="8" w:space="0" w:color="auto"/>
            </w:tcBorders>
            <w:shd w:val="clear" w:color="auto" w:fill="auto"/>
            <w:vAlign w:val="center"/>
            <w:hideMark/>
          </w:tcPr>
          <w:p w14:paraId="17E799A0"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5.6 mii ha</w:t>
            </w:r>
          </w:p>
        </w:tc>
        <w:tc>
          <w:tcPr>
            <w:tcW w:w="1842" w:type="dxa"/>
            <w:tcBorders>
              <w:top w:val="nil"/>
              <w:left w:val="nil"/>
              <w:bottom w:val="single" w:sz="8" w:space="0" w:color="auto"/>
              <w:right w:val="single" w:sz="8" w:space="0" w:color="auto"/>
            </w:tcBorders>
            <w:shd w:val="clear" w:color="auto" w:fill="auto"/>
            <w:vAlign w:val="center"/>
            <w:hideMark/>
          </w:tcPr>
          <w:p w14:paraId="2AFD3EC8"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20 mii ha</w:t>
            </w:r>
          </w:p>
        </w:tc>
      </w:tr>
      <w:tr w:rsidR="00C9157C" w:rsidRPr="0082182E" w14:paraId="718B6168" w14:textId="77777777" w:rsidTr="00F71C1C">
        <w:trPr>
          <w:trHeight w:val="1545"/>
        </w:trPr>
        <w:tc>
          <w:tcPr>
            <w:tcW w:w="2142" w:type="dxa"/>
            <w:tcBorders>
              <w:top w:val="nil"/>
              <w:left w:val="single" w:sz="8" w:space="0" w:color="auto"/>
              <w:bottom w:val="nil"/>
              <w:right w:val="single" w:sz="8" w:space="0" w:color="auto"/>
            </w:tcBorders>
            <w:shd w:val="clear" w:color="auto" w:fill="auto"/>
            <w:vAlign w:val="center"/>
            <w:hideMark/>
          </w:tcPr>
          <w:p w14:paraId="4BB8715D"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2.2 Dezvoltarea lanțurilor alimentare și de producție în agricultură și promovarea cooperării.</w:t>
            </w:r>
          </w:p>
        </w:tc>
        <w:tc>
          <w:tcPr>
            <w:tcW w:w="3543" w:type="dxa"/>
            <w:tcBorders>
              <w:top w:val="nil"/>
              <w:left w:val="nil"/>
              <w:bottom w:val="single" w:sz="8" w:space="0" w:color="auto"/>
              <w:right w:val="single" w:sz="8" w:space="0" w:color="auto"/>
            </w:tcBorders>
            <w:shd w:val="clear" w:color="auto" w:fill="auto"/>
            <w:hideMark/>
          </w:tcPr>
          <w:p w14:paraId="7DE1DE43"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Lanțuri valorice agroalimentare dezvoltate</w:t>
            </w:r>
          </w:p>
        </w:tc>
        <w:tc>
          <w:tcPr>
            <w:tcW w:w="2127" w:type="dxa"/>
            <w:tcBorders>
              <w:top w:val="nil"/>
              <w:left w:val="nil"/>
              <w:bottom w:val="single" w:sz="8" w:space="0" w:color="auto"/>
              <w:right w:val="single" w:sz="8" w:space="0" w:color="auto"/>
            </w:tcBorders>
            <w:shd w:val="clear" w:color="auto" w:fill="auto"/>
            <w:hideMark/>
          </w:tcPr>
          <w:p w14:paraId="5D18BC9B" w14:textId="77777777" w:rsidR="00C9157C" w:rsidRPr="0082182E" w:rsidRDefault="00C9157C" w:rsidP="002E5BA2">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n/a</w:t>
            </w:r>
          </w:p>
        </w:tc>
        <w:tc>
          <w:tcPr>
            <w:tcW w:w="1842" w:type="dxa"/>
            <w:tcBorders>
              <w:top w:val="nil"/>
              <w:left w:val="nil"/>
              <w:bottom w:val="single" w:sz="8" w:space="0" w:color="auto"/>
              <w:right w:val="single" w:sz="8" w:space="0" w:color="auto"/>
            </w:tcBorders>
            <w:shd w:val="clear" w:color="auto" w:fill="auto"/>
            <w:vAlign w:val="center"/>
            <w:hideMark/>
          </w:tcPr>
          <w:p w14:paraId="19086159" w14:textId="7F447228"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7 lanțuri valorice dezvoltare Producerea semințelor,    Producerea materialului săditor, Producerea plantelor aromatice si medicinale producerea fructelor, producerea strugurilor producerea pomușoarelor, producerea laptelui, </w:t>
            </w:r>
            <w:r w:rsidR="002E5BA2" w:rsidRPr="0082182E">
              <w:rPr>
                <w:rFonts w:ascii="Times New Roman" w:eastAsia="Times New Roman" w:hAnsi="Times New Roman" w:cs="Times New Roman"/>
                <w:color w:val="000000"/>
                <w:sz w:val="18"/>
                <w:szCs w:val="18"/>
                <w:lang w:val="ro-RO" w:eastAsia="ru-RU"/>
              </w:rPr>
              <w:t>cărnii, ouălor, peștelui și mieri</w:t>
            </w:r>
            <w:r w:rsidRPr="0082182E">
              <w:rPr>
                <w:rFonts w:ascii="Times New Roman" w:eastAsia="Times New Roman" w:hAnsi="Times New Roman" w:cs="Times New Roman"/>
                <w:color w:val="000000"/>
                <w:sz w:val="18"/>
                <w:szCs w:val="18"/>
                <w:lang w:val="ro-RO" w:eastAsia="ru-RU"/>
              </w:rPr>
              <w:t>i</w:t>
            </w:r>
          </w:p>
        </w:tc>
      </w:tr>
      <w:tr w:rsidR="00C9157C" w:rsidRPr="0082182E" w14:paraId="5C199EA1" w14:textId="77777777" w:rsidTr="00F71C1C">
        <w:trPr>
          <w:trHeight w:val="515"/>
        </w:trPr>
        <w:tc>
          <w:tcPr>
            <w:tcW w:w="2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24B6F7"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2.3 Promovarea modelelor de afaceri generatoare de locuri de muncă formale și permanente ce asigura fermierilor  un venit durabil</w:t>
            </w:r>
          </w:p>
        </w:tc>
        <w:tc>
          <w:tcPr>
            <w:tcW w:w="3543" w:type="dxa"/>
            <w:tcBorders>
              <w:top w:val="nil"/>
              <w:left w:val="nil"/>
              <w:bottom w:val="single" w:sz="8" w:space="0" w:color="auto"/>
              <w:right w:val="single" w:sz="8" w:space="0" w:color="auto"/>
            </w:tcBorders>
            <w:shd w:val="clear" w:color="auto" w:fill="auto"/>
            <w:vAlign w:val="center"/>
            <w:hideMark/>
          </w:tcPr>
          <w:p w14:paraId="1A8BCFAA"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Numărul de întreprinderi</w:t>
            </w:r>
          </w:p>
        </w:tc>
        <w:tc>
          <w:tcPr>
            <w:tcW w:w="2127" w:type="dxa"/>
            <w:tcBorders>
              <w:top w:val="nil"/>
              <w:left w:val="nil"/>
              <w:bottom w:val="single" w:sz="8" w:space="0" w:color="auto"/>
              <w:right w:val="single" w:sz="8" w:space="0" w:color="auto"/>
            </w:tcBorders>
            <w:shd w:val="clear" w:color="auto" w:fill="auto"/>
            <w:vAlign w:val="center"/>
            <w:hideMark/>
          </w:tcPr>
          <w:p w14:paraId="00AA6D80"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4681</w:t>
            </w:r>
          </w:p>
        </w:tc>
        <w:tc>
          <w:tcPr>
            <w:tcW w:w="1842" w:type="dxa"/>
            <w:tcBorders>
              <w:top w:val="nil"/>
              <w:left w:val="nil"/>
              <w:bottom w:val="single" w:sz="8" w:space="0" w:color="auto"/>
              <w:right w:val="single" w:sz="8" w:space="0" w:color="auto"/>
            </w:tcBorders>
            <w:shd w:val="clear" w:color="auto" w:fill="auto"/>
            <w:vAlign w:val="center"/>
            <w:hideMark/>
          </w:tcPr>
          <w:p w14:paraId="25377894"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5150</w:t>
            </w:r>
          </w:p>
        </w:tc>
      </w:tr>
      <w:tr w:rsidR="00C9157C" w:rsidRPr="0082182E" w14:paraId="568A70F5" w14:textId="77777777" w:rsidTr="00F71C1C">
        <w:trPr>
          <w:trHeight w:val="562"/>
        </w:trPr>
        <w:tc>
          <w:tcPr>
            <w:tcW w:w="2142" w:type="dxa"/>
            <w:vMerge/>
            <w:tcBorders>
              <w:top w:val="single" w:sz="8" w:space="0" w:color="auto"/>
              <w:left w:val="single" w:sz="8" w:space="0" w:color="auto"/>
              <w:bottom w:val="single" w:sz="8" w:space="0" w:color="000000"/>
              <w:right w:val="single" w:sz="8" w:space="0" w:color="auto"/>
            </w:tcBorders>
            <w:vAlign w:val="center"/>
            <w:hideMark/>
          </w:tcPr>
          <w:p w14:paraId="5DE77C29"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1493282F"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Numărul de salariați </w:t>
            </w:r>
          </w:p>
        </w:tc>
        <w:tc>
          <w:tcPr>
            <w:tcW w:w="2127" w:type="dxa"/>
            <w:tcBorders>
              <w:top w:val="nil"/>
              <w:left w:val="nil"/>
              <w:bottom w:val="single" w:sz="8" w:space="0" w:color="auto"/>
              <w:right w:val="single" w:sz="8" w:space="0" w:color="auto"/>
            </w:tcBorders>
            <w:shd w:val="clear" w:color="auto" w:fill="auto"/>
            <w:vAlign w:val="center"/>
            <w:hideMark/>
          </w:tcPr>
          <w:p w14:paraId="6C794D24" w14:textId="77777777" w:rsidR="00C9157C" w:rsidRPr="0082182E" w:rsidRDefault="00C9157C" w:rsidP="002E5BA2">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43523</w:t>
            </w:r>
          </w:p>
        </w:tc>
        <w:tc>
          <w:tcPr>
            <w:tcW w:w="1842" w:type="dxa"/>
            <w:tcBorders>
              <w:top w:val="nil"/>
              <w:left w:val="nil"/>
              <w:bottom w:val="single" w:sz="8" w:space="0" w:color="auto"/>
              <w:right w:val="single" w:sz="8" w:space="0" w:color="auto"/>
            </w:tcBorders>
            <w:shd w:val="clear" w:color="auto" w:fill="auto"/>
            <w:vAlign w:val="center"/>
            <w:hideMark/>
          </w:tcPr>
          <w:p w14:paraId="04915585"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44000</w:t>
            </w:r>
          </w:p>
        </w:tc>
      </w:tr>
      <w:tr w:rsidR="00C9157C" w:rsidRPr="0082182E" w14:paraId="558BEB47" w14:textId="77777777" w:rsidTr="00914BD2">
        <w:trPr>
          <w:trHeight w:val="645"/>
        </w:trPr>
        <w:tc>
          <w:tcPr>
            <w:tcW w:w="2142" w:type="dxa"/>
            <w:vMerge/>
            <w:tcBorders>
              <w:top w:val="single" w:sz="8" w:space="0" w:color="auto"/>
              <w:left w:val="single" w:sz="8" w:space="0" w:color="auto"/>
              <w:bottom w:val="single" w:sz="8" w:space="0" w:color="000000"/>
              <w:right w:val="single" w:sz="8" w:space="0" w:color="auto"/>
            </w:tcBorders>
            <w:vAlign w:val="center"/>
            <w:hideMark/>
          </w:tcPr>
          <w:p w14:paraId="181C5633"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single" w:sz="4" w:space="0" w:color="auto"/>
              <w:left w:val="nil"/>
              <w:bottom w:val="single" w:sz="8" w:space="0" w:color="auto"/>
              <w:right w:val="single" w:sz="8" w:space="0" w:color="auto"/>
            </w:tcBorders>
            <w:shd w:val="clear" w:color="auto" w:fill="auto"/>
            <w:hideMark/>
          </w:tcPr>
          <w:p w14:paraId="1223AB49"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Volumul producției industria alimentară</w:t>
            </w:r>
          </w:p>
        </w:tc>
        <w:tc>
          <w:tcPr>
            <w:tcW w:w="2127" w:type="dxa"/>
            <w:tcBorders>
              <w:top w:val="single" w:sz="4" w:space="0" w:color="auto"/>
              <w:left w:val="nil"/>
              <w:bottom w:val="single" w:sz="8" w:space="0" w:color="auto"/>
              <w:right w:val="single" w:sz="8" w:space="0" w:color="auto"/>
            </w:tcBorders>
            <w:shd w:val="clear" w:color="auto" w:fill="auto"/>
            <w:hideMark/>
          </w:tcPr>
          <w:p w14:paraId="7D6ED14E" w14:textId="430D0440" w:rsidR="00C9157C" w:rsidRPr="0082182E" w:rsidRDefault="00C9157C" w:rsidP="002E5BA2">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16, 6 </w:t>
            </w:r>
            <w:r w:rsidR="002E5BA2" w:rsidRPr="0082182E">
              <w:rPr>
                <w:rFonts w:ascii="Times New Roman" w:eastAsia="Times New Roman" w:hAnsi="Times New Roman" w:cs="Times New Roman"/>
                <w:color w:val="000000"/>
                <w:sz w:val="18"/>
                <w:szCs w:val="18"/>
                <w:lang w:val="ro-RO" w:eastAsia="ru-RU"/>
              </w:rPr>
              <w:t>mla</w:t>
            </w:r>
            <w:r w:rsidRPr="0082182E">
              <w:rPr>
                <w:rFonts w:ascii="Times New Roman" w:eastAsia="Times New Roman" w:hAnsi="Times New Roman" w:cs="Times New Roman"/>
                <w:color w:val="000000"/>
                <w:sz w:val="18"/>
                <w:szCs w:val="18"/>
                <w:lang w:val="ro-RO" w:eastAsia="ru-RU"/>
              </w:rPr>
              <w:t xml:space="preserve"> lei</w:t>
            </w:r>
          </w:p>
        </w:tc>
        <w:tc>
          <w:tcPr>
            <w:tcW w:w="1842" w:type="dxa"/>
            <w:tcBorders>
              <w:top w:val="single" w:sz="4" w:space="0" w:color="auto"/>
              <w:left w:val="nil"/>
              <w:bottom w:val="single" w:sz="8" w:space="0" w:color="auto"/>
              <w:right w:val="single" w:sz="8" w:space="0" w:color="auto"/>
            </w:tcBorders>
            <w:shd w:val="clear" w:color="auto" w:fill="auto"/>
            <w:hideMark/>
          </w:tcPr>
          <w:p w14:paraId="1F60899C" w14:textId="77777777" w:rsidR="00C9157C" w:rsidRPr="0082182E" w:rsidRDefault="00C9157C"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w:t>
            </w:r>
          </w:p>
        </w:tc>
      </w:tr>
      <w:tr w:rsidR="004E7B12" w:rsidRPr="0082182E" w14:paraId="60118E6F" w14:textId="77777777" w:rsidTr="00F71C1C">
        <w:trPr>
          <w:trHeight w:val="852"/>
        </w:trPr>
        <w:tc>
          <w:tcPr>
            <w:tcW w:w="2142" w:type="dxa"/>
            <w:tcBorders>
              <w:top w:val="nil"/>
              <w:left w:val="single" w:sz="8" w:space="0" w:color="auto"/>
              <w:bottom w:val="single" w:sz="8" w:space="0" w:color="000000"/>
              <w:right w:val="single" w:sz="8" w:space="0" w:color="auto"/>
            </w:tcBorders>
            <w:shd w:val="clear" w:color="auto" w:fill="auto"/>
            <w:vAlign w:val="center"/>
            <w:hideMark/>
          </w:tcPr>
          <w:p w14:paraId="73CDF92D" w14:textId="77777777" w:rsidR="004E7B12" w:rsidRPr="0082182E" w:rsidRDefault="004E7B12"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2.4.Stimularea agriculturii bazate pe inovații și cunoaștere</w:t>
            </w:r>
          </w:p>
        </w:tc>
        <w:tc>
          <w:tcPr>
            <w:tcW w:w="3543" w:type="dxa"/>
            <w:tcBorders>
              <w:top w:val="nil"/>
              <w:left w:val="nil"/>
              <w:bottom w:val="single" w:sz="4" w:space="0" w:color="auto"/>
              <w:right w:val="single" w:sz="8" w:space="0" w:color="auto"/>
            </w:tcBorders>
            <w:shd w:val="clear" w:color="auto" w:fill="auto"/>
            <w:hideMark/>
          </w:tcPr>
          <w:p w14:paraId="3FDD3340" w14:textId="00547007" w:rsidR="004E7B12" w:rsidRPr="0082182E" w:rsidRDefault="001D2053" w:rsidP="00501B46">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Dezvoltarea conceptului și implementarea ulterioară a Parcu</w:t>
            </w:r>
            <w:r w:rsidR="009A2BC5" w:rsidRPr="0082182E">
              <w:rPr>
                <w:rFonts w:ascii="Times New Roman" w:eastAsia="Times New Roman" w:hAnsi="Times New Roman" w:cs="Times New Roman"/>
                <w:color w:val="000000"/>
                <w:sz w:val="18"/>
                <w:szCs w:val="18"/>
                <w:lang w:val="ro-RO" w:eastAsia="ru-RU"/>
              </w:rPr>
              <w:t>rilor</w:t>
            </w:r>
            <w:r w:rsidRPr="0082182E">
              <w:rPr>
                <w:rFonts w:ascii="Times New Roman" w:eastAsia="Times New Roman" w:hAnsi="Times New Roman" w:cs="Times New Roman"/>
                <w:color w:val="000000"/>
                <w:sz w:val="18"/>
                <w:szCs w:val="18"/>
                <w:lang w:val="ro-RO" w:eastAsia="ru-RU"/>
              </w:rPr>
              <w:t xml:space="preserve"> </w:t>
            </w:r>
            <w:r w:rsidR="009A2BC5" w:rsidRPr="0082182E">
              <w:rPr>
                <w:rFonts w:ascii="Times New Roman" w:eastAsia="Times New Roman" w:hAnsi="Times New Roman" w:cs="Times New Roman"/>
                <w:color w:val="000000"/>
                <w:sz w:val="18"/>
                <w:szCs w:val="18"/>
                <w:lang w:val="ro-RO" w:eastAsia="ru-RU"/>
              </w:rPr>
              <w:t>I</w:t>
            </w:r>
            <w:r w:rsidRPr="0082182E">
              <w:rPr>
                <w:rFonts w:ascii="Times New Roman" w:eastAsia="Times New Roman" w:hAnsi="Times New Roman" w:cs="Times New Roman"/>
                <w:color w:val="000000"/>
                <w:sz w:val="18"/>
                <w:szCs w:val="18"/>
                <w:lang w:val="ro-RO" w:eastAsia="ru-RU"/>
              </w:rPr>
              <w:t>novațional</w:t>
            </w:r>
            <w:r w:rsidR="009A2BC5" w:rsidRPr="0082182E">
              <w:rPr>
                <w:rFonts w:ascii="Times New Roman" w:eastAsia="Times New Roman" w:hAnsi="Times New Roman" w:cs="Times New Roman"/>
                <w:color w:val="000000"/>
                <w:sz w:val="18"/>
                <w:szCs w:val="18"/>
                <w:lang w:val="ro-RO" w:eastAsia="ru-RU"/>
              </w:rPr>
              <w:t>e</w:t>
            </w:r>
            <w:r w:rsidRPr="0082182E">
              <w:rPr>
                <w:rFonts w:ascii="Times New Roman" w:eastAsia="Times New Roman" w:hAnsi="Times New Roman" w:cs="Times New Roman"/>
                <w:color w:val="000000"/>
                <w:sz w:val="18"/>
                <w:szCs w:val="18"/>
                <w:lang w:val="ro-RO" w:eastAsia="ru-RU"/>
              </w:rPr>
              <w:t xml:space="preserve"> </w:t>
            </w:r>
            <w:r w:rsidR="009A2BC5" w:rsidRPr="0082182E">
              <w:rPr>
                <w:rFonts w:ascii="Times New Roman" w:eastAsia="Times New Roman" w:hAnsi="Times New Roman" w:cs="Times New Roman"/>
                <w:color w:val="000000"/>
                <w:sz w:val="18"/>
                <w:szCs w:val="18"/>
                <w:lang w:val="ro-RO" w:eastAsia="ru-RU"/>
              </w:rPr>
              <w:t>T</w:t>
            </w:r>
            <w:r w:rsidRPr="0082182E">
              <w:rPr>
                <w:rFonts w:ascii="Times New Roman" w:eastAsia="Times New Roman" w:hAnsi="Times New Roman" w:cs="Times New Roman"/>
                <w:color w:val="000000"/>
                <w:sz w:val="18"/>
                <w:szCs w:val="18"/>
                <w:lang w:val="ro-RO" w:eastAsia="ru-RU"/>
              </w:rPr>
              <w:t>ehnologic</w:t>
            </w:r>
            <w:r w:rsidR="009A2BC5" w:rsidRPr="0082182E">
              <w:rPr>
                <w:rFonts w:ascii="Times New Roman" w:eastAsia="Times New Roman" w:hAnsi="Times New Roman" w:cs="Times New Roman"/>
                <w:color w:val="000000"/>
                <w:sz w:val="18"/>
                <w:szCs w:val="18"/>
                <w:lang w:val="ro-RO" w:eastAsia="ru-RU"/>
              </w:rPr>
              <w:t>e</w:t>
            </w:r>
            <w:r w:rsidRPr="0082182E">
              <w:rPr>
                <w:rFonts w:ascii="Times New Roman" w:eastAsia="Times New Roman" w:hAnsi="Times New Roman" w:cs="Times New Roman"/>
                <w:color w:val="000000"/>
                <w:sz w:val="18"/>
                <w:szCs w:val="18"/>
                <w:lang w:val="ro-RO" w:eastAsia="ru-RU"/>
              </w:rPr>
              <w:t xml:space="preserve"> bazat</w:t>
            </w:r>
            <w:r w:rsidR="009A2BC5" w:rsidRPr="0082182E">
              <w:rPr>
                <w:rFonts w:ascii="Times New Roman" w:eastAsia="Times New Roman" w:hAnsi="Times New Roman" w:cs="Times New Roman"/>
                <w:color w:val="000000"/>
                <w:sz w:val="18"/>
                <w:szCs w:val="18"/>
                <w:lang w:val="ro-RO" w:eastAsia="ru-RU"/>
              </w:rPr>
              <w:t>e</w:t>
            </w:r>
            <w:r w:rsidRPr="0082182E">
              <w:rPr>
                <w:rFonts w:ascii="Times New Roman" w:eastAsia="Times New Roman" w:hAnsi="Times New Roman" w:cs="Times New Roman"/>
                <w:color w:val="000000"/>
                <w:sz w:val="18"/>
                <w:szCs w:val="18"/>
                <w:lang w:val="ro-RO" w:eastAsia="ru-RU"/>
              </w:rPr>
              <w:t xml:space="preserve"> pe infrastructura sferei de </w:t>
            </w:r>
            <w:r w:rsidR="009A2BC5" w:rsidRPr="0082182E">
              <w:rPr>
                <w:rFonts w:ascii="Times New Roman" w:eastAsia="Times New Roman" w:hAnsi="Times New Roman" w:cs="Times New Roman"/>
                <w:color w:val="000000"/>
                <w:sz w:val="18"/>
                <w:szCs w:val="18"/>
                <w:lang w:val="ro-RO" w:eastAsia="ru-RU"/>
              </w:rPr>
              <w:t>învățământ primar</w:t>
            </w:r>
            <w:r w:rsidRPr="0082182E">
              <w:rPr>
                <w:rFonts w:ascii="Times New Roman" w:eastAsia="Times New Roman" w:hAnsi="Times New Roman" w:cs="Times New Roman"/>
                <w:color w:val="000000"/>
                <w:sz w:val="18"/>
                <w:szCs w:val="18"/>
                <w:lang w:val="ro-RO" w:eastAsia="ru-RU"/>
              </w:rPr>
              <w:t xml:space="preserve"> agricol </w:t>
            </w:r>
          </w:p>
        </w:tc>
        <w:tc>
          <w:tcPr>
            <w:tcW w:w="2127" w:type="dxa"/>
            <w:tcBorders>
              <w:top w:val="nil"/>
              <w:left w:val="nil"/>
              <w:bottom w:val="single" w:sz="4" w:space="0" w:color="auto"/>
              <w:right w:val="single" w:sz="8" w:space="0" w:color="auto"/>
            </w:tcBorders>
            <w:shd w:val="clear" w:color="auto" w:fill="auto"/>
            <w:hideMark/>
          </w:tcPr>
          <w:p w14:paraId="2403FA7D" w14:textId="54AFAF9E" w:rsidR="004E7B12" w:rsidRPr="0082182E" w:rsidRDefault="004E7B12" w:rsidP="002E5BA2">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n/a</w:t>
            </w:r>
          </w:p>
        </w:tc>
        <w:tc>
          <w:tcPr>
            <w:tcW w:w="1842" w:type="dxa"/>
            <w:tcBorders>
              <w:top w:val="nil"/>
              <w:left w:val="nil"/>
              <w:bottom w:val="single" w:sz="4" w:space="0" w:color="auto"/>
              <w:right w:val="single" w:sz="8" w:space="0" w:color="auto"/>
            </w:tcBorders>
            <w:shd w:val="clear" w:color="auto" w:fill="auto"/>
            <w:hideMark/>
          </w:tcPr>
          <w:p w14:paraId="47AD57E4" w14:textId="6B2A65B1" w:rsidR="004E7B12" w:rsidRPr="0082182E" w:rsidRDefault="009A2BC5" w:rsidP="009A2BC5">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Acces anual la servicii de consultanță a cca. 60% din entități agricole</w:t>
            </w:r>
          </w:p>
        </w:tc>
      </w:tr>
    </w:tbl>
    <w:p w14:paraId="7C9BA080" w14:textId="77777777" w:rsidR="003E5B33" w:rsidRPr="003E5B33" w:rsidRDefault="003E5B33" w:rsidP="003E5B33">
      <w:pPr>
        <w:rPr>
          <w:lang w:val="ro-RO"/>
        </w:rPr>
      </w:pPr>
    </w:p>
    <w:tbl>
      <w:tblPr>
        <w:tblW w:w="9654" w:type="dxa"/>
        <w:tblInd w:w="93" w:type="dxa"/>
        <w:tblLook w:val="04A0" w:firstRow="1" w:lastRow="0" w:firstColumn="1" w:lastColumn="0" w:noHBand="0" w:noVBand="1"/>
      </w:tblPr>
      <w:tblGrid>
        <w:gridCol w:w="2142"/>
        <w:gridCol w:w="3543"/>
        <w:gridCol w:w="2127"/>
        <w:gridCol w:w="1842"/>
      </w:tblGrid>
      <w:tr w:rsidR="00C9157C" w:rsidRPr="0082182E" w14:paraId="457BCEBB" w14:textId="77777777" w:rsidTr="00C9157C">
        <w:trPr>
          <w:trHeight w:val="390"/>
        </w:trPr>
        <w:tc>
          <w:tcPr>
            <w:tcW w:w="2142"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61B0C2B6"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b/>
                <w:bCs/>
                <w:color w:val="FFFFFF"/>
                <w:sz w:val="18"/>
                <w:szCs w:val="18"/>
                <w:lang w:val="ro-RO" w:eastAsia="ru-RU"/>
              </w:rPr>
              <w:t>OBIECTIV SPECIFIC</w:t>
            </w:r>
          </w:p>
        </w:tc>
        <w:tc>
          <w:tcPr>
            <w:tcW w:w="3543" w:type="dxa"/>
            <w:tcBorders>
              <w:top w:val="single" w:sz="8" w:space="0" w:color="auto"/>
              <w:left w:val="nil"/>
              <w:bottom w:val="single" w:sz="8" w:space="0" w:color="auto"/>
              <w:right w:val="single" w:sz="8" w:space="0" w:color="auto"/>
            </w:tcBorders>
            <w:shd w:val="clear" w:color="000000" w:fill="0E353E"/>
            <w:vAlign w:val="center"/>
            <w:hideMark/>
          </w:tcPr>
          <w:p w14:paraId="552AA352" w14:textId="77777777" w:rsidR="00C9157C" w:rsidRPr="0082182E" w:rsidRDefault="00C9157C" w:rsidP="00C9157C">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INDICATOR DE REZULTAT</w:t>
            </w:r>
          </w:p>
        </w:tc>
        <w:tc>
          <w:tcPr>
            <w:tcW w:w="2127" w:type="dxa"/>
            <w:tcBorders>
              <w:top w:val="single" w:sz="8" w:space="0" w:color="auto"/>
              <w:left w:val="nil"/>
              <w:bottom w:val="single" w:sz="8" w:space="0" w:color="auto"/>
              <w:right w:val="single" w:sz="8" w:space="0" w:color="auto"/>
            </w:tcBorders>
            <w:shd w:val="clear" w:color="000000" w:fill="0E353E"/>
            <w:vAlign w:val="center"/>
            <w:hideMark/>
          </w:tcPr>
          <w:p w14:paraId="5FC86D82" w14:textId="77777777" w:rsidR="00C9157C" w:rsidRPr="0082182E" w:rsidRDefault="00C9157C" w:rsidP="00C9157C">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VALOAREA DE REFERINȚĂ 2020</w:t>
            </w:r>
          </w:p>
        </w:tc>
        <w:tc>
          <w:tcPr>
            <w:tcW w:w="1842" w:type="dxa"/>
            <w:tcBorders>
              <w:top w:val="single" w:sz="8" w:space="0" w:color="auto"/>
              <w:left w:val="nil"/>
              <w:bottom w:val="single" w:sz="8" w:space="0" w:color="auto"/>
              <w:right w:val="single" w:sz="8" w:space="0" w:color="auto"/>
            </w:tcBorders>
            <w:shd w:val="clear" w:color="000000" w:fill="0E353E"/>
            <w:vAlign w:val="center"/>
            <w:hideMark/>
          </w:tcPr>
          <w:p w14:paraId="271E0392" w14:textId="77777777" w:rsidR="00C9157C" w:rsidRPr="0082182E" w:rsidRDefault="00C9157C" w:rsidP="00C9157C">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ȚINTĂ 2027</w:t>
            </w:r>
          </w:p>
        </w:tc>
      </w:tr>
      <w:tr w:rsidR="00C9157C" w:rsidRPr="0082182E" w14:paraId="06458450" w14:textId="77777777" w:rsidTr="00F71C1C">
        <w:trPr>
          <w:trHeight w:val="525"/>
        </w:trPr>
        <w:tc>
          <w:tcPr>
            <w:tcW w:w="2142" w:type="dxa"/>
            <w:vMerge w:val="restart"/>
            <w:tcBorders>
              <w:top w:val="nil"/>
              <w:left w:val="single" w:sz="8" w:space="0" w:color="auto"/>
              <w:bottom w:val="single" w:sz="8" w:space="0" w:color="000000"/>
              <w:right w:val="single" w:sz="8" w:space="0" w:color="auto"/>
            </w:tcBorders>
            <w:shd w:val="clear" w:color="auto" w:fill="auto"/>
            <w:vAlign w:val="center"/>
            <w:hideMark/>
          </w:tcPr>
          <w:p w14:paraId="39B6BBD8"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3.1 Asigurarea securității alimentare și a autosuficienței cu producție autohtonă</w:t>
            </w:r>
          </w:p>
        </w:tc>
        <w:tc>
          <w:tcPr>
            <w:tcW w:w="3543" w:type="dxa"/>
            <w:tcBorders>
              <w:top w:val="nil"/>
              <w:left w:val="nil"/>
              <w:bottom w:val="single" w:sz="8" w:space="0" w:color="auto"/>
              <w:right w:val="single" w:sz="8" w:space="0" w:color="auto"/>
            </w:tcBorders>
            <w:shd w:val="clear" w:color="auto" w:fill="auto"/>
            <w:vAlign w:val="center"/>
            <w:hideMark/>
          </w:tcPr>
          <w:p w14:paraId="32511421"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Gradul de autosuficiență </w:t>
            </w:r>
          </w:p>
        </w:tc>
        <w:tc>
          <w:tcPr>
            <w:tcW w:w="2127" w:type="dxa"/>
            <w:tcBorders>
              <w:top w:val="nil"/>
              <w:left w:val="nil"/>
              <w:bottom w:val="single" w:sz="8" w:space="0" w:color="auto"/>
              <w:right w:val="single" w:sz="8" w:space="0" w:color="auto"/>
            </w:tcBorders>
            <w:shd w:val="clear" w:color="auto" w:fill="auto"/>
            <w:vAlign w:val="center"/>
            <w:hideMark/>
          </w:tcPr>
          <w:p w14:paraId="6B7DF47A"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Carne (82%), Lapte (68%), Legume (78%)</w:t>
            </w:r>
          </w:p>
        </w:tc>
        <w:tc>
          <w:tcPr>
            <w:tcW w:w="1842" w:type="dxa"/>
            <w:tcBorders>
              <w:top w:val="nil"/>
              <w:left w:val="nil"/>
              <w:bottom w:val="single" w:sz="8" w:space="0" w:color="auto"/>
              <w:right w:val="single" w:sz="8" w:space="0" w:color="auto"/>
            </w:tcBorders>
            <w:shd w:val="clear" w:color="auto" w:fill="auto"/>
            <w:vAlign w:val="center"/>
            <w:hideMark/>
          </w:tcPr>
          <w:p w14:paraId="5A18D8E4"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Carne (95%) Lapte (80%), Legume (98%)</w:t>
            </w:r>
          </w:p>
        </w:tc>
      </w:tr>
      <w:tr w:rsidR="00C9157C" w:rsidRPr="0082182E" w14:paraId="33369BC5" w14:textId="77777777" w:rsidTr="00F71C1C">
        <w:trPr>
          <w:trHeight w:val="315"/>
        </w:trPr>
        <w:tc>
          <w:tcPr>
            <w:tcW w:w="2142" w:type="dxa"/>
            <w:vMerge/>
            <w:tcBorders>
              <w:top w:val="nil"/>
              <w:left w:val="single" w:sz="8" w:space="0" w:color="auto"/>
              <w:bottom w:val="single" w:sz="8" w:space="0" w:color="000000"/>
              <w:right w:val="single" w:sz="8" w:space="0" w:color="auto"/>
            </w:tcBorders>
            <w:vAlign w:val="center"/>
            <w:hideMark/>
          </w:tcPr>
          <w:p w14:paraId="33F1B09A"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5A10DEFB"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Soldul balanței comerciale agroalimentare</w:t>
            </w:r>
          </w:p>
        </w:tc>
        <w:tc>
          <w:tcPr>
            <w:tcW w:w="2127" w:type="dxa"/>
            <w:tcBorders>
              <w:top w:val="nil"/>
              <w:left w:val="nil"/>
              <w:bottom w:val="single" w:sz="8" w:space="0" w:color="auto"/>
              <w:right w:val="single" w:sz="8" w:space="0" w:color="auto"/>
            </w:tcBorders>
            <w:shd w:val="clear" w:color="auto" w:fill="auto"/>
            <w:vAlign w:val="center"/>
            <w:hideMark/>
          </w:tcPr>
          <w:p w14:paraId="5447379F"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241 mil USD</w:t>
            </w:r>
          </w:p>
        </w:tc>
        <w:tc>
          <w:tcPr>
            <w:tcW w:w="1842" w:type="dxa"/>
            <w:tcBorders>
              <w:top w:val="nil"/>
              <w:left w:val="nil"/>
              <w:bottom w:val="single" w:sz="8" w:space="0" w:color="auto"/>
              <w:right w:val="single" w:sz="8" w:space="0" w:color="auto"/>
            </w:tcBorders>
            <w:shd w:val="clear" w:color="auto" w:fill="auto"/>
            <w:vAlign w:val="center"/>
            <w:hideMark/>
          </w:tcPr>
          <w:p w14:paraId="4B2DB2F1"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300 mil USD</w:t>
            </w:r>
          </w:p>
        </w:tc>
      </w:tr>
      <w:tr w:rsidR="00C9157C" w:rsidRPr="0082182E" w14:paraId="457A1478" w14:textId="77777777" w:rsidTr="00F71C1C">
        <w:trPr>
          <w:trHeight w:val="315"/>
        </w:trPr>
        <w:tc>
          <w:tcPr>
            <w:tcW w:w="2142" w:type="dxa"/>
            <w:vMerge w:val="restart"/>
            <w:tcBorders>
              <w:top w:val="nil"/>
              <w:left w:val="single" w:sz="8" w:space="0" w:color="auto"/>
              <w:bottom w:val="single" w:sz="8" w:space="0" w:color="000000"/>
              <w:right w:val="single" w:sz="8" w:space="0" w:color="auto"/>
            </w:tcBorders>
            <w:shd w:val="clear" w:color="auto" w:fill="auto"/>
            <w:vAlign w:val="center"/>
            <w:hideMark/>
          </w:tcPr>
          <w:p w14:paraId="5102B4B3" w14:textId="4F8FDFB1"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3.2 Consolidarea </w:t>
            </w:r>
            <w:r w:rsidR="007245B2" w:rsidRPr="0082182E">
              <w:rPr>
                <w:rFonts w:ascii="Times New Roman" w:eastAsia="Times New Roman" w:hAnsi="Times New Roman" w:cs="Times New Roman"/>
                <w:color w:val="000000"/>
                <w:sz w:val="18"/>
                <w:szCs w:val="18"/>
                <w:lang w:val="ro-RO" w:eastAsia="ru-RU"/>
              </w:rPr>
              <w:t xml:space="preserve">domeniului </w:t>
            </w:r>
            <w:r w:rsidRPr="0082182E">
              <w:rPr>
                <w:rFonts w:ascii="Times New Roman" w:eastAsia="Times New Roman" w:hAnsi="Times New Roman" w:cs="Times New Roman"/>
                <w:color w:val="000000"/>
                <w:sz w:val="18"/>
                <w:szCs w:val="18"/>
                <w:lang w:val="ro-RO" w:eastAsia="ru-RU"/>
              </w:rPr>
              <w:t>siguranței alimentelor</w:t>
            </w:r>
          </w:p>
        </w:tc>
        <w:tc>
          <w:tcPr>
            <w:tcW w:w="3543" w:type="dxa"/>
            <w:tcBorders>
              <w:top w:val="nil"/>
              <w:left w:val="nil"/>
              <w:bottom w:val="single" w:sz="8" w:space="0" w:color="auto"/>
              <w:right w:val="single" w:sz="8" w:space="0" w:color="auto"/>
            </w:tcBorders>
            <w:shd w:val="clear" w:color="auto" w:fill="auto"/>
            <w:vAlign w:val="center"/>
            <w:hideMark/>
          </w:tcPr>
          <w:p w14:paraId="6FDB1296"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Metode acreditate la siguranța alimentară </w:t>
            </w:r>
          </w:p>
        </w:tc>
        <w:tc>
          <w:tcPr>
            <w:tcW w:w="2127" w:type="dxa"/>
            <w:tcBorders>
              <w:top w:val="nil"/>
              <w:left w:val="nil"/>
              <w:bottom w:val="single" w:sz="8" w:space="0" w:color="auto"/>
              <w:right w:val="single" w:sz="8" w:space="0" w:color="auto"/>
            </w:tcBorders>
            <w:shd w:val="clear" w:color="auto" w:fill="auto"/>
            <w:vAlign w:val="center"/>
            <w:hideMark/>
          </w:tcPr>
          <w:p w14:paraId="42650359"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105</w:t>
            </w:r>
          </w:p>
        </w:tc>
        <w:tc>
          <w:tcPr>
            <w:tcW w:w="1842" w:type="dxa"/>
            <w:tcBorders>
              <w:top w:val="nil"/>
              <w:left w:val="nil"/>
              <w:bottom w:val="single" w:sz="8" w:space="0" w:color="auto"/>
              <w:right w:val="single" w:sz="8" w:space="0" w:color="auto"/>
            </w:tcBorders>
            <w:shd w:val="clear" w:color="auto" w:fill="auto"/>
            <w:vAlign w:val="center"/>
            <w:hideMark/>
          </w:tcPr>
          <w:p w14:paraId="383E34BD"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125</w:t>
            </w:r>
          </w:p>
        </w:tc>
      </w:tr>
      <w:tr w:rsidR="00C9157C" w:rsidRPr="0082182E" w14:paraId="07A7158D" w14:textId="77777777" w:rsidTr="00F71C1C">
        <w:trPr>
          <w:trHeight w:val="315"/>
        </w:trPr>
        <w:tc>
          <w:tcPr>
            <w:tcW w:w="2142" w:type="dxa"/>
            <w:vMerge/>
            <w:tcBorders>
              <w:top w:val="nil"/>
              <w:left w:val="single" w:sz="8" w:space="0" w:color="auto"/>
              <w:bottom w:val="single" w:sz="8" w:space="0" w:color="000000"/>
              <w:right w:val="single" w:sz="8" w:space="0" w:color="auto"/>
            </w:tcBorders>
            <w:vAlign w:val="center"/>
            <w:hideMark/>
          </w:tcPr>
          <w:p w14:paraId="77702951"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24EDED95"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Metode acreditate la sănătatea animală</w:t>
            </w:r>
          </w:p>
        </w:tc>
        <w:tc>
          <w:tcPr>
            <w:tcW w:w="2127" w:type="dxa"/>
            <w:tcBorders>
              <w:top w:val="nil"/>
              <w:left w:val="nil"/>
              <w:bottom w:val="single" w:sz="8" w:space="0" w:color="auto"/>
              <w:right w:val="single" w:sz="8" w:space="0" w:color="auto"/>
            </w:tcBorders>
            <w:shd w:val="clear" w:color="auto" w:fill="auto"/>
            <w:vAlign w:val="center"/>
            <w:hideMark/>
          </w:tcPr>
          <w:p w14:paraId="56C028D8"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354</w:t>
            </w:r>
          </w:p>
        </w:tc>
        <w:tc>
          <w:tcPr>
            <w:tcW w:w="1842" w:type="dxa"/>
            <w:tcBorders>
              <w:top w:val="nil"/>
              <w:left w:val="nil"/>
              <w:bottom w:val="single" w:sz="8" w:space="0" w:color="auto"/>
              <w:right w:val="single" w:sz="8" w:space="0" w:color="auto"/>
            </w:tcBorders>
            <w:shd w:val="clear" w:color="auto" w:fill="auto"/>
            <w:vAlign w:val="center"/>
            <w:hideMark/>
          </w:tcPr>
          <w:p w14:paraId="24EBDDC2"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65</w:t>
            </w:r>
          </w:p>
        </w:tc>
      </w:tr>
      <w:tr w:rsidR="00C9157C" w:rsidRPr="0082182E" w14:paraId="22FF13AB" w14:textId="77777777" w:rsidTr="00F71C1C">
        <w:trPr>
          <w:trHeight w:val="525"/>
        </w:trPr>
        <w:tc>
          <w:tcPr>
            <w:tcW w:w="2142" w:type="dxa"/>
            <w:vMerge/>
            <w:tcBorders>
              <w:top w:val="nil"/>
              <w:left w:val="single" w:sz="8" w:space="0" w:color="auto"/>
              <w:bottom w:val="single" w:sz="8" w:space="0" w:color="000000"/>
              <w:right w:val="single" w:sz="8" w:space="0" w:color="auto"/>
            </w:tcBorders>
            <w:vAlign w:val="center"/>
            <w:hideMark/>
          </w:tcPr>
          <w:p w14:paraId="2FF26CEF"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0249D4D6"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Metode acreditate la controlul medicamentelor și și hrana pentru animale</w:t>
            </w:r>
          </w:p>
        </w:tc>
        <w:tc>
          <w:tcPr>
            <w:tcW w:w="2127" w:type="dxa"/>
            <w:tcBorders>
              <w:top w:val="nil"/>
              <w:left w:val="nil"/>
              <w:bottom w:val="single" w:sz="8" w:space="0" w:color="auto"/>
              <w:right w:val="single" w:sz="8" w:space="0" w:color="auto"/>
            </w:tcBorders>
            <w:shd w:val="clear" w:color="auto" w:fill="auto"/>
            <w:vAlign w:val="center"/>
            <w:hideMark/>
          </w:tcPr>
          <w:p w14:paraId="6576B835"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w:t>
            </w:r>
          </w:p>
        </w:tc>
        <w:tc>
          <w:tcPr>
            <w:tcW w:w="1842" w:type="dxa"/>
            <w:tcBorders>
              <w:top w:val="nil"/>
              <w:left w:val="nil"/>
              <w:bottom w:val="single" w:sz="8" w:space="0" w:color="auto"/>
              <w:right w:val="single" w:sz="8" w:space="0" w:color="auto"/>
            </w:tcBorders>
            <w:shd w:val="clear" w:color="auto" w:fill="auto"/>
            <w:vAlign w:val="center"/>
            <w:hideMark/>
          </w:tcPr>
          <w:p w14:paraId="1685B861"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23</w:t>
            </w:r>
          </w:p>
        </w:tc>
      </w:tr>
      <w:tr w:rsidR="00C9157C" w:rsidRPr="0082182E" w14:paraId="2C82DDBC" w14:textId="77777777" w:rsidTr="00F71C1C">
        <w:trPr>
          <w:trHeight w:val="525"/>
        </w:trPr>
        <w:tc>
          <w:tcPr>
            <w:tcW w:w="2142" w:type="dxa"/>
            <w:vMerge/>
            <w:tcBorders>
              <w:top w:val="nil"/>
              <w:left w:val="single" w:sz="8" w:space="0" w:color="auto"/>
              <w:bottom w:val="single" w:sz="8" w:space="0" w:color="000000"/>
              <w:right w:val="single" w:sz="8" w:space="0" w:color="auto"/>
            </w:tcBorders>
            <w:vAlign w:val="center"/>
            <w:hideMark/>
          </w:tcPr>
          <w:p w14:paraId="2EA243F7"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22162117"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Numărul de producători locali ce dețin certificări în domeniul calității produselor </w:t>
            </w:r>
          </w:p>
        </w:tc>
        <w:tc>
          <w:tcPr>
            <w:tcW w:w="2127" w:type="dxa"/>
            <w:tcBorders>
              <w:top w:val="nil"/>
              <w:left w:val="nil"/>
              <w:bottom w:val="single" w:sz="8" w:space="0" w:color="auto"/>
              <w:right w:val="single" w:sz="8" w:space="0" w:color="auto"/>
            </w:tcBorders>
            <w:shd w:val="clear" w:color="auto" w:fill="auto"/>
            <w:vAlign w:val="center"/>
            <w:hideMark/>
          </w:tcPr>
          <w:p w14:paraId="46003856"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300</w:t>
            </w:r>
          </w:p>
        </w:tc>
        <w:tc>
          <w:tcPr>
            <w:tcW w:w="1842" w:type="dxa"/>
            <w:tcBorders>
              <w:top w:val="nil"/>
              <w:left w:val="nil"/>
              <w:bottom w:val="single" w:sz="8" w:space="0" w:color="auto"/>
              <w:right w:val="single" w:sz="8" w:space="0" w:color="auto"/>
            </w:tcBorders>
            <w:shd w:val="clear" w:color="auto" w:fill="auto"/>
            <w:vAlign w:val="center"/>
            <w:hideMark/>
          </w:tcPr>
          <w:p w14:paraId="117E11F0"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422 (+10% anual)</w:t>
            </w:r>
          </w:p>
        </w:tc>
      </w:tr>
      <w:tr w:rsidR="00C9157C" w:rsidRPr="0082182E" w14:paraId="50C880AE" w14:textId="77777777" w:rsidTr="00F71C1C">
        <w:trPr>
          <w:trHeight w:val="525"/>
        </w:trPr>
        <w:tc>
          <w:tcPr>
            <w:tcW w:w="2142" w:type="dxa"/>
            <w:vMerge/>
            <w:tcBorders>
              <w:top w:val="nil"/>
              <w:left w:val="single" w:sz="8" w:space="0" w:color="auto"/>
              <w:bottom w:val="single" w:sz="8" w:space="0" w:color="000000"/>
              <w:right w:val="single" w:sz="8" w:space="0" w:color="auto"/>
            </w:tcBorders>
            <w:vAlign w:val="center"/>
            <w:hideMark/>
          </w:tcPr>
          <w:p w14:paraId="33813BF5"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vAlign w:val="center"/>
            <w:hideMark/>
          </w:tcPr>
          <w:p w14:paraId="7FE5E47E"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Ponderea valorică a produselor procesate/finite în exportul agroalimentar</w:t>
            </w:r>
          </w:p>
        </w:tc>
        <w:tc>
          <w:tcPr>
            <w:tcW w:w="2127" w:type="dxa"/>
            <w:tcBorders>
              <w:top w:val="nil"/>
              <w:left w:val="nil"/>
              <w:bottom w:val="single" w:sz="8" w:space="0" w:color="auto"/>
              <w:right w:val="single" w:sz="8" w:space="0" w:color="auto"/>
            </w:tcBorders>
            <w:shd w:val="clear" w:color="auto" w:fill="auto"/>
            <w:vAlign w:val="center"/>
            <w:hideMark/>
          </w:tcPr>
          <w:p w14:paraId="317BA259"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45%</w:t>
            </w:r>
          </w:p>
        </w:tc>
        <w:tc>
          <w:tcPr>
            <w:tcW w:w="1842" w:type="dxa"/>
            <w:tcBorders>
              <w:top w:val="nil"/>
              <w:left w:val="nil"/>
              <w:bottom w:val="single" w:sz="8" w:space="0" w:color="auto"/>
              <w:right w:val="single" w:sz="8" w:space="0" w:color="auto"/>
            </w:tcBorders>
            <w:shd w:val="clear" w:color="auto" w:fill="auto"/>
            <w:vAlign w:val="center"/>
            <w:hideMark/>
          </w:tcPr>
          <w:p w14:paraId="6F0FEB73"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60%</w:t>
            </w:r>
          </w:p>
        </w:tc>
      </w:tr>
      <w:tr w:rsidR="00C9157C" w:rsidRPr="0082182E" w14:paraId="46480737" w14:textId="77777777" w:rsidTr="00F71C1C">
        <w:trPr>
          <w:trHeight w:val="885"/>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36FD6E40" w14:textId="77777777" w:rsidR="00C9157C" w:rsidRPr="0082182E" w:rsidRDefault="00C9157C" w:rsidP="00F71C1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3.3 Creșterea  competitivității și integrarea practicilor de marketing în agricultură</w:t>
            </w:r>
          </w:p>
        </w:tc>
        <w:tc>
          <w:tcPr>
            <w:tcW w:w="3543" w:type="dxa"/>
            <w:tcBorders>
              <w:top w:val="nil"/>
              <w:left w:val="nil"/>
              <w:bottom w:val="single" w:sz="8" w:space="0" w:color="auto"/>
              <w:right w:val="single" w:sz="8" w:space="0" w:color="auto"/>
            </w:tcBorders>
            <w:shd w:val="clear" w:color="auto" w:fill="auto"/>
            <w:vAlign w:val="center"/>
            <w:hideMark/>
          </w:tcPr>
          <w:p w14:paraId="337B5B54"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Crearea Centrului de Agromarketing la nivel național</w:t>
            </w:r>
          </w:p>
        </w:tc>
        <w:tc>
          <w:tcPr>
            <w:tcW w:w="2127" w:type="dxa"/>
            <w:tcBorders>
              <w:top w:val="nil"/>
              <w:left w:val="nil"/>
              <w:bottom w:val="single" w:sz="8" w:space="0" w:color="auto"/>
              <w:right w:val="single" w:sz="8" w:space="0" w:color="auto"/>
            </w:tcBorders>
            <w:shd w:val="clear" w:color="auto" w:fill="auto"/>
            <w:vAlign w:val="center"/>
            <w:hideMark/>
          </w:tcPr>
          <w:p w14:paraId="1E6B6355"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n/a</w:t>
            </w:r>
          </w:p>
        </w:tc>
        <w:tc>
          <w:tcPr>
            <w:tcW w:w="1842" w:type="dxa"/>
            <w:tcBorders>
              <w:top w:val="nil"/>
              <w:left w:val="nil"/>
              <w:bottom w:val="single" w:sz="8" w:space="0" w:color="auto"/>
              <w:right w:val="single" w:sz="8" w:space="0" w:color="auto"/>
            </w:tcBorders>
            <w:shd w:val="clear" w:color="auto" w:fill="auto"/>
            <w:vAlign w:val="center"/>
            <w:hideMark/>
          </w:tcPr>
          <w:p w14:paraId="18CE881A"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Centru creat</w:t>
            </w:r>
          </w:p>
        </w:tc>
      </w:tr>
    </w:tbl>
    <w:p w14:paraId="45CE96A5" w14:textId="77777777" w:rsidR="00501B46" w:rsidRPr="00A73566" w:rsidRDefault="00501B46">
      <w:pPr>
        <w:spacing w:after="0"/>
        <w:jc w:val="left"/>
        <w:rPr>
          <w:lang w:val="ro-RO"/>
        </w:rPr>
      </w:pPr>
    </w:p>
    <w:tbl>
      <w:tblPr>
        <w:tblW w:w="9654" w:type="dxa"/>
        <w:tblInd w:w="93" w:type="dxa"/>
        <w:tblLook w:val="04A0" w:firstRow="1" w:lastRow="0" w:firstColumn="1" w:lastColumn="0" w:noHBand="0" w:noVBand="1"/>
      </w:tblPr>
      <w:tblGrid>
        <w:gridCol w:w="2142"/>
        <w:gridCol w:w="3543"/>
        <w:gridCol w:w="2127"/>
        <w:gridCol w:w="1842"/>
      </w:tblGrid>
      <w:tr w:rsidR="00C9157C" w:rsidRPr="0082182E" w14:paraId="00A08903" w14:textId="77777777" w:rsidTr="007375FB">
        <w:trPr>
          <w:trHeight w:val="450"/>
        </w:trPr>
        <w:tc>
          <w:tcPr>
            <w:tcW w:w="2142"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19EB23F0"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b/>
                <w:bCs/>
                <w:color w:val="FFFFFF"/>
                <w:sz w:val="18"/>
                <w:szCs w:val="18"/>
                <w:lang w:val="ro-RO" w:eastAsia="ru-RU"/>
              </w:rPr>
              <w:t>OBIECTIV SPECIFIC</w:t>
            </w:r>
          </w:p>
        </w:tc>
        <w:tc>
          <w:tcPr>
            <w:tcW w:w="3543" w:type="dxa"/>
            <w:tcBorders>
              <w:top w:val="single" w:sz="8" w:space="0" w:color="auto"/>
              <w:left w:val="nil"/>
              <w:bottom w:val="single" w:sz="8" w:space="0" w:color="auto"/>
              <w:right w:val="single" w:sz="8" w:space="0" w:color="auto"/>
            </w:tcBorders>
            <w:shd w:val="clear" w:color="000000" w:fill="0E353E"/>
            <w:hideMark/>
          </w:tcPr>
          <w:p w14:paraId="6CCE6974" w14:textId="77777777" w:rsidR="00C9157C" w:rsidRPr="0082182E" w:rsidRDefault="00C9157C" w:rsidP="007375FB">
            <w:pPr>
              <w:spacing w:after="0"/>
              <w:jc w:val="left"/>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INDICATOR DE REZULTAT</w:t>
            </w:r>
          </w:p>
        </w:tc>
        <w:tc>
          <w:tcPr>
            <w:tcW w:w="2127" w:type="dxa"/>
            <w:tcBorders>
              <w:top w:val="single" w:sz="8" w:space="0" w:color="auto"/>
              <w:left w:val="nil"/>
              <w:bottom w:val="single" w:sz="8" w:space="0" w:color="auto"/>
              <w:right w:val="single" w:sz="8" w:space="0" w:color="auto"/>
            </w:tcBorders>
            <w:shd w:val="clear" w:color="000000" w:fill="0E353E"/>
            <w:vAlign w:val="center"/>
            <w:hideMark/>
          </w:tcPr>
          <w:p w14:paraId="45B07AFB" w14:textId="77777777" w:rsidR="00C9157C" w:rsidRPr="0082182E" w:rsidRDefault="00C9157C" w:rsidP="00C9157C">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VALOAREA DE REFERINȚĂ 2020</w:t>
            </w:r>
          </w:p>
        </w:tc>
        <w:tc>
          <w:tcPr>
            <w:tcW w:w="1842" w:type="dxa"/>
            <w:tcBorders>
              <w:top w:val="single" w:sz="8" w:space="0" w:color="auto"/>
              <w:left w:val="nil"/>
              <w:bottom w:val="single" w:sz="8" w:space="0" w:color="auto"/>
              <w:right w:val="single" w:sz="8" w:space="0" w:color="auto"/>
            </w:tcBorders>
            <w:shd w:val="clear" w:color="000000" w:fill="0E353E"/>
            <w:vAlign w:val="center"/>
            <w:hideMark/>
          </w:tcPr>
          <w:p w14:paraId="1E6AC1FB" w14:textId="77777777" w:rsidR="00C9157C" w:rsidRPr="0082182E" w:rsidRDefault="00C9157C" w:rsidP="00C9157C">
            <w:pPr>
              <w:spacing w:after="0"/>
              <w:jc w:val="center"/>
              <w:rPr>
                <w:rFonts w:ascii="Times New Roman" w:eastAsia="Times New Roman" w:hAnsi="Times New Roman" w:cs="Times New Roman"/>
                <w:b/>
                <w:bCs/>
                <w:color w:val="FFFFFF"/>
                <w:sz w:val="18"/>
                <w:szCs w:val="18"/>
                <w:lang w:val="ro-RO" w:eastAsia="ru-RU"/>
              </w:rPr>
            </w:pPr>
            <w:r w:rsidRPr="0082182E">
              <w:rPr>
                <w:rFonts w:ascii="Times New Roman" w:eastAsia="Times New Roman" w:hAnsi="Times New Roman" w:cs="Times New Roman"/>
                <w:b/>
                <w:bCs/>
                <w:color w:val="FFFFFF"/>
                <w:sz w:val="18"/>
                <w:szCs w:val="18"/>
                <w:lang w:val="ro-RO" w:eastAsia="ru-RU"/>
              </w:rPr>
              <w:t>ȚINTĂ 2027</w:t>
            </w:r>
          </w:p>
        </w:tc>
      </w:tr>
      <w:tr w:rsidR="00C9157C" w:rsidRPr="0082182E" w14:paraId="0D4D7988" w14:textId="77777777" w:rsidTr="007375FB">
        <w:trPr>
          <w:trHeight w:val="315"/>
        </w:trPr>
        <w:tc>
          <w:tcPr>
            <w:tcW w:w="2142" w:type="dxa"/>
            <w:vMerge w:val="restart"/>
            <w:tcBorders>
              <w:top w:val="nil"/>
              <w:left w:val="single" w:sz="8" w:space="0" w:color="auto"/>
              <w:bottom w:val="nil"/>
              <w:right w:val="single" w:sz="8" w:space="0" w:color="auto"/>
            </w:tcBorders>
            <w:shd w:val="clear" w:color="auto" w:fill="auto"/>
            <w:vAlign w:val="center"/>
            <w:hideMark/>
          </w:tcPr>
          <w:p w14:paraId="29B4EEDD"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4.1 Sporirea investițiilor în infrastructura fizică și de servicii din mediul rural</w:t>
            </w:r>
          </w:p>
        </w:tc>
        <w:tc>
          <w:tcPr>
            <w:tcW w:w="3543" w:type="dxa"/>
            <w:tcBorders>
              <w:top w:val="nil"/>
              <w:left w:val="nil"/>
              <w:bottom w:val="single" w:sz="8" w:space="0" w:color="auto"/>
              <w:right w:val="single" w:sz="8" w:space="0" w:color="auto"/>
            </w:tcBorders>
            <w:shd w:val="clear" w:color="auto" w:fill="auto"/>
            <w:hideMark/>
          </w:tcPr>
          <w:p w14:paraId="1D3C65A9" w14:textId="77777777" w:rsidR="00C9157C" w:rsidRPr="0082182E" w:rsidRDefault="00C9157C" w:rsidP="007375FB">
            <w:pPr>
              <w:spacing w:after="0"/>
              <w:jc w:val="left"/>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Proiecte de infrastructura si servicii implementate</w:t>
            </w:r>
          </w:p>
        </w:tc>
        <w:tc>
          <w:tcPr>
            <w:tcW w:w="2127" w:type="dxa"/>
            <w:tcBorders>
              <w:top w:val="nil"/>
              <w:left w:val="nil"/>
              <w:bottom w:val="single" w:sz="8" w:space="0" w:color="auto"/>
              <w:right w:val="single" w:sz="8" w:space="0" w:color="auto"/>
            </w:tcBorders>
            <w:shd w:val="clear" w:color="auto" w:fill="auto"/>
            <w:vAlign w:val="center"/>
            <w:hideMark/>
          </w:tcPr>
          <w:p w14:paraId="3114CD6A"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20</w:t>
            </w:r>
          </w:p>
        </w:tc>
        <w:tc>
          <w:tcPr>
            <w:tcW w:w="1842" w:type="dxa"/>
            <w:tcBorders>
              <w:top w:val="nil"/>
              <w:left w:val="nil"/>
              <w:bottom w:val="nil"/>
              <w:right w:val="single" w:sz="8" w:space="0" w:color="auto"/>
            </w:tcBorders>
            <w:shd w:val="clear" w:color="auto" w:fill="auto"/>
            <w:vAlign w:val="center"/>
            <w:hideMark/>
          </w:tcPr>
          <w:p w14:paraId="06192282"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30 (anual)</w:t>
            </w:r>
          </w:p>
        </w:tc>
      </w:tr>
      <w:tr w:rsidR="00C9157C" w:rsidRPr="0082182E" w14:paraId="40D89225" w14:textId="77777777" w:rsidTr="007375FB">
        <w:trPr>
          <w:trHeight w:val="315"/>
        </w:trPr>
        <w:tc>
          <w:tcPr>
            <w:tcW w:w="2142" w:type="dxa"/>
            <w:vMerge/>
            <w:tcBorders>
              <w:top w:val="nil"/>
              <w:left w:val="single" w:sz="8" w:space="0" w:color="auto"/>
              <w:bottom w:val="nil"/>
              <w:right w:val="single" w:sz="8" w:space="0" w:color="auto"/>
            </w:tcBorders>
            <w:vAlign w:val="center"/>
            <w:hideMark/>
          </w:tcPr>
          <w:p w14:paraId="703C1D40"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hideMark/>
          </w:tcPr>
          <w:p w14:paraId="4D3B0358" w14:textId="77777777" w:rsidR="00C9157C" w:rsidRPr="0082182E" w:rsidRDefault="00C9157C" w:rsidP="007375FB">
            <w:pPr>
              <w:spacing w:after="0"/>
              <w:jc w:val="left"/>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Proiecte de dezvoltare locală implementate</w:t>
            </w:r>
          </w:p>
        </w:tc>
        <w:tc>
          <w:tcPr>
            <w:tcW w:w="2127" w:type="dxa"/>
            <w:tcBorders>
              <w:top w:val="nil"/>
              <w:left w:val="nil"/>
              <w:bottom w:val="single" w:sz="8" w:space="0" w:color="auto"/>
              <w:right w:val="single" w:sz="8" w:space="0" w:color="auto"/>
            </w:tcBorders>
            <w:shd w:val="clear" w:color="auto" w:fill="auto"/>
            <w:vAlign w:val="center"/>
            <w:hideMark/>
          </w:tcPr>
          <w:p w14:paraId="6BFC1604"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51</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40E5897F" w14:textId="77777777" w:rsidR="00C9157C" w:rsidRPr="0082182E" w:rsidRDefault="00C9157C" w:rsidP="00C9157C">
            <w:pPr>
              <w:spacing w:after="0"/>
              <w:jc w:val="center"/>
              <w:rPr>
                <w:rFonts w:ascii="Times New Roman" w:eastAsia="Times New Roman" w:hAnsi="Times New Roman" w:cs="Times New Roman"/>
                <w:sz w:val="18"/>
                <w:szCs w:val="18"/>
                <w:lang w:val="ro-RO" w:eastAsia="ru-RU"/>
              </w:rPr>
            </w:pPr>
            <w:r w:rsidRPr="0082182E">
              <w:rPr>
                <w:rFonts w:ascii="Times New Roman" w:eastAsia="Times New Roman" w:hAnsi="Times New Roman" w:cs="Times New Roman"/>
                <w:sz w:val="18"/>
                <w:szCs w:val="18"/>
                <w:lang w:val="ro-RO" w:eastAsia="ru-RU"/>
              </w:rPr>
              <w:t>60 (anual)</w:t>
            </w:r>
          </w:p>
        </w:tc>
      </w:tr>
      <w:tr w:rsidR="00C9157C" w:rsidRPr="0082182E" w14:paraId="596D7A75" w14:textId="77777777" w:rsidTr="007375FB">
        <w:trPr>
          <w:trHeight w:val="315"/>
        </w:trPr>
        <w:tc>
          <w:tcPr>
            <w:tcW w:w="2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6B7A72"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4.2 Încurajarea afaceri non-agricole din zonele rurală</w:t>
            </w:r>
          </w:p>
        </w:tc>
        <w:tc>
          <w:tcPr>
            <w:tcW w:w="3543" w:type="dxa"/>
            <w:tcBorders>
              <w:top w:val="nil"/>
              <w:left w:val="nil"/>
              <w:bottom w:val="single" w:sz="8" w:space="0" w:color="auto"/>
              <w:right w:val="single" w:sz="8" w:space="0" w:color="auto"/>
            </w:tcBorders>
            <w:shd w:val="clear" w:color="auto" w:fill="auto"/>
            <w:hideMark/>
          </w:tcPr>
          <w:p w14:paraId="69453B8E" w14:textId="77777777" w:rsidR="00C9157C" w:rsidRPr="0082182E" w:rsidRDefault="00C9157C" w:rsidP="007375FB">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Afaceri non agricole sprijinite prin FNDAR </w:t>
            </w:r>
          </w:p>
        </w:tc>
        <w:tc>
          <w:tcPr>
            <w:tcW w:w="2127" w:type="dxa"/>
            <w:tcBorders>
              <w:top w:val="nil"/>
              <w:left w:val="nil"/>
              <w:bottom w:val="single" w:sz="8" w:space="0" w:color="auto"/>
              <w:right w:val="single" w:sz="8" w:space="0" w:color="auto"/>
            </w:tcBorders>
            <w:shd w:val="clear" w:color="auto" w:fill="auto"/>
            <w:vAlign w:val="center"/>
            <w:hideMark/>
          </w:tcPr>
          <w:p w14:paraId="200AB61E"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157</w:t>
            </w:r>
          </w:p>
        </w:tc>
        <w:tc>
          <w:tcPr>
            <w:tcW w:w="1842" w:type="dxa"/>
            <w:tcBorders>
              <w:top w:val="nil"/>
              <w:left w:val="nil"/>
              <w:bottom w:val="single" w:sz="8" w:space="0" w:color="auto"/>
              <w:right w:val="single" w:sz="8" w:space="0" w:color="auto"/>
            </w:tcBorders>
            <w:shd w:val="clear" w:color="auto" w:fill="auto"/>
            <w:vAlign w:val="center"/>
            <w:hideMark/>
          </w:tcPr>
          <w:p w14:paraId="55F95638"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170 anual</w:t>
            </w:r>
          </w:p>
        </w:tc>
      </w:tr>
      <w:tr w:rsidR="00C9157C" w:rsidRPr="0082182E" w14:paraId="64AC6DAB" w14:textId="77777777" w:rsidTr="007375FB">
        <w:trPr>
          <w:trHeight w:val="315"/>
        </w:trPr>
        <w:tc>
          <w:tcPr>
            <w:tcW w:w="2142" w:type="dxa"/>
            <w:vMerge/>
            <w:tcBorders>
              <w:top w:val="single" w:sz="8" w:space="0" w:color="auto"/>
              <w:left w:val="single" w:sz="8" w:space="0" w:color="auto"/>
              <w:bottom w:val="single" w:sz="8" w:space="0" w:color="000000"/>
              <w:right w:val="single" w:sz="8" w:space="0" w:color="auto"/>
            </w:tcBorders>
            <w:vAlign w:val="center"/>
            <w:hideMark/>
          </w:tcPr>
          <w:p w14:paraId="57FFCBB8"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hideMark/>
          </w:tcPr>
          <w:p w14:paraId="0B373D4B" w14:textId="77777777" w:rsidR="00C9157C" w:rsidRPr="0082182E" w:rsidRDefault="00C9157C" w:rsidP="007375FB">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Locuri de muncă create în cadrul afacerilor </w:t>
            </w:r>
          </w:p>
        </w:tc>
        <w:tc>
          <w:tcPr>
            <w:tcW w:w="2127" w:type="dxa"/>
            <w:tcBorders>
              <w:top w:val="nil"/>
              <w:left w:val="nil"/>
              <w:bottom w:val="single" w:sz="8" w:space="0" w:color="auto"/>
              <w:right w:val="single" w:sz="8" w:space="0" w:color="auto"/>
            </w:tcBorders>
            <w:shd w:val="clear" w:color="auto" w:fill="auto"/>
            <w:vAlign w:val="center"/>
            <w:hideMark/>
          </w:tcPr>
          <w:p w14:paraId="61372BDA"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350</w:t>
            </w:r>
          </w:p>
        </w:tc>
        <w:tc>
          <w:tcPr>
            <w:tcW w:w="1842" w:type="dxa"/>
            <w:tcBorders>
              <w:top w:val="nil"/>
              <w:left w:val="nil"/>
              <w:bottom w:val="single" w:sz="8" w:space="0" w:color="auto"/>
              <w:right w:val="single" w:sz="8" w:space="0" w:color="auto"/>
            </w:tcBorders>
            <w:shd w:val="clear" w:color="auto" w:fill="auto"/>
            <w:vAlign w:val="center"/>
            <w:hideMark/>
          </w:tcPr>
          <w:p w14:paraId="1C9A4096"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500 anual</w:t>
            </w:r>
          </w:p>
        </w:tc>
      </w:tr>
      <w:tr w:rsidR="00C9157C" w:rsidRPr="0082182E" w14:paraId="46B6D7F9" w14:textId="77777777" w:rsidTr="007375FB">
        <w:trPr>
          <w:trHeight w:val="315"/>
        </w:trPr>
        <w:tc>
          <w:tcPr>
            <w:tcW w:w="2142" w:type="dxa"/>
            <w:vMerge w:val="restart"/>
            <w:tcBorders>
              <w:top w:val="nil"/>
              <w:left w:val="single" w:sz="8" w:space="0" w:color="auto"/>
              <w:bottom w:val="single" w:sz="8" w:space="0" w:color="000000"/>
              <w:right w:val="single" w:sz="8" w:space="0" w:color="auto"/>
            </w:tcBorders>
            <w:shd w:val="clear" w:color="auto" w:fill="auto"/>
            <w:vAlign w:val="center"/>
            <w:hideMark/>
          </w:tcPr>
          <w:p w14:paraId="45F81548"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4.3 Implicarea comunității locale în implementarea strategiilor de dezvoltare locală</w:t>
            </w:r>
          </w:p>
        </w:tc>
        <w:tc>
          <w:tcPr>
            <w:tcW w:w="3543" w:type="dxa"/>
            <w:tcBorders>
              <w:top w:val="nil"/>
              <w:left w:val="nil"/>
              <w:bottom w:val="single" w:sz="8" w:space="0" w:color="auto"/>
              <w:right w:val="single" w:sz="8" w:space="0" w:color="auto"/>
            </w:tcBorders>
            <w:shd w:val="clear" w:color="auto" w:fill="auto"/>
            <w:hideMark/>
          </w:tcPr>
          <w:p w14:paraId="59555507" w14:textId="77777777" w:rsidR="00C9157C" w:rsidRPr="0082182E" w:rsidRDefault="00C9157C" w:rsidP="007375FB">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Grupuri de Acțiune Locală (GAL) înregistrate </w:t>
            </w:r>
          </w:p>
        </w:tc>
        <w:tc>
          <w:tcPr>
            <w:tcW w:w="2127" w:type="dxa"/>
            <w:tcBorders>
              <w:top w:val="nil"/>
              <w:left w:val="nil"/>
              <w:bottom w:val="single" w:sz="8" w:space="0" w:color="auto"/>
              <w:right w:val="single" w:sz="8" w:space="0" w:color="auto"/>
            </w:tcBorders>
            <w:shd w:val="clear" w:color="auto" w:fill="auto"/>
            <w:vAlign w:val="center"/>
            <w:hideMark/>
          </w:tcPr>
          <w:p w14:paraId="39ABE0A2"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32</w:t>
            </w:r>
          </w:p>
        </w:tc>
        <w:tc>
          <w:tcPr>
            <w:tcW w:w="1842" w:type="dxa"/>
            <w:tcBorders>
              <w:top w:val="nil"/>
              <w:left w:val="nil"/>
              <w:bottom w:val="single" w:sz="8" w:space="0" w:color="auto"/>
              <w:right w:val="single" w:sz="8" w:space="0" w:color="auto"/>
            </w:tcBorders>
            <w:shd w:val="clear" w:color="auto" w:fill="auto"/>
            <w:vAlign w:val="center"/>
            <w:hideMark/>
          </w:tcPr>
          <w:p w14:paraId="11D580B2"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60</w:t>
            </w:r>
          </w:p>
        </w:tc>
      </w:tr>
      <w:tr w:rsidR="00C9157C" w:rsidRPr="0082182E" w14:paraId="4A316988" w14:textId="77777777" w:rsidTr="007375FB">
        <w:trPr>
          <w:trHeight w:val="315"/>
        </w:trPr>
        <w:tc>
          <w:tcPr>
            <w:tcW w:w="2142" w:type="dxa"/>
            <w:vMerge/>
            <w:tcBorders>
              <w:top w:val="nil"/>
              <w:left w:val="single" w:sz="8" w:space="0" w:color="auto"/>
              <w:bottom w:val="single" w:sz="8" w:space="0" w:color="000000"/>
              <w:right w:val="single" w:sz="8" w:space="0" w:color="auto"/>
            </w:tcBorders>
            <w:vAlign w:val="center"/>
            <w:hideMark/>
          </w:tcPr>
          <w:p w14:paraId="6F8844D8"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p>
        </w:tc>
        <w:tc>
          <w:tcPr>
            <w:tcW w:w="3543" w:type="dxa"/>
            <w:tcBorders>
              <w:top w:val="nil"/>
              <w:left w:val="nil"/>
              <w:bottom w:val="single" w:sz="8" w:space="0" w:color="auto"/>
              <w:right w:val="single" w:sz="8" w:space="0" w:color="auto"/>
            </w:tcBorders>
            <w:shd w:val="clear" w:color="auto" w:fill="auto"/>
            <w:hideMark/>
          </w:tcPr>
          <w:p w14:paraId="59C6070E" w14:textId="77777777" w:rsidR="00C9157C" w:rsidRPr="0082182E" w:rsidRDefault="00C9157C" w:rsidP="007375FB">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Proiecte implementate prin intermediul GAL </w:t>
            </w:r>
          </w:p>
        </w:tc>
        <w:tc>
          <w:tcPr>
            <w:tcW w:w="2127" w:type="dxa"/>
            <w:tcBorders>
              <w:top w:val="nil"/>
              <w:left w:val="nil"/>
              <w:bottom w:val="single" w:sz="8" w:space="0" w:color="auto"/>
              <w:right w:val="single" w:sz="8" w:space="0" w:color="auto"/>
            </w:tcBorders>
            <w:shd w:val="clear" w:color="auto" w:fill="auto"/>
            <w:vAlign w:val="center"/>
            <w:hideMark/>
          </w:tcPr>
          <w:p w14:paraId="1D099634"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350</w:t>
            </w:r>
          </w:p>
        </w:tc>
        <w:tc>
          <w:tcPr>
            <w:tcW w:w="1842" w:type="dxa"/>
            <w:tcBorders>
              <w:top w:val="nil"/>
              <w:left w:val="nil"/>
              <w:bottom w:val="single" w:sz="8" w:space="0" w:color="auto"/>
              <w:right w:val="single" w:sz="8" w:space="0" w:color="auto"/>
            </w:tcBorders>
            <w:shd w:val="clear" w:color="auto" w:fill="auto"/>
            <w:vAlign w:val="center"/>
            <w:hideMark/>
          </w:tcPr>
          <w:p w14:paraId="13D414DF" w14:textId="77777777" w:rsidR="00C9157C" w:rsidRPr="0082182E" w:rsidRDefault="00C9157C"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2000</w:t>
            </w:r>
          </w:p>
        </w:tc>
      </w:tr>
      <w:tr w:rsidR="00C9157C" w:rsidRPr="0082182E" w14:paraId="6D9CA84B" w14:textId="77777777" w:rsidTr="007375FB">
        <w:trPr>
          <w:trHeight w:val="795"/>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4AA5AEC" w14:textId="77777777" w:rsidR="00C9157C" w:rsidRPr="0082182E" w:rsidRDefault="00C9157C" w:rsidP="00C9157C">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4.4 Stimularea tinerilor fermieri prin facilitarea dezvoltării afacerilor în mediul rural</w:t>
            </w:r>
          </w:p>
        </w:tc>
        <w:tc>
          <w:tcPr>
            <w:tcW w:w="3543" w:type="dxa"/>
            <w:tcBorders>
              <w:top w:val="nil"/>
              <w:left w:val="nil"/>
              <w:bottom w:val="single" w:sz="8" w:space="0" w:color="auto"/>
              <w:right w:val="single" w:sz="8" w:space="0" w:color="auto"/>
            </w:tcBorders>
            <w:shd w:val="clear" w:color="auto" w:fill="auto"/>
            <w:hideMark/>
          </w:tcPr>
          <w:p w14:paraId="766F0BBD" w14:textId="77777777" w:rsidR="00C9157C" w:rsidRPr="0082182E" w:rsidRDefault="00C9157C" w:rsidP="007375FB">
            <w:pPr>
              <w:spacing w:after="0"/>
              <w:jc w:val="left"/>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 xml:space="preserve">Afaceri inițiate de tineri în mediul rural </w:t>
            </w:r>
          </w:p>
        </w:tc>
        <w:tc>
          <w:tcPr>
            <w:tcW w:w="2127" w:type="dxa"/>
            <w:tcBorders>
              <w:top w:val="nil"/>
              <w:left w:val="nil"/>
              <w:bottom w:val="single" w:sz="8" w:space="0" w:color="auto"/>
              <w:right w:val="single" w:sz="8" w:space="0" w:color="auto"/>
            </w:tcBorders>
            <w:shd w:val="clear" w:color="auto" w:fill="auto"/>
            <w:vAlign w:val="center"/>
            <w:hideMark/>
          </w:tcPr>
          <w:p w14:paraId="1D22431B" w14:textId="2F62611E" w:rsidR="00C9157C" w:rsidRPr="0082182E" w:rsidRDefault="003853EA"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33</w:t>
            </w:r>
          </w:p>
        </w:tc>
        <w:tc>
          <w:tcPr>
            <w:tcW w:w="1842" w:type="dxa"/>
            <w:tcBorders>
              <w:top w:val="nil"/>
              <w:left w:val="nil"/>
              <w:bottom w:val="single" w:sz="8" w:space="0" w:color="auto"/>
              <w:right w:val="single" w:sz="8" w:space="0" w:color="auto"/>
            </w:tcBorders>
            <w:shd w:val="clear" w:color="auto" w:fill="auto"/>
            <w:vAlign w:val="center"/>
            <w:hideMark/>
          </w:tcPr>
          <w:p w14:paraId="4675166F" w14:textId="75112B7D" w:rsidR="00C9157C" w:rsidRPr="0082182E" w:rsidRDefault="003853EA" w:rsidP="00C9157C">
            <w:pPr>
              <w:spacing w:after="0"/>
              <w:jc w:val="center"/>
              <w:rPr>
                <w:rFonts w:ascii="Times New Roman" w:eastAsia="Times New Roman" w:hAnsi="Times New Roman" w:cs="Times New Roman"/>
                <w:color w:val="000000"/>
                <w:sz w:val="18"/>
                <w:szCs w:val="18"/>
                <w:lang w:val="ro-RO" w:eastAsia="ru-RU"/>
              </w:rPr>
            </w:pPr>
            <w:r w:rsidRPr="0082182E">
              <w:rPr>
                <w:rFonts w:ascii="Times New Roman" w:eastAsia="Times New Roman" w:hAnsi="Times New Roman" w:cs="Times New Roman"/>
                <w:color w:val="000000"/>
                <w:sz w:val="18"/>
                <w:szCs w:val="18"/>
                <w:lang w:val="ro-RO" w:eastAsia="ru-RU"/>
              </w:rPr>
              <w:t>30 de start-upuri si proiecte de afaceri anual</w:t>
            </w:r>
          </w:p>
        </w:tc>
      </w:tr>
    </w:tbl>
    <w:p w14:paraId="3666EBCC" w14:textId="77777777" w:rsidR="00C9157C" w:rsidRDefault="00C9157C">
      <w:pPr>
        <w:spacing w:after="0"/>
        <w:jc w:val="left"/>
        <w:rPr>
          <w:lang w:val="ro-RO"/>
        </w:rPr>
      </w:pPr>
    </w:p>
    <w:p w14:paraId="6ADC57C9" w14:textId="77777777" w:rsidR="00914BD2" w:rsidRDefault="00914BD2">
      <w:pPr>
        <w:spacing w:after="0"/>
        <w:jc w:val="left"/>
        <w:rPr>
          <w:lang w:val="ro-RO"/>
        </w:rPr>
      </w:pPr>
    </w:p>
    <w:p w14:paraId="2220AF5C" w14:textId="77777777" w:rsidR="00914BD2" w:rsidRPr="00A73566" w:rsidRDefault="00914BD2">
      <w:pPr>
        <w:spacing w:after="0"/>
        <w:jc w:val="left"/>
        <w:rPr>
          <w:lang w:val="ro-RO"/>
        </w:rPr>
      </w:pPr>
    </w:p>
    <w:p w14:paraId="1F9E1126" w14:textId="7B5AC342" w:rsidR="00401C15" w:rsidRPr="00A73566" w:rsidRDefault="00401C15" w:rsidP="00401C15">
      <w:pPr>
        <w:pStyle w:val="Heading1"/>
        <w:rPr>
          <w:rFonts w:ascii="Times New Roman" w:hAnsi="Times New Roman" w:cs="Times New Roman"/>
          <w:lang w:val="ro-RO"/>
        </w:rPr>
      </w:pPr>
      <w:r w:rsidRPr="00A73566">
        <w:rPr>
          <w:rFonts w:ascii="Times New Roman" w:hAnsi="Times New Roman" w:cs="Times New Roman"/>
          <w:lang w:val="ro-RO"/>
        </w:rPr>
        <w:t>Riscuri de Implementare</w:t>
      </w:r>
      <w:bookmarkEnd w:id="134"/>
      <w:bookmarkEnd w:id="135"/>
    </w:p>
    <w:p w14:paraId="0E04A311" w14:textId="77777777" w:rsidR="00401C15" w:rsidRPr="00A73566" w:rsidRDefault="00401C15" w:rsidP="0082182E">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 xml:space="preserve">În implementarea Strategiei și formularea programelor sectoriale, vor fi luat în considerarea un spectru de riscuri care pot afecta atât procesul de implementare a intervențiilor dar și cele care pot compromite atingerea rezultatelor propuse. Totodată, având în vedere perioada de programare (de 10 ani) precum și ierarhia documentelor de politici, programele sectoriale vor prelua și actualiza tipurile de riscuri aferente domeniului specific de intervenție. </w:t>
      </w:r>
    </w:p>
    <w:p w14:paraId="6F10A1A0" w14:textId="77777777" w:rsidR="00DE774D" w:rsidRPr="00A73566" w:rsidRDefault="00401C15" w:rsidP="0082182E">
      <w:pPr>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Riscurile asociate cu domeniile de intervenție ale politicii de dezvoltare agricolă și rurală au fost structurate convențional în câteva categorii distincte, care vor facilita monitorizare apariției acestora cât și posibilitatea formularea unor posibile strategii de diminuare sau răspuns:</w:t>
      </w:r>
    </w:p>
    <w:p w14:paraId="62F088DB" w14:textId="6C15796C" w:rsidR="00401C15" w:rsidRPr="00A73566" w:rsidRDefault="00401C15" w:rsidP="00401C15">
      <w:pPr>
        <w:rPr>
          <w:rFonts w:ascii="Times New Roman" w:hAnsi="Times New Roman" w:cs="Times New Roman"/>
          <w:color w:val="000000" w:themeColor="text1"/>
          <w:lang w:val="ro-RO"/>
        </w:rPr>
      </w:pPr>
      <w:r w:rsidRPr="00A73566">
        <w:rPr>
          <w:rFonts w:ascii="Times New Roman" w:hAnsi="Times New Roman" w:cs="Times New Roman"/>
          <w:i/>
          <w:color w:val="000000" w:themeColor="text1"/>
          <w:lang w:val="ro-RO"/>
        </w:rPr>
        <w:t xml:space="preserve">Instituționale/organizaționale </w:t>
      </w:r>
      <w:r w:rsidRPr="00A73566">
        <w:rPr>
          <w:rFonts w:ascii="Times New Roman" w:hAnsi="Times New Roman" w:cs="Times New Roman"/>
          <w:color w:val="000000" w:themeColor="text1"/>
          <w:lang w:val="ro-RO"/>
        </w:rPr>
        <w:t>– sunt riscurile asociate procesului organizațional, realizării activităților şi procedurilor operaționale și se referă inclusiv la disponibilitatea resurselor.</w:t>
      </w:r>
    </w:p>
    <w:p w14:paraId="40BF36EA" w14:textId="77777777" w:rsidR="00401C15" w:rsidRPr="00A73566" w:rsidRDefault="00401C15" w:rsidP="00401C15">
      <w:pPr>
        <w:rPr>
          <w:rFonts w:ascii="Times New Roman" w:hAnsi="Times New Roman" w:cs="Times New Roman"/>
          <w:color w:val="000000" w:themeColor="text1"/>
          <w:lang w:val="ro-RO"/>
        </w:rPr>
      </w:pPr>
      <w:r w:rsidRPr="00A73566">
        <w:rPr>
          <w:rFonts w:ascii="Times New Roman" w:hAnsi="Times New Roman" w:cs="Times New Roman"/>
          <w:i/>
          <w:color w:val="000000" w:themeColor="text1"/>
          <w:lang w:val="ro-RO"/>
        </w:rPr>
        <w:t>Operaționale/de management</w:t>
      </w:r>
      <w:r w:rsidRPr="00A73566">
        <w:rPr>
          <w:rFonts w:ascii="Times New Roman" w:hAnsi="Times New Roman" w:cs="Times New Roman"/>
          <w:color w:val="000000" w:themeColor="text1"/>
          <w:lang w:val="ro-RO"/>
        </w:rPr>
        <w:t xml:space="preserve"> – includ riscuri asociate compartimentelor funcționale ale implementării politicii și se referă la procesele de planificare, estimare, control, comunicare precum și calendar.</w:t>
      </w:r>
    </w:p>
    <w:p w14:paraId="02AA846E" w14:textId="59F616E0" w:rsidR="00401C15" w:rsidRPr="00A73566" w:rsidRDefault="00401C15" w:rsidP="00401C15">
      <w:pPr>
        <w:rPr>
          <w:rFonts w:ascii="Times New Roman" w:hAnsi="Times New Roman" w:cs="Times New Roman"/>
          <w:color w:val="000000" w:themeColor="text1"/>
          <w:lang w:val="ro-RO"/>
        </w:rPr>
      </w:pPr>
      <w:r w:rsidRPr="00A73566">
        <w:rPr>
          <w:rFonts w:ascii="Times New Roman" w:hAnsi="Times New Roman" w:cs="Times New Roman"/>
          <w:i/>
          <w:color w:val="000000" w:themeColor="text1"/>
          <w:lang w:val="ro-RO"/>
        </w:rPr>
        <w:t>Tehnologice</w:t>
      </w:r>
      <w:r w:rsidRPr="00A73566">
        <w:rPr>
          <w:rFonts w:ascii="Times New Roman" w:hAnsi="Times New Roman" w:cs="Times New Roman"/>
          <w:color w:val="000000" w:themeColor="text1"/>
          <w:lang w:val="ro-RO"/>
        </w:rPr>
        <w:t xml:space="preserve"> – se referă </w:t>
      </w:r>
      <w:r w:rsidRPr="00A73566">
        <w:rPr>
          <w:rFonts w:ascii="Times New Roman" w:eastAsia="Times New Roman" w:hAnsi="Times New Roman" w:cs="Times New Roman"/>
          <w:color w:val="000000" w:themeColor="text1"/>
          <w:lang w:val="ro-RO" w:eastAsia="ro-RO"/>
        </w:rPr>
        <w:t>la acele riscuri ce țin de cerințele</w:t>
      </w:r>
      <w:r w:rsidR="007B7CDB" w:rsidRPr="00A73566">
        <w:rPr>
          <w:rFonts w:ascii="Times New Roman" w:eastAsia="Times New Roman" w:hAnsi="Times New Roman" w:cs="Times New Roman"/>
          <w:color w:val="000000" w:themeColor="text1"/>
          <w:lang w:val="ro-RO" w:eastAsia="ro-RO"/>
        </w:rPr>
        <w:t xml:space="preserve"> </w:t>
      </w:r>
      <w:r w:rsidRPr="00A73566">
        <w:rPr>
          <w:rFonts w:ascii="Times New Roman" w:eastAsia="Times New Roman" w:hAnsi="Times New Roman" w:cs="Times New Roman"/>
          <w:color w:val="000000" w:themeColor="text1"/>
          <w:lang w:val="ro-RO" w:eastAsia="ro-RO"/>
        </w:rPr>
        <w:t>(tehnice) față de lucrările a fi executate/ serviciile a fi prestate; disponibilitatea  sau compatibilitatea tehnologiilor; performanțele în aplicarea sau administrarea tehnologiile respective; managementul calității, precum și alte riscuri ce țin de tehnologiile necesare implementării politicii de dezvoltare agricolă și rurale.</w:t>
      </w:r>
    </w:p>
    <w:p w14:paraId="62A72622" w14:textId="691E3987" w:rsidR="00401C15" w:rsidRPr="00A73566" w:rsidRDefault="00401C15" w:rsidP="00401C15">
      <w:pPr>
        <w:rPr>
          <w:rFonts w:ascii="Times New Roman" w:hAnsi="Times New Roman" w:cs="Times New Roman"/>
          <w:color w:val="000000" w:themeColor="text1"/>
          <w:lang w:val="ro-RO"/>
        </w:rPr>
      </w:pPr>
      <w:r w:rsidRPr="00A73566">
        <w:rPr>
          <w:rFonts w:ascii="Times New Roman" w:hAnsi="Times New Roman" w:cs="Times New Roman"/>
          <w:i/>
          <w:color w:val="000000" w:themeColor="text1"/>
          <w:lang w:val="ro-RO"/>
        </w:rPr>
        <w:t>Externe</w:t>
      </w:r>
      <w:r w:rsidR="007B7CDB" w:rsidRPr="00A73566">
        <w:rPr>
          <w:rFonts w:ascii="Times New Roman" w:hAnsi="Times New Roman" w:cs="Times New Roman"/>
          <w:i/>
          <w:color w:val="000000" w:themeColor="text1"/>
          <w:lang w:val="ro-RO"/>
        </w:rPr>
        <w:t xml:space="preserve"> </w:t>
      </w:r>
      <w:r w:rsidR="007B7CDB"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w:t>
      </w:r>
      <w:r w:rsidRPr="00A73566">
        <w:rPr>
          <w:rFonts w:ascii="Times New Roman" w:eastAsia="Times New Roman" w:hAnsi="Times New Roman" w:cs="Times New Roman"/>
          <w:color w:val="000000" w:themeColor="text1"/>
          <w:lang w:val="ro-RO" w:eastAsia="ro-RO"/>
        </w:rPr>
        <w:t>implică</w:t>
      </w:r>
      <w:r w:rsidR="007B7CDB" w:rsidRPr="00A73566">
        <w:rPr>
          <w:rFonts w:ascii="Times New Roman" w:eastAsia="Times New Roman" w:hAnsi="Times New Roman" w:cs="Times New Roman"/>
          <w:color w:val="000000" w:themeColor="text1"/>
          <w:lang w:val="ro-RO" w:eastAsia="ro-RO"/>
        </w:rPr>
        <w:t xml:space="preserve"> </w:t>
      </w:r>
      <w:r w:rsidRPr="00A73566">
        <w:rPr>
          <w:rFonts w:ascii="Times New Roman" w:eastAsia="Times New Roman" w:hAnsi="Times New Roman" w:cs="Times New Roman"/>
          <w:color w:val="000000" w:themeColor="text1"/>
          <w:lang w:val="ro-RO" w:eastAsia="ro-RO"/>
        </w:rPr>
        <w:t>riscurile ce sunt în afara controlului direct al echipei de implementare și se referă la beneficiari</w:t>
      </w:r>
      <w:r w:rsidRPr="00A73566">
        <w:rPr>
          <w:rFonts w:ascii="Times New Roman" w:eastAsia="Times New Roman" w:hAnsi="Times New Roman" w:cs="Times New Roman"/>
          <w:lang w:val="ro-RO" w:eastAsia="ro-RO"/>
        </w:rPr>
        <w:t>, contractori, piața, furnizori</w:t>
      </w:r>
      <w:r w:rsidR="007B7CDB" w:rsidRPr="00A73566">
        <w:rPr>
          <w:rFonts w:ascii="Times New Roman" w:eastAsia="Times New Roman" w:hAnsi="Times New Roman" w:cs="Times New Roman"/>
          <w:lang w:val="ro-RO" w:eastAsia="ro-RO"/>
        </w:rPr>
        <w:t>.</w:t>
      </w:r>
    </w:p>
    <w:p w14:paraId="416ECCB5" w14:textId="4791D366" w:rsidR="00401C15" w:rsidRPr="00A73566" w:rsidRDefault="00401C15" w:rsidP="00401C15">
      <w:pPr>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Totodată, fiecare risc a fost analizat prin prisma impactului pe care acesta î</w:t>
      </w:r>
      <w:r w:rsidR="007B7CDB" w:rsidRPr="00A73566">
        <w:rPr>
          <w:rFonts w:ascii="Times New Roman" w:hAnsi="Times New Roman" w:cs="Times New Roman"/>
          <w:color w:val="000000" w:themeColor="text1"/>
          <w:lang w:val="ro-RO"/>
        </w:rPr>
        <w:t>l</w:t>
      </w:r>
      <w:r w:rsidRPr="00A73566">
        <w:rPr>
          <w:rFonts w:ascii="Times New Roman" w:hAnsi="Times New Roman" w:cs="Times New Roman"/>
          <w:color w:val="000000" w:themeColor="text1"/>
          <w:lang w:val="ro-RO"/>
        </w:rPr>
        <w:t xml:space="preserve"> poate avea asupra implementării politicii ( Major, Mediu sau Minor)  și prin probabilitatea de apariție ( Sporită, Medie sau Scăzută)</w:t>
      </w:r>
      <w:r w:rsidR="007B7CDB"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după cum urmează</w:t>
      </w:r>
      <w:r w:rsidR="007B7CDB"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w:t>
      </w:r>
    </w:p>
    <w:tbl>
      <w:tblPr>
        <w:tblStyle w:val="Civittatable"/>
        <w:tblW w:w="9469" w:type="dxa"/>
        <w:tblInd w:w="-5" w:type="dxa"/>
        <w:tblLook w:val="04A0" w:firstRow="1" w:lastRow="0" w:firstColumn="1" w:lastColumn="0" w:noHBand="0" w:noVBand="1"/>
      </w:tblPr>
      <w:tblGrid>
        <w:gridCol w:w="3826"/>
        <w:gridCol w:w="3156"/>
        <w:gridCol w:w="2487"/>
      </w:tblGrid>
      <w:tr w:rsidR="00DE774D" w:rsidRPr="0082182E" w14:paraId="1CBB3FAC" w14:textId="77777777" w:rsidTr="003E5B33">
        <w:trPr>
          <w:cnfStyle w:val="100000000000" w:firstRow="1" w:lastRow="0" w:firstColumn="0" w:lastColumn="0" w:oddVBand="0" w:evenVBand="0" w:oddHBand="0" w:evenHBand="0" w:firstRowFirstColumn="0" w:firstRowLastColumn="0" w:lastRowFirstColumn="0" w:lastRowLastColumn="0"/>
          <w:trHeight w:val="399"/>
        </w:trPr>
        <w:tc>
          <w:tcPr>
            <w:tcW w:w="9469" w:type="dxa"/>
            <w:gridSpan w:val="3"/>
          </w:tcPr>
          <w:p w14:paraId="6EB7D034" w14:textId="2D03301E" w:rsidR="00DE774D" w:rsidRPr="0082182E" w:rsidRDefault="00DE774D" w:rsidP="003E5B33">
            <w:pPr>
              <w:jc w:val="cente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Tip risc</w:t>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Pr="0082182E">
              <w:rPr>
                <w:rFonts w:ascii="Times New Roman" w:hAnsi="Times New Roman" w:cs="Times New Roman"/>
                <w:b/>
                <w:bCs/>
                <w:sz w:val="18"/>
                <w:szCs w:val="18"/>
                <w:lang w:val="ro-RO"/>
              </w:rPr>
              <w:t>Impact</w:t>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003E5B33">
              <w:rPr>
                <w:rFonts w:ascii="Times New Roman" w:hAnsi="Times New Roman" w:cs="Times New Roman"/>
                <w:b/>
                <w:bCs/>
                <w:sz w:val="18"/>
                <w:szCs w:val="18"/>
                <w:lang w:val="ro-RO"/>
              </w:rPr>
              <w:tab/>
            </w:r>
            <w:r w:rsidRPr="0082182E">
              <w:rPr>
                <w:rFonts w:ascii="Times New Roman" w:hAnsi="Times New Roman" w:cs="Times New Roman"/>
                <w:b/>
                <w:bCs/>
                <w:sz w:val="18"/>
                <w:szCs w:val="18"/>
                <w:lang w:val="ro-RO"/>
              </w:rPr>
              <w:t>Probabilitate</w:t>
            </w:r>
          </w:p>
        </w:tc>
      </w:tr>
      <w:tr w:rsidR="00401C15" w:rsidRPr="0082182E" w14:paraId="469E2C62" w14:textId="77777777" w:rsidTr="003E5B33">
        <w:trPr>
          <w:cnfStyle w:val="000000100000" w:firstRow="0" w:lastRow="0" w:firstColumn="0" w:lastColumn="0" w:oddVBand="0" w:evenVBand="0" w:oddHBand="1" w:evenHBand="0" w:firstRowFirstColumn="0" w:firstRowLastColumn="0" w:lastRowFirstColumn="0" w:lastRowLastColumn="0"/>
          <w:trHeight w:val="399"/>
        </w:trPr>
        <w:tc>
          <w:tcPr>
            <w:tcW w:w="9469" w:type="dxa"/>
            <w:gridSpan w:val="3"/>
          </w:tcPr>
          <w:p w14:paraId="52B00AE1" w14:textId="77777777" w:rsidR="00401C15" w:rsidRPr="0082182E" w:rsidRDefault="00401C15" w:rsidP="003E5B33">
            <w:pPr>
              <w:jc w:val="cente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RISCURI INSTITUȚIONALE</w:t>
            </w:r>
          </w:p>
        </w:tc>
      </w:tr>
      <w:tr w:rsidR="00401C15" w:rsidRPr="0082182E" w14:paraId="0AABE7EA"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3826" w:type="dxa"/>
          </w:tcPr>
          <w:p w14:paraId="67F14E00" w14:textId="77777777" w:rsidR="00401C15" w:rsidRPr="0082182E" w:rsidRDefault="00401C15" w:rsidP="003E5B33">
            <w:pPr>
              <w:jc w:val="left"/>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Lipsa unui sistem integrat de management</w:t>
            </w:r>
          </w:p>
        </w:tc>
        <w:tc>
          <w:tcPr>
            <w:tcW w:w="3156" w:type="dxa"/>
          </w:tcPr>
          <w:p w14:paraId="2F4A42DF" w14:textId="77777777" w:rsidR="00401C15" w:rsidRPr="0082182E" w:rsidRDefault="00401C15" w:rsidP="003E5B33">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Major</w:t>
            </w:r>
          </w:p>
        </w:tc>
        <w:tc>
          <w:tcPr>
            <w:tcW w:w="2487" w:type="dxa"/>
          </w:tcPr>
          <w:p w14:paraId="4EF43BEE" w14:textId="77777777" w:rsidR="00401C15" w:rsidRPr="0082182E" w:rsidRDefault="00401C15" w:rsidP="003E5B33">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Medie</w:t>
            </w:r>
          </w:p>
        </w:tc>
      </w:tr>
      <w:tr w:rsidR="00401C15" w:rsidRPr="0082182E" w14:paraId="5E3CEB58" w14:textId="77777777" w:rsidTr="003E5B33">
        <w:trPr>
          <w:cnfStyle w:val="000000100000" w:firstRow="0" w:lastRow="0" w:firstColumn="0" w:lastColumn="0" w:oddVBand="0" w:evenVBand="0" w:oddHBand="1" w:evenHBand="0" w:firstRowFirstColumn="0" w:firstRowLastColumn="0" w:lastRowFirstColumn="0" w:lastRowLastColumn="0"/>
          <w:trHeight w:val="399"/>
        </w:trPr>
        <w:tc>
          <w:tcPr>
            <w:tcW w:w="3826" w:type="dxa"/>
          </w:tcPr>
          <w:p w14:paraId="7FECB64C" w14:textId="77777777" w:rsidR="00401C15" w:rsidRPr="0082182E" w:rsidRDefault="00401C15" w:rsidP="003E5B33">
            <w:pPr>
              <w:jc w:val="left"/>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Armonizarea lentă a legislației</w:t>
            </w:r>
          </w:p>
        </w:tc>
        <w:tc>
          <w:tcPr>
            <w:tcW w:w="3156" w:type="dxa"/>
          </w:tcPr>
          <w:p w14:paraId="371A8DF3" w14:textId="77777777" w:rsidR="00401C15" w:rsidRPr="0082182E" w:rsidRDefault="00401C15" w:rsidP="003E5B33">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Mediu</w:t>
            </w:r>
          </w:p>
        </w:tc>
        <w:tc>
          <w:tcPr>
            <w:tcW w:w="2487" w:type="dxa"/>
          </w:tcPr>
          <w:p w14:paraId="10C4855D" w14:textId="77777777" w:rsidR="00401C15" w:rsidRPr="0082182E" w:rsidRDefault="00401C15" w:rsidP="003E5B33">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7A67007B"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9469" w:type="dxa"/>
            <w:gridSpan w:val="3"/>
            <w:shd w:val="clear" w:color="auto" w:fill="134753" w:themeFill="text2"/>
          </w:tcPr>
          <w:p w14:paraId="402C312A" w14:textId="77777777" w:rsidR="00401C15" w:rsidRPr="0082182E" w:rsidRDefault="00401C15" w:rsidP="00401C15">
            <w:pPr>
              <w:jc w:val="center"/>
              <w:rPr>
                <w:rFonts w:ascii="Times New Roman" w:hAnsi="Times New Roman" w:cs="Times New Roman"/>
                <w:b/>
                <w:bCs/>
                <w:color w:val="000000" w:themeColor="text1"/>
                <w:sz w:val="18"/>
                <w:szCs w:val="18"/>
                <w:lang w:val="ro-RO"/>
              </w:rPr>
            </w:pPr>
            <w:r w:rsidRPr="0082182E">
              <w:rPr>
                <w:rFonts w:ascii="Times New Roman" w:hAnsi="Times New Roman" w:cs="Times New Roman"/>
                <w:b/>
                <w:bCs/>
                <w:color w:val="FFFFFF" w:themeColor="background1"/>
                <w:sz w:val="18"/>
                <w:szCs w:val="18"/>
                <w:lang w:val="ro-RO"/>
              </w:rPr>
              <w:t>RISCURI ORGANIZAȚIONALE</w:t>
            </w:r>
          </w:p>
        </w:tc>
      </w:tr>
      <w:tr w:rsidR="00401C15" w:rsidRPr="0082182E" w14:paraId="32950EA5" w14:textId="77777777" w:rsidTr="003E5B33">
        <w:trPr>
          <w:cnfStyle w:val="000000100000" w:firstRow="0" w:lastRow="0" w:firstColumn="0" w:lastColumn="0" w:oddVBand="0" w:evenVBand="0" w:oddHBand="1" w:evenHBand="0" w:firstRowFirstColumn="0" w:firstRowLastColumn="0" w:lastRowFirstColumn="0" w:lastRowLastColumn="0"/>
          <w:trHeight w:val="623"/>
        </w:trPr>
        <w:tc>
          <w:tcPr>
            <w:tcW w:w="3826" w:type="dxa"/>
          </w:tcPr>
          <w:p w14:paraId="01BD4098" w14:textId="77777777" w:rsidR="00401C15" w:rsidRPr="0082182E" w:rsidRDefault="00401C15" w:rsidP="00401C15">
            <w:pP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Sinergia intervențiilor din domeniile de intervenție, inclusiv din asistența tehnică.</w:t>
            </w:r>
          </w:p>
        </w:tc>
        <w:tc>
          <w:tcPr>
            <w:tcW w:w="3156" w:type="dxa"/>
          </w:tcPr>
          <w:p w14:paraId="5463C914"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Major</w:t>
            </w:r>
          </w:p>
        </w:tc>
        <w:tc>
          <w:tcPr>
            <w:tcW w:w="2487" w:type="dxa"/>
          </w:tcPr>
          <w:p w14:paraId="1325F783"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0A2D4792"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3826" w:type="dxa"/>
          </w:tcPr>
          <w:p w14:paraId="1B5F904F" w14:textId="77777777" w:rsidR="00401C15" w:rsidRPr="0082182E" w:rsidRDefault="00401C15" w:rsidP="00401C15">
            <w:pP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Corespondența documentelor de programare</w:t>
            </w:r>
          </w:p>
        </w:tc>
        <w:tc>
          <w:tcPr>
            <w:tcW w:w="3156" w:type="dxa"/>
          </w:tcPr>
          <w:p w14:paraId="3C2FDB4D"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Mediu</w:t>
            </w:r>
          </w:p>
        </w:tc>
        <w:tc>
          <w:tcPr>
            <w:tcW w:w="2487" w:type="dxa"/>
          </w:tcPr>
          <w:p w14:paraId="12FCE015"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00B78CC2" w14:textId="77777777" w:rsidTr="003E5B33">
        <w:trPr>
          <w:cnfStyle w:val="000000100000" w:firstRow="0" w:lastRow="0" w:firstColumn="0" w:lastColumn="0" w:oddVBand="0" w:evenVBand="0" w:oddHBand="1" w:evenHBand="0" w:firstRowFirstColumn="0" w:firstRowLastColumn="0" w:lastRowFirstColumn="0" w:lastRowLastColumn="0"/>
          <w:trHeight w:val="860"/>
        </w:trPr>
        <w:tc>
          <w:tcPr>
            <w:tcW w:w="3826" w:type="dxa"/>
          </w:tcPr>
          <w:p w14:paraId="3F9EF7D1" w14:textId="77777777" w:rsidR="00401C15" w:rsidRPr="0082182E" w:rsidRDefault="00401C15" w:rsidP="00401C15">
            <w:pP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Delimitarea clară a competențelor și cooperarea între instituțiilor ce implementează politica de dezvoltare agricolă și rurală</w:t>
            </w:r>
          </w:p>
        </w:tc>
        <w:tc>
          <w:tcPr>
            <w:tcW w:w="3156" w:type="dxa"/>
            <w:vAlign w:val="center"/>
          </w:tcPr>
          <w:p w14:paraId="5095D395"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Mediu</w:t>
            </w:r>
          </w:p>
        </w:tc>
        <w:tc>
          <w:tcPr>
            <w:tcW w:w="2487" w:type="dxa"/>
            <w:vAlign w:val="center"/>
          </w:tcPr>
          <w:p w14:paraId="1EE2DFFC"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34373241"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9469" w:type="dxa"/>
            <w:gridSpan w:val="3"/>
            <w:shd w:val="clear" w:color="auto" w:fill="134753" w:themeFill="text2"/>
          </w:tcPr>
          <w:p w14:paraId="1C9FA986" w14:textId="77777777" w:rsidR="00401C15" w:rsidRPr="0082182E" w:rsidRDefault="00401C15" w:rsidP="00401C15">
            <w:pPr>
              <w:jc w:val="center"/>
              <w:rPr>
                <w:rFonts w:ascii="Times New Roman" w:hAnsi="Times New Roman" w:cs="Times New Roman"/>
                <w:b/>
                <w:bCs/>
                <w:color w:val="FFFFFF" w:themeColor="background1"/>
                <w:sz w:val="18"/>
                <w:szCs w:val="18"/>
                <w:lang w:val="ro-RO"/>
              </w:rPr>
            </w:pPr>
            <w:r w:rsidRPr="0082182E">
              <w:rPr>
                <w:rFonts w:ascii="Times New Roman" w:hAnsi="Times New Roman" w:cs="Times New Roman"/>
                <w:b/>
                <w:bCs/>
                <w:color w:val="FFFFFF" w:themeColor="background1"/>
                <w:sz w:val="18"/>
                <w:szCs w:val="18"/>
                <w:lang w:val="ro-RO"/>
              </w:rPr>
              <w:t>RISCURI TEHNOLOGICE</w:t>
            </w:r>
          </w:p>
        </w:tc>
      </w:tr>
      <w:tr w:rsidR="00401C15" w:rsidRPr="0082182E" w14:paraId="3C8925DB" w14:textId="77777777" w:rsidTr="003E5B33">
        <w:trPr>
          <w:cnfStyle w:val="000000100000" w:firstRow="0" w:lastRow="0" w:firstColumn="0" w:lastColumn="0" w:oddVBand="0" w:evenVBand="0" w:oddHBand="1" w:evenHBand="0" w:firstRowFirstColumn="0" w:firstRowLastColumn="0" w:lastRowFirstColumn="0" w:lastRowLastColumn="0"/>
          <w:trHeight w:val="623"/>
        </w:trPr>
        <w:tc>
          <w:tcPr>
            <w:tcW w:w="3826" w:type="dxa"/>
          </w:tcPr>
          <w:p w14:paraId="7E8840C2" w14:textId="77777777" w:rsidR="00401C15" w:rsidRPr="0082182E" w:rsidRDefault="00401C15" w:rsidP="00401C15">
            <w:pP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 xml:space="preserve">Accesul limitat la resurse și cunoștințe în utilizarea tehnologiilor inovaționale </w:t>
            </w:r>
          </w:p>
        </w:tc>
        <w:tc>
          <w:tcPr>
            <w:tcW w:w="3156" w:type="dxa"/>
            <w:vAlign w:val="center"/>
          </w:tcPr>
          <w:p w14:paraId="4C2941E5"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Mediu</w:t>
            </w:r>
          </w:p>
        </w:tc>
        <w:tc>
          <w:tcPr>
            <w:tcW w:w="2487" w:type="dxa"/>
            <w:vAlign w:val="center"/>
          </w:tcPr>
          <w:p w14:paraId="65D1CBED"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Medie</w:t>
            </w:r>
          </w:p>
        </w:tc>
      </w:tr>
      <w:tr w:rsidR="00401C15" w:rsidRPr="0082182E" w14:paraId="21A4AE4D"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9469" w:type="dxa"/>
            <w:gridSpan w:val="3"/>
            <w:shd w:val="clear" w:color="auto" w:fill="134753" w:themeFill="text2"/>
          </w:tcPr>
          <w:p w14:paraId="747E0577" w14:textId="77777777" w:rsidR="00401C15" w:rsidRPr="0082182E" w:rsidRDefault="00401C15" w:rsidP="00401C15">
            <w:pPr>
              <w:jc w:val="center"/>
              <w:rPr>
                <w:rFonts w:ascii="Times New Roman" w:hAnsi="Times New Roman" w:cs="Times New Roman"/>
                <w:b/>
                <w:bCs/>
                <w:color w:val="FFFFFF" w:themeColor="background1"/>
                <w:sz w:val="18"/>
                <w:szCs w:val="18"/>
                <w:lang w:val="ro-RO"/>
              </w:rPr>
            </w:pPr>
            <w:r w:rsidRPr="0082182E">
              <w:rPr>
                <w:rFonts w:ascii="Times New Roman" w:hAnsi="Times New Roman" w:cs="Times New Roman"/>
                <w:b/>
                <w:bCs/>
                <w:color w:val="FFFFFF" w:themeColor="background1"/>
                <w:sz w:val="18"/>
                <w:szCs w:val="18"/>
                <w:lang w:val="ro-RO"/>
              </w:rPr>
              <w:t>RISCURI EXTERNE</w:t>
            </w:r>
          </w:p>
        </w:tc>
      </w:tr>
      <w:tr w:rsidR="00401C15" w:rsidRPr="0082182E" w14:paraId="3CFFA2C4" w14:textId="77777777" w:rsidTr="003E5B33">
        <w:trPr>
          <w:cnfStyle w:val="000000100000" w:firstRow="0" w:lastRow="0" w:firstColumn="0" w:lastColumn="0" w:oddVBand="0" w:evenVBand="0" w:oddHBand="1" w:evenHBand="0" w:firstRowFirstColumn="0" w:firstRowLastColumn="0" w:lastRowFirstColumn="0" w:lastRowLastColumn="0"/>
          <w:trHeight w:val="637"/>
        </w:trPr>
        <w:tc>
          <w:tcPr>
            <w:tcW w:w="3826" w:type="dxa"/>
          </w:tcPr>
          <w:p w14:paraId="6D66FEF1" w14:textId="77777777" w:rsidR="00401C15" w:rsidRPr="0082182E" w:rsidRDefault="00401C15" w:rsidP="00401C15">
            <w:pPr>
              <w:rPr>
                <w:rFonts w:ascii="Times New Roman" w:hAnsi="Times New Roman" w:cs="Times New Roman"/>
                <w:color w:val="000000" w:themeColor="text1"/>
                <w:sz w:val="18"/>
                <w:szCs w:val="18"/>
                <w:lang w:val="ro-RO"/>
              </w:rPr>
            </w:pPr>
            <w:r w:rsidRPr="0082182E">
              <w:rPr>
                <w:rFonts w:ascii="Times New Roman" w:hAnsi="Times New Roman" w:cs="Times New Roman"/>
                <w:sz w:val="18"/>
                <w:szCs w:val="18"/>
                <w:lang w:val="ro-RO"/>
              </w:rPr>
              <w:t>Criza economică generată de pandemia de Sars-Cov-2</w:t>
            </w:r>
          </w:p>
        </w:tc>
        <w:tc>
          <w:tcPr>
            <w:tcW w:w="3156" w:type="dxa"/>
          </w:tcPr>
          <w:p w14:paraId="234F4961"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Major</w:t>
            </w:r>
          </w:p>
        </w:tc>
        <w:tc>
          <w:tcPr>
            <w:tcW w:w="2487" w:type="dxa"/>
          </w:tcPr>
          <w:p w14:paraId="33BEE262"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4AC3A2A1" w14:textId="77777777" w:rsidTr="003E5B33">
        <w:trPr>
          <w:cnfStyle w:val="000000010000" w:firstRow="0" w:lastRow="0" w:firstColumn="0" w:lastColumn="0" w:oddVBand="0" w:evenVBand="0" w:oddHBand="0" w:evenHBand="1" w:firstRowFirstColumn="0" w:firstRowLastColumn="0" w:lastRowFirstColumn="0" w:lastRowLastColumn="0"/>
          <w:trHeight w:val="399"/>
        </w:trPr>
        <w:tc>
          <w:tcPr>
            <w:tcW w:w="3826" w:type="dxa"/>
          </w:tcPr>
          <w:p w14:paraId="361418E3" w14:textId="77777777" w:rsidR="00401C15" w:rsidRPr="0082182E" w:rsidRDefault="00401C15" w:rsidP="00401C15">
            <w:pPr>
              <w:rPr>
                <w:rFonts w:ascii="Times New Roman" w:hAnsi="Times New Roman" w:cs="Times New Roman"/>
                <w:sz w:val="18"/>
                <w:szCs w:val="18"/>
                <w:lang w:val="ro-RO"/>
              </w:rPr>
            </w:pPr>
            <w:r w:rsidRPr="0082182E">
              <w:rPr>
                <w:rFonts w:ascii="Times New Roman" w:hAnsi="Times New Roman" w:cs="Times New Roman"/>
                <w:sz w:val="18"/>
                <w:szCs w:val="18"/>
                <w:lang w:val="ro-RO"/>
              </w:rPr>
              <w:t>Efectele schimbărilor climatice</w:t>
            </w:r>
          </w:p>
        </w:tc>
        <w:tc>
          <w:tcPr>
            <w:tcW w:w="3156" w:type="dxa"/>
          </w:tcPr>
          <w:p w14:paraId="3C0B9495"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Major</w:t>
            </w:r>
          </w:p>
        </w:tc>
        <w:tc>
          <w:tcPr>
            <w:tcW w:w="2487" w:type="dxa"/>
          </w:tcPr>
          <w:p w14:paraId="234FE2FC"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Sporită</w:t>
            </w:r>
          </w:p>
        </w:tc>
      </w:tr>
      <w:tr w:rsidR="00401C15" w:rsidRPr="0082182E" w14:paraId="22BCD263" w14:textId="77777777" w:rsidTr="003E5B33">
        <w:trPr>
          <w:cnfStyle w:val="000000100000" w:firstRow="0" w:lastRow="0" w:firstColumn="0" w:lastColumn="0" w:oddVBand="0" w:evenVBand="0" w:oddHBand="1" w:evenHBand="0" w:firstRowFirstColumn="0" w:firstRowLastColumn="0" w:lastRowFirstColumn="0" w:lastRowLastColumn="0"/>
          <w:trHeight w:val="399"/>
        </w:trPr>
        <w:tc>
          <w:tcPr>
            <w:tcW w:w="3826" w:type="dxa"/>
          </w:tcPr>
          <w:p w14:paraId="4E42E676" w14:textId="77777777" w:rsidR="00401C15" w:rsidRPr="0082182E" w:rsidRDefault="00401C15" w:rsidP="00401C15">
            <w:pPr>
              <w:rPr>
                <w:rFonts w:ascii="Times New Roman" w:hAnsi="Times New Roman" w:cs="Times New Roman"/>
                <w:sz w:val="18"/>
                <w:szCs w:val="18"/>
                <w:lang w:val="ro-RO"/>
              </w:rPr>
            </w:pPr>
            <w:r w:rsidRPr="0082182E">
              <w:rPr>
                <w:rFonts w:ascii="Times New Roman" w:hAnsi="Times New Roman" w:cs="Times New Roman"/>
                <w:sz w:val="18"/>
                <w:szCs w:val="18"/>
                <w:lang w:val="ro-RO"/>
              </w:rPr>
              <w:t>Mediu politic volatil</w:t>
            </w:r>
          </w:p>
        </w:tc>
        <w:tc>
          <w:tcPr>
            <w:tcW w:w="3156" w:type="dxa"/>
          </w:tcPr>
          <w:p w14:paraId="77900CE3"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Mediu</w:t>
            </w:r>
          </w:p>
        </w:tc>
        <w:tc>
          <w:tcPr>
            <w:tcW w:w="2487" w:type="dxa"/>
          </w:tcPr>
          <w:p w14:paraId="6C4B605D"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Medie</w:t>
            </w:r>
          </w:p>
        </w:tc>
      </w:tr>
      <w:tr w:rsidR="00401C15" w:rsidRPr="0082182E" w14:paraId="01B02343" w14:textId="77777777" w:rsidTr="003E5B33">
        <w:trPr>
          <w:cnfStyle w:val="000000010000" w:firstRow="0" w:lastRow="0" w:firstColumn="0" w:lastColumn="0" w:oddVBand="0" w:evenVBand="0" w:oddHBand="0" w:evenHBand="1" w:firstRowFirstColumn="0" w:firstRowLastColumn="0" w:lastRowFirstColumn="0" w:lastRowLastColumn="0"/>
          <w:trHeight w:val="385"/>
        </w:trPr>
        <w:tc>
          <w:tcPr>
            <w:tcW w:w="3826" w:type="dxa"/>
          </w:tcPr>
          <w:p w14:paraId="40DFEA85" w14:textId="77777777" w:rsidR="00401C15" w:rsidRPr="0082182E" w:rsidRDefault="00401C15" w:rsidP="00401C15">
            <w:pPr>
              <w:rPr>
                <w:rFonts w:ascii="Times New Roman" w:hAnsi="Times New Roman" w:cs="Times New Roman"/>
                <w:sz w:val="18"/>
                <w:szCs w:val="18"/>
                <w:lang w:val="ro-RO"/>
              </w:rPr>
            </w:pPr>
            <w:r w:rsidRPr="0082182E">
              <w:rPr>
                <w:rFonts w:ascii="Times New Roman" w:hAnsi="Times New Roman" w:cs="Times New Roman"/>
                <w:sz w:val="18"/>
                <w:szCs w:val="18"/>
                <w:lang w:val="ro-RO"/>
              </w:rPr>
              <w:t>Procesele migraționiste</w:t>
            </w:r>
          </w:p>
        </w:tc>
        <w:tc>
          <w:tcPr>
            <w:tcW w:w="3156" w:type="dxa"/>
          </w:tcPr>
          <w:p w14:paraId="6934BFE3"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Major</w:t>
            </w:r>
          </w:p>
        </w:tc>
        <w:tc>
          <w:tcPr>
            <w:tcW w:w="2487" w:type="dxa"/>
          </w:tcPr>
          <w:p w14:paraId="27B263EC" w14:textId="77777777" w:rsidR="00401C15" w:rsidRPr="0082182E" w:rsidRDefault="00401C15" w:rsidP="00401C15">
            <w:pPr>
              <w:jc w:val="center"/>
              <w:rPr>
                <w:rFonts w:ascii="Times New Roman" w:hAnsi="Times New Roman" w:cs="Times New Roman"/>
                <w:color w:val="000000" w:themeColor="text1"/>
                <w:sz w:val="18"/>
                <w:szCs w:val="18"/>
                <w:lang w:val="ro-RO"/>
              </w:rPr>
            </w:pPr>
            <w:r w:rsidRPr="0082182E">
              <w:rPr>
                <w:rFonts w:ascii="Times New Roman" w:hAnsi="Times New Roman" w:cs="Times New Roman"/>
                <w:color w:val="000000" w:themeColor="text1"/>
                <w:sz w:val="18"/>
                <w:szCs w:val="18"/>
                <w:lang w:val="ro-RO"/>
              </w:rPr>
              <w:t>Medie</w:t>
            </w:r>
          </w:p>
        </w:tc>
      </w:tr>
    </w:tbl>
    <w:p w14:paraId="5D45829A" w14:textId="3CBD7639" w:rsidR="00401C15" w:rsidRPr="00A73566" w:rsidRDefault="00401C15" w:rsidP="0082182E">
      <w:pPr>
        <w:spacing w:before="240"/>
        <w:ind w:firstLine="567"/>
        <w:rPr>
          <w:rFonts w:ascii="Times New Roman" w:hAnsi="Times New Roman" w:cs="Times New Roman"/>
          <w:color w:val="000000" w:themeColor="text1"/>
          <w:sz w:val="24"/>
          <w:szCs w:val="24"/>
          <w:lang w:val="ro-RO"/>
        </w:rPr>
      </w:pPr>
      <w:r w:rsidRPr="00A73566">
        <w:rPr>
          <w:rFonts w:ascii="Times New Roman" w:hAnsi="Times New Roman" w:cs="Times New Roman"/>
          <w:color w:val="000000" w:themeColor="text1"/>
          <w:lang w:val="ro-RO"/>
        </w:rPr>
        <w:t xml:space="preserve">Pentru riscurile emergente, cu un impact major și probabilitate înaltă de apariție, în cadrul Programelor Sectoriale derivate vor fi definite în mod </w:t>
      </w:r>
      <w:r w:rsidR="002E5BA2">
        <w:rPr>
          <w:rFonts w:ascii="Times New Roman" w:hAnsi="Times New Roman" w:cs="Times New Roman"/>
          <w:color w:val="000000" w:themeColor="text1"/>
          <w:lang w:val="ro-RO"/>
        </w:rPr>
        <w:t>obligatoriu măsuri de diminuare a acestora.</w:t>
      </w:r>
      <w:r w:rsidRPr="00A73566">
        <w:rPr>
          <w:rFonts w:ascii="Times New Roman" w:hAnsi="Times New Roman" w:cs="Times New Roman"/>
          <w:color w:val="000000" w:themeColor="text1"/>
          <w:sz w:val="24"/>
          <w:szCs w:val="24"/>
          <w:lang w:val="ro-RO"/>
        </w:rPr>
        <w:t xml:space="preserve"> </w:t>
      </w:r>
    </w:p>
    <w:p w14:paraId="22663CFA" w14:textId="7C3CDB50" w:rsidR="00401C15" w:rsidRPr="00A73566" w:rsidRDefault="00401C15" w:rsidP="00401C15">
      <w:pPr>
        <w:rPr>
          <w:rFonts w:ascii="Times New Roman" w:hAnsi="Times New Roman" w:cs="Times New Roman"/>
          <w:color w:val="000000" w:themeColor="text1"/>
          <w:sz w:val="24"/>
          <w:szCs w:val="24"/>
          <w:lang w:val="ro-RO"/>
        </w:rPr>
      </w:pPr>
    </w:p>
    <w:p w14:paraId="341FD220" w14:textId="77777777" w:rsidR="00401C15" w:rsidRPr="00A73566" w:rsidRDefault="00401C15" w:rsidP="001E2316">
      <w:pPr>
        <w:pStyle w:val="Heading1"/>
        <w:spacing w:after="480"/>
        <w:ind w:left="360" w:hanging="360"/>
        <w:rPr>
          <w:rFonts w:ascii="Times New Roman" w:hAnsi="Times New Roman" w:cs="Times New Roman"/>
          <w:lang w:val="ro-RO"/>
        </w:rPr>
      </w:pPr>
      <w:bookmarkStart w:id="136" w:name="_Toc86496365"/>
      <w:bookmarkStart w:id="137" w:name="_Toc88132128"/>
      <w:r w:rsidRPr="00A73566">
        <w:rPr>
          <w:rFonts w:ascii="Times New Roman" w:hAnsi="Times New Roman" w:cs="Times New Roman"/>
          <w:lang w:val="ro-RO"/>
        </w:rPr>
        <w:t>Autorități Responsabile</w:t>
      </w:r>
      <w:bookmarkEnd w:id="136"/>
      <w:bookmarkEnd w:id="137"/>
    </w:p>
    <w:p w14:paraId="43CCE4D3" w14:textId="77777777" w:rsidR="00401C15" w:rsidRPr="00A73566" w:rsidRDefault="00401C15" w:rsidP="00401C15">
      <w:pPr>
        <w:pStyle w:val="Focus"/>
        <w:rPr>
          <w:rFonts w:ascii="Times New Roman" w:hAnsi="Times New Roman" w:cs="Times New Roman"/>
          <w:lang w:val="ro-RO"/>
        </w:rPr>
      </w:pPr>
      <w:r w:rsidRPr="00A73566">
        <w:rPr>
          <w:rFonts w:ascii="Times New Roman" w:hAnsi="Times New Roman" w:cs="Times New Roman"/>
          <w:lang w:val="ro-RO"/>
        </w:rPr>
        <w:t xml:space="preserve">Cadrul național de politici </w:t>
      </w:r>
    </w:p>
    <w:p w14:paraId="26734C45" w14:textId="77777777" w:rsidR="00401C15" w:rsidRPr="00A73566" w:rsidRDefault="00401C15" w:rsidP="0082182E">
      <w:pPr>
        <w:ind w:firstLine="567"/>
        <w:rPr>
          <w:rFonts w:ascii="Times New Roman" w:hAnsi="Times New Roman" w:cs="Times New Roman"/>
          <w:lang w:val="ro-RO"/>
        </w:rPr>
      </w:pPr>
      <w:r w:rsidRPr="00A73566">
        <w:rPr>
          <w:rFonts w:ascii="Times New Roman" w:hAnsi="Times New Roman" w:cs="Times New Roman"/>
          <w:lang w:val="ro-RO"/>
        </w:rPr>
        <w:t xml:space="preserve">Cadrul național de politici în perioada de referință este dictat de Strategia Națională de Dezvoltare 2030, care este un document de viziune strategică ce indică direcția de dezvoltare a țării și a societății ce trebuie urmată în următorul deceniu, având la bază principiul ciclului de viață al omului, drepturile și calitatea vieții acestuia. </w:t>
      </w:r>
    </w:p>
    <w:p w14:paraId="3041AFD6" w14:textId="77777777" w:rsidR="00401C15" w:rsidRPr="00A73566" w:rsidRDefault="00401C15" w:rsidP="0082182E">
      <w:pPr>
        <w:ind w:firstLine="567"/>
        <w:rPr>
          <w:rFonts w:ascii="Times New Roman" w:hAnsi="Times New Roman" w:cs="Times New Roman"/>
          <w:lang w:val="ro-RO"/>
        </w:rPr>
      </w:pPr>
      <w:r w:rsidRPr="00A73566">
        <w:rPr>
          <w:rFonts w:ascii="Times New Roman" w:hAnsi="Times New Roman" w:cs="Times New Roman"/>
          <w:lang w:val="ro-RO"/>
        </w:rPr>
        <w:t xml:space="preserve">Strategia Națională de Dezvoltare Agricolă și Rurală până în anul 2027 reprezintă unul din Documentele de Planificare Strategică Sectorială ce urmează să fie elaborate în vederea atingerii obiectivelor formulate în SND 2030. </w:t>
      </w:r>
    </w:p>
    <w:p w14:paraId="63036421" w14:textId="77777777" w:rsidR="00401C15" w:rsidRPr="00A73566" w:rsidRDefault="00401C15" w:rsidP="00401C15">
      <w:pPr>
        <w:rPr>
          <w:rFonts w:ascii="Times New Roman" w:hAnsi="Times New Roman" w:cs="Times New Roman"/>
          <w:lang w:val="ro-RO"/>
        </w:rPr>
      </w:pPr>
      <w:r w:rsidRPr="00A73566">
        <w:rPr>
          <w:rFonts w:ascii="Times New Roman" w:hAnsi="Times New Roman" w:cs="Times New Roman"/>
          <w:lang w:val="ro-RO"/>
        </w:rPr>
        <w:t xml:space="preserve">Totodată, la etapa actuală mai sunt în vigoare și reprezintă documente de politici de planificare strategică care au relevanță directă sau indirectă pentru obiectivele de dezvoltare a sectorului agricol și rural, după cum urmează: </w:t>
      </w:r>
    </w:p>
    <w:p w14:paraId="14253975" w14:textId="77777777" w:rsidR="00401C15" w:rsidRPr="00A73566" w:rsidRDefault="00401C15" w:rsidP="00E720EE">
      <w:pPr>
        <w:pStyle w:val="ListParagraph"/>
        <w:numPr>
          <w:ilvl w:val="0"/>
          <w:numId w:val="18"/>
        </w:numPr>
        <w:contextualSpacing/>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în domeniul siguranței alimentelor pentru anii 2018-2022</w:t>
      </w:r>
      <w:r w:rsidRPr="00A73566">
        <w:rPr>
          <w:rFonts w:ascii="Times New Roman" w:hAnsi="Times New Roman" w:cs="Times New Roman"/>
          <w:color w:val="000000" w:themeColor="text1"/>
          <w:lang w:val="ro-RO"/>
        </w:rPr>
        <w:t>, aprobată prin Hotărârea Guvernului nr.1150/2017, orientată spre realizarea celor mai înalte standarde de protecție a sănătății publice și a intereselor consumatorilor în ceea ce privește siguranța produselor alimentare;</w:t>
      </w:r>
    </w:p>
    <w:p w14:paraId="7319ED75" w14:textId="77777777" w:rsidR="00401C15" w:rsidRPr="00A73566" w:rsidRDefault="00401C15" w:rsidP="00E720EE">
      <w:pPr>
        <w:pStyle w:val="ListParagraph"/>
        <w:numPr>
          <w:ilvl w:val="0"/>
          <w:numId w:val="18"/>
        </w:numPr>
        <w:contextualSpacing/>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de dezvoltare a serviciilor de extensiune rurală pentru anii 2012–2022</w:t>
      </w:r>
      <w:r w:rsidRPr="00A73566">
        <w:rPr>
          <w:rFonts w:ascii="Times New Roman" w:hAnsi="Times New Roman" w:cs="Times New Roman"/>
          <w:color w:val="000000" w:themeColor="text1"/>
          <w:lang w:val="ro-RO"/>
        </w:rPr>
        <w:t>, aprobată prin Hotărârea Guvernului nr. 486/2012, prin care se propune tranziția rapidă spre un model modern de organizare a serviciilor de extensiune rurală, care să genereze, în baza cunoștințelor și inovațiilor, o valoare adăugată înaltă și să fie orientat spre sporirea continuă a calității vieții în mediul rural;</w:t>
      </w:r>
    </w:p>
    <w:p w14:paraId="44B784EF" w14:textId="77777777" w:rsidR="00401C15" w:rsidRPr="00A73566" w:rsidRDefault="00401C15" w:rsidP="00E720EE">
      <w:pPr>
        <w:pStyle w:val="ListParagraph"/>
        <w:numPr>
          <w:ilvl w:val="0"/>
          <w:numId w:val="18"/>
        </w:numPr>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energetică a Republicii Moldova până în anul 2030</w:t>
      </w:r>
      <w:r w:rsidRPr="00A73566">
        <w:rPr>
          <w:rFonts w:ascii="Times New Roman" w:hAnsi="Times New Roman" w:cs="Times New Roman"/>
          <w:color w:val="000000" w:themeColor="text1"/>
          <w:lang w:val="ro-RO"/>
        </w:rPr>
        <w:t xml:space="preserve">, aprobată prin Hotărârea Guvernului nr. 102/2013, care are ca obiectiv general asigurarea securității energetice a țării în baza implementării programelor regionale, care vizează crearea platformelor moderne de generare a energiei din surse regenerabile și îmbunătățirea eficienței energetice pe întreg teritoriul țării; </w:t>
      </w:r>
    </w:p>
    <w:p w14:paraId="4F73A029" w14:textId="77777777" w:rsidR="00401C15" w:rsidRPr="00A73566" w:rsidRDefault="00401C15" w:rsidP="00E720EE">
      <w:pPr>
        <w:pStyle w:val="ListParagraph"/>
        <w:numPr>
          <w:ilvl w:val="0"/>
          <w:numId w:val="18"/>
        </w:numPr>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de transport și logistică pe anii 2013–2022</w:t>
      </w:r>
      <w:r w:rsidRPr="00A73566">
        <w:rPr>
          <w:rFonts w:ascii="Times New Roman" w:hAnsi="Times New Roman" w:cs="Times New Roman"/>
          <w:color w:val="000000" w:themeColor="text1"/>
          <w:lang w:val="ro-RO"/>
        </w:rPr>
        <w:t>, aprobată prin Hotărârea Guvernului nr. 827/2013, care, în calitate de obiective specifice, prevede asigurarea accesului la rețeaua de drumuri naționale de la drumurile locale rurale din toate localitățile țării, precum și repararea și menținerea, către anul 2022, a peste 6 mii de km de drumuri locale;</w:t>
      </w:r>
    </w:p>
    <w:p w14:paraId="21D42ED8" w14:textId="77777777" w:rsidR="00401C15" w:rsidRPr="00A73566" w:rsidRDefault="00401C15" w:rsidP="00E720EE">
      <w:pPr>
        <w:pStyle w:val="ListParagraph"/>
        <w:numPr>
          <w:ilvl w:val="0"/>
          <w:numId w:val="18"/>
        </w:numPr>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națională de mediu pentru anii 2014-2023</w:t>
      </w:r>
      <w:r w:rsidRPr="00A73566">
        <w:rPr>
          <w:rFonts w:ascii="Times New Roman" w:hAnsi="Times New Roman" w:cs="Times New Roman"/>
          <w:color w:val="000000" w:themeColor="text1"/>
          <w:lang w:val="ro-RO"/>
        </w:rPr>
        <w:t>, care se axează pe dezvoltarea durabilă, protecția mediului și gestionarea riscului de dezastre;</w:t>
      </w:r>
    </w:p>
    <w:p w14:paraId="70B5EF7C" w14:textId="77777777" w:rsidR="007375FB" w:rsidRPr="00A73566" w:rsidRDefault="00401C15" w:rsidP="00E720EE">
      <w:pPr>
        <w:pStyle w:val="ListParagraph"/>
        <w:numPr>
          <w:ilvl w:val="0"/>
          <w:numId w:val="18"/>
        </w:numPr>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Strategia pentru asigurarea egalității între femei și bărbați în Republica Moldova pe anii 2017-2021</w:t>
      </w:r>
      <w:r w:rsidRPr="00A73566">
        <w:rPr>
          <w:rFonts w:ascii="Times New Roman" w:hAnsi="Times New Roman" w:cs="Times New Roman"/>
          <w:color w:val="000000" w:themeColor="text1"/>
          <w:lang w:val="ro-RO"/>
        </w:rPr>
        <w:t xml:space="preserve"> se intersectează cu strategiile de dezvoltare rurală, mai ales în privința articolului 14 din Convenția privind eliminarea tuturor formelor de discriminare împotriva femeilor (CEDAW), care se referă la drepturile femeilor din mediul rural. </w:t>
      </w:r>
    </w:p>
    <w:p w14:paraId="757AC05A" w14:textId="0EB162B5" w:rsidR="007375FB" w:rsidRPr="00A73566" w:rsidRDefault="00B03A9C" w:rsidP="00E720EE">
      <w:pPr>
        <w:pStyle w:val="ListParagraph"/>
        <w:numPr>
          <w:ilvl w:val="0"/>
          <w:numId w:val="18"/>
        </w:numPr>
        <w:rPr>
          <w:rFonts w:ascii="Times New Roman" w:hAnsi="Times New Roman" w:cs="Times New Roman"/>
          <w:color w:val="000000" w:themeColor="text1"/>
          <w:lang w:val="ro-RO"/>
        </w:rPr>
      </w:pPr>
      <w:r w:rsidRPr="00A73566">
        <w:rPr>
          <w:rFonts w:ascii="Times New Roman" w:hAnsi="Times New Roman" w:cs="Times New Roman"/>
          <w:b/>
          <w:color w:val="000000" w:themeColor="text1"/>
          <w:lang w:val="ro-RO"/>
        </w:rPr>
        <w:t>Programul național în domeniile cercetării și inovării pentru anii 2020-2023 și Planul de acțiuni privind implementarea acestuia (HG 381/2019)</w:t>
      </w:r>
    </w:p>
    <w:p w14:paraId="377868FA" w14:textId="01322453" w:rsidR="00401C15" w:rsidRDefault="00401C15" w:rsidP="0082182E">
      <w:pPr>
        <w:pStyle w:val="TableParagraph"/>
        <w:spacing w:after="120"/>
        <w:ind w:firstLine="567"/>
        <w:rPr>
          <w:rFonts w:ascii="Times New Roman" w:hAnsi="Times New Roman" w:cs="Times New Roman"/>
          <w:color w:val="000000" w:themeColor="text1"/>
          <w:lang w:val="ro-RO"/>
        </w:rPr>
      </w:pPr>
      <w:r w:rsidRPr="00A73566">
        <w:rPr>
          <w:rFonts w:ascii="Times New Roman" w:hAnsi="Times New Roman" w:cs="Times New Roman"/>
          <w:color w:val="000000" w:themeColor="text1"/>
          <w:lang w:val="ro-RO"/>
        </w:rPr>
        <w:t>În același timp</w:t>
      </w:r>
      <w:r w:rsidR="009F420F" w:rsidRPr="00A73566">
        <w:rPr>
          <w:rFonts w:ascii="Times New Roman" w:hAnsi="Times New Roman" w:cs="Times New Roman"/>
          <w:color w:val="000000" w:themeColor="text1"/>
          <w:lang w:val="ro-RO"/>
        </w:rPr>
        <w:t>,</w:t>
      </w:r>
      <w:r w:rsidRPr="00A73566">
        <w:rPr>
          <w:rFonts w:ascii="Times New Roman" w:hAnsi="Times New Roman" w:cs="Times New Roman"/>
          <w:color w:val="000000" w:themeColor="text1"/>
          <w:lang w:val="ro-RO"/>
        </w:rPr>
        <w:t xml:space="preserve"> în proces de elaborare </w:t>
      </w:r>
      <w:r w:rsidR="00A12706" w:rsidRPr="00A73566">
        <w:rPr>
          <w:rFonts w:ascii="Times New Roman" w:hAnsi="Times New Roman" w:cs="Times New Roman"/>
          <w:color w:val="000000" w:themeColor="text1"/>
          <w:lang w:val="ro-RO"/>
        </w:rPr>
        <w:t xml:space="preserve">și aprobare </w:t>
      </w:r>
      <w:r w:rsidRPr="00A73566">
        <w:rPr>
          <w:rFonts w:ascii="Times New Roman" w:hAnsi="Times New Roman" w:cs="Times New Roman"/>
          <w:color w:val="000000" w:themeColor="text1"/>
          <w:lang w:val="ro-RO"/>
        </w:rPr>
        <w:t>se află documente de planificare strategică</w:t>
      </w:r>
      <w:r w:rsidR="009F420F" w:rsidRPr="00A73566">
        <w:rPr>
          <w:rFonts w:ascii="Times New Roman" w:hAnsi="Times New Roman" w:cs="Times New Roman"/>
          <w:color w:val="000000" w:themeColor="text1"/>
          <w:lang w:val="ro-RO"/>
        </w:rPr>
        <w:t>, cum ar fi</w:t>
      </w:r>
      <w:r w:rsidRPr="00A73566">
        <w:rPr>
          <w:rFonts w:ascii="Times New Roman" w:hAnsi="Times New Roman" w:cs="Times New Roman"/>
          <w:color w:val="000000" w:themeColor="text1"/>
          <w:lang w:val="ro-RO"/>
        </w:rPr>
        <w:t xml:space="preserve"> </w:t>
      </w:r>
      <w:r w:rsidR="00A12706" w:rsidRPr="00A73566">
        <w:rPr>
          <w:rFonts w:ascii="Times New Roman" w:hAnsi="Times New Roman" w:cs="Times New Roman"/>
          <w:color w:val="000000" w:themeColor="text1"/>
          <w:lang w:val="ro-RO"/>
        </w:rPr>
        <w:t xml:space="preserve">Strategia națională de dezvoltare regională pentru anii 2022- 2028 </w:t>
      </w:r>
      <w:r w:rsidRPr="00A73566">
        <w:rPr>
          <w:rFonts w:ascii="Times New Roman" w:hAnsi="Times New Roman" w:cs="Times New Roman"/>
          <w:color w:val="000000" w:themeColor="text1"/>
          <w:lang w:val="ro-RO"/>
        </w:rPr>
        <w:t xml:space="preserve">sau Strategiei pentru o economiei incluzivă, durabilă și digitală până în anul 2030. </w:t>
      </w:r>
    </w:p>
    <w:p w14:paraId="792A37EE" w14:textId="77777777" w:rsidR="003E5B33" w:rsidRPr="00A73566" w:rsidRDefault="003E5B33" w:rsidP="0082182E">
      <w:pPr>
        <w:pStyle w:val="TableParagraph"/>
        <w:spacing w:after="120"/>
        <w:ind w:firstLine="567"/>
        <w:rPr>
          <w:rFonts w:ascii="Times New Roman" w:hAnsi="Times New Roman" w:cs="Times New Roman"/>
          <w:color w:val="000000" w:themeColor="text1"/>
          <w:lang w:val="ro-RO"/>
        </w:rPr>
      </w:pPr>
    </w:p>
    <w:p w14:paraId="216010DE" w14:textId="77777777" w:rsidR="00401C15" w:rsidRPr="00A73566" w:rsidRDefault="00401C15" w:rsidP="00401C15">
      <w:pPr>
        <w:pStyle w:val="Focus"/>
        <w:rPr>
          <w:rFonts w:ascii="Times New Roman" w:hAnsi="Times New Roman" w:cs="Times New Roman"/>
          <w:lang w:val="ro-RO"/>
        </w:rPr>
      </w:pPr>
      <w:r w:rsidRPr="00A73566">
        <w:rPr>
          <w:rFonts w:ascii="Times New Roman" w:hAnsi="Times New Roman" w:cs="Times New Roman"/>
          <w:lang w:val="ro-RO"/>
        </w:rPr>
        <w:t>Cadrul instituțional</w:t>
      </w:r>
    </w:p>
    <w:p w14:paraId="7D73EA83" w14:textId="5D9EE611" w:rsidR="00401C15" w:rsidRPr="00A73566" w:rsidRDefault="00401C15" w:rsidP="0082182E">
      <w:pPr>
        <w:ind w:firstLine="567"/>
        <w:rPr>
          <w:rFonts w:ascii="Times New Roman" w:hAnsi="Times New Roman" w:cs="Times New Roman"/>
          <w:b/>
          <w:bCs/>
          <w:lang w:val="ro-RO"/>
        </w:rPr>
      </w:pPr>
      <w:r w:rsidRPr="00A73566">
        <w:rPr>
          <w:rFonts w:ascii="Times New Roman" w:hAnsi="Times New Roman" w:cs="Times New Roman"/>
          <w:bCs/>
          <w:lang w:val="ro-RO"/>
        </w:rPr>
        <w:t xml:space="preserve">În prezent, </w:t>
      </w:r>
      <w:r w:rsidR="009F420F" w:rsidRPr="00A73566">
        <w:rPr>
          <w:rFonts w:ascii="Times New Roman" w:hAnsi="Times New Roman" w:cs="Times New Roman"/>
          <w:bCs/>
          <w:lang w:val="ro-RO"/>
        </w:rPr>
        <w:t xml:space="preserve">activitățile ce contribuie la dezvoltarea agriculturii și a zonelor rurale sunt implementate de </w:t>
      </w:r>
      <w:r w:rsidRPr="00A73566">
        <w:rPr>
          <w:rFonts w:ascii="Times New Roman" w:hAnsi="Times New Roman" w:cs="Times New Roman"/>
          <w:bCs/>
          <w:lang w:val="ro-RO"/>
        </w:rPr>
        <w:t>următoarele instituții</w:t>
      </w:r>
      <w:r w:rsidR="009F420F" w:rsidRPr="00A73566">
        <w:rPr>
          <w:rFonts w:ascii="Times New Roman" w:hAnsi="Times New Roman" w:cs="Times New Roman"/>
          <w:bCs/>
          <w:lang w:val="ro-RO"/>
        </w:rPr>
        <w:t>:</w:t>
      </w:r>
      <w:r w:rsidRPr="00A73566">
        <w:rPr>
          <w:rFonts w:ascii="Times New Roman" w:hAnsi="Times New Roman" w:cs="Times New Roman"/>
          <w:b/>
          <w:bCs/>
          <w:lang w:val="ro-RO"/>
        </w:rPr>
        <w:t xml:space="preserve"> </w:t>
      </w:r>
    </w:p>
    <w:p w14:paraId="62F8A9EF" w14:textId="687B7772" w:rsidR="00401C15" w:rsidRPr="00A73566" w:rsidRDefault="00401C15" w:rsidP="00F662AC">
      <w:pPr>
        <w:rPr>
          <w:rFonts w:ascii="Times New Roman" w:hAnsi="Times New Roman" w:cs="Times New Roman"/>
          <w:bCs/>
          <w:lang w:val="ro-RO"/>
        </w:rPr>
      </w:pPr>
      <w:r w:rsidRPr="00A73566">
        <w:rPr>
          <w:rFonts w:ascii="Times New Roman" w:hAnsi="Times New Roman" w:cs="Times New Roman"/>
          <w:b/>
          <w:iCs/>
          <w:lang w:val="ro-RO"/>
        </w:rPr>
        <w:t>Ministerul Agriculturii</w:t>
      </w:r>
      <w:r w:rsidR="005D3572" w:rsidRPr="00A73566">
        <w:rPr>
          <w:rFonts w:ascii="Times New Roman" w:hAnsi="Times New Roman" w:cs="Times New Roman"/>
          <w:b/>
          <w:iCs/>
          <w:lang w:val="ro-RO"/>
        </w:rPr>
        <w:t xml:space="preserve"> și Industriei Alimentare (MAIA)</w:t>
      </w:r>
      <w:r w:rsidRPr="00A73566">
        <w:rPr>
          <w:rFonts w:ascii="Times New Roman" w:hAnsi="Times New Roman" w:cs="Times New Roman"/>
          <w:lang w:val="ro-RO"/>
        </w:rPr>
        <w:t xml:space="preserve"> </w:t>
      </w:r>
      <w:r w:rsidRPr="00A73566">
        <w:rPr>
          <w:rFonts w:ascii="Times New Roman" w:hAnsi="Times New Roman" w:cs="Times New Roman"/>
          <w:bCs/>
          <w:lang w:val="ro-RO"/>
        </w:rPr>
        <w:t xml:space="preserve">este responsabil de </w:t>
      </w:r>
      <w:r w:rsidR="0096524A" w:rsidRPr="00A73566">
        <w:rPr>
          <w:rFonts w:ascii="Times New Roman" w:hAnsi="Times New Roman" w:cs="Times New Roman"/>
          <w:bCs/>
          <w:lang w:val="ro-RO"/>
        </w:rPr>
        <w:t>elaborarea, promovarea și implementarea politicilor publice în domeniile agriculturii și producției alimentare, dezvoltării rurale, precum şi în domeniile conexe, inclusiv, cercetare științifică</w:t>
      </w:r>
      <w:r w:rsidR="00D85C28" w:rsidRPr="00A73566">
        <w:rPr>
          <w:rFonts w:ascii="Times New Roman" w:hAnsi="Times New Roman" w:cs="Times New Roman"/>
          <w:bCs/>
          <w:lang w:val="ro-RO"/>
        </w:rPr>
        <w:t>, educația și asistența consultativă de specialitate</w:t>
      </w:r>
      <w:r w:rsidR="0096524A" w:rsidRPr="00A73566">
        <w:rPr>
          <w:rFonts w:ascii="Times New Roman" w:hAnsi="Times New Roman" w:cs="Times New Roman"/>
          <w:bCs/>
          <w:lang w:val="ro-RO"/>
        </w:rPr>
        <w:t xml:space="preserve"> de specialitate, irigarea, conservarea şi managementul durabil al solurilor</w:t>
      </w:r>
      <w:r w:rsidRPr="00A73566">
        <w:rPr>
          <w:rFonts w:ascii="Times New Roman" w:hAnsi="Times New Roman" w:cs="Times New Roman"/>
          <w:bCs/>
          <w:lang w:val="ro-RO"/>
        </w:rPr>
        <w:t>. Dintre instituțiile din subordinea M</w:t>
      </w:r>
      <w:r w:rsidR="005D3572" w:rsidRPr="00A73566">
        <w:rPr>
          <w:rFonts w:ascii="Times New Roman" w:hAnsi="Times New Roman" w:cs="Times New Roman"/>
          <w:bCs/>
          <w:lang w:val="ro-RO"/>
        </w:rPr>
        <w:t>AIA</w:t>
      </w:r>
      <w:r w:rsidRPr="00A73566">
        <w:rPr>
          <w:rFonts w:ascii="Times New Roman" w:hAnsi="Times New Roman" w:cs="Times New Roman"/>
          <w:bCs/>
          <w:lang w:val="ro-RO"/>
        </w:rPr>
        <w:t>, ce susțin eforturile acestuia în implementarea politicilor de dezvoltare agricolă și rurală, pot fi menționate:</w:t>
      </w:r>
    </w:p>
    <w:p w14:paraId="7992D5B8" w14:textId="77777777"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lang w:val="ro-RO"/>
        </w:rPr>
        <w:t>Agenția de Intervenție și Plăți pentru Agricultură (AIPA</w:t>
      </w:r>
      <w:r w:rsidRPr="00A73566">
        <w:rPr>
          <w:rFonts w:ascii="Times New Roman" w:hAnsi="Times New Roman" w:cs="Times New Roman"/>
          <w:lang w:val="ro-RO"/>
        </w:rPr>
        <w:t>) care, în prezent, oferă suport financiar pentru subvenționare în agricultură și dezvoltare rurală, conform regulilor UE.</w:t>
      </w:r>
      <w:r w:rsidRPr="00A73566">
        <w:rPr>
          <w:rFonts w:ascii="Times New Roman" w:hAnsi="Times New Roman" w:cs="Times New Roman"/>
          <w:iCs/>
          <w:lang w:val="ro-RO"/>
        </w:rPr>
        <w:t xml:space="preserve"> De asemenea, AIPA îndeplinește rolul agenției de implementare și plăți pentru unii donatori, inclusiv Banca Mondială, oferind suport pentru măsuri de dezvoltare rurală și agricolă;</w:t>
      </w:r>
    </w:p>
    <w:p w14:paraId="111DF03A" w14:textId="77777777" w:rsidR="003A6AFA" w:rsidRPr="00A73566" w:rsidRDefault="003A6AFA" w:rsidP="00E720EE">
      <w:pPr>
        <w:numPr>
          <w:ilvl w:val="0"/>
          <w:numId w:val="20"/>
        </w:numPr>
        <w:rPr>
          <w:rFonts w:ascii="Times New Roman" w:hAnsi="Times New Roman" w:cs="Times New Roman"/>
          <w:bCs/>
          <w:iCs/>
          <w:lang w:val="ro-RO"/>
        </w:rPr>
      </w:pPr>
      <w:r w:rsidRPr="00A73566">
        <w:rPr>
          <w:rFonts w:ascii="Times New Roman" w:hAnsi="Times New Roman" w:cs="Times New Roman"/>
          <w:b/>
          <w:bCs/>
          <w:lang w:val="ro-RO"/>
        </w:rPr>
        <w:t>Agenția Națională pentru Siguranța Alimentelor</w:t>
      </w:r>
      <w:r w:rsidRPr="00A73566">
        <w:rPr>
          <w:rFonts w:ascii="Times New Roman" w:hAnsi="Times New Roman" w:cs="Times New Roman"/>
          <w:bCs/>
          <w:iCs/>
          <w:lang w:val="ro-RO"/>
        </w:rPr>
        <w:t xml:space="preserve"> este responsabilă de implementarea politicilor în domeniile siguranței alimentelor, sanitar-veterinar, protecției plantelor și carantinei fitosanitare, controlului semincer, calității produselor primare, produselor alimentare și a hranei pentru animale și a protecției consumatorului pe tot lanțul alimentar.</w:t>
      </w:r>
    </w:p>
    <w:p w14:paraId="4495A8A0" w14:textId="77777777"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iCs/>
          <w:lang w:val="ro-RO"/>
        </w:rPr>
        <w:t>Instituțiile de cercetări științifice din sectorul agroindustrial</w:t>
      </w:r>
      <w:r w:rsidRPr="00A73566">
        <w:rPr>
          <w:rFonts w:ascii="Times New Roman" w:hAnsi="Times New Roman" w:cs="Times New Roman"/>
          <w:iCs/>
          <w:lang w:val="ro-RO"/>
        </w:rPr>
        <w:t xml:space="preserve"> – oferă suport științific si practic în identificarea, cercetarea, adaptarea si implementare tehnologiilor inovaționale în sector.</w:t>
      </w:r>
    </w:p>
    <w:p w14:paraId="3C72EDDF" w14:textId="3AE1B60C"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iCs/>
          <w:lang w:val="ro-RO"/>
        </w:rPr>
        <w:t>Instituțiile de educație si transfer tehnologic</w:t>
      </w:r>
      <w:r w:rsidRPr="00A73566">
        <w:rPr>
          <w:rFonts w:ascii="Times New Roman" w:hAnsi="Times New Roman" w:cs="Times New Roman"/>
          <w:iCs/>
          <w:lang w:val="ro-RO"/>
        </w:rPr>
        <w:t>: (Universitatea Agrară de Stat din Republica Moldova, Centrele de excelența si colegiile agricole) care oferă suport in pregătirea</w:t>
      </w:r>
      <w:r w:rsidR="00B03A9C" w:rsidRPr="00A73566">
        <w:rPr>
          <w:rFonts w:ascii="Times New Roman" w:hAnsi="Times New Roman" w:cs="Times New Roman"/>
          <w:iCs/>
          <w:lang w:val="ro-RO"/>
        </w:rPr>
        <w:t xml:space="preserve"> profesională</w:t>
      </w:r>
      <w:r w:rsidRPr="00A73566">
        <w:rPr>
          <w:rFonts w:ascii="Times New Roman" w:hAnsi="Times New Roman" w:cs="Times New Roman"/>
          <w:iCs/>
          <w:lang w:val="ro-RO"/>
        </w:rPr>
        <w:t>, perfecțion</w:t>
      </w:r>
      <w:r w:rsidR="004E7B12" w:rsidRPr="00A73566">
        <w:rPr>
          <w:rFonts w:ascii="Times New Roman" w:hAnsi="Times New Roman" w:cs="Times New Roman"/>
          <w:iCs/>
          <w:lang w:val="ro-RO"/>
        </w:rPr>
        <w:t>area și</w:t>
      </w:r>
      <w:r w:rsidRPr="00A73566">
        <w:rPr>
          <w:rFonts w:ascii="Times New Roman" w:hAnsi="Times New Roman" w:cs="Times New Roman"/>
          <w:iCs/>
          <w:lang w:val="ro-RO"/>
        </w:rPr>
        <w:t xml:space="preserve"> </w:t>
      </w:r>
      <w:r w:rsidR="00B03A9C" w:rsidRPr="00A73566">
        <w:rPr>
          <w:rFonts w:ascii="Times New Roman" w:hAnsi="Times New Roman" w:cs="Times New Roman"/>
          <w:iCs/>
          <w:lang w:val="ro-RO"/>
        </w:rPr>
        <w:t xml:space="preserve">formarea </w:t>
      </w:r>
      <w:r w:rsidRPr="00A73566">
        <w:rPr>
          <w:rFonts w:ascii="Times New Roman" w:hAnsi="Times New Roman" w:cs="Times New Roman"/>
          <w:iCs/>
          <w:lang w:val="ro-RO"/>
        </w:rPr>
        <w:t xml:space="preserve">continua a  </w:t>
      </w:r>
      <w:r w:rsidR="00B03A9C" w:rsidRPr="00A73566">
        <w:rPr>
          <w:rFonts w:ascii="Times New Roman" w:hAnsi="Times New Roman" w:cs="Times New Roman"/>
          <w:iCs/>
          <w:lang w:val="ro-RO"/>
        </w:rPr>
        <w:t xml:space="preserve">adulților </w:t>
      </w:r>
      <w:r w:rsidRPr="00A73566">
        <w:rPr>
          <w:rFonts w:ascii="Times New Roman" w:hAnsi="Times New Roman" w:cs="Times New Roman"/>
          <w:iCs/>
          <w:lang w:val="ro-RO"/>
        </w:rPr>
        <w:t xml:space="preserve">din sectorul agroindustrial al țarii.  </w:t>
      </w:r>
    </w:p>
    <w:p w14:paraId="201C657F" w14:textId="77777777"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iCs/>
          <w:lang w:val="ro-RO"/>
        </w:rPr>
        <w:t>Serviciul Special de Influențe Active asupra Proceselor Hidrometeorologice</w:t>
      </w:r>
      <w:r w:rsidRPr="00A73566">
        <w:rPr>
          <w:rFonts w:ascii="Times New Roman" w:hAnsi="Times New Roman" w:cs="Times New Roman"/>
          <w:iCs/>
          <w:lang w:val="ro-RO"/>
        </w:rPr>
        <w:t xml:space="preserve">. – prin intermediul subdiviziunilor centrale și teritoriale asigura protecția culturilor agricole si a zonelor rurale împotriva  căderilor de grindina. </w:t>
      </w:r>
    </w:p>
    <w:p w14:paraId="7C6E78AC" w14:textId="77777777"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iCs/>
          <w:lang w:val="ro-RO"/>
        </w:rPr>
        <w:t xml:space="preserve">Comisia de Stat pentru Testarea Soiurilor de Plante – </w:t>
      </w:r>
      <w:r w:rsidRPr="00A73566">
        <w:rPr>
          <w:rFonts w:ascii="Times New Roman" w:hAnsi="Times New Roman" w:cs="Times New Roman"/>
          <w:iCs/>
          <w:lang w:val="ro-RO"/>
        </w:rPr>
        <w:t xml:space="preserve">este  responsabilă de examinarea soiurilor de plante în vederea aprecierii conformității lor cu condițiile de brevet.  </w:t>
      </w:r>
    </w:p>
    <w:p w14:paraId="35185FE3" w14:textId="36E16616"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b/>
          <w:bCs/>
          <w:iCs/>
          <w:lang w:val="ro-RO"/>
        </w:rPr>
        <w:t>Inspectoratul de Sta</w:t>
      </w:r>
      <w:r w:rsidR="002E5BA2">
        <w:rPr>
          <w:rFonts w:ascii="Times New Roman" w:hAnsi="Times New Roman" w:cs="Times New Roman"/>
          <w:b/>
          <w:bCs/>
          <w:iCs/>
          <w:lang w:val="ro-RO"/>
        </w:rPr>
        <w:t>t pentru Supravegherea Tehnică „</w:t>
      </w:r>
      <w:r w:rsidRPr="00A73566">
        <w:rPr>
          <w:rFonts w:ascii="Times New Roman" w:hAnsi="Times New Roman" w:cs="Times New Roman"/>
          <w:b/>
          <w:bCs/>
          <w:iCs/>
          <w:lang w:val="ro-RO"/>
        </w:rPr>
        <w:t>Intehagro”</w:t>
      </w:r>
      <w:r w:rsidRPr="00A73566">
        <w:rPr>
          <w:rFonts w:ascii="Times New Roman" w:hAnsi="Times New Roman" w:cs="Times New Roman"/>
          <w:iCs/>
          <w:lang w:val="ro-RO"/>
        </w:rPr>
        <w:t xml:space="preserve"> – întreprinderea de Stat la autogestiune, responsabila de examinarea si certificarea mecanizatorilor si operatorilor de echipamente agricole mecanizate, înmatricularea de tehnica agricola,  echipament și utilaj pentru sector, precum si efectuarea reviziilor tehnice ale acestora. </w:t>
      </w:r>
    </w:p>
    <w:p w14:paraId="0323559E" w14:textId="77777777" w:rsidR="003A6AFA" w:rsidRPr="00A73566" w:rsidRDefault="003A6AFA" w:rsidP="00E720EE">
      <w:pPr>
        <w:numPr>
          <w:ilvl w:val="0"/>
          <w:numId w:val="20"/>
        </w:numPr>
        <w:rPr>
          <w:rFonts w:ascii="Times New Roman" w:hAnsi="Times New Roman" w:cs="Times New Roman"/>
          <w:iCs/>
          <w:lang w:val="ro-RO"/>
        </w:rPr>
      </w:pPr>
      <w:r w:rsidRPr="00A73566">
        <w:rPr>
          <w:rFonts w:ascii="Times New Roman" w:hAnsi="Times New Roman" w:cs="Times New Roman"/>
          <w:iCs/>
          <w:lang w:val="ro-RO"/>
        </w:rPr>
        <w:t xml:space="preserve"> </w:t>
      </w:r>
      <w:r w:rsidRPr="00A73566">
        <w:rPr>
          <w:rFonts w:ascii="Times New Roman" w:hAnsi="Times New Roman" w:cs="Times New Roman"/>
          <w:b/>
          <w:bCs/>
          <w:iCs/>
          <w:lang w:val="ro-RO"/>
        </w:rPr>
        <w:t xml:space="preserve">Oficiul Național al Viei și Vinului </w:t>
      </w:r>
      <w:r w:rsidRPr="00A73566">
        <w:rPr>
          <w:rFonts w:ascii="Times New Roman" w:hAnsi="Times New Roman" w:cs="Times New Roman"/>
          <w:iCs/>
          <w:lang w:val="ro-RO"/>
        </w:rPr>
        <w:t xml:space="preserve">este autoritatea competentă în implementarea politicilor statului în sectorul vitivinicol și asigurară ghidarea și dezvoltarea durabilă a acestuia, inclusiv prin formarea și gestionarea eficientă a Fondului Național al Viei și Vinului.  </w:t>
      </w:r>
    </w:p>
    <w:p w14:paraId="7D98532E" w14:textId="77777777" w:rsidR="003A6AFA" w:rsidRPr="00A73566" w:rsidRDefault="003A6AFA" w:rsidP="00E720EE">
      <w:pPr>
        <w:numPr>
          <w:ilvl w:val="0"/>
          <w:numId w:val="20"/>
        </w:numPr>
        <w:rPr>
          <w:rFonts w:ascii="Times New Roman" w:hAnsi="Times New Roman" w:cs="Times New Roman"/>
          <w:bCs/>
          <w:iCs/>
          <w:lang w:val="ro-RO"/>
        </w:rPr>
      </w:pPr>
      <w:r w:rsidRPr="00A73566">
        <w:rPr>
          <w:rFonts w:ascii="Times New Roman" w:hAnsi="Times New Roman" w:cs="Times New Roman"/>
          <w:b/>
          <w:bCs/>
          <w:iCs/>
          <w:lang w:val="ro-RO"/>
        </w:rPr>
        <w:t>Agenția</w:t>
      </w:r>
      <w:r w:rsidRPr="00A73566">
        <w:rPr>
          <w:rFonts w:ascii="Times New Roman" w:hAnsi="Times New Roman" w:cs="Times New Roman"/>
          <w:b/>
          <w:bCs/>
          <w:lang w:val="ro-RO"/>
        </w:rPr>
        <w:t xml:space="preserve"> Relații Funciare și Cadastru</w:t>
      </w:r>
      <w:r w:rsidRPr="00A73566">
        <w:rPr>
          <w:rFonts w:ascii="Times New Roman" w:hAnsi="Times New Roman" w:cs="Times New Roman"/>
          <w:b/>
          <w:bCs/>
          <w:iCs/>
          <w:lang w:val="ro-RO"/>
        </w:rPr>
        <w:t xml:space="preserve"> </w:t>
      </w:r>
      <w:r w:rsidRPr="00A73566">
        <w:rPr>
          <w:rFonts w:ascii="Times New Roman" w:hAnsi="Times New Roman" w:cs="Times New Roman"/>
          <w:bCs/>
          <w:iCs/>
          <w:lang w:val="ro-RO"/>
        </w:rPr>
        <w:t xml:space="preserve">este responsabilă de implementarea și realizarea măsurilor de stopare a degradării şi de sporire a fertilității solurilor. </w:t>
      </w:r>
    </w:p>
    <w:p w14:paraId="62AC497E" w14:textId="77777777" w:rsidR="003A6AFA" w:rsidRPr="00A73566" w:rsidRDefault="003A6AFA" w:rsidP="00E720EE">
      <w:pPr>
        <w:numPr>
          <w:ilvl w:val="0"/>
          <w:numId w:val="20"/>
        </w:numPr>
        <w:rPr>
          <w:rFonts w:ascii="Times New Roman" w:hAnsi="Times New Roman" w:cs="Times New Roman"/>
          <w:b/>
          <w:bCs/>
          <w:color w:val="134753"/>
          <w:lang w:val="ro-RO"/>
        </w:rPr>
      </w:pPr>
      <w:r w:rsidRPr="00A73566">
        <w:rPr>
          <w:rFonts w:ascii="Times New Roman" w:hAnsi="Times New Roman" w:cs="Times New Roman"/>
          <w:b/>
          <w:bCs/>
          <w:iCs/>
          <w:lang w:val="ro-RO"/>
        </w:rPr>
        <w:t>Unitățile</w:t>
      </w:r>
      <w:r w:rsidRPr="00A73566">
        <w:rPr>
          <w:rFonts w:ascii="Times New Roman" w:hAnsi="Times New Roman" w:cs="Times New Roman"/>
          <w:b/>
          <w:bCs/>
          <w:lang w:val="ro-RO"/>
        </w:rPr>
        <w:t xml:space="preserve"> consolidate pentru implementarea Programelor partenerilor de dezvoltare direcționate în suportul sectorului agroindustrial:</w:t>
      </w:r>
    </w:p>
    <w:p w14:paraId="068C5C1D" w14:textId="77777777" w:rsidR="003A6AFA" w:rsidRPr="00A73566" w:rsidRDefault="003A6AFA" w:rsidP="00E720EE">
      <w:pPr>
        <w:numPr>
          <w:ilvl w:val="0"/>
          <w:numId w:val="21"/>
        </w:numPr>
        <w:spacing w:after="0"/>
        <w:rPr>
          <w:rFonts w:ascii="Times New Roman" w:hAnsi="Times New Roman" w:cs="Times New Roman"/>
          <w:iCs/>
          <w:color w:val="134753"/>
          <w:lang w:val="ro-RO"/>
        </w:rPr>
      </w:pPr>
      <w:r w:rsidRPr="00A73566">
        <w:rPr>
          <w:rFonts w:ascii="Times New Roman" w:hAnsi="Times New Roman" w:cs="Times New Roman"/>
          <w:bCs/>
          <w:i/>
          <w:lang w:val="ro-RO"/>
        </w:rPr>
        <w:t>UCIP-IFAD, implementarea programelor de suport ale Fondului Internațional pentru Dezvoltare Agricolă (IFAD)</w:t>
      </w:r>
      <w:r w:rsidRPr="00A73566">
        <w:rPr>
          <w:rFonts w:ascii="Times New Roman" w:hAnsi="Times New Roman" w:cs="Times New Roman"/>
          <w:lang w:val="ro-RO"/>
        </w:rPr>
        <w:t xml:space="preserve"> - suport pentru modernizarea și restructurarea agriculturii și dezvoltarea zonelor rurale cu accent pe susținerea fermierilor mici si persoanelor cu venit scăzut din zonele rurale. </w:t>
      </w:r>
    </w:p>
    <w:p w14:paraId="51B6893E" w14:textId="77777777" w:rsidR="003A6AFA" w:rsidRPr="00A73566" w:rsidRDefault="003A6AFA" w:rsidP="00E720EE">
      <w:pPr>
        <w:numPr>
          <w:ilvl w:val="0"/>
          <w:numId w:val="21"/>
        </w:numPr>
        <w:spacing w:after="0"/>
        <w:rPr>
          <w:rFonts w:ascii="Times New Roman" w:hAnsi="Times New Roman" w:cs="Times New Roman"/>
          <w:iCs/>
          <w:lang w:val="ro-RO"/>
        </w:rPr>
      </w:pPr>
      <w:r w:rsidRPr="00A73566">
        <w:rPr>
          <w:rFonts w:ascii="Times New Roman" w:hAnsi="Times New Roman" w:cs="Times New Roman"/>
          <w:bCs/>
          <w:i/>
          <w:lang w:val="ro-RO"/>
        </w:rPr>
        <w:t>Unitatea consolidată pentru implementarea și monitorizarea proiectelor în domeniul agriculturii (UCIMPA)</w:t>
      </w:r>
      <w:r w:rsidRPr="00A73566">
        <w:rPr>
          <w:rFonts w:ascii="Times New Roman" w:hAnsi="Times New Roman" w:cs="Times New Roman"/>
          <w:i/>
          <w:lang w:val="ro-RO"/>
        </w:rPr>
        <w:t>,</w:t>
      </w:r>
      <w:r w:rsidRPr="00A73566">
        <w:rPr>
          <w:rFonts w:ascii="Times New Roman" w:hAnsi="Times New Roman" w:cs="Times New Roman"/>
          <w:lang w:val="ro-RO"/>
        </w:rPr>
        <w:t xml:space="preserve"> finanțată de Banca Mondială, responsabilă de asigurarea implementării eficiente a proiectelor Băncii Mondiale în domeniul agriculturii și dezvoltării afacerilor rurale;</w:t>
      </w:r>
      <w:r w:rsidRPr="00A73566">
        <w:rPr>
          <w:rFonts w:ascii="Times New Roman" w:hAnsi="Times New Roman" w:cs="Times New Roman"/>
          <w:iCs/>
          <w:lang w:val="ro-RO"/>
        </w:rPr>
        <w:t xml:space="preserve"> </w:t>
      </w:r>
    </w:p>
    <w:p w14:paraId="62BBFF04" w14:textId="3A5ADF9A" w:rsidR="003A6AFA" w:rsidRPr="00A73566" w:rsidRDefault="003A6AFA" w:rsidP="00E720EE">
      <w:pPr>
        <w:numPr>
          <w:ilvl w:val="0"/>
          <w:numId w:val="21"/>
        </w:numPr>
        <w:spacing w:after="0"/>
        <w:rPr>
          <w:rFonts w:ascii="Times New Roman" w:hAnsi="Times New Roman" w:cs="Times New Roman"/>
          <w:iCs/>
          <w:lang w:val="ro-RO"/>
        </w:rPr>
      </w:pPr>
      <w:r w:rsidRPr="00A73566">
        <w:rPr>
          <w:rFonts w:ascii="Times New Roman" w:hAnsi="Times New Roman" w:cs="Times New Roman"/>
          <w:bCs/>
          <w:i/>
          <w:lang w:val="ro-RO"/>
        </w:rPr>
        <w:t>Unitatea consolidată pentru implementarea și monitorizarea Programului de restructurare a sectorului horticol</w:t>
      </w:r>
      <w:r w:rsidRPr="00A73566">
        <w:rPr>
          <w:rFonts w:ascii="Times New Roman" w:hAnsi="Times New Roman" w:cs="Times New Roman"/>
          <w:i/>
          <w:lang w:val="ro-RO"/>
        </w:rPr>
        <w:t>,</w:t>
      </w:r>
      <w:r w:rsidRPr="00A73566">
        <w:rPr>
          <w:rFonts w:ascii="Times New Roman" w:hAnsi="Times New Roman" w:cs="Times New Roman"/>
          <w:lang w:val="ro-RO"/>
        </w:rPr>
        <w:t xml:space="preserve"> finanțată de Banca Europeană de Investiții, al cărui scop este de a îmbunătăți competitivitatea sectorului și de a asigura corespunderea cerințelor de calitate ale UE.</w:t>
      </w:r>
    </w:p>
    <w:p w14:paraId="61332115" w14:textId="77777777" w:rsidR="003A6AFA" w:rsidRPr="00A73566" w:rsidRDefault="003A6AFA" w:rsidP="00E720EE">
      <w:pPr>
        <w:numPr>
          <w:ilvl w:val="0"/>
          <w:numId w:val="21"/>
        </w:numPr>
        <w:rPr>
          <w:rFonts w:ascii="Times New Roman" w:hAnsi="Times New Roman" w:cs="Times New Roman"/>
          <w:iCs/>
          <w:lang w:val="ro-RO"/>
        </w:rPr>
      </w:pPr>
      <w:r w:rsidRPr="00A73566">
        <w:rPr>
          <w:rFonts w:ascii="Times New Roman" w:hAnsi="Times New Roman" w:cs="Times New Roman"/>
          <w:bCs/>
          <w:i/>
          <w:iCs/>
          <w:lang w:val="ro-RO"/>
        </w:rPr>
        <w:t>Agenția pentru dezvoltarea și modernizarea agriculturii</w:t>
      </w:r>
      <w:r w:rsidRPr="00A73566">
        <w:rPr>
          <w:rFonts w:ascii="Times New Roman" w:hAnsi="Times New Roman" w:cs="Times New Roman"/>
          <w:i/>
          <w:iCs/>
          <w:lang w:val="ro-RO"/>
        </w:rPr>
        <w:t>,</w:t>
      </w:r>
      <w:r w:rsidRPr="00A73566">
        <w:rPr>
          <w:rFonts w:ascii="Times New Roman" w:hAnsi="Times New Roman" w:cs="Times New Roman"/>
          <w:iCs/>
          <w:lang w:val="ro-RO"/>
        </w:rPr>
        <w:t xml:space="preserve"> ce facilitează accesului fermierilor la tehnică și echipament agricol modern prin vânzare-cumpărare, inclusiv în rate, întru asigurarea creșterii producției agroalimentare competitive.</w:t>
      </w:r>
    </w:p>
    <w:p w14:paraId="0188FA4D" w14:textId="33E9B805" w:rsidR="003A6AFA" w:rsidRPr="00A73566" w:rsidRDefault="003A6AFA" w:rsidP="003A6AFA">
      <w:pPr>
        <w:rPr>
          <w:rFonts w:ascii="Times New Roman" w:hAnsi="Times New Roman" w:cs="Times New Roman"/>
          <w:lang w:val="ro-RO"/>
        </w:rPr>
      </w:pPr>
      <w:r w:rsidRPr="00A73566">
        <w:rPr>
          <w:rFonts w:ascii="Times New Roman" w:hAnsi="Times New Roman" w:cs="Times New Roman"/>
          <w:b/>
          <w:bCs/>
          <w:lang w:val="ro-RO"/>
        </w:rPr>
        <w:t>Ministerele</w:t>
      </w:r>
      <w:r w:rsidR="009A2BC5" w:rsidRPr="00A73566">
        <w:rPr>
          <w:rFonts w:ascii="Times New Roman" w:hAnsi="Times New Roman" w:cs="Times New Roman"/>
          <w:b/>
          <w:bCs/>
          <w:lang w:val="ro-RO"/>
        </w:rPr>
        <w:t>, Instituțiile</w:t>
      </w:r>
      <w:r w:rsidRPr="00A73566">
        <w:rPr>
          <w:rFonts w:ascii="Times New Roman" w:hAnsi="Times New Roman" w:cs="Times New Roman"/>
          <w:b/>
          <w:bCs/>
          <w:lang w:val="ro-RO"/>
        </w:rPr>
        <w:t xml:space="preserve"> și Agențiile de Stat din Republica Moldova</w:t>
      </w:r>
      <w:r w:rsidRPr="00A73566">
        <w:rPr>
          <w:rFonts w:ascii="Times New Roman" w:hAnsi="Times New Roman" w:cs="Times New Roman"/>
          <w:lang w:val="ro-RO"/>
        </w:rPr>
        <w:t xml:space="preserve"> care asigura elaborarea și implementare  politicilor conexe sectorului agroindustrial și dezvoltare rurală.</w:t>
      </w:r>
    </w:p>
    <w:p w14:paraId="14A27596" w14:textId="77777777" w:rsidR="001D2053" w:rsidRPr="00A73566" w:rsidRDefault="001D2053" w:rsidP="001D2053">
      <w:pPr>
        <w:spacing w:before="120" w:after="0"/>
        <w:rPr>
          <w:rFonts w:ascii="Times New Roman" w:hAnsi="Times New Roman" w:cs="Times New Roman"/>
          <w:shd w:val="clear" w:color="auto" w:fill="FFFFFF"/>
          <w:lang w:val="ro-RO"/>
        </w:rPr>
      </w:pPr>
      <w:r w:rsidRPr="00A73566">
        <w:rPr>
          <w:rFonts w:ascii="Times New Roman" w:hAnsi="Times New Roman" w:cs="Times New Roman"/>
          <w:b/>
          <w:bCs/>
          <w:lang w:val="ro-RO"/>
        </w:rPr>
        <w:t>Ministerul Educației, Culturii și Cercetării</w:t>
      </w:r>
      <w:r w:rsidRPr="00A73566">
        <w:rPr>
          <w:rFonts w:ascii="Times New Roman" w:hAnsi="Times New Roman" w:cs="Times New Roman"/>
          <w:b/>
          <w:shd w:val="clear" w:color="auto" w:fill="FFFFFF"/>
          <w:lang w:val="ro-RO"/>
        </w:rPr>
        <w:t xml:space="preserve"> – responsabil de elaborarea și aprobarea </w:t>
      </w:r>
      <w:r w:rsidRPr="00A73566">
        <w:rPr>
          <w:rFonts w:ascii="Times New Roman" w:hAnsi="Times New Roman" w:cs="Times New Roman"/>
          <w:lang w:val="ro-RO"/>
        </w:rPr>
        <w:t>planului-cadru pentru învățământul primar, gimnazial și liceal, manualelor școlare, ghidurilor metodologice și altor resurse de învățare;</w:t>
      </w:r>
    </w:p>
    <w:p w14:paraId="3785AE98" w14:textId="77777777" w:rsidR="001D2053" w:rsidRPr="00A73566" w:rsidRDefault="001D2053" w:rsidP="001D2053">
      <w:pPr>
        <w:spacing w:before="120" w:after="0"/>
        <w:rPr>
          <w:rFonts w:ascii="Times New Roman" w:hAnsi="Times New Roman" w:cs="Times New Roman"/>
          <w:lang w:val="ro-RO"/>
        </w:rPr>
      </w:pPr>
      <w:r w:rsidRPr="00A73566">
        <w:rPr>
          <w:rFonts w:ascii="Times New Roman" w:hAnsi="Times New Roman" w:cs="Times New Roman"/>
          <w:lang w:val="ro-RO"/>
        </w:rPr>
        <w:t xml:space="preserve"> </w:t>
      </w:r>
      <w:r w:rsidRPr="00A73566">
        <w:rPr>
          <w:rFonts w:ascii="Times New Roman" w:hAnsi="Times New Roman" w:cs="Times New Roman"/>
          <w:b/>
          <w:bCs/>
          <w:lang w:val="ro-RO"/>
        </w:rPr>
        <w:t>Întreprinderea de Stat „Institutul de Proiectări pentru Organizarea Teritoriului”</w:t>
      </w:r>
      <w:r w:rsidRPr="00A73566">
        <w:rPr>
          <w:rFonts w:ascii="Times New Roman" w:hAnsi="Times New Roman" w:cs="Times New Roman"/>
          <w:lang w:val="ro-RO"/>
        </w:rPr>
        <w:t xml:space="preserve"> –</w:t>
      </w:r>
      <w:r w:rsidRPr="00A73566">
        <w:rPr>
          <w:rFonts w:ascii="Times New Roman" w:hAnsi="Times New Roman" w:cs="Times New Roman"/>
          <w:b/>
          <w:lang w:val="ro-RO"/>
        </w:rPr>
        <w:t xml:space="preserve"> </w:t>
      </w:r>
      <w:r w:rsidRPr="00A73566">
        <w:rPr>
          <w:rFonts w:ascii="Times New Roman" w:hAnsi="Times New Roman" w:cs="Times New Roman"/>
          <w:lang w:val="ro-RO"/>
        </w:rPr>
        <w:t>responsabilă de elaborarea proiectelor pentru organizarea teritoriului.</w:t>
      </w:r>
    </w:p>
    <w:p w14:paraId="1E87D26A" w14:textId="77777777" w:rsidR="001D2053" w:rsidRPr="00A73566" w:rsidRDefault="001D2053" w:rsidP="001D2053">
      <w:pPr>
        <w:spacing w:before="120" w:after="0"/>
        <w:rPr>
          <w:rFonts w:ascii="Calibri" w:hAnsi="Calibri"/>
          <w:lang w:val="ro-RO"/>
        </w:rPr>
      </w:pPr>
      <w:r w:rsidRPr="00A73566">
        <w:rPr>
          <w:rFonts w:ascii="Times New Roman" w:hAnsi="Times New Roman" w:cs="Times New Roman"/>
          <w:b/>
          <w:bCs/>
          <w:lang w:val="ro-RO"/>
        </w:rPr>
        <w:t>Agenția „Apele Moldovei”</w:t>
      </w:r>
      <w:r w:rsidRPr="00A73566">
        <w:rPr>
          <w:rFonts w:ascii="Times New Roman" w:hAnsi="Times New Roman" w:cs="Times New Roman"/>
          <w:lang w:val="ro-RO"/>
        </w:rPr>
        <w:t xml:space="preserve"> – promovează și implementează politicile în domeniul hidroameliorației;</w:t>
      </w:r>
    </w:p>
    <w:p w14:paraId="5B9FF423" w14:textId="6ECCB986" w:rsidR="001D2053" w:rsidRPr="00A73566" w:rsidRDefault="001D2053" w:rsidP="001D2053">
      <w:pPr>
        <w:spacing w:before="120" w:after="0"/>
        <w:rPr>
          <w:rFonts w:ascii="Times New Roman" w:hAnsi="Times New Roman" w:cs="Times New Roman"/>
          <w:lang w:val="ro-RO"/>
        </w:rPr>
      </w:pPr>
      <w:r w:rsidRPr="00A73566">
        <w:rPr>
          <w:rFonts w:ascii="Times New Roman" w:hAnsi="Times New Roman" w:cs="Times New Roman"/>
          <w:b/>
          <w:bCs/>
          <w:iCs/>
          <w:lang w:val="ro-RO"/>
        </w:rPr>
        <w:t>Fondul de Dezvoltare Durabilă Moldova</w:t>
      </w:r>
      <w:r w:rsidRPr="00A73566">
        <w:rPr>
          <w:rFonts w:ascii="Times New Roman" w:hAnsi="Times New Roman" w:cs="Times New Roman"/>
          <w:b/>
          <w:iCs/>
          <w:lang w:val="ro-RO"/>
        </w:rPr>
        <w:t xml:space="preserve"> –</w:t>
      </w:r>
      <w:r w:rsidRPr="00A73566">
        <w:rPr>
          <w:rFonts w:ascii="Times New Roman" w:hAnsi="Times New Roman" w:cs="Times New Roman"/>
          <w:lang w:val="ro-RO"/>
        </w:rPr>
        <w:t xml:space="preserve"> gestionează în numele Guvernului Fondul de refinanţare a împrumuturilor format în cadrul activităţii </w:t>
      </w:r>
      <w:r w:rsidRPr="00F943B1">
        <w:rPr>
          <w:rFonts w:ascii="Times New Roman" w:hAnsi="Times New Roman" w:cs="Times New Roman"/>
          <w:i/>
          <w:lang w:val="ro-RO"/>
        </w:rPr>
        <w:t>Acces la finanţare în Agricultură</w:t>
      </w:r>
      <w:r w:rsidRPr="00A73566">
        <w:rPr>
          <w:rFonts w:ascii="Times New Roman" w:hAnsi="Times New Roman" w:cs="Times New Roman"/>
          <w:lang w:val="ro-RO"/>
        </w:rPr>
        <w:t xml:space="preserve"> în urma implementării Acordului „Compact” şi asigură monitorizarea şi raportarea impactului acestor investiţii în perioada post-„Compact” și facilitează accesul la finanțare și extindere a suprafețelor irigate;</w:t>
      </w:r>
    </w:p>
    <w:p w14:paraId="7EF6FD03" w14:textId="77777777" w:rsidR="003A6AFA" w:rsidRPr="00A73566" w:rsidRDefault="003A6AFA" w:rsidP="00F662AC">
      <w:pPr>
        <w:spacing w:before="120"/>
        <w:rPr>
          <w:rFonts w:ascii="Times New Roman" w:hAnsi="Times New Roman" w:cs="Times New Roman"/>
          <w:iCs/>
          <w:lang w:val="ro-RO"/>
        </w:rPr>
      </w:pPr>
      <w:r w:rsidRPr="00A73566">
        <w:rPr>
          <w:rFonts w:ascii="Times New Roman" w:hAnsi="Times New Roman" w:cs="Times New Roman"/>
          <w:b/>
          <w:bCs/>
          <w:iCs/>
          <w:lang w:val="ro-RO"/>
        </w:rPr>
        <w:t>Partenerii de dezvoltare ai Republicii Moldova (UE, BM, USAID, FAO, PNUN s.a.) –</w:t>
      </w:r>
      <w:r w:rsidRPr="00A73566">
        <w:rPr>
          <w:rFonts w:ascii="Times New Roman" w:hAnsi="Times New Roman" w:cs="Times New Roman"/>
          <w:iCs/>
          <w:lang w:val="ro-RO"/>
        </w:rPr>
        <w:t xml:space="preserve"> prin intermediul programelor si proiectelor de asistența tehnica și financiara, facilitează și susțin eforturile Republicii Moldova în dezvoltarea durabila a sectorului agroindustrial,  combaterea sărăciei și creare unor condiții decente pentru munca si odihna în mediul rural. </w:t>
      </w:r>
    </w:p>
    <w:p w14:paraId="637C1E58" w14:textId="33ED045A" w:rsidR="00890728" w:rsidRPr="00A73566" w:rsidRDefault="00890728" w:rsidP="00A12706">
      <w:pPr>
        <w:rPr>
          <w:rFonts w:ascii="Times New Roman" w:hAnsi="Times New Roman" w:cs="Times New Roman"/>
          <w:b/>
          <w:bCs/>
          <w:iCs/>
          <w:lang w:val="ro-RO"/>
        </w:rPr>
      </w:pPr>
      <w:r w:rsidRPr="00A73566">
        <w:rPr>
          <w:rFonts w:ascii="Times New Roman" w:hAnsi="Times New Roman" w:cs="Times New Roman"/>
          <w:b/>
          <w:bCs/>
          <w:iCs/>
          <w:lang w:val="ro-RO"/>
        </w:rPr>
        <w:t xml:space="preserve">Asociațiile profesionale și de profil al producătorilor agricoli </w:t>
      </w:r>
      <w:r w:rsidR="00A12706" w:rsidRPr="00A73566">
        <w:rPr>
          <w:rFonts w:ascii="Times New Roman" w:hAnsi="Times New Roman" w:cs="Times New Roman"/>
          <w:iCs/>
          <w:lang w:val="ro-RO"/>
        </w:rPr>
        <w:t>a</w:t>
      </w:r>
      <w:r w:rsidRPr="00A73566">
        <w:rPr>
          <w:rFonts w:ascii="Times New Roman" w:hAnsi="Times New Roman" w:cs="Times New Roman"/>
          <w:iCs/>
          <w:lang w:val="ro-RO"/>
        </w:rPr>
        <w:t>sigura menținerea unui dialog cu instituțiile statului</w:t>
      </w:r>
      <w:r w:rsidR="00644E9A" w:rsidRPr="00A73566">
        <w:rPr>
          <w:rFonts w:ascii="Times New Roman" w:hAnsi="Times New Roman" w:cs="Times New Roman"/>
          <w:iCs/>
          <w:lang w:val="ro-RO"/>
        </w:rPr>
        <w:t>, participă în procesul de consultare publică a documentelor de politici în sector.</w:t>
      </w:r>
      <w:r w:rsidRPr="00A73566">
        <w:rPr>
          <w:rFonts w:ascii="Times New Roman" w:hAnsi="Times New Roman" w:cs="Times New Roman"/>
          <w:iCs/>
          <w:lang w:val="ro-RO"/>
        </w:rPr>
        <w:t xml:space="preserve"> </w:t>
      </w:r>
    </w:p>
    <w:p w14:paraId="42CFF358" w14:textId="77777777" w:rsidR="00890728" w:rsidRPr="00A73566" w:rsidRDefault="00890728" w:rsidP="00401C15">
      <w:pPr>
        <w:rPr>
          <w:rFonts w:ascii="Times New Roman" w:hAnsi="Times New Roman" w:cs="Times New Roman"/>
          <w:bCs/>
          <w:iCs/>
          <w:lang w:val="ro-RO"/>
        </w:rPr>
      </w:pPr>
    </w:p>
    <w:p w14:paraId="1ADDF092" w14:textId="77777777" w:rsidR="00B23BE2" w:rsidRPr="00A73566" w:rsidRDefault="00B23BE2" w:rsidP="00E313DD">
      <w:pPr>
        <w:pStyle w:val="Heading1"/>
        <w:spacing w:before="240" w:after="480"/>
        <w:ind w:left="360" w:hanging="360"/>
        <w:rPr>
          <w:rFonts w:ascii="Times New Roman" w:hAnsi="Times New Roman" w:cs="Times New Roman"/>
          <w:lang w:val="ro-RO"/>
        </w:rPr>
      </w:pPr>
      <w:bookmarkStart w:id="138" w:name="_Toc86496366"/>
      <w:bookmarkStart w:id="139" w:name="_Toc88132129"/>
      <w:r w:rsidRPr="00A73566">
        <w:rPr>
          <w:rFonts w:ascii="Times New Roman" w:hAnsi="Times New Roman" w:cs="Times New Roman"/>
          <w:lang w:val="ro-RO"/>
        </w:rPr>
        <w:t>Proceduri de raportare</w:t>
      </w:r>
      <w:bookmarkEnd w:id="138"/>
      <w:bookmarkEnd w:id="139"/>
    </w:p>
    <w:p w14:paraId="4F62E45C" w14:textId="77777777"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lang w:val="ro-RO"/>
        </w:rPr>
        <w:t xml:space="preserve">În vederea asigurării unui management adecvat al intervențiilor derivate din prezenta Strategie, este stabilit un cadru unic de raportare, care permite monitorizarea constantă a progresului înregistrat prin documentele de programare pe termeni scurt și mediu, cât și aplicarea unor corecții în caz de necesitate. </w:t>
      </w:r>
    </w:p>
    <w:p w14:paraId="1FDF76AA" w14:textId="77777777"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lang w:val="ro-RO"/>
        </w:rPr>
        <w:t>Cadrul de raportare este structurat pe procedurile de monitorizare și evaluare asigurate la nivel de politici în cadrul Ministerului care va defini o metodologie unică pentru monitorizare și evaluarea politicilor de dezvoltare agricolă ș rurală.</w:t>
      </w:r>
    </w:p>
    <w:p w14:paraId="5AD8180C" w14:textId="28AF6048"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lang w:val="ro-RO"/>
        </w:rPr>
        <w:t xml:space="preserve">Având în vedere modalitatea de formulare a documentelor de programare derivate din strategie </w:t>
      </w:r>
      <w:r w:rsidR="0082182E">
        <w:rPr>
          <w:rFonts w:ascii="Times New Roman" w:hAnsi="Times New Roman" w:cs="Times New Roman"/>
          <w:lang w:val="ro-RO"/>
        </w:rPr>
        <w:t>(</w:t>
      </w:r>
      <w:r w:rsidRPr="00A73566">
        <w:rPr>
          <w:rFonts w:ascii="Times New Roman" w:hAnsi="Times New Roman" w:cs="Times New Roman"/>
          <w:lang w:val="ro-RO"/>
        </w:rPr>
        <w:t xml:space="preserve">Programele Sectoriale) cât și implementarea intervențiilor prin intermediul Fondului Național de Dezvoltare Agricolă și Rurală, monitorizarea și evaluarea va fi asigurată în mod stratificat după cum urmează : </w:t>
      </w:r>
    </w:p>
    <w:p w14:paraId="4B13044F" w14:textId="48109A3D" w:rsidR="0082182E" w:rsidRDefault="00B23BE2" w:rsidP="0082182E">
      <w:pPr>
        <w:ind w:firstLine="567"/>
        <w:rPr>
          <w:rFonts w:ascii="Times New Roman" w:hAnsi="Times New Roman" w:cs="Times New Roman"/>
          <w:lang w:val="ro-RO"/>
        </w:rPr>
      </w:pPr>
      <w:r w:rsidRPr="00A73566">
        <w:rPr>
          <w:rFonts w:ascii="Times New Roman" w:hAnsi="Times New Roman" w:cs="Times New Roman"/>
          <w:b/>
          <w:bCs/>
          <w:lang w:val="ro-RO"/>
        </w:rPr>
        <w:t>Primul nivel</w:t>
      </w:r>
      <w:r w:rsidRPr="00A73566">
        <w:rPr>
          <w:rFonts w:ascii="Times New Roman" w:hAnsi="Times New Roman" w:cs="Times New Roman"/>
          <w:lang w:val="ro-RO"/>
        </w:rPr>
        <w:t xml:space="preserve"> va viza monitorizarea și evaluare politicii de dezvoltare agricolă și rurală.</w:t>
      </w:r>
      <w:r w:rsidR="00644E9A" w:rsidRPr="00A73566">
        <w:rPr>
          <w:rFonts w:ascii="Times New Roman" w:hAnsi="Times New Roman" w:cs="Times New Roman"/>
          <w:lang w:val="ro-RO"/>
        </w:rPr>
        <w:t xml:space="preserve"> </w:t>
      </w:r>
      <w:r w:rsidRPr="00A73566">
        <w:rPr>
          <w:rFonts w:ascii="Times New Roman" w:hAnsi="Times New Roman" w:cs="Times New Roman"/>
          <w:lang w:val="ro-RO"/>
        </w:rPr>
        <w:t xml:space="preserve">Procesele de monitorizare la acest nivel sunt concentrate pe centralizarea indicatorilor de impact formulați în Strategie și presupun elaborarea Rapoartelor Anuale privind progresul atins. </w:t>
      </w:r>
      <w:r w:rsidR="00644E9A" w:rsidRPr="00A73566">
        <w:rPr>
          <w:rFonts w:ascii="Times New Roman" w:hAnsi="Times New Roman" w:cs="Times New Roman"/>
          <w:lang w:val="ro-RO"/>
        </w:rPr>
        <w:t xml:space="preserve"> </w:t>
      </w:r>
      <w:r w:rsidRPr="00A73566">
        <w:rPr>
          <w:rFonts w:ascii="Times New Roman" w:hAnsi="Times New Roman" w:cs="Times New Roman"/>
          <w:lang w:val="ro-RO"/>
        </w:rPr>
        <w:t>Evaluarea politicii pe de altă parte  va avea un caracter formativ și va fi asigurată la mijloc de termen (2025), în conformitate cu rigorile și ghidările metodologice furnizate de Cancelaria de Stat.</w:t>
      </w:r>
      <w:r w:rsidR="00E313DD" w:rsidRPr="00A73566">
        <w:rPr>
          <w:rStyle w:val="EndnoteReference"/>
          <w:rFonts w:ascii="Times New Roman" w:hAnsi="Times New Roman" w:cs="Times New Roman"/>
          <w:lang w:val="ro-RO"/>
        </w:rPr>
        <w:endnoteReference w:id="3"/>
      </w:r>
      <w:r w:rsidR="00E313DD" w:rsidRPr="00A73566">
        <w:rPr>
          <w:rFonts w:ascii="Times New Roman" w:hAnsi="Times New Roman" w:cs="Times New Roman"/>
          <w:lang w:val="ro-RO"/>
        </w:rPr>
        <w:t xml:space="preserve"> </w:t>
      </w:r>
      <w:r w:rsidR="00644E9A" w:rsidRPr="00A73566">
        <w:rPr>
          <w:rFonts w:ascii="Times New Roman" w:hAnsi="Times New Roman" w:cs="Times New Roman"/>
          <w:lang w:val="ro-RO"/>
        </w:rPr>
        <w:t xml:space="preserve"> </w:t>
      </w:r>
    </w:p>
    <w:p w14:paraId="4A2A7AC8" w14:textId="3399164E"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lang w:val="ro-RO"/>
        </w:rPr>
        <w:t>Atât procesele de monitorizare cât și cele de evaluare, sunt asigurate la acest nivel de MA</w:t>
      </w:r>
      <w:r w:rsidR="00644E9A" w:rsidRPr="00A73566">
        <w:rPr>
          <w:rFonts w:ascii="Times New Roman" w:hAnsi="Times New Roman" w:cs="Times New Roman"/>
          <w:lang w:val="ro-RO"/>
        </w:rPr>
        <w:t>IA</w:t>
      </w:r>
      <w:r w:rsidRPr="00A73566">
        <w:rPr>
          <w:rFonts w:ascii="Times New Roman" w:hAnsi="Times New Roman" w:cs="Times New Roman"/>
          <w:lang w:val="ro-RO"/>
        </w:rPr>
        <w:t xml:space="preserve"> prin intermediul DAMEP întru-n cadru participativ ( implicând structurile din subordinea Ministerului, alte Ministere și instituții care implementează proiecte în domeniile de intervenție ale politicii, dar și structurile asociative/asociațiile de profil)  în vederea aplicării corecțiilor și ajustărilor în conformitate cu evoluția intervențiilor dar și cadrul național și internațional. În cazul exercițiului de evaluare însă vor fi implicate entități externe independente funcțional de entitățile implementatoare ale politicii.</w:t>
      </w:r>
    </w:p>
    <w:p w14:paraId="56991F2D" w14:textId="3C3B70B2"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b/>
          <w:bCs/>
          <w:lang w:val="ro-RO"/>
        </w:rPr>
        <w:t>Al doilea nivel</w:t>
      </w:r>
      <w:r w:rsidRPr="00A73566">
        <w:rPr>
          <w:rFonts w:ascii="Times New Roman" w:hAnsi="Times New Roman" w:cs="Times New Roman"/>
          <w:lang w:val="ro-RO"/>
        </w:rPr>
        <w:t xml:space="preserve"> de monitorizare și evaluare vizează monitorizarea și evaluarea Programelor Sectoriale derivate din Strategie și presupune centralizarea indicatorilor de rezultat aferenți fiecărui Program și reflectă contribuția la atingerea țintelor setate în Strategie și realizarea Planurilor de Acțiuni. </w:t>
      </w:r>
      <w:r w:rsidR="00644E9A" w:rsidRPr="00A73566">
        <w:rPr>
          <w:rFonts w:ascii="Times New Roman" w:hAnsi="Times New Roman" w:cs="Times New Roman"/>
          <w:lang w:val="ro-RO"/>
        </w:rPr>
        <w:t xml:space="preserve"> </w:t>
      </w:r>
      <w:r w:rsidRPr="00A73566">
        <w:rPr>
          <w:rFonts w:ascii="Times New Roman" w:hAnsi="Times New Roman" w:cs="Times New Roman"/>
          <w:lang w:val="ro-RO"/>
        </w:rPr>
        <w:t>Procesele de monitorizarea la acest nivel sunt desfășurate anual de către MA</w:t>
      </w:r>
      <w:r w:rsidR="00644E9A" w:rsidRPr="00A73566">
        <w:rPr>
          <w:rFonts w:ascii="Times New Roman" w:hAnsi="Times New Roman" w:cs="Times New Roman"/>
          <w:lang w:val="ro-RO"/>
        </w:rPr>
        <w:t>IA</w:t>
      </w:r>
      <w:r w:rsidRPr="00A73566">
        <w:rPr>
          <w:rFonts w:ascii="Times New Roman" w:hAnsi="Times New Roman" w:cs="Times New Roman"/>
          <w:lang w:val="ro-RO"/>
        </w:rPr>
        <w:t xml:space="preserve"> prin intermediul DAMEP și presupune colectarea și centralizarea indicatorilor de rezultat cât și de produs și presupune elaborarea Rapoartelor semestriale de progres. Evaluarea la acest nivel ca avea un caracter sumativ, având în vedere cadrul de programare </w:t>
      </w:r>
      <w:r w:rsidR="00644E9A" w:rsidRPr="00A73566">
        <w:rPr>
          <w:rFonts w:ascii="Times New Roman" w:hAnsi="Times New Roman" w:cs="Times New Roman"/>
          <w:lang w:val="ro-RO"/>
        </w:rPr>
        <w:t xml:space="preserve"> (</w:t>
      </w:r>
      <w:r w:rsidRPr="00A73566">
        <w:rPr>
          <w:rFonts w:ascii="Times New Roman" w:hAnsi="Times New Roman" w:cs="Times New Roman"/>
          <w:lang w:val="ro-RO"/>
        </w:rPr>
        <w:t xml:space="preserve"> 4 ani ) și va fi realizată la finele implementării Programelor, cu scopul totalizării rezultatelor și formularea recomandărilor pentru următoare perioadă de programare.</w:t>
      </w:r>
    </w:p>
    <w:p w14:paraId="4B4DF4A9" w14:textId="77777777" w:rsidR="00B23BE2" w:rsidRPr="00A73566" w:rsidRDefault="00B23BE2" w:rsidP="00B23BE2">
      <w:pPr>
        <w:rPr>
          <w:rFonts w:ascii="Times New Roman" w:hAnsi="Times New Roman" w:cs="Times New Roman"/>
          <w:lang w:val="ro-RO"/>
        </w:rPr>
      </w:pPr>
      <w:r w:rsidRPr="00A73566">
        <w:rPr>
          <w:rFonts w:ascii="Times New Roman" w:hAnsi="Times New Roman" w:cs="Times New Roman"/>
          <w:lang w:val="ro-RO"/>
        </w:rPr>
        <w:t>În eventualitatea extinderii domeniilor de intervenție sau integrării unor abordări diferite, evaluarea va fi desfășurate anterior elaborării politicii publice ( evaluarea ex-ante), pentru a fundamenta scenariul optim ales pentru implementare.</w:t>
      </w:r>
    </w:p>
    <w:p w14:paraId="08AFE624" w14:textId="77777777" w:rsidR="00B23BE2" w:rsidRPr="00A73566" w:rsidRDefault="00B23BE2" w:rsidP="0082182E">
      <w:pPr>
        <w:ind w:firstLine="567"/>
        <w:rPr>
          <w:rFonts w:ascii="Times New Roman" w:hAnsi="Times New Roman" w:cs="Times New Roman"/>
          <w:lang w:val="ro-RO"/>
        </w:rPr>
      </w:pPr>
      <w:r w:rsidRPr="00A73566">
        <w:rPr>
          <w:rFonts w:ascii="Times New Roman" w:hAnsi="Times New Roman" w:cs="Times New Roman"/>
          <w:b/>
          <w:bCs/>
          <w:lang w:val="ro-RO"/>
        </w:rPr>
        <w:t>Cel de-al treilea nivel</w:t>
      </w:r>
      <w:r w:rsidRPr="00A73566">
        <w:rPr>
          <w:rFonts w:ascii="Times New Roman" w:hAnsi="Times New Roman" w:cs="Times New Roman"/>
          <w:lang w:val="ro-RO"/>
        </w:rPr>
        <w:t xml:space="preserve"> de monitorizare și evaluare vizează proiectele finanțate din FNDAR. Monitorizarea la acest nivel este asigurată de AIPA și vizează centralizarea indicatorilor de produs și rezultat aferenți fiecărui Program Sectorial și este desfășurată cu o periodicitate trimestrială, în conformitate cu metodologia de monitorizare și evaluare avizată de Minister. </w:t>
      </w:r>
    </w:p>
    <w:p w14:paraId="45B67A22" w14:textId="458AA168" w:rsidR="00401C15" w:rsidRPr="00A73566" w:rsidRDefault="00B23BE2" w:rsidP="0082182E">
      <w:pPr>
        <w:ind w:firstLine="567"/>
        <w:rPr>
          <w:rFonts w:ascii="Times New Roman" w:hAnsi="Times New Roman" w:cs="Times New Roman"/>
          <w:lang w:val="ro-RO"/>
        </w:rPr>
      </w:pPr>
      <w:r w:rsidRPr="00A73566">
        <w:rPr>
          <w:rFonts w:ascii="Times New Roman" w:hAnsi="Times New Roman" w:cs="Times New Roman"/>
          <w:lang w:val="ro-RO"/>
        </w:rPr>
        <w:t>Evaluarea pe de altă parte va surprinde aspecte ce țin de principalele dimensiuni de evaluare( Relevanță, Eficiență, Eficacitate, Impact, Sustenabilitate precum și aspectele transversale ale Strategiei cum ar fi reziliența climaterică, egalitatea de gen și abilitarea economică a femeilor ) și va fi asigurată de AIPA în baza unui eșantion de proiecte relevante finanțate din FNDAR.</w:t>
      </w:r>
      <w:r w:rsidR="001E2316" w:rsidRPr="00A73566">
        <w:rPr>
          <w:rFonts w:ascii="Times New Roman" w:hAnsi="Times New Roman" w:cs="Times New Roman"/>
          <w:lang w:val="ro-RO"/>
        </w:rPr>
        <w:t xml:space="preserve"> </w:t>
      </w:r>
      <w:r w:rsidRPr="00A73566">
        <w:rPr>
          <w:rFonts w:ascii="Times New Roman" w:hAnsi="Times New Roman" w:cs="Times New Roman"/>
          <w:lang w:val="ro-RO"/>
        </w:rPr>
        <w:t xml:space="preserve">Atât Rapoartele de progres cât și cele de evaluare vor fi consultate public și vor fi plasate pe paginile oficiale ale instituțiilor. </w:t>
      </w:r>
    </w:p>
    <w:p w14:paraId="725EFCBA" w14:textId="77777777" w:rsidR="005A2A2D" w:rsidRDefault="005A2A2D" w:rsidP="00401C15">
      <w:pPr>
        <w:rPr>
          <w:rFonts w:ascii="Times New Roman" w:hAnsi="Times New Roman" w:cs="Times New Roman"/>
          <w:color w:val="000000" w:themeColor="text1"/>
          <w:sz w:val="24"/>
          <w:szCs w:val="24"/>
          <w:lang w:val="ro-RO"/>
        </w:rPr>
      </w:pPr>
    </w:p>
    <w:p w14:paraId="63B091BB" w14:textId="77777777" w:rsidR="003E5B33" w:rsidRDefault="003E5B33" w:rsidP="00401C15">
      <w:pPr>
        <w:rPr>
          <w:rFonts w:ascii="Times New Roman" w:hAnsi="Times New Roman" w:cs="Times New Roman"/>
          <w:color w:val="000000" w:themeColor="text1"/>
          <w:sz w:val="24"/>
          <w:szCs w:val="24"/>
          <w:lang w:val="ro-RO"/>
        </w:rPr>
      </w:pPr>
    </w:p>
    <w:p w14:paraId="07D39EE9" w14:textId="77777777" w:rsidR="003E5B33" w:rsidRDefault="003E5B33" w:rsidP="00401C15">
      <w:pPr>
        <w:rPr>
          <w:rFonts w:ascii="Times New Roman" w:hAnsi="Times New Roman" w:cs="Times New Roman"/>
          <w:color w:val="000000" w:themeColor="text1"/>
          <w:sz w:val="24"/>
          <w:szCs w:val="24"/>
          <w:lang w:val="ro-RO"/>
        </w:rPr>
      </w:pPr>
    </w:p>
    <w:p w14:paraId="5C83FA4E" w14:textId="77777777" w:rsidR="003E5B33" w:rsidRDefault="003E5B33" w:rsidP="00401C15">
      <w:pPr>
        <w:rPr>
          <w:rFonts w:ascii="Times New Roman" w:hAnsi="Times New Roman" w:cs="Times New Roman"/>
          <w:color w:val="000000" w:themeColor="text1"/>
          <w:sz w:val="24"/>
          <w:szCs w:val="24"/>
          <w:lang w:val="ro-RO"/>
        </w:rPr>
      </w:pPr>
    </w:p>
    <w:p w14:paraId="4E265BE0" w14:textId="77777777" w:rsidR="003E5B33" w:rsidRDefault="003E5B33" w:rsidP="00401C15">
      <w:pPr>
        <w:rPr>
          <w:rFonts w:ascii="Times New Roman" w:hAnsi="Times New Roman" w:cs="Times New Roman"/>
          <w:color w:val="000000" w:themeColor="text1"/>
          <w:sz w:val="24"/>
          <w:szCs w:val="24"/>
          <w:lang w:val="ro-RO"/>
        </w:rPr>
      </w:pPr>
    </w:p>
    <w:p w14:paraId="309F7C8A" w14:textId="77777777" w:rsidR="003E5B33" w:rsidRDefault="003E5B33" w:rsidP="00401C15">
      <w:pPr>
        <w:rPr>
          <w:rFonts w:ascii="Times New Roman" w:hAnsi="Times New Roman" w:cs="Times New Roman"/>
          <w:color w:val="000000" w:themeColor="text1"/>
          <w:sz w:val="24"/>
          <w:szCs w:val="24"/>
          <w:lang w:val="ro-RO"/>
        </w:rPr>
      </w:pPr>
    </w:p>
    <w:p w14:paraId="71797DA4" w14:textId="77777777" w:rsidR="003E5B33" w:rsidRDefault="003E5B33" w:rsidP="00401C15">
      <w:pPr>
        <w:rPr>
          <w:rFonts w:ascii="Times New Roman" w:hAnsi="Times New Roman" w:cs="Times New Roman"/>
          <w:color w:val="000000" w:themeColor="text1"/>
          <w:sz w:val="24"/>
          <w:szCs w:val="24"/>
          <w:lang w:val="ro-RO"/>
        </w:rPr>
      </w:pPr>
    </w:p>
    <w:p w14:paraId="5CD5EFAB" w14:textId="77777777" w:rsidR="003E5B33" w:rsidRDefault="003E5B33" w:rsidP="00401C15">
      <w:pPr>
        <w:rPr>
          <w:rFonts w:ascii="Times New Roman" w:hAnsi="Times New Roman" w:cs="Times New Roman"/>
          <w:color w:val="000000" w:themeColor="text1"/>
          <w:sz w:val="24"/>
          <w:szCs w:val="24"/>
          <w:lang w:val="ro-RO"/>
        </w:rPr>
      </w:pPr>
    </w:p>
    <w:p w14:paraId="16584CF7" w14:textId="77777777" w:rsidR="003E5B33" w:rsidRDefault="003E5B33" w:rsidP="00401C15">
      <w:pPr>
        <w:rPr>
          <w:rFonts w:ascii="Times New Roman" w:hAnsi="Times New Roman" w:cs="Times New Roman"/>
          <w:color w:val="000000" w:themeColor="text1"/>
          <w:sz w:val="24"/>
          <w:szCs w:val="24"/>
          <w:lang w:val="ro-RO"/>
        </w:rPr>
      </w:pPr>
    </w:p>
    <w:p w14:paraId="548D4B0A" w14:textId="77777777" w:rsidR="003E5B33" w:rsidRDefault="003E5B33" w:rsidP="00401C15">
      <w:pPr>
        <w:rPr>
          <w:rFonts w:ascii="Times New Roman" w:hAnsi="Times New Roman" w:cs="Times New Roman"/>
          <w:color w:val="000000" w:themeColor="text1"/>
          <w:sz w:val="24"/>
          <w:szCs w:val="24"/>
          <w:lang w:val="ro-RO"/>
        </w:rPr>
      </w:pPr>
    </w:p>
    <w:p w14:paraId="4B849806" w14:textId="77777777" w:rsidR="003E5B33" w:rsidRDefault="003E5B33" w:rsidP="00401C15">
      <w:pPr>
        <w:rPr>
          <w:rFonts w:ascii="Times New Roman" w:hAnsi="Times New Roman" w:cs="Times New Roman"/>
          <w:color w:val="000000" w:themeColor="text1"/>
          <w:sz w:val="24"/>
          <w:szCs w:val="24"/>
          <w:lang w:val="ro-RO"/>
        </w:rPr>
      </w:pPr>
    </w:p>
    <w:p w14:paraId="38C8EC68" w14:textId="77777777" w:rsidR="003E5B33" w:rsidRDefault="003E5B33" w:rsidP="00401C15">
      <w:pPr>
        <w:rPr>
          <w:rFonts w:ascii="Times New Roman" w:hAnsi="Times New Roman" w:cs="Times New Roman"/>
          <w:color w:val="000000" w:themeColor="text1"/>
          <w:sz w:val="24"/>
          <w:szCs w:val="24"/>
          <w:lang w:val="ro-RO"/>
        </w:rPr>
      </w:pPr>
    </w:p>
    <w:p w14:paraId="0F221D89" w14:textId="77777777" w:rsidR="003E5B33" w:rsidRDefault="003E5B33" w:rsidP="00401C15">
      <w:pPr>
        <w:rPr>
          <w:rFonts w:ascii="Times New Roman" w:hAnsi="Times New Roman" w:cs="Times New Roman"/>
          <w:color w:val="000000" w:themeColor="text1"/>
          <w:sz w:val="24"/>
          <w:szCs w:val="24"/>
          <w:lang w:val="ro-RO"/>
        </w:rPr>
      </w:pPr>
    </w:p>
    <w:p w14:paraId="2AD3DCC0" w14:textId="77777777" w:rsidR="003E5B33" w:rsidRDefault="003E5B33" w:rsidP="00401C15">
      <w:pPr>
        <w:rPr>
          <w:rFonts w:ascii="Times New Roman" w:hAnsi="Times New Roman" w:cs="Times New Roman"/>
          <w:color w:val="000000" w:themeColor="text1"/>
          <w:sz w:val="24"/>
          <w:szCs w:val="24"/>
          <w:lang w:val="ro-RO"/>
        </w:rPr>
      </w:pPr>
    </w:p>
    <w:p w14:paraId="1CC86C45" w14:textId="77777777" w:rsidR="003E5B33" w:rsidRDefault="003E5B33" w:rsidP="00401C15">
      <w:pPr>
        <w:rPr>
          <w:rFonts w:ascii="Times New Roman" w:hAnsi="Times New Roman" w:cs="Times New Roman"/>
          <w:color w:val="000000" w:themeColor="text1"/>
          <w:sz w:val="24"/>
          <w:szCs w:val="24"/>
          <w:lang w:val="ro-RO"/>
        </w:rPr>
      </w:pPr>
    </w:p>
    <w:p w14:paraId="4FEE6796" w14:textId="77777777" w:rsidR="003E5B33" w:rsidRDefault="003E5B33" w:rsidP="00401C15">
      <w:pPr>
        <w:rPr>
          <w:rFonts w:ascii="Times New Roman" w:hAnsi="Times New Roman" w:cs="Times New Roman"/>
          <w:color w:val="000000" w:themeColor="text1"/>
          <w:sz w:val="24"/>
          <w:szCs w:val="24"/>
          <w:lang w:val="ro-RO"/>
        </w:rPr>
      </w:pPr>
    </w:p>
    <w:p w14:paraId="0808BB24" w14:textId="77777777" w:rsidR="003E5B33" w:rsidRDefault="003E5B33" w:rsidP="00401C15">
      <w:pPr>
        <w:rPr>
          <w:rFonts w:ascii="Times New Roman" w:hAnsi="Times New Roman" w:cs="Times New Roman"/>
          <w:color w:val="000000" w:themeColor="text1"/>
          <w:sz w:val="24"/>
          <w:szCs w:val="24"/>
          <w:lang w:val="ro-RO"/>
        </w:rPr>
      </w:pPr>
    </w:p>
    <w:p w14:paraId="51FFF8CB" w14:textId="77777777" w:rsidR="003E5B33" w:rsidRDefault="003E5B33" w:rsidP="00401C15">
      <w:pPr>
        <w:rPr>
          <w:rFonts w:ascii="Times New Roman" w:hAnsi="Times New Roman" w:cs="Times New Roman"/>
          <w:color w:val="000000" w:themeColor="text1"/>
          <w:sz w:val="24"/>
          <w:szCs w:val="24"/>
          <w:lang w:val="ro-RO"/>
        </w:rPr>
      </w:pPr>
    </w:p>
    <w:p w14:paraId="63F85DBC" w14:textId="77777777" w:rsidR="003E5B33" w:rsidRDefault="003E5B33" w:rsidP="00401C15">
      <w:pPr>
        <w:rPr>
          <w:rFonts w:ascii="Times New Roman" w:hAnsi="Times New Roman" w:cs="Times New Roman"/>
          <w:color w:val="000000" w:themeColor="text1"/>
          <w:sz w:val="24"/>
          <w:szCs w:val="24"/>
          <w:lang w:val="ro-RO"/>
        </w:rPr>
      </w:pPr>
    </w:p>
    <w:p w14:paraId="4A30D4E8" w14:textId="77777777" w:rsidR="003E5B33" w:rsidRDefault="003E5B33" w:rsidP="00401C15">
      <w:pPr>
        <w:rPr>
          <w:rFonts w:ascii="Times New Roman" w:hAnsi="Times New Roman" w:cs="Times New Roman"/>
          <w:color w:val="000000" w:themeColor="text1"/>
          <w:sz w:val="24"/>
          <w:szCs w:val="24"/>
          <w:lang w:val="ro-RO"/>
        </w:rPr>
      </w:pPr>
    </w:p>
    <w:p w14:paraId="4E64996E" w14:textId="77777777" w:rsidR="003E5B33" w:rsidRDefault="003E5B33" w:rsidP="00401C15">
      <w:pPr>
        <w:rPr>
          <w:rFonts w:ascii="Times New Roman" w:hAnsi="Times New Roman" w:cs="Times New Roman"/>
          <w:color w:val="000000" w:themeColor="text1"/>
          <w:sz w:val="24"/>
          <w:szCs w:val="24"/>
          <w:lang w:val="ro-RO"/>
        </w:rPr>
      </w:pPr>
    </w:p>
    <w:p w14:paraId="045EDFF0" w14:textId="77777777" w:rsidR="003E5B33" w:rsidRDefault="003E5B33" w:rsidP="00401C15">
      <w:pPr>
        <w:rPr>
          <w:rFonts w:ascii="Times New Roman" w:hAnsi="Times New Roman" w:cs="Times New Roman"/>
          <w:color w:val="000000" w:themeColor="text1"/>
          <w:sz w:val="24"/>
          <w:szCs w:val="24"/>
          <w:lang w:val="ro-RO"/>
        </w:rPr>
      </w:pPr>
    </w:p>
    <w:p w14:paraId="46C1BEE6" w14:textId="77777777" w:rsidR="003E5B33" w:rsidRDefault="003E5B33" w:rsidP="00401C15">
      <w:pPr>
        <w:rPr>
          <w:rFonts w:ascii="Times New Roman" w:hAnsi="Times New Roman" w:cs="Times New Roman"/>
          <w:color w:val="000000" w:themeColor="text1"/>
          <w:sz w:val="24"/>
          <w:szCs w:val="24"/>
          <w:lang w:val="ro-RO"/>
        </w:rPr>
      </w:pPr>
    </w:p>
    <w:p w14:paraId="19507E8F" w14:textId="77777777" w:rsidR="003E5B33" w:rsidRDefault="003E5B33" w:rsidP="00401C15">
      <w:pPr>
        <w:rPr>
          <w:rFonts w:ascii="Times New Roman" w:hAnsi="Times New Roman" w:cs="Times New Roman"/>
          <w:color w:val="000000" w:themeColor="text1"/>
          <w:sz w:val="24"/>
          <w:szCs w:val="24"/>
          <w:lang w:val="ro-RO"/>
        </w:rPr>
      </w:pPr>
    </w:p>
    <w:p w14:paraId="580CE3C9" w14:textId="77777777" w:rsidR="003E5B33" w:rsidRPr="00A73566" w:rsidRDefault="003E5B33" w:rsidP="00401C15">
      <w:pPr>
        <w:rPr>
          <w:rFonts w:ascii="Times New Roman" w:hAnsi="Times New Roman" w:cs="Times New Roman"/>
          <w:color w:val="000000" w:themeColor="text1"/>
          <w:sz w:val="24"/>
          <w:szCs w:val="24"/>
          <w:lang w:val="ro-RO"/>
        </w:rPr>
      </w:pPr>
    </w:p>
    <w:p w14:paraId="0EFDD416" w14:textId="77777777" w:rsidR="001E2316" w:rsidRPr="00A73566" w:rsidRDefault="001E2316" w:rsidP="001E2316">
      <w:pPr>
        <w:pStyle w:val="Heading1"/>
        <w:rPr>
          <w:rFonts w:ascii="Times New Roman" w:hAnsi="Times New Roman" w:cs="Times New Roman"/>
          <w:lang w:val="ro-RO"/>
        </w:rPr>
      </w:pPr>
      <w:bookmarkStart w:id="140" w:name="_Toc86496367"/>
      <w:bookmarkStart w:id="141" w:name="_Toc88132130"/>
      <w:r w:rsidRPr="00A73566">
        <w:rPr>
          <w:rFonts w:ascii="Times New Roman" w:hAnsi="Times New Roman" w:cs="Times New Roman"/>
          <w:lang w:val="ro-RO"/>
        </w:rPr>
        <w:t>Anexe</w:t>
      </w:r>
      <w:bookmarkEnd w:id="140"/>
      <w:bookmarkEnd w:id="141"/>
    </w:p>
    <w:p w14:paraId="26A9237E" w14:textId="03EDAC6B" w:rsidR="001E2316" w:rsidRPr="0082182E" w:rsidRDefault="001E2316" w:rsidP="001E2316">
      <w:pP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 xml:space="preserve">9.1 </w:t>
      </w:r>
      <w:bookmarkStart w:id="142" w:name="_Hlk87514476"/>
      <w:r w:rsidRPr="0082182E">
        <w:rPr>
          <w:rFonts w:ascii="Times New Roman" w:hAnsi="Times New Roman" w:cs="Times New Roman"/>
          <w:b/>
          <w:bCs/>
          <w:sz w:val="18"/>
          <w:szCs w:val="18"/>
          <w:lang w:val="ro-RO"/>
        </w:rPr>
        <w:t>CORESPONDENȚA OBIECTIVELOR GENERALE SNDAR CU PAC</w:t>
      </w:r>
      <w:bookmarkEnd w:id="142"/>
    </w:p>
    <w:tbl>
      <w:tblPr>
        <w:tblStyle w:val="TableGrid"/>
        <w:tblW w:w="0" w:type="auto"/>
        <w:tblLook w:val="04A0" w:firstRow="1" w:lastRow="0" w:firstColumn="1" w:lastColumn="0" w:noHBand="0" w:noVBand="1"/>
      </w:tblPr>
      <w:tblGrid>
        <w:gridCol w:w="2358"/>
        <w:gridCol w:w="2359"/>
        <w:gridCol w:w="2359"/>
        <w:gridCol w:w="2359"/>
      </w:tblGrid>
      <w:tr w:rsidR="001E2316" w:rsidRPr="0082182E" w14:paraId="1B9F77E2" w14:textId="77777777" w:rsidTr="000006B3">
        <w:tc>
          <w:tcPr>
            <w:tcW w:w="2358" w:type="dxa"/>
            <w:vMerge w:val="restart"/>
            <w:shd w:val="clear" w:color="auto" w:fill="1E505E" w:themeFill="background2" w:themeFillShade="80"/>
            <w:vAlign w:val="center"/>
          </w:tcPr>
          <w:p w14:paraId="41C35970" w14:textId="77777777" w:rsidR="001E2316" w:rsidRPr="0082182E" w:rsidRDefault="001E2316" w:rsidP="000006B3">
            <w:pPr>
              <w:jc w:val="center"/>
              <w:rPr>
                <w:rFonts w:ascii="Times New Roman" w:hAnsi="Times New Roman" w:cs="Times New Roman"/>
                <w:b/>
                <w:bCs/>
                <w:sz w:val="18"/>
                <w:szCs w:val="18"/>
                <w:lang w:val="ro-RO"/>
              </w:rPr>
            </w:pPr>
            <w:r w:rsidRPr="0082182E">
              <w:rPr>
                <w:rFonts w:ascii="Times New Roman" w:hAnsi="Times New Roman" w:cs="Times New Roman"/>
                <w:b/>
                <w:bCs/>
                <w:color w:val="FFFFFF" w:themeColor="background1"/>
                <w:sz w:val="18"/>
                <w:szCs w:val="18"/>
                <w:lang w:val="ro-RO"/>
              </w:rPr>
              <w:t>Obiectivele generale ale SNDAR 2022 - 2027</w:t>
            </w:r>
          </w:p>
        </w:tc>
        <w:tc>
          <w:tcPr>
            <w:tcW w:w="7077" w:type="dxa"/>
            <w:gridSpan w:val="3"/>
            <w:shd w:val="clear" w:color="auto" w:fill="1E505E" w:themeFill="background2" w:themeFillShade="80"/>
            <w:vAlign w:val="center"/>
          </w:tcPr>
          <w:p w14:paraId="7E4AEE28" w14:textId="33ADA825" w:rsidR="00E313DD" w:rsidRPr="0082182E" w:rsidRDefault="001E2316" w:rsidP="000006B3">
            <w:pPr>
              <w:jc w:val="center"/>
              <w:rPr>
                <w:rFonts w:ascii="Times New Roman" w:hAnsi="Times New Roman" w:cs="Times New Roman"/>
                <w:b/>
                <w:bCs/>
                <w:color w:val="FFFFFF" w:themeColor="background1"/>
                <w:sz w:val="18"/>
                <w:szCs w:val="18"/>
                <w:lang w:val="ro-RO"/>
              </w:rPr>
            </w:pPr>
            <w:r w:rsidRPr="0082182E">
              <w:rPr>
                <w:rFonts w:ascii="Times New Roman" w:hAnsi="Times New Roman" w:cs="Times New Roman"/>
                <w:b/>
                <w:bCs/>
                <w:color w:val="FFFFFF" w:themeColor="background1"/>
                <w:sz w:val="18"/>
                <w:szCs w:val="18"/>
                <w:lang w:val="ro-RO"/>
              </w:rPr>
              <w:t>Obiectivele Generale la PAC</w:t>
            </w:r>
            <w:r w:rsidR="00E313DD" w:rsidRPr="0082182E">
              <w:rPr>
                <w:rStyle w:val="EndnoteReference"/>
                <w:rFonts w:ascii="Times New Roman" w:hAnsi="Times New Roman" w:cs="Times New Roman"/>
                <w:b/>
                <w:bCs/>
                <w:color w:val="FFFFFF" w:themeColor="background1"/>
                <w:sz w:val="18"/>
                <w:szCs w:val="18"/>
                <w:lang w:val="ro-RO"/>
              </w:rPr>
              <w:endnoteReference w:id="4"/>
            </w:r>
          </w:p>
        </w:tc>
      </w:tr>
      <w:tr w:rsidR="001E2316" w:rsidRPr="0082182E" w14:paraId="04E4E8A5" w14:textId="77777777" w:rsidTr="000006B3">
        <w:tc>
          <w:tcPr>
            <w:tcW w:w="2358" w:type="dxa"/>
            <w:vMerge/>
            <w:shd w:val="clear" w:color="auto" w:fill="1E505E" w:themeFill="background2" w:themeFillShade="80"/>
          </w:tcPr>
          <w:p w14:paraId="4FC6DC9C" w14:textId="77777777" w:rsidR="001E2316" w:rsidRPr="0082182E" w:rsidRDefault="001E2316" w:rsidP="000006B3">
            <w:pPr>
              <w:rPr>
                <w:rFonts w:ascii="Times New Roman" w:hAnsi="Times New Roman" w:cs="Times New Roman"/>
                <w:sz w:val="18"/>
                <w:szCs w:val="18"/>
                <w:lang w:val="ro-RO"/>
              </w:rPr>
            </w:pPr>
          </w:p>
        </w:tc>
        <w:tc>
          <w:tcPr>
            <w:tcW w:w="2359" w:type="dxa"/>
          </w:tcPr>
          <w:p w14:paraId="1B0A3FC4"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(1) Promovarea unui sector agricol inteligent, rezilient și diversificat care garantează securitatea alimentară</w:t>
            </w:r>
          </w:p>
        </w:tc>
        <w:tc>
          <w:tcPr>
            <w:tcW w:w="2359" w:type="dxa"/>
          </w:tcPr>
          <w:p w14:paraId="733CF5AD"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(2) Stimularea îngrijirii mediului și a combaterii schimbărilor climatice și contribuția la îndeplinirea obiectivelor Uniunii legate de mediu și climă</w:t>
            </w:r>
          </w:p>
        </w:tc>
        <w:tc>
          <w:tcPr>
            <w:tcW w:w="2359" w:type="dxa"/>
          </w:tcPr>
          <w:p w14:paraId="04A9E5E3"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(3) Consolidarea structurii socioeconomice a zonelor rurale</w:t>
            </w:r>
          </w:p>
        </w:tc>
      </w:tr>
      <w:tr w:rsidR="001E2316" w:rsidRPr="0082182E" w14:paraId="638D8C7E" w14:textId="77777777" w:rsidTr="000006B3">
        <w:tc>
          <w:tcPr>
            <w:tcW w:w="2358" w:type="dxa"/>
          </w:tcPr>
          <w:p w14:paraId="5CBDB7BD" w14:textId="77777777" w:rsidR="001E2316" w:rsidRPr="0082182E" w:rsidRDefault="001E2316" w:rsidP="000006B3">
            <w:pPr>
              <w:rPr>
                <w:rFonts w:ascii="Times New Roman" w:hAnsi="Times New Roman" w:cs="Times New Roman"/>
                <w:sz w:val="18"/>
                <w:szCs w:val="18"/>
                <w:lang w:val="ro-RO"/>
              </w:rPr>
            </w:pPr>
            <w:r w:rsidRPr="0082182E">
              <w:rPr>
                <w:rFonts w:ascii="Times New Roman" w:hAnsi="Times New Roman" w:cs="Times New Roman"/>
                <w:sz w:val="18"/>
                <w:szCs w:val="18"/>
                <w:lang w:val="ro-RO"/>
              </w:rPr>
              <w:t>OG1. Consolidarea potențialului sectorului agricol rezilient la schimbările climatice</w:t>
            </w:r>
          </w:p>
        </w:tc>
        <w:tc>
          <w:tcPr>
            <w:tcW w:w="2359" w:type="dxa"/>
            <w:vAlign w:val="center"/>
          </w:tcPr>
          <w:p w14:paraId="753EB788" w14:textId="77777777" w:rsidR="001E2316" w:rsidRPr="0082182E" w:rsidRDefault="001E2316" w:rsidP="000006B3">
            <w:pPr>
              <w:jc w:val="center"/>
              <w:rPr>
                <w:rFonts w:ascii="Times New Roman" w:hAnsi="Times New Roman" w:cs="Times New Roman"/>
                <w:sz w:val="18"/>
                <w:szCs w:val="18"/>
                <w:lang w:val="ro-RO"/>
              </w:rPr>
            </w:pPr>
          </w:p>
        </w:tc>
        <w:tc>
          <w:tcPr>
            <w:tcW w:w="2359" w:type="dxa"/>
            <w:vAlign w:val="center"/>
          </w:tcPr>
          <w:p w14:paraId="0213CF80"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2359" w:type="dxa"/>
            <w:vAlign w:val="center"/>
          </w:tcPr>
          <w:p w14:paraId="4D0C14FA" w14:textId="77777777" w:rsidR="001E2316" w:rsidRPr="0082182E" w:rsidRDefault="001E2316" w:rsidP="000006B3">
            <w:pPr>
              <w:jc w:val="center"/>
              <w:rPr>
                <w:rFonts w:ascii="Times New Roman" w:hAnsi="Times New Roman" w:cs="Times New Roman"/>
                <w:sz w:val="18"/>
                <w:szCs w:val="18"/>
                <w:lang w:val="ro-RO"/>
              </w:rPr>
            </w:pPr>
          </w:p>
        </w:tc>
      </w:tr>
      <w:tr w:rsidR="001E2316" w:rsidRPr="0082182E" w14:paraId="13D07AF2" w14:textId="77777777" w:rsidTr="000006B3">
        <w:tc>
          <w:tcPr>
            <w:tcW w:w="2358" w:type="dxa"/>
          </w:tcPr>
          <w:p w14:paraId="4853AE2A" w14:textId="77777777" w:rsidR="001E2316" w:rsidRPr="0082182E" w:rsidRDefault="001E2316" w:rsidP="000006B3">
            <w:pPr>
              <w:rPr>
                <w:rFonts w:ascii="Times New Roman" w:hAnsi="Times New Roman" w:cs="Times New Roman"/>
                <w:sz w:val="18"/>
                <w:szCs w:val="18"/>
                <w:lang w:val="ro-RO"/>
              </w:rPr>
            </w:pPr>
            <w:r w:rsidRPr="0082182E">
              <w:rPr>
                <w:rFonts w:ascii="Times New Roman" w:hAnsi="Times New Roman" w:cs="Times New Roman"/>
                <w:sz w:val="18"/>
                <w:szCs w:val="18"/>
                <w:lang w:val="ro-RO"/>
              </w:rPr>
              <w:t>OG2. Promovarea practicilor agricole inteligente, eficiente și durabile</w:t>
            </w:r>
          </w:p>
        </w:tc>
        <w:tc>
          <w:tcPr>
            <w:tcW w:w="2359" w:type="dxa"/>
            <w:vAlign w:val="center"/>
          </w:tcPr>
          <w:p w14:paraId="4D4D6CC8"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2359" w:type="dxa"/>
            <w:vAlign w:val="center"/>
          </w:tcPr>
          <w:p w14:paraId="2E53013C"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2359" w:type="dxa"/>
            <w:vAlign w:val="center"/>
          </w:tcPr>
          <w:p w14:paraId="416326B3" w14:textId="77777777" w:rsidR="001E2316" w:rsidRPr="0082182E" w:rsidRDefault="001E2316" w:rsidP="000006B3">
            <w:pPr>
              <w:jc w:val="center"/>
              <w:rPr>
                <w:rFonts w:ascii="Times New Roman" w:hAnsi="Times New Roman" w:cs="Times New Roman"/>
                <w:sz w:val="18"/>
                <w:szCs w:val="18"/>
                <w:lang w:val="ro-RO"/>
              </w:rPr>
            </w:pPr>
          </w:p>
        </w:tc>
      </w:tr>
      <w:tr w:rsidR="001E2316" w:rsidRPr="0082182E" w14:paraId="78E2FF6E" w14:textId="77777777" w:rsidTr="000006B3">
        <w:tc>
          <w:tcPr>
            <w:tcW w:w="2358" w:type="dxa"/>
          </w:tcPr>
          <w:p w14:paraId="40094831" w14:textId="77777777" w:rsidR="001E2316" w:rsidRPr="0082182E" w:rsidRDefault="001E2316" w:rsidP="000006B3">
            <w:pPr>
              <w:rPr>
                <w:rFonts w:ascii="Times New Roman" w:hAnsi="Times New Roman" w:cs="Times New Roman"/>
                <w:sz w:val="18"/>
                <w:szCs w:val="18"/>
                <w:lang w:val="ro-RO"/>
              </w:rPr>
            </w:pPr>
            <w:r w:rsidRPr="0082182E">
              <w:rPr>
                <w:rFonts w:ascii="Times New Roman" w:hAnsi="Times New Roman" w:cs="Times New Roman"/>
                <w:sz w:val="18"/>
                <w:szCs w:val="18"/>
                <w:lang w:val="ro-RO"/>
              </w:rPr>
              <w:t>OG3. Dezvoltarea pieței locale și sporirea potențialului de export</w:t>
            </w:r>
          </w:p>
        </w:tc>
        <w:tc>
          <w:tcPr>
            <w:tcW w:w="2359" w:type="dxa"/>
            <w:vAlign w:val="center"/>
          </w:tcPr>
          <w:p w14:paraId="3F235512"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2359" w:type="dxa"/>
            <w:vAlign w:val="center"/>
          </w:tcPr>
          <w:p w14:paraId="49836223" w14:textId="77777777" w:rsidR="001E2316" w:rsidRPr="0082182E" w:rsidRDefault="001E2316" w:rsidP="000006B3">
            <w:pPr>
              <w:jc w:val="center"/>
              <w:rPr>
                <w:rFonts w:ascii="Times New Roman" w:hAnsi="Times New Roman" w:cs="Times New Roman"/>
                <w:sz w:val="18"/>
                <w:szCs w:val="18"/>
                <w:lang w:val="ro-RO"/>
              </w:rPr>
            </w:pPr>
          </w:p>
        </w:tc>
        <w:tc>
          <w:tcPr>
            <w:tcW w:w="2359" w:type="dxa"/>
            <w:vAlign w:val="center"/>
          </w:tcPr>
          <w:p w14:paraId="5058C74F" w14:textId="77777777" w:rsidR="001E2316" w:rsidRPr="0082182E" w:rsidRDefault="001E2316" w:rsidP="000006B3">
            <w:pPr>
              <w:jc w:val="center"/>
              <w:rPr>
                <w:rFonts w:ascii="Times New Roman" w:hAnsi="Times New Roman" w:cs="Times New Roman"/>
                <w:sz w:val="18"/>
                <w:szCs w:val="18"/>
                <w:lang w:val="ro-RO"/>
              </w:rPr>
            </w:pPr>
          </w:p>
        </w:tc>
      </w:tr>
      <w:tr w:rsidR="001E2316" w:rsidRPr="0082182E" w14:paraId="35626361" w14:textId="77777777" w:rsidTr="000006B3">
        <w:tc>
          <w:tcPr>
            <w:tcW w:w="2358" w:type="dxa"/>
          </w:tcPr>
          <w:p w14:paraId="376E2815" w14:textId="77777777" w:rsidR="001E2316" w:rsidRPr="0082182E" w:rsidRDefault="001E2316" w:rsidP="000006B3">
            <w:pPr>
              <w:rPr>
                <w:rFonts w:ascii="Times New Roman" w:hAnsi="Times New Roman" w:cs="Times New Roman"/>
                <w:sz w:val="18"/>
                <w:szCs w:val="18"/>
                <w:lang w:val="ro-RO"/>
              </w:rPr>
            </w:pPr>
            <w:r w:rsidRPr="0082182E">
              <w:rPr>
                <w:rFonts w:ascii="Times New Roman" w:hAnsi="Times New Roman" w:cs="Times New Roman"/>
                <w:sz w:val="18"/>
                <w:szCs w:val="18"/>
                <w:lang w:val="ro-RO"/>
              </w:rPr>
              <w:t>OG4. Susținerea unei dezvoltări socioeconomice rurale sustenabile</w:t>
            </w:r>
          </w:p>
        </w:tc>
        <w:tc>
          <w:tcPr>
            <w:tcW w:w="2359" w:type="dxa"/>
            <w:vAlign w:val="center"/>
          </w:tcPr>
          <w:p w14:paraId="180470B1" w14:textId="77777777" w:rsidR="001E2316" w:rsidRPr="0082182E" w:rsidRDefault="001E2316" w:rsidP="000006B3">
            <w:pPr>
              <w:jc w:val="center"/>
              <w:rPr>
                <w:rFonts w:ascii="Times New Roman" w:hAnsi="Times New Roman" w:cs="Times New Roman"/>
                <w:sz w:val="18"/>
                <w:szCs w:val="18"/>
                <w:lang w:val="ro-RO"/>
              </w:rPr>
            </w:pPr>
          </w:p>
        </w:tc>
        <w:tc>
          <w:tcPr>
            <w:tcW w:w="2359" w:type="dxa"/>
            <w:vAlign w:val="center"/>
          </w:tcPr>
          <w:p w14:paraId="7D63FF94" w14:textId="77777777" w:rsidR="001E2316" w:rsidRPr="0082182E" w:rsidRDefault="001E2316" w:rsidP="000006B3">
            <w:pPr>
              <w:jc w:val="center"/>
              <w:rPr>
                <w:rFonts w:ascii="Times New Roman" w:hAnsi="Times New Roman" w:cs="Times New Roman"/>
                <w:sz w:val="18"/>
                <w:szCs w:val="18"/>
                <w:lang w:val="ro-RO"/>
              </w:rPr>
            </w:pPr>
          </w:p>
        </w:tc>
        <w:tc>
          <w:tcPr>
            <w:tcW w:w="2359" w:type="dxa"/>
            <w:vAlign w:val="center"/>
          </w:tcPr>
          <w:p w14:paraId="0050C356" w14:textId="77777777" w:rsidR="001E2316" w:rsidRPr="0082182E" w:rsidRDefault="001E2316" w:rsidP="000006B3">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r>
    </w:tbl>
    <w:p w14:paraId="19458727" w14:textId="77777777" w:rsidR="00E313DD" w:rsidRPr="00A73566" w:rsidRDefault="00E313DD" w:rsidP="00644E9A">
      <w:pPr>
        <w:rPr>
          <w:rFonts w:ascii="Times New Roman" w:hAnsi="Times New Roman" w:cs="Times New Roman"/>
          <w:b/>
          <w:bCs/>
          <w:sz w:val="24"/>
          <w:szCs w:val="24"/>
          <w:lang w:val="ro-RO"/>
        </w:rPr>
        <w:sectPr w:rsidR="00E313DD" w:rsidRPr="00A73566" w:rsidSect="002E19D6">
          <w:footerReference w:type="default" r:id="rId65"/>
          <w:pgSz w:w="11907" w:h="16839" w:code="9"/>
          <w:pgMar w:top="851" w:right="1440" w:bottom="1440" w:left="1022" w:header="706" w:footer="288" w:gutter="0"/>
          <w:cols w:space="708"/>
          <w:titlePg/>
          <w:docGrid w:linePitch="360"/>
        </w:sectPr>
      </w:pPr>
    </w:p>
    <w:p w14:paraId="6CD2DD41" w14:textId="3F4651C2" w:rsidR="001E0A0D" w:rsidRPr="0082182E" w:rsidRDefault="00644E9A" w:rsidP="001E0A0D">
      <w:pP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 xml:space="preserve">9.2 </w:t>
      </w:r>
      <w:r w:rsidR="001E0A0D" w:rsidRPr="0082182E">
        <w:rPr>
          <w:rFonts w:ascii="Times New Roman" w:hAnsi="Times New Roman" w:cs="Times New Roman"/>
          <w:b/>
          <w:bCs/>
          <w:sz w:val="18"/>
          <w:szCs w:val="18"/>
          <w:lang w:val="ro-RO"/>
        </w:rPr>
        <w:t xml:space="preserve">CORESPONDENȚA OBIECTIVELOR </w:t>
      </w:r>
      <w:r w:rsidR="0058206F" w:rsidRPr="0082182E">
        <w:rPr>
          <w:rFonts w:ascii="Times New Roman" w:hAnsi="Times New Roman" w:cs="Times New Roman"/>
          <w:b/>
          <w:bCs/>
          <w:sz w:val="18"/>
          <w:szCs w:val="18"/>
          <w:lang w:val="ro-RO"/>
        </w:rPr>
        <w:t xml:space="preserve">SPECIFICE </w:t>
      </w:r>
      <w:r w:rsidR="001E0A0D" w:rsidRPr="0082182E">
        <w:rPr>
          <w:rFonts w:ascii="Times New Roman" w:hAnsi="Times New Roman" w:cs="Times New Roman"/>
          <w:b/>
          <w:bCs/>
          <w:sz w:val="18"/>
          <w:szCs w:val="18"/>
          <w:lang w:val="ro-RO"/>
        </w:rPr>
        <w:t xml:space="preserve">SNDAR CU PAC: </w:t>
      </w:r>
    </w:p>
    <w:tbl>
      <w:tblPr>
        <w:tblStyle w:val="TableGrid"/>
        <w:tblW w:w="14892" w:type="dxa"/>
        <w:tblLook w:val="04A0" w:firstRow="1" w:lastRow="0" w:firstColumn="1" w:lastColumn="0" w:noHBand="0" w:noVBand="1"/>
      </w:tblPr>
      <w:tblGrid>
        <w:gridCol w:w="2939"/>
        <w:gridCol w:w="1167"/>
        <w:gridCol w:w="1428"/>
        <w:gridCol w:w="1317"/>
        <w:gridCol w:w="1303"/>
        <w:gridCol w:w="1178"/>
        <w:gridCol w:w="1344"/>
        <w:gridCol w:w="1357"/>
        <w:gridCol w:w="1613"/>
        <w:gridCol w:w="1246"/>
      </w:tblGrid>
      <w:tr w:rsidR="001E0A0D" w:rsidRPr="0082182E" w14:paraId="5F6D6711" w14:textId="77777777" w:rsidTr="00C8682F">
        <w:tc>
          <w:tcPr>
            <w:tcW w:w="3235" w:type="dxa"/>
            <w:vMerge w:val="restart"/>
            <w:vAlign w:val="center"/>
          </w:tcPr>
          <w:p w14:paraId="707EFA26" w14:textId="77777777" w:rsidR="001E0A0D" w:rsidRPr="0082182E" w:rsidRDefault="001E0A0D" w:rsidP="001E6192">
            <w:pPr>
              <w:jc w:val="cente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Corespondența Obiectivelor Specifice ale SNDAR cu Obiectivele Specifice ale PAC pentru perioada 2021-2027</w:t>
            </w:r>
          </w:p>
          <w:p w14:paraId="524F879A" w14:textId="77777777" w:rsidR="001E0A0D" w:rsidRPr="0082182E" w:rsidRDefault="001E0A0D" w:rsidP="001E6192">
            <w:pPr>
              <w:jc w:val="center"/>
              <w:rPr>
                <w:rFonts w:ascii="Times New Roman" w:hAnsi="Times New Roman" w:cs="Times New Roman"/>
                <w:b/>
                <w:bCs/>
                <w:sz w:val="18"/>
                <w:szCs w:val="18"/>
                <w:lang w:val="ro-RO"/>
              </w:rPr>
            </w:pPr>
          </w:p>
        </w:tc>
        <w:tc>
          <w:tcPr>
            <w:tcW w:w="11657" w:type="dxa"/>
            <w:gridSpan w:val="9"/>
          </w:tcPr>
          <w:p w14:paraId="50120C44" w14:textId="77777777" w:rsidR="001E0A0D" w:rsidRPr="0082182E" w:rsidRDefault="001E0A0D" w:rsidP="001E6192">
            <w:pPr>
              <w:jc w:val="center"/>
              <w:rPr>
                <w:rFonts w:ascii="Times New Roman" w:hAnsi="Times New Roman" w:cs="Times New Roman"/>
                <w:b/>
                <w:i/>
                <w:iCs/>
                <w:color w:val="000000" w:themeColor="text1"/>
                <w:sz w:val="18"/>
                <w:szCs w:val="18"/>
                <w:lang w:val="ro-RO"/>
              </w:rPr>
            </w:pPr>
            <w:r w:rsidRPr="0082182E">
              <w:rPr>
                <w:rFonts w:ascii="Times New Roman" w:hAnsi="Times New Roman" w:cs="Times New Roman"/>
                <w:b/>
                <w:i/>
                <w:iCs/>
                <w:color w:val="000000" w:themeColor="text1"/>
                <w:sz w:val="18"/>
                <w:szCs w:val="18"/>
                <w:lang w:val="ro-RO"/>
              </w:rPr>
              <w:t>Obiectivele Specifice ale PAC pentru perioada 2021-2027</w:t>
            </w:r>
            <w:r w:rsidRPr="0082182E">
              <w:rPr>
                <w:rStyle w:val="FootnoteReference"/>
                <w:rFonts w:ascii="Times New Roman" w:hAnsi="Times New Roman" w:cs="Times New Roman"/>
                <w:b/>
                <w:i/>
                <w:iCs/>
                <w:color w:val="000000" w:themeColor="text1"/>
                <w:sz w:val="18"/>
                <w:szCs w:val="18"/>
                <w:lang w:val="ro-RO"/>
              </w:rPr>
              <w:footnoteReference w:id="5"/>
            </w:r>
          </w:p>
        </w:tc>
      </w:tr>
      <w:tr w:rsidR="001E0A0D" w:rsidRPr="0082182E" w14:paraId="3D4608F2" w14:textId="77777777" w:rsidTr="00C8682F">
        <w:trPr>
          <w:trHeight w:val="3815"/>
        </w:trPr>
        <w:tc>
          <w:tcPr>
            <w:tcW w:w="3235" w:type="dxa"/>
            <w:vMerge/>
          </w:tcPr>
          <w:p w14:paraId="0317D344" w14:textId="77777777" w:rsidR="001E0A0D" w:rsidRPr="0082182E" w:rsidRDefault="001E0A0D" w:rsidP="001E6192">
            <w:pPr>
              <w:rPr>
                <w:rFonts w:ascii="Times New Roman" w:hAnsi="Times New Roman" w:cs="Times New Roman"/>
                <w:sz w:val="18"/>
                <w:szCs w:val="18"/>
                <w:lang w:val="ro-RO"/>
              </w:rPr>
            </w:pPr>
          </w:p>
        </w:tc>
        <w:tc>
          <w:tcPr>
            <w:tcW w:w="708" w:type="dxa"/>
          </w:tcPr>
          <w:p w14:paraId="4410943F" w14:textId="77777777" w:rsidR="001E0A0D" w:rsidRPr="0082182E" w:rsidRDefault="001E0A0D" w:rsidP="001E6192">
            <w:pPr>
              <w:jc w:val="center"/>
              <w:rPr>
                <w:rFonts w:ascii="Times New Roman" w:hAnsi="Times New Roman" w:cs="Times New Roman"/>
                <w:bCs/>
                <w:i/>
                <w:iCs/>
                <w:sz w:val="18"/>
                <w:szCs w:val="18"/>
                <w:lang w:val="ro-RO"/>
              </w:rPr>
            </w:pPr>
            <w:r w:rsidRPr="0082182E">
              <w:rPr>
                <w:rFonts w:ascii="Times New Roman" w:hAnsi="Times New Roman" w:cs="Times New Roman"/>
                <w:bCs/>
                <w:i/>
                <w:iCs/>
                <w:color w:val="000000" w:themeColor="text1"/>
                <w:sz w:val="18"/>
                <w:szCs w:val="18"/>
                <w:lang w:val="ro-RO"/>
              </w:rPr>
              <w:t>Sprijinirea veniturilor fiabile ale fermelor și a rezilienței în întreaga Uniune, în vederea îmbunătățirii securității alimentare</w:t>
            </w:r>
          </w:p>
        </w:tc>
        <w:tc>
          <w:tcPr>
            <w:tcW w:w="1443" w:type="dxa"/>
            <w:shd w:val="clear" w:color="auto" w:fill="FFFFFF" w:themeFill="background1"/>
          </w:tcPr>
          <w:p w14:paraId="4B1405BD" w14:textId="77777777" w:rsidR="001E0A0D" w:rsidRPr="0082182E" w:rsidRDefault="001E0A0D" w:rsidP="001E6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iCs/>
                <w:color w:val="000000" w:themeColor="text1"/>
                <w:sz w:val="18"/>
                <w:szCs w:val="18"/>
                <w:lang w:val="ro-RO"/>
              </w:rPr>
            </w:pPr>
            <w:r w:rsidRPr="0082182E">
              <w:rPr>
                <w:rFonts w:ascii="Times New Roman" w:hAnsi="Times New Roman" w:cs="Times New Roman"/>
                <w:bCs/>
                <w:i/>
                <w:iCs/>
                <w:color w:val="000000" w:themeColor="text1"/>
                <w:sz w:val="18"/>
                <w:szCs w:val="18"/>
                <w:lang w:val="ro-RO"/>
              </w:rPr>
              <w:t>Îmbunătățirea orientării spre piață și sporirea competitivității, inclusiv punerea unui accent mai puternic asupra cercetării, tehnologiei și digitalizării</w:t>
            </w:r>
          </w:p>
        </w:tc>
        <w:tc>
          <w:tcPr>
            <w:tcW w:w="1330" w:type="dxa"/>
            <w:shd w:val="clear" w:color="auto" w:fill="FFFFFF" w:themeFill="background1"/>
          </w:tcPr>
          <w:p w14:paraId="5A2CEDC3" w14:textId="77777777" w:rsidR="001E0A0D" w:rsidRPr="0082182E" w:rsidRDefault="001E0A0D" w:rsidP="001E6192">
            <w:pPr>
              <w:jc w:val="center"/>
              <w:rPr>
                <w:rFonts w:ascii="Times New Roman" w:hAnsi="Times New Roman" w:cs="Times New Roman"/>
                <w:bCs/>
                <w:i/>
                <w:iCs/>
                <w:sz w:val="18"/>
                <w:szCs w:val="18"/>
                <w:lang w:val="ro-RO"/>
              </w:rPr>
            </w:pPr>
            <w:r w:rsidRPr="0082182E">
              <w:rPr>
                <w:rFonts w:ascii="Times New Roman" w:hAnsi="Times New Roman" w:cs="Times New Roman"/>
                <w:bCs/>
                <w:i/>
                <w:iCs/>
                <w:color w:val="000000" w:themeColor="text1"/>
                <w:sz w:val="18"/>
                <w:szCs w:val="18"/>
                <w:lang w:val="ro-RO"/>
              </w:rPr>
              <w:t xml:space="preserve">Îmbunătățirea poziției fermierilor în cadrul lanțului valoric </w:t>
            </w:r>
          </w:p>
        </w:tc>
        <w:tc>
          <w:tcPr>
            <w:tcW w:w="1331" w:type="dxa"/>
            <w:shd w:val="clear" w:color="auto" w:fill="FFFFFF" w:themeFill="background1"/>
          </w:tcPr>
          <w:p w14:paraId="08AA4455" w14:textId="77777777" w:rsidR="001E0A0D" w:rsidRPr="0082182E" w:rsidRDefault="001E0A0D" w:rsidP="001E6192">
            <w:pPr>
              <w:jc w:val="center"/>
              <w:rPr>
                <w:rFonts w:ascii="Times New Roman" w:hAnsi="Times New Roman" w:cs="Times New Roman"/>
                <w:bCs/>
                <w:i/>
                <w:iCs/>
                <w:sz w:val="18"/>
                <w:szCs w:val="18"/>
                <w:lang w:val="ro-RO"/>
              </w:rPr>
            </w:pPr>
            <w:r w:rsidRPr="0082182E">
              <w:rPr>
                <w:rFonts w:ascii="Times New Roman" w:hAnsi="Times New Roman" w:cs="Times New Roman"/>
                <w:bCs/>
                <w:i/>
                <w:iCs/>
                <w:color w:val="000000" w:themeColor="text1"/>
                <w:sz w:val="18"/>
                <w:szCs w:val="18"/>
                <w:lang w:val="ro-RO"/>
              </w:rPr>
              <w:t>Contribuirea la energia sustenabilă, precum și la atenuarea schimbărilor climatice și la adaptarea la acestea</w:t>
            </w:r>
          </w:p>
        </w:tc>
        <w:tc>
          <w:tcPr>
            <w:tcW w:w="1190" w:type="dxa"/>
            <w:shd w:val="clear" w:color="auto" w:fill="FFFFFF" w:themeFill="background1"/>
          </w:tcPr>
          <w:p w14:paraId="070C3957" w14:textId="77777777" w:rsidR="001E0A0D" w:rsidRPr="0082182E" w:rsidRDefault="001E0A0D" w:rsidP="001E6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iCs/>
                <w:color w:val="000000" w:themeColor="text1"/>
                <w:sz w:val="18"/>
                <w:szCs w:val="18"/>
                <w:lang w:val="ro-RO"/>
              </w:rPr>
            </w:pPr>
            <w:r w:rsidRPr="0082182E">
              <w:rPr>
                <w:rFonts w:ascii="Times New Roman" w:hAnsi="Times New Roman" w:cs="Times New Roman"/>
                <w:bCs/>
                <w:i/>
                <w:iCs/>
                <w:color w:val="000000" w:themeColor="text1"/>
                <w:sz w:val="18"/>
                <w:szCs w:val="18"/>
                <w:lang w:val="ro-RO"/>
              </w:rPr>
              <w:t>Promovarea dezvoltării sustenabile și a gospodăririi eficiente a unor resurse naturale precum apa, solul și aerul</w:t>
            </w:r>
          </w:p>
        </w:tc>
        <w:tc>
          <w:tcPr>
            <w:tcW w:w="1358" w:type="dxa"/>
          </w:tcPr>
          <w:p w14:paraId="7B006484" w14:textId="77777777" w:rsidR="001E0A0D" w:rsidRPr="0082182E" w:rsidRDefault="001E0A0D" w:rsidP="001E6192">
            <w:pPr>
              <w:jc w:val="center"/>
              <w:rPr>
                <w:rFonts w:ascii="Times New Roman" w:hAnsi="Times New Roman" w:cs="Times New Roman"/>
                <w:bCs/>
                <w:i/>
                <w:iCs/>
                <w:color w:val="000000" w:themeColor="text1"/>
                <w:sz w:val="18"/>
                <w:szCs w:val="18"/>
                <w:lang w:val="ro-RO"/>
              </w:rPr>
            </w:pPr>
            <w:r w:rsidRPr="0082182E">
              <w:rPr>
                <w:rFonts w:ascii="Times New Roman" w:hAnsi="Times New Roman" w:cs="Times New Roman"/>
                <w:bCs/>
                <w:i/>
                <w:iCs/>
                <w:color w:val="000000" w:themeColor="text1"/>
                <w:sz w:val="18"/>
                <w:szCs w:val="18"/>
                <w:lang w:val="ro-RO"/>
              </w:rPr>
              <w:t>Contribuirea la protejarea biodiversității, îmbunătățirea serviciilor ecosistemice și conservarea habitatelor și a peisajelor</w:t>
            </w:r>
          </w:p>
        </w:tc>
        <w:tc>
          <w:tcPr>
            <w:tcW w:w="1357" w:type="dxa"/>
          </w:tcPr>
          <w:p w14:paraId="591D18B5" w14:textId="77777777" w:rsidR="001E0A0D" w:rsidRPr="0082182E" w:rsidRDefault="001E0A0D" w:rsidP="001E6192">
            <w:pPr>
              <w:jc w:val="center"/>
              <w:rPr>
                <w:rFonts w:ascii="Times New Roman" w:hAnsi="Times New Roman" w:cs="Times New Roman"/>
                <w:bCs/>
                <w:i/>
                <w:iCs/>
                <w:color w:val="000000" w:themeColor="text1"/>
                <w:sz w:val="18"/>
                <w:szCs w:val="18"/>
                <w:lang w:val="ro-RO"/>
              </w:rPr>
            </w:pPr>
            <w:r w:rsidRPr="0082182E">
              <w:rPr>
                <w:rFonts w:ascii="Times New Roman" w:hAnsi="Times New Roman" w:cs="Times New Roman"/>
                <w:bCs/>
                <w:i/>
                <w:iCs/>
                <w:color w:val="000000" w:themeColor="text1"/>
                <w:sz w:val="18"/>
                <w:szCs w:val="18"/>
                <w:lang w:val="ro-RO"/>
              </w:rPr>
              <w:t>Atragerea tinerilor fermieri și facilitarea dezvoltării întreprinderilor din zonele rurale</w:t>
            </w:r>
          </w:p>
        </w:tc>
        <w:tc>
          <w:tcPr>
            <w:tcW w:w="1694" w:type="dxa"/>
          </w:tcPr>
          <w:p w14:paraId="4C49C23A" w14:textId="77777777" w:rsidR="001E0A0D" w:rsidRPr="0082182E" w:rsidRDefault="001E0A0D" w:rsidP="001E6192">
            <w:pPr>
              <w:jc w:val="center"/>
              <w:rPr>
                <w:rFonts w:ascii="Times New Roman" w:hAnsi="Times New Roman" w:cs="Times New Roman"/>
                <w:bCs/>
                <w:i/>
                <w:iCs/>
                <w:color w:val="000000" w:themeColor="text1"/>
                <w:sz w:val="18"/>
                <w:szCs w:val="18"/>
                <w:lang w:val="ro-RO"/>
              </w:rPr>
            </w:pPr>
            <w:r w:rsidRPr="0082182E">
              <w:rPr>
                <w:rFonts w:ascii="Times New Roman" w:hAnsi="Times New Roman" w:cs="Times New Roman"/>
                <w:bCs/>
                <w:i/>
                <w:iCs/>
                <w:color w:val="000000" w:themeColor="text1"/>
                <w:sz w:val="18"/>
                <w:szCs w:val="18"/>
                <w:lang w:val="ro-RO"/>
              </w:rPr>
              <w:t>Promovarea ocupării forței de muncă, a creșterii economice, a incluziunii sociale și a dezvoltării locale în zonele rurale, inclusiv a bioeconomiei și a silviculturii sustenabile.</w:t>
            </w:r>
          </w:p>
        </w:tc>
        <w:tc>
          <w:tcPr>
            <w:tcW w:w="1246" w:type="dxa"/>
          </w:tcPr>
          <w:p w14:paraId="44AD092E" w14:textId="77777777" w:rsidR="001E0A0D" w:rsidRPr="0082182E" w:rsidRDefault="001E0A0D" w:rsidP="001E6192">
            <w:pPr>
              <w:jc w:val="center"/>
              <w:rPr>
                <w:rFonts w:ascii="Times New Roman" w:hAnsi="Times New Roman" w:cs="Times New Roman"/>
                <w:i/>
                <w:iCs/>
                <w:sz w:val="18"/>
                <w:szCs w:val="18"/>
                <w:lang w:val="ro-RO"/>
              </w:rPr>
            </w:pPr>
            <w:r w:rsidRPr="0082182E">
              <w:rPr>
                <w:rFonts w:ascii="Times New Roman" w:hAnsi="Times New Roman" w:cs="Times New Roman"/>
                <w:bCs/>
                <w:i/>
                <w:iCs/>
                <w:color w:val="000000" w:themeColor="text1"/>
                <w:sz w:val="18"/>
                <w:szCs w:val="18"/>
                <w:lang w:val="ro-RO"/>
              </w:rPr>
              <w:t>Îmbunătățirea răspunsului dat de agricultura UE exigențelor societale referitoare la hrană și la sănătate, inclusiv la alimentele sigure, hrănitoare și sustenabile, la deșeurile alimentare și la bunăstarea animalelor</w:t>
            </w:r>
          </w:p>
        </w:tc>
      </w:tr>
      <w:tr w:rsidR="001E0A0D" w:rsidRPr="0082182E" w14:paraId="0D6D37B6" w14:textId="77777777" w:rsidTr="001E6192">
        <w:tc>
          <w:tcPr>
            <w:tcW w:w="14892" w:type="dxa"/>
            <w:gridSpan w:val="10"/>
          </w:tcPr>
          <w:p w14:paraId="42D20095" w14:textId="77777777" w:rsidR="001E0A0D" w:rsidRPr="0082182E" w:rsidRDefault="001E0A0D" w:rsidP="001E6192">
            <w:pPr>
              <w:rPr>
                <w:rFonts w:ascii="Times New Roman" w:hAnsi="Times New Roman" w:cs="Times New Roman"/>
                <w:sz w:val="18"/>
                <w:szCs w:val="18"/>
                <w:lang w:val="ro-RO"/>
              </w:rPr>
            </w:pPr>
            <w:r w:rsidRPr="0082182E">
              <w:rPr>
                <w:rFonts w:ascii="Times New Roman" w:hAnsi="Times New Roman" w:cs="Times New Roman"/>
                <w:b/>
                <w:bCs/>
                <w:sz w:val="18"/>
                <w:szCs w:val="18"/>
                <w:lang w:val="ro-RO"/>
              </w:rPr>
              <w:t>OG1: Consolidarea potențialului sectorului agricol rezilient la schimbările climatice</w:t>
            </w:r>
          </w:p>
        </w:tc>
      </w:tr>
      <w:tr w:rsidR="001E0A0D" w:rsidRPr="0082182E" w14:paraId="09EDD698" w14:textId="77777777" w:rsidTr="00C8682F">
        <w:tc>
          <w:tcPr>
            <w:tcW w:w="3235" w:type="dxa"/>
          </w:tcPr>
          <w:p w14:paraId="31FF03F4"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1.1</w:t>
            </w:r>
            <w:r w:rsidRPr="0082182E">
              <w:rPr>
                <w:rFonts w:ascii="Times New Roman" w:hAnsi="Times New Roman" w:cs="Times New Roman"/>
                <w:i/>
                <w:iCs/>
                <w:sz w:val="18"/>
                <w:szCs w:val="18"/>
                <w:lang w:val="ro-RO"/>
              </w:rPr>
              <w:tab/>
              <w:t>Asigurarea calității și disponibilității inputurilor în agricultură</w:t>
            </w:r>
          </w:p>
        </w:tc>
        <w:tc>
          <w:tcPr>
            <w:tcW w:w="708" w:type="dxa"/>
          </w:tcPr>
          <w:p w14:paraId="1F478262" w14:textId="77777777" w:rsidR="001E0A0D" w:rsidRPr="0082182E" w:rsidRDefault="001E0A0D" w:rsidP="001E6192">
            <w:pPr>
              <w:rPr>
                <w:rFonts w:ascii="Times New Roman" w:hAnsi="Times New Roman" w:cs="Times New Roman"/>
                <w:sz w:val="18"/>
                <w:szCs w:val="18"/>
                <w:lang w:val="ro-RO"/>
              </w:rPr>
            </w:pPr>
          </w:p>
        </w:tc>
        <w:tc>
          <w:tcPr>
            <w:tcW w:w="1443" w:type="dxa"/>
          </w:tcPr>
          <w:p w14:paraId="15619BCE" w14:textId="77777777" w:rsidR="001E0A0D" w:rsidRPr="0082182E" w:rsidRDefault="001E0A0D" w:rsidP="001E6192">
            <w:pPr>
              <w:rPr>
                <w:rFonts w:ascii="Times New Roman" w:hAnsi="Times New Roman" w:cs="Times New Roman"/>
                <w:sz w:val="18"/>
                <w:szCs w:val="18"/>
                <w:lang w:val="ro-RO"/>
              </w:rPr>
            </w:pPr>
          </w:p>
        </w:tc>
        <w:tc>
          <w:tcPr>
            <w:tcW w:w="1330" w:type="dxa"/>
          </w:tcPr>
          <w:p w14:paraId="5CA2FC22" w14:textId="77777777" w:rsidR="001E0A0D" w:rsidRPr="0082182E" w:rsidRDefault="001E0A0D" w:rsidP="001E6192">
            <w:pPr>
              <w:rPr>
                <w:rFonts w:ascii="Times New Roman" w:hAnsi="Times New Roman" w:cs="Times New Roman"/>
                <w:sz w:val="18"/>
                <w:szCs w:val="18"/>
                <w:lang w:val="ro-RO"/>
              </w:rPr>
            </w:pPr>
          </w:p>
        </w:tc>
        <w:tc>
          <w:tcPr>
            <w:tcW w:w="1331" w:type="dxa"/>
          </w:tcPr>
          <w:p w14:paraId="73AF9D6F" w14:textId="77777777" w:rsidR="001E0A0D" w:rsidRPr="0082182E" w:rsidRDefault="001E0A0D" w:rsidP="001E6192">
            <w:pPr>
              <w:jc w:val="center"/>
              <w:rPr>
                <w:rFonts w:ascii="Times New Roman" w:hAnsi="Times New Roman" w:cs="Times New Roman"/>
                <w:sz w:val="18"/>
                <w:szCs w:val="18"/>
                <w:lang w:val="ro-RO"/>
              </w:rPr>
            </w:pPr>
          </w:p>
        </w:tc>
        <w:tc>
          <w:tcPr>
            <w:tcW w:w="1190" w:type="dxa"/>
            <w:vAlign w:val="center"/>
          </w:tcPr>
          <w:p w14:paraId="3337998B"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58" w:type="dxa"/>
          </w:tcPr>
          <w:p w14:paraId="770A4AD3" w14:textId="77777777" w:rsidR="001E0A0D" w:rsidRPr="0082182E" w:rsidRDefault="001E0A0D" w:rsidP="001E6192">
            <w:pPr>
              <w:rPr>
                <w:rFonts w:ascii="Times New Roman" w:hAnsi="Times New Roman" w:cs="Times New Roman"/>
                <w:sz w:val="18"/>
                <w:szCs w:val="18"/>
                <w:lang w:val="ro-RO"/>
              </w:rPr>
            </w:pPr>
          </w:p>
        </w:tc>
        <w:tc>
          <w:tcPr>
            <w:tcW w:w="1357" w:type="dxa"/>
          </w:tcPr>
          <w:p w14:paraId="60E57EFB" w14:textId="77777777" w:rsidR="001E0A0D" w:rsidRPr="0082182E" w:rsidRDefault="001E0A0D" w:rsidP="001E6192">
            <w:pPr>
              <w:rPr>
                <w:rFonts w:ascii="Times New Roman" w:hAnsi="Times New Roman" w:cs="Times New Roman"/>
                <w:sz w:val="18"/>
                <w:szCs w:val="18"/>
                <w:lang w:val="ro-RO"/>
              </w:rPr>
            </w:pPr>
          </w:p>
        </w:tc>
        <w:tc>
          <w:tcPr>
            <w:tcW w:w="1694" w:type="dxa"/>
          </w:tcPr>
          <w:p w14:paraId="5F45469D" w14:textId="77777777" w:rsidR="001E0A0D" w:rsidRPr="0082182E" w:rsidRDefault="001E0A0D" w:rsidP="001E6192">
            <w:pPr>
              <w:rPr>
                <w:rFonts w:ascii="Times New Roman" w:hAnsi="Times New Roman" w:cs="Times New Roman"/>
                <w:sz w:val="18"/>
                <w:szCs w:val="18"/>
                <w:lang w:val="ro-RO"/>
              </w:rPr>
            </w:pPr>
          </w:p>
        </w:tc>
        <w:tc>
          <w:tcPr>
            <w:tcW w:w="1246" w:type="dxa"/>
          </w:tcPr>
          <w:p w14:paraId="7FB2D04B" w14:textId="77777777" w:rsidR="001E0A0D" w:rsidRPr="0082182E" w:rsidRDefault="001E0A0D" w:rsidP="001E6192">
            <w:pPr>
              <w:rPr>
                <w:rFonts w:ascii="Times New Roman" w:hAnsi="Times New Roman" w:cs="Times New Roman"/>
                <w:sz w:val="18"/>
                <w:szCs w:val="18"/>
                <w:lang w:val="ro-RO"/>
              </w:rPr>
            </w:pPr>
          </w:p>
        </w:tc>
      </w:tr>
      <w:tr w:rsidR="001E0A0D" w:rsidRPr="0082182E" w14:paraId="298F4B9E" w14:textId="77777777" w:rsidTr="00C8682F">
        <w:tc>
          <w:tcPr>
            <w:tcW w:w="3235" w:type="dxa"/>
          </w:tcPr>
          <w:p w14:paraId="044E36C0"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1.2 Eficientizarea utilizării durabile a resurselor naturale, diminuarea riscurilor în agricultură prin adaptarea la schimbările climatice de apă, sol și energie</w:t>
            </w:r>
          </w:p>
        </w:tc>
        <w:tc>
          <w:tcPr>
            <w:tcW w:w="708" w:type="dxa"/>
          </w:tcPr>
          <w:p w14:paraId="479719B3" w14:textId="77777777" w:rsidR="001E0A0D" w:rsidRPr="0082182E" w:rsidRDefault="001E0A0D" w:rsidP="001E6192">
            <w:pPr>
              <w:rPr>
                <w:rFonts w:ascii="Times New Roman" w:hAnsi="Times New Roman" w:cs="Times New Roman"/>
                <w:sz w:val="18"/>
                <w:szCs w:val="18"/>
                <w:lang w:val="ro-RO"/>
              </w:rPr>
            </w:pPr>
          </w:p>
        </w:tc>
        <w:tc>
          <w:tcPr>
            <w:tcW w:w="1443" w:type="dxa"/>
          </w:tcPr>
          <w:p w14:paraId="0AC1B97A" w14:textId="77777777" w:rsidR="001E0A0D" w:rsidRPr="0082182E" w:rsidRDefault="001E0A0D" w:rsidP="001E6192">
            <w:pPr>
              <w:rPr>
                <w:rFonts w:ascii="Times New Roman" w:hAnsi="Times New Roman" w:cs="Times New Roman"/>
                <w:sz w:val="18"/>
                <w:szCs w:val="18"/>
                <w:lang w:val="ro-RO"/>
              </w:rPr>
            </w:pPr>
          </w:p>
        </w:tc>
        <w:tc>
          <w:tcPr>
            <w:tcW w:w="1330" w:type="dxa"/>
          </w:tcPr>
          <w:p w14:paraId="44F541CE" w14:textId="77777777" w:rsidR="001E0A0D" w:rsidRPr="0082182E" w:rsidRDefault="001E0A0D" w:rsidP="001E6192">
            <w:pPr>
              <w:rPr>
                <w:rFonts w:ascii="Times New Roman" w:hAnsi="Times New Roman" w:cs="Times New Roman"/>
                <w:sz w:val="18"/>
                <w:szCs w:val="18"/>
                <w:lang w:val="ro-RO"/>
              </w:rPr>
            </w:pPr>
          </w:p>
        </w:tc>
        <w:tc>
          <w:tcPr>
            <w:tcW w:w="1331" w:type="dxa"/>
          </w:tcPr>
          <w:p w14:paraId="0FEA566D" w14:textId="77777777" w:rsidR="001E0A0D" w:rsidRPr="0082182E" w:rsidRDefault="001E0A0D" w:rsidP="001E6192">
            <w:pPr>
              <w:rPr>
                <w:rFonts w:ascii="Times New Roman" w:hAnsi="Times New Roman" w:cs="Times New Roman"/>
                <w:sz w:val="18"/>
                <w:szCs w:val="18"/>
                <w:lang w:val="ro-RO"/>
              </w:rPr>
            </w:pPr>
          </w:p>
        </w:tc>
        <w:tc>
          <w:tcPr>
            <w:tcW w:w="1190" w:type="dxa"/>
            <w:vAlign w:val="center"/>
          </w:tcPr>
          <w:p w14:paraId="2C025E3A"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58" w:type="dxa"/>
          </w:tcPr>
          <w:p w14:paraId="71E5AD9C" w14:textId="77777777" w:rsidR="001E0A0D" w:rsidRPr="0082182E" w:rsidRDefault="001E0A0D" w:rsidP="001E6192">
            <w:pPr>
              <w:rPr>
                <w:rFonts w:ascii="Times New Roman" w:hAnsi="Times New Roman" w:cs="Times New Roman"/>
                <w:sz w:val="18"/>
                <w:szCs w:val="18"/>
                <w:lang w:val="ro-RO"/>
              </w:rPr>
            </w:pPr>
          </w:p>
        </w:tc>
        <w:tc>
          <w:tcPr>
            <w:tcW w:w="1357" w:type="dxa"/>
          </w:tcPr>
          <w:p w14:paraId="13423203" w14:textId="77777777" w:rsidR="001E0A0D" w:rsidRPr="0082182E" w:rsidRDefault="001E0A0D" w:rsidP="001E6192">
            <w:pPr>
              <w:rPr>
                <w:rFonts w:ascii="Times New Roman" w:hAnsi="Times New Roman" w:cs="Times New Roman"/>
                <w:sz w:val="18"/>
                <w:szCs w:val="18"/>
                <w:lang w:val="ro-RO"/>
              </w:rPr>
            </w:pPr>
          </w:p>
        </w:tc>
        <w:tc>
          <w:tcPr>
            <w:tcW w:w="1694" w:type="dxa"/>
          </w:tcPr>
          <w:p w14:paraId="6D8545C6" w14:textId="77777777" w:rsidR="001E0A0D" w:rsidRPr="0082182E" w:rsidRDefault="001E0A0D" w:rsidP="001E6192">
            <w:pPr>
              <w:rPr>
                <w:rFonts w:ascii="Times New Roman" w:hAnsi="Times New Roman" w:cs="Times New Roman"/>
                <w:sz w:val="18"/>
                <w:szCs w:val="18"/>
                <w:lang w:val="ro-RO"/>
              </w:rPr>
            </w:pPr>
          </w:p>
        </w:tc>
        <w:tc>
          <w:tcPr>
            <w:tcW w:w="1246" w:type="dxa"/>
          </w:tcPr>
          <w:p w14:paraId="2CD2AEF9" w14:textId="77777777" w:rsidR="001E0A0D" w:rsidRPr="0082182E" w:rsidRDefault="001E0A0D" w:rsidP="001E6192">
            <w:pPr>
              <w:rPr>
                <w:rFonts w:ascii="Times New Roman" w:hAnsi="Times New Roman" w:cs="Times New Roman"/>
                <w:sz w:val="18"/>
                <w:szCs w:val="18"/>
                <w:lang w:val="ro-RO"/>
              </w:rPr>
            </w:pPr>
          </w:p>
        </w:tc>
      </w:tr>
      <w:tr w:rsidR="001E0A0D" w:rsidRPr="0082182E" w14:paraId="65A8DC91" w14:textId="77777777" w:rsidTr="00C8682F">
        <w:tc>
          <w:tcPr>
            <w:tcW w:w="3235" w:type="dxa"/>
          </w:tcPr>
          <w:p w14:paraId="7954B8F9"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1.3 Conservarea și dezvoltarea biodiversității</w:t>
            </w:r>
          </w:p>
        </w:tc>
        <w:tc>
          <w:tcPr>
            <w:tcW w:w="708" w:type="dxa"/>
          </w:tcPr>
          <w:p w14:paraId="42491AB9" w14:textId="77777777" w:rsidR="001E0A0D" w:rsidRPr="0082182E" w:rsidRDefault="001E0A0D" w:rsidP="001E6192">
            <w:pPr>
              <w:rPr>
                <w:rFonts w:ascii="Times New Roman" w:hAnsi="Times New Roman" w:cs="Times New Roman"/>
                <w:sz w:val="18"/>
                <w:szCs w:val="18"/>
                <w:lang w:val="ro-RO"/>
              </w:rPr>
            </w:pPr>
          </w:p>
        </w:tc>
        <w:tc>
          <w:tcPr>
            <w:tcW w:w="1443" w:type="dxa"/>
          </w:tcPr>
          <w:p w14:paraId="09930533" w14:textId="77777777" w:rsidR="001E0A0D" w:rsidRPr="0082182E" w:rsidRDefault="001E0A0D" w:rsidP="001E6192">
            <w:pPr>
              <w:rPr>
                <w:rFonts w:ascii="Times New Roman" w:hAnsi="Times New Roman" w:cs="Times New Roman"/>
                <w:sz w:val="18"/>
                <w:szCs w:val="18"/>
                <w:lang w:val="ro-RO"/>
              </w:rPr>
            </w:pPr>
          </w:p>
        </w:tc>
        <w:tc>
          <w:tcPr>
            <w:tcW w:w="1330" w:type="dxa"/>
          </w:tcPr>
          <w:p w14:paraId="683B2EC5" w14:textId="77777777" w:rsidR="001E0A0D" w:rsidRPr="0082182E" w:rsidRDefault="001E0A0D" w:rsidP="001E6192">
            <w:pPr>
              <w:rPr>
                <w:rFonts w:ascii="Times New Roman" w:hAnsi="Times New Roman" w:cs="Times New Roman"/>
                <w:sz w:val="18"/>
                <w:szCs w:val="18"/>
                <w:lang w:val="ro-RO"/>
              </w:rPr>
            </w:pPr>
          </w:p>
        </w:tc>
        <w:tc>
          <w:tcPr>
            <w:tcW w:w="1331" w:type="dxa"/>
          </w:tcPr>
          <w:p w14:paraId="417E3314" w14:textId="77777777" w:rsidR="001E0A0D" w:rsidRPr="0082182E" w:rsidRDefault="001E0A0D" w:rsidP="001E6192">
            <w:pPr>
              <w:rPr>
                <w:rFonts w:ascii="Times New Roman" w:hAnsi="Times New Roman" w:cs="Times New Roman"/>
                <w:sz w:val="18"/>
                <w:szCs w:val="18"/>
                <w:lang w:val="ro-RO"/>
              </w:rPr>
            </w:pPr>
          </w:p>
        </w:tc>
        <w:tc>
          <w:tcPr>
            <w:tcW w:w="1190" w:type="dxa"/>
          </w:tcPr>
          <w:p w14:paraId="217A553E" w14:textId="77777777" w:rsidR="001E0A0D" w:rsidRPr="0082182E" w:rsidRDefault="001E0A0D" w:rsidP="001E6192">
            <w:pPr>
              <w:rPr>
                <w:rFonts w:ascii="Times New Roman" w:hAnsi="Times New Roman" w:cs="Times New Roman"/>
                <w:sz w:val="18"/>
                <w:szCs w:val="18"/>
                <w:lang w:val="ro-RO"/>
              </w:rPr>
            </w:pPr>
          </w:p>
        </w:tc>
        <w:tc>
          <w:tcPr>
            <w:tcW w:w="1358" w:type="dxa"/>
            <w:vAlign w:val="center"/>
          </w:tcPr>
          <w:p w14:paraId="6D24F03B"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57" w:type="dxa"/>
          </w:tcPr>
          <w:p w14:paraId="3D20F6ED" w14:textId="77777777" w:rsidR="001E0A0D" w:rsidRPr="0082182E" w:rsidRDefault="001E0A0D" w:rsidP="001E6192">
            <w:pPr>
              <w:rPr>
                <w:rFonts w:ascii="Times New Roman" w:hAnsi="Times New Roman" w:cs="Times New Roman"/>
                <w:sz w:val="18"/>
                <w:szCs w:val="18"/>
                <w:lang w:val="ro-RO"/>
              </w:rPr>
            </w:pPr>
          </w:p>
        </w:tc>
        <w:tc>
          <w:tcPr>
            <w:tcW w:w="1694" w:type="dxa"/>
          </w:tcPr>
          <w:p w14:paraId="34ADC6BA"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09ADA53D" w14:textId="77777777" w:rsidR="001E0A0D" w:rsidRPr="0082182E" w:rsidRDefault="001E0A0D" w:rsidP="001E6192">
            <w:pPr>
              <w:rPr>
                <w:rFonts w:ascii="Times New Roman" w:hAnsi="Times New Roman" w:cs="Times New Roman"/>
                <w:sz w:val="18"/>
                <w:szCs w:val="18"/>
                <w:lang w:val="ro-RO"/>
              </w:rPr>
            </w:pPr>
          </w:p>
        </w:tc>
      </w:tr>
      <w:tr w:rsidR="001E0A0D" w:rsidRPr="0082182E" w14:paraId="1CC8BA4E" w14:textId="77777777" w:rsidTr="00C8682F">
        <w:tc>
          <w:tcPr>
            <w:tcW w:w="3235" w:type="dxa"/>
          </w:tcPr>
          <w:p w14:paraId="1A22847D"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1.4 Promovarea și dezvoltarea agriculturii ecologice</w:t>
            </w:r>
          </w:p>
        </w:tc>
        <w:tc>
          <w:tcPr>
            <w:tcW w:w="708" w:type="dxa"/>
          </w:tcPr>
          <w:p w14:paraId="394172C5" w14:textId="77777777" w:rsidR="001E0A0D" w:rsidRPr="0082182E" w:rsidRDefault="001E0A0D" w:rsidP="001E6192">
            <w:pPr>
              <w:rPr>
                <w:rFonts w:ascii="Times New Roman" w:hAnsi="Times New Roman" w:cs="Times New Roman"/>
                <w:sz w:val="18"/>
                <w:szCs w:val="18"/>
                <w:lang w:val="ro-RO"/>
              </w:rPr>
            </w:pPr>
          </w:p>
        </w:tc>
        <w:tc>
          <w:tcPr>
            <w:tcW w:w="1443" w:type="dxa"/>
            <w:vAlign w:val="center"/>
          </w:tcPr>
          <w:p w14:paraId="1EDCD4B9"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18D978ED" w14:textId="77777777" w:rsidR="001E0A0D" w:rsidRPr="0082182E" w:rsidRDefault="001E0A0D" w:rsidP="001E6192">
            <w:pPr>
              <w:rPr>
                <w:rFonts w:ascii="Times New Roman" w:hAnsi="Times New Roman" w:cs="Times New Roman"/>
                <w:sz w:val="18"/>
                <w:szCs w:val="18"/>
                <w:lang w:val="ro-RO"/>
              </w:rPr>
            </w:pPr>
          </w:p>
        </w:tc>
        <w:tc>
          <w:tcPr>
            <w:tcW w:w="1331" w:type="dxa"/>
          </w:tcPr>
          <w:p w14:paraId="6A00ED05"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190" w:type="dxa"/>
          </w:tcPr>
          <w:p w14:paraId="4091B940" w14:textId="77777777" w:rsidR="001E0A0D" w:rsidRPr="0082182E" w:rsidRDefault="001E0A0D" w:rsidP="001E6192">
            <w:pPr>
              <w:rPr>
                <w:rFonts w:ascii="Times New Roman" w:hAnsi="Times New Roman" w:cs="Times New Roman"/>
                <w:sz w:val="18"/>
                <w:szCs w:val="18"/>
                <w:lang w:val="ro-RO"/>
              </w:rPr>
            </w:pPr>
          </w:p>
        </w:tc>
        <w:tc>
          <w:tcPr>
            <w:tcW w:w="1358" w:type="dxa"/>
          </w:tcPr>
          <w:p w14:paraId="317C9D53" w14:textId="77777777" w:rsidR="001E0A0D" w:rsidRPr="0082182E" w:rsidRDefault="001E0A0D" w:rsidP="001E6192">
            <w:pPr>
              <w:rPr>
                <w:rFonts w:ascii="Times New Roman" w:hAnsi="Times New Roman" w:cs="Times New Roman"/>
                <w:sz w:val="18"/>
                <w:szCs w:val="18"/>
                <w:lang w:val="ro-RO"/>
              </w:rPr>
            </w:pPr>
          </w:p>
        </w:tc>
        <w:tc>
          <w:tcPr>
            <w:tcW w:w="1357" w:type="dxa"/>
          </w:tcPr>
          <w:p w14:paraId="14AC4129" w14:textId="77777777" w:rsidR="001E0A0D" w:rsidRPr="0082182E" w:rsidRDefault="001E0A0D" w:rsidP="001E6192">
            <w:pPr>
              <w:rPr>
                <w:rFonts w:ascii="Times New Roman" w:hAnsi="Times New Roman" w:cs="Times New Roman"/>
                <w:sz w:val="18"/>
                <w:szCs w:val="18"/>
                <w:lang w:val="ro-RO"/>
              </w:rPr>
            </w:pPr>
          </w:p>
        </w:tc>
        <w:tc>
          <w:tcPr>
            <w:tcW w:w="1694" w:type="dxa"/>
          </w:tcPr>
          <w:p w14:paraId="2F4C8ABA" w14:textId="77777777" w:rsidR="001E0A0D" w:rsidRPr="0082182E" w:rsidRDefault="001E0A0D" w:rsidP="001E6192">
            <w:pPr>
              <w:rPr>
                <w:rFonts w:ascii="Times New Roman" w:hAnsi="Times New Roman" w:cs="Times New Roman"/>
                <w:sz w:val="18"/>
                <w:szCs w:val="18"/>
                <w:lang w:val="ro-RO"/>
              </w:rPr>
            </w:pPr>
          </w:p>
        </w:tc>
        <w:tc>
          <w:tcPr>
            <w:tcW w:w="1246" w:type="dxa"/>
          </w:tcPr>
          <w:p w14:paraId="2672CA54" w14:textId="77777777" w:rsidR="001E0A0D" w:rsidRPr="0082182E" w:rsidRDefault="001E0A0D" w:rsidP="001E6192">
            <w:pPr>
              <w:rPr>
                <w:rFonts w:ascii="Times New Roman" w:hAnsi="Times New Roman" w:cs="Times New Roman"/>
                <w:sz w:val="18"/>
                <w:szCs w:val="18"/>
                <w:lang w:val="ro-RO"/>
              </w:rPr>
            </w:pPr>
          </w:p>
        </w:tc>
      </w:tr>
      <w:tr w:rsidR="001E0A0D" w:rsidRPr="0082182E" w14:paraId="166B14AA" w14:textId="77777777" w:rsidTr="00C8682F">
        <w:tc>
          <w:tcPr>
            <w:tcW w:w="3235" w:type="dxa"/>
          </w:tcPr>
          <w:p w14:paraId="5BA0083E"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1.5 Crearea premiselor și lansarea bioeconomiei.</w:t>
            </w:r>
          </w:p>
        </w:tc>
        <w:tc>
          <w:tcPr>
            <w:tcW w:w="708" w:type="dxa"/>
          </w:tcPr>
          <w:p w14:paraId="25691E6C" w14:textId="77777777" w:rsidR="001E0A0D" w:rsidRPr="0082182E" w:rsidRDefault="001E0A0D" w:rsidP="001E6192">
            <w:pPr>
              <w:rPr>
                <w:rFonts w:ascii="Times New Roman" w:hAnsi="Times New Roman" w:cs="Times New Roman"/>
                <w:sz w:val="18"/>
                <w:szCs w:val="18"/>
                <w:lang w:val="ro-RO"/>
              </w:rPr>
            </w:pPr>
          </w:p>
        </w:tc>
        <w:tc>
          <w:tcPr>
            <w:tcW w:w="1443" w:type="dxa"/>
            <w:vAlign w:val="center"/>
          </w:tcPr>
          <w:p w14:paraId="4CC0DE4A"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1E1C9A8C" w14:textId="77777777" w:rsidR="001E0A0D" w:rsidRPr="0082182E" w:rsidRDefault="001E0A0D" w:rsidP="001E6192">
            <w:pPr>
              <w:rPr>
                <w:rFonts w:ascii="Times New Roman" w:hAnsi="Times New Roman" w:cs="Times New Roman"/>
                <w:sz w:val="18"/>
                <w:szCs w:val="18"/>
                <w:lang w:val="ro-RO"/>
              </w:rPr>
            </w:pPr>
          </w:p>
        </w:tc>
        <w:tc>
          <w:tcPr>
            <w:tcW w:w="1331" w:type="dxa"/>
          </w:tcPr>
          <w:p w14:paraId="4A61A248"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1E9B918E" w14:textId="77777777" w:rsidR="001E0A0D" w:rsidRPr="0082182E" w:rsidRDefault="001E0A0D" w:rsidP="001E6192">
            <w:pPr>
              <w:rPr>
                <w:rFonts w:ascii="Times New Roman" w:hAnsi="Times New Roman" w:cs="Times New Roman"/>
                <w:sz w:val="18"/>
                <w:szCs w:val="18"/>
                <w:lang w:val="ro-RO"/>
              </w:rPr>
            </w:pPr>
          </w:p>
        </w:tc>
        <w:tc>
          <w:tcPr>
            <w:tcW w:w="1358" w:type="dxa"/>
          </w:tcPr>
          <w:p w14:paraId="512BAF8E" w14:textId="77777777" w:rsidR="001E0A0D" w:rsidRPr="0082182E" w:rsidRDefault="001E0A0D" w:rsidP="001E6192">
            <w:pP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57" w:type="dxa"/>
          </w:tcPr>
          <w:p w14:paraId="13FAB28E" w14:textId="77777777" w:rsidR="001E0A0D" w:rsidRPr="0082182E" w:rsidRDefault="001E0A0D" w:rsidP="001E6192">
            <w:pPr>
              <w:rPr>
                <w:rFonts w:ascii="Times New Roman" w:hAnsi="Times New Roman" w:cs="Times New Roman"/>
                <w:sz w:val="18"/>
                <w:szCs w:val="18"/>
                <w:lang w:val="ro-RO"/>
              </w:rPr>
            </w:pPr>
          </w:p>
        </w:tc>
        <w:tc>
          <w:tcPr>
            <w:tcW w:w="1694" w:type="dxa"/>
          </w:tcPr>
          <w:p w14:paraId="13A0AE81" w14:textId="77777777" w:rsidR="001E0A0D" w:rsidRPr="0082182E" w:rsidRDefault="001E0A0D" w:rsidP="001E6192">
            <w:pPr>
              <w:rPr>
                <w:rFonts w:ascii="Times New Roman" w:hAnsi="Times New Roman" w:cs="Times New Roman"/>
                <w:sz w:val="18"/>
                <w:szCs w:val="18"/>
                <w:lang w:val="ro-RO"/>
              </w:rPr>
            </w:pPr>
          </w:p>
        </w:tc>
        <w:tc>
          <w:tcPr>
            <w:tcW w:w="1246" w:type="dxa"/>
          </w:tcPr>
          <w:p w14:paraId="16535831" w14:textId="77777777" w:rsidR="001E0A0D" w:rsidRPr="0082182E" w:rsidRDefault="001E0A0D" w:rsidP="001E6192">
            <w:pPr>
              <w:rPr>
                <w:rFonts w:ascii="Times New Roman" w:hAnsi="Times New Roman" w:cs="Times New Roman"/>
                <w:sz w:val="18"/>
                <w:szCs w:val="18"/>
                <w:lang w:val="ro-RO"/>
              </w:rPr>
            </w:pPr>
          </w:p>
        </w:tc>
      </w:tr>
      <w:tr w:rsidR="001E0A0D" w:rsidRPr="0082182E" w14:paraId="360E8141" w14:textId="77777777" w:rsidTr="001E6192">
        <w:tc>
          <w:tcPr>
            <w:tcW w:w="14892" w:type="dxa"/>
            <w:gridSpan w:val="10"/>
          </w:tcPr>
          <w:p w14:paraId="25046E77" w14:textId="77777777" w:rsidR="001E0A0D" w:rsidRPr="0082182E" w:rsidRDefault="001E0A0D" w:rsidP="001E6192">
            <w:pPr>
              <w:jc w:val="left"/>
              <w:rPr>
                <w:rFonts w:ascii="Times New Roman" w:hAnsi="Times New Roman" w:cs="Times New Roman"/>
                <w:sz w:val="18"/>
                <w:szCs w:val="18"/>
                <w:lang w:val="ro-RO"/>
              </w:rPr>
            </w:pPr>
            <w:r w:rsidRPr="0082182E">
              <w:rPr>
                <w:rFonts w:ascii="Times New Roman" w:hAnsi="Times New Roman" w:cs="Times New Roman"/>
                <w:b/>
                <w:bCs/>
                <w:sz w:val="18"/>
                <w:szCs w:val="18"/>
                <w:lang w:val="ro-RO"/>
              </w:rPr>
              <w:t xml:space="preserve">OG 2. </w:t>
            </w:r>
            <w:r w:rsidRPr="0082182E">
              <w:rPr>
                <w:rFonts w:ascii="Times New Roman" w:hAnsi="Times New Roman" w:cs="Times New Roman"/>
                <w:b/>
                <w:bCs/>
                <w:sz w:val="18"/>
                <w:szCs w:val="18"/>
                <w:lang w:val="ro-RO"/>
              </w:rPr>
              <w:tab/>
              <w:t>Promovarea practicilor agricole inteligente, eficiente si durabile</w:t>
            </w:r>
          </w:p>
        </w:tc>
      </w:tr>
      <w:tr w:rsidR="001E0A0D" w:rsidRPr="0082182E" w14:paraId="08568F4D" w14:textId="77777777" w:rsidTr="00C8682F">
        <w:tc>
          <w:tcPr>
            <w:tcW w:w="3235" w:type="dxa"/>
          </w:tcPr>
          <w:p w14:paraId="65817307"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 xml:space="preserve">OS 2.1 Revigorarea sectoarelor agricole strategice pentru securitatea alimentară </w:t>
            </w:r>
          </w:p>
        </w:tc>
        <w:tc>
          <w:tcPr>
            <w:tcW w:w="708" w:type="dxa"/>
            <w:vAlign w:val="center"/>
          </w:tcPr>
          <w:p w14:paraId="3226BA45"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443" w:type="dxa"/>
          </w:tcPr>
          <w:p w14:paraId="12C4C408" w14:textId="77777777" w:rsidR="001E0A0D" w:rsidRPr="0082182E" w:rsidRDefault="001E0A0D" w:rsidP="001E6192">
            <w:pPr>
              <w:rPr>
                <w:rFonts w:ascii="Times New Roman" w:hAnsi="Times New Roman" w:cs="Times New Roman"/>
                <w:sz w:val="18"/>
                <w:szCs w:val="18"/>
                <w:lang w:val="ro-RO"/>
              </w:rPr>
            </w:pPr>
          </w:p>
        </w:tc>
        <w:tc>
          <w:tcPr>
            <w:tcW w:w="1330" w:type="dxa"/>
          </w:tcPr>
          <w:p w14:paraId="21A12E04" w14:textId="77777777" w:rsidR="001E0A0D" w:rsidRPr="0082182E" w:rsidRDefault="001E0A0D" w:rsidP="001E6192">
            <w:pPr>
              <w:rPr>
                <w:rFonts w:ascii="Times New Roman" w:hAnsi="Times New Roman" w:cs="Times New Roman"/>
                <w:sz w:val="18"/>
                <w:szCs w:val="18"/>
                <w:lang w:val="ro-RO"/>
              </w:rPr>
            </w:pPr>
          </w:p>
        </w:tc>
        <w:tc>
          <w:tcPr>
            <w:tcW w:w="1331" w:type="dxa"/>
          </w:tcPr>
          <w:p w14:paraId="3F6F1164" w14:textId="77777777" w:rsidR="001E0A0D" w:rsidRPr="0082182E" w:rsidRDefault="001E0A0D" w:rsidP="001E6192">
            <w:pPr>
              <w:rPr>
                <w:rFonts w:ascii="Times New Roman" w:hAnsi="Times New Roman" w:cs="Times New Roman"/>
                <w:sz w:val="18"/>
                <w:szCs w:val="18"/>
                <w:lang w:val="ro-RO"/>
              </w:rPr>
            </w:pPr>
          </w:p>
        </w:tc>
        <w:tc>
          <w:tcPr>
            <w:tcW w:w="1190" w:type="dxa"/>
          </w:tcPr>
          <w:p w14:paraId="22FAFD2D" w14:textId="77777777" w:rsidR="001E0A0D" w:rsidRPr="0082182E" w:rsidRDefault="001E0A0D" w:rsidP="001E6192">
            <w:pPr>
              <w:rPr>
                <w:rFonts w:ascii="Times New Roman" w:hAnsi="Times New Roman" w:cs="Times New Roman"/>
                <w:sz w:val="18"/>
                <w:szCs w:val="18"/>
                <w:lang w:val="ro-RO"/>
              </w:rPr>
            </w:pPr>
          </w:p>
        </w:tc>
        <w:tc>
          <w:tcPr>
            <w:tcW w:w="1358" w:type="dxa"/>
          </w:tcPr>
          <w:p w14:paraId="11CF64A4" w14:textId="77777777" w:rsidR="001E0A0D" w:rsidRPr="0082182E" w:rsidRDefault="001E0A0D" w:rsidP="001E6192">
            <w:pPr>
              <w:rPr>
                <w:rFonts w:ascii="Times New Roman" w:hAnsi="Times New Roman" w:cs="Times New Roman"/>
                <w:sz w:val="18"/>
                <w:szCs w:val="18"/>
                <w:lang w:val="ro-RO"/>
              </w:rPr>
            </w:pPr>
          </w:p>
        </w:tc>
        <w:tc>
          <w:tcPr>
            <w:tcW w:w="1357" w:type="dxa"/>
          </w:tcPr>
          <w:p w14:paraId="5C54B162"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3825D338" w14:textId="77777777" w:rsidR="001E0A0D" w:rsidRPr="0082182E" w:rsidRDefault="001E0A0D" w:rsidP="001E6192">
            <w:pPr>
              <w:rPr>
                <w:rFonts w:ascii="Times New Roman" w:hAnsi="Times New Roman" w:cs="Times New Roman"/>
                <w:sz w:val="18"/>
                <w:szCs w:val="18"/>
                <w:lang w:val="ro-RO"/>
              </w:rPr>
            </w:pPr>
          </w:p>
        </w:tc>
        <w:tc>
          <w:tcPr>
            <w:tcW w:w="1246" w:type="dxa"/>
          </w:tcPr>
          <w:p w14:paraId="1E24E449" w14:textId="77777777" w:rsidR="001E0A0D" w:rsidRPr="0082182E" w:rsidRDefault="001E0A0D" w:rsidP="001E6192">
            <w:pPr>
              <w:rPr>
                <w:rFonts w:ascii="Times New Roman" w:hAnsi="Times New Roman" w:cs="Times New Roman"/>
                <w:sz w:val="18"/>
                <w:szCs w:val="18"/>
                <w:lang w:val="ro-RO"/>
              </w:rPr>
            </w:pPr>
          </w:p>
        </w:tc>
      </w:tr>
      <w:tr w:rsidR="001E0A0D" w:rsidRPr="0082182E" w14:paraId="11DBB1E1" w14:textId="77777777" w:rsidTr="00C8682F">
        <w:tc>
          <w:tcPr>
            <w:tcW w:w="3235" w:type="dxa"/>
          </w:tcPr>
          <w:p w14:paraId="7BC43B16"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2.2 Dezvoltarea lanțurilor alimentare și de producție în agricultură și promovarea cooperării</w:t>
            </w:r>
          </w:p>
        </w:tc>
        <w:tc>
          <w:tcPr>
            <w:tcW w:w="708" w:type="dxa"/>
          </w:tcPr>
          <w:p w14:paraId="321BAB16" w14:textId="77777777" w:rsidR="001E0A0D" w:rsidRPr="0082182E" w:rsidRDefault="001E0A0D" w:rsidP="001E6192">
            <w:pPr>
              <w:rPr>
                <w:rFonts w:ascii="Times New Roman" w:hAnsi="Times New Roman" w:cs="Times New Roman"/>
                <w:sz w:val="18"/>
                <w:szCs w:val="18"/>
                <w:lang w:val="ro-RO"/>
              </w:rPr>
            </w:pPr>
          </w:p>
        </w:tc>
        <w:tc>
          <w:tcPr>
            <w:tcW w:w="1443" w:type="dxa"/>
          </w:tcPr>
          <w:p w14:paraId="6A7F3AA4" w14:textId="77777777" w:rsidR="001E0A0D" w:rsidRPr="0082182E" w:rsidRDefault="001E0A0D" w:rsidP="001E6192">
            <w:pPr>
              <w:rPr>
                <w:rFonts w:ascii="Times New Roman" w:hAnsi="Times New Roman" w:cs="Times New Roman"/>
                <w:sz w:val="18"/>
                <w:szCs w:val="18"/>
                <w:lang w:val="ro-RO"/>
              </w:rPr>
            </w:pPr>
          </w:p>
        </w:tc>
        <w:tc>
          <w:tcPr>
            <w:tcW w:w="1330" w:type="dxa"/>
            <w:vAlign w:val="center"/>
          </w:tcPr>
          <w:p w14:paraId="2DF982A4"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31" w:type="dxa"/>
          </w:tcPr>
          <w:p w14:paraId="581597FB" w14:textId="77777777" w:rsidR="001E0A0D" w:rsidRPr="0082182E" w:rsidRDefault="001E0A0D" w:rsidP="001E6192">
            <w:pPr>
              <w:rPr>
                <w:rFonts w:ascii="Times New Roman" w:hAnsi="Times New Roman" w:cs="Times New Roman"/>
                <w:sz w:val="18"/>
                <w:szCs w:val="18"/>
                <w:lang w:val="ro-RO"/>
              </w:rPr>
            </w:pPr>
          </w:p>
        </w:tc>
        <w:tc>
          <w:tcPr>
            <w:tcW w:w="1190" w:type="dxa"/>
          </w:tcPr>
          <w:p w14:paraId="4F74602F" w14:textId="77777777" w:rsidR="001E0A0D" w:rsidRPr="0082182E" w:rsidRDefault="001E0A0D" w:rsidP="001E6192">
            <w:pPr>
              <w:rPr>
                <w:rFonts w:ascii="Times New Roman" w:hAnsi="Times New Roman" w:cs="Times New Roman"/>
                <w:sz w:val="18"/>
                <w:szCs w:val="18"/>
                <w:lang w:val="ro-RO"/>
              </w:rPr>
            </w:pPr>
          </w:p>
        </w:tc>
        <w:tc>
          <w:tcPr>
            <w:tcW w:w="1358" w:type="dxa"/>
          </w:tcPr>
          <w:p w14:paraId="3E9AC969" w14:textId="77777777" w:rsidR="001E0A0D" w:rsidRPr="0082182E" w:rsidRDefault="001E0A0D" w:rsidP="001E6192">
            <w:pPr>
              <w:rPr>
                <w:rFonts w:ascii="Times New Roman" w:hAnsi="Times New Roman" w:cs="Times New Roman"/>
                <w:sz w:val="18"/>
                <w:szCs w:val="18"/>
                <w:lang w:val="ro-RO"/>
              </w:rPr>
            </w:pPr>
          </w:p>
        </w:tc>
        <w:tc>
          <w:tcPr>
            <w:tcW w:w="1357" w:type="dxa"/>
          </w:tcPr>
          <w:p w14:paraId="532D8EEB"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15D0BC0B" w14:textId="77777777" w:rsidR="001E0A0D" w:rsidRPr="0082182E" w:rsidRDefault="001E0A0D" w:rsidP="001E6192">
            <w:pPr>
              <w:rPr>
                <w:rFonts w:ascii="Times New Roman" w:hAnsi="Times New Roman" w:cs="Times New Roman"/>
                <w:sz w:val="18"/>
                <w:szCs w:val="18"/>
                <w:lang w:val="ro-RO"/>
              </w:rPr>
            </w:pPr>
          </w:p>
        </w:tc>
        <w:tc>
          <w:tcPr>
            <w:tcW w:w="1246" w:type="dxa"/>
          </w:tcPr>
          <w:p w14:paraId="03CAB057" w14:textId="77777777" w:rsidR="001E0A0D" w:rsidRPr="0082182E" w:rsidRDefault="001E0A0D" w:rsidP="001E6192">
            <w:pPr>
              <w:rPr>
                <w:rFonts w:ascii="Times New Roman" w:hAnsi="Times New Roman" w:cs="Times New Roman"/>
                <w:sz w:val="18"/>
                <w:szCs w:val="18"/>
                <w:lang w:val="ro-RO"/>
              </w:rPr>
            </w:pPr>
          </w:p>
        </w:tc>
      </w:tr>
      <w:tr w:rsidR="001E0A0D" w:rsidRPr="0082182E" w14:paraId="15406AB2" w14:textId="77777777" w:rsidTr="00C8682F">
        <w:tc>
          <w:tcPr>
            <w:tcW w:w="3235" w:type="dxa"/>
          </w:tcPr>
          <w:p w14:paraId="3443C806"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2.3 Promovarea modelelor de afaceri generatoare de locuri de muncă formale și permanente ce asigura fermierilor un venit durabil</w:t>
            </w:r>
          </w:p>
        </w:tc>
        <w:tc>
          <w:tcPr>
            <w:tcW w:w="708" w:type="dxa"/>
          </w:tcPr>
          <w:p w14:paraId="275D6C5E"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461311FD"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30" w:type="dxa"/>
          </w:tcPr>
          <w:p w14:paraId="64A5E775" w14:textId="77777777" w:rsidR="001E0A0D" w:rsidRPr="0082182E" w:rsidRDefault="001E0A0D" w:rsidP="001E6192">
            <w:pPr>
              <w:rPr>
                <w:rFonts w:ascii="Times New Roman" w:hAnsi="Times New Roman" w:cs="Times New Roman"/>
                <w:sz w:val="18"/>
                <w:szCs w:val="18"/>
                <w:lang w:val="ro-RO"/>
              </w:rPr>
            </w:pPr>
          </w:p>
        </w:tc>
        <w:tc>
          <w:tcPr>
            <w:tcW w:w="1331" w:type="dxa"/>
          </w:tcPr>
          <w:p w14:paraId="4BAD5775" w14:textId="77777777" w:rsidR="001E0A0D" w:rsidRPr="0082182E" w:rsidRDefault="001E0A0D" w:rsidP="001E6192">
            <w:pPr>
              <w:rPr>
                <w:rFonts w:ascii="Times New Roman" w:hAnsi="Times New Roman" w:cs="Times New Roman"/>
                <w:sz w:val="18"/>
                <w:szCs w:val="18"/>
                <w:lang w:val="ro-RO"/>
              </w:rPr>
            </w:pPr>
          </w:p>
        </w:tc>
        <w:tc>
          <w:tcPr>
            <w:tcW w:w="1190" w:type="dxa"/>
          </w:tcPr>
          <w:p w14:paraId="5401092E" w14:textId="77777777" w:rsidR="001E0A0D" w:rsidRPr="0082182E" w:rsidRDefault="001E0A0D" w:rsidP="001E6192">
            <w:pPr>
              <w:rPr>
                <w:rFonts w:ascii="Times New Roman" w:hAnsi="Times New Roman" w:cs="Times New Roman"/>
                <w:sz w:val="18"/>
                <w:szCs w:val="18"/>
                <w:lang w:val="ro-RO"/>
              </w:rPr>
            </w:pPr>
          </w:p>
        </w:tc>
        <w:tc>
          <w:tcPr>
            <w:tcW w:w="1358" w:type="dxa"/>
          </w:tcPr>
          <w:p w14:paraId="46CA1635" w14:textId="77777777" w:rsidR="001E0A0D" w:rsidRPr="0082182E" w:rsidRDefault="001E0A0D" w:rsidP="001E6192">
            <w:pPr>
              <w:rPr>
                <w:rFonts w:ascii="Times New Roman" w:hAnsi="Times New Roman" w:cs="Times New Roman"/>
                <w:sz w:val="18"/>
                <w:szCs w:val="18"/>
                <w:lang w:val="ro-RO"/>
              </w:rPr>
            </w:pPr>
          </w:p>
        </w:tc>
        <w:tc>
          <w:tcPr>
            <w:tcW w:w="1357" w:type="dxa"/>
          </w:tcPr>
          <w:p w14:paraId="51C2C9B1" w14:textId="77777777" w:rsidR="001E0A0D" w:rsidRPr="0082182E" w:rsidRDefault="001E0A0D" w:rsidP="001E6192">
            <w:pPr>
              <w:jc w:val="center"/>
              <w:rPr>
                <w:rFonts w:ascii="Times New Roman" w:hAnsi="Times New Roman" w:cs="Times New Roman"/>
                <w:sz w:val="18"/>
                <w:szCs w:val="18"/>
                <w:lang w:val="ro-RO"/>
              </w:rPr>
            </w:pPr>
          </w:p>
        </w:tc>
        <w:tc>
          <w:tcPr>
            <w:tcW w:w="1694" w:type="dxa"/>
            <w:vAlign w:val="center"/>
          </w:tcPr>
          <w:p w14:paraId="38C06E5B"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495677D8" w14:textId="77777777" w:rsidR="001E0A0D" w:rsidRPr="0082182E" w:rsidRDefault="001E0A0D" w:rsidP="001E6192">
            <w:pPr>
              <w:rPr>
                <w:rFonts w:ascii="Times New Roman" w:hAnsi="Times New Roman" w:cs="Times New Roman"/>
                <w:sz w:val="18"/>
                <w:szCs w:val="18"/>
                <w:lang w:val="ro-RO"/>
              </w:rPr>
            </w:pPr>
          </w:p>
        </w:tc>
      </w:tr>
      <w:tr w:rsidR="001E0A0D" w:rsidRPr="0082182E" w14:paraId="428B2348" w14:textId="77777777" w:rsidTr="00C8682F">
        <w:tc>
          <w:tcPr>
            <w:tcW w:w="3235" w:type="dxa"/>
          </w:tcPr>
          <w:p w14:paraId="6349DE3E"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2.4 Stimularea agriculturii bazate pe inovații și cunoaștere</w:t>
            </w:r>
          </w:p>
        </w:tc>
        <w:tc>
          <w:tcPr>
            <w:tcW w:w="708" w:type="dxa"/>
          </w:tcPr>
          <w:p w14:paraId="23DFD77A" w14:textId="77777777" w:rsidR="001E0A0D" w:rsidRPr="0082182E" w:rsidRDefault="001E0A0D" w:rsidP="001E6192">
            <w:pPr>
              <w:jc w:val="center"/>
              <w:rPr>
                <w:rFonts w:ascii="Times New Roman" w:hAnsi="Times New Roman" w:cs="Times New Roman"/>
                <w:sz w:val="18"/>
                <w:szCs w:val="18"/>
                <w:lang w:val="ro-RO"/>
              </w:rPr>
            </w:pPr>
          </w:p>
        </w:tc>
        <w:tc>
          <w:tcPr>
            <w:tcW w:w="1443" w:type="dxa"/>
            <w:vAlign w:val="center"/>
          </w:tcPr>
          <w:p w14:paraId="5D5A2CD3"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30" w:type="dxa"/>
          </w:tcPr>
          <w:p w14:paraId="67767BC2" w14:textId="77777777" w:rsidR="001E0A0D" w:rsidRPr="0082182E" w:rsidRDefault="001E0A0D" w:rsidP="001E6192">
            <w:pPr>
              <w:rPr>
                <w:rFonts w:ascii="Times New Roman" w:hAnsi="Times New Roman" w:cs="Times New Roman"/>
                <w:sz w:val="18"/>
                <w:szCs w:val="18"/>
                <w:lang w:val="ro-RO"/>
              </w:rPr>
            </w:pPr>
          </w:p>
        </w:tc>
        <w:tc>
          <w:tcPr>
            <w:tcW w:w="1331" w:type="dxa"/>
          </w:tcPr>
          <w:p w14:paraId="4776AAE7" w14:textId="77777777" w:rsidR="001E0A0D" w:rsidRPr="0082182E" w:rsidRDefault="001E0A0D" w:rsidP="001E6192">
            <w:pPr>
              <w:rPr>
                <w:rFonts w:ascii="Times New Roman" w:hAnsi="Times New Roman" w:cs="Times New Roman"/>
                <w:sz w:val="18"/>
                <w:szCs w:val="18"/>
                <w:lang w:val="ro-RO"/>
              </w:rPr>
            </w:pPr>
          </w:p>
        </w:tc>
        <w:tc>
          <w:tcPr>
            <w:tcW w:w="1190" w:type="dxa"/>
          </w:tcPr>
          <w:p w14:paraId="2E872933" w14:textId="77777777" w:rsidR="001E0A0D" w:rsidRPr="0082182E" w:rsidRDefault="001E0A0D" w:rsidP="001E6192">
            <w:pPr>
              <w:rPr>
                <w:rFonts w:ascii="Times New Roman" w:hAnsi="Times New Roman" w:cs="Times New Roman"/>
                <w:sz w:val="18"/>
                <w:szCs w:val="18"/>
                <w:lang w:val="ro-RO"/>
              </w:rPr>
            </w:pPr>
          </w:p>
        </w:tc>
        <w:tc>
          <w:tcPr>
            <w:tcW w:w="1358" w:type="dxa"/>
          </w:tcPr>
          <w:p w14:paraId="124455BC"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6299B65B"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3DF5AF94" w14:textId="77777777" w:rsidR="001E0A0D" w:rsidRPr="0082182E" w:rsidRDefault="001E0A0D" w:rsidP="001E6192">
            <w:pPr>
              <w:rPr>
                <w:rFonts w:ascii="Times New Roman" w:hAnsi="Times New Roman" w:cs="Times New Roman"/>
                <w:sz w:val="18"/>
                <w:szCs w:val="18"/>
                <w:lang w:val="ro-RO"/>
              </w:rPr>
            </w:pPr>
          </w:p>
        </w:tc>
        <w:tc>
          <w:tcPr>
            <w:tcW w:w="1246" w:type="dxa"/>
          </w:tcPr>
          <w:p w14:paraId="155D9789" w14:textId="77777777" w:rsidR="001E0A0D" w:rsidRPr="0082182E" w:rsidRDefault="001E0A0D" w:rsidP="001E6192">
            <w:pPr>
              <w:rPr>
                <w:rFonts w:ascii="Times New Roman" w:hAnsi="Times New Roman" w:cs="Times New Roman"/>
                <w:sz w:val="18"/>
                <w:szCs w:val="18"/>
                <w:lang w:val="ro-RO"/>
              </w:rPr>
            </w:pPr>
          </w:p>
        </w:tc>
      </w:tr>
      <w:tr w:rsidR="001E0A0D" w:rsidRPr="0082182E" w14:paraId="0C528051" w14:textId="77777777" w:rsidTr="001E6192">
        <w:tc>
          <w:tcPr>
            <w:tcW w:w="14892" w:type="dxa"/>
            <w:gridSpan w:val="10"/>
          </w:tcPr>
          <w:p w14:paraId="6ED56A0E" w14:textId="77777777" w:rsidR="001E0A0D" w:rsidRPr="0082182E" w:rsidRDefault="001E0A0D" w:rsidP="001E6192">
            <w:pPr>
              <w:jc w:val="left"/>
              <w:rPr>
                <w:rFonts w:ascii="Times New Roman" w:hAnsi="Times New Roman" w:cs="Times New Roman"/>
                <w:sz w:val="18"/>
                <w:szCs w:val="18"/>
                <w:lang w:val="ro-RO"/>
              </w:rPr>
            </w:pPr>
            <w:r w:rsidRPr="0082182E">
              <w:rPr>
                <w:rFonts w:ascii="Times New Roman" w:hAnsi="Times New Roman" w:cs="Times New Roman"/>
                <w:b/>
                <w:bCs/>
                <w:sz w:val="18"/>
                <w:szCs w:val="18"/>
                <w:lang w:val="ro-RO"/>
              </w:rPr>
              <w:t>OG 3 Dezvoltarea pieței locale și sporirea potențialului de export</w:t>
            </w:r>
          </w:p>
        </w:tc>
      </w:tr>
      <w:tr w:rsidR="001E0A0D" w:rsidRPr="0082182E" w14:paraId="5191D093" w14:textId="77777777" w:rsidTr="00C8682F">
        <w:tc>
          <w:tcPr>
            <w:tcW w:w="3235" w:type="dxa"/>
          </w:tcPr>
          <w:p w14:paraId="54116630"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3.1 Asigurarea securității alimentare și a autosuficienței cu producție autohtonă</w:t>
            </w:r>
          </w:p>
        </w:tc>
        <w:tc>
          <w:tcPr>
            <w:tcW w:w="708" w:type="dxa"/>
          </w:tcPr>
          <w:p w14:paraId="3A8A1335"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5E0FB4F0"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30" w:type="dxa"/>
          </w:tcPr>
          <w:p w14:paraId="1B9D4F7B"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7CFED18F"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56BA5DC6"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46AC5477"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5C312368"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6428463D"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781B7CDB" w14:textId="77777777" w:rsidR="001E0A0D" w:rsidRPr="0082182E" w:rsidRDefault="001E0A0D" w:rsidP="001E6192">
            <w:pPr>
              <w:jc w:val="center"/>
              <w:rPr>
                <w:rFonts w:ascii="Times New Roman" w:hAnsi="Times New Roman" w:cs="Times New Roman"/>
                <w:sz w:val="18"/>
                <w:szCs w:val="18"/>
                <w:lang w:val="ro-RO"/>
              </w:rPr>
            </w:pPr>
          </w:p>
        </w:tc>
      </w:tr>
      <w:tr w:rsidR="001E0A0D" w:rsidRPr="0082182E" w14:paraId="422C99A4" w14:textId="77777777" w:rsidTr="00C8682F">
        <w:tc>
          <w:tcPr>
            <w:tcW w:w="3235" w:type="dxa"/>
          </w:tcPr>
          <w:p w14:paraId="61FB6A59"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3.2 Consolidarea siguranței alimentelor</w:t>
            </w:r>
          </w:p>
        </w:tc>
        <w:tc>
          <w:tcPr>
            <w:tcW w:w="708" w:type="dxa"/>
          </w:tcPr>
          <w:p w14:paraId="052BB519"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78CF2E9C"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3F3C0F28"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7E1E4E5D"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6BB14802"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0B24693E"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0EE63463"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30746AAB"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7D2CFE81"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r>
      <w:tr w:rsidR="001E0A0D" w:rsidRPr="0082182E" w14:paraId="491EA6C8" w14:textId="77777777" w:rsidTr="00C8682F">
        <w:tc>
          <w:tcPr>
            <w:tcW w:w="3235" w:type="dxa"/>
          </w:tcPr>
          <w:p w14:paraId="440F0F4E"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3.3 Creșterea competitivității și integrarea practicilor de marketing în agricultură</w:t>
            </w:r>
          </w:p>
        </w:tc>
        <w:tc>
          <w:tcPr>
            <w:tcW w:w="708" w:type="dxa"/>
          </w:tcPr>
          <w:p w14:paraId="10CAFE4D"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568A9714"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330" w:type="dxa"/>
          </w:tcPr>
          <w:p w14:paraId="1DD2C291"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397F0885"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5976B9F8"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3AC94F43"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57F293F5"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1022F6F2"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28686CB2" w14:textId="77777777" w:rsidR="001E0A0D" w:rsidRPr="0082182E" w:rsidRDefault="001E0A0D" w:rsidP="001E6192">
            <w:pPr>
              <w:jc w:val="center"/>
              <w:rPr>
                <w:rFonts w:ascii="Times New Roman" w:hAnsi="Times New Roman" w:cs="Times New Roman"/>
                <w:sz w:val="18"/>
                <w:szCs w:val="18"/>
                <w:lang w:val="ro-RO"/>
              </w:rPr>
            </w:pPr>
          </w:p>
        </w:tc>
      </w:tr>
      <w:tr w:rsidR="001E0A0D" w:rsidRPr="0082182E" w14:paraId="360E759D" w14:textId="77777777" w:rsidTr="001E6192">
        <w:tc>
          <w:tcPr>
            <w:tcW w:w="14892" w:type="dxa"/>
            <w:gridSpan w:val="10"/>
          </w:tcPr>
          <w:p w14:paraId="37F11063" w14:textId="77777777" w:rsidR="001E0A0D" w:rsidRPr="0082182E" w:rsidRDefault="001E0A0D" w:rsidP="001E6192">
            <w:pPr>
              <w:jc w:val="left"/>
              <w:rPr>
                <w:rFonts w:ascii="Times New Roman" w:hAnsi="Times New Roman" w:cs="Times New Roman"/>
                <w:sz w:val="18"/>
                <w:szCs w:val="18"/>
                <w:lang w:val="ro-RO"/>
              </w:rPr>
            </w:pPr>
            <w:r w:rsidRPr="0082182E">
              <w:rPr>
                <w:rFonts w:ascii="Times New Roman" w:hAnsi="Times New Roman" w:cs="Times New Roman"/>
                <w:b/>
                <w:bCs/>
                <w:sz w:val="18"/>
                <w:szCs w:val="18"/>
                <w:lang w:val="ro-RO"/>
              </w:rPr>
              <w:t>OG 4 Susținerea unei dezvoltări socioeconomice rurale sustenabile</w:t>
            </w:r>
          </w:p>
        </w:tc>
      </w:tr>
      <w:tr w:rsidR="001E0A0D" w:rsidRPr="0082182E" w14:paraId="11AE4322" w14:textId="77777777" w:rsidTr="00C8682F">
        <w:tc>
          <w:tcPr>
            <w:tcW w:w="3235" w:type="dxa"/>
          </w:tcPr>
          <w:p w14:paraId="63C2E518"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4.1 Sporirea investițiilor în infrastructura fizică și de servicii din mediul rural</w:t>
            </w:r>
          </w:p>
        </w:tc>
        <w:tc>
          <w:tcPr>
            <w:tcW w:w="708" w:type="dxa"/>
          </w:tcPr>
          <w:p w14:paraId="46DBBA7C"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768E0F0B"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42E41DB2"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44540384"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6617AE3A"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3583C7A7"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1B8F30AE"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5F4B42F9"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246" w:type="dxa"/>
          </w:tcPr>
          <w:p w14:paraId="65553A66" w14:textId="77777777" w:rsidR="001E0A0D" w:rsidRPr="0082182E" w:rsidRDefault="001E0A0D" w:rsidP="001E6192">
            <w:pPr>
              <w:rPr>
                <w:rFonts w:ascii="Times New Roman" w:hAnsi="Times New Roman" w:cs="Times New Roman"/>
                <w:sz w:val="18"/>
                <w:szCs w:val="18"/>
                <w:lang w:val="ro-RO"/>
              </w:rPr>
            </w:pPr>
          </w:p>
        </w:tc>
      </w:tr>
      <w:tr w:rsidR="001E0A0D" w:rsidRPr="0082182E" w14:paraId="1093D91A" w14:textId="77777777" w:rsidTr="00C8682F">
        <w:tc>
          <w:tcPr>
            <w:tcW w:w="3235" w:type="dxa"/>
          </w:tcPr>
          <w:p w14:paraId="65522E4A"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4.2 Încurajarea afacerilor non-agricole din zonele rurală</w:t>
            </w:r>
          </w:p>
        </w:tc>
        <w:tc>
          <w:tcPr>
            <w:tcW w:w="708" w:type="dxa"/>
          </w:tcPr>
          <w:p w14:paraId="1CC6BCE7"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0F49B29A"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195578C4"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7F06C13B"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412FDFF5"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64AF86A7"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3CCDADE7"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694" w:type="dxa"/>
          </w:tcPr>
          <w:p w14:paraId="39954CB6"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2FACBB22" w14:textId="77777777" w:rsidR="001E0A0D" w:rsidRPr="0082182E" w:rsidRDefault="001E0A0D" w:rsidP="001E6192">
            <w:pPr>
              <w:rPr>
                <w:rFonts w:ascii="Times New Roman" w:hAnsi="Times New Roman" w:cs="Times New Roman"/>
                <w:sz w:val="18"/>
                <w:szCs w:val="18"/>
                <w:lang w:val="ro-RO"/>
              </w:rPr>
            </w:pPr>
          </w:p>
        </w:tc>
      </w:tr>
      <w:tr w:rsidR="001E0A0D" w:rsidRPr="0082182E" w14:paraId="0D16A43F" w14:textId="77777777" w:rsidTr="00C8682F">
        <w:tc>
          <w:tcPr>
            <w:tcW w:w="3235" w:type="dxa"/>
          </w:tcPr>
          <w:p w14:paraId="12FC7471"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4.3 Implicarea comunității locale în implementarea strategiilor de dezvoltare locală</w:t>
            </w:r>
          </w:p>
        </w:tc>
        <w:tc>
          <w:tcPr>
            <w:tcW w:w="708" w:type="dxa"/>
          </w:tcPr>
          <w:p w14:paraId="7A0BDD27"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343013A9"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336F02DA"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44CD3179"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0EEFC55A"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1F72D1BC"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12E4CA14" w14:textId="77777777" w:rsidR="001E0A0D" w:rsidRPr="0082182E" w:rsidRDefault="001E0A0D" w:rsidP="001E6192">
            <w:pPr>
              <w:jc w:val="center"/>
              <w:rPr>
                <w:rFonts w:ascii="Times New Roman" w:hAnsi="Times New Roman" w:cs="Times New Roman"/>
                <w:sz w:val="18"/>
                <w:szCs w:val="18"/>
                <w:lang w:val="ro-RO"/>
              </w:rPr>
            </w:pPr>
          </w:p>
        </w:tc>
        <w:tc>
          <w:tcPr>
            <w:tcW w:w="1694" w:type="dxa"/>
          </w:tcPr>
          <w:p w14:paraId="6E291E41"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246" w:type="dxa"/>
          </w:tcPr>
          <w:p w14:paraId="3A7A9E46" w14:textId="77777777" w:rsidR="001E0A0D" w:rsidRPr="0082182E" w:rsidRDefault="001E0A0D" w:rsidP="001E6192">
            <w:pPr>
              <w:rPr>
                <w:rFonts w:ascii="Times New Roman" w:hAnsi="Times New Roman" w:cs="Times New Roman"/>
                <w:sz w:val="18"/>
                <w:szCs w:val="18"/>
                <w:lang w:val="ro-RO"/>
              </w:rPr>
            </w:pPr>
          </w:p>
        </w:tc>
      </w:tr>
      <w:tr w:rsidR="001E0A0D" w:rsidRPr="0082182E" w14:paraId="16E2655C" w14:textId="77777777" w:rsidTr="00C8682F">
        <w:tc>
          <w:tcPr>
            <w:tcW w:w="3235" w:type="dxa"/>
          </w:tcPr>
          <w:p w14:paraId="38A7BCEF" w14:textId="77777777" w:rsidR="001E0A0D" w:rsidRPr="0082182E" w:rsidRDefault="001E0A0D" w:rsidP="001E6192">
            <w:pPr>
              <w:jc w:val="left"/>
              <w:rPr>
                <w:rFonts w:ascii="Times New Roman" w:hAnsi="Times New Roman" w:cs="Times New Roman"/>
                <w:i/>
                <w:iCs/>
                <w:sz w:val="18"/>
                <w:szCs w:val="18"/>
                <w:lang w:val="ro-RO"/>
              </w:rPr>
            </w:pPr>
            <w:r w:rsidRPr="0082182E">
              <w:rPr>
                <w:rFonts w:ascii="Times New Roman" w:hAnsi="Times New Roman" w:cs="Times New Roman"/>
                <w:i/>
                <w:iCs/>
                <w:sz w:val="18"/>
                <w:szCs w:val="18"/>
                <w:lang w:val="ro-RO"/>
              </w:rPr>
              <w:t>OS 4.4 Stimularea tinerilor fermieri prin facilitarea dezvoltării afacerilor în mediul rural</w:t>
            </w:r>
          </w:p>
        </w:tc>
        <w:tc>
          <w:tcPr>
            <w:tcW w:w="708" w:type="dxa"/>
          </w:tcPr>
          <w:p w14:paraId="1607F192" w14:textId="77777777" w:rsidR="001E0A0D" w:rsidRPr="0082182E" w:rsidRDefault="001E0A0D" w:rsidP="001E6192">
            <w:pPr>
              <w:jc w:val="center"/>
              <w:rPr>
                <w:rFonts w:ascii="Times New Roman" w:hAnsi="Times New Roman" w:cs="Times New Roman"/>
                <w:sz w:val="18"/>
                <w:szCs w:val="18"/>
                <w:lang w:val="ro-RO"/>
              </w:rPr>
            </w:pPr>
          </w:p>
        </w:tc>
        <w:tc>
          <w:tcPr>
            <w:tcW w:w="1443" w:type="dxa"/>
          </w:tcPr>
          <w:p w14:paraId="49CB3239" w14:textId="77777777" w:rsidR="001E0A0D" w:rsidRPr="0082182E" w:rsidRDefault="001E0A0D" w:rsidP="001E6192">
            <w:pPr>
              <w:jc w:val="center"/>
              <w:rPr>
                <w:rFonts w:ascii="Times New Roman" w:hAnsi="Times New Roman" w:cs="Times New Roman"/>
                <w:sz w:val="18"/>
                <w:szCs w:val="18"/>
                <w:lang w:val="ro-RO"/>
              </w:rPr>
            </w:pPr>
          </w:p>
        </w:tc>
        <w:tc>
          <w:tcPr>
            <w:tcW w:w="1330" w:type="dxa"/>
          </w:tcPr>
          <w:p w14:paraId="135299CA" w14:textId="77777777" w:rsidR="001E0A0D" w:rsidRPr="0082182E" w:rsidRDefault="001E0A0D" w:rsidP="001E6192">
            <w:pPr>
              <w:jc w:val="center"/>
              <w:rPr>
                <w:rFonts w:ascii="Times New Roman" w:hAnsi="Times New Roman" w:cs="Times New Roman"/>
                <w:sz w:val="18"/>
                <w:szCs w:val="18"/>
                <w:lang w:val="ro-RO"/>
              </w:rPr>
            </w:pPr>
          </w:p>
        </w:tc>
        <w:tc>
          <w:tcPr>
            <w:tcW w:w="1331" w:type="dxa"/>
          </w:tcPr>
          <w:p w14:paraId="62E28F21" w14:textId="77777777" w:rsidR="001E0A0D" w:rsidRPr="0082182E" w:rsidRDefault="001E0A0D" w:rsidP="001E6192">
            <w:pPr>
              <w:jc w:val="center"/>
              <w:rPr>
                <w:rFonts w:ascii="Times New Roman" w:hAnsi="Times New Roman" w:cs="Times New Roman"/>
                <w:sz w:val="18"/>
                <w:szCs w:val="18"/>
                <w:lang w:val="ro-RO"/>
              </w:rPr>
            </w:pPr>
          </w:p>
        </w:tc>
        <w:tc>
          <w:tcPr>
            <w:tcW w:w="1190" w:type="dxa"/>
          </w:tcPr>
          <w:p w14:paraId="2899E066" w14:textId="77777777" w:rsidR="001E0A0D" w:rsidRPr="0082182E" w:rsidRDefault="001E0A0D" w:rsidP="001E6192">
            <w:pPr>
              <w:jc w:val="center"/>
              <w:rPr>
                <w:rFonts w:ascii="Times New Roman" w:hAnsi="Times New Roman" w:cs="Times New Roman"/>
                <w:sz w:val="18"/>
                <w:szCs w:val="18"/>
                <w:lang w:val="ro-RO"/>
              </w:rPr>
            </w:pPr>
          </w:p>
        </w:tc>
        <w:tc>
          <w:tcPr>
            <w:tcW w:w="1358" w:type="dxa"/>
          </w:tcPr>
          <w:p w14:paraId="324262C0" w14:textId="77777777" w:rsidR="001E0A0D" w:rsidRPr="0082182E" w:rsidRDefault="001E0A0D" w:rsidP="001E6192">
            <w:pPr>
              <w:jc w:val="center"/>
              <w:rPr>
                <w:rFonts w:ascii="Times New Roman" w:hAnsi="Times New Roman" w:cs="Times New Roman"/>
                <w:sz w:val="18"/>
                <w:szCs w:val="18"/>
                <w:lang w:val="ro-RO"/>
              </w:rPr>
            </w:pPr>
          </w:p>
        </w:tc>
        <w:tc>
          <w:tcPr>
            <w:tcW w:w="1357" w:type="dxa"/>
          </w:tcPr>
          <w:p w14:paraId="37D33458" w14:textId="77777777" w:rsidR="001E0A0D" w:rsidRPr="0082182E" w:rsidRDefault="001E0A0D" w:rsidP="001E6192">
            <w:pPr>
              <w:jc w:val="center"/>
              <w:rPr>
                <w:rFonts w:ascii="Times New Roman" w:hAnsi="Times New Roman" w:cs="Times New Roman"/>
                <w:sz w:val="18"/>
                <w:szCs w:val="18"/>
                <w:lang w:val="ro-RO"/>
              </w:rPr>
            </w:pPr>
            <w:r w:rsidRPr="0082182E">
              <w:rPr>
                <w:rFonts w:ascii="Times New Roman" w:hAnsi="Times New Roman" w:cs="Times New Roman"/>
                <w:sz w:val="18"/>
                <w:szCs w:val="18"/>
                <w:lang w:val="ro-RO"/>
              </w:rPr>
              <w:t>■</w:t>
            </w:r>
          </w:p>
        </w:tc>
        <w:tc>
          <w:tcPr>
            <w:tcW w:w="1694" w:type="dxa"/>
          </w:tcPr>
          <w:p w14:paraId="3C8BF095" w14:textId="77777777" w:rsidR="001E0A0D" w:rsidRPr="0082182E" w:rsidRDefault="001E0A0D" w:rsidP="001E6192">
            <w:pPr>
              <w:jc w:val="center"/>
              <w:rPr>
                <w:rFonts w:ascii="Times New Roman" w:hAnsi="Times New Roman" w:cs="Times New Roman"/>
                <w:sz w:val="18"/>
                <w:szCs w:val="18"/>
                <w:lang w:val="ro-RO"/>
              </w:rPr>
            </w:pPr>
          </w:p>
        </w:tc>
        <w:tc>
          <w:tcPr>
            <w:tcW w:w="1246" w:type="dxa"/>
          </w:tcPr>
          <w:p w14:paraId="5F994B16" w14:textId="77777777" w:rsidR="001E0A0D" w:rsidRPr="0082182E" w:rsidRDefault="001E0A0D" w:rsidP="001E6192">
            <w:pPr>
              <w:rPr>
                <w:rFonts w:ascii="Times New Roman" w:hAnsi="Times New Roman" w:cs="Times New Roman"/>
                <w:sz w:val="18"/>
                <w:szCs w:val="18"/>
                <w:lang w:val="ro-RO"/>
              </w:rPr>
            </w:pPr>
          </w:p>
        </w:tc>
      </w:tr>
    </w:tbl>
    <w:p w14:paraId="06573026" w14:textId="77777777" w:rsidR="001E0A0D" w:rsidRPr="00A73566" w:rsidRDefault="001E0A0D" w:rsidP="001E0A0D">
      <w:pPr>
        <w:rPr>
          <w:rFonts w:ascii="Times New Roman" w:hAnsi="Times New Roman" w:cs="Times New Roman"/>
          <w:lang w:val="ro-RO"/>
        </w:rPr>
        <w:sectPr w:rsidR="001E0A0D" w:rsidRPr="00A73566" w:rsidSect="001E6192">
          <w:pgSz w:w="16839" w:h="11907" w:orient="landscape" w:code="9"/>
          <w:pgMar w:top="1440" w:right="1440" w:bottom="1022" w:left="1152" w:header="706" w:footer="283" w:gutter="0"/>
          <w:cols w:space="708"/>
          <w:titlePg/>
          <w:docGrid w:linePitch="360"/>
        </w:sectPr>
      </w:pPr>
      <w:bookmarkStart w:id="143" w:name="_Toc83894653"/>
    </w:p>
    <w:bookmarkEnd w:id="143"/>
    <w:p w14:paraId="05778701" w14:textId="5ABE775E" w:rsidR="001E0A0D" w:rsidRPr="00A73566" w:rsidRDefault="001E0A0D">
      <w:pPr>
        <w:spacing w:after="0"/>
        <w:jc w:val="left"/>
        <w:rPr>
          <w:rFonts w:ascii="Times New Roman" w:hAnsi="Times New Roman" w:cs="Times New Roman"/>
          <w:lang w:val="ro-RO"/>
        </w:rPr>
      </w:pPr>
    </w:p>
    <w:p w14:paraId="54292061" w14:textId="32467225" w:rsidR="001E0A0D" w:rsidRPr="0082182E" w:rsidRDefault="00644E9A" w:rsidP="001E0A0D">
      <w:pPr>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 xml:space="preserve">9.3 </w:t>
      </w:r>
      <w:r w:rsidR="001E0A0D" w:rsidRPr="0082182E">
        <w:rPr>
          <w:rFonts w:ascii="Times New Roman" w:hAnsi="Times New Roman" w:cs="Times New Roman"/>
          <w:b/>
          <w:bCs/>
          <w:sz w:val="18"/>
          <w:szCs w:val="18"/>
          <w:lang w:val="ro-RO"/>
        </w:rPr>
        <w:t xml:space="preserve">CORELAREA OBIECTIVELOR SPECIFICE CU DOMENIILE DE INTERVENȚIE PRIORITARE: </w:t>
      </w:r>
    </w:p>
    <w:tbl>
      <w:tblPr>
        <w:tblStyle w:val="Civittatable"/>
        <w:tblW w:w="14855" w:type="dxa"/>
        <w:tblInd w:w="-5" w:type="dxa"/>
        <w:tblLook w:val="04A0" w:firstRow="1" w:lastRow="0" w:firstColumn="1" w:lastColumn="0" w:noHBand="0" w:noVBand="1"/>
      </w:tblPr>
      <w:tblGrid>
        <w:gridCol w:w="2948"/>
        <w:gridCol w:w="4678"/>
        <w:gridCol w:w="7229"/>
      </w:tblGrid>
      <w:tr w:rsidR="001E0A0D" w:rsidRPr="0082182E" w14:paraId="2A72BB3B" w14:textId="77777777" w:rsidTr="00D74E73">
        <w:trPr>
          <w:cnfStyle w:val="100000000000" w:firstRow="1" w:lastRow="0" w:firstColumn="0" w:lastColumn="0" w:oddVBand="0" w:evenVBand="0" w:oddHBand="0" w:evenHBand="0" w:firstRowFirstColumn="0" w:firstRowLastColumn="0" w:lastRowFirstColumn="0" w:lastRowLastColumn="0"/>
        </w:trPr>
        <w:tc>
          <w:tcPr>
            <w:tcW w:w="2948" w:type="dxa"/>
          </w:tcPr>
          <w:p w14:paraId="48CC0EFE" w14:textId="77777777" w:rsidR="001E0A0D" w:rsidRPr="0082182E" w:rsidRDefault="001E0A0D" w:rsidP="001E6192">
            <w:pPr>
              <w:jc w:val="left"/>
              <w:rPr>
                <w:rFonts w:ascii="Times New Roman" w:hAnsi="Times New Roman" w:cs="Times New Roman"/>
                <w:b/>
                <w:bCs/>
                <w:color w:val="auto"/>
                <w:sz w:val="18"/>
                <w:szCs w:val="18"/>
                <w:lang w:val="ro-RO"/>
              </w:rPr>
            </w:pPr>
            <w:r w:rsidRPr="0082182E">
              <w:rPr>
                <w:rFonts w:ascii="Times New Roman" w:hAnsi="Times New Roman" w:cs="Times New Roman"/>
                <w:b/>
                <w:bCs/>
                <w:sz w:val="18"/>
                <w:szCs w:val="18"/>
                <w:lang w:val="ro-RO"/>
              </w:rPr>
              <w:t>Obiectivul General</w:t>
            </w:r>
          </w:p>
        </w:tc>
        <w:tc>
          <w:tcPr>
            <w:tcW w:w="4678" w:type="dxa"/>
          </w:tcPr>
          <w:p w14:paraId="5767F360" w14:textId="77777777" w:rsidR="001E0A0D" w:rsidRPr="0082182E" w:rsidRDefault="001E0A0D" w:rsidP="001E6192">
            <w:pPr>
              <w:jc w:val="center"/>
              <w:rPr>
                <w:rFonts w:ascii="Times New Roman" w:hAnsi="Times New Roman" w:cs="Times New Roman"/>
                <w:b/>
                <w:bCs/>
                <w:color w:val="auto"/>
                <w:sz w:val="18"/>
                <w:szCs w:val="18"/>
                <w:lang w:val="ro-RO"/>
              </w:rPr>
            </w:pPr>
            <w:r w:rsidRPr="0082182E">
              <w:rPr>
                <w:rFonts w:ascii="Times New Roman" w:hAnsi="Times New Roman" w:cs="Times New Roman"/>
                <w:b/>
                <w:bCs/>
                <w:sz w:val="18"/>
                <w:szCs w:val="18"/>
                <w:lang w:val="ro-RO"/>
              </w:rPr>
              <w:t>obiectivul specific</w:t>
            </w:r>
          </w:p>
        </w:tc>
        <w:tc>
          <w:tcPr>
            <w:tcW w:w="7229" w:type="dxa"/>
          </w:tcPr>
          <w:p w14:paraId="49F08031" w14:textId="77777777" w:rsidR="001E0A0D" w:rsidRPr="0082182E" w:rsidRDefault="001E0A0D" w:rsidP="001E6192">
            <w:pPr>
              <w:jc w:val="center"/>
              <w:rPr>
                <w:rFonts w:ascii="Times New Roman" w:hAnsi="Times New Roman" w:cs="Times New Roman"/>
                <w:b/>
                <w:bCs/>
                <w:color w:val="auto"/>
                <w:sz w:val="18"/>
                <w:szCs w:val="18"/>
                <w:lang w:val="ro-RO"/>
              </w:rPr>
            </w:pPr>
            <w:r w:rsidRPr="0082182E">
              <w:rPr>
                <w:rFonts w:ascii="Times New Roman" w:hAnsi="Times New Roman" w:cs="Times New Roman"/>
                <w:b/>
                <w:bCs/>
                <w:sz w:val="18"/>
                <w:szCs w:val="18"/>
                <w:lang w:val="ro-RO"/>
              </w:rPr>
              <w:t>Domeniile de intervenție</w:t>
            </w:r>
          </w:p>
        </w:tc>
      </w:tr>
      <w:tr w:rsidR="001E0A0D" w:rsidRPr="0082182E" w14:paraId="5800D217"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val="restart"/>
          </w:tcPr>
          <w:p w14:paraId="0E85A1B3" w14:textId="77777777" w:rsidR="001E0A0D" w:rsidRPr="0082182E" w:rsidRDefault="001E0A0D" w:rsidP="001E6192">
            <w:pPr>
              <w:jc w:val="left"/>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 xml:space="preserve">OG1. Consolidarea potențialului sectorului agricol rezilient la schimbările climatice </w:t>
            </w:r>
          </w:p>
        </w:tc>
        <w:tc>
          <w:tcPr>
            <w:tcW w:w="4678" w:type="dxa"/>
          </w:tcPr>
          <w:p w14:paraId="37990CA5"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1.1 Asigurarea calității și disponibilității inputurilor în agricultură</w:t>
            </w:r>
          </w:p>
        </w:tc>
        <w:tc>
          <w:tcPr>
            <w:tcW w:w="7229" w:type="dxa"/>
          </w:tcPr>
          <w:p w14:paraId="499847E4"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245C00D2" w14:textId="0587E63C"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78984DDB"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p w14:paraId="05EFB509"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cercetare și dezvoltare în domeniul agro-alimentar</w:t>
            </w:r>
          </w:p>
        </w:tc>
      </w:tr>
      <w:tr w:rsidR="001E0A0D" w:rsidRPr="0082182E" w14:paraId="24E4B206"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3288A28F"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3ED1187F"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1.2 Eficientizarea utilizării durabile a resurselor naturale, diminuarea riscurilor în agricultură prin adaptarea la schimbările climatice de apă, sol și energie</w:t>
            </w:r>
          </w:p>
        </w:tc>
        <w:tc>
          <w:tcPr>
            <w:tcW w:w="7229" w:type="dxa"/>
          </w:tcPr>
          <w:p w14:paraId="1B49FF0D"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2B2FDB7B"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6603B8BA"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p w14:paraId="37D29681"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cercetare și dezvoltare în domeniul agro-alimentar</w:t>
            </w:r>
          </w:p>
        </w:tc>
      </w:tr>
      <w:tr w:rsidR="001E0A0D" w:rsidRPr="0082182E" w14:paraId="5EBF70CA"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tcPr>
          <w:p w14:paraId="748E5DE1"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14B46871"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1.3 Conservarea și dezvoltarea biodiversității</w:t>
            </w:r>
          </w:p>
        </w:tc>
        <w:tc>
          <w:tcPr>
            <w:tcW w:w="7229" w:type="dxa"/>
          </w:tcPr>
          <w:p w14:paraId="68177983" w14:textId="77777777" w:rsidR="001E0A0D" w:rsidRPr="0082182E" w:rsidRDefault="001E0A0D"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Revitalizarea sectorului de cercetare și dezvoltare în domeniul agro-alimentar</w:t>
            </w:r>
          </w:p>
          <w:p w14:paraId="00CA67D9"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1E989601"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1914BDAB"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7156D9B6"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2BEAFD46"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1.4 Promovarea și dezvoltarea agriculturii ecologice</w:t>
            </w:r>
          </w:p>
          <w:p w14:paraId="71033E78" w14:textId="77777777" w:rsidR="001E0A0D" w:rsidRPr="0082182E" w:rsidRDefault="001E0A0D" w:rsidP="001E6192">
            <w:pPr>
              <w:jc w:val="left"/>
              <w:rPr>
                <w:rFonts w:ascii="Times New Roman" w:hAnsi="Times New Roman" w:cs="Times New Roman"/>
                <w:b/>
                <w:bCs/>
                <w:i/>
                <w:iCs/>
                <w:sz w:val="18"/>
                <w:szCs w:val="18"/>
                <w:lang w:val="ro-RO"/>
              </w:rPr>
            </w:pPr>
          </w:p>
          <w:p w14:paraId="24806BD8"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1.5 Crearea premiselor și lansarea bioeconomiei.</w:t>
            </w:r>
          </w:p>
        </w:tc>
        <w:tc>
          <w:tcPr>
            <w:tcW w:w="7229" w:type="dxa"/>
          </w:tcPr>
          <w:p w14:paraId="6FFEA64D"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7B309FD2"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13702D1C"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p w14:paraId="517F3B5A"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cercetare și dezvoltare în domeniul agro-alimentar</w:t>
            </w:r>
          </w:p>
        </w:tc>
      </w:tr>
      <w:tr w:rsidR="001E0A0D" w:rsidRPr="0082182E" w14:paraId="1A388F81"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val="restart"/>
          </w:tcPr>
          <w:p w14:paraId="4BBD1805" w14:textId="77777777" w:rsidR="001E0A0D" w:rsidRPr="0082182E" w:rsidRDefault="001E0A0D" w:rsidP="001E6192">
            <w:pPr>
              <w:jc w:val="left"/>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OG2. Promovarea practicilor agricole inteligente, eficiente si durabile</w:t>
            </w:r>
          </w:p>
          <w:p w14:paraId="304F5BEC"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6F8639FC"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2.1 Revigorarea sectoarelor agricole strategice pentru securitatea alimentară a țării</w:t>
            </w:r>
          </w:p>
        </w:tc>
        <w:tc>
          <w:tcPr>
            <w:tcW w:w="7229" w:type="dxa"/>
          </w:tcPr>
          <w:p w14:paraId="173EDA34"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30D3FFD0"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50099226"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030328B3"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06E5F739"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3F49F164"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2.2 Dezvoltarea lanțurilor alimentare și de producție în agricultură și promovarea cooperării</w:t>
            </w:r>
          </w:p>
        </w:tc>
        <w:tc>
          <w:tcPr>
            <w:tcW w:w="7229" w:type="dxa"/>
          </w:tcPr>
          <w:p w14:paraId="6145B011"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1C083C6F"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1E17E178"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tcPr>
          <w:p w14:paraId="2B3CFB40"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5D7F7DC6"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2.3 Promovarea modelelor de afaceri generatoare de locuri de muncă formale și permanente ce asigura fermierilor un venit durabil</w:t>
            </w:r>
          </w:p>
        </w:tc>
        <w:tc>
          <w:tcPr>
            <w:tcW w:w="7229" w:type="dxa"/>
          </w:tcPr>
          <w:p w14:paraId="49805856"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15DC404F"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3D9BD3C4"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673F9CA0"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15317537"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256A706F"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2.4 Stimularea agriculturii bazate pe inovații și cunoaștere</w:t>
            </w:r>
          </w:p>
        </w:tc>
        <w:tc>
          <w:tcPr>
            <w:tcW w:w="7229" w:type="dxa"/>
          </w:tcPr>
          <w:p w14:paraId="5BC9C51D" w14:textId="77777777" w:rsidR="00112A26" w:rsidRPr="0082182E" w:rsidRDefault="00112A26"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59C6A0B0" w14:textId="09F4E448"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340F6A90"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p w14:paraId="4E77DBFF" w14:textId="1BA0D248"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cercetare și dezvoltare în domeniul agroalimentar</w:t>
            </w:r>
          </w:p>
        </w:tc>
      </w:tr>
      <w:tr w:rsidR="001E0A0D" w:rsidRPr="0082182E" w14:paraId="170B3D57"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val="restart"/>
          </w:tcPr>
          <w:p w14:paraId="0E68A1E9" w14:textId="77777777" w:rsidR="001E0A0D" w:rsidRPr="0082182E" w:rsidRDefault="001E0A0D" w:rsidP="001E6192">
            <w:pPr>
              <w:jc w:val="left"/>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OG3. Dezvoltarea pieței locale și sporirea potențialului de export</w:t>
            </w:r>
          </w:p>
          <w:p w14:paraId="5F181DD1"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3B3CC147"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3.1 Asigurarea securității alimentare și a autosuficienței cu producție autohtonă</w:t>
            </w:r>
          </w:p>
        </w:tc>
        <w:tc>
          <w:tcPr>
            <w:tcW w:w="7229" w:type="dxa"/>
          </w:tcPr>
          <w:p w14:paraId="05AC6A35" w14:textId="77777777" w:rsidR="000A74E0" w:rsidRPr="0082182E" w:rsidRDefault="000A74E0"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4C1E4281" w14:textId="255A4CC4"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3FEA354A"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607BBBED"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253CE3D6"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2BFD492F"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3.2 Consolidarea siguranței alimentelor</w:t>
            </w:r>
          </w:p>
        </w:tc>
        <w:tc>
          <w:tcPr>
            <w:tcW w:w="7229" w:type="dxa"/>
          </w:tcPr>
          <w:p w14:paraId="2EED4BA5"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Consolidarea Siguranței Alimentare a țării</w:t>
            </w:r>
          </w:p>
        </w:tc>
      </w:tr>
      <w:tr w:rsidR="001E0A0D" w:rsidRPr="0082182E" w14:paraId="715C2EAA"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tcPr>
          <w:p w14:paraId="05E55BC7"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4AFE8B41"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OS 3.3 Creșterea competitivității și integrarea practicilor de marketing în agricultură</w:t>
            </w:r>
          </w:p>
        </w:tc>
        <w:tc>
          <w:tcPr>
            <w:tcW w:w="7229" w:type="dxa"/>
          </w:tcPr>
          <w:p w14:paraId="53103C84" w14:textId="77777777" w:rsidR="000A74E0" w:rsidRPr="0082182E" w:rsidRDefault="000A74E0" w:rsidP="00E720EE">
            <w:pPr>
              <w:pStyle w:val="ListParagraph"/>
              <w:numPr>
                <w:ilvl w:val="0"/>
                <w:numId w:val="12"/>
              </w:numPr>
              <w:jc w:val="left"/>
              <w:rPr>
                <w:rFonts w:ascii="Times New Roman" w:hAnsi="Times New Roman" w:cs="Times New Roman"/>
                <w:i/>
                <w:iCs/>
                <w:color w:val="auto"/>
                <w:sz w:val="18"/>
                <w:szCs w:val="18"/>
                <w:lang w:val="ro-RO"/>
              </w:rPr>
            </w:pPr>
            <w:r w:rsidRPr="0082182E">
              <w:rPr>
                <w:rFonts w:ascii="Times New Roman" w:hAnsi="Times New Roman" w:cs="Times New Roman"/>
                <w:i/>
                <w:iCs/>
                <w:color w:val="auto"/>
                <w:sz w:val="18"/>
                <w:szCs w:val="18"/>
                <w:lang w:val="ro-RO"/>
              </w:rPr>
              <w:t xml:space="preserve">Eficientizarea sectoarelor fitotehnic și horticol, orientarea spre creșterea culturilor cu valoare adăugată </w:t>
            </w:r>
          </w:p>
          <w:p w14:paraId="4E99446F" w14:textId="427331D2"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Revitalizarea sectorului de procesare a producție agricole</w:t>
            </w:r>
          </w:p>
          <w:p w14:paraId="68E341B2"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Valorificarea sectorului zootehnic</w:t>
            </w:r>
          </w:p>
        </w:tc>
      </w:tr>
      <w:tr w:rsidR="001E0A0D" w:rsidRPr="0082182E" w14:paraId="71813A95"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val="restart"/>
          </w:tcPr>
          <w:p w14:paraId="78772A43" w14:textId="77777777" w:rsidR="001E0A0D" w:rsidRPr="0082182E" w:rsidRDefault="001E0A0D" w:rsidP="001E6192">
            <w:pPr>
              <w:jc w:val="left"/>
              <w:rPr>
                <w:rFonts w:ascii="Times New Roman" w:hAnsi="Times New Roman" w:cs="Times New Roman"/>
                <w:b/>
                <w:bCs/>
                <w:sz w:val="18"/>
                <w:szCs w:val="18"/>
                <w:lang w:val="ro-RO"/>
              </w:rPr>
            </w:pPr>
            <w:r w:rsidRPr="0082182E">
              <w:rPr>
                <w:rFonts w:ascii="Times New Roman" w:hAnsi="Times New Roman" w:cs="Times New Roman"/>
                <w:b/>
                <w:bCs/>
                <w:sz w:val="18"/>
                <w:szCs w:val="18"/>
                <w:lang w:val="ro-RO"/>
              </w:rPr>
              <w:t>OG4. Susținerea unei dezvoltări socioeconomice rurale sustenabile</w:t>
            </w:r>
          </w:p>
          <w:p w14:paraId="0E9D4BF2"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43774347"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4.1 Sporirea investițiilor în infrastructura fizică și de servicii din mediul rural</w:t>
            </w:r>
          </w:p>
        </w:tc>
        <w:tc>
          <w:tcPr>
            <w:tcW w:w="7229" w:type="dxa"/>
            <w:vMerge w:val="restart"/>
            <w:vAlign w:val="center"/>
          </w:tcPr>
          <w:p w14:paraId="515CD5C1" w14:textId="77777777" w:rsidR="001E0A0D" w:rsidRPr="0082182E" w:rsidRDefault="001E0A0D" w:rsidP="00E720EE">
            <w:pPr>
              <w:pStyle w:val="ListParagraph"/>
              <w:numPr>
                <w:ilvl w:val="0"/>
                <w:numId w:val="12"/>
              </w:numPr>
              <w:jc w:val="left"/>
              <w:rPr>
                <w:rFonts w:ascii="Times New Roman" w:hAnsi="Times New Roman" w:cs="Times New Roman"/>
                <w:i/>
                <w:iCs/>
                <w:sz w:val="18"/>
                <w:szCs w:val="18"/>
                <w:lang w:val="ro-RO"/>
              </w:rPr>
            </w:pPr>
            <w:r w:rsidRPr="0082182E">
              <w:rPr>
                <w:rFonts w:ascii="Times New Roman" w:hAnsi="Times New Roman" w:cs="Times New Roman"/>
                <w:i/>
                <w:iCs/>
                <w:color w:val="auto"/>
                <w:sz w:val="18"/>
                <w:szCs w:val="18"/>
                <w:lang w:val="ro-RO"/>
              </w:rPr>
              <w:t>Intensificarea proceselor de dezvoltare rurala</w:t>
            </w:r>
          </w:p>
        </w:tc>
      </w:tr>
      <w:tr w:rsidR="001E0A0D" w:rsidRPr="0082182E" w14:paraId="428DB2BA"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tcPr>
          <w:p w14:paraId="05B14E6F"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7E1AA5CD"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4.2 Încurajarea afaceri non-agricole din zonele rurală</w:t>
            </w:r>
          </w:p>
        </w:tc>
        <w:tc>
          <w:tcPr>
            <w:tcW w:w="7229" w:type="dxa"/>
            <w:vMerge/>
          </w:tcPr>
          <w:p w14:paraId="5F57B37D" w14:textId="77777777" w:rsidR="001E0A0D" w:rsidRPr="0082182E" w:rsidRDefault="001E0A0D" w:rsidP="001E6192">
            <w:pPr>
              <w:jc w:val="left"/>
              <w:rPr>
                <w:rFonts w:ascii="Times New Roman" w:hAnsi="Times New Roman" w:cs="Times New Roman"/>
                <w:i/>
                <w:iCs/>
                <w:sz w:val="18"/>
                <w:szCs w:val="18"/>
                <w:lang w:val="ro-RO"/>
              </w:rPr>
            </w:pPr>
          </w:p>
        </w:tc>
      </w:tr>
      <w:tr w:rsidR="001E0A0D" w:rsidRPr="0082182E" w14:paraId="5C4B01A5" w14:textId="77777777" w:rsidTr="00D74E73">
        <w:trPr>
          <w:cnfStyle w:val="000000010000" w:firstRow="0" w:lastRow="0" w:firstColumn="0" w:lastColumn="0" w:oddVBand="0" w:evenVBand="0" w:oddHBand="0" w:evenHBand="1" w:firstRowFirstColumn="0" w:firstRowLastColumn="0" w:lastRowFirstColumn="0" w:lastRowLastColumn="0"/>
        </w:trPr>
        <w:tc>
          <w:tcPr>
            <w:tcW w:w="2948" w:type="dxa"/>
            <w:vMerge/>
          </w:tcPr>
          <w:p w14:paraId="510E6E20"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31A39253"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4.3 Implicarea comunității locale în implementarea strategiilor de dezvoltare locală</w:t>
            </w:r>
          </w:p>
        </w:tc>
        <w:tc>
          <w:tcPr>
            <w:tcW w:w="7229" w:type="dxa"/>
            <w:vMerge/>
          </w:tcPr>
          <w:p w14:paraId="6B3145AE" w14:textId="77777777" w:rsidR="001E0A0D" w:rsidRPr="0082182E" w:rsidRDefault="001E0A0D" w:rsidP="001E6192">
            <w:pPr>
              <w:jc w:val="left"/>
              <w:rPr>
                <w:rFonts w:ascii="Times New Roman" w:hAnsi="Times New Roman" w:cs="Times New Roman"/>
                <w:i/>
                <w:iCs/>
                <w:sz w:val="18"/>
                <w:szCs w:val="18"/>
                <w:lang w:val="ro-RO"/>
              </w:rPr>
            </w:pPr>
          </w:p>
        </w:tc>
      </w:tr>
      <w:tr w:rsidR="001E0A0D" w:rsidRPr="0082182E" w14:paraId="6759A439" w14:textId="77777777" w:rsidTr="00D74E73">
        <w:trPr>
          <w:cnfStyle w:val="000000100000" w:firstRow="0" w:lastRow="0" w:firstColumn="0" w:lastColumn="0" w:oddVBand="0" w:evenVBand="0" w:oddHBand="1" w:evenHBand="0" w:firstRowFirstColumn="0" w:firstRowLastColumn="0" w:lastRowFirstColumn="0" w:lastRowLastColumn="0"/>
        </w:trPr>
        <w:tc>
          <w:tcPr>
            <w:tcW w:w="2948" w:type="dxa"/>
            <w:vMerge/>
          </w:tcPr>
          <w:p w14:paraId="448B0443" w14:textId="77777777" w:rsidR="001E0A0D" w:rsidRPr="0082182E" w:rsidRDefault="001E0A0D" w:rsidP="001E6192">
            <w:pPr>
              <w:jc w:val="left"/>
              <w:rPr>
                <w:rFonts w:ascii="Times New Roman" w:hAnsi="Times New Roman" w:cs="Times New Roman"/>
                <w:b/>
                <w:bCs/>
                <w:sz w:val="18"/>
                <w:szCs w:val="18"/>
                <w:lang w:val="ro-RO"/>
              </w:rPr>
            </w:pPr>
          </w:p>
        </w:tc>
        <w:tc>
          <w:tcPr>
            <w:tcW w:w="4678" w:type="dxa"/>
          </w:tcPr>
          <w:p w14:paraId="242F58B5" w14:textId="77777777" w:rsidR="001E0A0D" w:rsidRPr="0082182E" w:rsidRDefault="001E0A0D" w:rsidP="001E6192">
            <w:pPr>
              <w:jc w:val="left"/>
              <w:rPr>
                <w:rFonts w:ascii="Times New Roman" w:hAnsi="Times New Roman" w:cs="Times New Roman"/>
                <w:b/>
                <w:bCs/>
                <w:i/>
                <w:iCs/>
                <w:sz w:val="18"/>
                <w:szCs w:val="18"/>
                <w:lang w:val="ro-RO"/>
              </w:rPr>
            </w:pPr>
            <w:r w:rsidRPr="0082182E">
              <w:rPr>
                <w:rFonts w:ascii="Times New Roman" w:hAnsi="Times New Roman" w:cs="Times New Roman"/>
                <w:b/>
                <w:bCs/>
                <w:i/>
                <w:iCs/>
                <w:sz w:val="18"/>
                <w:szCs w:val="18"/>
                <w:lang w:val="ro-RO"/>
              </w:rPr>
              <w:t>4.4 Stimularea tinerilor fermieri prin facilitarea dezvoltării afacerilor în mediul rural</w:t>
            </w:r>
          </w:p>
        </w:tc>
        <w:tc>
          <w:tcPr>
            <w:tcW w:w="7229" w:type="dxa"/>
            <w:vMerge/>
          </w:tcPr>
          <w:p w14:paraId="476ACD7A" w14:textId="77777777" w:rsidR="001E0A0D" w:rsidRPr="0082182E" w:rsidRDefault="001E0A0D" w:rsidP="001E6192">
            <w:pPr>
              <w:jc w:val="left"/>
              <w:rPr>
                <w:rFonts w:ascii="Times New Roman" w:hAnsi="Times New Roman" w:cs="Times New Roman"/>
                <w:i/>
                <w:iCs/>
                <w:sz w:val="18"/>
                <w:szCs w:val="18"/>
                <w:lang w:val="ro-RO"/>
              </w:rPr>
            </w:pPr>
          </w:p>
        </w:tc>
      </w:tr>
    </w:tbl>
    <w:p w14:paraId="4B84BEDE" w14:textId="77777777" w:rsidR="008431E6" w:rsidRPr="00A73566" w:rsidRDefault="008431E6" w:rsidP="002F5E57">
      <w:pPr>
        <w:rPr>
          <w:rFonts w:ascii="Times New Roman" w:hAnsi="Times New Roman" w:cs="Times New Roman"/>
          <w:b/>
          <w:bCs/>
          <w:sz w:val="24"/>
          <w:szCs w:val="24"/>
          <w:lang w:val="ro-RO"/>
        </w:rPr>
      </w:pPr>
    </w:p>
    <w:sectPr w:rsidR="008431E6" w:rsidRPr="00A73566" w:rsidSect="00385CDD">
      <w:headerReference w:type="even" r:id="rId66"/>
      <w:headerReference w:type="default" r:id="rId67"/>
      <w:footerReference w:type="even" r:id="rId68"/>
      <w:footerReference w:type="default" r:id="rId69"/>
      <w:headerReference w:type="first" r:id="rId70"/>
      <w:footerReference w:type="first" r:id="rId71"/>
      <w:pgSz w:w="16839" w:h="11907" w:orient="landscape" w:code="9"/>
      <w:pgMar w:top="1440" w:right="1440" w:bottom="1022" w:left="1152" w:header="706"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3814" w14:textId="77777777" w:rsidR="00914BD2" w:rsidRDefault="00914BD2">
      <w:r>
        <w:t xml:space="preserve"> "http</w:t>
      </w:r>
    </w:p>
  </w:endnote>
  <w:endnote w:type="continuationSeparator" w:id="0">
    <w:p w14:paraId="76562AFF" w14:textId="77777777" w:rsidR="00914BD2" w:rsidRDefault="00914BD2">
      <w:r>
        <w:t>://ec.</w:t>
      </w:r>
    </w:p>
  </w:endnote>
  <w:endnote w:id="1">
    <w:p w14:paraId="3A465532" w14:textId="2ADEF942" w:rsidR="00914BD2" w:rsidRDefault="00914BD2">
      <w:r w:rsidRPr="00F146F0">
        <w:rPr>
          <w:rStyle w:val="EndnoteReference"/>
          <w:rFonts w:ascii="Times New Roman" w:hAnsi="Times New Roman" w:cs="Times New Roman"/>
        </w:rPr>
        <w:endnoteRef/>
      </w:r>
      <w:r w:rsidRPr="00F146F0">
        <w:rPr>
          <w:rFonts w:ascii="Times New Roman" w:hAnsi="Times New Roman" w:cs="Times New Roman"/>
        </w:rPr>
        <w:t xml:space="preserve"> </w:t>
      </w:r>
      <w:r w:rsidRPr="00C56511">
        <w:rPr>
          <w:rFonts w:ascii="Times New Roman" w:hAnsi="Times New Roman" w:cs="Times New Roman"/>
          <w:sz w:val="20"/>
          <w:szCs w:val="20"/>
          <w:lang w:val="ro-RO"/>
        </w:rPr>
        <w:t>Conform BNS, începând cu anul 2019, ancheta forței de muncă se realezează conform unui nou plan de sondaj și conform definiției revizuite a ocupării, astfel datele pentru anii 2019 și 2020 nu pot fi luați în considerare într-o analiză comparativă cu anul 2014</w:t>
      </w:r>
      <w:r w:rsidRPr="00F146F0">
        <w:rPr>
          <w:rFonts w:ascii="Times New Roman" w:hAnsi="Times New Roman" w:cs="Times New Roman"/>
          <w:lang w:val="ro-RO"/>
        </w:rPr>
        <w:t>.</w:t>
      </w:r>
    </w:p>
  </w:endnote>
  <w:endnote w:id="2">
    <w:p w14:paraId="15DEBF92" w14:textId="77777777" w:rsidR="00914BD2" w:rsidRPr="006B611A" w:rsidRDefault="00914BD2" w:rsidP="006A570C">
      <w:pPr>
        <w:pStyle w:val="EndnoteText"/>
        <w:rPr>
          <w:rFonts w:ascii="Times New Roman" w:hAnsi="Times New Roman" w:cs="Times New Roman"/>
        </w:rPr>
      </w:pPr>
      <w:r w:rsidRPr="006B611A">
        <w:rPr>
          <w:rStyle w:val="EndnoteReference"/>
          <w:rFonts w:ascii="Times New Roman" w:hAnsi="Times New Roman" w:cs="Times New Roman"/>
        </w:rPr>
        <w:endnoteRef/>
      </w:r>
      <w:r w:rsidRPr="006B611A">
        <w:rPr>
          <w:rFonts w:ascii="Times New Roman" w:hAnsi="Times New Roman" w:cs="Times New Roman"/>
        </w:rPr>
        <w:t xml:space="preserve"> http://www.winemoldova.md/library.php?lng=ro&amp;part=3</w:t>
      </w:r>
    </w:p>
  </w:endnote>
  <w:endnote w:id="3">
    <w:p w14:paraId="13D7FCB6" w14:textId="77777777" w:rsidR="00914BD2" w:rsidRPr="00490691" w:rsidRDefault="00914BD2" w:rsidP="00B23BE2">
      <w:pPr>
        <w:pStyle w:val="EndnoteText"/>
        <w:rPr>
          <w:lang w:val="ro-RO"/>
        </w:rPr>
      </w:pPr>
      <w:r>
        <w:rPr>
          <w:rStyle w:val="EndnoteReference"/>
        </w:rPr>
        <w:endnoteRef/>
      </w:r>
      <w:r>
        <w:t xml:space="preserve"> </w:t>
      </w:r>
      <w:hyperlink r:id="rId1" w:history="1">
        <w:r w:rsidRPr="003E1DA5">
          <w:rPr>
            <w:rStyle w:val="Hyperlink"/>
          </w:rPr>
          <w:t>https://cancelaria.gov.md/sites/default/files/document/attachments/ghid_expost_final_pdf.pdf</w:t>
        </w:r>
      </w:hyperlink>
      <w:r>
        <w:t xml:space="preserve"> </w:t>
      </w:r>
    </w:p>
  </w:endnote>
  <w:endnote w:id="4">
    <w:p w14:paraId="44F03C27" w14:textId="77777777" w:rsidR="00914BD2" w:rsidRPr="007A0A2D" w:rsidRDefault="00914BD2" w:rsidP="001E2316">
      <w:pPr>
        <w:pStyle w:val="EndnoteText"/>
        <w:jc w:val="left"/>
        <w:rPr>
          <w:lang w:val="ro-RO"/>
        </w:rPr>
      </w:pPr>
      <w:r>
        <w:rPr>
          <w:rStyle w:val="EndnoteReference"/>
        </w:rPr>
        <w:endnoteRef/>
      </w:r>
      <w:r w:rsidRPr="00D94C69">
        <w:t>https://eur-lex.europa.eu/resource.html?uri=cellar:aa85fa9a-65a0-11e8-ab9c-01aa75ed71a1.0009.02/DOC_1&amp;format=PDF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venir Next Regular">
    <w:altName w:val="Calibri"/>
    <w:charset w:val="00"/>
    <w:family w:val="auto"/>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venir Next Demi Bold">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4C414" w14:textId="77777777" w:rsidR="00914BD2" w:rsidRDefault="00914BD2">
    <w:r>
      <w:t>.eu/info/food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ED80" w14:textId="77777777" w:rsidR="00914BD2" w:rsidRDefault="00914BD2">
    <w:r>
      <w:t>-</w:t>
    </w:r>
    <w:sdt>
      <w:sdtPr>
        <w:id w:val="-1572809996"/>
        <w:docPartObj>
          <w:docPartGallery w:val="Page Numbers (Bottom of Page)"/>
          <w:docPartUnique/>
        </w:docPartObj>
      </w:sdtPr>
      <w:sdtContent>
        <w:r>
          <w:t>farming-fi</w:t>
        </w:r>
        <w:r>
          <w:rPr>
            <w:noProof/>
          </w:rPr>
          <w:t>5</w:t>
        </w:r>
        <w:r>
          <w:t>eri</w:t>
        </w:r>
      </w:sdtContent>
    </w:sdt>
    <w: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3EDB" w14:textId="77777777" w:rsidR="00914BD2" w:rsidRDefault="00914BD2"/>
  <w:p w14:paraId="060AEE7A" w14:textId="77777777" w:rsidR="00914BD2" w:rsidRDefault="00914BD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243058"/>
      <w:docPartObj>
        <w:docPartGallery w:val="Page Numbers (Bottom of Page)"/>
        <w:docPartUnique/>
      </w:docPartObj>
    </w:sdtPr>
    <w:sdtContent>
      <w:sdt>
        <w:sdtPr>
          <w:id w:val="-1769616900"/>
          <w:docPartObj>
            <w:docPartGallery w:val="Page Numbers (Top of Page)"/>
            <w:docPartUnique/>
          </w:docPartObj>
        </w:sdtPr>
        <w:sdtContent>
          <w:p w14:paraId="4644DC9B" w14:textId="79660625" w:rsidR="00914BD2" w:rsidRDefault="00914B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72</w:t>
            </w:r>
            <w:r>
              <w:rPr>
                <w:b/>
                <w:bCs/>
                <w:sz w:val="24"/>
                <w:szCs w:val="24"/>
              </w:rPr>
              <w:fldChar w:fldCharType="end"/>
            </w:r>
          </w:p>
        </w:sdtContent>
      </w:sdt>
    </w:sdtContent>
  </w:sdt>
  <w:p w14:paraId="57035448" w14:textId="77777777" w:rsidR="00914BD2" w:rsidRDefault="00914BD2"/>
  <w:p w14:paraId="408FD816" w14:textId="77777777" w:rsidR="00914BD2" w:rsidRDefault="00914B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769392"/>
      <w:docPartObj>
        <w:docPartGallery w:val="Page Numbers (Bottom of Page)"/>
        <w:docPartUnique/>
      </w:docPartObj>
    </w:sdtPr>
    <w:sdtEndPr>
      <w:rPr>
        <w:noProof/>
      </w:rPr>
    </w:sdtEndPr>
    <w:sdtContent>
      <w:p w14:paraId="7A2510F0" w14:textId="7220542D" w:rsidR="00914BD2" w:rsidRDefault="00914BD2">
        <w:pPr>
          <w:pStyle w:val="Footer"/>
          <w:jc w:val="right"/>
        </w:pPr>
        <w:r>
          <w:fldChar w:fldCharType="begin"/>
        </w:r>
        <w:r>
          <w:instrText xml:space="preserve"> PAGE   \* MERGEFORMAT </w:instrText>
        </w:r>
        <w:r>
          <w:fldChar w:fldCharType="separate"/>
        </w:r>
        <w:r w:rsidR="002E19D6">
          <w:rPr>
            <w:noProof/>
          </w:rPr>
          <w:t>67</w:t>
        </w:r>
        <w:r>
          <w:rPr>
            <w:noProof/>
          </w:rPr>
          <w:fldChar w:fldCharType="end"/>
        </w:r>
      </w:p>
    </w:sdtContent>
  </w:sdt>
  <w:p w14:paraId="34ED18CC" w14:textId="77777777" w:rsidR="00914BD2" w:rsidRDefault="00914BD2"/>
  <w:p w14:paraId="1368C0FA" w14:textId="77777777" w:rsidR="00914BD2" w:rsidRDefault="00914BD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503673"/>
      <w:docPartObj>
        <w:docPartGallery w:val="Page Numbers (Bottom of Page)"/>
        <w:docPartUnique/>
      </w:docPartObj>
    </w:sdtPr>
    <w:sdtEndPr>
      <w:rPr>
        <w:noProof/>
      </w:rPr>
    </w:sdtEndPr>
    <w:sdtContent>
      <w:p w14:paraId="01950590" w14:textId="4735258F" w:rsidR="00914BD2" w:rsidRDefault="00914BD2">
        <w:pPr>
          <w:pStyle w:val="Footer"/>
          <w:jc w:val="right"/>
        </w:pPr>
        <w:r>
          <w:fldChar w:fldCharType="begin"/>
        </w:r>
        <w:r>
          <w:instrText xml:space="preserve"> PAGE   \* MERGEFORMAT </w:instrText>
        </w:r>
        <w:r>
          <w:fldChar w:fldCharType="separate"/>
        </w:r>
        <w:r w:rsidR="002E19D6">
          <w:rPr>
            <w:noProof/>
          </w:rPr>
          <w:t>51</w:t>
        </w:r>
        <w:r>
          <w:rPr>
            <w:noProof/>
          </w:rPr>
          <w:fldChar w:fldCharType="end"/>
        </w:r>
      </w:p>
    </w:sdtContent>
  </w:sdt>
  <w:p w14:paraId="4D03296C" w14:textId="77777777" w:rsidR="00914BD2" w:rsidRDefault="00914BD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52C5" w14:textId="77777777" w:rsidR="00914BD2" w:rsidRDefault="00914B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3CD3" w14:textId="77777777" w:rsidR="00914BD2" w:rsidRDefault="00914B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AB04" w14:textId="77777777" w:rsidR="00914BD2" w:rsidRDefault="00914B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7B4E" w14:textId="77777777" w:rsidR="00914BD2" w:rsidRDefault="00914BD2">
      <w:r>
        <w:t xml:space="preserve"> H</w:t>
      </w:r>
    </w:p>
  </w:footnote>
  <w:footnote w:type="continuationSeparator" w:id="0">
    <w:p w14:paraId="0A3D4C52" w14:textId="77777777" w:rsidR="00914BD2" w:rsidRDefault="00914BD2">
      <w:r>
        <w:t>PERLIN</w:t>
      </w:r>
    </w:p>
  </w:footnote>
  <w:footnote w:id="1">
    <w:p w14:paraId="3B483395" w14:textId="1C93C7E5" w:rsidR="00914BD2" w:rsidRDefault="00914BD2" w:rsidP="008F286C">
      <w:pPr>
        <w:tabs>
          <w:tab w:val="left" w:pos="8308"/>
        </w:tabs>
      </w:pPr>
      <w:r>
        <w:tab/>
      </w:r>
    </w:p>
    <w:p w14:paraId="12BB1937" w14:textId="7166CB52" w:rsidR="00914BD2" w:rsidRPr="008F286C" w:rsidRDefault="00914BD2" w:rsidP="008F286C">
      <w:pPr>
        <w:rPr>
          <w:rFonts w:ascii="Times New Roman" w:hAnsi="Times New Roman" w:cs="Times New Roman"/>
          <w:iCs/>
          <w:color w:val="BFBFBF" w:themeColor="background1" w:themeShade="BF"/>
          <w:sz w:val="18"/>
          <w:szCs w:val="18"/>
          <w:lang w:val="ro-RO"/>
        </w:rPr>
      </w:pPr>
      <w:r w:rsidRPr="008F286C">
        <w:rPr>
          <w:rFonts w:ascii="Times New Roman" w:hAnsi="Times New Roman" w:cs="Times New Roman"/>
          <w:iCs/>
          <w:color w:val="BFBFBF" w:themeColor="background1" w:themeShade="BF"/>
          <w:sz w:val="18"/>
          <w:szCs w:val="18"/>
          <w:lang w:val="ro-RO"/>
        </w:rPr>
        <w:t>Sursa: BNS</w:t>
      </w:r>
    </w:p>
    <w:p w14:paraId="0EB6EBF1" w14:textId="17682E0B" w:rsidR="00914BD2" w:rsidRDefault="00914BD2"/>
  </w:footnote>
  <w:footnote w:id="2">
    <w:p w14:paraId="1A863C64" w14:textId="77777777" w:rsidR="00914BD2" w:rsidRDefault="00914BD2">
      <w:r>
        <w:rPr>
          <w:rStyle w:val="FootnoteReference"/>
        </w:rPr>
        <w:footnoteRef/>
      </w:r>
      <w:r>
        <w:t xml:space="preserve"> </w:t>
      </w:r>
      <w:r w:rsidRPr="00353CC5">
        <w:t>https://statistica.gov.md/newsview.php?l=ro&amp;id=6416&amp;idc=168</w:t>
      </w:r>
    </w:p>
  </w:footnote>
  <w:footnote w:id="3">
    <w:p w14:paraId="2AC798E1" w14:textId="77777777" w:rsidR="00914BD2" w:rsidRPr="00E313DD" w:rsidRDefault="00914BD2">
      <w:pPr>
        <w:rPr>
          <w:sz w:val="16"/>
          <w:szCs w:val="16"/>
        </w:rPr>
      </w:pPr>
      <w:r w:rsidRPr="00E313DD">
        <w:rPr>
          <w:sz w:val="16"/>
          <w:szCs w:val="16"/>
        </w:rPr>
        <w:cr/>
      </w:r>
      <w:r w:rsidRPr="00E313DD">
        <w:rPr>
          <w:rStyle w:val="FootnoteReference"/>
          <w:rFonts w:ascii="Times New Roman" w:hAnsi="Times New Roman" w:cs="Times New Roman"/>
          <w:sz w:val="16"/>
          <w:szCs w:val="16"/>
        </w:rPr>
        <w:footnoteRef/>
      </w:r>
      <w:r w:rsidRPr="00E313DD">
        <w:rPr>
          <w:rFonts w:ascii="Times New Roman" w:hAnsi="Times New Roman" w:cs="Times New Roman"/>
          <w:sz w:val="16"/>
          <w:szCs w:val="16"/>
        </w:rPr>
        <w:t xml:space="preserve"> https://statistica.gov.md/newsview.php?l=ro&amp;idc=168&amp;id=6615</w:t>
      </w:r>
    </w:p>
  </w:footnote>
  <w:footnote w:id="4">
    <w:p w14:paraId="4640AD54" w14:textId="293F885E" w:rsidR="00914BD2" w:rsidRDefault="00914BD2">
      <w:r w:rsidRPr="00E313DD">
        <w:rPr>
          <w:rStyle w:val="FootnoteReference"/>
          <w:rFonts w:ascii="Times New Roman" w:hAnsi="Times New Roman" w:cs="Times New Roman"/>
          <w:sz w:val="16"/>
          <w:szCs w:val="16"/>
        </w:rPr>
        <w:footnoteRef/>
      </w:r>
      <w:r w:rsidRPr="00E313DD">
        <w:rPr>
          <w:rFonts w:ascii="Times New Roman" w:hAnsi="Times New Roman" w:cs="Times New Roman"/>
          <w:sz w:val="16"/>
          <w:szCs w:val="16"/>
        </w:rPr>
        <w:t xml:space="preserve"> https://ipp.md/wp-content/uploads/2020/10/BOP_10.2020.pdf</w:t>
      </w:r>
    </w:p>
  </w:footnote>
  <w:footnote w:id="5">
    <w:p w14:paraId="3A023416" w14:textId="77777777" w:rsidR="00914BD2" w:rsidRPr="007A0A2D" w:rsidRDefault="00914BD2" w:rsidP="001E0A0D">
      <w:pPr>
        <w:pStyle w:val="FootnoteText"/>
        <w:rPr>
          <w:lang w:val="ro-RO"/>
        </w:rPr>
      </w:pPr>
      <w:r>
        <w:rPr>
          <w:rStyle w:val="FootnoteReference"/>
        </w:rPr>
        <w:footnoteRef/>
      </w:r>
      <w:r>
        <w:t xml:space="preserve"> </w:t>
      </w:r>
      <w:hyperlink r:id="rId1" w:history="1">
        <w:r w:rsidRPr="00336077">
          <w:rPr>
            <w:rStyle w:val="Hyperlink"/>
          </w:rPr>
          <w:t>https://eur-lex.europa.eu/resource.html?uri=cellar:aa85fa9a-65a0-11e8-ab9c-01aa75ed71a1.0009.02/DOC_1&amp;format=PDF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01766" w14:textId="4108AA2D" w:rsidR="00914BD2" w:rsidRDefault="00914BD2">
    <w:r>
      <w:pict w14:anchorId="791E4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78126" o:spid="_x0000_s2051" type="#_x0000_t136" alt="" style="position:absolute;left:0;text-align:left;margin-left:0;margin-top:0;width:416.15pt;height:249.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t>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E4F7" w14:textId="77777777" w:rsidR="00914BD2" w:rsidRDefault="00914BD2">
    <w:r>
      <w:t>o</w:t>
    </w:r>
    <w:r>
      <w:pict w14:anchorId="55BC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78127" o:spid="_x0000_s2050" type="#_x0000_t136" alt="" style="position:absolute;left:0;text-align:left;margin-left:0;margin-top:0;width:416.15pt;height:249.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t>pa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FD075" w14:textId="77777777" w:rsidR="00914BD2" w:rsidRDefault="00914BD2"/>
  <w:p w14:paraId="57D4D7C0" w14:textId="77777777" w:rsidR="00914BD2" w:rsidRDefault="00914BD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DB26" w14:textId="77777777" w:rsidR="00914BD2" w:rsidRDefault="00914BD2"/>
  <w:p w14:paraId="36676AF2" w14:textId="77777777" w:rsidR="00914BD2" w:rsidRDefault="00914BD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D3677" w14:textId="77777777" w:rsidR="00914BD2" w:rsidRDefault="00914BD2"/>
  <w:p w14:paraId="581652D3" w14:textId="77777777" w:rsidR="00914BD2" w:rsidRDefault="00914BD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A50E" w14:textId="77777777" w:rsidR="00914BD2" w:rsidRDefault="00914BD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FA118" w14:textId="77777777" w:rsidR="00914BD2" w:rsidRDefault="00914BD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1ECC" w14:textId="77777777" w:rsidR="00914BD2" w:rsidRDefault="00914B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60A6"/>
    <w:multiLevelType w:val="hybridMultilevel"/>
    <w:tmpl w:val="F0F47FBE"/>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EE0C86"/>
    <w:multiLevelType w:val="hybridMultilevel"/>
    <w:tmpl w:val="50D69EF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5312C8C"/>
    <w:multiLevelType w:val="hybridMultilevel"/>
    <w:tmpl w:val="7548C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248F8"/>
    <w:multiLevelType w:val="multilevel"/>
    <w:tmpl w:val="9C2825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DED52E6"/>
    <w:multiLevelType w:val="hybridMultilevel"/>
    <w:tmpl w:val="1D6C06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EF00917"/>
    <w:multiLevelType w:val="hybridMultilevel"/>
    <w:tmpl w:val="B5D2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nsid w:val="28B27EB8"/>
    <w:multiLevelType w:val="hybridMultilevel"/>
    <w:tmpl w:val="E426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97000"/>
    <w:multiLevelType w:val="hybridMultilevel"/>
    <w:tmpl w:val="49C8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F15F5"/>
    <w:multiLevelType w:val="hybridMultilevel"/>
    <w:tmpl w:val="1BF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13831"/>
    <w:multiLevelType w:val="hybridMultilevel"/>
    <w:tmpl w:val="EF3C5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2D1487"/>
    <w:multiLevelType w:val="hybridMultilevel"/>
    <w:tmpl w:val="5D9E0E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42815B0"/>
    <w:multiLevelType w:val="hybridMultilevel"/>
    <w:tmpl w:val="D7E03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2262DC"/>
    <w:multiLevelType w:val="hybridMultilevel"/>
    <w:tmpl w:val="B81219A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4">
    <w:nsid w:val="4D243679"/>
    <w:multiLevelType w:val="hybridMultilevel"/>
    <w:tmpl w:val="1572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D1F9B"/>
    <w:multiLevelType w:val="multilevel"/>
    <w:tmpl w:val="66543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5DC1B09"/>
    <w:multiLevelType w:val="multilevel"/>
    <w:tmpl w:val="FD787E10"/>
    <w:numStyleLink w:val="Headings"/>
  </w:abstractNum>
  <w:abstractNum w:abstractNumId="17">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AC115B"/>
    <w:multiLevelType w:val="hybridMultilevel"/>
    <w:tmpl w:val="E48C7654"/>
    <w:lvl w:ilvl="0" w:tplc="07B88352">
      <w:start w:val="1"/>
      <w:numFmt w:val="lowerRoman"/>
      <w:pStyle w:val="ToR-NumberedText2"/>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F238BF"/>
    <w:multiLevelType w:val="hybridMultilevel"/>
    <w:tmpl w:val="86AE305E"/>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nsid w:val="63F91F5A"/>
    <w:multiLevelType w:val="hybridMultilevel"/>
    <w:tmpl w:val="F5BE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15786"/>
    <w:multiLevelType w:val="multilevel"/>
    <w:tmpl w:val="BB961E52"/>
    <w:lvl w:ilvl="0">
      <w:start w:val="1"/>
      <w:numFmt w:val="bullet"/>
      <w:pStyle w:val="Bullet"/>
      <w:lvlText w:val=""/>
      <w:lvlJc w:val="left"/>
      <w:pPr>
        <w:ind w:left="720" w:hanging="360"/>
      </w:pPr>
      <w:rPr>
        <w:rFonts w:ascii="Symbol" w:hAnsi="Symbol" w:hint="default"/>
        <w:color w:val="000000" w:themeColor="text1"/>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
      <w:lvlJc w:val="left"/>
      <w:pPr>
        <w:ind w:left="3856" w:hanging="616"/>
      </w:pPr>
      <w:rPr>
        <w:rFonts w:ascii="Times New Roman" w:hAnsi="Times New Roman" w:cs="Times New Roman" w:hint="default"/>
        <w:color w:val="134753"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B6F5F68"/>
    <w:multiLevelType w:val="hybridMultilevel"/>
    <w:tmpl w:val="E0D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A54A0"/>
    <w:multiLevelType w:val="hybridMultilevel"/>
    <w:tmpl w:val="927AC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057AA3"/>
    <w:multiLevelType w:val="hybridMultilevel"/>
    <w:tmpl w:val="30A0E3A6"/>
    <w:lvl w:ilvl="0" w:tplc="719025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E6096"/>
    <w:multiLevelType w:val="hybridMultilevel"/>
    <w:tmpl w:val="4AA4DEA2"/>
    <w:lvl w:ilvl="0" w:tplc="F09E8A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E6C528C"/>
    <w:multiLevelType w:val="hybridMultilevel"/>
    <w:tmpl w:val="0E260A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6"/>
  </w:num>
  <w:num w:numId="4">
    <w:abstractNumId w:val="16"/>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5">
    <w:abstractNumId w:val="18"/>
  </w:num>
  <w:num w:numId="6">
    <w:abstractNumId w:val="4"/>
  </w:num>
  <w:num w:numId="7">
    <w:abstractNumId w:val="7"/>
  </w:num>
  <w:num w:numId="8">
    <w:abstractNumId w:val="26"/>
  </w:num>
  <w:num w:numId="9">
    <w:abstractNumId w:val="20"/>
  </w:num>
  <w:num w:numId="10">
    <w:abstractNumId w:val="0"/>
  </w:num>
  <w:num w:numId="11">
    <w:abstractNumId w:val="3"/>
  </w:num>
  <w:num w:numId="12">
    <w:abstractNumId w:val="10"/>
  </w:num>
  <w:num w:numId="13">
    <w:abstractNumId w:val="8"/>
  </w:num>
  <w:num w:numId="14">
    <w:abstractNumId w:val="12"/>
  </w:num>
  <w:num w:numId="15">
    <w:abstractNumId w:val="2"/>
  </w:num>
  <w:num w:numId="16">
    <w:abstractNumId w:val="5"/>
  </w:num>
  <w:num w:numId="17">
    <w:abstractNumId w:val="14"/>
  </w:num>
  <w:num w:numId="18">
    <w:abstractNumId w:val="24"/>
  </w:num>
  <w:num w:numId="19">
    <w:abstractNumId w:val="23"/>
  </w:num>
  <w:num w:numId="20">
    <w:abstractNumId w:val="22"/>
  </w:num>
  <w:num w:numId="21">
    <w:abstractNumId w:val="19"/>
  </w:num>
  <w:num w:numId="22">
    <w:abstractNumId w:val="13"/>
  </w:num>
  <w:num w:numId="23">
    <w:abstractNumId w:val="9"/>
  </w:num>
  <w:num w:numId="24">
    <w:abstractNumId w:val="15"/>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revisionView w:inkAnnotations="0"/>
  <w:defaultTabStop w:val="720"/>
  <w:hyphenationZone w:val="396"/>
  <w:defaultTableStyle w:val="bodytext"/>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DA"/>
    <w:rsid w:val="000006B3"/>
    <w:rsid w:val="000007C9"/>
    <w:rsid w:val="00000BC5"/>
    <w:rsid w:val="00000CCC"/>
    <w:rsid w:val="00001044"/>
    <w:rsid w:val="00001106"/>
    <w:rsid w:val="00001924"/>
    <w:rsid w:val="00001C79"/>
    <w:rsid w:val="00003629"/>
    <w:rsid w:val="00003673"/>
    <w:rsid w:val="000040A8"/>
    <w:rsid w:val="000040BF"/>
    <w:rsid w:val="0000438B"/>
    <w:rsid w:val="00004AD8"/>
    <w:rsid w:val="00005348"/>
    <w:rsid w:val="0000542D"/>
    <w:rsid w:val="0000576E"/>
    <w:rsid w:val="000059E6"/>
    <w:rsid w:val="00006329"/>
    <w:rsid w:val="000067CE"/>
    <w:rsid w:val="00007C07"/>
    <w:rsid w:val="000100BC"/>
    <w:rsid w:val="00010B1C"/>
    <w:rsid w:val="00010D38"/>
    <w:rsid w:val="000116CE"/>
    <w:rsid w:val="00011A14"/>
    <w:rsid w:val="00012966"/>
    <w:rsid w:val="00012B28"/>
    <w:rsid w:val="000139C0"/>
    <w:rsid w:val="000157AC"/>
    <w:rsid w:val="00015B98"/>
    <w:rsid w:val="00015C7A"/>
    <w:rsid w:val="00016CC3"/>
    <w:rsid w:val="00017C23"/>
    <w:rsid w:val="00020319"/>
    <w:rsid w:val="000205F6"/>
    <w:rsid w:val="00020CB3"/>
    <w:rsid w:val="000235DA"/>
    <w:rsid w:val="00023842"/>
    <w:rsid w:val="00023A4B"/>
    <w:rsid w:val="00024C22"/>
    <w:rsid w:val="00025F4C"/>
    <w:rsid w:val="00026590"/>
    <w:rsid w:val="00026627"/>
    <w:rsid w:val="00026AFE"/>
    <w:rsid w:val="00027087"/>
    <w:rsid w:val="0002759D"/>
    <w:rsid w:val="0002772D"/>
    <w:rsid w:val="00027B70"/>
    <w:rsid w:val="00027C0F"/>
    <w:rsid w:val="00030358"/>
    <w:rsid w:val="00030540"/>
    <w:rsid w:val="00030658"/>
    <w:rsid w:val="000308A4"/>
    <w:rsid w:val="00030F6F"/>
    <w:rsid w:val="000320DD"/>
    <w:rsid w:val="00032A84"/>
    <w:rsid w:val="00032E16"/>
    <w:rsid w:val="00032E1C"/>
    <w:rsid w:val="000330B4"/>
    <w:rsid w:val="00033147"/>
    <w:rsid w:val="000334F8"/>
    <w:rsid w:val="000337DE"/>
    <w:rsid w:val="0003425B"/>
    <w:rsid w:val="00034F07"/>
    <w:rsid w:val="00035913"/>
    <w:rsid w:val="0003626D"/>
    <w:rsid w:val="000376C9"/>
    <w:rsid w:val="00037F12"/>
    <w:rsid w:val="00040B5E"/>
    <w:rsid w:val="00040BA8"/>
    <w:rsid w:val="000415B4"/>
    <w:rsid w:val="00041776"/>
    <w:rsid w:val="00041838"/>
    <w:rsid w:val="0004254E"/>
    <w:rsid w:val="00042587"/>
    <w:rsid w:val="00042B1F"/>
    <w:rsid w:val="00042EAC"/>
    <w:rsid w:val="00043873"/>
    <w:rsid w:val="00043884"/>
    <w:rsid w:val="00043CB3"/>
    <w:rsid w:val="00044DE0"/>
    <w:rsid w:val="000454AC"/>
    <w:rsid w:val="00045B5C"/>
    <w:rsid w:val="00046821"/>
    <w:rsid w:val="00046F3D"/>
    <w:rsid w:val="0004716B"/>
    <w:rsid w:val="000476B9"/>
    <w:rsid w:val="00047E15"/>
    <w:rsid w:val="00051BCF"/>
    <w:rsid w:val="00051C27"/>
    <w:rsid w:val="000520D4"/>
    <w:rsid w:val="000525D6"/>
    <w:rsid w:val="00052E98"/>
    <w:rsid w:val="000533FD"/>
    <w:rsid w:val="00053CEC"/>
    <w:rsid w:val="000547D4"/>
    <w:rsid w:val="000554A3"/>
    <w:rsid w:val="00055747"/>
    <w:rsid w:val="00055B39"/>
    <w:rsid w:val="00055FDA"/>
    <w:rsid w:val="00056579"/>
    <w:rsid w:val="00056EE5"/>
    <w:rsid w:val="00057C9B"/>
    <w:rsid w:val="00060154"/>
    <w:rsid w:val="00061622"/>
    <w:rsid w:val="00061B0A"/>
    <w:rsid w:val="000633AF"/>
    <w:rsid w:val="000637AB"/>
    <w:rsid w:val="00063F8E"/>
    <w:rsid w:val="000650DC"/>
    <w:rsid w:val="00065C04"/>
    <w:rsid w:val="00066C80"/>
    <w:rsid w:val="000673F4"/>
    <w:rsid w:val="00071247"/>
    <w:rsid w:val="00072E35"/>
    <w:rsid w:val="00073929"/>
    <w:rsid w:val="0007399D"/>
    <w:rsid w:val="00073E35"/>
    <w:rsid w:val="0007404E"/>
    <w:rsid w:val="00075DA7"/>
    <w:rsid w:val="00076A94"/>
    <w:rsid w:val="00076D9B"/>
    <w:rsid w:val="0007702F"/>
    <w:rsid w:val="000810A3"/>
    <w:rsid w:val="00081DE2"/>
    <w:rsid w:val="00082391"/>
    <w:rsid w:val="000835ED"/>
    <w:rsid w:val="00083675"/>
    <w:rsid w:val="000852EE"/>
    <w:rsid w:val="00085B7C"/>
    <w:rsid w:val="00086256"/>
    <w:rsid w:val="00087380"/>
    <w:rsid w:val="0008763F"/>
    <w:rsid w:val="00087989"/>
    <w:rsid w:val="00090A98"/>
    <w:rsid w:val="00091A61"/>
    <w:rsid w:val="00091AC7"/>
    <w:rsid w:val="00091EC9"/>
    <w:rsid w:val="0009392F"/>
    <w:rsid w:val="00093D1F"/>
    <w:rsid w:val="00093F1D"/>
    <w:rsid w:val="000941B1"/>
    <w:rsid w:val="0009470A"/>
    <w:rsid w:val="00094C44"/>
    <w:rsid w:val="000956A5"/>
    <w:rsid w:val="00095F85"/>
    <w:rsid w:val="000961E6"/>
    <w:rsid w:val="00096EFB"/>
    <w:rsid w:val="00097332"/>
    <w:rsid w:val="00097464"/>
    <w:rsid w:val="0009751D"/>
    <w:rsid w:val="000A14F4"/>
    <w:rsid w:val="000A2299"/>
    <w:rsid w:val="000A22D5"/>
    <w:rsid w:val="000A3464"/>
    <w:rsid w:val="000A4485"/>
    <w:rsid w:val="000A4EFE"/>
    <w:rsid w:val="000A51D0"/>
    <w:rsid w:val="000A5ACF"/>
    <w:rsid w:val="000A5DDF"/>
    <w:rsid w:val="000A5E0A"/>
    <w:rsid w:val="000A5E67"/>
    <w:rsid w:val="000A5F98"/>
    <w:rsid w:val="000A6282"/>
    <w:rsid w:val="000A6C95"/>
    <w:rsid w:val="000A6CC3"/>
    <w:rsid w:val="000A74E0"/>
    <w:rsid w:val="000A7DA9"/>
    <w:rsid w:val="000B08C7"/>
    <w:rsid w:val="000B0A22"/>
    <w:rsid w:val="000B0BBE"/>
    <w:rsid w:val="000B20A2"/>
    <w:rsid w:val="000B24C4"/>
    <w:rsid w:val="000B26BB"/>
    <w:rsid w:val="000B29E9"/>
    <w:rsid w:val="000B2C37"/>
    <w:rsid w:val="000B5692"/>
    <w:rsid w:val="000B688B"/>
    <w:rsid w:val="000B6AB9"/>
    <w:rsid w:val="000B6ABF"/>
    <w:rsid w:val="000B6C6E"/>
    <w:rsid w:val="000B72DF"/>
    <w:rsid w:val="000C0B46"/>
    <w:rsid w:val="000C0CDB"/>
    <w:rsid w:val="000C0E63"/>
    <w:rsid w:val="000C1080"/>
    <w:rsid w:val="000C16F9"/>
    <w:rsid w:val="000C2426"/>
    <w:rsid w:val="000C27C6"/>
    <w:rsid w:val="000C2981"/>
    <w:rsid w:val="000C2EF8"/>
    <w:rsid w:val="000C3254"/>
    <w:rsid w:val="000C33F8"/>
    <w:rsid w:val="000C3A6A"/>
    <w:rsid w:val="000C4F69"/>
    <w:rsid w:val="000C525C"/>
    <w:rsid w:val="000C589F"/>
    <w:rsid w:val="000C58D4"/>
    <w:rsid w:val="000C58EA"/>
    <w:rsid w:val="000C59B5"/>
    <w:rsid w:val="000C5C00"/>
    <w:rsid w:val="000C619D"/>
    <w:rsid w:val="000C66F7"/>
    <w:rsid w:val="000C6812"/>
    <w:rsid w:val="000C7230"/>
    <w:rsid w:val="000C7615"/>
    <w:rsid w:val="000C77A0"/>
    <w:rsid w:val="000C7A85"/>
    <w:rsid w:val="000C7C3E"/>
    <w:rsid w:val="000D09F5"/>
    <w:rsid w:val="000D0D19"/>
    <w:rsid w:val="000D0ED7"/>
    <w:rsid w:val="000D166E"/>
    <w:rsid w:val="000D1A86"/>
    <w:rsid w:val="000D1AB7"/>
    <w:rsid w:val="000D23B7"/>
    <w:rsid w:val="000D27BE"/>
    <w:rsid w:val="000D2E0C"/>
    <w:rsid w:val="000D32DC"/>
    <w:rsid w:val="000D3468"/>
    <w:rsid w:val="000D3E18"/>
    <w:rsid w:val="000D41C9"/>
    <w:rsid w:val="000D42CF"/>
    <w:rsid w:val="000D47F3"/>
    <w:rsid w:val="000D5CA6"/>
    <w:rsid w:val="000D6ECA"/>
    <w:rsid w:val="000D718F"/>
    <w:rsid w:val="000D74E2"/>
    <w:rsid w:val="000E0036"/>
    <w:rsid w:val="000E138B"/>
    <w:rsid w:val="000E13B6"/>
    <w:rsid w:val="000E31A8"/>
    <w:rsid w:val="000E3915"/>
    <w:rsid w:val="000E3D9B"/>
    <w:rsid w:val="000E445D"/>
    <w:rsid w:val="000E4C01"/>
    <w:rsid w:val="000E4CE7"/>
    <w:rsid w:val="000E5401"/>
    <w:rsid w:val="000E5E68"/>
    <w:rsid w:val="000E61A0"/>
    <w:rsid w:val="000E7155"/>
    <w:rsid w:val="000E732A"/>
    <w:rsid w:val="000F0445"/>
    <w:rsid w:val="000F10F9"/>
    <w:rsid w:val="000F14CF"/>
    <w:rsid w:val="000F1921"/>
    <w:rsid w:val="000F1A4A"/>
    <w:rsid w:val="000F1B26"/>
    <w:rsid w:val="000F39D5"/>
    <w:rsid w:val="000F673B"/>
    <w:rsid w:val="000F6745"/>
    <w:rsid w:val="000F6B1A"/>
    <w:rsid w:val="000F7373"/>
    <w:rsid w:val="000F7892"/>
    <w:rsid w:val="000F7F1F"/>
    <w:rsid w:val="001002FC"/>
    <w:rsid w:val="001009CD"/>
    <w:rsid w:val="00100A60"/>
    <w:rsid w:val="00101104"/>
    <w:rsid w:val="001017A7"/>
    <w:rsid w:val="00101916"/>
    <w:rsid w:val="00101B69"/>
    <w:rsid w:val="00101D1D"/>
    <w:rsid w:val="00102CFA"/>
    <w:rsid w:val="001030CE"/>
    <w:rsid w:val="001040A3"/>
    <w:rsid w:val="001053BA"/>
    <w:rsid w:val="00106515"/>
    <w:rsid w:val="0010754F"/>
    <w:rsid w:val="001077D4"/>
    <w:rsid w:val="00107960"/>
    <w:rsid w:val="0011063B"/>
    <w:rsid w:val="00111C0A"/>
    <w:rsid w:val="001123A1"/>
    <w:rsid w:val="00112A26"/>
    <w:rsid w:val="00113B42"/>
    <w:rsid w:val="00114EBB"/>
    <w:rsid w:val="00116A4A"/>
    <w:rsid w:val="001170E7"/>
    <w:rsid w:val="001175A6"/>
    <w:rsid w:val="00120872"/>
    <w:rsid w:val="00122939"/>
    <w:rsid w:val="001229D2"/>
    <w:rsid w:val="00122E6E"/>
    <w:rsid w:val="00123122"/>
    <w:rsid w:val="001235A5"/>
    <w:rsid w:val="001236E6"/>
    <w:rsid w:val="00123C5D"/>
    <w:rsid w:val="00125F73"/>
    <w:rsid w:val="00126A04"/>
    <w:rsid w:val="00130191"/>
    <w:rsid w:val="00130326"/>
    <w:rsid w:val="001304B0"/>
    <w:rsid w:val="00130647"/>
    <w:rsid w:val="00130863"/>
    <w:rsid w:val="0013089A"/>
    <w:rsid w:val="00130AB1"/>
    <w:rsid w:val="00130CC2"/>
    <w:rsid w:val="00131E0E"/>
    <w:rsid w:val="0013277A"/>
    <w:rsid w:val="00132897"/>
    <w:rsid w:val="001337D6"/>
    <w:rsid w:val="0013426F"/>
    <w:rsid w:val="001355F3"/>
    <w:rsid w:val="0013563F"/>
    <w:rsid w:val="00135B30"/>
    <w:rsid w:val="001360BC"/>
    <w:rsid w:val="0013634E"/>
    <w:rsid w:val="00137663"/>
    <w:rsid w:val="00137C19"/>
    <w:rsid w:val="0014030D"/>
    <w:rsid w:val="00140423"/>
    <w:rsid w:val="00140711"/>
    <w:rsid w:val="00140890"/>
    <w:rsid w:val="001408EA"/>
    <w:rsid w:val="00140F2F"/>
    <w:rsid w:val="001410C0"/>
    <w:rsid w:val="0014120C"/>
    <w:rsid w:val="001415B4"/>
    <w:rsid w:val="00142AD2"/>
    <w:rsid w:val="00142B06"/>
    <w:rsid w:val="00142B26"/>
    <w:rsid w:val="00142D4D"/>
    <w:rsid w:val="00145014"/>
    <w:rsid w:val="0014631B"/>
    <w:rsid w:val="0015013A"/>
    <w:rsid w:val="001504C5"/>
    <w:rsid w:val="00150754"/>
    <w:rsid w:val="00150E02"/>
    <w:rsid w:val="00151065"/>
    <w:rsid w:val="00151F01"/>
    <w:rsid w:val="00151F0B"/>
    <w:rsid w:val="00151F8D"/>
    <w:rsid w:val="001520A2"/>
    <w:rsid w:val="001525FB"/>
    <w:rsid w:val="001528C3"/>
    <w:rsid w:val="00153D77"/>
    <w:rsid w:val="00153E36"/>
    <w:rsid w:val="001542F7"/>
    <w:rsid w:val="001546BA"/>
    <w:rsid w:val="00154805"/>
    <w:rsid w:val="00154AEC"/>
    <w:rsid w:val="00154E15"/>
    <w:rsid w:val="00155AD5"/>
    <w:rsid w:val="0015657E"/>
    <w:rsid w:val="001566FD"/>
    <w:rsid w:val="00156BBB"/>
    <w:rsid w:val="001573EB"/>
    <w:rsid w:val="0016044A"/>
    <w:rsid w:val="00161192"/>
    <w:rsid w:val="001613A2"/>
    <w:rsid w:val="00161BF9"/>
    <w:rsid w:val="00164863"/>
    <w:rsid w:val="00165144"/>
    <w:rsid w:val="00165213"/>
    <w:rsid w:val="00165B8E"/>
    <w:rsid w:val="00165D17"/>
    <w:rsid w:val="00166472"/>
    <w:rsid w:val="0017003E"/>
    <w:rsid w:val="001706A9"/>
    <w:rsid w:val="00170751"/>
    <w:rsid w:val="00170843"/>
    <w:rsid w:val="001709F6"/>
    <w:rsid w:val="00171860"/>
    <w:rsid w:val="001723ED"/>
    <w:rsid w:val="00172A14"/>
    <w:rsid w:val="00172B05"/>
    <w:rsid w:val="00173106"/>
    <w:rsid w:val="00173134"/>
    <w:rsid w:val="0017479B"/>
    <w:rsid w:val="00174908"/>
    <w:rsid w:val="001761AB"/>
    <w:rsid w:val="00176B1A"/>
    <w:rsid w:val="00176F33"/>
    <w:rsid w:val="00176F83"/>
    <w:rsid w:val="0017710B"/>
    <w:rsid w:val="00177A57"/>
    <w:rsid w:val="00180457"/>
    <w:rsid w:val="00180B38"/>
    <w:rsid w:val="00180EEF"/>
    <w:rsid w:val="00181042"/>
    <w:rsid w:val="0018123A"/>
    <w:rsid w:val="0018129C"/>
    <w:rsid w:val="001812CD"/>
    <w:rsid w:val="0018150C"/>
    <w:rsid w:val="00181BD1"/>
    <w:rsid w:val="001828E3"/>
    <w:rsid w:val="001835CA"/>
    <w:rsid w:val="001837D1"/>
    <w:rsid w:val="0018391E"/>
    <w:rsid w:val="00183B11"/>
    <w:rsid w:val="00183B79"/>
    <w:rsid w:val="0018495D"/>
    <w:rsid w:val="00184E35"/>
    <w:rsid w:val="00184FB8"/>
    <w:rsid w:val="0018571A"/>
    <w:rsid w:val="00185836"/>
    <w:rsid w:val="00185D2E"/>
    <w:rsid w:val="001860D0"/>
    <w:rsid w:val="001861B2"/>
    <w:rsid w:val="001867F1"/>
    <w:rsid w:val="00186D0A"/>
    <w:rsid w:val="00187834"/>
    <w:rsid w:val="00190678"/>
    <w:rsid w:val="001910E9"/>
    <w:rsid w:val="00192373"/>
    <w:rsid w:val="00192711"/>
    <w:rsid w:val="001927D3"/>
    <w:rsid w:val="001933E2"/>
    <w:rsid w:val="00194292"/>
    <w:rsid w:val="0019454F"/>
    <w:rsid w:val="001945BD"/>
    <w:rsid w:val="001949BF"/>
    <w:rsid w:val="00194B91"/>
    <w:rsid w:val="00194ED4"/>
    <w:rsid w:val="0019538F"/>
    <w:rsid w:val="001962F2"/>
    <w:rsid w:val="00196534"/>
    <w:rsid w:val="001979E2"/>
    <w:rsid w:val="00197BC2"/>
    <w:rsid w:val="00197E14"/>
    <w:rsid w:val="001A05CC"/>
    <w:rsid w:val="001A0829"/>
    <w:rsid w:val="001A09CB"/>
    <w:rsid w:val="001A0E0C"/>
    <w:rsid w:val="001A115B"/>
    <w:rsid w:val="001A120C"/>
    <w:rsid w:val="001A1368"/>
    <w:rsid w:val="001A2065"/>
    <w:rsid w:val="001A2117"/>
    <w:rsid w:val="001A2695"/>
    <w:rsid w:val="001A2DD0"/>
    <w:rsid w:val="001A3189"/>
    <w:rsid w:val="001A32C3"/>
    <w:rsid w:val="001A43A3"/>
    <w:rsid w:val="001A43CB"/>
    <w:rsid w:val="001A47D6"/>
    <w:rsid w:val="001A496E"/>
    <w:rsid w:val="001A4CD8"/>
    <w:rsid w:val="001A4D22"/>
    <w:rsid w:val="001A4DD9"/>
    <w:rsid w:val="001A5152"/>
    <w:rsid w:val="001A68F3"/>
    <w:rsid w:val="001A69AD"/>
    <w:rsid w:val="001A75CA"/>
    <w:rsid w:val="001B0847"/>
    <w:rsid w:val="001B13B7"/>
    <w:rsid w:val="001B1472"/>
    <w:rsid w:val="001B14C2"/>
    <w:rsid w:val="001B247F"/>
    <w:rsid w:val="001B2490"/>
    <w:rsid w:val="001B2ACD"/>
    <w:rsid w:val="001B2E84"/>
    <w:rsid w:val="001B301F"/>
    <w:rsid w:val="001B367B"/>
    <w:rsid w:val="001B3982"/>
    <w:rsid w:val="001B3EE5"/>
    <w:rsid w:val="001B496A"/>
    <w:rsid w:val="001B49E9"/>
    <w:rsid w:val="001B520C"/>
    <w:rsid w:val="001B5BC3"/>
    <w:rsid w:val="001B662A"/>
    <w:rsid w:val="001B7414"/>
    <w:rsid w:val="001B7875"/>
    <w:rsid w:val="001B7B9F"/>
    <w:rsid w:val="001C1B42"/>
    <w:rsid w:val="001C59DE"/>
    <w:rsid w:val="001C6B5B"/>
    <w:rsid w:val="001C6D6E"/>
    <w:rsid w:val="001C729C"/>
    <w:rsid w:val="001C760C"/>
    <w:rsid w:val="001C7E4C"/>
    <w:rsid w:val="001D00C9"/>
    <w:rsid w:val="001D0EB0"/>
    <w:rsid w:val="001D2053"/>
    <w:rsid w:val="001D21FF"/>
    <w:rsid w:val="001D29FD"/>
    <w:rsid w:val="001D2AC1"/>
    <w:rsid w:val="001D33CE"/>
    <w:rsid w:val="001D3C4D"/>
    <w:rsid w:val="001D3F99"/>
    <w:rsid w:val="001D4389"/>
    <w:rsid w:val="001D47BB"/>
    <w:rsid w:val="001D4DDE"/>
    <w:rsid w:val="001D560F"/>
    <w:rsid w:val="001D5D9D"/>
    <w:rsid w:val="001D5F0E"/>
    <w:rsid w:val="001D629D"/>
    <w:rsid w:val="001D6F30"/>
    <w:rsid w:val="001D7556"/>
    <w:rsid w:val="001D76CE"/>
    <w:rsid w:val="001D77BE"/>
    <w:rsid w:val="001D7F04"/>
    <w:rsid w:val="001E0A0D"/>
    <w:rsid w:val="001E16D2"/>
    <w:rsid w:val="001E1724"/>
    <w:rsid w:val="001E1E1F"/>
    <w:rsid w:val="001E2316"/>
    <w:rsid w:val="001E303C"/>
    <w:rsid w:val="001E31E8"/>
    <w:rsid w:val="001E34A9"/>
    <w:rsid w:val="001E358B"/>
    <w:rsid w:val="001E371C"/>
    <w:rsid w:val="001E377E"/>
    <w:rsid w:val="001E51CE"/>
    <w:rsid w:val="001E5578"/>
    <w:rsid w:val="001E6192"/>
    <w:rsid w:val="001E73CD"/>
    <w:rsid w:val="001F005C"/>
    <w:rsid w:val="001F026F"/>
    <w:rsid w:val="001F0999"/>
    <w:rsid w:val="001F1186"/>
    <w:rsid w:val="001F1524"/>
    <w:rsid w:val="001F1A5C"/>
    <w:rsid w:val="001F1EB0"/>
    <w:rsid w:val="001F252F"/>
    <w:rsid w:val="001F25F6"/>
    <w:rsid w:val="001F2E6E"/>
    <w:rsid w:val="001F3292"/>
    <w:rsid w:val="001F35D0"/>
    <w:rsid w:val="001F412B"/>
    <w:rsid w:val="001F45F8"/>
    <w:rsid w:val="001F4627"/>
    <w:rsid w:val="001F48CA"/>
    <w:rsid w:val="001F4F67"/>
    <w:rsid w:val="001F552C"/>
    <w:rsid w:val="001F590A"/>
    <w:rsid w:val="001F5C65"/>
    <w:rsid w:val="001F63AB"/>
    <w:rsid w:val="001F678E"/>
    <w:rsid w:val="001F6CF6"/>
    <w:rsid w:val="001F755E"/>
    <w:rsid w:val="001F7A65"/>
    <w:rsid w:val="00200674"/>
    <w:rsid w:val="00200F5C"/>
    <w:rsid w:val="0020104B"/>
    <w:rsid w:val="00201148"/>
    <w:rsid w:val="00202895"/>
    <w:rsid w:val="00204595"/>
    <w:rsid w:val="00204E6D"/>
    <w:rsid w:val="00205348"/>
    <w:rsid w:val="002058DA"/>
    <w:rsid w:val="00207E1C"/>
    <w:rsid w:val="00207FE0"/>
    <w:rsid w:val="0021070E"/>
    <w:rsid w:val="002110AB"/>
    <w:rsid w:val="00211522"/>
    <w:rsid w:val="00212428"/>
    <w:rsid w:val="0021271B"/>
    <w:rsid w:val="0021333A"/>
    <w:rsid w:val="00213BE9"/>
    <w:rsid w:val="00214AD3"/>
    <w:rsid w:val="002151AD"/>
    <w:rsid w:val="0021551B"/>
    <w:rsid w:val="00215DE9"/>
    <w:rsid w:val="0021655F"/>
    <w:rsid w:val="0021664B"/>
    <w:rsid w:val="00217095"/>
    <w:rsid w:val="002172B2"/>
    <w:rsid w:val="002178B8"/>
    <w:rsid w:val="002209A1"/>
    <w:rsid w:val="00220F21"/>
    <w:rsid w:val="002210E6"/>
    <w:rsid w:val="00221DD7"/>
    <w:rsid w:val="00222A0C"/>
    <w:rsid w:val="00222EA0"/>
    <w:rsid w:val="002230D6"/>
    <w:rsid w:val="00223F96"/>
    <w:rsid w:val="0022451F"/>
    <w:rsid w:val="002245FA"/>
    <w:rsid w:val="00224DED"/>
    <w:rsid w:val="0022661F"/>
    <w:rsid w:val="00226AFA"/>
    <w:rsid w:val="0022713E"/>
    <w:rsid w:val="0022763D"/>
    <w:rsid w:val="00230456"/>
    <w:rsid w:val="00230491"/>
    <w:rsid w:val="00230535"/>
    <w:rsid w:val="002310E7"/>
    <w:rsid w:val="00231A91"/>
    <w:rsid w:val="002329E2"/>
    <w:rsid w:val="00232B58"/>
    <w:rsid w:val="00233018"/>
    <w:rsid w:val="00234205"/>
    <w:rsid w:val="0023486A"/>
    <w:rsid w:val="00234BBE"/>
    <w:rsid w:val="00234C2A"/>
    <w:rsid w:val="0023530A"/>
    <w:rsid w:val="00235D3F"/>
    <w:rsid w:val="0023609B"/>
    <w:rsid w:val="0023668F"/>
    <w:rsid w:val="002372EE"/>
    <w:rsid w:val="002377D7"/>
    <w:rsid w:val="00240A6A"/>
    <w:rsid w:val="00242819"/>
    <w:rsid w:val="00242BF6"/>
    <w:rsid w:val="002432F0"/>
    <w:rsid w:val="00243337"/>
    <w:rsid w:val="00243937"/>
    <w:rsid w:val="00244C85"/>
    <w:rsid w:val="002461D8"/>
    <w:rsid w:val="00246AC9"/>
    <w:rsid w:val="00246DF5"/>
    <w:rsid w:val="00246F80"/>
    <w:rsid w:val="00246F91"/>
    <w:rsid w:val="002472A5"/>
    <w:rsid w:val="00247BB5"/>
    <w:rsid w:val="002502EC"/>
    <w:rsid w:val="0025140F"/>
    <w:rsid w:val="00251D33"/>
    <w:rsid w:val="00252640"/>
    <w:rsid w:val="00252A38"/>
    <w:rsid w:val="00252A72"/>
    <w:rsid w:val="0025339B"/>
    <w:rsid w:val="0025395D"/>
    <w:rsid w:val="002548D7"/>
    <w:rsid w:val="00255827"/>
    <w:rsid w:val="00255B9B"/>
    <w:rsid w:val="0025614A"/>
    <w:rsid w:val="0025773E"/>
    <w:rsid w:val="00257924"/>
    <w:rsid w:val="00260F37"/>
    <w:rsid w:val="002616CF"/>
    <w:rsid w:val="00261931"/>
    <w:rsid w:val="00261B60"/>
    <w:rsid w:val="00261E48"/>
    <w:rsid w:val="00261E65"/>
    <w:rsid w:val="00262D1F"/>
    <w:rsid w:val="002637E4"/>
    <w:rsid w:val="00263C2A"/>
    <w:rsid w:val="00264119"/>
    <w:rsid w:val="00264946"/>
    <w:rsid w:val="00264AD9"/>
    <w:rsid w:val="00264E9E"/>
    <w:rsid w:val="00264F0B"/>
    <w:rsid w:val="002655BB"/>
    <w:rsid w:val="00265797"/>
    <w:rsid w:val="00265CEB"/>
    <w:rsid w:val="002665BC"/>
    <w:rsid w:val="00266865"/>
    <w:rsid w:val="002668EA"/>
    <w:rsid w:val="0026770F"/>
    <w:rsid w:val="00267AD8"/>
    <w:rsid w:val="0027085A"/>
    <w:rsid w:val="00270E58"/>
    <w:rsid w:val="00270EBE"/>
    <w:rsid w:val="00271084"/>
    <w:rsid w:val="0027245E"/>
    <w:rsid w:val="002727AC"/>
    <w:rsid w:val="002736FA"/>
    <w:rsid w:val="00274A23"/>
    <w:rsid w:val="00274F5C"/>
    <w:rsid w:val="00275718"/>
    <w:rsid w:val="00276B1A"/>
    <w:rsid w:val="00277103"/>
    <w:rsid w:val="00277164"/>
    <w:rsid w:val="00277245"/>
    <w:rsid w:val="0027738A"/>
    <w:rsid w:val="002773E9"/>
    <w:rsid w:val="002773EF"/>
    <w:rsid w:val="002774B1"/>
    <w:rsid w:val="002778B8"/>
    <w:rsid w:val="00281BD5"/>
    <w:rsid w:val="00283320"/>
    <w:rsid w:val="0028379B"/>
    <w:rsid w:val="00284BC6"/>
    <w:rsid w:val="00284D9C"/>
    <w:rsid w:val="0028532E"/>
    <w:rsid w:val="00285A24"/>
    <w:rsid w:val="002866FF"/>
    <w:rsid w:val="0028694E"/>
    <w:rsid w:val="00286AEA"/>
    <w:rsid w:val="00286B7C"/>
    <w:rsid w:val="00286C91"/>
    <w:rsid w:val="00286C97"/>
    <w:rsid w:val="00287134"/>
    <w:rsid w:val="002877FC"/>
    <w:rsid w:val="0028781C"/>
    <w:rsid w:val="00287A24"/>
    <w:rsid w:val="00290668"/>
    <w:rsid w:val="00290913"/>
    <w:rsid w:val="00290E21"/>
    <w:rsid w:val="00291AEC"/>
    <w:rsid w:val="0029204C"/>
    <w:rsid w:val="0029408B"/>
    <w:rsid w:val="00294368"/>
    <w:rsid w:val="002959FB"/>
    <w:rsid w:val="00295A1B"/>
    <w:rsid w:val="00295D39"/>
    <w:rsid w:val="00295DD6"/>
    <w:rsid w:val="00295F41"/>
    <w:rsid w:val="00296098"/>
    <w:rsid w:val="00296C75"/>
    <w:rsid w:val="00297058"/>
    <w:rsid w:val="00297380"/>
    <w:rsid w:val="00297DE3"/>
    <w:rsid w:val="002A066A"/>
    <w:rsid w:val="002A0C9C"/>
    <w:rsid w:val="002A1529"/>
    <w:rsid w:val="002A1A62"/>
    <w:rsid w:val="002A1D79"/>
    <w:rsid w:val="002A22DA"/>
    <w:rsid w:val="002A2412"/>
    <w:rsid w:val="002A24E3"/>
    <w:rsid w:val="002A2632"/>
    <w:rsid w:val="002A31FE"/>
    <w:rsid w:val="002A38AE"/>
    <w:rsid w:val="002A3E8F"/>
    <w:rsid w:val="002A448E"/>
    <w:rsid w:val="002A4956"/>
    <w:rsid w:val="002A49FE"/>
    <w:rsid w:val="002A50E4"/>
    <w:rsid w:val="002A6468"/>
    <w:rsid w:val="002A65F0"/>
    <w:rsid w:val="002A6A6C"/>
    <w:rsid w:val="002A7E5E"/>
    <w:rsid w:val="002B0091"/>
    <w:rsid w:val="002B022E"/>
    <w:rsid w:val="002B061B"/>
    <w:rsid w:val="002B0813"/>
    <w:rsid w:val="002B0DB5"/>
    <w:rsid w:val="002B1093"/>
    <w:rsid w:val="002B19F1"/>
    <w:rsid w:val="002B1C63"/>
    <w:rsid w:val="002B231A"/>
    <w:rsid w:val="002B2705"/>
    <w:rsid w:val="002B3E74"/>
    <w:rsid w:val="002B4279"/>
    <w:rsid w:val="002B5220"/>
    <w:rsid w:val="002B525C"/>
    <w:rsid w:val="002B678A"/>
    <w:rsid w:val="002B6A23"/>
    <w:rsid w:val="002B6DBE"/>
    <w:rsid w:val="002B6E4E"/>
    <w:rsid w:val="002B7712"/>
    <w:rsid w:val="002B7B22"/>
    <w:rsid w:val="002B7E54"/>
    <w:rsid w:val="002C0707"/>
    <w:rsid w:val="002C1412"/>
    <w:rsid w:val="002C146C"/>
    <w:rsid w:val="002C287D"/>
    <w:rsid w:val="002C47F7"/>
    <w:rsid w:val="002C56DC"/>
    <w:rsid w:val="002C5855"/>
    <w:rsid w:val="002C5C3D"/>
    <w:rsid w:val="002C6B18"/>
    <w:rsid w:val="002C7A0F"/>
    <w:rsid w:val="002D062B"/>
    <w:rsid w:val="002D2129"/>
    <w:rsid w:val="002D2C72"/>
    <w:rsid w:val="002D2F44"/>
    <w:rsid w:val="002D3608"/>
    <w:rsid w:val="002D3642"/>
    <w:rsid w:val="002D36C9"/>
    <w:rsid w:val="002D388D"/>
    <w:rsid w:val="002D3F68"/>
    <w:rsid w:val="002D4273"/>
    <w:rsid w:val="002D4335"/>
    <w:rsid w:val="002D4987"/>
    <w:rsid w:val="002D4C76"/>
    <w:rsid w:val="002D4E1D"/>
    <w:rsid w:val="002D5581"/>
    <w:rsid w:val="002D64B4"/>
    <w:rsid w:val="002D68D2"/>
    <w:rsid w:val="002E0CA1"/>
    <w:rsid w:val="002E19D6"/>
    <w:rsid w:val="002E22B3"/>
    <w:rsid w:val="002E2ECF"/>
    <w:rsid w:val="002E345E"/>
    <w:rsid w:val="002E4FA2"/>
    <w:rsid w:val="002E5BA2"/>
    <w:rsid w:val="002E6137"/>
    <w:rsid w:val="002E655B"/>
    <w:rsid w:val="002E684B"/>
    <w:rsid w:val="002E76CB"/>
    <w:rsid w:val="002F0BD6"/>
    <w:rsid w:val="002F117B"/>
    <w:rsid w:val="002F1238"/>
    <w:rsid w:val="002F12BD"/>
    <w:rsid w:val="002F1711"/>
    <w:rsid w:val="002F1B46"/>
    <w:rsid w:val="002F2CDC"/>
    <w:rsid w:val="002F3615"/>
    <w:rsid w:val="002F41CC"/>
    <w:rsid w:val="002F432A"/>
    <w:rsid w:val="002F4F09"/>
    <w:rsid w:val="002F534F"/>
    <w:rsid w:val="002F5E57"/>
    <w:rsid w:val="002F61E1"/>
    <w:rsid w:val="002F70E2"/>
    <w:rsid w:val="002F7446"/>
    <w:rsid w:val="002F7C09"/>
    <w:rsid w:val="00300283"/>
    <w:rsid w:val="00300C34"/>
    <w:rsid w:val="00300E8A"/>
    <w:rsid w:val="00301285"/>
    <w:rsid w:val="003014A0"/>
    <w:rsid w:val="00302D9D"/>
    <w:rsid w:val="003045C9"/>
    <w:rsid w:val="003048B6"/>
    <w:rsid w:val="003049B5"/>
    <w:rsid w:val="0030505A"/>
    <w:rsid w:val="00306EFB"/>
    <w:rsid w:val="003078AF"/>
    <w:rsid w:val="003107B2"/>
    <w:rsid w:val="00311801"/>
    <w:rsid w:val="00312284"/>
    <w:rsid w:val="00312DCA"/>
    <w:rsid w:val="00312E61"/>
    <w:rsid w:val="00313433"/>
    <w:rsid w:val="0031418A"/>
    <w:rsid w:val="003141D3"/>
    <w:rsid w:val="003142CE"/>
    <w:rsid w:val="00314EBA"/>
    <w:rsid w:val="0031585A"/>
    <w:rsid w:val="00316231"/>
    <w:rsid w:val="003164F7"/>
    <w:rsid w:val="00317C74"/>
    <w:rsid w:val="00320CD9"/>
    <w:rsid w:val="00320FF9"/>
    <w:rsid w:val="00321139"/>
    <w:rsid w:val="00321548"/>
    <w:rsid w:val="00321714"/>
    <w:rsid w:val="00321AC1"/>
    <w:rsid w:val="0032356B"/>
    <w:rsid w:val="00323687"/>
    <w:rsid w:val="00323E5F"/>
    <w:rsid w:val="00324230"/>
    <w:rsid w:val="00324F0D"/>
    <w:rsid w:val="0032597C"/>
    <w:rsid w:val="003266EA"/>
    <w:rsid w:val="0032745F"/>
    <w:rsid w:val="00330144"/>
    <w:rsid w:val="0033067E"/>
    <w:rsid w:val="00330909"/>
    <w:rsid w:val="00330E7E"/>
    <w:rsid w:val="0033145E"/>
    <w:rsid w:val="003319A8"/>
    <w:rsid w:val="00333FEF"/>
    <w:rsid w:val="00334A68"/>
    <w:rsid w:val="00334D1F"/>
    <w:rsid w:val="0033572A"/>
    <w:rsid w:val="00335921"/>
    <w:rsid w:val="00335B5F"/>
    <w:rsid w:val="00337785"/>
    <w:rsid w:val="0033779B"/>
    <w:rsid w:val="00340995"/>
    <w:rsid w:val="00341582"/>
    <w:rsid w:val="00341F74"/>
    <w:rsid w:val="003421F9"/>
    <w:rsid w:val="003428E2"/>
    <w:rsid w:val="00342B8C"/>
    <w:rsid w:val="00344063"/>
    <w:rsid w:val="0034503A"/>
    <w:rsid w:val="00345161"/>
    <w:rsid w:val="003462DA"/>
    <w:rsid w:val="00346556"/>
    <w:rsid w:val="00346566"/>
    <w:rsid w:val="00346AE7"/>
    <w:rsid w:val="00346BD9"/>
    <w:rsid w:val="00347339"/>
    <w:rsid w:val="00347750"/>
    <w:rsid w:val="00350333"/>
    <w:rsid w:val="00350524"/>
    <w:rsid w:val="0035069B"/>
    <w:rsid w:val="003509DA"/>
    <w:rsid w:val="00351255"/>
    <w:rsid w:val="00351639"/>
    <w:rsid w:val="0035202F"/>
    <w:rsid w:val="00352F73"/>
    <w:rsid w:val="00353099"/>
    <w:rsid w:val="00355671"/>
    <w:rsid w:val="00355701"/>
    <w:rsid w:val="0035661B"/>
    <w:rsid w:val="00357AF2"/>
    <w:rsid w:val="003603E7"/>
    <w:rsid w:val="00360B63"/>
    <w:rsid w:val="0036128D"/>
    <w:rsid w:val="00361504"/>
    <w:rsid w:val="00361DA2"/>
    <w:rsid w:val="003622AB"/>
    <w:rsid w:val="0036271C"/>
    <w:rsid w:val="0036279F"/>
    <w:rsid w:val="00363326"/>
    <w:rsid w:val="00365B8F"/>
    <w:rsid w:val="00365BFC"/>
    <w:rsid w:val="00366CB9"/>
    <w:rsid w:val="00366F0F"/>
    <w:rsid w:val="003713DA"/>
    <w:rsid w:val="00371CE9"/>
    <w:rsid w:val="0037210C"/>
    <w:rsid w:val="003723E1"/>
    <w:rsid w:val="00372929"/>
    <w:rsid w:val="00373C89"/>
    <w:rsid w:val="00374D14"/>
    <w:rsid w:val="00375186"/>
    <w:rsid w:val="00375C19"/>
    <w:rsid w:val="00375DB7"/>
    <w:rsid w:val="00376629"/>
    <w:rsid w:val="0037726C"/>
    <w:rsid w:val="00377BDE"/>
    <w:rsid w:val="003802CB"/>
    <w:rsid w:val="00380869"/>
    <w:rsid w:val="0038136F"/>
    <w:rsid w:val="0038226D"/>
    <w:rsid w:val="0038230D"/>
    <w:rsid w:val="003828FF"/>
    <w:rsid w:val="00382FCD"/>
    <w:rsid w:val="00383387"/>
    <w:rsid w:val="00383EB9"/>
    <w:rsid w:val="003845D8"/>
    <w:rsid w:val="003845E4"/>
    <w:rsid w:val="00384E18"/>
    <w:rsid w:val="003853EA"/>
    <w:rsid w:val="0038546A"/>
    <w:rsid w:val="00385715"/>
    <w:rsid w:val="003859EA"/>
    <w:rsid w:val="00385BFF"/>
    <w:rsid w:val="00385CDD"/>
    <w:rsid w:val="003866CA"/>
    <w:rsid w:val="00386A27"/>
    <w:rsid w:val="0038793E"/>
    <w:rsid w:val="003879A8"/>
    <w:rsid w:val="00390F09"/>
    <w:rsid w:val="0039222D"/>
    <w:rsid w:val="003924DA"/>
    <w:rsid w:val="003925EE"/>
    <w:rsid w:val="00392CD4"/>
    <w:rsid w:val="00392F9E"/>
    <w:rsid w:val="003930E3"/>
    <w:rsid w:val="003937F5"/>
    <w:rsid w:val="00394A69"/>
    <w:rsid w:val="0039532E"/>
    <w:rsid w:val="003964C0"/>
    <w:rsid w:val="00396ACF"/>
    <w:rsid w:val="00396AE2"/>
    <w:rsid w:val="00397B4D"/>
    <w:rsid w:val="003A0383"/>
    <w:rsid w:val="003A06EA"/>
    <w:rsid w:val="003A0718"/>
    <w:rsid w:val="003A0862"/>
    <w:rsid w:val="003A0F00"/>
    <w:rsid w:val="003A2B65"/>
    <w:rsid w:val="003A49EF"/>
    <w:rsid w:val="003A4E2A"/>
    <w:rsid w:val="003A4FB8"/>
    <w:rsid w:val="003A502E"/>
    <w:rsid w:val="003A5366"/>
    <w:rsid w:val="003A5FF0"/>
    <w:rsid w:val="003A6AFA"/>
    <w:rsid w:val="003A755B"/>
    <w:rsid w:val="003A7E15"/>
    <w:rsid w:val="003A7EE8"/>
    <w:rsid w:val="003B0127"/>
    <w:rsid w:val="003B0279"/>
    <w:rsid w:val="003B0D50"/>
    <w:rsid w:val="003B1B2B"/>
    <w:rsid w:val="003B1E08"/>
    <w:rsid w:val="003B3422"/>
    <w:rsid w:val="003B395F"/>
    <w:rsid w:val="003B3A44"/>
    <w:rsid w:val="003B3F69"/>
    <w:rsid w:val="003B4320"/>
    <w:rsid w:val="003B5E03"/>
    <w:rsid w:val="003B607E"/>
    <w:rsid w:val="003B6311"/>
    <w:rsid w:val="003C0187"/>
    <w:rsid w:val="003C09DD"/>
    <w:rsid w:val="003C14EB"/>
    <w:rsid w:val="003C1FEB"/>
    <w:rsid w:val="003C2288"/>
    <w:rsid w:val="003C281A"/>
    <w:rsid w:val="003C2A60"/>
    <w:rsid w:val="003C3803"/>
    <w:rsid w:val="003C38C0"/>
    <w:rsid w:val="003C397E"/>
    <w:rsid w:val="003C3BE0"/>
    <w:rsid w:val="003C3BF7"/>
    <w:rsid w:val="003C42F1"/>
    <w:rsid w:val="003C489A"/>
    <w:rsid w:val="003C4B2A"/>
    <w:rsid w:val="003C591A"/>
    <w:rsid w:val="003C76E2"/>
    <w:rsid w:val="003C7AA3"/>
    <w:rsid w:val="003C7B9C"/>
    <w:rsid w:val="003C7E70"/>
    <w:rsid w:val="003C7F88"/>
    <w:rsid w:val="003C7FA6"/>
    <w:rsid w:val="003D0051"/>
    <w:rsid w:val="003D09E9"/>
    <w:rsid w:val="003D1405"/>
    <w:rsid w:val="003D14F6"/>
    <w:rsid w:val="003D1B26"/>
    <w:rsid w:val="003D1ED8"/>
    <w:rsid w:val="003D210F"/>
    <w:rsid w:val="003D2666"/>
    <w:rsid w:val="003D273E"/>
    <w:rsid w:val="003D3F8F"/>
    <w:rsid w:val="003D3F9B"/>
    <w:rsid w:val="003D416C"/>
    <w:rsid w:val="003D4238"/>
    <w:rsid w:val="003D49C2"/>
    <w:rsid w:val="003D4ACB"/>
    <w:rsid w:val="003D4E01"/>
    <w:rsid w:val="003D52E6"/>
    <w:rsid w:val="003D5789"/>
    <w:rsid w:val="003D6277"/>
    <w:rsid w:val="003D64D4"/>
    <w:rsid w:val="003D6C1C"/>
    <w:rsid w:val="003D702A"/>
    <w:rsid w:val="003D7A1F"/>
    <w:rsid w:val="003E058E"/>
    <w:rsid w:val="003E1417"/>
    <w:rsid w:val="003E18E9"/>
    <w:rsid w:val="003E1A5A"/>
    <w:rsid w:val="003E1FD7"/>
    <w:rsid w:val="003E223C"/>
    <w:rsid w:val="003E3573"/>
    <w:rsid w:val="003E4263"/>
    <w:rsid w:val="003E42CD"/>
    <w:rsid w:val="003E44FC"/>
    <w:rsid w:val="003E47DB"/>
    <w:rsid w:val="003E56D5"/>
    <w:rsid w:val="003E5A6F"/>
    <w:rsid w:val="003E5B33"/>
    <w:rsid w:val="003E5E4B"/>
    <w:rsid w:val="003E6CFF"/>
    <w:rsid w:val="003E6F65"/>
    <w:rsid w:val="003E757F"/>
    <w:rsid w:val="003F0717"/>
    <w:rsid w:val="003F119C"/>
    <w:rsid w:val="003F1603"/>
    <w:rsid w:val="003F2111"/>
    <w:rsid w:val="003F2439"/>
    <w:rsid w:val="003F24C6"/>
    <w:rsid w:val="003F2F8D"/>
    <w:rsid w:val="003F35B9"/>
    <w:rsid w:val="003F3E8A"/>
    <w:rsid w:val="00400311"/>
    <w:rsid w:val="00400590"/>
    <w:rsid w:val="0040131A"/>
    <w:rsid w:val="00401C15"/>
    <w:rsid w:val="004025C1"/>
    <w:rsid w:val="00402819"/>
    <w:rsid w:val="00403ACB"/>
    <w:rsid w:val="0040403F"/>
    <w:rsid w:val="0040480D"/>
    <w:rsid w:val="00405497"/>
    <w:rsid w:val="00405BE0"/>
    <w:rsid w:val="004060BA"/>
    <w:rsid w:val="00406237"/>
    <w:rsid w:val="004066EF"/>
    <w:rsid w:val="00407B60"/>
    <w:rsid w:val="004101E8"/>
    <w:rsid w:val="004123A5"/>
    <w:rsid w:val="00413C1A"/>
    <w:rsid w:val="004150FE"/>
    <w:rsid w:val="0041545F"/>
    <w:rsid w:val="00415F38"/>
    <w:rsid w:val="00416555"/>
    <w:rsid w:val="00416984"/>
    <w:rsid w:val="00416B58"/>
    <w:rsid w:val="00416D0D"/>
    <w:rsid w:val="00416FCE"/>
    <w:rsid w:val="004208A6"/>
    <w:rsid w:val="004224C8"/>
    <w:rsid w:val="004227F6"/>
    <w:rsid w:val="0042309A"/>
    <w:rsid w:val="004233CE"/>
    <w:rsid w:val="004239A4"/>
    <w:rsid w:val="00424A4D"/>
    <w:rsid w:val="00424C10"/>
    <w:rsid w:val="00424E30"/>
    <w:rsid w:val="00424FAE"/>
    <w:rsid w:val="00425B02"/>
    <w:rsid w:val="00425C44"/>
    <w:rsid w:val="00426297"/>
    <w:rsid w:val="004268D8"/>
    <w:rsid w:val="004268EF"/>
    <w:rsid w:val="00426E7F"/>
    <w:rsid w:val="00427F19"/>
    <w:rsid w:val="0043001A"/>
    <w:rsid w:val="00431B63"/>
    <w:rsid w:val="004324CA"/>
    <w:rsid w:val="004327E3"/>
    <w:rsid w:val="00433FD4"/>
    <w:rsid w:val="00434229"/>
    <w:rsid w:val="00435569"/>
    <w:rsid w:val="004358BC"/>
    <w:rsid w:val="004362C2"/>
    <w:rsid w:val="004365E3"/>
    <w:rsid w:val="0043675B"/>
    <w:rsid w:val="004367DA"/>
    <w:rsid w:val="0043682E"/>
    <w:rsid w:val="0043763A"/>
    <w:rsid w:val="004379C7"/>
    <w:rsid w:val="00441EDA"/>
    <w:rsid w:val="00442B91"/>
    <w:rsid w:val="00442C8A"/>
    <w:rsid w:val="00444F78"/>
    <w:rsid w:val="0044566C"/>
    <w:rsid w:val="0044668E"/>
    <w:rsid w:val="004466C6"/>
    <w:rsid w:val="004507EB"/>
    <w:rsid w:val="004509DA"/>
    <w:rsid w:val="004518E0"/>
    <w:rsid w:val="00451BF6"/>
    <w:rsid w:val="0045233E"/>
    <w:rsid w:val="0045253A"/>
    <w:rsid w:val="00452710"/>
    <w:rsid w:val="00453DEE"/>
    <w:rsid w:val="00453E5E"/>
    <w:rsid w:val="004541B2"/>
    <w:rsid w:val="00454264"/>
    <w:rsid w:val="0045489F"/>
    <w:rsid w:val="004557E1"/>
    <w:rsid w:val="0045594A"/>
    <w:rsid w:val="00456CC2"/>
    <w:rsid w:val="004571B2"/>
    <w:rsid w:val="00457374"/>
    <w:rsid w:val="004573E7"/>
    <w:rsid w:val="004574A2"/>
    <w:rsid w:val="00457660"/>
    <w:rsid w:val="0046050A"/>
    <w:rsid w:val="00460C65"/>
    <w:rsid w:val="00460DC9"/>
    <w:rsid w:val="00461A7C"/>
    <w:rsid w:val="00461BCE"/>
    <w:rsid w:val="00462136"/>
    <w:rsid w:val="0046298A"/>
    <w:rsid w:val="00462AA2"/>
    <w:rsid w:val="00462D9E"/>
    <w:rsid w:val="00462F26"/>
    <w:rsid w:val="0046316D"/>
    <w:rsid w:val="0046547B"/>
    <w:rsid w:val="004658E4"/>
    <w:rsid w:val="00465934"/>
    <w:rsid w:val="004670DF"/>
    <w:rsid w:val="00470AA0"/>
    <w:rsid w:val="0047200A"/>
    <w:rsid w:val="0047230D"/>
    <w:rsid w:val="00472398"/>
    <w:rsid w:val="00472F27"/>
    <w:rsid w:val="0047352B"/>
    <w:rsid w:val="004735A5"/>
    <w:rsid w:val="004736FE"/>
    <w:rsid w:val="004737B0"/>
    <w:rsid w:val="004737CB"/>
    <w:rsid w:val="00473A0E"/>
    <w:rsid w:val="00473AE7"/>
    <w:rsid w:val="00474271"/>
    <w:rsid w:val="00474451"/>
    <w:rsid w:val="00475705"/>
    <w:rsid w:val="004759CB"/>
    <w:rsid w:val="00475A04"/>
    <w:rsid w:val="00475C7D"/>
    <w:rsid w:val="00476319"/>
    <w:rsid w:val="004767E8"/>
    <w:rsid w:val="004768BE"/>
    <w:rsid w:val="00477427"/>
    <w:rsid w:val="0048006B"/>
    <w:rsid w:val="0048031A"/>
    <w:rsid w:val="00480DA9"/>
    <w:rsid w:val="00480EA1"/>
    <w:rsid w:val="00480FF7"/>
    <w:rsid w:val="00481A3A"/>
    <w:rsid w:val="00481C5C"/>
    <w:rsid w:val="00481CE3"/>
    <w:rsid w:val="00482801"/>
    <w:rsid w:val="00482B14"/>
    <w:rsid w:val="00482F8D"/>
    <w:rsid w:val="004833EE"/>
    <w:rsid w:val="004840CF"/>
    <w:rsid w:val="004857D2"/>
    <w:rsid w:val="00485CB7"/>
    <w:rsid w:val="0048603F"/>
    <w:rsid w:val="00486785"/>
    <w:rsid w:val="004867C4"/>
    <w:rsid w:val="00486C04"/>
    <w:rsid w:val="0048705B"/>
    <w:rsid w:val="0048733E"/>
    <w:rsid w:val="00487A58"/>
    <w:rsid w:val="00487F76"/>
    <w:rsid w:val="00490255"/>
    <w:rsid w:val="00490691"/>
    <w:rsid w:val="00490722"/>
    <w:rsid w:val="004907EB"/>
    <w:rsid w:val="00490D96"/>
    <w:rsid w:val="00491479"/>
    <w:rsid w:val="00491659"/>
    <w:rsid w:val="00491ABD"/>
    <w:rsid w:val="00492001"/>
    <w:rsid w:val="00492BD9"/>
    <w:rsid w:val="00493C12"/>
    <w:rsid w:val="00494C9D"/>
    <w:rsid w:val="00494D12"/>
    <w:rsid w:val="00494E29"/>
    <w:rsid w:val="004953B3"/>
    <w:rsid w:val="00495820"/>
    <w:rsid w:val="00495AE1"/>
    <w:rsid w:val="00495DF8"/>
    <w:rsid w:val="0049618F"/>
    <w:rsid w:val="004961A5"/>
    <w:rsid w:val="004964DA"/>
    <w:rsid w:val="00496710"/>
    <w:rsid w:val="004967CF"/>
    <w:rsid w:val="00496BF7"/>
    <w:rsid w:val="00497A73"/>
    <w:rsid w:val="004A086C"/>
    <w:rsid w:val="004A0F73"/>
    <w:rsid w:val="004A2AFD"/>
    <w:rsid w:val="004A30CE"/>
    <w:rsid w:val="004A310E"/>
    <w:rsid w:val="004A3582"/>
    <w:rsid w:val="004A35F7"/>
    <w:rsid w:val="004A3626"/>
    <w:rsid w:val="004A4192"/>
    <w:rsid w:val="004A44A1"/>
    <w:rsid w:val="004A4AB4"/>
    <w:rsid w:val="004A50C8"/>
    <w:rsid w:val="004A53F5"/>
    <w:rsid w:val="004A62F0"/>
    <w:rsid w:val="004A6E47"/>
    <w:rsid w:val="004A72ED"/>
    <w:rsid w:val="004A796F"/>
    <w:rsid w:val="004B02B9"/>
    <w:rsid w:val="004B0350"/>
    <w:rsid w:val="004B038B"/>
    <w:rsid w:val="004B03FC"/>
    <w:rsid w:val="004B089E"/>
    <w:rsid w:val="004B0DA0"/>
    <w:rsid w:val="004B1A09"/>
    <w:rsid w:val="004B1C71"/>
    <w:rsid w:val="004B262B"/>
    <w:rsid w:val="004B28D8"/>
    <w:rsid w:val="004B2A1F"/>
    <w:rsid w:val="004B39FC"/>
    <w:rsid w:val="004B52F9"/>
    <w:rsid w:val="004B5636"/>
    <w:rsid w:val="004B5C40"/>
    <w:rsid w:val="004B6873"/>
    <w:rsid w:val="004B7AC4"/>
    <w:rsid w:val="004B7EF4"/>
    <w:rsid w:val="004B7FCA"/>
    <w:rsid w:val="004C05F7"/>
    <w:rsid w:val="004C0998"/>
    <w:rsid w:val="004C1067"/>
    <w:rsid w:val="004C3242"/>
    <w:rsid w:val="004C4239"/>
    <w:rsid w:val="004C4314"/>
    <w:rsid w:val="004C5181"/>
    <w:rsid w:val="004C5284"/>
    <w:rsid w:val="004C6C72"/>
    <w:rsid w:val="004C6ED0"/>
    <w:rsid w:val="004C6F1B"/>
    <w:rsid w:val="004D03D5"/>
    <w:rsid w:val="004D06BD"/>
    <w:rsid w:val="004D1375"/>
    <w:rsid w:val="004D143D"/>
    <w:rsid w:val="004D2C2E"/>
    <w:rsid w:val="004D3328"/>
    <w:rsid w:val="004D3376"/>
    <w:rsid w:val="004D3F1A"/>
    <w:rsid w:val="004D415D"/>
    <w:rsid w:val="004D4231"/>
    <w:rsid w:val="004D4CC6"/>
    <w:rsid w:val="004D593D"/>
    <w:rsid w:val="004D5B4D"/>
    <w:rsid w:val="004D5B60"/>
    <w:rsid w:val="004D5D58"/>
    <w:rsid w:val="004D67E5"/>
    <w:rsid w:val="004D6FE7"/>
    <w:rsid w:val="004D7A03"/>
    <w:rsid w:val="004E0797"/>
    <w:rsid w:val="004E135E"/>
    <w:rsid w:val="004E1678"/>
    <w:rsid w:val="004E1D3A"/>
    <w:rsid w:val="004E23A4"/>
    <w:rsid w:val="004E2DA4"/>
    <w:rsid w:val="004E2E73"/>
    <w:rsid w:val="004E2E97"/>
    <w:rsid w:val="004E3479"/>
    <w:rsid w:val="004E3576"/>
    <w:rsid w:val="004E3AD0"/>
    <w:rsid w:val="004E47C1"/>
    <w:rsid w:val="004E59CB"/>
    <w:rsid w:val="004E6019"/>
    <w:rsid w:val="004E68C3"/>
    <w:rsid w:val="004E69DD"/>
    <w:rsid w:val="004E70AD"/>
    <w:rsid w:val="004E70B0"/>
    <w:rsid w:val="004E77C1"/>
    <w:rsid w:val="004E7850"/>
    <w:rsid w:val="004E7B12"/>
    <w:rsid w:val="004F0B2D"/>
    <w:rsid w:val="004F16C2"/>
    <w:rsid w:val="004F1C96"/>
    <w:rsid w:val="004F2C35"/>
    <w:rsid w:val="004F336A"/>
    <w:rsid w:val="004F381A"/>
    <w:rsid w:val="004F3C76"/>
    <w:rsid w:val="004F3EFB"/>
    <w:rsid w:val="004F40C0"/>
    <w:rsid w:val="004F4CEA"/>
    <w:rsid w:val="004F685D"/>
    <w:rsid w:val="004F6C7E"/>
    <w:rsid w:val="004F6E3B"/>
    <w:rsid w:val="004F7044"/>
    <w:rsid w:val="004F7D14"/>
    <w:rsid w:val="004F7E7D"/>
    <w:rsid w:val="0050105E"/>
    <w:rsid w:val="00501B46"/>
    <w:rsid w:val="00501FFB"/>
    <w:rsid w:val="00502F50"/>
    <w:rsid w:val="005033E1"/>
    <w:rsid w:val="00503480"/>
    <w:rsid w:val="005041C9"/>
    <w:rsid w:val="005047A8"/>
    <w:rsid w:val="00505EEF"/>
    <w:rsid w:val="00506325"/>
    <w:rsid w:val="00506D1D"/>
    <w:rsid w:val="005075E8"/>
    <w:rsid w:val="005078BA"/>
    <w:rsid w:val="00507FDE"/>
    <w:rsid w:val="00510550"/>
    <w:rsid w:val="00510915"/>
    <w:rsid w:val="005109AC"/>
    <w:rsid w:val="00510E5F"/>
    <w:rsid w:val="00511360"/>
    <w:rsid w:val="00511A2F"/>
    <w:rsid w:val="00511F7B"/>
    <w:rsid w:val="00512919"/>
    <w:rsid w:val="00512C6B"/>
    <w:rsid w:val="0051319A"/>
    <w:rsid w:val="00513CB4"/>
    <w:rsid w:val="00514B61"/>
    <w:rsid w:val="00515107"/>
    <w:rsid w:val="00515306"/>
    <w:rsid w:val="005154E1"/>
    <w:rsid w:val="00515BC7"/>
    <w:rsid w:val="00515ED4"/>
    <w:rsid w:val="00516A4E"/>
    <w:rsid w:val="00516E53"/>
    <w:rsid w:val="00517542"/>
    <w:rsid w:val="00517DFB"/>
    <w:rsid w:val="00517FAC"/>
    <w:rsid w:val="0052024B"/>
    <w:rsid w:val="005209A8"/>
    <w:rsid w:val="005211F4"/>
    <w:rsid w:val="00521514"/>
    <w:rsid w:val="00521E67"/>
    <w:rsid w:val="00522461"/>
    <w:rsid w:val="00522EA0"/>
    <w:rsid w:val="00523C5A"/>
    <w:rsid w:val="005243B7"/>
    <w:rsid w:val="005248B9"/>
    <w:rsid w:val="0052602F"/>
    <w:rsid w:val="005266B7"/>
    <w:rsid w:val="00526E0C"/>
    <w:rsid w:val="0052709A"/>
    <w:rsid w:val="00527EED"/>
    <w:rsid w:val="005301B7"/>
    <w:rsid w:val="0053040E"/>
    <w:rsid w:val="00530B16"/>
    <w:rsid w:val="00530F67"/>
    <w:rsid w:val="0053352D"/>
    <w:rsid w:val="00533B8C"/>
    <w:rsid w:val="00534500"/>
    <w:rsid w:val="00535154"/>
    <w:rsid w:val="005354A7"/>
    <w:rsid w:val="0053588A"/>
    <w:rsid w:val="0053592B"/>
    <w:rsid w:val="00535E9B"/>
    <w:rsid w:val="005372F0"/>
    <w:rsid w:val="00537832"/>
    <w:rsid w:val="00540183"/>
    <w:rsid w:val="00540716"/>
    <w:rsid w:val="0054082D"/>
    <w:rsid w:val="00540C1F"/>
    <w:rsid w:val="00540DA6"/>
    <w:rsid w:val="005413B9"/>
    <w:rsid w:val="00541466"/>
    <w:rsid w:val="00542CD6"/>
    <w:rsid w:val="00542E7E"/>
    <w:rsid w:val="00543719"/>
    <w:rsid w:val="00544909"/>
    <w:rsid w:val="00544DBF"/>
    <w:rsid w:val="0054585D"/>
    <w:rsid w:val="0054594D"/>
    <w:rsid w:val="00545F8A"/>
    <w:rsid w:val="00545FA7"/>
    <w:rsid w:val="0054605A"/>
    <w:rsid w:val="00546A0D"/>
    <w:rsid w:val="00547278"/>
    <w:rsid w:val="00547B50"/>
    <w:rsid w:val="00547C95"/>
    <w:rsid w:val="00547F57"/>
    <w:rsid w:val="00550B28"/>
    <w:rsid w:val="00551210"/>
    <w:rsid w:val="0055155E"/>
    <w:rsid w:val="00551616"/>
    <w:rsid w:val="0055242E"/>
    <w:rsid w:val="00552486"/>
    <w:rsid w:val="005525AE"/>
    <w:rsid w:val="005526C8"/>
    <w:rsid w:val="00552850"/>
    <w:rsid w:val="005533AF"/>
    <w:rsid w:val="00554BF0"/>
    <w:rsid w:val="00554E6F"/>
    <w:rsid w:val="00555A0B"/>
    <w:rsid w:val="00556BA6"/>
    <w:rsid w:val="005600D3"/>
    <w:rsid w:val="0056129C"/>
    <w:rsid w:val="00561AAB"/>
    <w:rsid w:val="0056260E"/>
    <w:rsid w:val="00562D47"/>
    <w:rsid w:val="00562D8F"/>
    <w:rsid w:val="00562F8F"/>
    <w:rsid w:val="005653E4"/>
    <w:rsid w:val="005654DF"/>
    <w:rsid w:val="005656BC"/>
    <w:rsid w:val="005656BD"/>
    <w:rsid w:val="00566277"/>
    <w:rsid w:val="00567974"/>
    <w:rsid w:val="005702FD"/>
    <w:rsid w:val="00570651"/>
    <w:rsid w:val="00571490"/>
    <w:rsid w:val="00571F05"/>
    <w:rsid w:val="00572156"/>
    <w:rsid w:val="00572295"/>
    <w:rsid w:val="00573217"/>
    <w:rsid w:val="005736AB"/>
    <w:rsid w:val="0057391B"/>
    <w:rsid w:val="00573D3B"/>
    <w:rsid w:val="00574D29"/>
    <w:rsid w:val="00575B30"/>
    <w:rsid w:val="00575EB9"/>
    <w:rsid w:val="00576A11"/>
    <w:rsid w:val="00576DF3"/>
    <w:rsid w:val="00577E17"/>
    <w:rsid w:val="005806A4"/>
    <w:rsid w:val="00580E98"/>
    <w:rsid w:val="00580ECF"/>
    <w:rsid w:val="005818B8"/>
    <w:rsid w:val="0058206F"/>
    <w:rsid w:val="005826DB"/>
    <w:rsid w:val="005831AA"/>
    <w:rsid w:val="005832D3"/>
    <w:rsid w:val="00583727"/>
    <w:rsid w:val="00583BC4"/>
    <w:rsid w:val="00584686"/>
    <w:rsid w:val="0058485C"/>
    <w:rsid w:val="00584F7F"/>
    <w:rsid w:val="0058592B"/>
    <w:rsid w:val="00585BFD"/>
    <w:rsid w:val="00585F03"/>
    <w:rsid w:val="005862BA"/>
    <w:rsid w:val="0058719C"/>
    <w:rsid w:val="005879AF"/>
    <w:rsid w:val="00587B2E"/>
    <w:rsid w:val="005905E4"/>
    <w:rsid w:val="00590732"/>
    <w:rsid w:val="00590FFC"/>
    <w:rsid w:val="005925CC"/>
    <w:rsid w:val="00593D19"/>
    <w:rsid w:val="00593F34"/>
    <w:rsid w:val="005943E3"/>
    <w:rsid w:val="005955F4"/>
    <w:rsid w:val="00596AF3"/>
    <w:rsid w:val="00597BE8"/>
    <w:rsid w:val="00597CAE"/>
    <w:rsid w:val="00597E55"/>
    <w:rsid w:val="00597EF3"/>
    <w:rsid w:val="005A032B"/>
    <w:rsid w:val="005A1AF9"/>
    <w:rsid w:val="005A1B57"/>
    <w:rsid w:val="005A1F2C"/>
    <w:rsid w:val="005A1FE4"/>
    <w:rsid w:val="005A2143"/>
    <w:rsid w:val="005A2750"/>
    <w:rsid w:val="005A2793"/>
    <w:rsid w:val="005A2A2D"/>
    <w:rsid w:val="005A2D43"/>
    <w:rsid w:val="005A2F72"/>
    <w:rsid w:val="005A453F"/>
    <w:rsid w:val="005A454C"/>
    <w:rsid w:val="005A5A8C"/>
    <w:rsid w:val="005A5B11"/>
    <w:rsid w:val="005A5E29"/>
    <w:rsid w:val="005A7071"/>
    <w:rsid w:val="005A7206"/>
    <w:rsid w:val="005A794C"/>
    <w:rsid w:val="005B0465"/>
    <w:rsid w:val="005B0C13"/>
    <w:rsid w:val="005B145F"/>
    <w:rsid w:val="005B1659"/>
    <w:rsid w:val="005B1843"/>
    <w:rsid w:val="005B2041"/>
    <w:rsid w:val="005B2B8D"/>
    <w:rsid w:val="005B3B03"/>
    <w:rsid w:val="005B3CD5"/>
    <w:rsid w:val="005B3DB1"/>
    <w:rsid w:val="005B436A"/>
    <w:rsid w:val="005B50D5"/>
    <w:rsid w:val="005B5D9A"/>
    <w:rsid w:val="005B6028"/>
    <w:rsid w:val="005B6864"/>
    <w:rsid w:val="005B69E8"/>
    <w:rsid w:val="005B6F58"/>
    <w:rsid w:val="005B77AF"/>
    <w:rsid w:val="005B77DF"/>
    <w:rsid w:val="005B7AF6"/>
    <w:rsid w:val="005C0A94"/>
    <w:rsid w:val="005C1189"/>
    <w:rsid w:val="005C2921"/>
    <w:rsid w:val="005C3068"/>
    <w:rsid w:val="005C3282"/>
    <w:rsid w:val="005C3C3C"/>
    <w:rsid w:val="005C4DE4"/>
    <w:rsid w:val="005C5B69"/>
    <w:rsid w:val="005C61EA"/>
    <w:rsid w:val="005C6E4C"/>
    <w:rsid w:val="005C73FE"/>
    <w:rsid w:val="005C762C"/>
    <w:rsid w:val="005C7A00"/>
    <w:rsid w:val="005C7B6C"/>
    <w:rsid w:val="005D0A81"/>
    <w:rsid w:val="005D1051"/>
    <w:rsid w:val="005D1287"/>
    <w:rsid w:val="005D1B13"/>
    <w:rsid w:val="005D2AA4"/>
    <w:rsid w:val="005D330A"/>
    <w:rsid w:val="005D346D"/>
    <w:rsid w:val="005D3572"/>
    <w:rsid w:val="005D3C78"/>
    <w:rsid w:val="005D447D"/>
    <w:rsid w:val="005D4C78"/>
    <w:rsid w:val="005D4F84"/>
    <w:rsid w:val="005D52AA"/>
    <w:rsid w:val="005D552F"/>
    <w:rsid w:val="005D5B9D"/>
    <w:rsid w:val="005D5D90"/>
    <w:rsid w:val="005D64AB"/>
    <w:rsid w:val="005D722F"/>
    <w:rsid w:val="005D728A"/>
    <w:rsid w:val="005D7748"/>
    <w:rsid w:val="005D7B9B"/>
    <w:rsid w:val="005E082D"/>
    <w:rsid w:val="005E0BAE"/>
    <w:rsid w:val="005E1D00"/>
    <w:rsid w:val="005E216A"/>
    <w:rsid w:val="005E2590"/>
    <w:rsid w:val="005E2B69"/>
    <w:rsid w:val="005E2CB9"/>
    <w:rsid w:val="005E31D4"/>
    <w:rsid w:val="005E3A83"/>
    <w:rsid w:val="005E4552"/>
    <w:rsid w:val="005E4795"/>
    <w:rsid w:val="005E47CE"/>
    <w:rsid w:val="005E4F91"/>
    <w:rsid w:val="005E5696"/>
    <w:rsid w:val="005E65C8"/>
    <w:rsid w:val="005F09FF"/>
    <w:rsid w:val="005F0DE3"/>
    <w:rsid w:val="005F0DF2"/>
    <w:rsid w:val="005F0F9D"/>
    <w:rsid w:val="005F125F"/>
    <w:rsid w:val="005F15B8"/>
    <w:rsid w:val="005F1615"/>
    <w:rsid w:val="005F1D89"/>
    <w:rsid w:val="005F1DCA"/>
    <w:rsid w:val="005F2DB8"/>
    <w:rsid w:val="005F2F8E"/>
    <w:rsid w:val="005F3F24"/>
    <w:rsid w:val="005F46C1"/>
    <w:rsid w:val="005F4D2C"/>
    <w:rsid w:val="005F5C2E"/>
    <w:rsid w:val="005F65B6"/>
    <w:rsid w:val="005F6A4E"/>
    <w:rsid w:val="005F6F34"/>
    <w:rsid w:val="006007A4"/>
    <w:rsid w:val="00600ADA"/>
    <w:rsid w:val="00600F1D"/>
    <w:rsid w:val="0060165E"/>
    <w:rsid w:val="00602845"/>
    <w:rsid w:val="00603B38"/>
    <w:rsid w:val="00603B63"/>
    <w:rsid w:val="00603DCE"/>
    <w:rsid w:val="006040A0"/>
    <w:rsid w:val="00604E9C"/>
    <w:rsid w:val="00604F71"/>
    <w:rsid w:val="0060519A"/>
    <w:rsid w:val="0060520E"/>
    <w:rsid w:val="006057EC"/>
    <w:rsid w:val="0060582F"/>
    <w:rsid w:val="00605BF3"/>
    <w:rsid w:val="00607A5E"/>
    <w:rsid w:val="00607AEC"/>
    <w:rsid w:val="00607BCC"/>
    <w:rsid w:val="00610690"/>
    <w:rsid w:val="00610EE2"/>
    <w:rsid w:val="00610F37"/>
    <w:rsid w:val="00611F31"/>
    <w:rsid w:val="006121F2"/>
    <w:rsid w:val="006126FF"/>
    <w:rsid w:val="00612F70"/>
    <w:rsid w:val="006144AD"/>
    <w:rsid w:val="006159C0"/>
    <w:rsid w:val="00616421"/>
    <w:rsid w:val="0061666A"/>
    <w:rsid w:val="00616B38"/>
    <w:rsid w:val="006174CB"/>
    <w:rsid w:val="006176CB"/>
    <w:rsid w:val="0061797F"/>
    <w:rsid w:val="00617FE3"/>
    <w:rsid w:val="0062024F"/>
    <w:rsid w:val="006204EF"/>
    <w:rsid w:val="0062080D"/>
    <w:rsid w:val="0062197B"/>
    <w:rsid w:val="00622B7F"/>
    <w:rsid w:val="00622BCE"/>
    <w:rsid w:val="00622D22"/>
    <w:rsid w:val="00623C90"/>
    <w:rsid w:val="006242DC"/>
    <w:rsid w:val="006242FC"/>
    <w:rsid w:val="00624A15"/>
    <w:rsid w:val="00625BCB"/>
    <w:rsid w:val="00625D93"/>
    <w:rsid w:val="00626AB5"/>
    <w:rsid w:val="00626AF7"/>
    <w:rsid w:val="00630C78"/>
    <w:rsid w:val="0063120C"/>
    <w:rsid w:val="00631213"/>
    <w:rsid w:val="00632571"/>
    <w:rsid w:val="006332B4"/>
    <w:rsid w:val="00633893"/>
    <w:rsid w:val="00633F81"/>
    <w:rsid w:val="00634583"/>
    <w:rsid w:val="006345D0"/>
    <w:rsid w:val="00635590"/>
    <w:rsid w:val="0063592D"/>
    <w:rsid w:val="0063652A"/>
    <w:rsid w:val="006367BB"/>
    <w:rsid w:val="00636E0B"/>
    <w:rsid w:val="00637892"/>
    <w:rsid w:val="00637F60"/>
    <w:rsid w:val="006406E0"/>
    <w:rsid w:val="00640F2F"/>
    <w:rsid w:val="00641406"/>
    <w:rsid w:val="00641E2B"/>
    <w:rsid w:val="00644D9F"/>
    <w:rsid w:val="00644E9A"/>
    <w:rsid w:val="00645371"/>
    <w:rsid w:val="006468BB"/>
    <w:rsid w:val="006477BB"/>
    <w:rsid w:val="00647952"/>
    <w:rsid w:val="00650D8F"/>
    <w:rsid w:val="00651B4D"/>
    <w:rsid w:val="00651EE2"/>
    <w:rsid w:val="00652495"/>
    <w:rsid w:val="0065338E"/>
    <w:rsid w:val="00653651"/>
    <w:rsid w:val="00653DAD"/>
    <w:rsid w:val="00653DD1"/>
    <w:rsid w:val="00654237"/>
    <w:rsid w:val="00655115"/>
    <w:rsid w:val="00655470"/>
    <w:rsid w:val="00655FD6"/>
    <w:rsid w:val="006560A5"/>
    <w:rsid w:val="00656AB7"/>
    <w:rsid w:val="006576FA"/>
    <w:rsid w:val="00657F39"/>
    <w:rsid w:val="00657F81"/>
    <w:rsid w:val="00660114"/>
    <w:rsid w:val="00660358"/>
    <w:rsid w:val="006619C5"/>
    <w:rsid w:val="006625EC"/>
    <w:rsid w:val="00662C2D"/>
    <w:rsid w:val="00663066"/>
    <w:rsid w:val="00663ACC"/>
    <w:rsid w:val="00663FB8"/>
    <w:rsid w:val="00663FCC"/>
    <w:rsid w:val="0066454C"/>
    <w:rsid w:val="006645EE"/>
    <w:rsid w:val="00664F29"/>
    <w:rsid w:val="00665085"/>
    <w:rsid w:val="006655CD"/>
    <w:rsid w:val="006657BC"/>
    <w:rsid w:val="00667854"/>
    <w:rsid w:val="00670813"/>
    <w:rsid w:val="00670D0B"/>
    <w:rsid w:val="00671FCE"/>
    <w:rsid w:val="00672197"/>
    <w:rsid w:val="00672D21"/>
    <w:rsid w:val="0067387B"/>
    <w:rsid w:val="006738F8"/>
    <w:rsid w:val="00673B6A"/>
    <w:rsid w:val="00674F43"/>
    <w:rsid w:val="00674FC6"/>
    <w:rsid w:val="00675841"/>
    <w:rsid w:val="00675C1D"/>
    <w:rsid w:val="00675F3A"/>
    <w:rsid w:val="00676C96"/>
    <w:rsid w:val="00677CD0"/>
    <w:rsid w:val="00677F7F"/>
    <w:rsid w:val="00680B68"/>
    <w:rsid w:val="00680D51"/>
    <w:rsid w:val="00681C24"/>
    <w:rsid w:val="00682170"/>
    <w:rsid w:val="006821EA"/>
    <w:rsid w:val="006824CD"/>
    <w:rsid w:val="00682D61"/>
    <w:rsid w:val="00684E6C"/>
    <w:rsid w:val="006851DE"/>
    <w:rsid w:val="006854A4"/>
    <w:rsid w:val="00685D60"/>
    <w:rsid w:val="006861FA"/>
    <w:rsid w:val="00687150"/>
    <w:rsid w:val="0068719D"/>
    <w:rsid w:val="0068730E"/>
    <w:rsid w:val="00690C0C"/>
    <w:rsid w:val="00690C70"/>
    <w:rsid w:val="00692962"/>
    <w:rsid w:val="006932B5"/>
    <w:rsid w:val="0069367A"/>
    <w:rsid w:val="006937A9"/>
    <w:rsid w:val="0069391D"/>
    <w:rsid w:val="00693D6B"/>
    <w:rsid w:val="00694CAB"/>
    <w:rsid w:val="00695960"/>
    <w:rsid w:val="00695EC7"/>
    <w:rsid w:val="00696895"/>
    <w:rsid w:val="00696DB6"/>
    <w:rsid w:val="006970BC"/>
    <w:rsid w:val="006977BB"/>
    <w:rsid w:val="00697863"/>
    <w:rsid w:val="006979F7"/>
    <w:rsid w:val="006A0968"/>
    <w:rsid w:val="006A0B2F"/>
    <w:rsid w:val="006A0CAC"/>
    <w:rsid w:val="006A13A3"/>
    <w:rsid w:val="006A1F22"/>
    <w:rsid w:val="006A20FA"/>
    <w:rsid w:val="006A26D2"/>
    <w:rsid w:val="006A313C"/>
    <w:rsid w:val="006A3BAA"/>
    <w:rsid w:val="006A4231"/>
    <w:rsid w:val="006A4295"/>
    <w:rsid w:val="006A570C"/>
    <w:rsid w:val="006A5D5A"/>
    <w:rsid w:val="006B019D"/>
    <w:rsid w:val="006B0604"/>
    <w:rsid w:val="006B1325"/>
    <w:rsid w:val="006B1FE6"/>
    <w:rsid w:val="006B2473"/>
    <w:rsid w:val="006B258B"/>
    <w:rsid w:val="006B32D4"/>
    <w:rsid w:val="006B350B"/>
    <w:rsid w:val="006B36A9"/>
    <w:rsid w:val="006B3838"/>
    <w:rsid w:val="006B3BB3"/>
    <w:rsid w:val="006B451E"/>
    <w:rsid w:val="006B4831"/>
    <w:rsid w:val="006B61F2"/>
    <w:rsid w:val="006B66C6"/>
    <w:rsid w:val="006B7F78"/>
    <w:rsid w:val="006C0839"/>
    <w:rsid w:val="006C0DD0"/>
    <w:rsid w:val="006C19F6"/>
    <w:rsid w:val="006C1C65"/>
    <w:rsid w:val="006C1C95"/>
    <w:rsid w:val="006C1F04"/>
    <w:rsid w:val="006C2650"/>
    <w:rsid w:val="006C29EA"/>
    <w:rsid w:val="006C3800"/>
    <w:rsid w:val="006C4915"/>
    <w:rsid w:val="006C6F6E"/>
    <w:rsid w:val="006C791A"/>
    <w:rsid w:val="006C7996"/>
    <w:rsid w:val="006C79D2"/>
    <w:rsid w:val="006C7E82"/>
    <w:rsid w:val="006D01D3"/>
    <w:rsid w:val="006D01F4"/>
    <w:rsid w:val="006D0ECB"/>
    <w:rsid w:val="006D0F10"/>
    <w:rsid w:val="006D102C"/>
    <w:rsid w:val="006D2D77"/>
    <w:rsid w:val="006D38EE"/>
    <w:rsid w:val="006D3A1A"/>
    <w:rsid w:val="006D3B6A"/>
    <w:rsid w:val="006D3C1A"/>
    <w:rsid w:val="006D3CD9"/>
    <w:rsid w:val="006D4C38"/>
    <w:rsid w:val="006D59C7"/>
    <w:rsid w:val="006D5A65"/>
    <w:rsid w:val="006D6FB1"/>
    <w:rsid w:val="006D761E"/>
    <w:rsid w:val="006E037D"/>
    <w:rsid w:val="006E095F"/>
    <w:rsid w:val="006E0D66"/>
    <w:rsid w:val="006E16F9"/>
    <w:rsid w:val="006E1964"/>
    <w:rsid w:val="006E1A8F"/>
    <w:rsid w:val="006E24C4"/>
    <w:rsid w:val="006E2655"/>
    <w:rsid w:val="006E284B"/>
    <w:rsid w:val="006E59A7"/>
    <w:rsid w:val="006E5DEB"/>
    <w:rsid w:val="006E5E18"/>
    <w:rsid w:val="006E6CD7"/>
    <w:rsid w:val="006E70FA"/>
    <w:rsid w:val="006F0758"/>
    <w:rsid w:val="006F0AD7"/>
    <w:rsid w:val="006F1F7F"/>
    <w:rsid w:val="006F2800"/>
    <w:rsid w:val="006F3256"/>
    <w:rsid w:val="006F4722"/>
    <w:rsid w:val="006F4C63"/>
    <w:rsid w:val="006F6577"/>
    <w:rsid w:val="006F7526"/>
    <w:rsid w:val="006F7572"/>
    <w:rsid w:val="00700498"/>
    <w:rsid w:val="007028DC"/>
    <w:rsid w:val="007030C3"/>
    <w:rsid w:val="007050AA"/>
    <w:rsid w:val="007056C5"/>
    <w:rsid w:val="00706490"/>
    <w:rsid w:val="0071003D"/>
    <w:rsid w:val="00710185"/>
    <w:rsid w:val="007104E8"/>
    <w:rsid w:val="00710FA6"/>
    <w:rsid w:val="00711240"/>
    <w:rsid w:val="007115C0"/>
    <w:rsid w:val="00711801"/>
    <w:rsid w:val="007126AE"/>
    <w:rsid w:val="00713F35"/>
    <w:rsid w:val="00713FD0"/>
    <w:rsid w:val="007142DB"/>
    <w:rsid w:val="00714AB5"/>
    <w:rsid w:val="00714ADD"/>
    <w:rsid w:val="007173F0"/>
    <w:rsid w:val="00720423"/>
    <w:rsid w:val="00720623"/>
    <w:rsid w:val="00720BE7"/>
    <w:rsid w:val="0072110B"/>
    <w:rsid w:val="007216A8"/>
    <w:rsid w:val="007221DD"/>
    <w:rsid w:val="0072224F"/>
    <w:rsid w:val="0072248D"/>
    <w:rsid w:val="00722A50"/>
    <w:rsid w:val="007230FB"/>
    <w:rsid w:val="007245B2"/>
    <w:rsid w:val="00724978"/>
    <w:rsid w:val="00724AED"/>
    <w:rsid w:val="00724D90"/>
    <w:rsid w:val="00724E99"/>
    <w:rsid w:val="00725C4B"/>
    <w:rsid w:val="00725F32"/>
    <w:rsid w:val="0072649D"/>
    <w:rsid w:val="00726882"/>
    <w:rsid w:val="00726E1E"/>
    <w:rsid w:val="00730B5F"/>
    <w:rsid w:val="00731039"/>
    <w:rsid w:val="00732317"/>
    <w:rsid w:val="00732AD5"/>
    <w:rsid w:val="007337A2"/>
    <w:rsid w:val="00733845"/>
    <w:rsid w:val="00733A78"/>
    <w:rsid w:val="00735A01"/>
    <w:rsid w:val="0073604F"/>
    <w:rsid w:val="00736C8B"/>
    <w:rsid w:val="00736D40"/>
    <w:rsid w:val="00736FF3"/>
    <w:rsid w:val="0073751F"/>
    <w:rsid w:val="007375FB"/>
    <w:rsid w:val="007379AB"/>
    <w:rsid w:val="007404B2"/>
    <w:rsid w:val="00740528"/>
    <w:rsid w:val="0074085A"/>
    <w:rsid w:val="00740B82"/>
    <w:rsid w:val="00740EB7"/>
    <w:rsid w:val="0074124C"/>
    <w:rsid w:val="00741E4F"/>
    <w:rsid w:val="00742807"/>
    <w:rsid w:val="00743AF9"/>
    <w:rsid w:val="00743AFC"/>
    <w:rsid w:val="007458FF"/>
    <w:rsid w:val="00746EA4"/>
    <w:rsid w:val="0074776B"/>
    <w:rsid w:val="007477F3"/>
    <w:rsid w:val="00747A00"/>
    <w:rsid w:val="00747B33"/>
    <w:rsid w:val="0075030C"/>
    <w:rsid w:val="0075130B"/>
    <w:rsid w:val="007518F3"/>
    <w:rsid w:val="00751DA1"/>
    <w:rsid w:val="00752541"/>
    <w:rsid w:val="00755DC2"/>
    <w:rsid w:val="00755FC6"/>
    <w:rsid w:val="00756AB9"/>
    <w:rsid w:val="00760C85"/>
    <w:rsid w:val="00760DBA"/>
    <w:rsid w:val="00760ED8"/>
    <w:rsid w:val="007618DF"/>
    <w:rsid w:val="00761DD9"/>
    <w:rsid w:val="00762794"/>
    <w:rsid w:val="0076302A"/>
    <w:rsid w:val="00763878"/>
    <w:rsid w:val="00764B7C"/>
    <w:rsid w:val="00764FEB"/>
    <w:rsid w:val="007664B8"/>
    <w:rsid w:val="007671C1"/>
    <w:rsid w:val="00767394"/>
    <w:rsid w:val="00767C20"/>
    <w:rsid w:val="00767E19"/>
    <w:rsid w:val="00767FDF"/>
    <w:rsid w:val="00770FAF"/>
    <w:rsid w:val="0077134D"/>
    <w:rsid w:val="00771976"/>
    <w:rsid w:val="00773CBF"/>
    <w:rsid w:val="0077528D"/>
    <w:rsid w:val="00776CED"/>
    <w:rsid w:val="0077728B"/>
    <w:rsid w:val="00777618"/>
    <w:rsid w:val="00780276"/>
    <w:rsid w:val="00780BC4"/>
    <w:rsid w:val="00780F66"/>
    <w:rsid w:val="0078126D"/>
    <w:rsid w:val="007814C7"/>
    <w:rsid w:val="00781CB7"/>
    <w:rsid w:val="00781E4A"/>
    <w:rsid w:val="007826C7"/>
    <w:rsid w:val="0078444A"/>
    <w:rsid w:val="00784DEE"/>
    <w:rsid w:val="007860F1"/>
    <w:rsid w:val="007862FE"/>
    <w:rsid w:val="007876DE"/>
    <w:rsid w:val="00787C14"/>
    <w:rsid w:val="007918C0"/>
    <w:rsid w:val="00791F6A"/>
    <w:rsid w:val="00792F28"/>
    <w:rsid w:val="0079314F"/>
    <w:rsid w:val="007936AE"/>
    <w:rsid w:val="007936F4"/>
    <w:rsid w:val="007937AB"/>
    <w:rsid w:val="00793D84"/>
    <w:rsid w:val="007960D5"/>
    <w:rsid w:val="007963C2"/>
    <w:rsid w:val="0079755D"/>
    <w:rsid w:val="00797640"/>
    <w:rsid w:val="007A00B4"/>
    <w:rsid w:val="007A0170"/>
    <w:rsid w:val="007A0339"/>
    <w:rsid w:val="007A12C4"/>
    <w:rsid w:val="007A1611"/>
    <w:rsid w:val="007A1655"/>
    <w:rsid w:val="007A2D18"/>
    <w:rsid w:val="007A3052"/>
    <w:rsid w:val="007A342C"/>
    <w:rsid w:val="007A375D"/>
    <w:rsid w:val="007A426B"/>
    <w:rsid w:val="007A5B0C"/>
    <w:rsid w:val="007A6280"/>
    <w:rsid w:val="007A7028"/>
    <w:rsid w:val="007A729D"/>
    <w:rsid w:val="007A7B5F"/>
    <w:rsid w:val="007A7C82"/>
    <w:rsid w:val="007A7CE6"/>
    <w:rsid w:val="007B0149"/>
    <w:rsid w:val="007B133E"/>
    <w:rsid w:val="007B160D"/>
    <w:rsid w:val="007B19B0"/>
    <w:rsid w:val="007B2901"/>
    <w:rsid w:val="007B2A4E"/>
    <w:rsid w:val="007B3BAD"/>
    <w:rsid w:val="007B4AE1"/>
    <w:rsid w:val="007B551A"/>
    <w:rsid w:val="007B5D9F"/>
    <w:rsid w:val="007B689C"/>
    <w:rsid w:val="007B69CA"/>
    <w:rsid w:val="007B6C88"/>
    <w:rsid w:val="007B7CDB"/>
    <w:rsid w:val="007B7F31"/>
    <w:rsid w:val="007B7F4A"/>
    <w:rsid w:val="007C07C5"/>
    <w:rsid w:val="007C0A91"/>
    <w:rsid w:val="007C0D72"/>
    <w:rsid w:val="007C0DAE"/>
    <w:rsid w:val="007C2DDC"/>
    <w:rsid w:val="007C2E23"/>
    <w:rsid w:val="007C2FE3"/>
    <w:rsid w:val="007C3B5B"/>
    <w:rsid w:val="007C3D8B"/>
    <w:rsid w:val="007C421A"/>
    <w:rsid w:val="007C4899"/>
    <w:rsid w:val="007C51D2"/>
    <w:rsid w:val="007C5683"/>
    <w:rsid w:val="007C60E4"/>
    <w:rsid w:val="007C6F96"/>
    <w:rsid w:val="007C726D"/>
    <w:rsid w:val="007D04EE"/>
    <w:rsid w:val="007D240E"/>
    <w:rsid w:val="007D26C9"/>
    <w:rsid w:val="007D39D5"/>
    <w:rsid w:val="007D4138"/>
    <w:rsid w:val="007D4174"/>
    <w:rsid w:val="007D4298"/>
    <w:rsid w:val="007D51C6"/>
    <w:rsid w:val="007D52DA"/>
    <w:rsid w:val="007D6172"/>
    <w:rsid w:val="007D71AA"/>
    <w:rsid w:val="007D7857"/>
    <w:rsid w:val="007D7CE8"/>
    <w:rsid w:val="007E0399"/>
    <w:rsid w:val="007E2062"/>
    <w:rsid w:val="007E2165"/>
    <w:rsid w:val="007E34F5"/>
    <w:rsid w:val="007E3776"/>
    <w:rsid w:val="007E419C"/>
    <w:rsid w:val="007E4515"/>
    <w:rsid w:val="007E4868"/>
    <w:rsid w:val="007E48EA"/>
    <w:rsid w:val="007E4A83"/>
    <w:rsid w:val="007E52ED"/>
    <w:rsid w:val="007E5406"/>
    <w:rsid w:val="007E54AD"/>
    <w:rsid w:val="007E619A"/>
    <w:rsid w:val="007E6EF0"/>
    <w:rsid w:val="007E7925"/>
    <w:rsid w:val="007E7C0A"/>
    <w:rsid w:val="007E7F14"/>
    <w:rsid w:val="007F0E70"/>
    <w:rsid w:val="007F1052"/>
    <w:rsid w:val="007F13F6"/>
    <w:rsid w:val="007F1C27"/>
    <w:rsid w:val="007F21E0"/>
    <w:rsid w:val="007F2D52"/>
    <w:rsid w:val="007F42D2"/>
    <w:rsid w:val="007F4ACA"/>
    <w:rsid w:val="007F4BF3"/>
    <w:rsid w:val="007F4C57"/>
    <w:rsid w:val="007F5467"/>
    <w:rsid w:val="007F5F3C"/>
    <w:rsid w:val="007F6A1B"/>
    <w:rsid w:val="007F73AB"/>
    <w:rsid w:val="007F74A3"/>
    <w:rsid w:val="007F76AE"/>
    <w:rsid w:val="007F79DF"/>
    <w:rsid w:val="007F7A8A"/>
    <w:rsid w:val="007F7B1D"/>
    <w:rsid w:val="00800B52"/>
    <w:rsid w:val="00801D1F"/>
    <w:rsid w:val="008024EB"/>
    <w:rsid w:val="00802963"/>
    <w:rsid w:val="00802B93"/>
    <w:rsid w:val="008030D9"/>
    <w:rsid w:val="00803993"/>
    <w:rsid w:val="00803A11"/>
    <w:rsid w:val="00803D9B"/>
    <w:rsid w:val="00803EBE"/>
    <w:rsid w:val="00803F18"/>
    <w:rsid w:val="00804E59"/>
    <w:rsid w:val="008050A4"/>
    <w:rsid w:val="008066AD"/>
    <w:rsid w:val="00806F70"/>
    <w:rsid w:val="00807761"/>
    <w:rsid w:val="0080785B"/>
    <w:rsid w:val="00807A12"/>
    <w:rsid w:val="00807B58"/>
    <w:rsid w:val="0081061C"/>
    <w:rsid w:val="00810BBA"/>
    <w:rsid w:val="008114DE"/>
    <w:rsid w:val="008115F6"/>
    <w:rsid w:val="00811B2C"/>
    <w:rsid w:val="00811CF1"/>
    <w:rsid w:val="00811E58"/>
    <w:rsid w:val="00812A17"/>
    <w:rsid w:val="00814801"/>
    <w:rsid w:val="00814AB1"/>
    <w:rsid w:val="00814AEA"/>
    <w:rsid w:val="00815264"/>
    <w:rsid w:val="00815464"/>
    <w:rsid w:val="00815C53"/>
    <w:rsid w:val="008163D0"/>
    <w:rsid w:val="00817447"/>
    <w:rsid w:val="0081746F"/>
    <w:rsid w:val="0081784E"/>
    <w:rsid w:val="008204F6"/>
    <w:rsid w:val="00820CB8"/>
    <w:rsid w:val="008211A7"/>
    <w:rsid w:val="008212A8"/>
    <w:rsid w:val="0082182E"/>
    <w:rsid w:val="00821861"/>
    <w:rsid w:val="008219E7"/>
    <w:rsid w:val="0082207D"/>
    <w:rsid w:val="00822282"/>
    <w:rsid w:val="00822345"/>
    <w:rsid w:val="00822D7E"/>
    <w:rsid w:val="00823C30"/>
    <w:rsid w:val="00823FB4"/>
    <w:rsid w:val="0082403B"/>
    <w:rsid w:val="00824DF5"/>
    <w:rsid w:val="00825A62"/>
    <w:rsid w:val="00825A80"/>
    <w:rsid w:val="00825C35"/>
    <w:rsid w:val="00825DFE"/>
    <w:rsid w:val="008267E7"/>
    <w:rsid w:val="00826A15"/>
    <w:rsid w:val="0082704A"/>
    <w:rsid w:val="008278DE"/>
    <w:rsid w:val="00832F3B"/>
    <w:rsid w:val="00833325"/>
    <w:rsid w:val="00833710"/>
    <w:rsid w:val="00833ACC"/>
    <w:rsid w:val="00833B99"/>
    <w:rsid w:val="00833F51"/>
    <w:rsid w:val="00834352"/>
    <w:rsid w:val="00835AC3"/>
    <w:rsid w:val="00835CDD"/>
    <w:rsid w:val="008363F2"/>
    <w:rsid w:val="0083651F"/>
    <w:rsid w:val="00836BDD"/>
    <w:rsid w:val="00840013"/>
    <w:rsid w:val="00840403"/>
    <w:rsid w:val="008406E5"/>
    <w:rsid w:val="008424B1"/>
    <w:rsid w:val="008427B3"/>
    <w:rsid w:val="008429DB"/>
    <w:rsid w:val="00843191"/>
    <w:rsid w:val="008431E6"/>
    <w:rsid w:val="00843B45"/>
    <w:rsid w:val="0084420A"/>
    <w:rsid w:val="00844455"/>
    <w:rsid w:val="00844DCD"/>
    <w:rsid w:val="00845EBF"/>
    <w:rsid w:val="00846C13"/>
    <w:rsid w:val="0084700B"/>
    <w:rsid w:val="008475F0"/>
    <w:rsid w:val="00850224"/>
    <w:rsid w:val="00850383"/>
    <w:rsid w:val="008504C6"/>
    <w:rsid w:val="00850C8F"/>
    <w:rsid w:val="00850D6E"/>
    <w:rsid w:val="0085316F"/>
    <w:rsid w:val="00853658"/>
    <w:rsid w:val="00853822"/>
    <w:rsid w:val="00853A98"/>
    <w:rsid w:val="00854695"/>
    <w:rsid w:val="00854806"/>
    <w:rsid w:val="00854AEE"/>
    <w:rsid w:val="00854C8E"/>
    <w:rsid w:val="0085514A"/>
    <w:rsid w:val="0085594D"/>
    <w:rsid w:val="0086009D"/>
    <w:rsid w:val="00860728"/>
    <w:rsid w:val="00861104"/>
    <w:rsid w:val="008617B2"/>
    <w:rsid w:val="00861D90"/>
    <w:rsid w:val="00862318"/>
    <w:rsid w:val="00863179"/>
    <w:rsid w:val="00863959"/>
    <w:rsid w:val="00863E91"/>
    <w:rsid w:val="00863EE9"/>
    <w:rsid w:val="00864322"/>
    <w:rsid w:val="0086503F"/>
    <w:rsid w:val="00865E10"/>
    <w:rsid w:val="00866076"/>
    <w:rsid w:val="00866176"/>
    <w:rsid w:val="00866820"/>
    <w:rsid w:val="00866E82"/>
    <w:rsid w:val="00866FB9"/>
    <w:rsid w:val="008673DA"/>
    <w:rsid w:val="00867679"/>
    <w:rsid w:val="008716DB"/>
    <w:rsid w:val="00872323"/>
    <w:rsid w:val="008727CA"/>
    <w:rsid w:val="00872842"/>
    <w:rsid w:val="00873461"/>
    <w:rsid w:val="00873F9A"/>
    <w:rsid w:val="008755AF"/>
    <w:rsid w:val="0087576B"/>
    <w:rsid w:val="00875E8D"/>
    <w:rsid w:val="00876147"/>
    <w:rsid w:val="00876375"/>
    <w:rsid w:val="00876AAB"/>
    <w:rsid w:val="008774BE"/>
    <w:rsid w:val="008800D4"/>
    <w:rsid w:val="008801BE"/>
    <w:rsid w:val="0088039E"/>
    <w:rsid w:val="00880FAF"/>
    <w:rsid w:val="008814C3"/>
    <w:rsid w:val="00881725"/>
    <w:rsid w:val="0088217F"/>
    <w:rsid w:val="00882DC3"/>
    <w:rsid w:val="00882DCE"/>
    <w:rsid w:val="0088385A"/>
    <w:rsid w:val="00883F19"/>
    <w:rsid w:val="00884EC6"/>
    <w:rsid w:val="00885725"/>
    <w:rsid w:val="00885ACB"/>
    <w:rsid w:val="00885CC0"/>
    <w:rsid w:val="0088619B"/>
    <w:rsid w:val="00887130"/>
    <w:rsid w:val="00887785"/>
    <w:rsid w:val="00887A64"/>
    <w:rsid w:val="00890728"/>
    <w:rsid w:val="00890FE0"/>
    <w:rsid w:val="00891787"/>
    <w:rsid w:val="00891E16"/>
    <w:rsid w:val="00892236"/>
    <w:rsid w:val="00892CCB"/>
    <w:rsid w:val="00892D5B"/>
    <w:rsid w:val="0089373F"/>
    <w:rsid w:val="00893913"/>
    <w:rsid w:val="008947D6"/>
    <w:rsid w:val="00894AE7"/>
    <w:rsid w:val="00894FB2"/>
    <w:rsid w:val="00895EB8"/>
    <w:rsid w:val="00896B79"/>
    <w:rsid w:val="008A0FF5"/>
    <w:rsid w:val="008A10B3"/>
    <w:rsid w:val="008A1766"/>
    <w:rsid w:val="008A1D2D"/>
    <w:rsid w:val="008A2AB7"/>
    <w:rsid w:val="008A3C5F"/>
    <w:rsid w:val="008A3CCE"/>
    <w:rsid w:val="008A413E"/>
    <w:rsid w:val="008A4BE9"/>
    <w:rsid w:val="008A62CA"/>
    <w:rsid w:val="008A6556"/>
    <w:rsid w:val="008A686A"/>
    <w:rsid w:val="008A6DA1"/>
    <w:rsid w:val="008A7595"/>
    <w:rsid w:val="008A7816"/>
    <w:rsid w:val="008A797D"/>
    <w:rsid w:val="008A7CC3"/>
    <w:rsid w:val="008B05A3"/>
    <w:rsid w:val="008B06A8"/>
    <w:rsid w:val="008B0B49"/>
    <w:rsid w:val="008B0DC5"/>
    <w:rsid w:val="008B113F"/>
    <w:rsid w:val="008B12B6"/>
    <w:rsid w:val="008B149C"/>
    <w:rsid w:val="008B152C"/>
    <w:rsid w:val="008B2241"/>
    <w:rsid w:val="008B238C"/>
    <w:rsid w:val="008B2693"/>
    <w:rsid w:val="008B281D"/>
    <w:rsid w:val="008B2D44"/>
    <w:rsid w:val="008B3936"/>
    <w:rsid w:val="008B3E2E"/>
    <w:rsid w:val="008B4385"/>
    <w:rsid w:val="008B4655"/>
    <w:rsid w:val="008B4ED1"/>
    <w:rsid w:val="008B52E8"/>
    <w:rsid w:val="008B60C9"/>
    <w:rsid w:val="008B6283"/>
    <w:rsid w:val="008B78DF"/>
    <w:rsid w:val="008C01E7"/>
    <w:rsid w:val="008C1527"/>
    <w:rsid w:val="008C1A73"/>
    <w:rsid w:val="008C256E"/>
    <w:rsid w:val="008C27E9"/>
    <w:rsid w:val="008C28A8"/>
    <w:rsid w:val="008C3A25"/>
    <w:rsid w:val="008C3AC0"/>
    <w:rsid w:val="008C45AD"/>
    <w:rsid w:val="008C4A9B"/>
    <w:rsid w:val="008C4D62"/>
    <w:rsid w:val="008C520B"/>
    <w:rsid w:val="008C58C8"/>
    <w:rsid w:val="008C5D6F"/>
    <w:rsid w:val="008C6088"/>
    <w:rsid w:val="008C7103"/>
    <w:rsid w:val="008C7842"/>
    <w:rsid w:val="008D0521"/>
    <w:rsid w:val="008D05D0"/>
    <w:rsid w:val="008D137E"/>
    <w:rsid w:val="008D174A"/>
    <w:rsid w:val="008D1C93"/>
    <w:rsid w:val="008D2400"/>
    <w:rsid w:val="008D2CE7"/>
    <w:rsid w:val="008D3374"/>
    <w:rsid w:val="008D3554"/>
    <w:rsid w:val="008D438B"/>
    <w:rsid w:val="008D443B"/>
    <w:rsid w:val="008D4AE9"/>
    <w:rsid w:val="008D4ED9"/>
    <w:rsid w:val="008D53E9"/>
    <w:rsid w:val="008D5A2E"/>
    <w:rsid w:val="008D5B07"/>
    <w:rsid w:val="008D7B75"/>
    <w:rsid w:val="008E048B"/>
    <w:rsid w:val="008E0902"/>
    <w:rsid w:val="008E1755"/>
    <w:rsid w:val="008E2057"/>
    <w:rsid w:val="008E3747"/>
    <w:rsid w:val="008E47FC"/>
    <w:rsid w:val="008E48A2"/>
    <w:rsid w:val="008E4FC4"/>
    <w:rsid w:val="008E5172"/>
    <w:rsid w:val="008E527F"/>
    <w:rsid w:val="008E549F"/>
    <w:rsid w:val="008E5CD1"/>
    <w:rsid w:val="008E6EFC"/>
    <w:rsid w:val="008E7C59"/>
    <w:rsid w:val="008F0480"/>
    <w:rsid w:val="008F098E"/>
    <w:rsid w:val="008F1DDC"/>
    <w:rsid w:val="008F1E07"/>
    <w:rsid w:val="008F226E"/>
    <w:rsid w:val="008F257F"/>
    <w:rsid w:val="008F286C"/>
    <w:rsid w:val="008F2B02"/>
    <w:rsid w:val="008F3CA9"/>
    <w:rsid w:val="008F3D50"/>
    <w:rsid w:val="008F3FD3"/>
    <w:rsid w:val="008F4876"/>
    <w:rsid w:val="008F4C22"/>
    <w:rsid w:val="008F5A56"/>
    <w:rsid w:val="008F5B3A"/>
    <w:rsid w:val="008F5BD4"/>
    <w:rsid w:val="008F5E98"/>
    <w:rsid w:val="008F6253"/>
    <w:rsid w:val="008F6674"/>
    <w:rsid w:val="008F6C83"/>
    <w:rsid w:val="008F6E65"/>
    <w:rsid w:val="008F706E"/>
    <w:rsid w:val="008F7305"/>
    <w:rsid w:val="008F77C1"/>
    <w:rsid w:val="008F7986"/>
    <w:rsid w:val="009005B4"/>
    <w:rsid w:val="00900B62"/>
    <w:rsid w:val="00901126"/>
    <w:rsid w:val="00901B1A"/>
    <w:rsid w:val="00902673"/>
    <w:rsid w:val="009029C4"/>
    <w:rsid w:val="00903880"/>
    <w:rsid w:val="009038F0"/>
    <w:rsid w:val="00904324"/>
    <w:rsid w:val="00906063"/>
    <w:rsid w:val="0090750E"/>
    <w:rsid w:val="009078FF"/>
    <w:rsid w:val="00907DEB"/>
    <w:rsid w:val="009107CF"/>
    <w:rsid w:val="0091142D"/>
    <w:rsid w:val="009119D4"/>
    <w:rsid w:val="00911A08"/>
    <w:rsid w:val="009122D1"/>
    <w:rsid w:val="009131E1"/>
    <w:rsid w:val="009137E3"/>
    <w:rsid w:val="00914897"/>
    <w:rsid w:val="00914B93"/>
    <w:rsid w:val="00914BD2"/>
    <w:rsid w:val="0091567D"/>
    <w:rsid w:val="009157C1"/>
    <w:rsid w:val="00915833"/>
    <w:rsid w:val="00916C32"/>
    <w:rsid w:val="0091759B"/>
    <w:rsid w:val="009175C2"/>
    <w:rsid w:val="00917671"/>
    <w:rsid w:val="009204C8"/>
    <w:rsid w:val="00920AD7"/>
    <w:rsid w:val="00920CBC"/>
    <w:rsid w:val="00920D4C"/>
    <w:rsid w:val="00921AB5"/>
    <w:rsid w:val="0092249C"/>
    <w:rsid w:val="00922FA0"/>
    <w:rsid w:val="00923787"/>
    <w:rsid w:val="00923878"/>
    <w:rsid w:val="00923D35"/>
    <w:rsid w:val="00924859"/>
    <w:rsid w:val="00925E8B"/>
    <w:rsid w:val="0092612A"/>
    <w:rsid w:val="00926C6E"/>
    <w:rsid w:val="00927215"/>
    <w:rsid w:val="0093015D"/>
    <w:rsid w:val="00930539"/>
    <w:rsid w:val="0093059A"/>
    <w:rsid w:val="00931715"/>
    <w:rsid w:val="009318A2"/>
    <w:rsid w:val="00932587"/>
    <w:rsid w:val="009328C3"/>
    <w:rsid w:val="0093346A"/>
    <w:rsid w:val="009341ED"/>
    <w:rsid w:val="00935C99"/>
    <w:rsid w:val="0093644E"/>
    <w:rsid w:val="00936EFF"/>
    <w:rsid w:val="00937A14"/>
    <w:rsid w:val="00937F72"/>
    <w:rsid w:val="009400C2"/>
    <w:rsid w:val="009401F4"/>
    <w:rsid w:val="0094057E"/>
    <w:rsid w:val="0094082E"/>
    <w:rsid w:val="00940C2E"/>
    <w:rsid w:val="0094143F"/>
    <w:rsid w:val="009423DA"/>
    <w:rsid w:val="009432CA"/>
    <w:rsid w:val="009433CF"/>
    <w:rsid w:val="0094376D"/>
    <w:rsid w:val="009437F9"/>
    <w:rsid w:val="00945DA4"/>
    <w:rsid w:val="00946C8B"/>
    <w:rsid w:val="00947080"/>
    <w:rsid w:val="00947142"/>
    <w:rsid w:val="00947A14"/>
    <w:rsid w:val="00947BC2"/>
    <w:rsid w:val="0095008F"/>
    <w:rsid w:val="00950859"/>
    <w:rsid w:val="0095089B"/>
    <w:rsid w:val="00951757"/>
    <w:rsid w:val="009518F4"/>
    <w:rsid w:val="00951935"/>
    <w:rsid w:val="00951ACB"/>
    <w:rsid w:val="00951CB7"/>
    <w:rsid w:val="00951CC6"/>
    <w:rsid w:val="00952252"/>
    <w:rsid w:val="00952D96"/>
    <w:rsid w:val="00953210"/>
    <w:rsid w:val="009533A5"/>
    <w:rsid w:val="009536DE"/>
    <w:rsid w:val="00953B19"/>
    <w:rsid w:val="00953F94"/>
    <w:rsid w:val="00954033"/>
    <w:rsid w:val="0095429C"/>
    <w:rsid w:val="00954695"/>
    <w:rsid w:val="00954C28"/>
    <w:rsid w:val="00955353"/>
    <w:rsid w:val="00955F87"/>
    <w:rsid w:val="00956F87"/>
    <w:rsid w:val="009571D2"/>
    <w:rsid w:val="00957699"/>
    <w:rsid w:val="009577A4"/>
    <w:rsid w:val="00957A44"/>
    <w:rsid w:val="00957D13"/>
    <w:rsid w:val="0096160A"/>
    <w:rsid w:val="009620C7"/>
    <w:rsid w:val="00962D47"/>
    <w:rsid w:val="00963665"/>
    <w:rsid w:val="00963E88"/>
    <w:rsid w:val="0096424B"/>
    <w:rsid w:val="00964413"/>
    <w:rsid w:val="00964A5C"/>
    <w:rsid w:val="0096524A"/>
    <w:rsid w:val="009653F5"/>
    <w:rsid w:val="0096548D"/>
    <w:rsid w:val="00965CA7"/>
    <w:rsid w:val="009671FA"/>
    <w:rsid w:val="00967CA3"/>
    <w:rsid w:val="00967D2A"/>
    <w:rsid w:val="00967E8A"/>
    <w:rsid w:val="009707DA"/>
    <w:rsid w:val="00970C5B"/>
    <w:rsid w:val="00970F68"/>
    <w:rsid w:val="00971138"/>
    <w:rsid w:val="00971396"/>
    <w:rsid w:val="009718F7"/>
    <w:rsid w:val="00972586"/>
    <w:rsid w:val="0097263C"/>
    <w:rsid w:val="00972D6E"/>
    <w:rsid w:val="00973114"/>
    <w:rsid w:val="0097404E"/>
    <w:rsid w:val="00975C10"/>
    <w:rsid w:val="00975C2E"/>
    <w:rsid w:val="00975ECD"/>
    <w:rsid w:val="009765CA"/>
    <w:rsid w:val="00977B43"/>
    <w:rsid w:val="009806A6"/>
    <w:rsid w:val="00980E9B"/>
    <w:rsid w:val="00981E7C"/>
    <w:rsid w:val="00981FF0"/>
    <w:rsid w:val="0098203D"/>
    <w:rsid w:val="009827EE"/>
    <w:rsid w:val="009829AC"/>
    <w:rsid w:val="00983319"/>
    <w:rsid w:val="00983C81"/>
    <w:rsid w:val="0098418C"/>
    <w:rsid w:val="00984279"/>
    <w:rsid w:val="0098431A"/>
    <w:rsid w:val="00984CD3"/>
    <w:rsid w:val="0098504E"/>
    <w:rsid w:val="0098580A"/>
    <w:rsid w:val="00985DA1"/>
    <w:rsid w:val="009860B7"/>
    <w:rsid w:val="00986D0B"/>
    <w:rsid w:val="00986D79"/>
    <w:rsid w:val="00986E93"/>
    <w:rsid w:val="00986F11"/>
    <w:rsid w:val="00986F5C"/>
    <w:rsid w:val="009875EB"/>
    <w:rsid w:val="00987C15"/>
    <w:rsid w:val="00990275"/>
    <w:rsid w:val="00990CF2"/>
    <w:rsid w:val="00991182"/>
    <w:rsid w:val="009914C7"/>
    <w:rsid w:val="00993F4A"/>
    <w:rsid w:val="00994637"/>
    <w:rsid w:val="0099513B"/>
    <w:rsid w:val="0099570D"/>
    <w:rsid w:val="00995AD5"/>
    <w:rsid w:val="009962B6"/>
    <w:rsid w:val="009963CA"/>
    <w:rsid w:val="00997EF8"/>
    <w:rsid w:val="009A085C"/>
    <w:rsid w:val="009A0EAE"/>
    <w:rsid w:val="009A0F2B"/>
    <w:rsid w:val="009A110A"/>
    <w:rsid w:val="009A1CDB"/>
    <w:rsid w:val="009A2259"/>
    <w:rsid w:val="009A29A0"/>
    <w:rsid w:val="009A2BC5"/>
    <w:rsid w:val="009A5399"/>
    <w:rsid w:val="009A5AC7"/>
    <w:rsid w:val="009A5CF7"/>
    <w:rsid w:val="009A6FE2"/>
    <w:rsid w:val="009A7088"/>
    <w:rsid w:val="009A7501"/>
    <w:rsid w:val="009A7ADC"/>
    <w:rsid w:val="009A7BB1"/>
    <w:rsid w:val="009A7F0B"/>
    <w:rsid w:val="009B074B"/>
    <w:rsid w:val="009B131C"/>
    <w:rsid w:val="009B1411"/>
    <w:rsid w:val="009B229D"/>
    <w:rsid w:val="009B2469"/>
    <w:rsid w:val="009B380A"/>
    <w:rsid w:val="009B381E"/>
    <w:rsid w:val="009B3F25"/>
    <w:rsid w:val="009B40FA"/>
    <w:rsid w:val="009B49B7"/>
    <w:rsid w:val="009B599D"/>
    <w:rsid w:val="009B618D"/>
    <w:rsid w:val="009B689F"/>
    <w:rsid w:val="009B7503"/>
    <w:rsid w:val="009B7865"/>
    <w:rsid w:val="009C0AAF"/>
    <w:rsid w:val="009C0F47"/>
    <w:rsid w:val="009C199C"/>
    <w:rsid w:val="009C227E"/>
    <w:rsid w:val="009C2A21"/>
    <w:rsid w:val="009C2C61"/>
    <w:rsid w:val="009C3305"/>
    <w:rsid w:val="009C340A"/>
    <w:rsid w:val="009C36F1"/>
    <w:rsid w:val="009C3F3B"/>
    <w:rsid w:val="009C4088"/>
    <w:rsid w:val="009C4C0D"/>
    <w:rsid w:val="009C4C6F"/>
    <w:rsid w:val="009C5232"/>
    <w:rsid w:val="009C5DA8"/>
    <w:rsid w:val="009C60D8"/>
    <w:rsid w:val="009C61A2"/>
    <w:rsid w:val="009C6D92"/>
    <w:rsid w:val="009C7419"/>
    <w:rsid w:val="009D065B"/>
    <w:rsid w:val="009D06BA"/>
    <w:rsid w:val="009D07EA"/>
    <w:rsid w:val="009D2433"/>
    <w:rsid w:val="009D4210"/>
    <w:rsid w:val="009D44D4"/>
    <w:rsid w:val="009D49FE"/>
    <w:rsid w:val="009D4FC7"/>
    <w:rsid w:val="009D52AA"/>
    <w:rsid w:val="009D621B"/>
    <w:rsid w:val="009D652E"/>
    <w:rsid w:val="009D701E"/>
    <w:rsid w:val="009D7550"/>
    <w:rsid w:val="009E029D"/>
    <w:rsid w:val="009E0490"/>
    <w:rsid w:val="009E0A7F"/>
    <w:rsid w:val="009E1C67"/>
    <w:rsid w:val="009E218B"/>
    <w:rsid w:val="009E2536"/>
    <w:rsid w:val="009E26DB"/>
    <w:rsid w:val="009E2752"/>
    <w:rsid w:val="009E28E5"/>
    <w:rsid w:val="009E2D7F"/>
    <w:rsid w:val="009E3281"/>
    <w:rsid w:val="009E3808"/>
    <w:rsid w:val="009E3AE7"/>
    <w:rsid w:val="009E3AEC"/>
    <w:rsid w:val="009E3CC9"/>
    <w:rsid w:val="009E4E0A"/>
    <w:rsid w:val="009E510D"/>
    <w:rsid w:val="009E5647"/>
    <w:rsid w:val="009E606B"/>
    <w:rsid w:val="009E6977"/>
    <w:rsid w:val="009E6D2F"/>
    <w:rsid w:val="009E6D61"/>
    <w:rsid w:val="009F066A"/>
    <w:rsid w:val="009F0A94"/>
    <w:rsid w:val="009F0C50"/>
    <w:rsid w:val="009F1001"/>
    <w:rsid w:val="009F151D"/>
    <w:rsid w:val="009F1859"/>
    <w:rsid w:val="009F1DC3"/>
    <w:rsid w:val="009F24AD"/>
    <w:rsid w:val="009F27E8"/>
    <w:rsid w:val="009F322C"/>
    <w:rsid w:val="009F390E"/>
    <w:rsid w:val="009F3A69"/>
    <w:rsid w:val="009F420F"/>
    <w:rsid w:val="009F4267"/>
    <w:rsid w:val="009F580D"/>
    <w:rsid w:val="009F61ED"/>
    <w:rsid w:val="009F6DD4"/>
    <w:rsid w:val="009F7782"/>
    <w:rsid w:val="009F7D2F"/>
    <w:rsid w:val="00A0018B"/>
    <w:rsid w:val="00A006D3"/>
    <w:rsid w:val="00A0099E"/>
    <w:rsid w:val="00A00B21"/>
    <w:rsid w:val="00A015D4"/>
    <w:rsid w:val="00A0364E"/>
    <w:rsid w:val="00A03C76"/>
    <w:rsid w:val="00A0443E"/>
    <w:rsid w:val="00A04916"/>
    <w:rsid w:val="00A06037"/>
    <w:rsid w:val="00A06315"/>
    <w:rsid w:val="00A06EAE"/>
    <w:rsid w:val="00A0763E"/>
    <w:rsid w:val="00A07947"/>
    <w:rsid w:val="00A07A83"/>
    <w:rsid w:val="00A1066A"/>
    <w:rsid w:val="00A1151C"/>
    <w:rsid w:val="00A11FC8"/>
    <w:rsid w:val="00A12316"/>
    <w:rsid w:val="00A1234C"/>
    <w:rsid w:val="00A12686"/>
    <w:rsid w:val="00A12706"/>
    <w:rsid w:val="00A12802"/>
    <w:rsid w:val="00A12807"/>
    <w:rsid w:val="00A13C68"/>
    <w:rsid w:val="00A1494E"/>
    <w:rsid w:val="00A14A5F"/>
    <w:rsid w:val="00A14D36"/>
    <w:rsid w:val="00A151C1"/>
    <w:rsid w:val="00A15AB3"/>
    <w:rsid w:val="00A15B28"/>
    <w:rsid w:val="00A15FAC"/>
    <w:rsid w:val="00A15FC9"/>
    <w:rsid w:val="00A16018"/>
    <w:rsid w:val="00A1636A"/>
    <w:rsid w:val="00A16545"/>
    <w:rsid w:val="00A16692"/>
    <w:rsid w:val="00A1682D"/>
    <w:rsid w:val="00A16D28"/>
    <w:rsid w:val="00A2058E"/>
    <w:rsid w:val="00A20F00"/>
    <w:rsid w:val="00A21454"/>
    <w:rsid w:val="00A23463"/>
    <w:rsid w:val="00A2387D"/>
    <w:rsid w:val="00A23E27"/>
    <w:rsid w:val="00A242A2"/>
    <w:rsid w:val="00A24776"/>
    <w:rsid w:val="00A24A0B"/>
    <w:rsid w:val="00A24C89"/>
    <w:rsid w:val="00A304A7"/>
    <w:rsid w:val="00A3059D"/>
    <w:rsid w:val="00A32C08"/>
    <w:rsid w:val="00A32FB4"/>
    <w:rsid w:val="00A33110"/>
    <w:rsid w:val="00A33160"/>
    <w:rsid w:val="00A33FAF"/>
    <w:rsid w:val="00A368A0"/>
    <w:rsid w:val="00A36B84"/>
    <w:rsid w:val="00A373C6"/>
    <w:rsid w:val="00A37D80"/>
    <w:rsid w:val="00A37E48"/>
    <w:rsid w:val="00A40FCC"/>
    <w:rsid w:val="00A413E5"/>
    <w:rsid w:val="00A420CB"/>
    <w:rsid w:val="00A432E3"/>
    <w:rsid w:val="00A43CB7"/>
    <w:rsid w:val="00A43CD2"/>
    <w:rsid w:val="00A44271"/>
    <w:rsid w:val="00A44687"/>
    <w:rsid w:val="00A449D9"/>
    <w:rsid w:val="00A44C59"/>
    <w:rsid w:val="00A45DFD"/>
    <w:rsid w:val="00A46E37"/>
    <w:rsid w:val="00A470D5"/>
    <w:rsid w:val="00A4771E"/>
    <w:rsid w:val="00A4774B"/>
    <w:rsid w:val="00A479CE"/>
    <w:rsid w:val="00A501E2"/>
    <w:rsid w:val="00A52015"/>
    <w:rsid w:val="00A5245B"/>
    <w:rsid w:val="00A52825"/>
    <w:rsid w:val="00A5291A"/>
    <w:rsid w:val="00A52DB1"/>
    <w:rsid w:val="00A53C94"/>
    <w:rsid w:val="00A53F2F"/>
    <w:rsid w:val="00A53FD5"/>
    <w:rsid w:val="00A548FC"/>
    <w:rsid w:val="00A54983"/>
    <w:rsid w:val="00A55363"/>
    <w:rsid w:val="00A5691F"/>
    <w:rsid w:val="00A56BBF"/>
    <w:rsid w:val="00A574B0"/>
    <w:rsid w:val="00A6017C"/>
    <w:rsid w:val="00A60FB7"/>
    <w:rsid w:val="00A61160"/>
    <w:rsid w:val="00A613D4"/>
    <w:rsid w:val="00A61570"/>
    <w:rsid w:val="00A617E4"/>
    <w:rsid w:val="00A62438"/>
    <w:rsid w:val="00A62942"/>
    <w:rsid w:val="00A62A04"/>
    <w:rsid w:val="00A62A2A"/>
    <w:rsid w:val="00A62ACF"/>
    <w:rsid w:val="00A63CD0"/>
    <w:rsid w:val="00A642A8"/>
    <w:rsid w:val="00A64301"/>
    <w:rsid w:val="00A64308"/>
    <w:rsid w:val="00A6471C"/>
    <w:rsid w:val="00A65066"/>
    <w:rsid w:val="00A655D4"/>
    <w:rsid w:val="00A659D5"/>
    <w:rsid w:val="00A65C41"/>
    <w:rsid w:val="00A6671F"/>
    <w:rsid w:val="00A66CF6"/>
    <w:rsid w:val="00A66D2A"/>
    <w:rsid w:val="00A67232"/>
    <w:rsid w:val="00A67875"/>
    <w:rsid w:val="00A70602"/>
    <w:rsid w:val="00A70B4F"/>
    <w:rsid w:val="00A71BD1"/>
    <w:rsid w:val="00A72366"/>
    <w:rsid w:val="00A72892"/>
    <w:rsid w:val="00A72C3C"/>
    <w:rsid w:val="00A72CF9"/>
    <w:rsid w:val="00A73566"/>
    <w:rsid w:val="00A73876"/>
    <w:rsid w:val="00A73C71"/>
    <w:rsid w:val="00A73E56"/>
    <w:rsid w:val="00A741BF"/>
    <w:rsid w:val="00A7435B"/>
    <w:rsid w:val="00A747AF"/>
    <w:rsid w:val="00A7515C"/>
    <w:rsid w:val="00A751B5"/>
    <w:rsid w:val="00A75E62"/>
    <w:rsid w:val="00A773D0"/>
    <w:rsid w:val="00A776FF"/>
    <w:rsid w:val="00A80366"/>
    <w:rsid w:val="00A8146C"/>
    <w:rsid w:val="00A817B0"/>
    <w:rsid w:val="00A826AD"/>
    <w:rsid w:val="00A82C2A"/>
    <w:rsid w:val="00A83891"/>
    <w:rsid w:val="00A83F22"/>
    <w:rsid w:val="00A843CF"/>
    <w:rsid w:val="00A843DE"/>
    <w:rsid w:val="00A849FA"/>
    <w:rsid w:val="00A854BE"/>
    <w:rsid w:val="00A865CF"/>
    <w:rsid w:val="00A87594"/>
    <w:rsid w:val="00A87CB7"/>
    <w:rsid w:val="00A909BE"/>
    <w:rsid w:val="00A909FE"/>
    <w:rsid w:val="00A91247"/>
    <w:rsid w:val="00A91A36"/>
    <w:rsid w:val="00A91D01"/>
    <w:rsid w:val="00A91F49"/>
    <w:rsid w:val="00A92452"/>
    <w:rsid w:val="00A930FF"/>
    <w:rsid w:val="00A946E7"/>
    <w:rsid w:val="00A95E83"/>
    <w:rsid w:val="00A9609F"/>
    <w:rsid w:val="00A97784"/>
    <w:rsid w:val="00A978F9"/>
    <w:rsid w:val="00AA04A4"/>
    <w:rsid w:val="00AA18DE"/>
    <w:rsid w:val="00AA2083"/>
    <w:rsid w:val="00AA2655"/>
    <w:rsid w:val="00AA2842"/>
    <w:rsid w:val="00AA2DFD"/>
    <w:rsid w:val="00AA33C0"/>
    <w:rsid w:val="00AA582D"/>
    <w:rsid w:val="00AA5AF9"/>
    <w:rsid w:val="00AA5BDE"/>
    <w:rsid w:val="00AA5E38"/>
    <w:rsid w:val="00AA6259"/>
    <w:rsid w:val="00AA6908"/>
    <w:rsid w:val="00AA6DA3"/>
    <w:rsid w:val="00AA7073"/>
    <w:rsid w:val="00AA7A01"/>
    <w:rsid w:val="00AB07D6"/>
    <w:rsid w:val="00AB1BAB"/>
    <w:rsid w:val="00AB2250"/>
    <w:rsid w:val="00AB24DF"/>
    <w:rsid w:val="00AB2529"/>
    <w:rsid w:val="00AB2754"/>
    <w:rsid w:val="00AB47B8"/>
    <w:rsid w:val="00AB503E"/>
    <w:rsid w:val="00AB5C6A"/>
    <w:rsid w:val="00AB5DB0"/>
    <w:rsid w:val="00AB6E17"/>
    <w:rsid w:val="00AC03DE"/>
    <w:rsid w:val="00AC0A8A"/>
    <w:rsid w:val="00AC0D42"/>
    <w:rsid w:val="00AC0F18"/>
    <w:rsid w:val="00AC2F62"/>
    <w:rsid w:val="00AC2FD0"/>
    <w:rsid w:val="00AC3764"/>
    <w:rsid w:val="00AC3D96"/>
    <w:rsid w:val="00AC3FDD"/>
    <w:rsid w:val="00AC4409"/>
    <w:rsid w:val="00AC4DFD"/>
    <w:rsid w:val="00AC4F55"/>
    <w:rsid w:val="00AC5A0D"/>
    <w:rsid w:val="00AC5BAE"/>
    <w:rsid w:val="00AC5C0B"/>
    <w:rsid w:val="00AC6B46"/>
    <w:rsid w:val="00AC713E"/>
    <w:rsid w:val="00AC74A6"/>
    <w:rsid w:val="00AC7EF4"/>
    <w:rsid w:val="00AD0889"/>
    <w:rsid w:val="00AD0AA4"/>
    <w:rsid w:val="00AD1404"/>
    <w:rsid w:val="00AD2318"/>
    <w:rsid w:val="00AD3554"/>
    <w:rsid w:val="00AD3582"/>
    <w:rsid w:val="00AD3C45"/>
    <w:rsid w:val="00AD43D7"/>
    <w:rsid w:val="00AD43D8"/>
    <w:rsid w:val="00AD4DB1"/>
    <w:rsid w:val="00AD4E5F"/>
    <w:rsid w:val="00AD4FEF"/>
    <w:rsid w:val="00AD534C"/>
    <w:rsid w:val="00AD58A3"/>
    <w:rsid w:val="00AD5996"/>
    <w:rsid w:val="00AD63C4"/>
    <w:rsid w:val="00AD6A81"/>
    <w:rsid w:val="00AD7424"/>
    <w:rsid w:val="00AD76C7"/>
    <w:rsid w:val="00AD7A2D"/>
    <w:rsid w:val="00AD7E6B"/>
    <w:rsid w:val="00AE14B6"/>
    <w:rsid w:val="00AE1E88"/>
    <w:rsid w:val="00AE1FD1"/>
    <w:rsid w:val="00AE2F3E"/>
    <w:rsid w:val="00AE31F1"/>
    <w:rsid w:val="00AE33D4"/>
    <w:rsid w:val="00AE405B"/>
    <w:rsid w:val="00AE44C3"/>
    <w:rsid w:val="00AE545B"/>
    <w:rsid w:val="00AE6F06"/>
    <w:rsid w:val="00AE7546"/>
    <w:rsid w:val="00AF00BA"/>
    <w:rsid w:val="00AF06FB"/>
    <w:rsid w:val="00AF16FA"/>
    <w:rsid w:val="00AF1948"/>
    <w:rsid w:val="00AF1AE9"/>
    <w:rsid w:val="00AF1C5E"/>
    <w:rsid w:val="00AF1FA5"/>
    <w:rsid w:val="00AF2A76"/>
    <w:rsid w:val="00AF480F"/>
    <w:rsid w:val="00AF4DD9"/>
    <w:rsid w:val="00AF4F94"/>
    <w:rsid w:val="00AF5CE9"/>
    <w:rsid w:val="00AF662E"/>
    <w:rsid w:val="00AF6AF7"/>
    <w:rsid w:val="00AF6EE7"/>
    <w:rsid w:val="00AF6F62"/>
    <w:rsid w:val="00AF74C8"/>
    <w:rsid w:val="00AF7BFD"/>
    <w:rsid w:val="00AF7ECE"/>
    <w:rsid w:val="00AF7FFB"/>
    <w:rsid w:val="00B016D8"/>
    <w:rsid w:val="00B01BEF"/>
    <w:rsid w:val="00B027A7"/>
    <w:rsid w:val="00B02A49"/>
    <w:rsid w:val="00B0334A"/>
    <w:rsid w:val="00B03504"/>
    <w:rsid w:val="00B03A9C"/>
    <w:rsid w:val="00B043E7"/>
    <w:rsid w:val="00B04FB6"/>
    <w:rsid w:val="00B05C22"/>
    <w:rsid w:val="00B05D28"/>
    <w:rsid w:val="00B075E2"/>
    <w:rsid w:val="00B07E7E"/>
    <w:rsid w:val="00B10A2F"/>
    <w:rsid w:val="00B10AE7"/>
    <w:rsid w:val="00B11463"/>
    <w:rsid w:val="00B117CD"/>
    <w:rsid w:val="00B1180D"/>
    <w:rsid w:val="00B11CEE"/>
    <w:rsid w:val="00B11F02"/>
    <w:rsid w:val="00B12890"/>
    <w:rsid w:val="00B12976"/>
    <w:rsid w:val="00B1320E"/>
    <w:rsid w:val="00B13FC0"/>
    <w:rsid w:val="00B14AA7"/>
    <w:rsid w:val="00B1561F"/>
    <w:rsid w:val="00B15749"/>
    <w:rsid w:val="00B157BD"/>
    <w:rsid w:val="00B15F11"/>
    <w:rsid w:val="00B1684D"/>
    <w:rsid w:val="00B16B0B"/>
    <w:rsid w:val="00B1739F"/>
    <w:rsid w:val="00B179EE"/>
    <w:rsid w:val="00B20A38"/>
    <w:rsid w:val="00B216BE"/>
    <w:rsid w:val="00B21A97"/>
    <w:rsid w:val="00B21C1F"/>
    <w:rsid w:val="00B21D5A"/>
    <w:rsid w:val="00B22F31"/>
    <w:rsid w:val="00B23050"/>
    <w:rsid w:val="00B23BE2"/>
    <w:rsid w:val="00B24158"/>
    <w:rsid w:val="00B254B3"/>
    <w:rsid w:val="00B255CA"/>
    <w:rsid w:val="00B25F0D"/>
    <w:rsid w:val="00B26203"/>
    <w:rsid w:val="00B26597"/>
    <w:rsid w:val="00B27346"/>
    <w:rsid w:val="00B2761F"/>
    <w:rsid w:val="00B2792D"/>
    <w:rsid w:val="00B300C2"/>
    <w:rsid w:val="00B31006"/>
    <w:rsid w:val="00B310A3"/>
    <w:rsid w:val="00B311D6"/>
    <w:rsid w:val="00B31489"/>
    <w:rsid w:val="00B31E04"/>
    <w:rsid w:val="00B31FE3"/>
    <w:rsid w:val="00B32AE6"/>
    <w:rsid w:val="00B32CEC"/>
    <w:rsid w:val="00B336FF"/>
    <w:rsid w:val="00B33AEF"/>
    <w:rsid w:val="00B34733"/>
    <w:rsid w:val="00B34A4C"/>
    <w:rsid w:val="00B34C84"/>
    <w:rsid w:val="00B34C9D"/>
    <w:rsid w:val="00B353FF"/>
    <w:rsid w:val="00B3624C"/>
    <w:rsid w:val="00B3699B"/>
    <w:rsid w:val="00B37D97"/>
    <w:rsid w:val="00B4035A"/>
    <w:rsid w:val="00B40832"/>
    <w:rsid w:val="00B41403"/>
    <w:rsid w:val="00B4164F"/>
    <w:rsid w:val="00B44334"/>
    <w:rsid w:val="00B44530"/>
    <w:rsid w:val="00B46EEE"/>
    <w:rsid w:val="00B47071"/>
    <w:rsid w:val="00B474DB"/>
    <w:rsid w:val="00B516CD"/>
    <w:rsid w:val="00B516F8"/>
    <w:rsid w:val="00B52054"/>
    <w:rsid w:val="00B540CA"/>
    <w:rsid w:val="00B54EC2"/>
    <w:rsid w:val="00B56069"/>
    <w:rsid w:val="00B56CBB"/>
    <w:rsid w:val="00B57379"/>
    <w:rsid w:val="00B57541"/>
    <w:rsid w:val="00B57857"/>
    <w:rsid w:val="00B5797D"/>
    <w:rsid w:val="00B605B0"/>
    <w:rsid w:val="00B61E86"/>
    <w:rsid w:val="00B62290"/>
    <w:rsid w:val="00B63BE5"/>
    <w:rsid w:val="00B63C0E"/>
    <w:rsid w:val="00B645CE"/>
    <w:rsid w:val="00B645D0"/>
    <w:rsid w:val="00B66EEF"/>
    <w:rsid w:val="00B67DB4"/>
    <w:rsid w:val="00B70193"/>
    <w:rsid w:val="00B70F82"/>
    <w:rsid w:val="00B7207B"/>
    <w:rsid w:val="00B7262B"/>
    <w:rsid w:val="00B7299A"/>
    <w:rsid w:val="00B73D54"/>
    <w:rsid w:val="00B73FAC"/>
    <w:rsid w:val="00B7456B"/>
    <w:rsid w:val="00B74577"/>
    <w:rsid w:val="00B7508E"/>
    <w:rsid w:val="00B7574B"/>
    <w:rsid w:val="00B75BA3"/>
    <w:rsid w:val="00B75C10"/>
    <w:rsid w:val="00B75D33"/>
    <w:rsid w:val="00B75D6F"/>
    <w:rsid w:val="00B75DA1"/>
    <w:rsid w:val="00B75EBC"/>
    <w:rsid w:val="00B76321"/>
    <w:rsid w:val="00B80089"/>
    <w:rsid w:val="00B81477"/>
    <w:rsid w:val="00B81C52"/>
    <w:rsid w:val="00B8285A"/>
    <w:rsid w:val="00B82F92"/>
    <w:rsid w:val="00B833BB"/>
    <w:rsid w:val="00B83AE9"/>
    <w:rsid w:val="00B8419D"/>
    <w:rsid w:val="00B841DB"/>
    <w:rsid w:val="00B842DE"/>
    <w:rsid w:val="00B84424"/>
    <w:rsid w:val="00B84564"/>
    <w:rsid w:val="00B847F5"/>
    <w:rsid w:val="00B848E5"/>
    <w:rsid w:val="00B84B24"/>
    <w:rsid w:val="00B85235"/>
    <w:rsid w:val="00B85385"/>
    <w:rsid w:val="00B86900"/>
    <w:rsid w:val="00B86DFF"/>
    <w:rsid w:val="00B87001"/>
    <w:rsid w:val="00B9008B"/>
    <w:rsid w:val="00B90667"/>
    <w:rsid w:val="00B90824"/>
    <w:rsid w:val="00B90EE5"/>
    <w:rsid w:val="00B912CE"/>
    <w:rsid w:val="00B92B13"/>
    <w:rsid w:val="00B92BAA"/>
    <w:rsid w:val="00B94883"/>
    <w:rsid w:val="00B95002"/>
    <w:rsid w:val="00B95416"/>
    <w:rsid w:val="00B9541D"/>
    <w:rsid w:val="00B95EF3"/>
    <w:rsid w:val="00B960B3"/>
    <w:rsid w:val="00B96BF0"/>
    <w:rsid w:val="00B96CFF"/>
    <w:rsid w:val="00B96E67"/>
    <w:rsid w:val="00B9741C"/>
    <w:rsid w:val="00B97D7B"/>
    <w:rsid w:val="00BA024B"/>
    <w:rsid w:val="00BA0CB1"/>
    <w:rsid w:val="00BA12B5"/>
    <w:rsid w:val="00BA1918"/>
    <w:rsid w:val="00BA24FA"/>
    <w:rsid w:val="00BA2A96"/>
    <w:rsid w:val="00BA2B48"/>
    <w:rsid w:val="00BA2CBE"/>
    <w:rsid w:val="00BA314F"/>
    <w:rsid w:val="00BA3757"/>
    <w:rsid w:val="00BA3936"/>
    <w:rsid w:val="00BA3C84"/>
    <w:rsid w:val="00BA3ECE"/>
    <w:rsid w:val="00BA4680"/>
    <w:rsid w:val="00BA4A42"/>
    <w:rsid w:val="00BA5286"/>
    <w:rsid w:val="00BA5BBA"/>
    <w:rsid w:val="00BA5F54"/>
    <w:rsid w:val="00BA641B"/>
    <w:rsid w:val="00BA6ED9"/>
    <w:rsid w:val="00BA7C50"/>
    <w:rsid w:val="00BB022F"/>
    <w:rsid w:val="00BB0437"/>
    <w:rsid w:val="00BB1292"/>
    <w:rsid w:val="00BB132C"/>
    <w:rsid w:val="00BB16DE"/>
    <w:rsid w:val="00BB1D4F"/>
    <w:rsid w:val="00BB21C6"/>
    <w:rsid w:val="00BB2534"/>
    <w:rsid w:val="00BB2EC6"/>
    <w:rsid w:val="00BB36E0"/>
    <w:rsid w:val="00BB3B2F"/>
    <w:rsid w:val="00BB3EA9"/>
    <w:rsid w:val="00BB3F6A"/>
    <w:rsid w:val="00BB5490"/>
    <w:rsid w:val="00BB63FE"/>
    <w:rsid w:val="00BB6BC6"/>
    <w:rsid w:val="00BB7A10"/>
    <w:rsid w:val="00BC06EE"/>
    <w:rsid w:val="00BC0AF0"/>
    <w:rsid w:val="00BC0B1B"/>
    <w:rsid w:val="00BC162A"/>
    <w:rsid w:val="00BC1A23"/>
    <w:rsid w:val="00BC2AAF"/>
    <w:rsid w:val="00BC2B33"/>
    <w:rsid w:val="00BC4A86"/>
    <w:rsid w:val="00BC5924"/>
    <w:rsid w:val="00BC6141"/>
    <w:rsid w:val="00BC71BD"/>
    <w:rsid w:val="00BC7305"/>
    <w:rsid w:val="00BC7643"/>
    <w:rsid w:val="00BC7AAF"/>
    <w:rsid w:val="00BC7B63"/>
    <w:rsid w:val="00BC7C73"/>
    <w:rsid w:val="00BD00D5"/>
    <w:rsid w:val="00BD0E3E"/>
    <w:rsid w:val="00BD11D4"/>
    <w:rsid w:val="00BD129C"/>
    <w:rsid w:val="00BD1E76"/>
    <w:rsid w:val="00BD2BE2"/>
    <w:rsid w:val="00BD4668"/>
    <w:rsid w:val="00BD4BCE"/>
    <w:rsid w:val="00BD4EAB"/>
    <w:rsid w:val="00BD4FE9"/>
    <w:rsid w:val="00BD5490"/>
    <w:rsid w:val="00BD5FC4"/>
    <w:rsid w:val="00BD62C7"/>
    <w:rsid w:val="00BD62D1"/>
    <w:rsid w:val="00BD6871"/>
    <w:rsid w:val="00BD7530"/>
    <w:rsid w:val="00BD762D"/>
    <w:rsid w:val="00BD7B20"/>
    <w:rsid w:val="00BE0756"/>
    <w:rsid w:val="00BE1113"/>
    <w:rsid w:val="00BE113F"/>
    <w:rsid w:val="00BE1296"/>
    <w:rsid w:val="00BE211D"/>
    <w:rsid w:val="00BE2792"/>
    <w:rsid w:val="00BE466C"/>
    <w:rsid w:val="00BE4C9B"/>
    <w:rsid w:val="00BE516B"/>
    <w:rsid w:val="00BE587B"/>
    <w:rsid w:val="00BE718F"/>
    <w:rsid w:val="00BE74AE"/>
    <w:rsid w:val="00BF072D"/>
    <w:rsid w:val="00BF1B98"/>
    <w:rsid w:val="00BF1F45"/>
    <w:rsid w:val="00BF25D8"/>
    <w:rsid w:val="00BF298E"/>
    <w:rsid w:val="00BF2D73"/>
    <w:rsid w:val="00BF37D3"/>
    <w:rsid w:val="00BF39F2"/>
    <w:rsid w:val="00BF3E71"/>
    <w:rsid w:val="00BF42A3"/>
    <w:rsid w:val="00BF4C1F"/>
    <w:rsid w:val="00BF4E91"/>
    <w:rsid w:val="00BF598A"/>
    <w:rsid w:val="00BF5EED"/>
    <w:rsid w:val="00BF6279"/>
    <w:rsid w:val="00BF6A7D"/>
    <w:rsid w:val="00BF6F51"/>
    <w:rsid w:val="00BF7CEF"/>
    <w:rsid w:val="00C00703"/>
    <w:rsid w:val="00C0084B"/>
    <w:rsid w:val="00C01098"/>
    <w:rsid w:val="00C012D1"/>
    <w:rsid w:val="00C019CC"/>
    <w:rsid w:val="00C01E23"/>
    <w:rsid w:val="00C027E0"/>
    <w:rsid w:val="00C02B67"/>
    <w:rsid w:val="00C03906"/>
    <w:rsid w:val="00C05188"/>
    <w:rsid w:val="00C05AE9"/>
    <w:rsid w:val="00C06282"/>
    <w:rsid w:val="00C06A57"/>
    <w:rsid w:val="00C07182"/>
    <w:rsid w:val="00C0733B"/>
    <w:rsid w:val="00C10062"/>
    <w:rsid w:val="00C10618"/>
    <w:rsid w:val="00C10ADE"/>
    <w:rsid w:val="00C1106D"/>
    <w:rsid w:val="00C11093"/>
    <w:rsid w:val="00C110E7"/>
    <w:rsid w:val="00C11650"/>
    <w:rsid w:val="00C11662"/>
    <w:rsid w:val="00C1182E"/>
    <w:rsid w:val="00C12527"/>
    <w:rsid w:val="00C1375D"/>
    <w:rsid w:val="00C13773"/>
    <w:rsid w:val="00C13FA3"/>
    <w:rsid w:val="00C140A9"/>
    <w:rsid w:val="00C14DBE"/>
    <w:rsid w:val="00C15557"/>
    <w:rsid w:val="00C168BC"/>
    <w:rsid w:val="00C17196"/>
    <w:rsid w:val="00C2040F"/>
    <w:rsid w:val="00C205D2"/>
    <w:rsid w:val="00C21DD3"/>
    <w:rsid w:val="00C222C3"/>
    <w:rsid w:val="00C22682"/>
    <w:rsid w:val="00C22B03"/>
    <w:rsid w:val="00C2345F"/>
    <w:rsid w:val="00C23CA0"/>
    <w:rsid w:val="00C2529D"/>
    <w:rsid w:val="00C2532E"/>
    <w:rsid w:val="00C26C95"/>
    <w:rsid w:val="00C26D91"/>
    <w:rsid w:val="00C27574"/>
    <w:rsid w:val="00C2788A"/>
    <w:rsid w:val="00C27AF3"/>
    <w:rsid w:val="00C30EDD"/>
    <w:rsid w:val="00C312A9"/>
    <w:rsid w:val="00C313BB"/>
    <w:rsid w:val="00C31472"/>
    <w:rsid w:val="00C3148B"/>
    <w:rsid w:val="00C31659"/>
    <w:rsid w:val="00C3177A"/>
    <w:rsid w:val="00C323FB"/>
    <w:rsid w:val="00C33B5B"/>
    <w:rsid w:val="00C33E05"/>
    <w:rsid w:val="00C34183"/>
    <w:rsid w:val="00C34B45"/>
    <w:rsid w:val="00C35130"/>
    <w:rsid w:val="00C35262"/>
    <w:rsid w:val="00C35D0E"/>
    <w:rsid w:val="00C36649"/>
    <w:rsid w:val="00C3691B"/>
    <w:rsid w:val="00C3692A"/>
    <w:rsid w:val="00C36F20"/>
    <w:rsid w:val="00C371E8"/>
    <w:rsid w:val="00C37221"/>
    <w:rsid w:val="00C37CB1"/>
    <w:rsid w:val="00C4077D"/>
    <w:rsid w:val="00C40D3F"/>
    <w:rsid w:val="00C40E54"/>
    <w:rsid w:val="00C40FB4"/>
    <w:rsid w:val="00C41377"/>
    <w:rsid w:val="00C4156D"/>
    <w:rsid w:val="00C41A30"/>
    <w:rsid w:val="00C41F90"/>
    <w:rsid w:val="00C422AA"/>
    <w:rsid w:val="00C4252F"/>
    <w:rsid w:val="00C42C3B"/>
    <w:rsid w:val="00C430F5"/>
    <w:rsid w:val="00C4316E"/>
    <w:rsid w:val="00C444BF"/>
    <w:rsid w:val="00C44C45"/>
    <w:rsid w:val="00C44CC7"/>
    <w:rsid w:val="00C44EFE"/>
    <w:rsid w:val="00C45B09"/>
    <w:rsid w:val="00C45CCD"/>
    <w:rsid w:val="00C460D7"/>
    <w:rsid w:val="00C465E7"/>
    <w:rsid w:val="00C46B83"/>
    <w:rsid w:val="00C5082B"/>
    <w:rsid w:val="00C514A4"/>
    <w:rsid w:val="00C51B86"/>
    <w:rsid w:val="00C527A9"/>
    <w:rsid w:val="00C52C53"/>
    <w:rsid w:val="00C53DF7"/>
    <w:rsid w:val="00C543B7"/>
    <w:rsid w:val="00C544D3"/>
    <w:rsid w:val="00C55AAF"/>
    <w:rsid w:val="00C55B1B"/>
    <w:rsid w:val="00C55EFC"/>
    <w:rsid w:val="00C56511"/>
    <w:rsid w:val="00C56703"/>
    <w:rsid w:val="00C576E4"/>
    <w:rsid w:val="00C57949"/>
    <w:rsid w:val="00C57BA4"/>
    <w:rsid w:val="00C6021E"/>
    <w:rsid w:val="00C6064C"/>
    <w:rsid w:val="00C61388"/>
    <w:rsid w:val="00C613C1"/>
    <w:rsid w:val="00C614C3"/>
    <w:rsid w:val="00C62398"/>
    <w:rsid w:val="00C626EF"/>
    <w:rsid w:val="00C633D5"/>
    <w:rsid w:val="00C63AAF"/>
    <w:rsid w:val="00C63BCD"/>
    <w:rsid w:val="00C6456F"/>
    <w:rsid w:val="00C65CCC"/>
    <w:rsid w:val="00C66858"/>
    <w:rsid w:val="00C70325"/>
    <w:rsid w:val="00C70D94"/>
    <w:rsid w:val="00C711D0"/>
    <w:rsid w:val="00C71642"/>
    <w:rsid w:val="00C7193A"/>
    <w:rsid w:val="00C72724"/>
    <w:rsid w:val="00C738ED"/>
    <w:rsid w:val="00C73ACC"/>
    <w:rsid w:val="00C742B2"/>
    <w:rsid w:val="00C749B3"/>
    <w:rsid w:val="00C74BD9"/>
    <w:rsid w:val="00C74FE2"/>
    <w:rsid w:val="00C75325"/>
    <w:rsid w:val="00C753AE"/>
    <w:rsid w:val="00C7612A"/>
    <w:rsid w:val="00C7628C"/>
    <w:rsid w:val="00C77764"/>
    <w:rsid w:val="00C80FD9"/>
    <w:rsid w:val="00C8115F"/>
    <w:rsid w:val="00C8176E"/>
    <w:rsid w:val="00C81D65"/>
    <w:rsid w:val="00C81E80"/>
    <w:rsid w:val="00C8464E"/>
    <w:rsid w:val="00C8469C"/>
    <w:rsid w:val="00C86216"/>
    <w:rsid w:val="00C8667D"/>
    <w:rsid w:val="00C8682F"/>
    <w:rsid w:val="00C90003"/>
    <w:rsid w:val="00C90020"/>
    <w:rsid w:val="00C9025B"/>
    <w:rsid w:val="00C90F86"/>
    <w:rsid w:val="00C9157C"/>
    <w:rsid w:val="00C91938"/>
    <w:rsid w:val="00C91E94"/>
    <w:rsid w:val="00C92489"/>
    <w:rsid w:val="00C92693"/>
    <w:rsid w:val="00C94A4F"/>
    <w:rsid w:val="00C95F7D"/>
    <w:rsid w:val="00C96028"/>
    <w:rsid w:val="00C96150"/>
    <w:rsid w:val="00C965A6"/>
    <w:rsid w:val="00C968E4"/>
    <w:rsid w:val="00C96E23"/>
    <w:rsid w:val="00C96FD3"/>
    <w:rsid w:val="00C97860"/>
    <w:rsid w:val="00CA02BF"/>
    <w:rsid w:val="00CA0567"/>
    <w:rsid w:val="00CA0DB5"/>
    <w:rsid w:val="00CA12DB"/>
    <w:rsid w:val="00CA19D8"/>
    <w:rsid w:val="00CA221D"/>
    <w:rsid w:val="00CA30D7"/>
    <w:rsid w:val="00CA3533"/>
    <w:rsid w:val="00CA7E90"/>
    <w:rsid w:val="00CA7FBC"/>
    <w:rsid w:val="00CB021D"/>
    <w:rsid w:val="00CB086D"/>
    <w:rsid w:val="00CB08EF"/>
    <w:rsid w:val="00CB0B2F"/>
    <w:rsid w:val="00CB0B55"/>
    <w:rsid w:val="00CB0C26"/>
    <w:rsid w:val="00CB0F39"/>
    <w:rsid w:val="00CB122C"/>
    <w:rsid w:val="00CB1415"/>
    <w:rsid w:val="00CB1679"/>
    <w:rsid w:val="00CB1E9A"/>
    <w:rsid w:val="00CB2262"/>
    <w:rsid w:val="00CB2298"/>
    <w:rsid w:val="00CB2B44"/>
    <w:rsid w:val="00CB2DEE"/>
    <w:rsid w:val="00CB30F6"/>
    <w:rsid w:val="00CB38A5"/>
    <w:rsid w:val="00CB3EC0"/>
    <w:rsid w:val="00CB4265"/>
    <w:rsid w:val="00CB49B4"/>
    <w:rsid w:val="00CB599D"/>
    <w:rsid w:val="00CB5D0B"/>
    <w:rsid w:val="00CB70F2"/>
    <w:rsid w:val="00CB76EE"/>
    <w:rsid w:val="00CC0A2F"/>
    <w:rsid w:val="00CC1901"/>
    <w:rsid w:val="00CC2832"/>
    <w:rsid w:val="00CC2D7B"/>
    <w:rsid w:val="00CC3383"/>
    <w:rsid w:val="00CC4E5D"/>
    <w:rsid w:val="00CC5D9D"/>
    <w:rsid w:val="00CC6182"/>
    <w:rsid w:val="00CC6E39"/>
    <w:rsid w:val="00CD012D"/>
    <w:rsid w:val="00CD019B"/>
    <w:rsid w:val="00CD02FF"/>
    <w:rsid w:val="00CD1E50"/>
    <w:rsid w:val="00CD2E2F"/>
    <w:rsid w:val="00CD2EE7"/>
    <w:rsid w:val="00CD3805"/>
    <w:rsid w:val="00CD3F15"/>
    <w:rsid w:val="00CD3F5C"/>
    <w:rsid w:val="00CD4353"/>
    <w:rsid w:val="00CD5DBA"/>
    <w:rsid w:val="00CD747A"/>
    <w:rsid w:val="00CD756E"/>
    <w:rsid w:val="00CD79BB"/>
    <w:rsid w:val="00CD7A70"/>
    <w:rsid w:val="00CE0465"/>
    <w:rsid w:val="00CE098D"/>
    <w:rsid w:val="00CE0D36"/>
    <w:rsid w:val="00CE2319"/>
    <w:rsid w:val="00CE4382"/>
    <w:rsid w:val="00CE43E4"/>
    <w:rsid w:val="00CE4E77"/>
    <w:rsid w:val="00CE52B3"/>
    <w:rsid w:val="00CE5EDA"/>
    <w:rsid w:val="00CE67A5"/>
    <w:rsid w:val="00CE6C01"/>
    <w:rsid w:val="00CE6CEA"/>
    <w:rsid w:val="00CF2D7E"/>
    <w:rsid w:val="00CF2F9D"/>
    <w:rsid w:val="00CF3F64"/>
    <w:rsid w:val="00CF455A"/>
    <w:rsid w:val="00CF49E2"/>
    <w:rsid w:val="00CF5158"/>
    <w:rsid w:val="00CF54CF"/>
    <w:rsid w:val="00CF571A"/>
    <w:rsid w:val="00CF5BA1"/>
    <w:rsid w:val="00CF636B"/>
    <w:rsid w:val="00CF6889"/>
    <w:rsid w:val="00CF6CA4"/>
    <w:rsid w:val="00CF6D83"/>
    <w:rsid w:val="00CF7B03"/>
    <w:rsid w:val="00D002A7"/>
    <w:rsid w:val="00D00852"/>
    <w:rsid w:val="00D00E37"/>
    <w:rsid w:val="00D00F04"/>
    <w:rsid w:val="00D00F1F"/>
    <w:rsid w:val="00D00F5D"/>
    <w:rsid w:val="00D0155C"/>
    <w:rsid w:val="00D015B5"/>
    <w:rsid w:val="00D01A70"/>
    <w:rsid w:val="00D01A7B"/>
    <w:rsid w:val="00D0200F"/>
    <w:rsid w:val="00D0240D"/>
    <w:rsid w:val="00D02B8A"/>
    <w:rsid w:val="00D03084"/>
    <w:rsid w:val="00D030DB"/>
    <w:rsid w:val="00D0337E"/>
    <w:rsid w:val="00D0382E"/>
    <w:rsid w:val="00D043E0"/>
    <w:rsid w:val="00D053EF"/>
    <w:rsid w:val="00D05F56"/>
    <w:rsid w:val="00D06A87"/>
    <w:rsid w:val="00D06F65"/>
    <w:rsid w:val="00D1045C"/>
    <w:rsid w:val="00D11990"/>
    <w:rsid w:val="00D11F2C"/>
    <w:rsid w:val="00D11FDA"/>
    <w:rsid w:val="00D12D5D"/>
    <w:rsid w:val="00D1321B"/>
    <w:rsid w:val="00D149CA"/>
    <w:rsid w:val="00D14B2F"/>
    <w:rsid w:val="00D14C76"/>
    <w:rsid w:val="00D14DEB"/>
    <w:rsid w:val="00D1507C"/>
    <w:rsid w:val="00D15E8A"/>
    <w:rsid w:val="00D162C4"/>
    <w:rsid w:val="00D16F0B"/>
    <w:rsid w:val="00D1774E"/>
    <w:rsid w:val="00D17A41"/>
    <w:rsid w:val="00D17E2B"/>
    <w:rsid w:val="00D2035A"/>
    <w:rsid w:val="00D20874"/>
    <w:rsid w:val="00D21977"/>
    <w:rsid w:val="00D2231A"/>
    <w:rsid w:val="00D23E13"/>
    <w:rsid w:val="00D23EA3"/>
    <w:rsid w:val="00D25815"/>
    <w:rsid w:val="00D262B7"/>
    <w:rsid w:val="00D26410"/>
    <w:rsid w:val="00D26517"/>
    <w:rsid w:val="00D277DC"/>
    <w:rsid w:val="00D27A3C"/>
    <w:rsid w:val="00D27C21"/>
    <w:rsid w:val="00D308CD"/>
    <w:rsid w:val="00D3093E"/>
    <w:rsid w:val="00D347BF"/>
    <w:rsid w:val="00D34F2F"/>
    <w:rsid w:val="00D353F7"/>
    <w:rsid w:val="00D35649"/>
    <w:rsid w:val="00D35767"/>
    <w:rsid w:val="00D357E2"/>
    <w:rsid w:val="00D35F42"/>
    <w:rsid w:val="00D3687A"/>
    <w:rsid w:val="00D37031"/>
    <w:rsid w:val="00D40209"/>
    <w:rsid w:val="00D40690"/>
    <w:rsid w:val="00D40B20"/>
    <w:rsid w:val="00D419F9"/>
    <w:rsid w:val="00D43A2B"/>
    <w:rsid w:val="00D4494E"/>
    <w:rsid w:val="00D44CEE"/>
    <w:rsid w:val="00D4534F"/>
    <w:rsid w:val="00D4698D"/>
    <w:rsid w:val="00D46C9B"/>
    <w:rsid w:val="00D4764D"/>
    <w:rsid w:val="00D504F5"/>
    <w:rsid w:val="00D518FC"/>
    <w:rsid w:val="00D520DC"/>
    <w:rsid w:val="00D522AF"/>
    <w:rsid w:val="00D52453"/>
    <w:rsid w:val="00D525CD"/>
    <w:rsid w:val="00D5354D"/>
    <w:rsid w:val="00D536B6"/>
    <w:rsid w:val="00D545A8"/>
    <w:rsid w:val="00D5463D"/>
    <w:rsid w:val="00D54883"/>
    <w:rsid w:val="00D552E4"/>
    <w:rsid w:val="00D55351"/>
    <w:rsid w:val="00D557CA"/>
    <w:rsid w:val="00D55BF5"/>
    <w:rsid w:val="00D55DCA"/>
    <w:rsid w:val="00D56B13"/>
    <w:rsid w:val="00D57070"/>
    <w:rsid w:val="00D57BBB"/>
    <w:rsid w:val="00D60F0A"/>
    <w:rsid w:val="00D61782"/>
    <w:rsid w:val="00D61E77"/>
    <w:rsid w:val="00D61ECC"/>
    <w:rsid w:val="00D62584"/>
    <w:rsid w:val="00D627B0"/>
    <w:rsid w:val="00D62B73"/>
    <w:rsid w:val="00D63237"/>
    <w:rsid w:val="00D637DE"/>
    <w:rsid w:val="00D63AAC"/>
    <w:rsid w:val="00D64B14"/>
    <w:rsid w:val="00D652D9"/>
    <w:rsid w:val="00D654E7"/>
    <w:rsid w:val="00D66093"/>
    <w:rsid w:val="00D665F3"/>
    <w:rsid w:val="00D6760C"/>
    <w:rsid w:val="00D67E6C"/>
    <w:rsid w:val="00D67ED4"/>
    <w:rsid w:val="00D70097"/>
    <w:rsid w:val="00D703BC"/>
    <w:rsid w:val="00D713C1"/>
    <w:rsid w:val="00D7144C"/>
    <w:rsid w:val="00D721A0"/>
    <w:rsid w:val="00D7247C"/>
    <w:rsid w:val="00D72805"/>
    <w:rsid w:val="00D72BED"/>
    <w:rsid w:val="00D73AF2"/>
    <w:rsid w:val="00D74096"/>
    <w:rsid w:val="00D7429B"/>
    <w:rsid w:val="00D74E73"/>
    <w:rsid w:val="00D755F5"/>
    <w:rsid w:val="00D75E29"/>
    <w:rsid w:val="00D76113"/>
    <w:rsid w:val="00D76165"/>
    <w:rsid w:val="00D76348"/>
    <w:rsid w:val="00D7662E"/>
    <w:rsid w:val="00D77501"/>
    <w:rsid w:val="00D80381"/>
    <w:rsid w:val="00D81278"/>
    <w:rsid w:val="00D81518"/>
    <w:rsid w:val="00D81594"/>
    <w:rsid w:val="00D81657"/>
    <w:rsid w:val="00D81F2A"/>
    <w:rsid w:val="00D831F2"/>
    <w:rsid w:val="00D83957"/>
    <w:rsid w:val="00D840C1"/>
    <w:rsid w:val="00D84528"/>
    <w:rsid w:val="00D84970"/>
    <w:rsid w:val="00D8500B"/>
    <w:rsid w:val="00D85C25"/>
    <w:rsid w:val="00D85C28"/>
    <w:rsid w:val="00D85FD8"/>
    <w:rsid w:val="00D86056"/>
    <w:rsid w:val="00D8672D"/>
    <w:rsid w:val="00D86A94"/>
    <w:rsid w:val="00D86FDB"/>
    <w:rsid w:val="00D871B9"/>
    <w:rsid w:val="00D8758F"/>
    <w:rsid w:val="00D877B1"/>
    <w:rsid w:val="00D8782C"/>
    <w:rsid w:val="00D87D25"/>
    <w:rsid w:val="00D902A8"/>
    <w:rsid w:val="00D90371"/>
    <w:rsid w:val="00D91394"/>
    <w:rsid w:val="00D91E38"/>
    <w:rsid w:val="00D92038"/>
    <w:rsid w:val="00D923E4"/>
    <w:rsid w:val="00D936BE"/>
    <w:rsid w:val="00D93D42"/>
    <w:rsid w:val="00D9409D"/>
    <w:rsid w:val="00D9417B"/>
    <w:rsid w:val="00D94DC1"/>
    <w:rsid w:val="00D952E1"/>
    <w:rsid w:val="00D954CB"/>
    <w:rsid w:val="00D9612A"/>
    <w:rsid w:val="00D96AE1"/>
    <w:rsid w:val="00D97516"/>
    <w:rsid w:val="00D975BE"/>
    <w:rsid w:val="00D97A85"/>
    <w:rsid w:val="00DA03F7"/>
    <w:rsid w:val="00DA10CD"/>
    <w:rsid w:val="00DA30C7"/>
    <w:rsid w:val="00DA31C7"/>
    <w:rsid w:val="00DA3450"/>
    <w:rsid w:val="00DA3552"/>
    <w:rsid w:val="00DA3A8A"/>
    <w:rsid w:val="00DA3E88"/>
    <w:rsid w:val="00DA4B58"/>
    <w:rsid w:val="00DA5252"/>
    <w:rsid w:val="00DA5544"/>
    <w:rsid w:val="00DA56CC"/>
    <w:rsid w:val="00DA5A3D"/>
    <w:rsid w:val="00DA5ACA"/>
    <w:rsid w:val="00DA6487"/>
    <w:rsid w:val="00DA688E"/>
    <w:rsid w:val="00DA736A"/>
    <w:rsid w:val="00DA7E1E"/>
    <w:rsid w:val="00DB0D79"/>
    <w:rsid w:val="00DB16D2"/>
    <w:rsid w:val="00DB2439"/>
    <w:rsid w:val="00DB3C2F"/>
    <w:rsid w:val="00DB3C8E"/>
    <w:rsid w:val="00DB400E"/>
    <w:rsid w:val="00DB410B"/>
    <w:rsid w:val="00DB522B"/>
    <w:rsid w:val="00DB53A8"/>
    <w:rsid w:val="00DB641F"/>
    <w:rsid w:val="00DB67D1"/>
    <w:rsid w:val="00DC0A2B"/>
    <w:rsid w:val="00DC153E"/>
    <w:rsid w:val="00DC33D3"/>
    <w:rsid w:val="00DC3799"/>
    <w:rsid w:val="00DC3803"/>
    <w:rsid w:val="00DC3D7A"/>
    <w:rsid w:val="00DC4699"/>
    <w:rsid w:val="00DC4763"/>
    <w:rsid w:val="00DC4D3C"/>
    <w:rsid w:val="00DC55EA"/>
    <w:rsid w:val="00DC5B1D"/>
    <w:rsid w:val="00DC5D52"/>
    <w:rsid w:val="00DC6138"/>
    <w:rsid w:val="00DC6C9C"/>
    <w:rsid w:val="00DC705D"/>
    <w:rsid w:val="00DC7A47"/>
    <w:rsid w:val="00DC7B0F"/>
    <w:rsid w:val="00DD05C8"/>
    <w:rsid w:val="00DD0B4A"/>
    <w:rsid w:val="00DD2326"/>
    <w:rsid w:val="00DD2369"/>
    <w:rsid w:val="00DD2A95"/>
    <w:rsid w:val="00DD3936"/>
    <w:rsid w:val="00DD4F6A"/>
    <w:rsid w:val="00DD56E8"/>
    <w:rsid w:val="00DD5F07"/>
    <w:rsid w:val="00DD6408"/>
    <w:rsid w:val="00DD66C0"/>
    <w:rsid w:val="00DD6914"/>
    <w:rsid w:val="00DD6EC9"/>
    <w:rsid w:val="00DD7B36"/>
    <w:rsid w:val="00DE026B"/>
    <w:rsid w:val="00DE080A"/>
    <w:rsid w:val="00DE0EDA"/>
    <w:rsid w:val="00DE1183"/>
    <w:rsid w:val="00DE1F0D"/>
    <w:rsid w:val="00DE224D"/>
    <w:rsid w:val="00DE2F08"/>
    <w:rsid w:val="00DE34C1"/>
    <w:rsid w:val="00DE37C6"/>
    <w:rsid w:val="00DE5074"/>
    <w:rsid w:val="00DE73AF"/>
    <w:rsid w:val="00DE774D"/>
    <w:rsid w:val="00DE7D10"/>
    <w:rsid w:val="00DE7F7A"/>
    <w:rsid w:val="00DF0755"/>
    <w:rsid w:val="00DF0CA4"/>
    <w:rsid w:val="00DF10B4"/>
    <w:rsid w:val="00DF17BE"/>
    <w:rsid w:val="00DF2187"/>
    <w:rsid w:val="00DF3E93"/>
    <w:rsid w:val="00DF4570"/>
    <w:rsid w:val="00DF45DA"/>
    <w:rsid w:val="00DF5450"/>
    <w:rsid w:val="00DF68B8"/>
    <w:rsid w:val="00DF6B96"/>
    <w:rsid w:val="00E00DA6"/>
    <w:rsid w:val="00E01833"/>
    <w:rsid w:val="00E03126"/>
    <w:rsid w:val="00E03136"/>
    <w:rsid w:val="00E03D1A"/>
    <w:rsid w:val="00E04317"/>
    <w:rsid w:val="00E044DE"/>
    <w:rsid w:val="00E04CE9"/>
    <w:rsid w:val="00E04E4D"/>
    <w:rsid w:val="00E05319"/>
    <w:rsid w:val="00E055B4"/>
    <w:rsid w:val="00E06736"/>
    <w:rsid w:val="00E077DE"/>
    <w:rsid w:val="00E07D50"/>
    <w:rsid w:val="00E1157F"/>
    <w:rsid w:val="00E11772"/>
    <w:rsid w:val="00E11785"/>
    <w:rsid w:val="00E11B59"/>
    <w:rsid w:val="00E1249C"/>
    <w:rsid w:val="00E1278C"/>
    <w:rsid w:val="00E1361B"/>
    <w:rsid w:val="00E13D08"/>
    <w:rsid w:val="00E1609B"/>
    <w:rsid w:val="00E16D6B"/>
    <w:rsid w:val="00E16FAF"/>
    <w:rsid w:val="00E17498"/>
    <w:rsid w:val="00E17EE6"/>
    <w:rsid w:val="00E17FB5"/>
    <w:rsid w:val="00E202F3"/>
    <w:rsid w:val="00E20E6A"/>
    <w:rsid w:val="00E20F83"/>
    <w:rsid w:val="00E22517"/>
    <w:rsid w:val="00E2310C"/>
    <w:rsid w:val="00E234EA"/>
    <w:rsid w:val="00E24072"/>
    <w:rsid w:val="00E25E32"/>
    <w:rsid w:val="00E262FE"/>
    <w:rsid w:val="00E265F2"/>
    <w:rsid w:val="00E270E6"/>
    <w:rsid w:val="00E27BB0"/>
    <w:rsid w:val="00E27DC2"/>
    <w:rsid w:val="00E304B7"/>
    <w:rsid w:val="00E307C5"/>
    <w:rsid w:val="00E3129B"/>
    <w:rsid w:val="00E313DD"/>
    <w:rsid w:val="00E31885"/>
    <w:rsid w:val="00E318DC"/>
    <w:rsid w:val="00E31B5F"/>
    <w:rsid w:val="00E31C92"/>
    <w:rsid w:val="00E31E8B"/>
    <w:rsid w:val="00E32123"/>
    <w:rsid w:val="00E32130"/>
    <w:rsid w:val="00E323EE"/>
    <w:rsid w:val="00E325B9"/>
    <w:rsid w:val="00E32A22"/>
    <w:rsid w:val="00E333F6"/>
    <w:rsid w:val="00E34324"/>
    <w:rsid w:val="00E34496"/>
    <w:rsid w:val="00E351BD"/>
    <w:rsid w:val="00E353A8"/>
    <w:rsid w:val="00E35741"/>
    <w:rsid w:val="00E35A34"/>
    <w:rsid w:val="00E35B43"/>
    <w:rsid w:val="00E36029"/>
    <w:rsid w:val="00E37E39"/>
    <w:rsid w:val="00E37EBC"/>
    <w:rsid w:val="00E4021E"/>
    <w:rsid w:val="00E40F57"/>
    <w:rsid w:val="00E422AC"/>
    <w:rsid w:val="00E43E72"/>
    <w:rsid w:val="00E441D9"/>
    <w:rsid w:val="00E44DDB"/>
    <w:rsid w:val="00E4582F"/>
    <w:rsid w:val="00E476A3"/>
    <w:rsid w:val="00E4791D"/>
    <w:rsid w:val="00E51935"/>
    <w:rsid w:val="00E51B48"/>
    <w:rsid w:val="00E51D01"/>
    <w:rsid w:val="00E51F8D"/>
    <w:rsid w:val="00E52B57"/>
    <w:rsid w:val="00E52D75"/>
    <w:rsid w:val="00E530C6"/>
    <w:rsid w:val="00E545C0"/>
    <w:rsid w:val="00E5492F"/>
    <w:rsid w:val="00E54B90"/>
    <w:rsid w:val="00E55105"/>
    <w:rsid w:val="00E55D09"/>
    <w:rsid w:val="00E55FB5"/>
    <w:rsid w:val="00E56987"/>
    <w:rsid w:val="00E56A75"/>
    <w:rsid w:val="00E56ED8"/>
    <w:rsid w:val="00E573A1"/>
    <w:rsid w:val="00E57A74"/>
    <w:rsid w:val="00E60038"/>
    <w:rsid w:val="00E60658"/>
    <w:rsid w:val="00E61B13"/>
    <w:rsid w:val="00E622F3"/>
    <w:rsid w:val="00E6264D"/>
    <w:rsid w:val="00E62F9A"/>
    <w:rsid w:val="00E631CF"/>
    <w:rsid w:val="00E63B76"/>
    <w:rsid w:val="00E64362"/>
    <w:rsid w:val="00E644C1"/>
    <w:rsid w:val="00E6687D"/>
    <w:rsid w:val="00E668D9"/>
    <w:rsid w:val="00E669DD"/>
    <w:rsid w:val="00E70027"/>
    <w:rsid w:val="00E705B6"/>
    <w:rsid w:val="00E70A45"/>
    <w:rsid w:val="00E7100A"/>
    <w:rsid w:val="00E718F0"/>
    <w:rsid w:val="00E719E5"/>
    <w:rsid w:val="00E71B2D"/>
    <w:rsid w:val="00E71D0D"/>
    <w:rsid w:val="00E720EE"/>
    <w:rsid w:val="00E72E08"/>
    <w:rsid w:val="00E738A1"/>
    <w:rsid w:val="00E74ACD"/>
    <w:rsid w:val="00E754F6"/>
    <w:rsid w:val="00E758C3"/>
    <w:rsid w:val="00E75D03"/>
    <w:rsid w:val="00E75FC2"/>
    <w:rsid w:val="00E75FEE"/>
    <w:rsid w:val="00E76B81"/>
    <w:rsid w:val="00E77526"/>
    <w:rsid w:val="00E77CD1"/>
    <w:rsid w:val="00E803E9"/>
    <w:rsid w:val="00E80411"/>
    <w:rsid w:val="00E80A10"/>
    <w:rsid w:val="00E80B0E"/>
    <w:rsid w:val="00E80EE2"/>
    <w:rsid w:val="00E81CE3"/>
    <w:rsid w:val="00E84BA0"/>
    <w:rsid w:val="00E86C00"/>
    <w:rsid w:val="00E86EE7"/>
    <w:rsid w:val="00E87149"/>
    <w:rsid w:val="00E87FC4"/>
    <w:rsid w:val="00E902BF"/>
    <w:rsid w:val="00E903C4"/>
    <w:rsid w:val="00E91020"/>
    <w:rsid w:val="00E91F9B"/>
    <w:rsid w:val="00E935C1"/>
    <w:rsid w:val="00E9474E"/>
    <w:rsid w:val="00E94E0F"/>
    <w:rsid w:val="00E94FE5"/>
    <w:rsid w:val="00E95BC6"/>
    <w:rsid w:val="00E96889"/>
    <w:rsid w:val="00E96A2A"/>
    <w:rsid w:val="00E96A83"/>
    <w:rsid w:val="00E970FE"/>
    <w:rsid w:val="00E97169"/>
    <w:rsid w:val="00E97BAE"/>
    <w:rsid w:val="00EA02FD"/>
    <w:rsid w:val="00EA0C34"/>
    <w:rsid w:val="00EA100F"/>
    <w:rsid w:val="00EA15FF"/>
    <w:rsid w:val="00EA16E3"/>
    <w:rsid w:val="00EA1DFC"/>
    <w:rsid w:val="00EA2C3B"/>
    <w:rsid w:val="00EA3C26"/>
    <w:rsid w:val="00EA4592"/>
    <w:rsid w:val="00EA45DC"/>
    <w:rsid w:val="00EA6E3E"/>
    <w:rsid w:val="00EA7E0A"/>
    <w:rsid w:val="00EB085C"/>
    <w:rsid w:val="00EB0CB4"/>
    <w:rsid w:val="00EB1C74"/>
    <w:rsid w:val="00EB2A8C"/>
    <w:rsid w:val="00EB3258"/>
    <w:rsid w:val="00EB3866"/>
    <w:rsid w:val="00EB3CC9"/>
    <w:rsid w:val="00EB42E0"/>
    <w:rsid w:val="00EB4729"/>
    <w:rsid w:val="00EB51D8"/>
    <w:rsid w:val="00EB62E2"/>
    <w:rsid w:val="00EB72EA"/>
    <w:rsid w:val="00EB767E"/>
    <w:rsid w:val="00EB7FFE"/>
    <w:rsid w:val="00EC08E5"/>
    <w:rsid w:val="00EC208C"/>
    <w:rsid w:val="00EC26CF"/>
    <w:rsid w:val="00EC2DB8"/>
    <w:rsid w:val="00EC32D8"/>
    <w:rsid w:val="00EC4F42"/>
    <w:rsid w:val="00EC5323"/>
    <w:rsid w:val="00EC5997"/>
    <w:rsid w:val="00EC74E4"/>
    <w:rsid w:val="00EC7D28"/>
    <w:rsid w:val="00ED0F46"/>
    <w:rsid w:val="00ED1270"/>
    <w:rsid w:val="00ED2147"/>
    <w:rsid w:val="00ED303D"/>
    <w:rsid w:val="00ED4358"/>
    <w:rsid w:val="00ED44C9"/>
    <w:rsid w:val="00ED4DF4"/>
    <w:rsid w:val="00ED5F5A"/>
    <w:rsid w:val="00ED647A"/>
    <w:rsid w:val="00ED65FC"/>
    <w:rsid w:val="00ED6CB7"/>
    <w:rsid w:val="00ED72F5"/>
    <w:rsid w:val="00ED7726"/>
    <w:rsid w:val="00ED7C2A"/>
    <w:rsid w:val="00EE0851"/>
    <w:rsid w:val="00EE11F2"/>
    <w:rsid w:val="00EE1C8C"/>
    <w:rsid w:val="00EE2DA5"/>
    <w:rsid w:val="00EE3364"/>
    <w:rsid w:val="00EE4695"/>
    <w:rsid w:val="00EE5317"/>
    <w:rsid w:val="00EE587D"/>
    <w:rsid w:val="00EE5D95"/>
    <w:rsid w:val="00EE62BB"/>
    <w:rsid w:val="00EE776A"/>
    <w:rsid w:val="00EE7B4C"/>
    <w:rsid w:val="00EF005D"/>
    <w:rsid w:val="00EF0376"/>
    <w:rsid w:val="00EF17AD"/>
    <w:rsid w:val="00EF316C"/>
    <w:rsid w:val="00EF35BD"/>
    <w:rsid w:val="00EF3D33"/>
    <w:rsid w:val="00EF3EC9"/>
    <w:rsid w:val="00EF44C7"/>
    <w:rsid w:val="00EF4ECF"/>
    <w:rsid w:val="00EF5174"/>
    <w:rsid w:val="00EF552E"/>
    <w:rsid w:val="00EF5540"/>
    <w:rsid w:val="00EF5D0A"/>
    <w:rsid w:val="00F006F1"/>
    <w:rsid w:val="00F0076A"/>
    <w:rsid w:val="00F0137B"/>
    <w:rsid w:val="00F026B4"/>
    <w:rsid w:val="00F02802"/>
    <w:rsid w:val="00F02A9B"/>
    <w:rsid w:val="00F03861"/>
    <w:rsid w:val="00F0389D"/>
    <w:rsid w:val="00F03996"/>
    <w:rsid w:val="00F041B5"/>
    <w:rsid w:val="00F04F10"/>
    <w:rsid w:val="00F05134"/>
    <w:rsid w:val="00F0545A"/>
    <w:rsid w:val="00F068E5"/>
    <w:rsid w:val="00F06AC6"/>
    <w:rsid w:val="00F06B9A"/>
    <w:rsid w:val="00F07030"/>
    <w:rsid w:val="00F0722E"/>
    <w:rsid w:val="00F072FA"/>
    <w:rsid w:val="00F07964"/>
    <w:rsid w:val="00F07DF7"/>
    <w:rsid w:val="00F101CC"/>
    <w:rsid w:val="00F11063"/>
    <w:rsid w:val="00F129BF"/>
    <w:rsid w:val="00F12EC5"/>
    <w:rsid w:val="00F1318D"/>
    <w:rsid w:val="00F1349C"/>
    <w:rsid w:val="00F13EBD"/>
    <w:rsid w:val="00F14185"/>
    <w:rsid w:val="00F166C8"/>
    <w:rsid w:val="00F16A42"/>
    <w:rsid w:val="00F16D3A"/>
    <w:rsid w:val="00F1784A"/>
    <w:rsid w:val="00F20345"/>
    <w:rsid w:val="00F203B4"/>
    <w:rsid w:val="00F20E06"/>
    <w:rsid w:val="00F22051"/>
    <w:rsid w:val="00F22E29"/>
    <w:rsid w:val="00F24C79"/>
    <w:rsid w:val="00F24FC4"/>
    <w:rsid w:val="00F256DE"/>
    <w:rsid w:val="00F25C2C"/>
    <w:rsid w:val="00F26235"/>
    <w:rsid w:val="00F26493"/>
    <w:rsid w:val="00F26761"/>
    <w:rsid w:val="00F26D06"/>
    <w:rsid w:val="00F26F2D"/>
    <w:rsid w:val="00F27644"/>
    <w:rsid w:val="00F27CBB"/>
    <w:rsid w:val="00F30B44"/>
    <w:rsid w:val="00F3144E"/>
    <w:rsid w:val="00F31C92"/>
    <w:rsid w:val="00F32516"/>
    <w:rsid w:val="00F32B58"/>
    <w:rsid w:val="00F32CCB"/>
    <w:rsid w:val="00F3337F"/>
    <w:rsid w:val="00F337A2"/>
    <w:rsid w:val="00F33CF5"/>
    <w:rsid w:val="00F349F9"/>
    <w:rsid w:val="00F350ED"/>
    <w:rsid w:val="00F35504"/>
    <w:rsid w:val="00F3560C"/>
    <w:rsid w:val="00F35AB3"/>
    <w:rsid w:val="00F35C83"/>
    <w:rsid w:val="00F36AAA"/>
    <w:rsid w:val="00F36ADE"/>
    <w:rsid w:val="00F36FC2"/>
    <w:rsid w:val="00F40184"/>
    <w:rsid w:val="00F408BB"/>
    <w:rsid w:val="00F41436"/>
    <w:rsid w:val="00F41AB9"/>
    <w:rsid w:val="00F41CCF"/>
    <w:rsid w:val="00F4225A"/>
    <w:rsid w:val="00F42A99"/>
    <w:rsid w:val="00F43D2B"/>
    <w:rsid w:val="00F44722"/>
    <w:rsid w:val="00F451F4"/>
    <w:rsid w:val="00F46652"/>
    <w:rsid w:val="00F46E0A"/>
    <w:rsid w:val="00F47106"/>
    <w:rsid w:val="00F4713F"/>
    <w:rsid w:val="00F50271"/>
    <w:rsid w:val="00F50DAB"/>
    <w:rsid w:val="00F51CCC"/>
    <w:rsid w:val="00F533BB"/>
    <w:rsid w:val="00F536B1"/>
    <w:rsid w:val="00F53BBF"/>
    <w:rsid w:val="00F5472B"/>
    <w:rsid w:val="00F547B9"/>
    <w:rsid w:val="00F54D42"/>
    <w:rsid w:val="00F55416"/>
    <w:rsid w:val="00F57A6A"/>
    <w:rsid w:val="00F60541"/>
    <w:rsid w:val="00F60944"/>
    <w:rsid w:val="00F60B28"/>
    <w:rsid w:val="00F6102D"/>
    <w:rsid w:val="00F61482"/>
    <w:rsid w:val="00F61CA0"/>
    <w:rsid w:val="00F61D0C"/>
    <w:rsid w:val="00F6201A"/>
    <w:rsid w:val="00F621F0"/>
    <w:rsid w:val="00F629FF"/>
    <w:rsid w:val="00F62C40"/>
    <w:rsid w:val="00F6338C"/>
    <w:rsid w:val="00F6382A"/>
    <w:rsid w:val="00F64C7B"/>
    <w:rsid w:val="00F6513D"/>
    <w:rsid w:val="00F652CF"/>
    <w:rsid w:val="00F6572E"/>
    <w:rsid w:val="00F66046"/>
    <w:rsid w:val="00F662AC"/>
    <w:rsid w:val="00F6634A"/>
    <w:rsid w:val="00F66700"/>
    <w:rsid w:val="00F67AC9"/>
    <w:rsid w:val="00F67D47"/>
    <w:rsid w:val="00F716B5"/>
    <w:rsid w:val="00F71C1C"/>
    <w:rsid w:val="00F71F89"/>
    <w:rsid w:val="00F722D3"/>
    <w:rsid w:val="00F722F0"/>
    <w:rsid w:val="00F725FF"/>
    <w:rsid w:val="00F72FA9"/>
    <w:rsid w:val="00F732A2"/>
    <w:rsid w:val="00F73740"/>
    <w:rsid w:val="00F754BB"/>
    <w:rsid w:val="00F75B01"/>
    <w:rsid w:val="00F76ED8"/>
    <w:rsid w:val="00F77F1E"/>
    <w:rsid w:val="00F77F83"/>
    <w:rsid w:val="00F80980"/>
    <w:rsid w:val="00F814A0"/>
    <w:rsid w:val="00F82326"/>
    <w:rsid w:val="00F82BAD"/>
    <w:rsid w:val="00F83699"/>
    <w:rsid w:val="00F836E8"/>
    <w:rsid w:val="00F83D6D"/>
    <w:rsid w:val="00F8689E"/>
    <w:rsid w:val="00F871F3"/>
    <w:rsid w:val="00F876E1"/>
    <w:rsid w:val="00F87A35"/>
    <w:rsid w:val="00F91D15"/>
    <w:rsid w:val="00F91DF9"/>
    <w:rsid w:val="00F93602"/>
    <w:rsid w:val="00F93C3B"/>
    <w:rsid w:val="00F93E3B"/>
    <w:rsid w:val="00F93ED2"/>
    <w:rsid w:val="00F940F8"/>
    <w:rsid w:val="00F94198"/>
    <w:rsid w:val="00F943B1"/>
    <w:rsid w:val="00F945CD"/>
    <w:rsid w:val="00F949EA"/>
    <w:rsid w:val="00F94C75"/>
    <w:rsid w:val="00F95B14"/>
    <w:rsid w:val="00F962D1"/>
    <w:rsid w:val="00F97F1B"/>
    <w:rsid w:val="00FA0714"/>
    <w:rsid w:val="00FA19CF"/>
    <w:rsid w:val="00FA1B80"/>
    <w:rsid w:val="00FA2D2D"/>
    <w:rsid w:val="00FA3D4C"/>
    <w:rsid w:val="00FA5419"/>
    <w:rsid w:val="00FA56C9"/>
    <w:rsid w:val="00FA6B7D"/>
    <w:rsid w:val="00FB0E98"/>
    <w:rsid w:val="00FB105B"/>
    <w:rsid w:val="00FB21FA"/>
    <w:rsid w:val="00FB2A04"/>
    <w:rsid w:val="00FB3B88"/>
    <w:rsid w:val="00FB4204"/>
    <w:rsid w:val="00FB4FE5"/>
    <w:rsid w:val="00FB58CA"/>
    <w:rsid w:val="00FB59B2"/>
    <w:rsid w:val="00FB6B0F"/>
    <w:rsid w:val="00FB6D69"/>
    <w:rsid w:val="00FB7290"/>
    <w:rsid w:val="00FB7C01"/>
    <w:rsid w:val="00FB7F14"/>
    <w:rsid w:val="00FC08D5"/>
    <w:rsid w:val="00FC0FC1"/>
    <w:rsid w:val="00FC10DA"/>
    <w:rsid w:val="00FC2853"/>
    <w:rsid w:val="00FC2CC0"/>
    <w:rsid w:val="00FC385F"/>
    <w:rsid w:val="00FC388B"/>
    <w:rsid w:val="00FC4393"/>
    <w:rsid w:val="00FC46AF"/>
    <w:rsid w:val="00FC4B26"/>
    <w:rsid w:val="00FC4BCC"/>
    <w:rsid w:val="00FC5D45"/>
    <w:rsid w:val="00FC5E89"/>
    <w:rsid w:val="00FC5EF7"/>
    <w:rsid w:val="00FC6591"/>
    <w:rsid w:val="00FC7EAC"/>
    <w:rsid w:val="00FD084F"/>
    <w:rsid w:val="00FD09AF"/>
    <w:rsid w:val="00FD0E15"/>
    <w:rsid w:val="00FD1105"/>
    <w:rsid w:val="00FD2045"/>
    <w:rsid w:val="00FD3364"/>
    <w:rsid w:val="00FD3408"/>
    <w:rsid w:val="00FD4C61"/>
    <w:rsid w:val="00FD53B9"/>
    <w:rsid w:val="00FD556B"/>
    <w:rsid w:val="00FD58CF"/>
    <w:rsid w:val="00FD5A0E"/>
    <w:rsid w:val="00FD62FD"/>
    <w:rsid w:val="00FD6F89"/>
    <w:rsid w:val="00FD7D22"/>
    <w:rsid w:val="00FE0680"/>
    <w:rsid w:val="00FE1AE5"/>
    <w:rsid w:val="00FE1F46"/>
    <w:rsid w:val="00FE249D"/>
    <w:rsid w:val="00FE29FC"/>
    <w:rsid w:val="00FE2B26"/>
    <w:rsid w:val="00FE2DD3"/>
    <w:rsid w:val="00FE30B7"/>
    <w:rsid w:val="00FE3755"/>
    <w:rsid w:val="00FE38A5"/>
    <w:rsid w:val="00FE3984"/>
    <w:rsid w:val="00FE3CEC"/>
    <w:rsid w:val="00FE3D36"/>
    <w:rsid w:val="00FE3E1F"/>
    <w:rsid w:val="00FE3E69"/>
    <w:rsid w:val="00FE4064"/>
    <w:rsid w:val="00FE45CE"/>
    <w:rsid w:val="00FE4783"/>
    <w:rsid w:val="00FE49E9"/>
    <w:rsid w:val="00FE4C5D"/>
    <w:rsid w:val="00FE5237"/>
    <w:rsid w:val="00FE547F"/>
    <w:rsid w:val="00FE58B9"/>
    <w:rsid w:val="00FE593F"/>
    <w:rsid w:val="00FE5E74"/>
    <w:rsid w:val="00FE7003"/>
    <w:rsid w:val="00FE7DFB"/>
    <w:rsid w:val="00FE7F3A"/>
    <w:rsid w:val="00FF0FD7"/>
    <w:rsid w:val="00FF12E6"/>
    <w:rsid w:val="00FF15A7"/>
    <w:rsid w:val="00FF1A55"/>
    <w:rsid w:val="00FF2330"/>
    <w:rsid w:val="00FF2B36"/>
    <w:rsid w:val="00FF3247"/>
    <w:rsid w:val="00FF4CA4"/>
    <w:rsid w:val="00FF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CADFE3"/>
  <w15:docId w15:val="{482C0255-3DCD-436F-843B-38A80D57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Cambria"/>
        <w:sz w:val="22"/>
        <w:szCs w:val="22"/>
        <w:lang w:val="lt-LT"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F85"/>
    <w:pPr>
      <w:spacing w:after="120"/>
      <w:jc w:val="both"/>
    </w:pPr>
  </w:style>
  <w:style w:type="paragraph" w:styleId="Heading1">
    <w:name w:val="heading 1"/>
    <w:next w:val="Normal"/>
    <w:link w:val="Heading1Char"/>
    <w:uiPriority w:val="99"/>
    <w:qFormat/>
    <w:rsid w:val="00E31C92"/>
    <w:pPr>
      <w:keepNext/>
      <w:numPr>
        <w:numId w:val="4"/>
      </w:numPr>
      <w:spacing w:after="600"/>
      <w:outlineLvl w:val="0"/>
    </w:pPr>
    <w:rPr>
      <w:b/>
      <w:caps/>
      <w:color w:val="134753" w:themeColor="text2"/>
      <w:sz w:val="40"/>
      <w:szCs w:val="40"/>
    </w:rPr>
  </w:style>
  <w:style w:type="paragraph" w:styleId="Heading2">
    <w:name w:val="heading 2"/>
    <w:basedOn w:val="Heading1"/>
    <w:next w:val="Normal"/>
    <w:link w:val="Heading2Char"/>
    <w:uiPriority w:val="99"/>
    <w:qFormat/>
    <w:rsid w:val="00F36FC2"/>
    <w:pPr>
      <w:numPr>
        <w:ilvl w:val="1"/>
      </w:numPr>
      <w:spacing w:before="360" w:after="240"/>
      <w:outlineLvl w:val="1"/>
    </w:pPr>
    <w:rPr>
      <w:b w:val="0"/>
      <w:bCs/>
      <w:color w:val="3CA1BC" w:themeColor="background2"/>
      <w:sz w:val="32"/>
      <w:szCs w:val="32"/>
    </w:rPr>
  </w:style>
  <w:style w:type="paragraph" w:styleId="Heading3">
    <w:name w:val="heading 3"/>
    <w:basedOn w:val="Heading2"/>
    <w:next w:val="Normal"/>
    <w:link w:val="Heading3Char"/>
    <w:uiPriority w:val="99"/>
    <w:qFormat/>
    <w:rsid w:val="00F36FC2"/>
    <w:pPr>
      <w:numPr>
        <w:ilvl w:val="2"/>
      </w:numPr>
      <w:spacing w:before="180" w:after="180"/>
      <w:outlineLvl w:val="2"/>
    </w:pPr>
    <w:rPr>
      <w:bCs w:val="0"/>
      <w:sz w:val="24"/>
    </w:rPr>
  </w:style>
  <w:style w:type="paragraph" w:styleId="Heading4">
    <w:name w:val="heading 4"/>
    <w:basedOn w:val="ListParagraph"/>
    <w:next w:val="Normal"/>
    <w:link w:val="Heading4Char"/>
    <w:unhideWhenUsed/>
    <w:locked/>
    <w:rsid w:val="00572295"/>
    <w:pPr>
      <w:keepNext/>
      <w:keepLines/>
      <w:spacing w:before="40" w:after="0"/>
      <w:outlineLvl w:val="3"/>
    </w:pPr>
    <w:rPr>
      <w:rFonts w:eastAsiaTheme="majorEastAsia" w:cstheme="majorBidi"/>
      <w:iCs/>
      <w:sz w:val="24"/>
      <w:szCs w:val="24"/>
    </w:rPr>
  </w:style>
  <w:style w:type="paragraph" w:styleId="Heading5">
    <w:name w:val="heading 5"/>
    <w:basedOn w:val="Normal"/>
    <w:next w:val="Normal"/>
    <w:link w:val="Heading5Char"/>
    <w:semiHidden/>
    <w:unhideWhenUsed/>
    <w:locked/>
    <w:rsid w:val="00D26517"/>
    <w:pPr>
      <w:keepNext/>
      <w:keepLines/>
      <w:spacing w:before="40" w:after="0"/>
      <w:outlineLvl w:val="4"/>
    </w:pPr>
    <w:rPr>
      <w:rFonts w:asciiTheme="majorHAnsi" w:eastAsiaTheme="majorEastAsia" w:hAnsiTheme="majorHAnsi" w:cstheme="majorBidi"/>
      <w:color w:val="5F5F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C92"/>
    <w:rPr>
      <w:b/>
      <w:caps/>
      <w:color w:val="134753" w:themeColor="text2"/>
      <w:sz w:val="40"/>
      <w:szCs w:val="40"/>
    </w:rPr>
  </w:style>
  <w:style w:type="paragraph" w:styleId="ListParagraph">
    <w:name w:val="List Paragraph"/>
    <w:aliases w:val="ERP-List Paragraph,List Paragraph11,Bullet EY,List Paragraph1,Normal bullet 2,List (services),En tête 1,Colorful List - Accent 11,Antes de enumeración,ITC List Paragraph 1,List Paragraph3,Lijstalinea,Resume Title,List Paragraph - bullets"/>
    <w:basedOn w:val="Normal"/>
    <w:link w:val="ListParagraphChar"/>
    <w:uiPriority w:val="34"/>
    <w:qFormat/>
    <w:rsid w:val="00183B11"/>
    <w:pPr>
      <w:ind w:left="720"/>
    </w:pPr>
    <w:rPr>
      <w:color w:val="134753"/>
    </w:rPr>
  </w:style>
  <w:style w:type="character" w:customStyle="1" w:styleId="ListParagraphChar">
    <w:name w:val="List Paragraph Char"/>
    <w:aliases w:val="ERP-List Paragraph Char,List Paragraph11 Char,Bullet EY Char,List Paragraph1 Char,Normal bullet 2 Char,List (services) Char,En tête 1 Char,Colorful List - Accent 11 Char,Antes de enumeración Char,ITC List Paragraph 1 Char"/>
    <w:basedOn w:val="DefaultParagraphFont"/>
    <w:link w:val="ListParagraph"/>
    <w:uiPriority w:val="34"/>
    <w:locked/>
    <w:rsid w:val="00183B11"/>
    <w:rPr>
      <w:rFonts w:ascii="Avenir Next Regular" w:hAnsi="Avenir Next Regular" w:cs="Cambria"/>
      <w:color w:val="134753"/>
      <w:lang w:eastAsia="ja-JP"/>
    </w:rPr>
  </w:style>
  <w:style w:type="character" w:customStyle="1" w:styleId="Heading2Char">
    <w:name w:val="Heading 2 Char"/>
    <w:basedOn w:val="DefaultParagraphFont"/>
    <w:link w:val="Heading2"/>
    <w:uiPriority w:val="99"/>
    <w:locked/>
    <w:rsid w:val="00C13FA3"/>
    <w:rPr>
      <w:bCs/>
      <w:caps/>
      <w:color w:val="3CA1BC" w:themeColor="background2"/>
      <w:sz w:val="32"/>
      <w:szCs w:val="32"/>
    </w:rPr>
  </w:style>
  <w:style w:type="character" w:customStyle="1" w:styleId="Heading3Char">
    <w:name w:val="Heading 3 Char"/>
    <w:basedOn w:val="DefaultParagraphFont"/>
    <w:link w:val="Heading3"/>
    <w:uiPriority w:val="99"/>
    <w:locked/>
    <w:rsid w:val="00C13FA3"/>
    <w:rPr>
      <w:caps/>
      <w:color w:val="3CA1BC" w:themeColor="background2"/>
      <w:sz w:val="24"/>
      <w:szCs w:val="32"/>
    </w:rPr>
  </w:style>
  <w:style w:type="character" w:customStyle="1" w:styleId="Heading4Char">
    <w:name w:val="Heading 4 Char"/>
    <w:basedOn w:val="DefaultParagraphFont"/>
    <w:link w:val="Heading4"/>
    <w:rsid w:val="00572295"/>
    <w:rPr>
      <w:rFonts w:ascii="Avenir Next Regular" w:eastAsiaTheme="majorEastAsia" w:hAnsi="Avenir Next Regular" w:cstheme="majorBidi"/>
      <w:iCs/>
      <w:sz w:val="24"/>
      <w:szCs w:val="24"/>
      <w:lang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AD4FEF"/>
    <w:rPr>
      <w:color w:val="0000FF"/>
      <w:u w:val="single"/>
    </w:rPr>
  </w:style>
  <w:style w:type="paragraph" w:styleId="FootnoteText">
    <w:name w:val="footnote text"/>
    <w:aliases w:val="Char1,Char11 Char,Char11,Footnote Text Char Char,Fußnote,single space,FOOTNOTES,fn,Podrozdział,fn Char Char Char,fn Char Char,fn Char,Fußnote Char Char Char,Fußnote Char,Fußnote Char Char Char Char,stile 1,Footnote1,ft,Char11 Cha"/>
    <w:basedOn w:val="Normal"/>
    <w:link w:val="FootnoteTextChar"/>
    <w:uiPriority w:val="99"/>
    <w:rsid w:val="00711240"/>
    <w:pPr>
      <w:spacing w:after="0"/>
    </w:pPr>
    <w:rPr>
      <w:sz w:val="20"/>
      <w:szCs w:val="20"/>
    </w:rPr>
  </w:style>
  <w:style w:type="character" w:customStyle="1" w:styleId="FootnoteTextChar">
    <w:name w:val="Footnote Text Char"/>
    <w:aliases w:val="Char1 Char,Char11 Char Char,Char11 Char1,Footnote Text Char Char Char,Fußnote Char1,single space Char,FOOTNOTES Char,fn Char1,Podrozdział Char,fn Char Char Char Char,fn Char Char Char1,fn Char Char1,Fußnote Char Char Char Char1"/>
    <w:basedOn w:val="DefaultParagraphFont"/>
    <w:link w:val="FootnoteText"/>
    <w:uiPriority w:val="99"/>
    <w:locked/>
    <w:rsid w:val="00711240"/>
    <w:rPr>
      <w:rFonts w:asciiTheme="minorHAnsi" w:hAnsiTheme="minorHAnsi" w:cs="Cambria"/>
      <w:bCs w:val="0"/>
      <w:sz w:val="20"/>
      <w:szCs w:val="20"/>
      <w:lang w:val="en-US" w:eastAsia="ja-JP"/>
    </w:rPr>
  </w:style>
  <w:style w:type="character" w:styleId="FootnoteReference">
    <w:name w:val="footnote reference"/>
    <w:aliases w:val="Times 10 Point,Exposant 3 Point,Footnote symbol,Footnote reference number,EN Footnote Reference,note TESI,16 Point,Superscript 6 Point,ftref"/>
    <w:basedOn w:val="DefaultParagraphFont"/>
    <w:uiPriority w:val="99"/>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aliases w:val="Top caption"/>
    <w:basedOn w:val="Normal"/>
    <w:next w:val="Normal"/>
    <w:uiPriority w:val="35"/>
    <w:qFormat/>
    <w:rsid w:val="003B607E"/>
    <w:pPr>
      <w:keepNext/>
      <w:framePr w:w="9356" w:wrap="around" w:vAnchor="text" w:hAnchor="text" w:y="1"/>
      <w:spacing w:before="240"/>
      <w:jc w:val="left"/>
    </w:pPr>
    <w:rPr>
      <w:b/>
      <w:caps/>
      <w:color w:val="134753" w:themeColor="text2"/>
      <w:sz w:val="20"/>
      <w:szCs w:val="20"/>
    </w:rPr>
  </w:style>
  <w:style w:type="paragraph" w:styleId="TOC1">
    <w:name w:val="toc 1"/>
    <w:basedOn w:val="Normal"/>
    <w:next w:val="Normal"/>
    <w:autoRedefine/>
    <w:uiPriority w:val="39"/>
    <w:rsid w:val="00491ABD"/>
    <w:pPr>
      <w:spacing w:before="120" w:after="0"/>
      <w:jc w:val="left"/>
    </w:pPr>
    <w:rPr>
      <w:rFonts w:cstheme="minorHAnsi"/>
      <w:b/>
      <w:bCs/>
      <w:i/>
      <w:iCs/>
      <w:sz w:val="24"/>
      <w:szCs w:val="24"/>
    </w:rPr>
  </w:style>
  <w:style w:type="paragraph" w:styleId="TOC2">
    <w:name w:val="toc 2"/>
    <w:basedOn w:val="Normal"/>
    <w:next w:val="Normal"/>
    <w:autoRedefine/>
    <w:uiPriority w:val="39"/>
    <w:rsid w:val="0060519A"/>
    <w:pPr>
      <w:tabs>
        <w:tab w:val="left" w:pos="880"/>
        <w:tab w:val="right" w:leader="dot" w:pos="9435"/>
      </w:tabs>
      <w:spacing w:before="120" w:after="0"/>
      <w:ind w:left="220"/>
      <w:jc w:val="left"/>
    </w:pPr>
    <w:rPr>
      <w:rFonts w:ascii="Times New Roman" w:hAnsi="Times New Roman" w:cs="Times New Roman"/>
      <w:b/>
      <w:bCs/>
      <w:i/>
      <w:iCs/>
      <w:noProof/>
      <w:lang w:val="ro-RO"/>
    </w:rPr>
  </w:style>
  <w:style w:type="character" w:styleId="CommentReference">
    <w:name w:val="annotation reference"/>
    <w:basedOn w:val="DefaultParagraphFont"/>
    <w:uiPriority w:val="99"/>
    <w:semiHidden/>
    <w:rsid w:val="00C45CCD"/>
    <w:rPr>
      <w:sz w:val="16"/>
      <w:szCs w:val="16"/>
    </w:rPr>
  </w:style>
  <w:style w:type="paragraph" w:styleId="CommentText">
    <w:name w:val="annotation text"/>
    <w:basedOn w:val="Normal"/>
    <w:link w:val="CommentTextChar"/>
    <w:uiPriority w:val="99"/>
    <w:semiHidden/>
    <w:rsid w:val="00C45CCD"/>
    <w:rPr>
      <w:sz w:val="20"/>
      <w:szCs w:val="20"/>
    </w:rPr>
  </w:style>
  <w:style w:type="character" w:customStyle="1" w:styleId="CommentTextChar">
    <w:name w:val="Comment Text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rPr>
  </w:style>
  <w:style w:type="character" w:customStyle="1" w:styleId="CommentSubjectChar">
    <w:name w:val="Comment Subject Char"/>
    <w:basedOn w:val="CommentTextChar"/>
    <w:link w:val="CommentSubject"/>
    <w:uiPriority w:val="99"/>
    <w:semiHidden/>
    <w:locked/>
    <w:rsid w:val="006A13A3"/>
    <w:rPr>
      <w:rFonts w:eastAsia="SimSun"/>
      <w:b/>
      <w:bCs w:val="0"/>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F943B1"/>
    <w:pPr>
      <w:tabs>
        <w:tab w:val="left" w:pos="1320"/>
        <w:tab w:val="right" w:leader="dot" w:pos="9435"/>
      </w:tabs>
      <w:spacing w:after="0"/>
      <w:ind w:left="851" w:hanging="283"/>
      <w:jc w:val="left"/>
    </w:pPr>
    <w:rPr>
      <w:rFonts w:cstheme="minorHAnsi"/>
      <w:sz w:val="20"/>
      <w:szCs w:val="20"/>
    </w:rPr>
  </w:style>
  <w:style w:type="character" w:customStyle="1" w:styleId="TOC3Char1">
    <w:name w:val="TOC 3 Char1"/>
    <w:basedOn w:val="DefaultParagraphFont"/>
    <w:link w:val="TOC3"/>
    <w:uiPriority w:val="39"/>
    <w:locked/>
    <w:rsid w:val="00F943B1"/>
    <w:rPr>
      <w:rFonts w:cstheme="minorHAnsi"/>
      <w:sz w:val="20"/>
      <w:szCs w:val="20"/>
    </w:rPr>
  </w:style>
  <w:style w:type="paragraph" w:styleId="TOCHeading">
    <w:name w:val="TOC Heading"/>
    <w:aliases w:val="Table of Contents"/>
    <w:basedOn w:val="Heading1"/>
    <w:next w:val="Normal"/>
    <w:uiPriority w:val="39"/>
    <w:qFormat/>
    <w:rsid w:val="00D0337E"/>
    <w:pPr>
      <w:keepLines/>
      <w:numPr>
        <w:numId w:val="0"/>
      </w:numPr>
      <w:outlineLvl w:val="9"/>
    </w:pPr>
    <w:rPr>
      <w:szCs w:val="28"/>
    </w:rPr>
  </w:style>
  <w:style w:type="table" w:styleId="TableGrid">
    <w:name w:val="Table Grid"/>
    <w:basedOn w:val="TableNormal"/>
    <w:uiPriority w:val="39"/>
    <w:rsid w:val="007C60E4"/>
    <w:rPr>
      <w:rFonts w:ascii="Avenir Next Demi Bold" w:hAnsi="Avenir Next Demi Bold"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MediumGrid21"/>
    <w:next w:val="Normal"/>
    <w:link w:val="TitleChar"/>
    <w:uiPriority w:val="10"/>
    <w:qFormat/>
    <w:rsid w:val="00165213"/>
    <w:pPr>
      <w:ind w:right="558"/>
    </w:pPr>
    <w:rPr>
      <w:rFonts w:eastAsia="MS Gothic" w:cs="Cambria"/>
      <w:color w:val="FFFFFF" w:themeColor="background1"/>
      <w:sz w:val="40"/>
      <w:szCs w:val="56"/>
    </w:rPr>
  </w:style>
  <w:style w:type="character" w:customStyle="1" w:styleId="TitleChar">
    <w:name w:val="Title Char"/>
    <w:basedOn w:val="DefaultParagraphFont"/>
    <w:link w:val="Title"/>
    <w:uiPriority w:val="10"/>
    <w:locked/>
    <w:rsid w:val="00165213"/>
    <w:rPr>
      <w:rFonts w:asciiTheme="minorHAnsi" w:eastAsia="MS Gothic" w:hAnsiTheme="minorHAnsi" w:cs="Cambria"/>
      <w:bCs w:val="0"/>
      <w:color w:val="FFFFFF" w:themeColor="background1"/>
      <w:sz w:val="40"/>
      <w:szCs w:val="56"/>
      <w:lang w:eastAsia="en-GB"/>
    </w:rPr>
  </w:style>
  <w:style w:type="paragraph" w:styleId="Subtitle">
    <w:name w:val="Subtitle"/>
    <w:basedOn w:val="Normal"/>
    <w:next w:val="Normal"/>
    <w:link w:val="SubtitleChar"/>
    <w:uiPriority w:val="99"/>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val="0"/>
      <w:color w:val="FFFFFF" w:themeColor="background1"/>
      <w:sz w:val="36"/>
      <w:szCs w:val="36"/>
      <w:lang w:val="en-US" w:eastAsia="ja-JP"/>
    </w:rPr>
  </w:style>
  <w:style w:type="character" w:styleId="Emphasis">
    <w:name w:val="Emphasis"/>
    <w:aliases w:val="Keywords"/>
    <w:basedOn w:val="DefaultParagraphFont"/>
    <w:uiPriority w:val="20"/>
    <w:qFormat/>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customStyle="1" w:styleId="TableGridLight1">
    <w:name w:val="Table Grid Light1"/>
    <w:basedOn w:val="TableNormal"/>
    <w:uiPriority w:val="40"/>
    <w:rsid w:val="0095085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22"/>
    <w:qFormat/>
    <w:rsid w:val="00F55416"/>
    <w:rPr>
      <w:b/>
      <w:bCs w:val="0"/>
      <w:color w:val="134753"/>
    </w:rPr>
  </w:style>
  <w:style w:type="table" w:customStyle="1" w:styleId="Civittatable">
    <w:name w:val="Civitta table"/>
    <w:basedOn w:val="TableNorma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99"/>
    <w:semiHidden/>
    <w:rsid w:val="008B12B6"/>
    <w:pPr>
      <w:spacing w:after="0"/>
      <w:ind w:left="660"/>
      <w:jc w:val="left"/>
    </w:pPr>
    <w:rPr>
      <w:rFonts w:cstheme="minorHAnsi"/>
      <w:sz w:val="20"/>
      <w:szCs w:val="20"/>
    </w:rPr>
  </w:style>
  <w:style w:type="paragraph" w:styleId="TOC5">
    <w:name w:val="toc 5"/>
    <w:basedOn w:val="Normal"/>
    <w:next w:val="Normal"/>
    <w:autoRedefine/>
    <w:uiPriority w:val="99"/>
    <w:semiHidden/>
    <w:rsid w:val="00042B1F"/>
    <w:pPr>
      <w:spacing w:after="0"/>
      <w:ind w:left="880"/>
      <w:jc w:val="left"/>
    </w:pPr>
    <w:rPr>
      <w:rFonts w:cstheme="minorHAnsi"/>
      <w:sz w:val="20"/>
      <w:szCs w:val="20"/>
    </w:rPr>
  </w:style>
  <w:style w:type="paragraph" w:styleId="TOC6">
    <w:name w:val="toc 6"/>
    <w:basedOn w:val="Normal"/>
    <w:next w:val="Normal"/>
    <w:autoRedefine/>
    <w:uiPriority w:val="99"/>
    <w:semiHidden/>
    <w:rsid w:val="00042B1F"/>
    <w:pPr>
      <w:spacing w:after="0"/>
      <w:ind w:left="1100"/>
      <w:jc w:val="left"/>
    </w:pPr>
    <w:rPr>
      <w:rFonts w:cstheme="minorHAnsi"/>
      <w:sz w:val="20"/>
      <w:szCs w:val="20"/>
    </w:rPr>
  </w:style>
  <w:style w:type="paragraph" w:styleId="TOC7">
    <w:name w:val="toc 7"/>
    <w:basedOn w:val="Normal"/>
    <w:next w:val="Normal"/>
    <w:autoRedefine/>
    <w:uiPriority w:val="99"/>
    <w:semiHidden/>
    <w:rsid w:val="00042B1F"/>
    <w:pPr>
      <w:spacing w:after="0"/>
      <w:ind w:left="1320"/>
      <w:jc w:val="left"/>
    </w:pPr>
    <w:rPr>
      <w:rFonts w:cstheme="minorHAnsi"/>
      <w:sz w:val="20"/>
      <w:szCs w:val="20"/>
    </w:rPr>
  </w:style>
  <w:style w:type="paragraph" w:styleId="TOC8">
    <w:name w:val="toc 8"/>
    <w:basedOn w:val="Normal"/>
    <w:next w:val="Normal"/>
    <w:autoRedefine/>
    <w:uiPriority w:val="99"/>
    <w:semiHidden/>
    <w:rsid w:val="00042B1F"/>
    <w:pPr>
      <w:spacing w:after="0"/>
      <w:ind w:left="1540"/>
      <w:jc w:val="left"/>
    </w:pPr>
    <w:rPr>
      <w:rFonts w:cstheme="minorHAnsi"/>
      <w:sz w:val="20"/>
      <w:szCs w:val="20"/>
    </w:rPr>
  </w:style>
  <w:style w:type="paragraph" w:styleId="TOC9">
    <w:name w:val="toc 9"/>
    <w:basedOn w:val="Normal"/>
    <w:next w:val="Normal"/>
    <w:autoRedefine/>
    <w:uiPriority w:val="99"/>
    <w:semiHidden/>
    <w:rsid w:val="00042B1F"/>
    <w:pPr>
      <w:spacing w:after="0"/>
      <w:ind w:left="1760"/>
      <w:jc w:val="left"/>
    </w:pPr>
    <w:rPr>
      <w:rFonts w:cstheme="minorHAnsi"/>
      <w:sz w:val="20"/>
      <w:szCs w:val="20"/>
    </w:rPr>
  </w:style>
  <w:style w:type="paragraph" w:styleId="TableofFigures">
    <w:name w:val="table of figures"/>
    <w:basedOn w:val="Normal"/>
    <w:next w:val="Normal"/>
    <w:uiPriority w:val="99"/>
    <w:rsid w:val="006B36A9"/>
  </w:style>
  <w:style w:type="character" w:customStyle="1" w:styleId="apple-converted-space">
    <w:name w:val="apple-converted-space"/>
    <w:basedOn w:val="DefaultParagraphFont"/>
    <w:rsid w:val="00E077DE"/>
  </w:style>
  <w:style w:type="paragraph" w:customStyle="1" w:styleId="Default">
    <w:name w:val="Default"/>
    <w:uiPriority w:val="99"/>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ListParagraph"/>
    <w:link w:val="BulletChar"/>
    <w:qFormat/>
    <w:rsid w:val="00FF12E6"/>
    <w:pPr>
      <w:numPr>
        <w:numId w:val="1"/>
      </w:numPr>
      <w:spacing w:after="60"/>
    </w:pPr>
    <w:rPr>
      <w:rFonts w:eastAsia="MS Gothic"/>
      <w:color w:val="000000" w:themeColor="text1"/>
      <w:lang w:eastAsia="en-GB"/>
    </w:rPr>
  </w:style>
  <w:style w:type="character" w:customStyle="1" w:styleId="BulletChar">
    <w:name w:val="Bullet Char"/>
    <w:basedOn w:val="ListParagraphChar"/>
    <w:link w:val="Bullet"/>
    <w:rsid w:val="0014120C"/>
    <w:rPr>
      <w:rFonts w:ascii="Avenir Next Regular" w:eastAsia="MS Gothic" w:hAnsi="Avenir Next Regular" w:cs="Cambria"/>
      <w:color w:val="000000" w:themeColor="text1"/>
      <w:lang w:eastAsia="en-GB"/>
    </w:rPr>
  </w:style>
  <w:style w:type="paragraph" w:customStyle="1" w:styleId="Bottomcaption">
    <w:name w:val="Bottom caption"/>
    <w:basedOn w:val="Caption"/>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rsid w:val="009078FF"/>
    <w:rPr>
      <w:i/>
      <w:iCs/>
    </w:rPr>
  </w:style>
  <w:style w:type="character" w:styleId="BookTitle">
    <w:name w:val="Book Title"/>
    <w:basedOn w:val="DefaultParagraphFont"/>
    <w:uiPriority w:val="33"/>
    <w:rsid w:val="0055242E"/>
    <w:rPr>
      <w:rFonts w:ascii="Avenir Next Regular" w:hAnsi="Avenir Next Regular"/>
      <w:b/>
      <w:bCs w:val="0"/>
      <w:i/>
      <w:iCs/>
      <w:color w:val="134753"/>
      <w:spacing w:val="5"/>
    </w:rPr>
  </w:style>
  <w:style w:type="table" w:styleId="TableTheme">
    <w:name w:val="Table Theme"/>
    <w:basedOn w:val="TableNormal"/>
    <w:uiPriority w:val="99"/>
    <w:semiHidden/>
    <w:unhideWhenUsed/>
    <w:rsid w:val="0053450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rsid w:val="00547F57"/>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val="en-GB"/>
    </w:rPr>
  </w:style>
  <w:style w:type="table" w:customStyle="1" w:styleId="GridTable1Light1">
    <w:name w:val="Grid Table 1 Light1"/>
    <w:basedOn w:val="TableNormal"/>
    <w:uiPriority w:val="46"/>
    <w:rsid w:val="005C328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val="0"/>
      <w:color w:val="000000" w:themeColor="text1"/>
      <w:lang w:val="en-US" w:eastAsia="ja-JP"/>
    </w:rPr>
  </w:style>
  <w:style w:type="paragraph" w:customStyle="1" w:styleId="Focus">
    <w:name w:val="Focus"/>
    <w:basedOn w:val="Normal"/>
    <w:link w:val="FocusChar"/>
    <w:qFormat/>
    <w:rsid w:val="00F03996"/>
    <w:pPr>
      <w:keepNext/>
    </w:pPr>
    <w:rPr>
      <w:b/>
      <w:caps/>
      <w:color w:val="134753" w:themeColor="text2"/>
    </w:rPr>
  </w:style>
  <w:style w:type="character" w:customStyle="1" w:styleId="FocusChar">
    <w:name w:val="Focus Char"/>
    <w:basedOn w:val="DefaultParagraphFont"/>
    <w:link w:val="Focus"/>
    <w:rsid w:val="00F03996"/>
    <w:rPr>
      <w:rFonts w:asciiTheme="minorHAnsi" w:hAnsiTheme="minorHAnsi" w:cs="Cambria"/>
      <w:b/>
      <w:bCs w:val="0"/>
      <w:caps/>
      <w:color w:val="134753" w:themeColor="text2"/>
      <w:lang w:val="en-US" w:eastAsia="ja-JP"/>
    </w:rPr>
  </w:style>
  <w:style w:type="paragraph" w:customStyle="1" w:styleId="Body">
    <w:name w:val="Body"/>
    <w:rsid w:val="00AD7E6B"/>
    <w:pPr>
      <w:pBdr>
        <w:top w:val="nil"/>
        <w:left w:val="nil"/>
        <w:bottom w:val="nil"/>
        <w:right w:val="nil"/>
        <w:between w:val="nil"/>
        <w:bar w:val="nil"/>
      </w:pBdr>
      <w:spacing w:after="160" w:line="259" w:lineRule="auto"/>
    </w:pPr>
    <w:rPr>
      <w:rFonts w:eastAsia="Arial Unicode MS" w:cs="Arial Unicode MS"/>
      <w:color w:val="000000"/>
      <w:u w:color="000000"/>
      <w:bdr w:val="nil"/>
      <w:lang w:val="en-US" w:eastAsia="lv-LV"/>
    </w:rPr>
  </w:style>
  <w:style w:type="numbering" w:customStyle="1" w:styleId="Style1">
    <w:name w:val="Style1"/>
    <w:uiPriority w:val="99"/>
    <w:rsid w:val="009D701E"/>
    <w:pPr>
      <w:numPr>
        <w:numId w:val="2"/>
      </w:numPr>
    </w:pPr>
  </w:style>
  <w:style w:type="numbering" w:customStyle="1" w:styleId="Headings">
    <w:name w:val="Headings"/>
    <w:uiPriority w:val="99"/>
    <w:rsid w:val="00F36FC2"/>
    <w:pPr>
      <w:numPr>
        <w:numId w:val="3"/>
      </w:numPr>
    </w:pPr>
  </w:style>
  <w:style w:type="character" w:customStyle="1" w:styleId="Heading5Char">
    <w:name w:val="Heading 5 Char"/>
    <w:basedOn w:val="DefaultParagraphFont"/>
    <w:link w:val="Heading5"/>
    <w:semiHidden/>
    <w:rsid w:val="00D26517"/>
    <w:rPr>
      <w:rFonts w:asciiTheme="majorHAnsi" w:eastAsiaTheme="majorEastAsia" w:hAnsiTheme="majorHAnsi" w:cstheme="majorBidi"/>
      <w:color w:val="5F5F5F" w:themeColor="accent1" w:themeShade="BF"/>
    </w:rPr>
  </w:style>
  <w:style w:type="paragraph" w:customStyle="1" w:styleId="title0">
    <w:name w:val="title_"/>
    <w:basedOn w:val="Normal"/>
    <w:next w:val="Normal"/>
    <w:rsid w:val="00D26517"/>
    <w:pPr>
      <w:spacing w:after="200" w:line="720" w:lineRule="atLeast"/>
    </w:pPr>
    <w:rPr>
      <w:rFonts w:eastAsiaTheme="minorEastAsia" w:cstheme="minorBidi"/>
      <w:color w:val="A0A5A5"/>
      <w:sz w:val="44"/>
      <w:szCs w:val="20"/>
      <w:lang w:val="en-US" w:eastAsia="nl-NL" w:bidi="en-US"/>
    </w:rPr>
  </w:style>
  <w:style w:type="paragraph" w:customStyle="1" w:styleId="Title1">
    <w:name w:val="Title1"/>
    <w:basedOn w:val="title0"/>
    <w:rsid w:val="00D26517"/>
    <w:rPr>
      <w:b/>
      <w:bCs/>
      <w:color w:val="003C64"/>
      <w:sz w:val="52"/>
    </w:rPr>
  </w:style>
  <w:style w:type="character" w:customStyle="1" w:styleId="hps">
    <w:name w:val="hps"/>
    <w:rsid w:val="00D26517"/>
    <w:rPr>
      <w:rFonts w:ascii="Times New Roman" w:hAnsi="Times New Roman" w:cs="Times New Roman" w:hint="default"/>
    </w:rPr>
  </w:style>
  <w:style w:type="paragraph" w:customStyle="1" w:styleId="ToR-NumberedText2">
    <w:name w:val="ToR - Numbered Text 2"/>
    <w:basedOn w:val="Normal"/>
    <w:rsid w:val="005B3DB1"/>
    <w:pPr>
      <w:numPr>
        <w:numId w:val="5"/>
      </w:numPr>
      <w:tabs>
        <w:tab w:val="left" w:pos="426"/>
      </w:tabs>
      <w:spacing w:before="60" w:after="60"/>
    </w:pPr>
    <w:rPr>
      <w:rFonts w:ascii="Arial" w:eastAsia="Times New Roman" w:hAnsi="Arial" w:cs="Arial"/>
      <w:sz w:val="20"/>
      <w:szCs w:val="24"/>
      <w:lang w:val="en-GB" w:eastAsia="en-GB"/>
    </w:rPr>
  </w:style>
  <w:style w:type="paragraph" w:customStyle="1" w:styleId="NSRF-BulletedText2">
    <w:name w:val="NSRF - Bulleted Text 2"/>
    <w:basedOn w:val="Normal"/>
    <w:autoRedefine/>
    <w:rsid w:val="00ED0F46"/>
    <w:rPr>
      <w:rFonts w:eastAsia="Times New Roman" w:cstheme="minorHAnsi"/>
      <w:lang w:val="en-GB" w:eastAsia="en-GB"/>
    </w:rPr>
  </w:style>
  <w:style w:type="paragraph" w:styleId="BodyText3">
    <w:name w:val="Body Text 3"/>
    <w:basedOn w:val="Normal"/>
    <w:link w:val="BodyText3Char"/>
    <w:rsid w:val="005B3DB1"/>
    <w:pPr>
      <w:jc w:val="left"/>
    </w:pPr>
    <w:rPr>
      <w:rFonts w:ascii="Times New Roman" w:eastAsia="Calibri" w:hAnsi="Times New Roman" w:cs="Times New Roman"/>
      <w:sz w:val="16"/>
      <w:szCs w:val="16"/>
      <w:lang w:val="en-US"/>
    </w:rPr>
  </w:style>
  <w:style w:type="character" w:customStyle="1" w:styleId="BodyText3Char">
    <w:name w:val="Body Text 3 Char"/>
    <w:basedOn w:val="DefaultParagraphFont"/>
    <w:link w:val="BodyText3"/>
    <w:rsid w:val="005B3DB1"/>
    <w:rPr>
      <w:rFonts w:ascii="Times New Roman" w:eastAsia="Calibri" w:hAnsi="Times New Roman" w:cs="Times New Roman"/>
      <w:sz w:val="16"/>
      <w:szCs w:val="16"/>
      <w:lang w:val="en-US"/>
    </w:rPr>
  </w:style>
  <w:style w:type="paragraph" w:customStyle="1" w:styleId="8">
    <w:name w:val="Знак Знак8 Знак Знак Знак Знак Знак Знак Знак Знак"/>
    <w:basedOn w:val="Normal"/>
    <w:rsid w:val="005B3DB1"/>
    <w:pPr>
      <w:spacing w:after="160" w:line="240" w:lineRule="exact"/>
      <w:jc w:val="left"/>
    </w:pPr>
    <w:rPr>
      <w:rFonts w:ascii="Arial" w:eastAsia="Batang" w:hAnsi="Arial" w:cs="Arial"/>
      <w:sz w:val="20"/>
      <w:szCs w:val="20"/>
      <w:lang w:val="en-US"/>
    </w:rPr>
  </w:style>
  <w:style w:type="character" w:styleId="FollowedHyperlink">
    <w:name w:val="FollowedHyperlink"/>
    <w:basedOn w:val="DefaultParagraphFont"/>
    <w:uiPriority w:val="99"/>
    <w:semiHidden/>
    <w:unhideWhenUsed/>
    <w:rsid w:val="005B3DB1"/>
    <w:rPr>
      <w:color w:val="134753" w:themeColor="followedHyperlink"/>
      <w:u w:val="single"/>
    </w:rPr>
  </w:style>
  <w:style w:type="paragraph" w:styleId="DocumentMap">
    <w:name w:val="Document Map"/>
    <w:basedOn w:val="Normal"/>
    <w:link w:val="DocumentMapChar"/>
    <w:uiPriority w:val="99"/>
    <w:semiHidden/>
    <w:unhideWhenUsed/>
    <w:rsid w:val="00053CE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3CEC"/>
    <w:rPr>
      <w:rFonts w:ascii="Tahoma" w:hAnsi="Tahoma" w:cs="Tahoma"/>
      <w:sz w:val="16"/>
      <w:szCs w:val="16"/>
    </w:rPr>
  </w:style>
  <w:style w:type="table" w:styleId="LightList-Accent2">
    <w:name w:val="Light List Accent 2"/>
    <w:basedOn w:val="TableNormal"/>
    <w:uiPriority w:val="61"/>
    <w:rsid w:val="00892D5B"/>
    <w:tblPr>
      <w:tblStyleRowBandSize w:val="1"/>
      <w:tblStyleColBandSize w:val="1"/>
      <w:tblInd w:w="0" w:type="dxa"/>
      <w:tblBorders>
        <w:top w:val="single" w:sz="8" w:space="0" w:color="134753" w:themeColor="accent2"/>
        <w:left w:val="single" w:sz="8" w:space="0" w:color="134753" w:themeColor="accent2"/>
        <w:bottom w:val="single" w:sz="8" w:space="0" w:color="134753" w:themeColor="accent2"/>
        <w:right w:val="single" w:sz="8" w:space="0" w:color="134753"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34753" w:themeFill="accent2"/>
      </w:tcPr>
    </w:tblStylePr>
    <w:tblStylePr w:type="lastRow">
      <w:pPr>
        <w:spacing w:before="0" w:after="0" w:line="240" w:lineRule="auto"/>
      </w:pPr>
      <w:rPr>
        <w:b/>
        <w:bCs/>
      </w:rPr>
      <w:tblPr/>
      <w:tcPr>
        <w:tcBorders>
          <w:top w:val="double" w:sz="6" w:space="0" w:color="134753" w:themeColor="accent2"/>
          <w:left w:val="single" w:sz="8" w:space="0" w:color="134753" w:themeColor="accent2"/>
          <w:bottom w:val="single" w:sz="8" w:space="0" w:color="134753" w:themeColor="accent2"/>
          <w:right w:val="single" w:sz="8" w:space="0" w:color="134753" w:themeColor="accent2"/>
        </w:tcBorders>
      </w:tcPr>
    </w:tblStylePr>
    <w:tblStylePr w:type="firstCol">
      <w:rPr>
        <w:b/>
        <w:bCs/>
      </w:rPr>
    </w:tblStylePr>
    <w:tblStylePr w:type="lastCol">
      <w:rPr>
        <w:b/>
        <w:bCs/>
      </w:rPr>
    </w:tblStylePr>
    <w:tblStylePr w:type="band1Vert">
      <w:tblPr/>
      <w:tcPr>
        <w:tcBorders>
          <w:top w:val="single" w:sz="8" w:space="0" w:color="134753" w:themeColor="accent2"/>
          <w:left w:val="single" w:sz="8" w:space="0" w:color="134753" w:themeColor="accent2"/>
          <w:bottom w:val="single" w:sz="8" w:space="0" w:color="134753" w:themeColor="accent2"/>
          <w:right w:val="single" w:sz="8" w:space="0" w:color="134753" w:themeColor="accent2"/>
        </w:tcBorders>
      </w:tcPr>
    </w:tblStylePr>
    <w:tblStylePr w:type="band1Horz">
      <w:tblPr/>
      <w:tcPr>
        <w:tcBorders>
          <w:top w:val="single" w:sz="8" w:space="0" w:color="134753" w:themeColor="accent2"/>
          <w:left w:val="single" w:sz="8" w:space="0" w:color="134753" w:themeColor="accent2"/>
          <w:bottom w:val="single" w:sz="8" w:space="0" w:color="134753" w:themeColor="accent2"/>
          <w:right w:val="single" w:sz="8" w:space="0" w:color="134753" w:themeColor="accent2"/>
        </w:tcBorders>
      </w:tcPr>
    </w:tblStylePr>
  </w:style>
  <w:style w:type="paragraph" w:styleId="HTMLPreformatted">
    <w:name w:val="HTML Preformatted"/>
    <w:basedOn w:val="Normal"/>
    <w:link w:val="HTMLPreformattedChar"/>
    <w:uiPriority w:val="99"/>
    <w:semiHidden/>
    <w:unhideWhenUsed/>
    <w:rsid w:val="0096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653F5"/>
    <w:rPr>
      <w:rFonts w:ascii="Courier New" w:eastAsia="Times New Roman" w:hAnsi="Courier New" w:cs="Courier New"/>
      <w:sz w:val="20"/>
      <w:szCs w:val="20"/>
      <w:lang w:val="ru-RU" w:eastAsia="ru-RU"/>
    </w:rPr>
  </w:style>
  <w:style w:type="character" w:styleId="PageNumber">
    <w:name w:val="page number"/>
    <w:basedOn w:val="DefaultParagraphFont"/>
    <w:uiPriority w:val="99"/>
    <w:semiHidden/>
    <w:unhideWhenUsed/>
    <w:rsid w:val="006477BB"/>
  </w:style>
  <w:style w:type="paragraph" w:customStyle="1" w:styleId="Text2">
    <w:name w:val="Text 2"/>
    <w:basedOn w:val="Normal"/>
    <w:rsid w:val="001B2490"/>
    <w:pPr>
      <w:tabs>
        <w:tab w:val="left" w:pos="2160"/>
      </w:tabs>
      <w:spacing w:after="240"/>
      <w:ind w:left="1077"/>
    </w:pPr>
    <w:rPr>
      <w:rFonts w:ascii="Times New Roman" w:eastAsia="Times New Roman" w:hAnsi="Times New Roman" w:cs="Times New Roman"/>
      <w:sz w:val="24"/>
      <w:szCs w:val="20"/>
      <w:lang w:val="en-GB"/>
    </w:rPr>
  </w:style>
  <w:style w:type="character" w:customStyle="1" w:styleId="UnresolvedMention1">
    <w:name w:val="Unresolved Mention1"/>
    <w:basedOn w:val="DefaultParagraphFont"/>
    <w:uiPriority w:val="99"/>
    <w:semiHidden/>
    <w:unhideWhenUsed/>
    <w:rsid w:val="00A613D4"/>
    <w:rPr>
      <w:color w:val="605E5C"/>
      <w:shd w:val="clear" w:color="auto" w:fill="E1DFDD"/>
    </w:rPr>
  </w:style>
  <w:style w:type="table" w:customStyle="1" w:styleId="TableGridLight2">
    <w:name w:val="Table Grid Light2"/>
    <w:basedOn w:val="TableNormal"/>
    <w:uiPriority w:val="40"/>
    <w:rsid w:val="002778B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2">
    <w:name w:val="Grid Table 1 Light2"/>
    <w:basedOn w:val="TableNormal"/>
    <w:uiPriority w:val="46"/>
    <w:rsid w:val="002778B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D0F46"/>
  </w:style>
  <w:style w:type="paragraph" w:customStyle="1" w:styleId="2">
    <w:name w:val="Обычный2"/>
    <w:rsid w:val="00876147"/>
    <w:rPr>
      <w:rFonts w:ascii="Calibri" w:eastAsia="Calibri" w:hAnsi="Calibri" w:cs="Calibri"/>
      <w:sz w:val="20"/>
      <w:szCs w:val="20"/>
      <w:lang w:val="en-US"/>
    </w:rPr>
  </w:style>
  <w:style w:type="paragraph" w:styleId="BodyText0">
    <w:name w:val="Body Text"/>
    <w:basedOn w:val="Normal"/>
    <w:link w:val="BodyTextChar"/>
    <w:uiPriority w:val="99"/>
    <w:unhideWhenUsed/>
    <w:rsid w:val="00876375"/>
  </w:style>
  <w:style w:type="character" w:customStyle="1" w:styleId="BodyTextChar">
    <w:name w:val="Body Text Char"/>
    <w:basedOn w:val="DefaultParagraphFont"/>
    <w:link w:val="BodyText0"/>
    <w:uiPriority w:val="99"/>
    <w:rsid w:val="00876375"/>
  </w:style>
  <w:style w:type="table" w:customStyle="1" w:styleId="GridTable4-Accent411">
    <w:name w:val="Grid Table 4 - Accent 411"/>
    <w:basedOn w:val="TableTheme"/>
    <w:uiPriority w:val="49"/>
    <w:rsid w:val="00876375"/>
    <w:pPr>
      <w:spacing w:after="60"/>
    </w:pPr>
    <w:rPr>
      <w:rFonts w:ascii="Calibri" w:hAnsi="Calibri" w:cs="Arial"/>
      <w:lang w:eastAsia="lt-LT"/>
    </w:rPr>
    <w:tblPr>
      <w:tblStyleRowBandSize w:val="1"/>
      <w:tblStyleColBandSize w:val="1"/>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0" w:type="dxa"/>
        <w:left w:w="108" w:type="dxa"/>
        <w:bottom w:w="0" w:type="dxa"/>
        <w:right w:w="108" w:type="dxa"/>
      </w:tblCellMar>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paragraph" w:customStyle="1" w:styleId="TableParagraph">
    <w:name w:val="Table Paragraph"/>
    <w:basedOn w:val="Normal"/>
    <w:uiPriority w:val="1"/>
    <w:qFormat/>
    <w:rsid w:val="004268D8"/>
    <w:pPr>
      <w:widowControl w:val="0"/>
      <w:spacing w:after="0"/>
      <w:jc w:val="left"/>
    </w:pPr>
    <w:rPr>
      <w:rFonts w:eastAsiaTheme="minorHAnsi" w:cstheme="minorBidi"/>
      <w:lang w:val="en-US"/>
    </w:rPr>
  </w:style>
  <w:style w:type="table" w:customStyle="1" w:styleId="GridTable4-Accent51">
    <w:name w:val="Grid Table 4 - Accent 51"/>
    <w:basedOn w:val="TableNormal"/>
    <w:uiPriority w:val="49"/>
    <w:rsid w:val="00172B05"/>
    <w:rPr>
      <w:rFonts w:eastAsiaTheme="minorHAnsi" w:cstheme="minorBidi"/>
      <w:lang w:val="en-US"/>
    </w:rPr>
    <w:tblPr>
      <w:tblStyleRowBandSize w:val="1"/>
      <w:tblStyleColBandSize w:val="1"/>
      <w:tblInd w:w="0" w:type="dxa"/>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BCD3A" w:themeColor="accent5"/>
          <w:left w:val="single" w:sz="4" w:space="0" w:color="ABCD3A" w:themeColor="accent5"/>
          <w:bottom w:val="single" w:sz="4" w:space="0" w:color="ABCD3A" w:themeColor="accent5"/>
          <w:right w:val="single" w:sz="4" w:space="0" w:color="ABCD3A" w:themeColor="accent5"/>
          <w:insideH w:val="nil"/>
          <w:insideV w:val="nil"/>
        </w:tcBorders>
        <w:shd w:val="clear" w:color="auto" w:fill="ABCD3A" w:themeFill="accent5"/>
      </w:tcPr>
    </w:tblStylePr>
    <w:tblStylePr w:type="lastRow">
      <w:rPr>
        <w:b/>
        <w:bCs/>
      </w:rPr>
      <w:tblPr/>
      <w:tcPr>
        <w:tcBorders>
          <w:top w:val="double" w:sz="4" w:space="0" w:color="ABCD3A" w:themeColor="accent5"/>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table" w:customStyle="1" w:styleId="GridTable6Colorful-Accent51">
    <w:name w:val="Grid Table 6 Colorful - Accent 51"/>
    <w:basedOn w:val="TableNormal"/>
    <w:uiPriority w:val="51"/>
    <w:rsid w:val="006B4831"/>
    <w:rPr>
      <w:rFonts w:eastAsiaTheme="minorHAnsi" w:cstheme="minorBidi"/>
      <w:color w:val="819C28" w:themeColor="accent5" w:themeShade="BF"/>
      <w:lang w:val="en-US"/>
    </w:rPr>
    <w:tblPr>
      <w:tblStyleRowBandSize w:val="1"/>
      <w:tblStyleColBandSize w:val="1"/>
      <w:tblInd w:w="0" w:type="dxa"/>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CellMar>
        <w:top w:w="0" w:type="dxa"/>
        <w:left w:w="108" w:type="dxa"/>
        <w:bottom w:w="0" w:type="dxa"/>
        <w:right w:w="108" w:type="dxa"/>
      </w:tblCellMar>
    </w:tblPr>
    <w:tblStylePr w:type="firstRow">
      <w:rPr>
        <w:b/>
        <w:bCs/>
      </w:rPr>
      <w:tblPr/>
      <w:tcPr>
        <w:tcBorders>
          <w:bottom w:val="single" w:sz="12" w:space="0" w:color="CCE188" w:themeColor="accent5" w:themeTint="99"/>
        </w:tcBorders>
      </w:tcPr>
    </w:tblStylePr>
    <w:tblStylePr w:type="lastRow">
      <w:rPr>
        <w:b/>
        <w:bCs/>
      </w:rPr>
      <w:tblPr/>
      <w:tcPr>
        <w:tcBorders>
          <w:top w:val="double" w:sz="4" w:space="0" w:color="CCE188" w:themeColor="accent5" w:themeTint="99"/>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character" w:customStyle="1" w:styleId="UnresolvedMention2">
    <w:name w:val="Unresolved Mention2"/>
    <w:basedOn w:val="DefaultParagraphFont"/>
    <w:uiPriority w:val="99"/>
    <w:semiHidden/>
    <w:unhideWhenUsed/>
    <w:rsid w:val="00490691"/>
    <w:rPr>
      <w:color w:val="605E5C"/>
      <w:shd w:val="clear" w:color="auto" w:fill="E1DFDD"/>
    </w:rPr>
  </w:style>
  <w:style w:type="paragraph" w:styleId="NoSpacing">
    <w:name w:val="No Spacing"/>
    <w:link w:val="NoSpacingChar"/>
    <w:uiPriority w:val="1"/>
    <w:qFormat/>
    <w:rsid w:val="001C729C"/>
    <w:rPr>
      <w:rFonts w:ascii="Calibri" w:eastAsia="Calibri" w:hAnsi="Calibri" w:cs="Tunga"/>
      <w:lang w:val="ro-RO"/>
    </w:rPr>
  </w:style>
  <w:style w:type="table" w:customStyle="1" w:styleId="-441">
    <w:name w:val="Таблица-сетка 4 — акцент 41"/>
    <w:basedOn w:val="TableTheme"/>
    <w:uiPriority w:val="49"/>
    <w:rsid w:val="00FA5419"/>
    <w:pPr>
      <w:spacing w:after="60"/>
    </w:pPr>
    <w:rPr>
      <w:rFonts w:ascii="Calibri" w:eastAsia="Calibri" w:hAnsi="Calibri" w:cs="Calibri"/>
      <w:lang w:val="ro-RO"/>
    </w:rPr>
    <w:tblPr>
      <w:tblStyleRowBandSize w:val="1"/>
      <w:tblStyleCol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aspnet-treeview-clickablenonlink">
    <w:name w:val="aspnet-treeview-clickablenonlink"/>
    <w:basedOn w:val="DefaultParagraphFont"/>
    <w:rsid w:val="00C4156D"/>
  </w:style>
  <w:style w:type="character" w:customStyle="1" w:styleId="NoSpacingChar">
    <w:name w:val="No Spacing Char"/>
    <w:basedOn w:val="DefaultParagraphFont"/>
    <w:link w:val="NoSpacing"/>
    <w:uiPriority w:val="1"/>
    <w:rsid w:val="00C742B2"/>
    <w:rPr>
      <w:rFonts w:ascii="Calibri" w:eastAsia="Calibri" w:hAnsi="Calibri" w:cs="Tunga"/>
      <w:lang w:val="ro-RO"/>
    </w:rPr>
  </w:style>
  <w:style w:type="character" w:customStyle="1" w:styleId="object">
    <w:name w:val="object"/>
    <w:rsid w:val="00C742B2"/>
  </w:style>
  <w:style w:type="paragraph" w:customStyle="1" w:styleId="1">
    <w:name w:val="Абзац списка1"/>
    <w:basedOn w:val="Normal"/>
    <w:uiPriority w:val="99"/>
    <w:rsid w:val="00C742B2"/>
    <w:pPr>
      <w:suppressAutoHyphens/>
      <w:spacing w:after="200" w:line="276" w:lineRule="auto"/>
      <w:ind w:left="720"/>
      <w:jc w:val="left"/>
    </w:pPr>
    <w:rPr>
      <w:rFonts w:ascii="Calibri" w:hAnsi="Calibri" w:cs="Times New Roman"/>
      <w:lang w:val="en-US" w:eastAsia="ar-SA"/>
    </w:rPr>
  </w:style>
  <w:style w:type="numbering" w:customStyle="1" w:styleId="Style11">
    <w:name w:val="Style11"/>
    <w:uiPriority w:val="99"/>
    <w:rsid w:val="00C742B2"/>
  </w:style>
  <w:style w:type="table" w:customStyle="1" w:styleId="10">
    <w:name w:val="Сетка таблицы1"/>
    <w:basedOn w:val="TableNormal"/>
    <w:next w:val="TableGrid"/>
    <w:uiPriority w:val="59"/>
    <w:rsid w:val="0093644E"/>
    <w:pPr>
      <w:spacing w:after="120"/>
      <w:jc w:val="both"/>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072FA"/>
    <w:pPr>
      <w:spacing w:after="0"/>
    </w:pPr>
    <w:rPr>
      <w:sz w:val="20"/>
      <w:szCs w:val="20"/>
    </w:rPr>
  </w:style>
  <w:style w:type="character" w:customStyle="1" w:styleId="EndnoteTextChar">
    <w:name w:val="Endnote Text Char"/>
    <w:basedOn w:val="DefaultParagraphFont"/>
    <w:link w:val="EndnoteText"/>
    <w:uiPriority w:val="99"/>
    <w:semiHidden/>
    <w:rsid w:val="00F072FA"/>
    <w:rPr>
      <w:sz w:val="20"/>
      <w:szCs w:val="20"/>
    </w:rPr>
  </w:style>
  <w:style w:type="character" w:styleId="EndnoteReference">
    <w:name w:val="endnote reference"/>
    <w:basedOn w:val="DefaultParagraphFont"/>
    <w:uiPriority w:val="99"/>
    <w:semiHidden/>
    <w:unhideWhenUsed/>
    <w:rsid w:val="00F07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050">
      <w:bodyDiv w:val="1"/>
      <w:marLeft w:val="0"/>
      <w:marRight w:val="0"/>
      <w:marTop w:val="0"/>
      <w:marBottom w:val="0"/>
      <w:divBdr>
        <w:top w:val="none" w:sz="0" w:space="0" w:color="auto"/>
        <w:left w:val="none" w:sz="0" w:space="0" w:color="auto"/>
        <w:bottom w:val="none" w:sz="0" w:space="0" w:color="auto"/>
        <w:right w:val="none" w:sz="0" w:space="0" w:color="auto"/>
      </w:divBdr>
    </w:div>
    <w:div w:id="25982657">
      <w:bodyDiv w:val="1"/>
      <w:marLeft w:val="0"/>
      <w:marRight w:val="0"/>
      <w:marTop w:val="0"/>
      <w:marBottom w:val="0"/>
      <w:divBdr>
        <w:top w:val="none" w:sz="0" w:space="0" w:color="auto"/>
        <w:left w:val="none" w:sz="0" w:space="0" w:color="auto"/>
        <w:bottom w:val="none" w:sz="0" w:space="0" w:color="auto"/>
        <w:right w:val="none" w:sz="0" w:space="0" w:color="auto"/>
      </w:divBdr>
    </w:div>
    <w:div w:id="36514610">
      <w:bodyDiv w:val="1"/>
      <w:marLeft w:val="0"/>
      <w:marRight w:val="0"/>
      <w:marTop w:val="0"/>
      <w:marBottom w:val="0"/>
      <w:divBdr>
        <w:top w:val="none" w:sz="0" w:space="0" w:color="auto"/>
        <w:left w:val="none" w:sz="0" w:space="0" w:color="auto"/>
        <w:bottom w:val="none" w:sz="0" w:space="0" w:color="auto"/>
        <w:right w:val="none" w:sz="0" w:space="0" w:color="auto"/>
      </w:divBdr>
    </w:div>
    <w:div w:id="37242155">
      <w:bodyDiv w:val="1"/>
      <w:marLeft w:val="0"/>
      <w:marRight w:val="0"/>
      <w:marTop w:val="0"/>
      <w:marBottom w:val="0"/>
      <w:divBdr>
        <w:top w:val="none" w:sz="0" w:space="0" w:color="auto"/>
        <w:left w:val="none" w:sz="0" w:space="0" w:color="auto"/>
        <w:bottom w:val="none" w:sz="0" w:space="0" w:color="auto"/>
        <w:right w:val="none" w:sz="0" w:space="0" w:color="auto"/>
      </w:divBdr>
    </w:div>
    <w:div w:id="53704110">
      <w:bodyDiv w:val="1"/>
      <w:marLeft w:val="0"/>
      <w:marRight w:val="0"/>
      <w:marTop w:val="0"/>
      <w:marBottom w:val="0"/>
      <w:divBdr>
        <w:top w:val="none" w:sz="0" w:space="0" w:color="auto"/>
        <w:left w:val="none" w:sz="0" w:space="0" w:color="auto"/>
        <w:bottom w:val="none" w:sz="0" w:space="0" w:color="auto"/>
        <w:right w:val="none" w:sz="0" w:space="0" w:color="auto"/>
      </w:divBdr>
    </w:div>
    <w:div w:id="62266780">
      <w:bodyDiv w:val="1"/>
      <w:marLeft w:val="0"/>
      <w:marRight w:val="0"/>
      <w:marTop w:val="0"/>
      <w:marBottom w:val="0"/>
      <w:divBdr>
        <w:top w:val="none" w:sz="0" w:space="0" w:color="auto"/>
        <w:left w:val="none" w:sz="0" w:space="0" w:color="auto"/>
        <w:bottom w:val="none" w:sz="0" w:space="0" w:color="auto"/>
        <w:right w:val="none" w:sz="0" w:space="0" w:color="auto"/>
      </w:divBdr>
    </w:div>
    <w:div w:id="85660712">
      <w:bodyDiv w:val="1"/>
      <w:marLeft w:val="0"/>
      <w:marRight w:val="0"/>
      <w:marTop w:val="0"/>
      <w:marBottom w:val="0"/>
      <w:divBdr>
        <w:top w:val="none" w:sz="0" w:space="0" w:color="auto"/>
        <w:left w:val="none" w:sz="0" w:space="0" w:color="auto"/>
        <w:bottom w:val="none" w:sz="0" w:space="0" w:color="auto"/>
        <w:right w:val="none" w:sz="0" w:space="0" w:color="auto"/>
      </w:divBdr>
    </w:div>
    <w:div w:id="87433128">
      <w:bodyDiv w:val="1"/>
      <w:marLeft w:val="0"/>
      <w:marRight w:val="0"/>
      <w:marTop w:val="0"/>
      <w:marBottom w:val="0"/>
      <w:divBdr>
        <w:top w:val="none" w:sz="0" w:space="0" w:color="auto"/>
        <w:left w:val="none" w:sz="0" w:space="0" w:color="auto"/>
        <w:bottom w:val="none" w:sz="0" w:space="0" w:color="auto"/>
        <w:right w:val="none" w:sz="0" w:space="0" w:color="auto"/>
      </w:divBdr>
    </w:div>
    <w:div w:id="102195607">
      <w:bodyDiv w:val="1"/>
      <w:marLeft w:val="0"/>
      <w:marRight w:val="0"/>
      <w:marTop w:val="0"/>
      <w:marBottom w:val="0"/>
      <w:divBdr>
        <w:top w:val="none" w:sz="0" w:space="0" w:color="auto"/>
        <w:left w:val="none" w:sz="0" w:space="0" w:color="auto"/>
        <w:bottom w:val="none" w:sz="0" w:space="0" w:color="auto"/>
        <w:right w:val="none" w:sz="0" w:space="0" w:color="auto"/>
      </w:divBdr>
      <w:divsChild>
        <w:div w:id="1541475456">
          <w:marLeft w:val="547"/>
          <w:marRight w:val="0"/>
          <w:marTop w:val="0"/>
          <w:marBottom w:val="0"/>
          <w:divBdr>
            <w:top w:val="none" w:sz="0" w:space="0" w:color="auto"/>
            <w:left w:val="none" w:sz="0" w:space="0" w:color="auto"/>
            <w:bottom w:val="none" w:sz="0" w:space="0" w:color="auto"/>
            <w:right w:val="none" w:sz="0" w:space="0" w:color="auto"/>
          </w:divBdr>
        </w:div>
      </w:divsChild>
    </w:div>
    <w:div w:id="104430152">
      <w:bodyDiv w:val="1"/>
      <w:marLeft w:val="0"/>
      <w:marRight w:val="0"/>
      <w:marTop w:val="0"/>
      <w:marBottom w:val="0"/>
      <w:divBdr>
        <w:top w:val="none" w:sz="0" w:space="0" w:color="auto"/>
        <w:left w:val="none" w:sz="0" w:space="0" w:color="auto"/>
        <w:bottom w:val="none" w:sz="0" w:space="0" w:color="auto"/>
        <w:right w:val="none" w:sz="0" w:space="0" w:color="auto"/>
      </w:divBdr>
    </w:div>
    <w:div w:id="108361177">
      <w:bodyDiv w:val="1"/>
      <w:marLeft w:val="0"/>
      <w:marRight w:val="0"/>
      <w:marTop w:val="0"/>
      <w:marBottom w:val="0"/>
      <w:divBdr>
        <w:top w:val="none" w:sz="0" w:space="0" w:color="auto"/>
        <w:left w:val="none" w:sz="0" w:space="0" w:color="auto"/>
        <w:bottom w:val="none" w:sz="0" w:space="0" w:color="auto"/>
        <w:right w:val="none" w:sz="0" w:space="0" w:color="auto"/>
      </w:divBdr>
    </w:div>
    <w:div w:id="118574729">
      <w:bodyDiv w:val="1"/>
      <w:marLeft w:val="0"/>
      <w:marRight w:val="0"/>
      <w:marTop w:val="0"/>
      <w:marBottom w:val="0"/>
      <w:divBdr>
        <w:top w:val="none" w:sz="0" w:space="0" w:color="auto"/>
        <w:left w:val="none" w:sz="0" w:space="0" w:color="auto"/>
        <w:bottom w:val="none" w:sz="0" w:space="0" w:color="auto"/>
        <w:right w:val="none" w:sz="0" w:space="0" w:color="auto"/>
      </w:divBdr>
    </w:div>
    <w:div w:id="122387420">
      <w:bodyDiv w:val="1"/>
      <w:marLeft w:val="0"/>
      <w:marRight w:val="0"/>
      <w:marTop w:val="0"/>
      <w:marBottom w:val="0"/>
      <w:divBdr>
        <w:top w:val="none" w:sz="0" w:space="0" w:color="auto"/>
        <w:left w:val="none" w:sz="0" w:space="0" w:color="auto"/>
        <w:bottom w:val="none" w:sz="0" w:space="0" w:color="auto"/>
        <w:right w:val="none" w:sz="0" w:space="0" w:color="auto"/>
      </w:divBdr>
    </w:div>
    <w:div w:id="126506829">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sChild>
        <w:div w:id="607004576">
          <w:marLeft w:val="446"/>
          <w:marRight w:val="0"/>
          <w:marTop w:val="0"/>
          <w:marBottom w:val="0"/>
          <w:divBdr>
            <w:top w:val="none" w:sz="0" w:space="0" w:color="auto"/>
            <w:left w:val="none" w:sz="0" w:space="0" w:color="auto"/>
            <w:bottom w:val="none" w:sz="0" w:space="0" w:color="auto"/>
            <w:right w:val="none" w:sz="0" w:space="0" w:color="auto"/>
          </w:divBdr>
        </w:div>
        <w:div w:id="992490549">
          <w:marLeft w:val="446"/>
          <w:marRight w:val="0"/>
          <w:marTop w:val="0"/>
          <w:marBottom w:val="0"/>
          <w:divBdr>
            <w:top w:val="none" w:sz="0" w:space="0" w:color="auto"/>
            <w:left w:val="none" w:sz="0" w:space="0" w:color="auto"/>
            <w:bottom w:val="none" w:sz="0" w:space="0" w:color="auto"/>
            <w:right w:val="none" w:sz="0" w:space="0" w:color="auto"/>
          </w:divBdr>
        </w:div>
        <w:div w:id="1264151576">
          <w:marLeft w:val="446"/>
          <w:marRight w:val="0"/>
          <w:marTop w:val="0"/>
          <w:marBottom w:val="0"/>
          <w:divBdr>
            <w:top w:val="none" w:sz="0" w:space="0" w:color="auto"/>
            <w:left w:val="none" w:sz="0" w:space="0" w:color="auto"/>
            <w:bottom w:val="none" w:sz="0" w:space="0" w:color="auto"/>
            <w:right w:val="none" w:sz="0" w:space="0" w:color="auto"/>
          </w:divBdr>
        </w:div>
        <w:div w:id="1842817997">
          <w:marLeft w:val="446"/>
          <w:marRight w:val="0"/>
          <w:marTop w:val="0"/>
          <w:marBottom w:val="0"/>
          <w:divBdr>
            <w:top w:val="none" w:sz="0" w:space="0" w:color="auto"/>
            <w:left w:val="none" w:sz="0" w:space="0" w:color="auto"/>
            <w:bottom w:val="none" w:sz="0" w:space="0" w:color="auto"/>
            <w:right w:val="none" w:sz="0" w:space="0" w:color="auto"/>
          </w:divBdr>
        </w:div>
      </w:divsChild>
    </w:div>
    <w:div w:id="138620171">
      <w:bodyDiv w:val="1"/>
      <w:marLeft w:val="0"/>
      <w:marRight w:val="0"/>
      <w:marTop w:val="0"/>
      <w:marBottom w:val="0"/>
      <w:divBdr>
        <w:top w:val="none" w:sz="0" w:space="0" w:color="auto"/>
        <w:left w:val="none" w:sz="0" w:space="0" w:color="auto"/>
        <w:bottom w:val="none" w:sz="0" w:space="0" w:color="auto"/>
        <w:right w:val="none" w:sz="0" w:space="0" w:color="auto"/>
      </w:divBdr>
    </w:div>
    <w:div w:id="155072480">
      <w:bodyDiv w:val="1"/>
      <w:marLeft w:val="0"/>
      <w:marRight w:val="0"/>
      <w:marTop w:val="0"/>
      <w:marBottom w:val="0"/>
      <w:divBdr>
        <w:top w:val="none" w:sz="0" w:space="0" w:color="auto"/>
        <w:left w:val="none" w:sz="0" w:space="0" w:color="auto"/>
        <w:bottom w:val="none" w:sz="0" w:space="0" w:color="auto"/>
        <w:right w:val="none" w:sz="0" w:space="0" w:color="auto"/>
      </w:divBdr>
    </w:div>
    <w:div w:id="194661900">
      <w:bodyDiv w:val="1"/>
      <w:marLeft w:val="0"/>
      <w:marRight w:val="0"/>
      <w:marTop w:val="0"/>
      <w:marBottom w:val="0"/>
      <w:divBdr>
        <w:top w:val="none" w:sz="0" w:space="0" w:color="auto"/>
        <w:left w:val="none" w:sz="0" w:space="0" w:color="auto"/>
        <w:bottom w:val="none" w:sz="0" w:space="0" w:color="auto"/>
        <w:right w:val="none" w:sz="0" w:space="0" w:color="auto"/>
      </w:divBdr>
      <w:divsChild>
        <w:div w:id="769936056">
          <w:marLeft w:val="0"/>
          <w:marRight w:val="0"/>
          <w:marTop w:val="0"/>
          <w:marBottom w:val="0"/>
          <w:divBdr>
            <w:top w:val="none" w:sz="0" w:space="0" w:color="auto"/>
            <w:left w:val="none" w:sz="0" w:space="0" w:color="auto"/>
            <w:bottom w:val="none" w:sz="0" w:space="0" w:color="auto"/>
            <w:right w:val="none" w:sz="0" w:space="0" w:color="auto"/>
          </w:divBdr>
          <w:divsChild>
            <w:div w:id="130830796">
              <w:marLeft w:val="0"/>
              <w:marRight w:val="0"/>
              <w:marTop w:val="0"/>
              <w:marBottom w:val="0"/>
              <w:divBdr>
                <w:top w:val="none" w:sz="0" w:space="0" w:color="auto"/>
                <w:left w:val="none" w:sz="0" w:space="0" w:color="auto"/>
                <w:bottom w:val="none" w:sz="0" w:space="0" w:color="auto"/>
                <w:right w:val="none" w:sz="0" w:space="0" w:color="auto"/>
              </w:divBdr>
              <w:divsChild>
                <w:div w:id="405223398">
                  <w:marLeft w:val="0"/>
                  <w:marRight w:val="0"/>
                  <w:marTop w:val="0"/>
                  <w:marBottom w:val="0"/>
                  <w:divBdr>
                    <w:top w:val="none" w:sz="0" w:space="0" w:color="auto"/>
                    <w:left w:val="none" w:sz="0" w:space="0" w:color="auto"/>
                    <w:bottom w:val="none" w:sz="0" w:space="0" w:color="auto"/>
                    <w:right w:val="none" w:sz="0" w:space="0" w:color="auto"/>
                  </w:divBdr>
                  <w:divsChild>
                    <w:div w:id="15678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6455">
      <w:bodyDiv w:val="1"/>
      <w:marLeft w:val="0"/>
      <w:marRight w:val="0"/>
      <w:marTop w:val="0"/>
      <w:marBottom w:val="0"/>
      <w:divBdr>
        <w:top w:val="none" w:sz="0" w:space="0" w:color="auto"/>
        <w:left w:val="none" w:sz="0" w:space="0" w:color="auto"/>
        <w:bottom w:val="none" w:sz="0" w:space="0" w:color="auto"/>
        <w:right w:val="none" w:sz="0" w:space="0" w:color="auto"/>
      </w:divBdr>
    </w:div>
    <w:div w:id="269823760">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09285666">
      <w:bodyDiv w:val="1"/>
      <w:marLeft w:val="0"/>
      <w:marRight w:val="0"/>
      <w:marTop w:val="0"/>
      <w:marBottom w:val="0"/>
      <w:divBdr>
        <w:top w:val="none" w:sz="0" w:space="0" w:color="auto"/>
        <w:left w:val="none" w:sz="0" w:space="0" w:color="auto"/>
        <w:bottom w:val="none" w:sz="0" w:space="0" w:color="auto"/>
        <w:right w:val="none" w:sz="0" w:space="0" w:color="auto"/>
      </w:divBdr>
    </w:div>
    <w:div w:id="313878353">
      <w:bodyDiv w:val="1"/>
      <w:marLeft w:val="0"/>
      <w:marRight w:val="0"/>
      <w:marTop w:val="0"/>
      <w:marBottom w:val="0"/>
      <w:divBdr>
        <w:top w:val="none" w:sz="0" w:space="0" w:color="auto"/>
        <w:left w:val="none" w:sz="0" w:space="0" w:color="auto"/>
        <w:bottom w:val="none" w:sz="0" w:space="0" w:color="auto"/>
        <w:right w:val="none" w:sz="0" w:space="0" w:color="auto"/>
      </w:divBdr>
    </w:div>
    <w:div w:id="330183449">
      <w:bodyDiv w:val="1"/>
      <w:marLeft w:val="0"/>
      <w:marRight w:val="0"/>
      <w:marTop w:val="0"/>
      <w:marBottom w:val="0"/>
      <w:divBdr>
        <w:top w:val="none" w:sz="0" w:space="0" w:color="auto"/>
        <w:left w:val="none" w:sz="0" w:space="0" w:color="auto"/>
        <w:bottom w:val="none" w:sz="0" w:space="0" w:color="auto"/>
        <w:right w:val="none" w:sz="0" w:space="0" w:color="auto"/>
      </w:divBdr>
    </w:div>
    <w:div w:id="338194525">
      <w:bodyDiv w:val="1"/>
      <w:marLeft w:val="0"/>
      <w:marRight w:val="0"/>
      <w:marTop w:val="0"/>
      <w:marBottom w:val="0"/>
      <w:divBdr>
        <w:top w:val="none" w:sz="0" w:space="0" w:color="auto"/>
        <w:left w:val="none" w:sz="0" w:space="0" w:color="auto"/>
        <w:bottom w:val="none" w:sz="0" w:space="0" w:color="auto"/>
        <w:right w:val="none" w:sz="0" w:space="0" w:color="auto"/>
      </w:divBdr>
      <w:divsChild>
        <w:div w:id="517937938">
          <w:marLeft w:val="446"/>
          <w:marRight w:val="0"/>
          <w:marTop w:val="0"/>
          <w:marBottom w:val="120"/>
          <w:divBdr>
            <w:top w:val="none" w:sz="0" w:space="0" w:color="auto"/>
            <w:left w:val="none" w:sz="0" w:space="0" w:color="auto"/>
            <w:bottom w:val="none" w:sz="0" w:space="0" w:color="auto"/>
            <w:right w:val="none" w:sz="0" w:space="0" w:color="auto"/>
          </w:divBdr>
        </w:div>
      </w:divsChild>
    </w:div>
    <w:div w:id="372734998">
      <w:bodyDiv w:val="1"/>
      <w:marLeft w:val="0"/>
      <w:marRight w:val="0"/>
      <w:marTop w:val="0"/>
      <w:marBottom w:val="0"/>
      <w:divBdr>
        <w:top w:val="none" w:sz="0" w:space="0" w:color="auto"/>
        <w:left w:val="none" w:sz="0" w:space="0" w:color="auto"/>
        <w:bottom w:val="none" w:sz="0" w:space="0" w:color="auto"/>
        <w:right w:val="none" w:sz="0" w:space="0" w:color="auto"/>
      </w:divBdr>
      <w:divsChild>
        <w:div w:id="61830313">
          <w:marLeft w:val="547"/>
          <w:marRight w:val="0"/>
          <w:marTop w:val="0"/>
          <w:marBottom w:val="0"/>
          <w:divBdr>
            <w:top w:val="none" w:sz="0" w:space="0" w:color="auto"/>
            <w:left w:val="none" w:sz="0" w:space="0" w:color="auto"/>
            <w:bottom w:val="none" w:sz="0" w:space="0" w:color="auto"/>
            <w:right w:val="none" w:sz="0" w:space="0" w:color="auto"/>
          </w:divBdr>
        </w:div>
      </w:divsChild>
    </w:div>
    <w:div w:id="385954542">
      <w:bodyDiv w:val="1"/>
      <w:marLeft w:val="0"/>
      <w:marRight w:val="0"/>
      <w:marTop w:val="0"/>
      <w:marBottom w:val="0"/>
      <w:divBdr>
        <w:top w:val="none" w:sz="0" w:space="0" w:color="auto"/>
        <w:left w:val="none" w:sz="0" w:space="0" w:color="auto"/>
        <w:bottom w:val="none" w:sz="0" w:space="0" w:color="auto"/>
        <w:right w:val="none" w:sz="0" w:space="0" w:color="auto"/>
      </w:divBdr>
    </w:div>
    <w:div w:id="434638583">
      <w:bodyDiv w:val="1"/>
      <w:marLeft w:val="0"/>
      <w:marRight w:val="0"/>
      <w:marTop w:val="0"/>
      <w:marBottom w:val="0"/>
      <w:divBdr>
        <w:top w:val="none" w:sz="0" w:space="0" w:color="auto"/>
        <w:left w:val="none" w:sz="0" w:space="0" w:color="auto"/>
        <w:bottom w:val="none" w:sz="0" w:space="0" w:color="auto"/>
        <w:right w:val="none" w:sz="0" w:space="0" w:color="auto"/>
      </w:divBdr>
    </w:div>
    <w:div w:id="445127314">
      <w:bodyDiv w:val="1"/>
      <w:marLeft w:val="0"/>
      <w:marRight w:val="0"/>
      <w:marTop w:val="0"/>
      <w:marBottom w:val="0"/>
      <w:divBdr>
        <w:top w:val="none" w:sz="0" w:space="0" w:color="auto"/>
        <w:left w:val="none" w:sz="0" w:space="0" w:color="auto"/>
        <w:bottom w:val="none" w:sz="0" w:space="0" w:color="auto"/>
        <w:right w:val="none" w:sz="0" w:space="0" w:color="auto"/>
      </w:divBdr>
    </w:div>
    <w:div w:id="464852595">
      <w:bodyDiv w:val="1"/>
      <w:marLeft w:val="0"/>
      <w:marRight w:val="0"/>
      <w:marTop w:val="0"/>
      <w:marBottom w:val="0"/>
      <w:divBdr>
        <w:top w:val="none" w:sz="0" w:space="0" w:color="auto"/>
        <w:left w:val="none" w:sz="0" w:space="0" w:color="auto"/>
        <w:bottom w:val="none" w:sz="0" w:space="0" w:color="auto"/>
        <w:right w:val="none" w:sz="0" w:space="0" w:color="auto"/>
      </w:divBdr>
      <w:divsChild>
        <w:div w:id="96367118">
          <w:marLeft w:val="446"/>
          <w:marRight w:val="0"/>
          <w:marTop w:val="0"/>
          <w:marBottom w:val="0"/>
          <w:divBdr>
            <w:top w:val="none" w:sz="0" w:space="0" w:color="auto"/>
            <w:left w:val="none" w:sz="0" w:space="0" w:color="auto"/>
            <w:bottom w:val="none" w:sz="0" w:space="0" w:color="auto"/>
            <w:right w:val="none" w:sz="0" w:space="0" w:color="auto"/>
          </w:divBdr>
        </w:div>
        <w:div w:id="1022631564">
          <w:marLeft w:val="446"/>
          <w:marRight w:val="0"/>
          <w:marTop w:val="0"/>
          <w:marBottom w:val="0"/>
          <w:divBdr>
            <w:top w:val="none" w:sz="0" w:space="0" w:color="auto"/>
            <w:left w:val="none" w:sz="0" w:space="0" w:color="auto"/>
            <w:bottom w:val="none" w:sz="0" w:space="0" w:color="auto"/>
            <w:right w:val="none" w:sz="0" w:space="0" w:color="auto"/>
          </w:divBdr>
        </w:div>
      </w:divsChild>
    </w:div>
    <w:div w:id="480780400">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20169354">
      <w:bodyDiv w:val="1"/>
      <w:marLeft w:val="0"/>
      <w:marRight w:val="0"/>
      <w:marTop w:val="0"/>
      <w:marBottom w:val="0"/>
      <w:divBdr>
        <w:top w:val="none" w:sz="0" w:space="0" w:color="auto"/>
        <w:left w:val="none" w:sz="0" w:space="0" w:color="auto"/>
        <w:bottom w:val="none" w:sz="0" w:space="0" w:color="auto"/>
        <w:right w:val="none" w:sz="0" w:space="0" w:color="auto"/>
      </w:divBdr>
    </w:div>
    <w:div w:id="544755262">
      <w:bodyDiv w:val="1"/>
      <w:marLeft w:val="0"/>
      <w:marRight w:val="0"/>
      <w:marTop w:val="0"/>
      <w:marBottom w:val="0"/>
      <w:divBdr>
        <w:top w:val="none" w:sz="0" w:space="0" w:color="auto"/>
        <w:left w:val="none" w:sz="0" w:space="0" w:color="auto"/>
        <w:bottom w:val="none" w:sz="0" w:space="0" w:color="auto"/>
        <w:right w:val="none" w:sz="0" w:space="0" w:color="auto"/>
      </w:divBdr>
    </w:div>
    <w:div w:id="556403639">
      <w:bodyDiv w:val="1"/>
      <w:marLeft w:val="0"/>
      <w:marRight w:val="0"/>
      <w:marTop w:val="0"/>
      <w:marBottom w:val="0"/>
      <w:divBdr>
        <w:top w:val="none" w:sz="0" w:space="0" w:color="auto"/>
        <w:left w:val="none" w:sz="0" w:space="0" w:color="auto"/>
        <w:bottom w:val="none" w:sz="0" w:space="0" w:color="auto"/>
        <w:right w:val="none" w:sz="0" w:space="0" w:color="auto"/>
      </w:divBdr>
    </w:div>
    <w:div w:id="591935016">
      <w:bodyDiv w:val="1"/>
      <w:marLeft w:val="0"/>
      <w:marRight w:val="0"/>
      <w:marTop w:val="0"/>
      <w:marBottom w:val="0"/>
      <w:divBdr>
        <w:top w:val="none" w:sz="0" w:space="0" w:color="auto"/>
        <w:left w:val="none" w:sz="0" w:space="0" w:color="auto"/>
        <w:bottom w:val="none" w:sz="0" w:space="0" w:color="auto"/>
        <w:right w:val="none" w:sz="0" w:space="0" w:color="auto"/>
      </w:divBdr>
      <w:divsChild>
        <w:div w:id="1798982702">
          <w:marLeft w:val="0"/>
          <w:marRight w:val="0"/>
          <w:marTop w:val="0"/>
          <w:marBottom w:val="0"/>
          <w:divBdr>
            <w:top w:val="none" w:sz="0" w:space="0" w:color="auto"/>
            <w:left w:val="none" w:sz="0" w:space="0" w:color="auto"/>
            <w:bottom w:val="none" w:sz="0" w:space="0" w:color="auto"/>
            <w:right w:val="none" w:sz="0" w:space="0" w:color="auto"/>
          </w:divBdr>
          <w:divsChild>
            <w:div w:id="1290086652">
              <w:marLeft w:val="0"/>
              <w:marRight w:val="0"/>
              <w:marTop w:val="0"/>
              <w:marBottom w:val="0"/>
              <w:divBdr>
                <w:top w:val="none" w:sz="0" w:space="0" w:color="auto"/>
                <w:left w:val="none" w:sz="0" w:space="0" w:color="auto"/>
                <w:bottom w:val="none" w:sz="0" w:space="0" w:color="auto"/>
                <w:right w:val="none" w:sz="0" w:space="0" w:color="auto"/>
              </w:divBdr>
              <w:divsChild>
                <w:div w:id="16597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49282">
      <w:bodyDiv w:val="1"/>
      <w:marLeft w:val="0"/>
      <w:marRight w:val="0"/>
      <w:marTop w:val="0"/>
      <w:marBottom w:val="0"/>
      <w:divBdr>
        <w:top w:val="none" w:sz="0" w:space="0" w:color="auto"/>
        <w:left w:val="none" w:sz="0" w:space="0" w:color="auto"/>
        <w:bottom w:val="none" w:sz="0" w:space="0" w:color="auto"/>
        <w:right w:val="none" w:sz="0" w:space="0" w:color="auto"/>
      </w:divBdr>
    </w:div>
    <w:div w:id="645932708">
      <w:bodyDiv w:val="1"/>
      <w:marLeft w:val="0"/>
      <w:marRight w:val="0"/>
      <w:marTop w:val="0"/>
      <w:marBottom w:val="0"/>
      <w:divBdr>
        <w:top w:val="none" w:sz="0" w:space="0" w:color="auto"/>
        <w:left w:val="none" w:sz="0" w:space="0" w:color="auto"/>
        <w:bottom w:val="none" w:sz="0" w:space="0" w:color="auto"/>
        <w:right w:val="none" w:sz="0" w:space="0" w:color="auto"/>
      </w:divBdr>
      <w:divsChild>
        <w:div w:id="129594815">
          <w:marLeft w:val="0"/>
          <w:marRight w:val="0"/>
          <w:marTop w:val="0"/>
          <w:marBottom w:val="0"/>
          <w:divBdr>
            <w:top w:val="none" w:sz="0" w:space="0" w:color="auto"/>
            <w:left w:val="none" w:sz="0" w:space="0" w:color="auto"/>
            <w:bottom w:val="none" w:sz="0" w:space="0" w:color="auto"/>
            <w:right w:val="none" w:sz="0" w:space="0" w:color="auto"/>
          </w:divBdr>
        </w:div>
      </w:divsChild>
    </w:div>
    <w:div w:id="665674733">
      <w:bodyDiv w:val="1"/>
      <w:marLeft w:val="0"/>
      <w:marRight w:val="0"/>
      <w:marTop w:val="0"/>
      <w:marBottom w:val="0"/>
      <w:divBdr>
        <w:top w:val="none" w:sz="0" w:space="0" w:color="auto"/>
        <w:left w:val="none" w:sz="0" w:space="0" w:color="auto"/>
        <w:bottom w:val="none" w:sz="0" w:space="0" w:color="auto"/>
        <w:right w:val="none" w:sz="0" w:space="0" w:color="auto"/>
      </w:divBdr>
      <w:divsChild>
        <w:div w:id="11616391">
          <w:marLeft w:val="446"/>
          <w:marRight w:val="0"/>
          <w:marTop w:val="0"/>
          <w:marBottom w:val="0"/>
          <w:divBdr>
            <w:top w:val="none" w:sz="0" w:space="0" w:color="auto"/>
            <w:left w:val="none" w:sz="0" w:space="0" w:color="auto"/>
            <w:bottom w:val="none" w:sz="0" w:space="0" w:color="auto"/>
            <w:right w:val="none" w:sz="0" w:space="0" w:color="auto"/>
          </w:divBdr>
        </w:div>
      </w:divsChild>
    </w:div>
    <w:div w:id="675036405">
      <w:bodyDiv w:val="1"/>
      <w:marLeft w:val="0"/>
      <w:marRight w:val="0"/>
      <w:marTop w:val="0"/>
      <w:marBottom w:val="0"/>
      <w:divBdr>
        <w:top w:val="none" w:sz="0" w:space="0" w:color="auto"/>
        <w:left w:val="none" w:sz="0" w:space="0" w:color="auto"/>
        <w:bottom w:val="none" w:sz="0" w:space="0" w:color="auto"/>
        <w:right w:val="none" w:sz="0" w:space="0" w:color="auto"/>
      </w:divBdr>
    </w:div>
    <w:div w:id="676999302">
      <w:bodyDiv w:val="1"/>
      <w:marLeft w:val="0"/>
      <w:marRight w:val="0"/>
      <w:marTop w:val="0"/>
      <w:marBottom w:val="0"/>
      <w:divBdr>
        <w:top w:val="none" w:sz="0" w:space="0" w:color="auto"/>
        <w:left w:val="none" w:sz="0" w:space="0" w:color="auto"/>
        <w:bottom w:val="none" w:sz="0" w:space="0" w:color="auto"/>
        <w:right w:val="none" w:sz="0" w:space="0" w:color="auto"/>
      </w:divBdr>
    </w:div>
    <w:div w:id="684139233">
      <w:bodyDiv w:val="1"/>
      <w:marLeft w:val="0"/>
      <w:marRight w:val="0"/>
      <w:marTop w:val="0"/>
      <w:marBottom w:val="0"/>
      <w:divBdr>
        <w:top w:val="none" w:sz="0" w:space="0" w:color="auto"/>
        <w:left w:val="none" w:sz="0" w:space="0" w:color="auto"/>
        <w:bottom w:val="none" w:sz="0" w:space="0" w:color="auto"/>
        <w:right w:val="none" w:sz="0" w:space="0" w:color="auto"/>
      </w:divBdr>
    </w:div>
    <w:div w:id="692026912">
      <w:bodyDiv w:val="1"/>
      <w:marLeft w:val="0"/>
      <w:marRight w:val="0"/>
      <w:marTop w:val="0"/>
      <w:marBottom w:val="0"/>
      <w:divBdr>
        <w:top w:val="none" w:sz="0" w:space="0" w:color="auto"/>
        <w:left w:val="none" w:sz="0" w:space="0" w:color="auto"/>
        <w:bottom w:val="none" w:sz="0" w:space="0" w:color="auto"/>
        <w:right w:val="none" w:sz="0" w:space="0" w:color="auto"/>
      </w:divBdr>
    </w:div>
    <w:div w:id="717319228">
      <w:bodyDiv w:val="1"/>
      <w:marLeft w:val="0"/>
      <w:marRight w:val="0"/>
      <w:marTop w:val="0"/>
      <w:marBottom w:val="0"/>
      <w:divBdr>
        <w:top w:val="none" w:sz="0" w:space="0" w:color="auto"/>
        <w:left w:val="none" w:sz="0" w:space="0" w:color="auto"/>
        <w:bottom w:val="none" w:sz="0" w:space="0" w:color="auto"/>
        <w:right w:val="none" w:sz="0" w:space="0" w:color="auto"/>
      </w:divBdr>
    </w:div>
    <w:div w:id="722368186">
      <w:bodyDiv w:val="1"/>
      <w:marLeft w:val="0"/>
      <w:marRight w:val="0"/>
      <w:marTop w:val="0"/>
      <w:marBottom w:val="0"/>
      <w:divBdr>
        <w:top w:val="none" w:sz="0" w:space="0" w:color="auto"/>
        <w:left w:val="none" w:sz="0" w:space="0" w:color="auto"/>
        <w:bottom w:val="none" w:sz="0" w:space="0" w:color="auto"/>
        <w:right w:val="none" w:sz="0" w:space="0" w:color="auto"/>
      </w:divBdr>
      <w:divsChild>
        <w:div w:id="871109961">
          <w:marLeft w:val="0"/>
          <w:marRight w:val="0"/>
          <w:marTop w:val="0"/>
          <w:marBottom w:val="0"/>
          <w:divBdr>
            <w:top w:val="none" w:sz="0" w:space="0" w:color="auto"/>
            <w:left w:val="none" w:sz="0" w:space="0" w:color="auto"/>
            <w:bottom w:val="none" w:sz="0" w:space="0" w:color="auto"/>
            <w:right w:val="none" w:sz="0" w:space="0" w:color="auto"/>
          </w:divBdr>
          <w:divsChild>
            <w:div w:id="2085952692">
              <w:marLeft w:val="0"/>
              <w:marRight w:val="0"/>
              <w:marTop w:val="0"/>
              <w:marBottom w:val="0"/>
              <w:divBdr>
                <w:top w:val="none" w:sz="0" w:space="0" w:color="auto"/>
                <w:left w:val="none" w:sz="0" w:space="0" w:color="auto"/>
                <w:bottom w:val="none" w:sz="0" w:space="0" w:color="auto"/>
                <w:right w:val="none" w:sz="0" w:space="0" w:color="auto"/>
              </w:divBdr>
              <w:divsChild>
                <w:div w:id="596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0032">
      <w:bodyDiv w:val="1"/>
      <w:marLeft w:val="0"/>
      <w:marRight w:val="0"/>
      <w:marTop w:val="0"/>
      <w:marBottom w:val="0"/>
      <w:divBdr>
        <w:top w:val="none" w:sz="0" w:space="0" w:color="auto"/>
        <w:left w:val="none" w:sz="0" w:space="0" w:color="auto"/>
        <w:bottom w:val="none" w:sz="0" w:space="0" w:color="auto"/>
        <w:right w:val="none" w:sz="0" w:space="0" w:color="auto"/>
      </w:divBdr>
    </w:div>
    <w:div w:id="747388588">
      <w:bodyDiv w:val="1"/>
      <w:marLeft w:val="0"/>
      <w:marRight w:val="0"/>
      <w:marTop w:val="0"/>
      <w:marBottom w:val="0"/>
      <w:divBdr>
        <w:top w:val="none" w:sz="0" w:space="0" w:color="auto"/>
        <w:left w:val="none" w:sz="0" w:space="0" w:color="auto"/>
        <w:bottom w:val="none" w:sz="0" w:space="0" w:color="auto"/>
        <w:right w:val="none" w:sz="0" w:space="0" w:color="auto"/>
      </w:divBdr>
    </w:div>
    <w:div w:id="751706361">
      <w:bodyDiv w:val="1"/>
      <w:marLeft w:val="0"/>
      <w:marRight w:val="0"/>
      <w:marTop w:val="0"/>
      <w:marBottom w:val="0"/>
      <w:divBdr>
        <w:top w:val="none" w:sz="0" w:space="0" w:color="auto"/>
        <w:left w:val="none" w:sz="0" w:space="0" w:color="auto"/>
        <w:bottom w:val="none" w:sz="0" w:space="0" w:color="auto"/>
        <w:right w:val="none" w:sz="0" w:space="0" w:color="auto"/>
      </w:divBdr>
    </w:div>
    <w:div w:id="754595954">
      <w:bodyDiv w:val="1"/>
      <w:marLeft w:val="0"/>
      <w:marRight w:val="0"/>
      <w:marTop w:val="0"/>
      <w:marBottom w:val="0"/>
      <w:divBdr>
        <w:top w:val="none" w:sz="0" w:space="0" w:color="auto"/>
        <w:left w:val="none" w:sz="0" w:space="0" w:color="auto"/>
        <w:bottom w:val="none" w:sz="0" w:space="0" w:color="auto"/>
        <w:right w:val="none" w:sz="0" w:space="0" w:color="auto"/>
      </w:divBdr>
      <w:divsChild>
        <w:div w:id="925964184">
          <w:marLeft w:val="446"/>
          <w:marRight w:val="0"/>
          <w:marTop w:val="0"/>
          <w:marBottom w:val="120"/>
          <w:divBdr>
            <w:top w:val="none" w:sz="0" w:space="0" w:color="auto"/>
            <w:left w:val="none" w:sz="0" w:space="0" w:color="auto"/>
            <w:bottom w:val="none" w:sz="0" w:space="0" w:color="auto"/>
            <w:right w:val="none" w:sz="0" w:space="0" w:color="auto"/>
          </w:divBdr>
        </w:div>
      </w:divsChild>
    </w:div>
    <w:div w:id="769081816">
      <w:bodyDiv w:val="1"/>
      <w:marLeft w:val="0"/>
      <w:marRight w:val="0"/>
      <w:marTop w:val="0"/>
      <w:marBottom w:val="0"/>
      <w:divBdr>
        <w:top w:val="none" w:sz="0" w:space="0" w:color="auto"/>
        <w:left w:val="none" w:sz="0" w:space="0" w:color="auto"/>
        <w:bottom w:val="none" w:sz="0" w:space="0" w:color="auto"/>
        <w:right w:val="none" w:sz="0" w:space="0" w:color="auto"/>
      </w:divBdr>
    </w:div>
    <w:div w:id="802579577">
      <w:bodyDiv w:val="1"/>
      <w:marLeft w:val="0"/>
      <w:marRight w:val="0"/>
      <w:marTop w:val="0"/>
      <w:marBottom w:val="0"/>
      <w:divBdr>
        <w:top w:val="none" w:sz="0" w:space="0" w:color="auto"/>
        <w:left w:val="none" w:sz="0" w:space="0" w:color="auto"/>
        <w:bottom w:val="none" w:sz="0" w:space="0" w:color="auto"/>
        <w:right w:val="none" w:sz="0" w:space="0" w:color="auto"/>
      </w:divBdr>
    </w:div>
    <w:div w:id="823818587">
      <w:bodyDiv w:val="1"/>
      <w:marLeft w:val="0"/>
      <w:marRight w:val="0"/>
      <w:marTop w:val="0"/>
      <w:marBottom w:val="0"/>
      <w:divBdr>
        <w:top w:val="none" w:sz="0" w:space="0" w:color="auto"/>
        <w:left w:val="none" w:sz="0" w:space="0" w:color="auto"/>
        <w:bottom w:val="none" w:sz="0" w:space="0" w:color="auto"/>
        <w:right w:val="none" w:sz="0" w:space="0" w:color="auto"/>
      </w:divBdr>
      <w:divsChild>
        <w:div w:id="981348366">
          <w:marLeft w:val="446"/>
          <w:marRight w:val="0"/>
          <w:marTop w:val="0"/>
          <w:marBottom w:val="0"/>
          <w:divBdr>
            <w:top w:val="none" w:sz="0" w:space="0" w:color="auto"/>
            <w:left w:val="none" w:sz="0" w:space="0" w:color="auto"/>
            <w:bottom w:val="none" w:sz="0" w:space="0" w:color="auto"/>
            <w:right w:val="none" w:sz="0" w:space="0" w:color="auto"/>
          </w:divBdr>
        </w:div>
        <w:div w:id="1184441571">
          <w:marLeft w:val="446"/>
          <w:marRight w:val="0"/>
          <w:marTop w:val="0"/>
          <w:marBottom w:val="0"/>
          <w:divBdr>
            <w:top w:val="none" w:sz="0" w:space="0" w:color="auto"/>
            <w:left w:val="none" w:sz="0" w:space="0" w:color="auto"/>
            <w:bottom w:val="none" w:sz="0" w:space="0" w:color="auto"/>
            <w:right w:val="none" w:sz="0" w:space="0" w:color="auto"/>
          </w:divBdr>
        </w:div>
        <w:div w:id="1400518214">
          <w:marLeft w:val="446"/>
          <w:marRight w:val="0"/>
          <w:marTop w:val="0"/>
          <w:marBottom w:val="0"/>
          <w:divBdr>
            <w:top w:val="none" w:sz="0" w:space="0" w:color="auto"/>
            <w:left w:val="none" w:sz="0" w:space="0" w:color="auto"/>
            <w:bottom w:val="none" w:sz="0" w:space="0" w:color="auto"/>
            <w:right w:val="none" w:sz="0" w:space="0" w:color="auto"/>
          </w:divBdr>
        </w:div>
        <w:div w:id="1635519572">
          <w:marLeft w:val="446"/>
          <w:marRight w:val="0"/>
          <w:marTop w:val="0"/>
          <w:marBottom w:val="0"/>
          <w:divBdr>
            <w:top w:val="none" w:sz="0" w:space="0" w:color="auto"/>
            <w:left w:val="none" w:sz="0" w:space="0" w:color="auto"/>
            <w:bottom w:val="none" w:sz="0" w:space="0" w:color="auto"/>
            <w:right w:val="none" w:sz="0" w:space="0" w:color="auto"/>
          </w:divBdr>
        </w:div>
        <w:div w:id="1817184595">
          <w:marLeft w:val="446"/>
          <w:marRight w:val="0"/>
          <w:marTop w:val="0"/>
          <w:marBottom w:val="0"/>
          <w:divBdr>
            <w:top w:val="none" w:sz="0" w:space="0" w:color="auto"/>
            <w:left w:val="none" w:sz="0" w:space="0" w:color="auto"/>
            <w:bottom w:val="none" w:sz="0" w:space="0" w:color="auto"/>
            <w:right w:val="none" w:sz="0" w:space="0" w:color="auto"/>
          </w:divBdr>
        </w:div>
      </w:divsChild>
    </w:div>
    <w:div w:id="856577691">
      <w:bodyDiv w:val="1"/>
      <w:marLeft w:val="0"/>
      <w:marRight w:val="0"/>
      <w:marTop w:val="0"/>
      <w:marBottom w:val="0"/>
      <w:divBdr>
        <w:top w:val="none" w:sz="0" w:space="0" w:color="auto"/>
        <w:left w:val="none" w:sz="0" w:space="0" w:color="auto"/>
        <w:bottom w:val="none" w:sz="0" w:space="0" w:color="auto"/>
        <w:right w:val="none" w:sz="0" w:space="0" w:color="auto"/>
      </w:divBdr>
    </w:div>
    <w:div w:id="873421186">
      <w:bodyDiv w:val="1"/>
      <w:marLeft w:val="0"/>
      <w:marRight w:val="0"/>
      <w:marTop w:val="0"/>
      <w:marBottom w:val="0"/>
      <w:divBdr>
        <w:top w:val="none" w:sz="0" w:space="0" w:color="auto"/>
        <w:left w:val="none" w:sz="0" w:space="0" w:color="auto"/>
        <w:bottom w:val="none" w:sz="0" w:space="0" w:color="auto"/>
        <w:right w:val="none" w:sz="0" w:space="0" w:color="auto"/>
      </w:divBdr>
    </w:div>
    <w:div w:id="883173976">
      <w:bodyDiv w:val="1"/>
      <w:marLeft w:val="0"/>
      <w:marRight w:val="0"/>
      <w:marTop w:val="0"/>
      <w:marBottom w:val="0"/>
      <w:divBdr>
        <w:top w:val="none" w:sz="0" w:space="0" w:color="auto"/>
        <w:left w:val="none" w:sz="0" w:space="0" w:color="auto"/>
        <w:bottom w:val="none" w:sz="0" w:space="0" w:color="auto"/>
        <w:right w:val="none" w:sz="0" w:space="0" w:color="auto"/>
      </w:divBdr>
    </w:div>
    <w:div w:id="910191587">
      <w:bodyDiv w:val="1"/>
      <w:marLeft w:val="0"/>
      <w:marRight w:val="0"/>
      <w:marTop w:val="0"/>
      <w:marBottom w:val="0"/>
      <w:divBdr>
        <w:top w:val="none" w:sz="0" w:space="0" w:color="auto"/>
        <w:left w:val="none" w:sz="0" w:space="0" w:color="auto"/>
        <w:bottom w:val="none" w:sz="0" w:space="0" w:color="auto"/>
        <w:right w:val="none" w:sz="0" w:space="0" w:color="auto"/>
      </w:divBdr>
    </w:div>
    <w:div w:id="941038204">
      <w:bodyDiv w:val="1"/>
      <w:marLeft w:val="0"/>
      <w:marRight w:val="0"/>
      <w:marTop w:val="0"/>
      <w:marBottom w:val="0"/>
      <w:divBdr>
        <w:top w:val="none" w:sz="0" w:space="0" w:color="auto"/>
        <w:left w:val="none" w:sz="0" w:space="0" w:color="auto"/>
        <w:bottom w:val="none" w:sz="0" w:space="0" w:color="auto"/>
        <w:right w:val="none" w:sz="0" w:space="0" w:color="auto"/>
      </w:divBdr>
    </w:div>
    <w:div w:id="980883607">
      <w:bodyDiv w:val="1"/>
      <w:marLeft w:val="0"/>
      <w:marRight w:val="0"/>
      <w:marTop w:val="0"/>
      <w:marBottom w:val="0"/>
      <w:divBdr>
        <w:top w:val="none" w:sz="0" w:space="0" w:color="auto"/>
        <w:left w:val="none" w:sz="0" w:space="0" w:color="auto"/>
        <w:bottom w:val="none" w:sz="0" w:space="0" w:color="auto"/>
        <w:right w:val="none" w:sz="0" w:space="0" w:color="auto"/>
      </w:divBdr>
    </w:div>
    <w:div w:id="1045565220">
      <w:bodyDiv w:val="1"/>
      <w:marLeft w:val="0"/>
      <w:marRight w:val="0"/>
      <w:marTop w:val="0"/>
      <w:marBottom w:val="0"/>
      <w:divBdr>
        <w:top w:val="none" w:sz="0" w:space="0" w:color="auto"/>
        <w:left w:val="none" w:sz="0" w:space="0" w:color="auto"/>
        <w:bottom w:val="none" w:sz="0" w:space="0" w:color="auto"/>
        <w:right w:val="none" w:sz="0" w:space="0" w:color="auto"/>
      </w:divBdr>
      <w:divsChild>
        <w:div w:id="83117403">
          <w:marLeft w:val="446"/>
          <w:marRight w:val="0"/>
          <w:marTop w:val="0"/>
          <w:marBottom w:val="0"/>
          <w:divBdr>
            <w:top w:val="none" w:sz="0" w:space="0" w:color="auto"/>
            <w:left w:val="none" w:sz="0" w:space="0" w:color="auto"/>
            <w:bottom w:val="none" w:sz="0" w:space="0" w:color="auto"/>
            <w:right w:val="none" w:sz="0" w:space="0" w:color="auto"/>
          </w:divBdr>
        </w:div>
        <w:div w:id="767510076">
          <w:marLeft w:val="446"/>
          <w:marRight w:val="0"/>
          <w:marTop w:val="0"/>
          <w:marBottom w:val="0"/>
          <w:divBdr>
            <w:top w:val="none" w:sz="0" w:space="0" w:color="auto"/>
            <w:left w:val="none" w:sz="0" w:space="0" w:color="auto"/>
            <w:bottom w:val="none" w:sz="0" w:space="0" w:color="auto"/>
            <w:right w:val="none" w:sz="0" w:space="0" w:color="auto"/>
          </w:divBdr>
        </w:div>
        <w:div w:id="1477527097">
          <w:marLeft w:val="446"/>
          <w:marRight w:val="0"/>
          <w:marTop w:val="0"/>
          <w:marBottom w:val="0"/>
          <w:divBdr>
            <w:top w:val="none" w:sz="0" w:space="0" w:color="auto"/>
            <w:left w:val="none" w:sz="0" w:space="0" w:color="auto"/>
            <w:bottom w:val="none" w:sz="0" w:space="0" w:color="auto"/>
            <w:right w:val="none" w:sz="0" w:space="0" w:color="auto"/>
          </w:divBdr>
        </w:div>
      </w:divsChild>
    </w:div>
    <w:div w:id="1047024345">
      <w:bodyDiv w:val="1"/>
      <w:marLeft w:val="0"/>
      <w:marRight w:val="0"/>
      <w:marTop w:val="0"/>
      <w:marBottom w:val="0"/>
      <w:divBdr>
        <w:top w:val="none" w:sz="0" w:space="0" w:color="auto"/>
        <w:left w:val="none" w:sz="0" w:space="0" w:color="auto"/>
        <w:bottom w:val="none" w:sz="0" w:space="0" w:color="auto"/>
        <w:right w:val="none" w:sz="0" w:space="0" w:color="auto"/>
      </w:divBdr>
    </w:div>
    <w:div w:id="1047679191">
      <w:bodyDiv w:val="1"/>
      <w:marLeft w:val="0"/>
      <w:marRight w:val="0"/>
      <w:marTop w:val="0"/>
      <w:marBottom w:val="0"/>
      <w:divBdr>
        <w:top w:val="none" w:sz="0" w:space="0" w:color="auto"/>
        <w:left w:val="none" w:sz="0" w:space="0" w:color="auto"/>
        <w:bottom w:val="none" w:sz="0" w:space="0" w:color="auto"/>
        <w:right w:val="none" w:sz="0" w:space="0" w:color="auto"/>
      </w:divBdr>
      <w:divsChild>
        <w:div w:id="913049752">
          <w:marLeft w:val="547"/>
          <w:marRight w:val="0"/>
          <w:marTop w:val="0"/>
          <w:marBottom w:val="0"/>
          <w:divBdr>
            <w:top w:val="none" w:sz="0" w:space="0" w:color="auto"/>
            <w:left w:val="none" w:sz="0" w:space="0" w:color="auto"/>
            <w:bottom w:val="none" w:sz="0" w:space="0" w:color="auto"/>
            <w:right w:val="none" w:sz="0" w:space="0" w:color="auto"/>
          </w:divBdr>
        </w:div>
      </w:divsChild>
    </w:div>
    <w:div w:id="1064065902">
      <w:bodyDiv w:val="1"/>
      <w:marLeft w:val="0"/>
      <w:marRight w:val="0"/>
      <w:marTop w:val="0"/>
      <w:marBottom w:val="0"/>
      <w:divBdr>
        <w:top w:val="none" w:sz="0" w:space="0" w:color="auto"/>
        <w:left w:val="none" w:sz="0" w:space="0" w:color="auto"/>
        <w:bottom w:val="none" w:sz="0" w:space="0" w:color="auto"/>
        <w:right w:val="none" w:sz="0" w:space="0" w:color="auto"/>
      </w:divBdr>
    </w:div>
    <w:div w:id="1074475578">
      <w:bodyDiv w:val="1"/>
      <w:marLeft w:val="0"/>
      <w:marRight w:val="0"/>
      <w:marTop w:val="0"/>
      <w:marBottom w:val="0"/>
      <w:divBdr>
        <w:top w:val="none" w:sz="0" w:space="0" w:color="auto"/>
        <w:left w:val="none" w:sz="0" w:space="0" w:color="auto"/>
        <w:bottom w:val="none" w:sz="0" w:space="0" w:color="auto"/>
        <w:right w:val="none" w:sz="0" w:space="0" w:color="auto"/>
      </w:divBdr>
    </w:div>
    <w:div w:id="1087267349">
      <w:bodyDiv w:val="1"/>
      <w:marLeft w:val="0"/>
      <w:marRight w:val="0"/>
      <w:marTop w:val="0"/>
      <w:marBottom w:val="0"/>
      <w:divBdr>
        <w:top w:val="none" w:sz="0" w:space="0" w:color="auto"/>
        <w:left w:val="none" w:sz="0" w:space="0" w:color="auto"/>
        <w:bottom w:val="none" w:sz="0" w:space="0" w:color="auto"/>
        <w:right w:val="none" w:sz="0" w:space="0" w:color="auto"/>
      </w:divBdr>
    </w:div>
    <w:div w:id="1087649678">
      <w:bodyDiv w:val="1"/>
      <w:marLeft w:val="0"/>
      <w:marRight w:val="0"/>
      <w:marTop w:val="0"/>
      <w:marBottom w:val="0"/>
      <w:divBdr>
        <w:top w:val="none" w:sz="0" w:space="0" w:color="auto"/>
        <w:left w:val="none" w:sz="0" w:space="0" w:color="auto"/>
        <w:bottom w:val="none" w:sz="0" w:space="0" w:color="auto"/>
        <w:right w:val="none" w:sz="0" w:space="0" w:color="auto"/>
      </w:divBdr>
      <w:divsChild>
        <w:div w:id="1252934876">
          <w:marLeft w:val="446"/>
          <w:marRight w:val="0"/>
          <w:marTop w:val="0"/>
          <w:marBottom w:val="0"/>
          <w:divBdr>
            <w:top w:val="none" w:sz="0" w:space="0" w:color="auto"/>
            <w:left w:val="none" w:sz="0" w:space="0" w:color="auto"/>
            <w:bottom w:val="none" w:sz="0" w:space="0" w:color="auto"/>
            <w:right w:val="none" w:sz="0" w:space="0" w:color="auto"/>
          </w:divBdr>
        </w:div>
      </w:divsChild>
    </w:div>
    <w:div w:id="1119370709">
      <w:bodyDiv w:val="1"/>
      <w:marLeft w:val="0"/>
      <w:marRight w:val="0"/>
      <w:marTop w:val="0"/>
      <w:marBottom w:val="0"/>
      <w:divBdr>
        <w:top w:val="none" w:sz="0" w:space="0" w:color="auto"/>
        <w:left w:val="none" w:sz="0" w:space="0" w:color="auto"/>
        <w:bottom w:val="none" w:sz="0" w:space="0" w:color="auto"/>
        <w:right w:val="none" w:sz="0" w:space="0" w:color="auto"/>
      </w:divBdr>
      <w:divsChild>
        <w:div w:id="1178812659">
          <w:marLeft w:val="0"/>
          <w:marRight w:val="0"/>
          <w:marTop w:val="0"/>
          <w:marBottom w:val="0"/>
          <w:divBdr>
            <w:top w:val="none" w:sz="0" w:space="0" w:color="auto"/>
            <w:left w:val="none" w:sz="0" w:space="0" w:color="auto"/>
            <w:bottom w:val="none" w:sz="0" w:space="0" w:color="auto"/>
            <w:right w:val="none" w:sz="0" w:space="0" w:color="auto"/>
          </w:divBdr>
          <w:divsChild>
            <w:div w:id="2105224320">
              <w:marLeft w:val="0"/>
              <w:marRight w:val="0"/>
              <w:marTop w:val="0"/>
              <w:marBottom w:val="0"/>
              <w:divBdr>
                <w:top w:val="none" w:sz="0" w:space="0" w:color="auto"/>
                <w:left w:val="none" w:sz="0" w:space="0" w:color="auto"/>
                <w:bottom w:val="none" w:sz="0" w:space="0" w:color="auto"/>
                <w:right w:val="none" w:sz="0" w:space="0" w:color="auto"/>
              </w:divBdr>
              <w:divsChild>
                <w:div w:id="183832060">
                  <w:marLeft w:val="0"/>
                  <w:marRight w:val="0"/>
                  <w:marTop w:val="0"/>
                  <w:marBottom w:val="0"/>
                  <w:divBdr>
                    <w:top w:val="none" w:sz="0" w:space="0" w:color="auto"/>
                    <w:left w:val="none" w:sz="0" w:space="0" w:color="auto"/>
                    <w:bottom w:val="none" w:sz="0" w:space="0" w:color="auto"/>
                    <w:right w:val="none" w:sz="0" w:space="0" w:color="auto"/>
                  </w:divBdr>
                  <w:divsChild>
                    <w:div w:id="20709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46811">
      <w:bodyDiv w:val="1"/>
      <w:marLeft w:val="0"/>
      <w:marRight w:val="0"/>
      <w:marTop w:val="0"/>
      <w:marBottom w:val="0"/>
      <w:divBdr>
        <w:top w:val="none" w:sz="0" w:space="0" w:color="auto"/>
        <w:left w:val="none" w:sz="0" w:space="0" w:color="auto"/>
        <w:bottom w:val="none" w:sz="0" w:space="0" w:color="auto"/>
        <w:right w:val="none" w:sz="0" w:space="0" w:color="auto"/>
      </w:divBdr>
    </w:div>
    <w:div w:id="1147894210">
      <w:bodyDiv w:val="1"/>
      <w:marLeft w:val="0"/>
      <w:marRight w:val="0"/>
      <w:marTop w:val="0"/>
      <w:marBottom w:val="0"/>
      <w:divBdr>
        <w:top w:val="none" w:sz="0" w:space="0" w:color="auto"/>
        <w:left w:val="none" w:sz="0" w:space="0" w:color="auto"/>
        <w:bottom w:val="none" w:sz="0" w:space="0" w:color="auto"/>
        <w:right w:val="none" w:sz="0" w:space="0" w:color="auto"/>
      </w:divBdr>
    </w:div>
    <w:div w:id="1152213688">
      <w:bodyDiv w:val="1"/>
      <w:marLeft w:val="0"/>
      <w:marRight w:val="0"/>
      <w:marTop w:val="0"/>
      <w:marBottom w:val="0"/>
      <w:divBdr>
        <w:top w:val="none" w:sz="0" w:space="0" w:color="auto"/>
        <w:left w:val="none" w:sz="0" w:space="0" w:color="auto"/>
        <w:bottom w:val="none" w:sz="0" w:space="0" w:color="auto"/>
        <w:right w:val="none" w:sz="0" w:space="0" w:color="auto"/>
      </w:divBdr>
      <w:divsChild>
        <w:div w:id="1604874053">
          <w:marLeft w:val="547"/>
          <w:marRight w:val="0"/>
          <w:marTop w:val="0"/>
          <w:marBottom w:val="0"/>
          <w:divBdr>
            <w:top w:val="none" w:sz="0" w:space="0" w:color="auto"/>
            <w:left w:val="none" w:sz="0" w:space="0" w:color="auto"/>
            <w:bottom w:val="none" w:sz="0" w:space="0" w:color="auto"/>
            <w:right w:val="none" w:sz="0" w:space="0" w:color="auto"/>
          </w:divBdr>
        </w:div>
      </w:divsChild>
    </w:div>
    <w:div w:id="1179126824">
      <w:bodyDiv w:val="1"/>
      <w:marLeft w:val="0"/>
      <w:marRight w:val="0"/>
      <w:marTop w:val="0"/>
      <w:marBottom w:val="0"/>
      <w:divBdr>
        <w:top w:val="none" w:sz="0" w:space="0" w:color="auto"/>
        <w:left w:val="none" w:sz="0" w:space="0" w:color="auto"/>
        <w:bottom w:val="none" w:sz="0" w:space="0" w:color="auto"/>
        <w:right w:val="none" w:sz="0" w:space="0" w:color="auto"/>
      </w:divBdr>
    </w:div>
    <w:div w:id="1188828864">
      <w:bodyDiv w:val="1"/>
      <w:marLeft w:val="0"/>
      <w:marRight w:val="0"/>
      <w:marTop w:val="0"/>
      <w:marBottom w:val="0"/>
      <w:divBdr>
        <w:top w:val="none" w:sz="0" w:space="0" w:color="auto"/>
        <w:left w:val="none" w:sz="0" w:space="0" w:color="auto"/>
        <w:bottom w:val="none" w:sz="0" w:space="0" w:color="auto"/>
        <w:right w:val="none" w:sz="0" w:space="0" w:color="auto"/>
      </w:divBdr>
    </w:div>
    <w:div w:id="1198351976">
      <w:bodyDiv w:val="1"/>
      <w:marLeft w:val="0"/>
      <w:marRight w:val="0"/>
      <w:marTop w:val="0"/>
      <w:marBottom w:val="0"/>
      <w:divBdr>
        <w:top w:val="none" w:sz="0" w:space="0" w:color="auto"/>
        <w:left w:val="none" w:sz="0" w:space="0" w:color="auto"/>
        <w:bottom w:val="none" w:sz="0" w:space="0" w:color="auto"/>
        <w:right w:val="none" w:sz="0" w:space="0" w:color="auto"/>
      </w:divBdr>
    </w:div>
    <w:div w:id="1274023368">
      <w:bodyDiv w:val="1"/>
      <w:marLeft w:val="0"/>
      <w:marRight w:val="0"/>
      <w:marTop w:val="0"/>
      <w:marBottom w:val="0"/>
      <w:divBdr>
        <w:top w:val="none" w:sz="0" w:space="0" w:color="auto"/>
        <w:left w:val="none" w:sz="0" w:space="0" w:color="auto"/>
        <w:bottom w:val="none" w:sz="0" w:space="0" w:color="auto"/>
        <w:right w:val="none" w:sz="0" w:space="0" w:color="auto"/>
      </w:divBdr>
    </w:div>
    <w:div w:id="1275550500">
      <w:bodyDiv w:val="1"/>
      <w:marLeft w:val="0"/>
      <w:marRight w:val="0"/>
      <w:marTop w:val="0"/>
      <w:marBottom w:val="0"/>
      <w:divBdr>
        <w:top w:val="none" w:sz="0" w:space="0" w:color="auto"/>
        <w:left w:val="none" w:sz="0" w:space="0" w:color="auto"/>
        <w:bottom w:val="none" w:sz="0" w:space="0" w:color="auto"/>
        <w:right w:val="none" w:sz="0" w:space="0" w:color="auto"/>
      </w:divBdr>
    </w:div>
    <w:div w:id="1314484409">
      <w:bodyDiv w:val="1"/>
      <w:marLeft w:val="0"/>
      <w:marRight w:val="0"/>
      <w:marTop w:val="0"/>
      <w:marBottom w:val="0"/>
      <w:divBdr>
        <w:top w:val="none" w:sz="0" w:space="0" w:color="auto"/>
        <w:left w:val="none" w:sz="0" w:space="0" w:color="auto"/>
        <w:bottom w:val="none" w:sz="0" w:space="0" w:color="auto"/>
        <w:right w:val="none" w:sz="0" w:space="0" w:color="auto"/>
      </w:divBdr>
      <w:divsChild>
        <w:div w:id="619998288">
          <w:marLeft w:val="547"/>
          <w:marRight w:val="0"/>
          <w:marTop w:val="0"/>
          <w:marBottom w:val="0"/>
          <w:divBdr>
            <w:top w:val="none" w:sz="0" w:space="0" w:color="auto"/>
            <w:left w:val="none" w:sz="0" w:space="0" w:color="auto"/>
            <w:bottom w:val="none" w:sz="0" w:space="0" w:color="auto"/>
            <w:right w:val="none" w:sz="0" w:space="0" w:color="auto"/>
          </w:divBdr>
        </w:div>
      </w:divsChild>
    </w:div>
    <w:div w:id="1324433165">
      <w:bodyDiv w:val="1"/>
      <w:marLeft w:val="0"/>
      <w:marRight w:val="0"/>
      <w:marTop w:val="0"/>
      <w:marBottom w:val="0"/>
      <w:divBdr>
        <w:top w:val="none" w:sz="0" w:space="0" w:color="auto"/>
        <w:left w:val="none" w:sz="0" w:space="0" w:color="auto"/>
        <w:bottom w:val="none" w:sz="0" w:space="0" w:color="auto"/>
        <w:right w:val="none" w:sz="0" w:space="0" w:color="auto"/>
      </w:divBdr>
    </w:div>
    <w:div w:id="1326780392">
      <w:bodyDiv w:val="1"/>
      <w:marLeft w:val="0"/>
      <w:marRight w:val="0"/>
      <w:marTop w:val="0"/>
      <w:marBottom w:val="0"/>
      <w:divBdr>
        <w:top w:val="none" w:sz="0" w:space="0" w:color="auto"/>
        <w:left w:val="none" w:sz="0" w:space="0" w:color="auto"/>
        <w:bottom w:val="none" w:sz="0" w:space="0" w:color="auto"/>
        <w:right w:val="none" w:sz="0" w:space="0" w:color="auto"/>
      </w:divBdr>
    </w:div>
    <w:div w:id="1351953233">
      <w:bodyDiv w:val="1"/>
      <w:marLeft w:val="0"/>
      <w:marRight w:val="0"/>
      <w:marTop w:val="0"/>
      <w:marBottom w:val="0"/>
      <w:divBdr>
        <w:top w:val="none" w:sz="0" w:space="0" w:color="auto"/>
        <w:left w:val="none" w:sz="0" w:space="0" w:color="auto"/>
        <w:bottom w:val="none" w:sz="0" w:space="0" w:color="auto"/>
        <w:right w:val="none" w:sz="0" w:space="0" w:color="auto"/>
      </w:divBdr>
    </w:div>
    <w:div w:id="1362710801">
      <w:bodyDiv w:val="1"/>
      <w:marLeft w:val="0"/>
      <w:marRight w:val="0"/>
      <w:marTop w:val="0"/>
      <w:marBottom w:val="0"/>
      <w:divBdr>
        <w:top w:val="none" w:sz="0" w:space="0" w:color="auto"/>
        <w:left w:val="none" w:sz="0" w:space="0" w:color="auto"/>
        <w:bottom w:val="none" w:sz="0" w:space="0" w:color="auto"/>
        <w:right w:val="none" w:sz="0" w:space="0" w:color="auto"/>
      </w:divBdr>
    </w:div>
    <w:div w:id="1372680909">
      <w:bodyDiv w:val="1"/>
      <w:marLeft w:val="0"/>
      <w:marRight w:val="0"/>
      <w:marTop w:val="0"/>
      <w:marBottom w:val="0"/>
      <w:divBdr>
        <w:top w:val="none" w:sz="0" w:space="0" w:color="auto"/>
        <w:left w:val="none" w:sz="0" w:space="0" w:color="auto"/>
        <w:bottom w:val="none" w:sz="0" w:space="0" w:color="auto"/>
        <w:right w:val="none" w:sz="0" w:space="0" w:color="auto"/>
      </w:divBdr>
    </w:div>
    <w:div w:id="1421944433">
      <w:bodyDiv w:val="1"/>
      <w:marLeft w:val="0"/>
      <w:marRight w:val="0"/>
      <w:marTop w:val="0"/>
      <w:marBottom w:val="0"/>
      <w:divBdr>
        <w:top w:val="none" w:sz="0" w:space="0" w:color="auto"/>
        <w:left w:val="none" w:sz="0" w:space="0" w:color="auto"/>
        <w:bottom w:val="none" w:sz="0" w:space="0" w:color="auto"/>
        <w:right w:val="none" w:sz="0" w:space="0" w:color="auto"/>
      </w:divBdr>
    </w:div>
    <w:div w:id="1498959199">
      <w:bodyDiv w:val="1"/>
      <w:marLeft w:val="0"/>
      <w:marRight w:val="0"/>
      <w:marTop w:val="0"/>
      <w:marBottom w:val="0"/>
      <w:divBdr>
        <w:top w:val="none" w:sz="0" w:space="0" w:color="auto"/>
        <w:left w:val="none" w:sz="0" w:space="0" w:color="auto"/>
        <w:bottom w:val="none" w:sz="0" w:space="0" w:color="auto"/>
        <w:right w:val="none" w:sz="0" w:space="0" w:color="auto"/>
      </w:divBdr>
    </w:div>
    <w:div w:id="1500774603">
      <w:bodyDiv w:val="1"/>
      <w:marLeft w:val="0"/>
      <w:marRight w:val="0"/>
      <w:marTop w:val="0"/>
      <w:marBottom w:val="0"/>
      <w:divBdr>
        <w:top w:val="none" w:sz="0" w:space="0" w:color="auto"/>
        <w:left w:val="none" w:sz="0" w:space="0" w:color="auto"/>
        <w:bottom w:val="none" w:sz="0" w:space="0" w:color="auto"/>
        <w:right w:val="none" w:sz="0" w:space="0" w:color="auto"/>
      </w:divBdr>
      <w:divsChild>
        <w:div w:id="1039207987">
          <w:marLeft w:val="0"/>
          <w:marRight w:val="0"/>
          <w:marTop w:val="0"/>
          <w:marBottom w:val="0"/>
          <w:divBdr>
            <w:top w:val="none" w:sz="0" w:space="0" w:color="auto"/>
            <w:left w:val="none" w:sz="0" w:space="0" w:color="auto"/>
            <w:bottom w:val="none" w:sz="0" w:space="0" w:color="auto"/>
            <w:right w:val="none" w:sz="0" w:space="0" w:color="auto"/>
          </w:divBdr>
          <w:divsChild>
            <w:div w:id="816841226">
              <w:marLeft w:val="0"/>
              <w:marRight w:val="0"/>
              <w:marTop w:val="0"/>
              <w:marBottom w:val="0"/>
              <w:divBdr>
                <w:top w:val="none" w:sz="0" w:space="0" w:color="auto"/>
                <w:left w:val="none" w:sz="0" w:space="0" w:color="auto"/>
                <w:bottom w:val="none" w:sz="0" w:space="0" w:color="auto"/>
                <w:right w:val="none" w:sz="0" w:space="0" w:color="auto"/>
              </w:divBdr>
              <w:divsChild>
                <w:div w:id="9130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6000">
      <w:bodyDiv w:val="1"/>
      <w:marLeft w:val="0"/>
      <w:marRight w:val="0"/>
      <w:marTop w:val="0"/>
      <w:marBottom w:val="0"/>
      <w:divBdr>
        <w:top w:val="none" w:sz="0" w:space="0" w:color="auto"/>
        <w:left w:val="none" w:sz="0" w:space="0" w:color="auto"/>
        <w:bottom w:val="none" w:sz="0" w:space="0" w:color="auto"/>
        <w:right w:val="none" w:sz="0" w:space="0" w:color="auto"/>
      </w:divBdr>
    </w:div>
    <w:div w:id="1569342428">
      <w:bodyDiv w:val="1"/>
      <w:marLeft w:val="0"/>
      <w:marRight w:val="0"/>
      <w:marTop w:val="0"/>
      <w:marBottom w:val="0"/>
      <w:divBdr>
        <w:top w:val="none" w:sz="0" w:space="0" w:color="auto"/>
        <w:left w:val="none" w:sz="0" w:space="0" w:color="auto"/>
        <w:bottom w:val="none" w:sz="0" w:space="0" w:color="auto"/>
        <w:right w:val="none" w:sz="0" w:space="0" w:color="auto"/>
      </w:divBdr>
    </w:div>
    <w:div w:id="1569656885">
      <w:bodyDiv w:val="1"/>
      <w:marLeft w:val="0"/>
      <w:marRight w:val="0"/>
      <w:marTop w:val="0"/>
      <w:marBottom w:val="0"/>
      <w:divBdr>
        <w:top w:val="none" w:sz="0" w:space="0" w:color="auto"/>
        <w:left w:val="none" w:sz="0" w:space="0" w:color="auto"/>
        <w:bottom w:val="none" w:sz="0" w:space="0" w:color="auto"/>
        <w:right w:val="none" w:sz="0" w:space="0" w:color="auto"/>
      </w:divBdr>
    </w:div>
    <w:div w:id="1570846910">
      <w:bodyDiv w:val="1"/>
      <w:marLeft w:val="0"/>
      <w:marRight w:val="0"/>
      <w:marTop w:val="0"/>
      <w:marBottom w:val="0"/>
      <w:divBdr>
        <w:top w:val="none" w:sz="0" w:space="0" w:color="auto"/>
        <w:left w:val="none" w:sz="0" w:space="0" w:color="auto"/>
        <w:bottom w:val="none" w:sz="0" w:space="0" w:color="auto"/>
        <w:right w:val="none" w:sz="0" w:space="0" w:color="auto"/>
      </w:divBdr>
    </w:div>
    <w:div w:id="1576547743">
      <w:bodyDiv w:val="1"/>
      <w:marLeft w:val="0"/>
      <w:marRight w:val="0"/>
      <w:marTop w:val="0"/>
      <w:marBottom w:val="0"/>
      <w:divBdr>
        <w:top w:val="none" w:sz="0" w:space="0" w:color="auto"/>
        <w:left w:val="none" w:sz="0" w:space="0" w:color="auto"/>
        <w:bottom w:val="none" w:sz="0" w:space="0" w:color="auto"/>
        <w:right w:val="none" w:sz="0" w:space="0" w:color="auto"/>
      </w:divBdr>
    </w:div>
    <w:div w:id="1614677613">
      <w:bodyDiv w:val="1"/>
      <w:marLeft w:val="0"/>
      <w:marRight w:val="0"/>
      <w:marTop w:val="0"/>
      <w:marBottom w:val="0"/>
      <w:divBdr>
        <w:top w:val="none" w:sz="0" w:space="0" w:color="auto"/>
        <w:left w:val="none" w:sz="0" w:space="0" w:color="auto"/>
        <w:bottom w:val="none" w:sz="0" w:space="0" w:color="auto"/>
        <w:right w:val="none" w:sz="0" w:space="0" w:color="auto"/>
      </w:divBdr>
    </w:div>
    <w:div w:id="1645574713">
      <w:bodyDiv w:val="1"/>
      <w:marLeft w:val="0"/>
      <w:marRight w:val="0"/>
      <w:marTop w:val="0"/>
      <w:marBottom w:val="0"/>
      <w:divBdr>
        <w:top w:val="none" w:sz="0" w:space="0" w:color="auto"/>
        <w:left w:val="none" w:sz="0" w:space="0" w:color="auto"/>
        <w:bottom w:val="none" w:sz="0" w:space="0" w:color="auto"/>
        <w:right w:val="none" w:sz="0" w:space="0" w:color="auto"/>
      </w:divBdr>
    </w:div>
    <w:div w:id="1674411051">
      <w:bodyDiv w:val="1"/>
      <w:marLeft w:val="0"/>
      <w:marRight w:val="0"/>
      <w:marTop w:val="0"/>
      <w:marBottom w:val="0"/>
      <w:divBdr>
        <w:top w:val="none" w:sz="0" w:space="0" w:color="auto"/>
        <w:left w:val="none" w:sz="0" w:space="0" w:color="auto"/>
        <w:bottom w:val="none" w:sz="0" w:space="0" w:color="auto"/>
        <w:right w:val="none" w:sz="0" w:space="0" w:color="auto"/>
      </w:divBdr>
    </w:div>
    <w:div w:id="1683126495">
      <w:bodyDiv w:val="1"/>
      <w:marLeft w:val="0"/>
      <w:marRight w:val="0"/>
      <w:marTop w:val="0"/>
      <w:marBottom w:val="0"/>
      <w:divBdr>
        <w:top w:val="none" w:sz="0" w:space="0" w:color="auto"/>
        <w:left w:val="none" w:sz="0" w:space="0" w:color="auto"/>
        <w:bottom w:val="none" w:sz="0" w:space="0" w:color="auto"/>
        <w:right w:val="none" w:sz="0" w:space="0" w:color="auto"/>
      </w:divBdr>
    </w:div>
    <w:div w:id="1708067141">
      <w:bodyDiv w:val="1"/>
      <w:marLeft w:val="0"/>
      <w:marRight w:val="0"/>
      <w:marTop w:val="0"/>
      <w:marBottom w:val="0"/>
      <w:divBdr>
        <w:top w:val="none" w:sz="0" w:space="0" w:color="auto"/>
        <w:left w:val="none" w:sz="0" w:space="0" w:color="auto"/>
        <w:bottom w:val="none" w:sz="0" w:space="0" w:color="auto"/>
        <w:right w:val="none" w:sz="0" w:space="0" w:color="auto"/>
      </w:divBdr>
    </w:div>
    <w:div w:id="1712608356">
      <w:bodyDiv w:val="1"/>
      <w:marLeft w:val="0"/>
      <w:marRight w:val="0"/>
      <w:marTop w:val="0"/>
      <w:marBottom w:val="0"/>
      <w:divBdr>
        <w:top w:val="none" w:sz="0" w:space="0" w:color="auto"/>
        <w:left w:val="none" w:sz="0" w:space="0" w:color="auto"/>
        <w:bottom w:val="none" w:sz="0" w:space="0" w:color="auto"/>
        <w:right w:val="none" w:sz="0" w:space="0" w:color="auto"/>
      </w:divBdr>
    </w:div>
    <w:div w:id="1748500532">
      <w:bodyDiv w:val="1"/>
      <w:marLeft w:val="0"/>
      <w:marRight w:val="0"/>
      <w:marTop w:val="0"/>
      <w:marBottom w:val="0"/>
      <w:divBdr>
        <w:top w:val="none" w:sz="0" w:space="0" w:color="auto"/>
        <w:left w:val="none" w:sz="0" w:space="0" w:color="auto"/>
        <w:bottom w:val="none" w:sz="0" w:space="0" w:color="auto"/>
        <w:right w:val="none" w:sz="0" w:space="0" w:color="auto"/>
      </w:divBdr>
      <w:divsChild>
        <w:div w:id="985403339">
          <w:marLeft w:val="547"/>
          <w:marRight w:val="0"/>
          <w:marTop w:val="0"/>
          <w:marBottom w:val="0"/>
          <w:divBdr>
            <w:top w:val="none" w:sz="0" w:space="0" w:color="auto"/>
            <w:left w:val="none" w:sz="0" w:space="0" w:color="auto"/>
            <w:bottom w:val="none" w:sz="0" w:space="0" w:color="auto"/>
            <w:right w:val="none" w:sz="0" w:space="0" w:color="auto"/>
          </w:divBdr>
        </w:div>
      </w:divsChild>
    </w:div>
    <w:div w:id="1755542389">
      <w:bodyDiv w:val="1"/>
      <w:marLeft w:val="0"/>
      <w:marRight w:val="0"/>
      <w:marTop w:val="0"/>
      <w:marBottom w:val="0"/>
      <w:divBdr>
        <w:top w:val="none" w:sz="0" w:space="0" w:color="auto"/>
        <w:left w:val="none" w:sz="0" w:space="0" w:color="auto"/>
        <w:bottom w:val="none" w:sz="0" w:space="0" w:color="auto"/>
        <w:right w:val="none" w:sz="0" w:space="0" w:color="auto"/>
      </w:divBdr>
    </w:div>
    <w:div w:id="1812478720">
      <w:bodyDiv w:val="1"/>
      <w:marLeft w:val="0"/>
      <w:marRight w:val="0"/>
      <w:marTop w:val="0"/>
      <w:marBottom w:val="0"/>
      <w:divBdr>
        <w:top w:val="none" w:sz="0" w:space="0" w:color="auto"/>
        <w:left w:val="none" w:sz="0" w:space="0" w:color="auto"/>
        <w:bottom w:val="none" w:sz="0" w:space="0" w:color="auto"/>
        <w:right w:val="none" w:sz="0" w:space="0" w:color="auto"/>
      </w:divBdr>
    </w:div>
    <w:div w:id="1845436837">
      <w:bodyDiv w:val="1"/>
      <w:marLeft w:val="0"/>
      <w:marRight w:val="0"/>
      <w:marTop w:val="0"/>
      <w:marBottom w:val="0"/>
      <w:divBdr>
        <w:top w:val="none" w:sz="0" w:space="0" w:color="auto"/>
        <w:left w:val="none" w:sz="0" w:space="0" w:color="auto"/>
        <w:bottom w:val="none" w:sz="0" w:space="0" w:color="auto"/>
        <w:right w:val="none" w:sz="0" w:space="0" w:color="auto"/>
      </w:divBdr>
      <w:divsChild>
        <w:div w:id="262612397">
          <w:marLeft w:val="0"/>
          <w:marRight w:val="0"/>
          <w:marTop w:val="0"/>
          <w:marBottom w:val="0"/>
          <w:divBdr>
            <w:top w:val="none" w:sz="0" w:space="0" w:color="auto"/>
            <w:left w:val="none" w:sz="0" w:space="0" w:color="auto"/>
            <w:bottom w:val="none" w:sz="0" w:space="0" w:color="auto"/>
            <w:right w:val="none" w:sz="0" w:space="0" w:color="auto"/>
          </w:divBdr>
          <w:divsChild>
            <w:div w:id="328027358">
              <w:marLeft w:val="0"/>
              <w:marRight w:val="0"/>
              <w:marTop w:val="0"/>
              <w:marBottom w:val="0"/>
              <w:divBdr>
                <w:top w:val="none" w:sz="0" w:space="0" w:color="auto"/>
                <w:left w:val="none" w:sz="0" w:space="0" w:color="auto"/>
                <w:bottom w:val="none" w:sz="0" w:space="0" w:color="auto"/>
                <w:right w:val="none" w:sz="0" w:space="0" w:color="auto"/>
              </w:divBdr>
              <w:divsChild>
                <w:div w:id="19294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4631">
      <w:bodyDiv w:val="1"/>
      <w:marLeft w:val="0"/>
      <w:marRight w:val="0"/>
      <w:marTop w:val="0"/>
      <w:marBottom w:val="0"/>
      <w:divBdr>
        <w:top w:val="none" w:sz="0" w:space="0" w:color="auto"/>
        <w:left w:val="none" w:sz="0" w:space="0" w:color="auto"/>
        <w:bottom w:val="none" w:sz="0" w:space="0" w:color="auto"/>
        <w:right w:val="none" w:sz="0" w:space="0" w:color="auto"/>
      </w:divBdr>
    </w:div>
    <w:div w:id="1888294729">
      <w:bodyDiv w:val="1"/>
      <w:marLeft w:val="0"/>
      <w:marRight w:val="0"/>
      <w:marTop w:val="0"/>
      <w:marBottom w:val="0"/>
      <w:divBdr>
        <w:top w:val="none" w:sz="0" w:space="0" w:color="auto"/>
        <w:left w:val="none" w:sz="0" w:space="0" w:color="auto"/>
        <w:bottom w:val="none" w:sz="0" w:space="0" w:color="auto"/>
        <w:right w:val="none" w:sz="0" w:space="0" w:color="auto"/>
      </w:divBdr>
    </w:div>
    <w:div w:id="1889994069">
      <w:bodyDiv w:val="1"/>
      <w:marLeft w:val="0"/>
      <w:marRight w:val="0"/>
      <w:marTop w:val="0"/>
      <w:marBottom w:val="0"/>
      <w:divBdr>
        <w:top w:val="none" w:sz="0" w:space="0" w:color="auto"/>
        <w:left w:val="none" w:sz="0" w:space="0" w:color="auto"/>
        <w:bottom w:val="none" w:sz="0" w:space="0" w:color="auto"/>
        <w:right w:val="none" w:sz="0" w:space="0" w:color="auto"/>
      </w:divBdr>
    </w:div>
    <w:div w:id="1912499677">
      <w:bodyDiv w:val="1"/>
      <w:marLeft w:val="0"/>
      <w:marRight w:val="0"/>
      <w:marTop w:val="0"/>
      <w:marBottom w:val="0"/>
      <w:divBdr>
        <w:top w:val="none" w:sz="0" w:space="0" w:color="auto"/>
        <w:left w:val="none" w:sz="0" w:space="0" w:color="auto"/>
        <w:bottom w:val="none" w:sz="0" w:space="0" w:color="auto"/>
        <w:right w:val="none" w:sz="0" w:space="0" w:color="auto"/>
      </w:divBdr>
      <w:divsChild>
        <w:div w:id="957494485">
          <w:marLeft w:val="547"/>
          <w:marRight w:val="0"/>
          <w:marTop w:val="0"/>
          <w:marBottom w:val="0"/>
          <w:divBdr>
            <w:top w:val="none" w:sz="0" w:space="0" w:color="auto"/>
            <w:left w:val="none" w:sz="0" w:space="0" w:color="auto"/>
            <w:bottom w:val="none" w:sz="0" w:space="0" w:color="auto"/>
            <w:right w:val="none" w:sz="0" w:space="0" w:color="auto"/>
          </w:divBdr>
        </w:div>
      </w:divsChild>
    </w:div>
    <w:div w:id="1918978034">
      <w:bodyDiv w:val="1"/>
      <w:marLeft w:val="0"/>
      <w:marRight w:val="0"/>
      <w:marTop w:val="0"/>
      <w:marBottom w:val="0"/>
      <w:divBdr>
        <w:top w:val="none" w:sz="0" w:space="0" w:color="auto"/>
        <w:left w:val="none" w:sz="0" w:space="0" w:color="auto"/>
        <w:bottom w:val="none" w:sz="0" w:space="0" w:color="auto"/>
        <w:right w:val="none" w:sz="0" w:space="0" w:color="auto"/>
      </w:divBdr>
      <w:divsChild>
        <w:div w:id="72361149">
          <w:marLeft w:val="547"/>
          <w:marRight w:val="0"/>
          <w:marTop w:val="0"/>
          <w:marBottom w:val="0"/>
          <w:divBdr>
            <w:top w:val="none" w:sz="0" w:space="0" w:color="auto"/>
            <w:left w:val="none" w:sz="0" w:space="0" w:color="auto"/>
            <w:bottom w:val="none" w:sz="0" w:space="0" w:color="auto"/>
            <w:right w:val="none" w:sz="0" w:space="0" w:color="auto"/>
          </w:divBdr>
        </w:div>
      </w:divsChild>
    </w:div>
    <w:div w:id="1919632494">
      <w:bodyDiv w:val="1"/>
      <w:marLeft w:val="0"/>
      <w:marRight w:val="0"/>
      <w:marTop w:val="0"/>
      <w:marBottom w:val="0"/>
      <w:divBdr>
        <w:top w:val="none" w:sz="0" w:space="0" w:color="auto"/>
        <w:left w:val="none" w:sz="0" w:space="0" w:color="auto"/>
        <w:bottom w:val="none" w:sz="0" w:space="0" w:color="auto"/>
        <w:right w:val="none" w:sz="0" w:space="0" w:color="auto"/>
      </w:divBdr>
    </w:div>
    <w:div w:id="1922442458">
      <w:bodyDiv w:val="1"/>
      <w:marLeft w:val="0"/>
      <w:marRight w:val="0"/>
      <w:marTop w:val="0"/>
      <w:marBottom w:val="0"/>
      <w:divBdr>
        <w:top w:val="none" w:sz="0" w:space="0" w:color="auto"/>
        <w:left w:val="none" w:sz="0" w:space="0" w:color="auto"/>
        <w:bottom w:val="none" w:sz="0" w:space="0" w:color="auto"/>
        <w:right w:val="none" w:sz="0" w:space="0" w:color="auto"/>
      </w:divBdr>
    </w:div>
    <w:div w:id="1937518107">
      <w:bodyDiv w:val="1"/>
      <w:marLeft w:val="0"/>
      <w:marRight w:val="0"/>
      <w:marTop w:val="0"/>
      <w:marBottom w:val="0"/>
      <w:divBdr>
        <w:top w:val="none" w:sz="0" w:space="0" w:color="auto"/>
        <w:left w:val="none" w:sz="0" w:space="0" w:color="auto"/>
        <w:bottom w:val="none" w:sz="0" w:space="0" w:color="auto"/>
        <w:right w:val="none" w:sz="0" w:space="0" w:color="auto"/>
      </w:divBdr>
      <w:divsChild>
        <w:div w:id="1152409866">
          <w:marLeft w:val="547"/>
          <w:marRight w:val="0"/>
          <w:marTop w:val="0"/>
          <w:marBottom w:val="0"/>
          <w:divBdr>
            <w:top w:val="none" w:sz="0" w:space="0" w:color="auto"/>
            <w:left w:val="none" w:sz="0" w:space="0" w:color="auto"/>
            <w:bottom w:val="none" w:sz="0" w:space="0" w:color="auto"/>
            <w:right w:val="none" w:sz="0" w:space="0" w:color="auto"/>
          </w:divBdr>
        </w:div>
      </w:divsChild>
    </w:div>
    <w:div w:id="2014145063">
      <w:bodyDiv w:val="1"/>
      <w:marLeft w:val="0"/>
      <w:marRight w:val="0"/>
      <w:marTop w:val="0"/>
      <w:marBottom w:val="0"/>
      <w:divBdr>
        <w:top w:val="none" w:sz="0" w:space="0" w:color="auto"/>
        <w:left w:val="none" w:sz="0" w:space="0" w:color="auto"/>
        <w:bottom w:val="none" w:sz="0" w:space="0" w:color="auto"/>
        <w:right w:val="none" w:sz="0" w:space="0" w:color="auto"/>
      </w:divBdr>
    </w:div>
    <w:div w:id="2025857297">
      <w:bodyDiv w:val="1"/>
      <w:marLeft w:val="0"/>
      <w:marRight w:val="0"/>
      <w:marTop w:val="0"/>
      <w:marBottom w:val="0"/>
      <w:divBdr>
        <w:top w:val="none" w:sz="0" w:space="0" w:color="auto"/>
        <w:left w:val="none" w:sz="0" w:space="0" w:color="auto"/>
        <w:bottom w:val="none" w:sz="0" w:space="0" w:color="auto"/>
        <w:right w:val="none" w:sz="0" w:space="0" w:color="auto"/>
      </w:divBdr>
    </w:div>
    <w:div w:id="2036077482">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66179642">
      <w:bodyDiv w:val="1"/>
      <w:marLeft w:val="0"/>
      <w:marRight w:val="0"/>
      <w:marTop w:val="0"/>
      <w:marBottom w:val="0"/>
      <w:divBdr>
        <w:top w:val="none" w:sz="0" w:space="0" w:color="auto"/>
        <w:left w:val="none" w:sz="0" w:space="0" w:color="auto"/>
        <w:bottom w:val="none" w:sz="0" w:space="0" w:color="auto"/>
        <w:right w:val="none" w:sz="0" w:space="0" w:color="auto"/>
      </w:divBdr>
    </w:div>
    <w:div w:id="210949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chart" Target="charts/chart6.xml"/><Relationship Id="rId39" Type="http://schemas.openxmlformats.org/officeDocument/2006/relationships/image" Target="media/image8.emf"/><Relationship Id="rId21" Type="http://schemas.openxmlformats.org/officeDocument/2006/relationships/chart" Target="charts/chart1.xml"/><Relationship Id="rId34" Type="http://schemas.openxmlformats.org/officeDocument/2006/relationships/chart" Target="charts/chart10.xml"/><Relationship Id="rId42" Type="http://schemas.openxmlformats.org/officeDocument/2006/relationships/image" Target="media/image11.emf"/><Relationship Id="rId47" Type="http://schemas.openxmlformats.org/officeDocument/2006/relationships/image" Target="media/image16.png"/><Relationship Id="rId50" Type="http://schemas.openxmlformats.org/officeDocument/2006/relationships/image" Target="media/image19.emf"/><Relationship Id="rId55" Type="http://schemas.openxmlformats.org/officeDocument/2006/relationships/image" Target="media/image24.png"/><Relationship Id="rId63" Type="http://schemas.openxmlformats.org/officeDocument/2006/relationships/chart" Target="charts/chart19.xml"/><Relationship Id="rId68"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image" Target="media/image1.png"/><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image" Target="media/image4.png"/><Relationship Id="rId37" Type="http://schemas.openxmlformats.org/officeDocument/2006/relationships/image" Target="media/image6.png"/><Relationship Id="rId40" Type="http://schemas.openxmlformats.org/officeDocument/2006/relationships/image" Target="media/image9.emf"/><Relationship Id="rId45" Type="http://schemas.openxmlformats.org/officeDocument/2006/relationships/image" Target="media/image14.png"/><Relationship Id="rId53" Type="http://schemas.openxmlformats.org/officeDocument/2006/relationships/image" Target="media/image22.emf"/><Relationship Id="rId58" Type="http://schemas.openxmlformats.org/officeDocument/2006/relationships/chart" Target="charts/chart14.xml"/><Relationship Id="rId66"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image" Target="media/image5.png"/><Relationship Id="rId49" Type="http://schemas.openxmlformats.org/officeDocument/2006/relationships/image" Target="media/image18.emf"/><Relationship Id="rId57" Type="http://schemas.openxmlformats.org/officeDocument/2006/relationships/chart" Target="charts/chart13.xml"/><Relationship Id="rId61"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image" Target="media/image13.png"/><Relationship Id="rId52" Type="http://schemas.openxmlformats.org/officeDocument/2006/relationships/image" Target="media/image21.emf"/><Relationship Id="rId60" Type="http://schemas.openxmlformats.org/officeDocument/2006/relationships/chart" Target="charts/chart16.xml"/><Relationship Id="rId65" Type="http://schemas.openxmlformats.org/officeDocument/2006/relationships/footer" Target="footer6.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image" Target="media/image2.png"/><Relationship Id="rId35" Type="http://schemas.openxmlformats.org/officeDocument/2006/relationships/chart" Target="charts/chart11.xml"/><Relationship Id="rId43" Type="http://schemas.openxmlformats.org/officeDocument/2006/relationships/image" Target="media/image12.png"/><Relationship Id="rId48" Type="http://schemas.openxmlformats.org/officeDocument/2006/relationships/image" Target="media/image17.emf"/><Relationship Id="rId56" Type="http://schemas.openxmlformats.org/officeDocument/2006/relationships/chart" Target="charts/chart12.xml"/><Relationship Id="rId64" Type="http://schemas.openxmlformats.org/officeDocument/2006/relationships/chart" Target="charts/chart20.xml"/><Relationship Id="rId69"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image" Target="media/image20.e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chart" Target="charts/chart5.xml"/><Relationship Id="rId33" Type="http://schemas.openxmlformats.org/officeDocument/2006/relationships/chart" Target="charts/chart9.xml"/><Relationship Id="rId38" Type="http://schemas.openxmlformats.org/officeDocument/2006/relationships/image" Target="media/image7.png"/><Relationship Id="rId46" Type="http://schemas.openxmlformats.org/officeDocument/2006/relationships/image" Target="media/image15.png"/><Relationship Id="rId59" Type="http://schemas.openxmlformats.org/officeDocument/2006/relationships/chart" Target="charts/chart15.xml"/><Relationship Id="rId67" Type="http://schemas.openxmlformats.org/officeDocument/2006/relationships/header" Target="header7.xml"/><Relationship Id="rId20" Type="http://schemas.openxmlformats.org/officeDocument/2006/relationships/footer" Target="footer5.xml"/><Relationship Id="rId41" Type="http://schemas.openxmlformats.org/officeDocument/2006/relationships/image" Target="media/image10.emf"/><Relationship Id="rId54" Type="http://schemas.openxmlformats.org/officeDocument/2006/relationships/image" Target="media/image23.emf"/><Relationship Id="rId62" Type="http://schemas.openxmlformats.org/officeDocument/2006/relationships/chart" Target="charts/chart18.xml"/><Relationship Id="rId7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cancelaria.gov.md/sites/default/files/document/attachments/ghid_expost_final_pdf.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resource.html?uri=cellar:aa85fa9a-65a0-11e8-ab9c-01aa75ed71a1.0009.02/DOC_1&amp;forma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oleObject" Target="file:///D:\Anatoli%20Dell\Proiecte\Proiecte%202021\SNARD%202021\Materiale\Statistica\Total%20export%20agrioalimentar%20nou%2009.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oleObject" Target="file:///E:\DATA%20EH\05_Projects\2021\SNARD%202021\Data%20new\01_Contributia%20AE%20la%20VAB.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percentStacked"/>
        <c:varyColors val="0"/>
        <c:ser>
          <c:idx val="0"/>
          <c:order val="0"/>
          <c:tx>
            <c:strRef>
              <c:f>Sheet2!$O$30</c:f>
              <c:strCache>
                <c:ptCount val="1"/>
                <c:pt idx="0">
                  <c:v>Agricultură</c:v>
                </c:pt>
              </c:strCache>
            </c:strRef>
          </c:tx>
          <c:spPr>
            <a:solidFill>
              <a:schemeClr val="accent3">
                <a:shade val="58000"/>
              </a:schemeClr>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Sheet2!$P$29:$Z$29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Sheet2!$P$30:$Z$30</c:f>
              <c:numCache>
                <c:formatCode>0.0%</c:formatCode>
                <c:ptCount val="11"/>
                <c:pt idx="0">
                  <c:v>0.12958336876009421</c:v>
                </c:pt>
                <c:pt idx="1">
                  <c:v>0.13257941692828709</c:v>
                </c:pt>
                <c:pt idx="2">
                  <c:v>0.12118903033481203</c:v>
                </c:pt>
                <c:pt idx="3">
                  <c:v>0.13438025219687183</c:v>
                </c:pt>
                <c:pt idx="4">
                  <c:v>0.14074918636350345</c:v>
                </c:pt>
                <c:pt idx="5">
                  <c:v>0.13197608203242953</c:v>
                </c:pt>
                <c:pt idx="6">
                  <c:v>0.13010926366177791</c:v>
                </c:pt>
                <c:pt idx="7">
                  <c:v>0.13255648951198878</c:v>
                </c:pt>
                <c:pt idx="8">
                  <c:v>0.11877306840995196</c:v>
                </c:pt>
                <c:pt idx="9">
                  <c:v>0.11688054763376726</c:v>
                </c:pt>
                <c:pt idx="10">
                  <c:v>0.11043753733474658</c:v>
                </c:pt>
              </c:numCache>
            </c:numRef>
          </c:val>
          <c:extLst xmlns:c16r2="http://schemas.microsoft.com/office/drawing/2015/06/chart">
            <c:ext xmlns:c16="http://schemas.microsoft.com/office/drawing/2014/chart" uri="{C3380CC4-5D6E-409C-BE32-E72D297353CC}">
              <c16:uniqueId val="{00000000-87BB-4CB7-8BB6-328B0981BB21}"/>
            </c:ext>
          </c:extLst>
        </c:ser>
        <c:ser>
          <c:idx val="1"/>
          <c:order val="1"/>
          <c:tx>
            <c:strRef>
              <c:f>Sheet2!$O$31</c:f>
              <c:strCache>
                <c:ptCount val="1"/>
                <c:pt idx="0">
                  <c:v>Industrie</c:v>
                </c:pt>
              </c:strCache>
            </c:strRef>
          </c:tx>
          <c:spPr>
            <a:solidFill>
              <a:schemeClr val="accent3">
                <a:shade val="86000"/>
              </a:schemeClr>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Sheet2!$P$29:$Z$29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Sheet2!$P$31:$Z$31</c:f>
              <c:numCache>
                <c:formatCode>0.0%</c:formatCode>
                <c:ptCount val="11"/>
                <c:pt idx="0">
                  <c:v>0.15942701995731273</c:v>
                </c:pt>
                <c:pt idx="1">
                  <c:v>0.16739190922834776</c:v>
                </c:pt>
                <c:pt idx="2">
                  <c:v>0.16778304699266941</c:v>
                </c:pt>
                <c:pt idx="3">
                  <c:v>0.17334094503020708</c:v>
                </c:pt>
                <c:pt idx="4">
                  <c:v>0.17511914172525381</c:v>
                </c:pt>
                <c:pt idx="5">
                  <c:v>0.17763891867358761</c:v>
                </c:pt>
                <c:pt idx="6">
                  <c:v>0.17561969842058159</c:v>
                </c:pt>
                <c:pt idx="7">
                  <c:v>0.1728664220702395</c:v>
                </c:pt>
                <c:pt idx="8">
                  <c:v>0.17045453242600933</c:v>
                </c:pt>
                <c:pt idx="9">
                  <c:v>0.16051947578285297</c:v>
                </c:pt>
                <c:pt idx="10">
                  <c:v>0.15923607390254763</c:v>
                </c:pt>
              </c:numCache>
            </c:numRef>
          </c:val>
          <c:extLst xmlns:c16r2="http://schemas.microsoft.com/office/drawing/2015/06/chart">
            <c:ext xmlns:c16="http://schemas.microsoft.com/office/drawing/2014/chart" uri="{C3380CC4-5D6E-409C-BE32-E72D297353CC}">
              <c16:uniqueId val="{00000001-87BB-4CB7-8BB6-328B0981BB21}"/>
            </c:ext>
          </c:extLst>
        </c:ser>
        <c:ser>
          <c:idx val="2"/>
          <c:order val="2"/>
          <c:tx>
            <c:strRef>
              <c:f>Sheet2!$O$32</c:f>
              <c:strCache>
                <c:ptCount val="1"/>
                <c:pt idx="0">
                  <c:v>Construcţii</c:v>
                </c:pt>
              </c:strCache>
            </c:strRef>
          </c:tx>
          <c:spPr>
            <a:solidFill>
              <a:schemeClr val="accent3">
                <a:tint val="86000"/>
              </a:schemeClr>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Sheet2!$P$29:$Z$29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Sheet2!$P$32:$Z$32</c:f>
              <c:numCache>
                <c:formatCode>0.0%</c:formatCode>
                <c:ptCount val="11"/>
                <c:pt idx="0">
                  <c:v>7.7812610250354949E-2</c:v>
                </c:pt>
                <c:pt idx="1">
                  <c:v>7.6131422528184306E-2</c:v>
                </c:pt>
                <c:pt idx="2">
                  <c:v>7.9445342675913744E-2</c:v>
                </c:pt>
                <c:pt idx="3">
                  <c:v>7.7997603252935754E-2</c:v>
                </c:pt>
                <c:pt idx="4">
                  <c:v>8.2177253190129529E-2</c:v>
                </c:pt>
                <c:pt idx="5">
                  <c:v>8.2633580511977139E-2</c:v>
                </c:pt>
                <c:pt idx="6">
                  <c:v>7.8253339479812042E-2</c:v>
                </c:pt>
                <c:pt idx="7">
                  <c:v>7.9884536370362344E-2</c:v>
                </c:pt>
                <c:pt idx="8">
                  <c:v>9.148876824215578E-2</c:v>
                </c:pt>
                <c:pt idx="9">
                  <c:v>9.8425178812401107E-2</c:v>
                </c:pt>
                <c:pt idx="10">
                  <c:v>0.10506753484353663</c:v>
                </c:pt>
              </c:numCache>
            </c:numRef>
          </c:val>
          <c:extLst xmlns:c16r2="http://schemas.microsoft.com/office/drawing/2015/06/chart">
            <c:ext xmlns:c16="http://schemas.microsoft.com/office/drawing/2014/chart" uri="{C3380CC4-5D6E-409C-BE32-E72D297353CC}">
              <c16:uniqueId val="{00000002-87BB-4CB7-8BB6-328B0981BB21}"/>
            </c:ext>
          </c:extLst>
        </c:ser>
        <c:ser>
          <c:idx val="3"/>
          <c:order val="3"/>
          <c:tx>
            <c:strRef>
              <c:f>Sheet2!$O$33</c:f>
              <c:strCache>
                <c:ptCount val="1"/>
                <c:pt idx="0">
                  <c:v>Servicii</c:v>
                </c:pt>
              </c:strCache>
            </c:strRef>
          </c:tx>
          <c:spPr>
            <a:solidFill>
              <a:schemeClr val="accent3">
                <a:tint val="58000"/>
              </a:schemeClr>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Sheet2!$P$29:$Z$29</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Sheet2!$P$33:$Z$33</c:f>
              <c:numCache>
                <c:formatCode>0.0%</c:formatCode>
                <c:ptCount val="11"/>
                <c:pt idx="0">
                  <c:v>0.63317700103223795</c:v>
                </c:pt>
                <c:pt idx="1">
                  <c:v>0.62389725131518037</c:v>
                </c:pt>
                <c:pt idx="2">
                  <c:v>0.63158257999660516</c:v>
                </c:pt>
                <c:pt idx="3">
                  <c:v>0.61428119951998505</c:v>
                </c:pt>
                <c:pt idx="4">
                  <c:v>0.60195441872111277</c:v>
                </c:pt>
                <c:pt idx="5">
                  <c:v>0.60775141878200545</c:v>
                </c:pt>
                <c:pt idx="6">
                  <c:v>0.61601769843782805</c:v>
                </c:pt>
                <c:pt idx="7">
                  <c:v>0.61469255204740936</c:v>
                </c:pt>
                <c:pt idx="8">
                  <c:v>0.61928363092188299</c:v>
                </c:pt>
                <c:pt idx="9">
                  <c:v>0.62417479777097873</c:v>
                </c:pt>
                <c:pt idx="10">
                  <c:v>0.62525885391916924</c:v>
                </c:pt>
              </c:numCache>
            </c:numRef>
          </c:val>
          <c:extLst xmlns:c16r2="http://schemas.microsoft.com/office/drawing/2015/06/chart">
            <c:ext xmlns:c16="http://schemas.microsoft.com/office/drawing/2014/chart" uri="{C3380CC4-5D6E-409C-BE32-E72D297353CC}">
              <c16:uniqueId val="{00000003-87BB-4CB7-8BB6-328B0981BB21}"/>
            </c:ext>
          </c:extLst>
        </c:ser>
        <c:dLbls>
          <c:showLegendKey val="0"/>
          <c:showVal val="0"/>
          <c:showCatName val="0"/>
          <c:showSerName val="0"/>
          <c:showPercent val="0"/>
          <c:showBubbleSize val="0"/>
        </c:dLbls>
        <c:gapWidth val="30"/>
        <c:overlap val="100"/>
        <c:axId val="620058256"/>
        <c:axId val="620060216"/>
      </c:barChart>
      <c:catAx>
        <c:axId val="62005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20060216"/>
        <c:crosses val="autoZero"/>
        <c:auto val="1"/>
        <c:lblAlgn val="ctr"/>
        <c:lblOffset val="100"/>
        <c:noMultiLvlLbl val="0"/>
      </c:catAx>
      <c:valAx>
        <c:axId val="620060216"/>
        <c:scaling>
          <c:orientation val="minMax"/>
        </c:scaling>
        <c:delete val="1"/>
        <c:axPos val="l"/>
        <c:numFmt formatCode="0%" sourceLinked="1"/>
        <c:majorTickMark val="none"/>
        <c:minorTickMark val="none"/>
        <c:tickLblPos val="nextTo"/>
        <c:crossAx val="62005825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rgbClr val="000000"/>
                </a:solidFill>
                <a:latin typeface="Arial Cyr"/>
                <a:ea typeface="Arial Cyr"/>
                <a:cs typeface="Arial Cyr"/>
              </a:defRPr>
            </a:pPr>
            <a:r>
              <a:rPr lang="ru-RU" sz="1800"/>
              <a:t> </a:t>
            </a:r>
          </a:p>
        </c:rich>
      </c:tx>
      <c:layout>
        <c:manualLayout>
          <c:xMode val="edge"/>
          <c:yMode val="edge"/>
          <c:x val="0.12879636965297203"/>
          <c:y val="1.5302163316541955E-2"/>
        </c:manualLayout>
      </c:layout>
      <c:overlay val="0"/>
      <c:spPr>
        <a:noFill/>
        <a:ln w="25400">
          <a:noFill/>
        </a:ln>
      </c:spPr>
    </c:title>
    <c:autoTitleDeleted val="0"/>
    <c:plotArea>
      <c:layout>
        <c:manualLayout>
          <c:layoutTarget val="inner"/>
          <c:xMode val="edge"/>
          <c:yMode val="edge"/>
          <c:x val="7.2954651301324627E-2"/>
          <c:y val="9.2812618412122072E-2"/>
          <c:w val="0.90860444714011845"/>
          <c:h val="0.82015414916075735"/>
        </c:manualLayout>
      </c:layout>
      <c:lineChart>
        <c:grouping val="standard"/>
        <c:varyColors val="0"/>
        <c:ser>
          <c:idx val="0"/>
          <c:order val="0"/>
          <c:tx>
            <c:v>anii agricoli</c:v>
          </c:tx>
          <c:marker>
            <c:symbol val="none"/>
          </c:marker>
          <c:trendline>
            <c:spPr>
              <a:ln w="28575"/>
            </c:spPr>
            <c:trendlineType val="poly"/>
            <c:order val="4"/>
            <c:dispRSqr val="0"/>
            <c:dispEq val="1"/>
            <c:trendlineLbl>
              <c:layout>
                <c:manualLayout>
                  <c:x val="-0.22249561496003706"/>
                  <c:y val="0.64663915257153415"/>
                </c:manualLayout>
              </c:layout>
              <c:numFmt formatCode="General" sourceLinked="0"/>
              <c:txPr>
                <a:bodyPr/>
                <a:lstStyle/>
                <a:p>
                  <a:pPr>
                    <a:defRPr sz="1000"/>
                  </a:pPr>
                  <a:endParaRPr lang="en-US"/>
                </a:p>
              </c:txPr>
            </c:trendlineLbl>
          </c:trendline>
          <c:cat>
            <c:strRef>
              <c:f>'[Диаграмма в Microsoft Word]Температура'!$A$5:$A$79</c:f>
              <c:strCache>
                <c:ptCount val="75"/>
                <c:pt idx="0">
                  <c:v>1945-1946</c:v>
                </c:pt>
                <c:pt idx="1">
                  <c:v>1946-1947</c:v>
                </c:pt>
                <c:pt idx="2">
                  <c:v>1947-1948</c:v>
                </c:pt>
                <c:pt idx="3">
                  <c:v>1948-1949</c:v>
                </c:pt>
                <c:pt idx="4">
                  <c:v>1949-1950</c:v>
                </c:pt>
                <c:pt idx="5">
                  <c:v>1950-1951</c:v>
                </c:pt>
                <c:pt idx="6">
                  <c:v>1951-1952</c:v>
                </c:pt>
                <c:pt idx="7">
                  <c:v>1952-1953</c:v>
                </c:pt>
                <c:pt idx="8">
                  <c:v>1953-1954</c:v>
                </c:pt>
                <c:pt idx="9">
                  <c:v>1954-1955</c:v>
                </c:pt>
                <c:pt idx="10">
                  <c:v>1955-1956</c:v>
                </c:pt>
                <c:pt idx="11">
                  <c:v>1956-1957</c:v>
                </c:pt>
                <c:pt idx="12">
                  <c:v>1957-1958</c:v>
                </c:pt>
                <c:pt idx="13">
                  <c:v>1958-1959</c:v>
                </c:pt>
                <c:pt idx="14">
                  <c:v>1959-1960</c:v>
                </c:pt>
                <c:pt idx="15">
                  <c:v>1960-1961</c:v>
                </c:pt>
                <c:pt idx="16">
                  <c:v>1961-1962</c:v>
                </c:pt>
                <c:pt idx="17">
                  <c:v>1962-1963</c:v>
                </c:pt>
                <c:pt idx="18">
                  <c:v>1963-1964</c:v>
                </c:pt>
                <c:pt idx="19">
                  <c:v>1964-1965</c:v>
                </c:pt>
                <c:pt idx="20">
                  <c:v>1965-1966</c:v>
                </c:pt>
                <c:pt idx="21">
                  <c:v>1966-1967</c:v>
                </c:pt>
                <c:pt idx="22">
                  <c:v>1967-1968</c:v>
                </c:pt>
                <c:pt idx="23">
                  <c:v>1968-1969</c:v>
                </c:pt>
                <c:pt idx="24">
                  <c:v>1969-1970</c:v>
                </c:pt>
                <c:pt idx="25">
                  <c:v>1970-1971</c:v>
                </c:pt>
                <c:pt idx="26">
                  <c:v>1971-1972</c:v>
                </c:pt>
                <c:pt idx="27">
                  <c:v>1972-1973</c:v>
                </c:pt>
                <c:pt idx="28">
                  <c:v>1973-1974</c:v>
                </c:pt>
                <c:pt idx="29">
                  <c:v>1974-1975</c:v>
                </c:pt>
                <c:pt idx="30">
                  <c:v>1975-1976</c:v>
                </c:pt>
                <c:pt idx="31">
                  <c:v>1976-1977</c:v>
                </c:pt>
                <c:pt idx="32">
                  <c:v>1977-1978</c:v>
                </c:pt>
                <c:pt idx="33">
                  <c:v>1978-1979</c:v>
                </c:pt>
                <c:pt idx="34">
                  <c:v>1979-1980</c:v>
                </c:pt>
                <c:pt idx="35">
                  <c:v>1980-1981</c:v>
                </c:pt>
                <c:pt idx="36">
                  <c:v>1981-1982</c:v>
                </c:pt>
                <c:pt idx="37">
                  <c:v>1982-1983</c:v>
                </c:pt>
                <c:pt idx="38">
                  <c:v>1983-1984</c:v>
                </c:pt>
                <c:pt idx="39">
                  <c:v>1984-1985</c:v>
                </c:pt>
                <c:pt idx="40">
                  <c:v>1985-1986</c:v>
                </c:pt>
                <c:pt idx="41">
                  <c:v>1986-1987</c:v>
                </c:pt>
                <c:pt idx="42">
                  <c:v>1987-1988</c:v>
                </c:pt>
                <c:pt idx="43">
                  <c:v>1988-1989</c:v>
                </c:pt>
                <c:pt idx="44">
                  <c:v>1989-1990</c:v>
                </c:pt>
                <c:pt idx="45">
                  <c:v>1990-1991</c:v>
                </c:pt>
                <c:pt idx="46">
                  <c:v>1991-1992</c:v>
                </c:pt>
                <c:pt idx="47">
                  <c:v>1992-1993</c:v>
                </c:pt>
                <c:pt idx="48">
                  <c:v>1993-1994</c:v>
                </c:pt>
                <c:pt idx="49">
                  <c:v>1994-1995</c:v>
                </c:pt>
                <c:pt idx="50">
                  <c:v>1995-1996</c:v>
                </c:pt>
                <c:pt idx="51">
                  <c:v>1996-1997</c:v>
                </c:pt>
                <c:pt idx="52">
                  <c:v>1997-1998</c:v>
                </c:pt>
                <c:pt idx="53">
                  <c:v>1998-1999</c:v>
                </c:pt>
                <c:pt idx="54">
                  <c:v>1999-2000</c:v>
                </c:pt>
                <c:pt idx="55">
                  <c:v>2000-2001</c:v>
                </c:pt>
                <c:pt idx="56">
                  <c:v>2001-2002</c:v>
                </c:pt>
                <c:pt idx="57">
                  <c:v>2002-2003</c:v>
                </c:pt>
                <c:pt idx="58">
                  <c:v>2003-2004</c:v>
                </c:pt>
                <c:pt idx="59">
                  <c:v>2004-2005</c:v>
                </c:pt>
                <c:pt idx="60">
                  <c:v>2005-2006</c:v>
                </c:pt>
                <c:pt idx="61">
                  <c:v>2006-2007</c:v>
                </c:pt>
                <c:pt idx="62">
                  <c:v>2007-2008</c:v>
                </c:pt>
                <c:pt idx="63">
                  <c:v>2008-2009</c:v>
                </c:pt>
                <c:pt idx="64">
                  <c:v>2009-2010</c:v>
                </c:pt>
                <c:pt idx="65">
                  <c:v>2010-2011</c:v>
                </c:pt>
                <c:pt idx="66">
                  <c:v>2011-2012</c:v>
                </c:pt>
                <c:pt idx="67">
                  <c:v>2012-2013</c:v>
                </c:pt>
                <c:pt idx="68">
                  <c:v>2013-2014</c:v>
                </c:pt>
                <c:pt idx="69">
                  <c:v>2014-2015</c:v>
                </c:pt>
                <c:pt idx="70">
                  <c:v>2015-2016</c:v>
                </c:pt>
                <c:pt idx="71">
                  <c:v>2016-2017</c:v>
                </c:pt>
                <c:pt idx="72">
                  <c:v>2017-2018</c:v>
                </c:pt>
                <c:pt idx="73">
                  <c:v>2018-2019</c:v>
                </c:pt>
                <c:pt idx="74">
                  <c:v>2019-2020</c:v>
                </c:pt>
              </c:strCache>
            </c:strRef>
          </c:cat>
          <c:val>
            <c:numRef>
              <c:f>'[Диаграмма в Microsoft Word]Температура'!$B$5:$B$79</c:f>
              <c:numCache>
                <c:formatCode>0.00</c:formatCode>
                <c:ptCount val="75"/>
                <c:pt idx="0">
                  <c:v>10.18</c:v>
                </c:pt>
                <c:pt idx="1">
                  <c:v>8.4699999999999989</c:v>
                </c:pt>
                <c:pt idx="2">
                  <c:v>9.4274999999999984</c:v>
                </c:pt>
                <c:pt idx="3">
                  <c:v>8.4274999999999984</c:v>
                </c:pt>
                <c:pt idx="4">
                  <c:v>9.2949999999999999</c:v>
                </c:pt>
                <c:pt idx="5">
                  <c:v>10.1425</c:v>
                </c:pt>
                <c:pt idx="6">
                  <c:v>9.6125000000000007</c:v>
                </c:pt>
                <c:pt idx="7">
                  <c:v>9.23</c:v>
                </c:pt>
                <c:pt idx="8">
                  <c:v>7.43</c:v>
                </c:pt>
                <c:pt idx="9">
                  <c:v>8.817499999999999</c:v>
                </c:pt>
                <c:pt idx="10">
                  <c:v>8.5124999999999993</c:v>
                </c:pt>
                <c:pt idx="11">
                  <c:v>8.3625000000000007</c:v>
                </c:pt>
                <c:pt idx="12">
                  <c:v>9.33</c:v>
                </c:pt>
                <c:pt idx="13">
                  <c:v>9.5350000000000001</c:v>
                </c:pt>
                <c:pt idx="14">
                  <c:v>8.7925000000000004</c:v>
                </c:pt>
                <c:pt idx="15">
                  <c:v>10.2075</c:v>
                </c:pt>
                <c:pt idx="16">
                  <c:v>9.33</c:v>
                </c:pt>
                <c:pt idx="17">
                  <c:v>8.4624999999999986</c:v>
                </c:pt>
                <c:pt idx="18">
                  <c:v>8.3975000000000009</c:v>
                </c:pt>
                <c:pt idx="19">
                  <c:v>8.7125000000000004</c:v>
                </c:pt>
                <c:pt idx="20">
                  <c:v>9.7874999999999996</c:v>
                </c:pt>
                <c:pt idx="21">
                  <c:v>9.18</c:v>
                </c:pt>
                <c:pt idx="22">
                  <c:v>9.7575000000000003</c:v>
                </c:pt>
                <c:pt idx="23">
                  <c:v>7.9399999999999995</c:v>
                </c:pt>
                <c:pt idx="24">
                  <c:v>9.1550000000000011</c:v>
                </c:pt>
                <c:pt idx="25">
                  <c:v>9.2750000000000004</c:v>
                </c:pt>
                <c:pt idx="26">
                  <c:v>9.3475000000000001</c:v>
                </c:pt>
                <c:pt idx="27">
                  <c:v>8.9</c:v>
                </c:pt>
                <c:pt idx="28">
                  <c:v>8.82</c:v>
                </c:pt>
                <c:pt idx="29">
                  <c:v>10.379999999999999</c:v>
                </c:pt>
                <c:pt idx="30">
                  <c:v>8.3049999999999997</c:v>
                </c:pt>
                <c:pt idx="31">
                  <c:v>8.879999999999999</c:v>
                </c:pt>
                <c:pt idx="32">
                  <c:v>8.3699999999999992</c:v>
                </c:pt>
                <c:pt idx="33">
                  <c:v>8.9499999999999993</c:v>
                </c:pt>
                <c:pt idx="34">
                  <c:v>8.0075000000000003</c:v>
                </c:pt>
                <c:pt idx="35">
                  <c:v>8.7824999999999989</c:v>
                </c:pt>
                <c:pt idx="36">
                  <c:v>8.77</c:v>
                </c:pt>
                <c:pt idx="37">
                  <c:v>10.3</c:v>
                </c:pt>
                <c:pt idx="38">
                  <c:v>8.5549999999999997</c:v>
                </c:pt>
                <c:pt idx="39">
                  <c:v>7.7524999999999995</c:v>
                </c:pt>
                <c:pt idx="40">
                  <c:v>9.0075000000000003</c:v>
                </c:pt>
                <c:pt idx="41">
                  <c:v>7.5600000000000005</c:v>
                </c:pt>
                <c:pt idx="42">
                  <c:v>9.0549999999999997</c:v>
                </c:pt>
                <c:pt idx="43">
                  <c:v>9.6449999999999996</c:v>
                </c:pt>
                <c:pt idx="44">
                  <c:v>10.120000000000001</c:v>
                </c:pt>
                <c:pt idx="45">
                  <c:v>9.2225000000000001</c:v>
                </c:pt>
                <c:pt idx="46">
                  <c:v>9.5075000000000003</c:v>
                </c:pt>
                <c:pt idx="47">
                  <c:v>8.9875000000000007</c:v>
                </c:pt>
                <c:pt idx="48">
                  <c:v>9.817499999999999</c:v>
                </c:pt>
                <c:pt idx="49">
                  <c:v>10.004999999999999</c:v>
                </c:pt>
                <c:pt idx="50">
                  <c:v>8.1750000000000007</c:v>
                </c:pt>
                <c:pt idx="51">
                  <c:v>8.8249999999999993</c:v>
                </c:pt>
                <c:pt idx="52">
                  <c:v>9.7125000000000004</c:v>
                </c:pt>
                <c:pt idx="53">
                  <c:v>9.4600000000000009</c:v>
                </c:pt>
                <c:pt idx="54">
                  <c:v>10.1175</c:v>
                </c:pt>
                <c:pt idx="55">
                  <c:v>10.737500000000001</c:v>
                </c:pt>
                <c:pt idx="56">
                  <c:v>10.0975</c:v>
                </c:pt>
                <c:pt idx="57">
                  <c:v>8.9050000000000011</c:v>
                </c:pt>
                <c:pt idx="58">
                  <c:v>9.5625</c:v>
                </c:pt>
                <c:pt idx="59">
                  <c:v>9.8149999999999995</c:v>
                </c:pt>
                <c:pt idx="60">
                  <c:v>9.26</c:v>
                </c:pt>
                <c:pt idx="61">
                  <c:v>10.32</c:v>
                </c:pt>
                <c:pt idx="62" formatCode="General">
                  <c:v>10.63</c:v>
                </c:pt>
                <c:pt idx="63" formatCode="General">
                  <c:v>11.06</c:v>
                </c:pt>
                <c:pt idx="64" formatCode="General">
                  <c:v>10.66</c:v>
                </c:pt>
                <c:pt idx="65" formatCode="General">
                  <c:v>10.37</c:v>
                </c:pt>
                <c:pt idx="66" formatCode="General">
                  <c:v>10.27</c:v>
                </c:pt>
                <c:pt idx="67" formatCode="General">
                  <c:v>10.38</c:v>
                </c:pt>
                <c:pt idx="68" formatCode="General">
                  <c:v>10.54</c:v>
                </c:pt>
                <c:pt idx="69" formatCode="General">
                  <c:v>10.95</c:v>
                </c:pt>
                <c:pt idx="70" formatCode="General">
                  <c:v>10.94</c:v>
                </c:pt>
                <c:pt idx="71" formatCode="General">
                  <c:v>11.03</c:v>
                </c:pt>
                <c:pt idx="72" formatCode="General">
                  <c:v>10.85</c:v>
                </c:pt>
                <c:pt idx="73" formatCode="General">
                  <c:v>11.2</c:v>
                </c:pt>
                <c:pt idx="74" formatCode="General">
                  <c:v>11.38</c:v>
                </c:pt>
              </c:numCache>
            </c:numRef>
          </c:val>
          <c:smooth val="0"/>
          <c:extLst xmlns:c16r2="http://schemas.microsoft.com/office/drawing/2015/06/chart">
            <c:ext xmlns:c16="http://schemas.microsoft.com/office/drawing/2014/chart" uri="{C3380CC4-5D6E-409C-BE32-E72D297353CC}">
              <c16:uniqueId val="{00000000-F339-4335-A89D-C469E0844A26}"/>
            </c:ext>
          </c:extLst>
        </c:ser>
        <c:ser>
          <c:idx val="1"/>
          <c:order val="1"/>
          <c:tx>
            <c:v>polinominală</c:v>
          </c:tx>
          <c:spPr>
            <a:ln>
              <a:solidFill>
                <a:sysClr val="windowText" lastClr="000000"/>
              </a:solidFill>
            </a:ln>
          </c:spPr>
          <c:marker>
            <c:symbol val="none"/>
          </c:marker>
          <c:val>
            <c:numLit>
              <c:formatCode>General</c:formatCode>
              <c:ptCount val="1"/>
              <c:pt idx="0">
                <c:v>1</c:v>
              </c:pt>
            </c:numLit>
          </c:val>
          <c:smooth val="0"/>
          <c:extLst xmlns:c16r2="http://schemas.microsoft.com/office/drawing/2015/06/chart">
            <c:ext xmlns:c16="http://schemas.microsoft.com/office/drawing/2014/chart" uri="{C3380CC4-5D6E-409C-BE32-E72D297353CC}">
              <c16:uniqueId val="{00000001-F339-4335-A89D-C469E0844A26}"/>
            </c:ext>
          </c:extLst>
        </c:ser>
        <c:dLbls>
          <c:showLegendKey val="0"/>
          <c:showVal val="0"/>
          <c:showCatName val="0"/>
          <c:showSerName val="0"/>
          <c:showPercent val="0"/>
          <c:showBubbleSize val="0"/>
        </c:dLbls>
        <c:smooth val="0"/>
        <c:axId val="620056688"/>
        <c:axId val="620046888"/>
      </c:lineChart>
      <c:catAx>
        <c:axId val="620056688"/>
        <c:scaling>
          <c:orientation val="minMax"/>
        </c:scaling>
        <c:delete val="0"/>
        <c:axPos val="b"/>
        <c:majorGridlines>
          <c:spPr>
            <a:ln w="3175">
              <a:pattFill prst="pct50">
                <a:fgClr>
                  <a:srgbClr val="000000"/>
                </a:fgClr>
                <a:bgClr>
                  <a:srgbClr val="FFFFFF"/>
                </a:bgClr>
              </a:pattFill>
              <a:prstDash val="solid"/>
            </a:ln>
          </c:spPr>
        </c:majorGridlines>
        <c:numFmt formatCode="General" sourceLinked="1"/>
        <c:majorTickMark val="cross"/>
        <c:minorTickMark val="cross"/>
        <c:tickLblPos val="nextTo"/>
        <c:spPr>
          <a:ln w="25400">
            <a:solidFill>
              <a:srgbClr val="000000"/>
            </a:solidFill>
            <a:prstDash val="solid"/>
          </a:ln>
        </c:spPr>
        <c:txPr>
          <a:bodyPr rot="5400000" vert="horz"/>
          <a:lstStyle/>
          <a:p>
            <a:pPr>
              <a:defRPr sz="690" b="0" i="0" u="none" strike="noStrike" baseline="0">
                <a:solidFill>
                  <a:srgbClr val="000000"/>
                </a:solidFill>
                <a:latin typeface="Arial Cyr"/>
                <a:ea typeface="Arial Cyr"/>
                <a:cs typeface="Arial Cyr"/>
              </a:defRPr>
            </a:pPr>
            <a:endParaRPr lang="en-US"/>
          </a:p>
        </c:txPr>
        <c:crossAx val="620046888"/>
        <c:crossesAt val="200"/>
        <c:auto val="1"/>
        <c:lblAlgn val="ctr"/>
        <c:lblOffset val="10"/>
        <c:tickLblSkip val="2"/>
        <c:tickMarkSkip val="5"/>
        <c:noMultiLvlLbl val="0"/>
      </c:catAx>
      <c:valAx>
        <c:axId val="620046888"/>
        <c:scaling>
          <c:orientation val="minMax"/>
          <c:max val="12"/>
          <c:min val="7"/>
        </c:scaling>
        <c:delete val="0"/>
        <c:axPos val="l"/>
        <c:majorGridlines>
          <c:spPr>
            <a:ln w="3175">
              <a:solidFill>
                <a:srgbClr val="000000"/>
              </a:solidFill>
              <a:prstDash val="sysDash"/>
            </a:ln>
          </c:spPr>
        </c:majorGridlines>
        <c:title>
          <c:tx>
            <c:rich>
              <a:bodyPr/>
              <a:lstStyle/>
              <a:p>
                <a:pPr>
                  <a:defRPr sz="1200" b="1" i="0" u="none" strike="noStrike" baseline="0">
                    <a:solidFill>
                      <a:srgbClr val="000000"/>
                    </a:solidFill>
                    <a:latin typeface="Arial Cyr"/>
                    <a:ea typeface="Arial Cyr"/>
                    <a:cs typeface="Arial Cyr"/>
                  </a:defRPr>
                </a:pPr>
                <a:r>
                  <a:rPr lang="ro-RO" sz="800" b="1" i="0" baseline="0">
                    <a:effectLst/>
                  </a:rPr>
                  <a:t>temperatura anuală</a:t>
                </a:r>
                <a:endParaRPr lang="ru-RU" sz="800">
                  <a:effectLst/>
                </a:endParaRPr>
              </a:p>
            </c:rich>
          </c:tx>
          <c:layout>
            <c:manualLayout>
              <c:xMode val="edge"/>
              <c:yMode val="edge"/>
              <c:x val="1.410318859443313E-3"/>
              <c:y val="0.332115586106172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20056688"/>
        <c:crosses val="autoZero"/>
        <c:crossBetween val="between"/>
        <c:minorUnit val="1"/>
      </c:valAx>
      <c:spPr>
        <a:noFill/>
        <a:ln w="25400">
          <a:noFill/>
        </a:ln>
      </c:spPr>
    </c:plotArea>
    <c:legend>
      <c:legendPos val="b"/>
      <c:legendEntry>
        <c:idx val="2"/>
        <c:delete val="1"/>
      </c:legendEntry>
      <c:layout>
        <c:manualLayout>
          <c:xMode val="edge"/>
          <c:yMode val="edge"/>
          <c:x val="0.23479507369271149"/>
          <c:y val="0.89907172317746009"/>
          <c:w val="0.53040965318417976"/>
          <c:h val="6.6914846329692648E-2"/>
        </c:manualLayout>
      </c:layout>
      <c:overlay val="0"/>
      <c:spPr>
        <a:solidFill>
          <a:srgbClr val="FFFFFF"/>
        </a:solidFill>
        <a:ln w="25400">
          <a:noFill/>
        </a:ln>
      </c:spPr>
      <c:txPr>
        <a:bodyPr/>
        <a:lstStyle/>
        <a:p>
          <a:pPr>
            <a:defRPr sz="1200" b="0" i="0" u="none" strike="noStrike" baseline="0">
              <a:solidFill>
                <a:srgbClr val="000000"/>
              </a:solidFill>
              <a:latin typeface="Arial Cyr"/>
              <a:ea typeface="Arial Cyr"/>
              <a:cs typeface="Arial Cyr"/>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2600" b="0"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rgbClr val="000000"/>
                </a:solidFill>
                <a:latin typeface="Arial Cyr"/>
                <a:ea typeface="Arial Cyr"/>
                <a:cs typeface="Arial Cyr"/>
              </a:defRPr>
            </a:pPr>
            <a:r>
              <a:rPr lang="ru-RU" sz="1800"/>
              <a:t> </a:t>
            </a:r>
          </a:p>
        </c:rich>
      </c:tx>
      <c:layout>
        <c:manualLayout>
          <c:xMode val="edge"/>
          <c:yMode val="edge"/>
          <c:x val="0.22276492528217254"/>
          <c:y val="2.5878598508519771E-2"/>
        </c:manualLayout>
      </c:layout>
      <c:overlay val="0"/>
      <c:spPr>
        <a:noFill/>
        <a:ln w="25400">
          <a:noFill/>
        </a:ln>
      </c:spPr>
    </c:title>
    <c:autoTitleDeleted val="0"/>
    <c:plotArea>
      <c:layout>
        <c:manualLayout>
          <c:layoutTarget val="inner"/>
          <c:xMode val="edge"/>
          <c:yMode val="edge"/>
          <c:x val="0.10184048348839478"/>
          <c:y val="0.11396544760302635"/>
          <c:w val="0.87971861495304837"/>
          <c:h val="0.79005217420270901"/>
        </c:manualLayout>
      </c:layout>
      <c:lineChart>
        <c:grouping val="standard"/>
        <c:varyColors val="0"/>
        <c:ser>
          <c:idx val="0"/>
          <c:order val="0"/>
          <c:tx>
            <c:v>anii agricoli</c:v>
          </c:tx>
          <c:spPr>
            <a:ln>
              <a:prstDash val="solid"/>
            </a:ln>
          </c:spPr>
          <c:marker>
            <c:symbol val="none"/>
          </c:marker>
          <c:trendline>
            <c:trendlineType val="poly"/>
            <c:order val="2"/>
            <c:dispRSqr val="0"/>
            <c:dispEq val="1"/>
            <c:trendlineLbl>
              <c:layout>
                <c:manualLayout>
                  <c:x val="-0.35127059581948539"/>
                  <c:y val="0.23867033287505729"/>
                </c:manualLayout>
              </c:layout>
              <c:numFmt formatCode="General" sourceLinked="0"/>
              <c:txPr>
                <a:bodyPr/>
                <a:lstStyle/>
                <a:p>
                  <a:pPr>
                    <a:defRPr sz="1200"/>
                  </a:pPr>
                  <a:endParaRPr lang="en-US"/>
                </a:p>
              </c:txPr>
            </c:trendlineLbl>
          </c:trendline>
          <c:cat>
            <c:strRef>
              <c:f>'[Диаграмма в Microsoft Word]осадки'!$A$5:$A$79</c:f>
              <c:strCache>
                <c:ptCount val="75"/>
                <c:pt idx="0">
                  <c:v>1945-1946</c:v>
                </c:pt>
                <c:pt idx="1">
                  <c:v>1946-1947</c:v>
                </c:pt>
                <c:pt idx="2">
                  <c:v>1947-1948</c:v>
                </c:pt>
                <c:pt idx="3">
                  <c:v>1948-1949</c:v>
                </c:pt>
                <c:pt idx="4">
                  <c:v>1949-1950</c:v>
                </c:pt>
                <c:pt idx="5">
                  <c:v>1950-1951</c:v>
                </c:pt>
                <c:pt idx="6">
                  <c:v>1951-1952</c:v>
                </c:pt>
                <c:pt idx="7">
                  <c:v>1952-1953</c:v>
                </c:pt>
                <c:pt idx="8">
                  <c:v>1953-1954</c:v>
                </c:pt>
                <c:pt idx="9">
                  <c:v>1954-1955</c:v>
                </c:pt>
                <c:pt idx="10">
                  <c:v>1955-1956</c:v>
                </c:pt>
                <c:pt idx="11">
                  <c:v>1956-1957</c:v>
                </c:pt>
                <c:pt idx="12">
                  <c:v>1957-1958</c:v>
                </c:pt>
                <c:pt idx="13">
                  <c:v>1958-1959</c:v>
                </c:pt>
                <c:pt idx="14">
                  <c:v>1959-1960</c:v>
                </c:pt>
                <c:pt idx="15">
                  <c:v>1960-1961</c:v>
                </c:pt>
                <c:pt idx="16">
                  <c:v>1961-1962</c:v>
                </c:pt>
                <c:pt idx="17">
                  <c:v>1962-1963</c:v>
                </c:pt>
                <c:pt idx="18">
                  <c:v>1963-1964</c:v>
                </c:pt>
                <c:pt idx="19">
                  <c:v>1964-1965</c:v>
                </c:pt>
                <c:pt idx="20">
                  <c:v>1965-1966</c:v>
                </c:pt>
                <c:pt idx="21">
                  <c:v>1966-1967</c:v>
                </c:pt>
                <c:pt idx="22">
                  <c:v>1967-1968</c:v>
                </c:pt>
                <c:pt idx="23">
                  <c:v>1968-1969</c:v>
                </c:pt>
                <c:pt idx="24">
                  <c:v>1969-1970</c:v>
                </c:pt>
                <c:pt idx="25">
                  <c:v>1970-1971</c:v>
                </c:pt>
                <c:pt idx="26">
                  <c:v>1971-1972</c:v>
                </c:pt>
                <c:pt idx="27">
                  <c:v>1972-1973</c:v>
                </c:pt>
                <c:pt idx="28">
                  <c:v>1973-1974</c:v>
                </c:pt>
                <c:pt idx="29">
                  <c:v>1974-1975</c:v>
                </c:pt>
                <c:pt idx="30">
                  <c:v>1975-1976</c:v>
                </c:pt>
                <c:pt idx="31">
                  <c:v>1976-1977</c:v>
                </c:pt>
                <c:pt idx="32">
                  <c:v>1977-1978</c:v>
                </c:pt>
                <c:pt idx="33">
                  <c:v>1978-1979</c:v>
                </c:pt>
                <c:pt idx="34">
                  <c:v>1979-1980</c:v>
                </c:pt>
                <c:pt idx="35">
                  <c:v>1980-1981</c:v>
                </c:pt>
                <c:pt idx="36">
                  <c:v>1981-1982</c:v>
                </c:pt>
                <c:pt idx="37">
                  <c:v>1982-1983</c:v>
                </c:pt>
                <c:pt idx="38">
                  <c:v>1983-1984</c:v>
                </c:pt>
                <c:pt idx="39">
                  <c:v>1984-1985</c:v>
                </c:pt>
                <c:pt idx="40">
                  <c:v>1985-1986</c:v>
                </c:pt>
                <c:pt idx="41">
                  <c:v>1986-1987</c:v>
                </c:pt>
                <c:pt idx="42">
                  <c:v>1987-1988</c:v>
                </c:pt>
                <c:pt idx="43">
                  <c:v>1988-1989</c:v>
                </c:pt>
                <c:pt idx="44">
                  <c:v>1989-1990</c:v>
                </c:pt>
                <c:pt idx="45">
                  <c:v>1990-1991</c:v>
                </c:pt>
                <c:pt idx="46">
                  <c:v>1991-1992</c:v>
                </c:pt>
                <c:pt idx="47">
                  <c:v>1992-1993</c:v>
                </c:pt>
                <c:pt idx="48">
                  <c:v>1993-1994</c:v>
                </c:pt>
                <c:pt idx="49">
                  <c:v>1994-1995</c:v>
                </c:pt>
                <c:pt idx="50">
                  <c:v>1995-1996</c:v>
                </c:pt>
                <c:pt idx="51">
                  <c:v>1996-1997</c:v>
                </c:pt>
                <c:pt idx="52">
                  <c:v>1997-1998</c:v>
                </c:pt>
                <c:pt idx="53">
                  <c:v>1998-1999</c:v>
                </c:pt>
                <c:pt idx="54">
                  <c:v>1999-2000</c:v>
                </c:pt>
                <c:pt idx="55">
                  <c:v>2000-2001</c:v>
                </c:pt>
                <c:pt idx="56">
                  <c:v>2001-2002</c:v>
                </c:pt>
                <c:pt idx="57">
                  <c:v>2002-2003</c:v>
                </c:pt>
                <c:pt idx="58">
                  <c:v>2003-2004</c:v>
                </c:pt>
                <c:pt idx="59">
                  <c:v>2004-2005</c:v>
                </c:pt>
                <c:pt idx="60">
                  <c:v>2005-2006</c:v>
                </c:pt>
                <c:pt idx="61">
                  <c:v>2006-2007</c:v>
                </c:pt>
                <c:pt idx="62">
                  <c:v>2007-2008</c:v>
                </c:pt>
                <c:pt idx="63">
                  <c:v>2008-2009</c:v>
                </c:pt>
                <c:pt idx="64">
                  <c:v>2009-2010</c:v>
                </c:pt>
                <c:pt idx="65">
                  <c:v>2010-2011</c:v>
                </c:pt>
                <c:pt idx="66">
                  <c:v>2011-2012</c:v>
                </c:pt>
                <c:pt idx="67">
                  <c:v>2012-2013</c:v>
                </c:pt>
                <c:pt idx="68">
                  <c:v>2013-2014</c:v>
                </c:pt>
                <c:pt idx="69">
                  <c:v>2014-2015</c:v>
                </c:pt>
                <c:pt idx="70">
                  <c:v>2015-2016</c:v>
                </c:pt>
                <c:pt idx="71">
                  <c:v>2016-2017</c:v>
                </c:pt>
                <c:pt idx="72">
                  <c:v>2017-2018</c:v>
                </c:pt>
                <c:pt idx="73">
                  <c:v>2018-2019</c:v>
                </c:pt>
                <c:pt idx="74">
                  <c:v>2019-2020</c:v>
                </c:pt>
              </c:strCache>
            </c:strRef>
          </c:cat>
          <c:val>
            <c:numRef>
              <c:f>'[Диаграмма в Microsoft Word]осадки'!$B$5:$B$79</c:f>
              <c:numCache>
                <c:formatCode>0.0</c:formatCode>
                <c:ptCount val="75"/>
                <c:pt idx="0">
                  <c:v>236.2</c:v>
                </c:pt>
                <c:pt idx="1">
                  <c:v>533.79999999999995</c:v>
                </c:pt>
                <c:pt idx="2">
                  <c:v>619.29999999999995</c:v>
                </c:pt>
                <c:pt idx="3">
                  <c:v>505.7</c:v>
                </c:pt>
                <c:pt idx="4">
                  <c:v>470.1</c:v>
                </c:pt>
                <c:pt idx="5">
                  <c:v>445.1</c:v>
                </c:pt>
                <c:pt idx="6">
                  <c:v>429</c:v>
                </c:pt>
                <c:pt idx="7">
                  <c:v>539.29999999999995</c:v>
                </c:pt>
                <c:pt idx="8">
                  <c:v>385.3</c:v>
                </c:pt>
                <c:pt idx="9">
                  <c:v>639.6</c:v>
                </c:pt>
                <c:pt idx="10">
                  <c:v>477.6</c:v>
                </c:pt>
                <c:pt idx="11">
                  <c:v>476.6</c:v>
                </c:pt>
                <c:pt idx="12">
                  <c:v>583.4</c:v>
                </c:pt>
                <c:pt idx="13">
                  <c:v>463.3</c:v>
                </c:pt>
                <c:pt idx="14">
                  <c:v>516.79999999999995</c:v>
                </c:pt>
                <c:pt idx="15">
                  <c:v>690.3</c:v>
                </c:pt>
                <c:pt idx="16">
                  <c:v>466.3</c:v>
                </c:pt>
                <c:pt idx="17">
                  <c:v>650.20000000000005</c:v>
                </c:pt>
                <c:pt idx="18">
                  <c:v>454.1</c:v>
                </c:pt>
                <c:pt idx="19">
                  <c:v>597.79999999999995</c:v>
                </c:pt>
                <c:pt idx="20">
                  <c:v>675</c:v>
                </c:pt>
                <c:pt idx="21">
                  <c:v>512.70000000000005</c:v>
                </c:pt>
                <c:pt idx="22">
                  <c:v>537.5</c:v>
                </c:pt>
                <c:pt idx="23">
                  <c:v>704.2</c:v>
                </c:pt>
                <c:pt idx="24">
                  <c:v>697.5</c:v>
                </c:pt>
                <c:pt idx="25">
                  <c:v>643.4</c:v>
                </c:pt>
                <c:pt idx="26">
                  <c:v>615.20000000000005</c:v>
                </c:pt>
                <c:pt idx="27">
                  <c:v>558.4</c:v>
                </c:pt>
                <c:pt idx="28">
                  <c:v>480.8</c:v>
                </c:pt>
                <c:pt idx="29">
                  <c:v>559.6</c:v>
                </c:pt>
                <c:pt idx="30">
                  <c:v>517.79999999999995</c:v>
                </c:pt>
                <c:pt idx="31">
                  <c:v>639.5</c:v>
                </c:pt>
                <c:pt idx="32">
                  <c:v>580.4</c:v>
                </c:pt>
                <c:pt idx="33">
                  <c:v>566.5</c:v>
                </c:pt>
                <c:pt idx="34">
                  <c:v>681.6</c:v>
                </c:pt>
                <c:pt idx="35">
                  <c:v>651.29999999999995</c:v>
                </c:pt>
                <c:pt idx="36">
                  <c:v>619.79999999999995</c:v>
                </c:pt>
                <c:pt idx="37">
                  <c:v>429.2</c:v>
                </c:pt>
                <c:pt idx="38">
                  <c:v>535.20000000000005</c:v>
                </c:pt>
                <c:pt idx="39">
                  <c:v>611.29999999999995</c:v>
                </c:pt>
                <c:pt idx="40">
                  <c:v>431.2</c:v>
                </c:pt>
                <c:pt idx="41">
                  <c:v>446.4</c:v>
                </c:pt>
                <c:pt idx="42">
                  <c:v>625.9</c:v>
                </c:pt>
                <c:pt idx="43">
                  <c:v>505.3</c:v>
                </c:pt>
                <c:pt idx="44">
                  <c:v>442.2</c:v>
                </c:pt>
                <c:pt idx="45">
                  <c:v>652.6</c:v>
                </c:pt>
                <c:pt idx="46">
                  <c:v>378.8</c:v>
                </c:pt>
                <c:pt idx="47">
                  <c:v>540.20000000000005</c:v>
                </c:pt>
                <c:pt idx="48">
                  <c:v>473.9</c:v>
                </c:pt>
                <c:pt idx="49">
                  <c:v>450.1</c:v>
                </c:pt>
                <c:pt idx="50">
                  <c:v>603.1</c:v>
                </c:pt>
                <c:pt idx="51">
                  <c:v>765.9</c:v>
                </c:pt>
                <c:pt idx="52">
                  <c:v>587.20000000000005</c:v>
                </c:pt>
                <c:pt idx="53">
                  <c:v>657.4</c:v>
                </c:pt>
                <c:pt idx="54">
                  <c:v>467.1</c:v>
                </c:pt>
                <c:pt idx="55">
                  <c:v>498.5</c:v>
                </c:pt>
                <c:pt idx="56">
                  <c:v>638.79999999999995</c:v>
                </c:pt>
                <c:pt idx="57">
                  <c:v>522.4</c:v>
                </c:pt>
                <c:pt idx="58">
                  <c:v>567.70000000000005</c:v>
                </c:pt>
                <c:pt idx="59">
                  <c:v>617.5</c:v>
                </c:pt>
                <c:pt idx="60">
                  <c:v>530.20000000000005</c:v>
                </c:pt>
                <c:pt idx="61" formatCode="0.00">
                  <c:v>578.1</c:v>
                </c:pt>
                <c:pt idx="62" formatCode="General">
                  <c:v>546.1</c:v>
                </c:pt>
                <c:pt idx="63" formatCode="General">
                  <c:v>546.29999999999995</c:v>
                </c:pt>
                <c:pt idx="64" formatCode="General">
                  <c:v>608.4</c:v>
                </c:pt>
                <c:pt idx="65" formatCode="General">
                  <c:v>550.29999999999995</c:v>
                </c:pt>
                <c:pt idx="66" formatCode="General">
                  <c:v>558</c:v>
                </c:pt>
                <c:pt idx="67" formatCode="General">
                  <c:v>532.9</c:v>
                </c:pt>
                <c:pt idx="68" formatCode="General">
                  <c:v>607</c:v>
                </c:pt>
                <c:pt idx="69" formatCode="General">
                  <c:v>563.70000000000005</c:v>
                </c:pt>
                <c:pt idx="70" formatCode="General">
                  <c:v>561.20000000000005</c:v>
                </c:pt>
                <c:pt idx="71" formatCode="General">
                  <c:v>545.70000000000005</c:v>
                </c:pt>
                <c:pt idx="72" formatCode="General">
                  <c:v>581.5</c:v>
                </c:pt>
                <c:pt idx="73" formatCode="General">
                  <c:v>535.9</c:v>
                </c:pt>
                <c:pt idx="74" formatCode="General">
                  <c:v>507.7</c:v>
                </c:pt>
              </c:numCache>
            </c:numRef>
          </c:val>
          <c:smooth val="0"/>
          <c:extLst xmlns:c16r2="http://schemas.microsoft.com/office/drawing/2015/06/chart">
            <c:ext xmlns:c16="http://schemas.microsoft.com/office/drawing/2014/chart" uri="{C3380CC4-5D6E-409C-BE32-E72D297353CC}">
              <c16:uniqueId val="{00000000-D549-401A-A620-15BF05B8B045}"/>
            </c:ext>
          </c:extLst>
        </c:ser>
        <c:ser>
          <c:idx val="1"/>
          <c:order val="1"/>
          <c:tx>
            <c:v>polinominală</c:v>
          </c:tx>
          <c:spPr>
            <a:ln>
              <a:solidFill>
                <a:schemeClr val="tx1"/>
              </a:solidFill>
            </a:ln>
          </c:spPr>
          <c:marker>
            <c:symbol val="none"/>
          </c:marker>
          <c:val>
            <c:numLit>
              <c:formatCode>General</c:formatCode>
              <c:ptCount val="1"/>
              <c:pt idx="0">
                <c:v>1</c:v>
              </c:pt>
            </c:numLit>
          </c:val>
          <c:smooth val="0"/>
          <c:extLst xmlns:c16r2="http://schemas.microsoft.com/office/drawing/2015/06/chart">
            <c:ext xmlns:c16="http://schemas.microsoft.com/office/drawing/2014/chart" uri="{C3380CC4-5D6E-409C-BE32-E72D297353CC}">
              <c16:uniqueId val="{00000001-D549-401A-A620-15BF05B8B045}"/>
            </c:ext>
          </c:extLst>
        </c:ser>
        <c:dLbls>
          <c:showLegendKey val="0"/>
          <c:showVal val="0"/>
          <c:showCatName val="0"/>
          <c:showSerName val="0"/>
          <c:showPercent val="0"/>
          <c:showBubbleSize val="0"/>
        </c:dLbls>
        <c:smooth val="0"/>
        <c:axId val="620057472"/>
        <c:axId val="620043360"/>
      </c:lineChart>
      <c:catAx>
        <c:axId val="620057472"/>
        <c:scaling>
          <c:orientation val="minMax"/>
        </c:scaling>
        <c:delete val="0"/>
        <c:axPos val="b"/>
        <c:majorGridlines>
          <c:spPr>
            <a:ln w="3175">
              <a:pattFill prst="pct50">
                <a:fgClr>
                  <a:srgbClr val="000000"/>
                </a:fgClr>
                <a:bgClr>
                  <a:srgbClr val="FFFFFF"/>
                </a:bgClr>
              </a:pattFill>
              <a:prstDash val="solid"/>
            </a:ln>
          </c:spPr>
        </c:majorGridlines>
        <c:numFmt formatCode="General" sourceLinked="1"/>
        <c:majorTickMark val="cross"/>
        <c:minorTickMark val="cross"/>
        <c:tickLblPos val="nextTo"/>
        <c:spPr>
          <a:ln w="25400">
            <a:solidFill>
              <a:srgbClr val="000000"/>
            </a:solidFill>
            <a:prstDash val="solid"/>
          </a:ln>
        </c:spPr>
        <c:txPr>
          <a:bodyPr rot="5400000" vert="horz"/>
          <a:lstStyle/>
          <a:p>
            <a:pPr>
              <a:defRPr sz="700" b="0" i="0" u="none" strike="noStrike" baseline="0">
                <a:solidFill>
                  <a:srgbClr val="000000"/>
                </a:solidFill>
                <a:latin typeface="Arial Cyr"/>
                <a:ea typeface="Arial Cyr"/>
                <a:cs typeface="Arial Cyr"/>
              </a:defRPr>
            </a:pPr>
            <a:endParaRPr lang="en-US"/>
          </a:p>
        </c:txPr>
        <c:crossAx val="620043360"/>
        <c:crossesAt val="780"/>
        <c:auto val="1"/>
        <c:lblAlgn val="ctr"/>
        <c:lblOffset val="10"/>
        <c:tickLblSkip val="2"/>
        <c:tickMarkSkip val="5"/>
        <c:noMultiLvlLbl val="0"/>
      </c:catAx>
      <c:valAx>
        <c:axId val="620043360"/>
        <c:scaling>
          <c:orientation val="minMax"/>
          <c:max val="780"/>
          <c:min val="240"/>
        </c:scaling>
        <c:delete val="0"/>
        <c:axPos val="l"/>
        <c:majorGridlines>
          <c:spPr>
            <a:ln w="3175">
              <a:solidFill>
                <a:srgbClr val="000000"/>
              </a:solidFill>
              <a:prstDash val="sysDash"/>
            </a:ln>
          </c:spPr>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Cyr"/>
                    <a:ea typeface="Arial Cyr"/>
                    <a:cs typeface="Arial Cyr"/>
                  </a:defRPr>
                </a:pPr>
                <a:r>
                  <a:rPr lang="ro-RO" sz="1000" baseline="0">
                    <a:effectLst/>
                  </a:rPr>
                  <a:t>precipitaţii,mm</a:t>
                </a:r>
                <a:endParaRPr lang="ru-RU" sz="1000" baseline="0">
                  <a:effectLst/>
                </a:endParaRPr>
              </a:p>
            </c:rich>
          </c:tx>
          <c:layout>
            <c:manualLayout>
              <c:xMode val="edge"/>
              <c:yMode val="edge"/>
              <c:x val="2.174867546761116E-3"/>
              <c:y val="0.37604610149283396"/>
            </c:manualLayout>
          </c:layout>
          <c:overlay val="0"/>
          <c:spPr>
            <a:noFill/>
            <a:ln w="25400">
              <a:noFill/>
            </a:ln>
          </c:spPr>
        </c:title>
        <c:numFmt formatCode="0.0_ ;[Red]\-0.0\ "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Cyr"/>
                <a:ea typeface="Arial Cyr"/>
                <a:cs typeface="Arial Cyr"/>
              </a:defRPr>
            </a:pPr>
            <a:endParaRPr lang="en-US"/>
          </a:p>
        </c:txPr>
        <c:crossAx val="620057472"/>
        <c:crosses val="autoZero"/>
        <c:crossBetween val="between"/>
        <c:majorUnit val="20"/>
        <c:minorUnit val="1.08"/>
      </c:valAx>
      <c:spPr>
        <a:noFill/>
        <a:ln w="25400">
          <a:noFill/>
        </a:ln>
      </c:spPr>
    </c:plotArea>
    <c:legend>
      <c:legendPos val="b"/>
      <c:legendEntry>
        <c:idx val="2"/>
        <c:delete val="1"/>
      </c:legendEntry>
      <c:layout>
        <c:manualLayout>
          <c:xMode val="edge"/>
          <c:yMode val="edge"/>
          <c:x val="0.26009097121566266"/>
          <c:y val="0.88927976310653478"/>
          <c:w val="0.49020207046609882"/>
          <c:h val="5.6019275193124517E-2"/>
        </c:manualLayout>
      </c:layout>
      <c:overlay val="0"/>
      <c:spPr>
        <a:solidFill>
          <a:srgbClr val="FFFFFF"/>
        </a:solidFill>
        <a:ln w="25400">
          <a:noFill/>
        </a:ln>
      </c:spPr>
      <c:txPr>
        <a:bodyPr/>
        <a:lstStyle/>
        <a:p>
          <a:pPr>
            <a:defRPr sz="1100" b="0" i="0" u="none" strike="noStrike" baseline="0">
              <a:solidFill>
                <a:srgbClr val="000000"/>
              </a:solidFill>
              <a:latin typeface="Arial Cyr"/>
              <a:ea typeface="Arial Cyr"/>
              <a:cs typeface="Arial Cyr"/>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2600" b="0"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157232704402517E-2"/>
          <c:y val="7.0921985815602842E-2"/>
          <c:w val="0.95387840670859536"/>
          <c:h val="0.36649913441670856"/>
        </c:manualLayout>
      </c:layout>
      <c:barChart>
        <c:barDir val="col"/>
        <c:grouping val="clustered"/>
        <c:varyColors val="0"/>
        <c:ser>
          <c:idx val="0"/>
          <c:order val="0"/>
          <c:tx>
            <c:strRef>
              <c:f>Sheet1!$B$1</c:f>
              <c:strCache>
                <c:ptCount val="1"/>
                <c:pt idx="0">
                  <c:v>Bovine</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16.899999999999999</c:v>
                </c:pt>
                <c:pt idx="1">
                  <c:v>16.100000000000001</c:v>
                </c:pt>
                <c:pt idx="2">
                  <c:v>15.8</c:v>
                </c:pt>
                <c:pt idx="3">
                  <c:v>13.8</c:v>
                </c:pt>
                <c:pt idx="4">
                  <c:v>13.7</c:v>
                </c:pt>
                <c:pt idx="5">
                  <c:v>14</c:v>
                </c:pt>
                <c:pt idx="6">
                  <c:v>15.8</c:v>
                </c:pt>
                <c:pt idx="7">
                  <c:v>12.7</c:v>
                </c:pt>
                <c:pt idx="8">
                  <c:v>13.4</c:v>
                </c:pt>
                <c:pt idx="9">
                  <c:v>12.7</c:v>
                </c:pt>
                <c:pt idx="10">
                  <c:v>13.1</c:v>
                </c:pt>
              </c:numCache>
            </c:numRef>
          </c:val>
          <c:extLst xmlns:c16r2="http://schemas.microsoft.com/office/drawing/2015/06/chart">
            <c:ext xmlns:c16="http://schemas.microsoft.com/office/drawing/2014/chart" uri="{C3380CC4-5D6E-409C-BE32-E72D297353CC}">
              <c16:uniqueId val="{00000001-EDDA-45C3-B159-3A40DE6DB09D}"/>
            </c:ext>
          </c:extLst>
        </c:ser>
        <c:ser>
          <c:idx val="1"/>
          <c:order val="1"/>
          <c:tx>
            <c:strRef>
              <c:f>Sheet1!$C$1</c:f>
              <c:strCache>
                <c:ptCount val="1"/>
                <c:pt idx="0">
                  <c:v>Porcine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72.5</c:v>
                </c:pt>
                <c:pt idx="1">
                  <c:v>81.400000000000006</c:v>
                </c:pt>
                <c:pt idx="2">
                  <c:v>82.2</c:v>
                </c:pt>
                <c:pt idx="3">
                  <c:v>77.8</c:v>
                </c:pt>
                <c:pt idx="4">
                  <c:v>82.3</c:v>
                </c:pt>
                <c:pt idx="5">
                  <c:v>91.6</c:v>
                </c:pt>
                <c:pt idx="6">
                  <c:v>92.9</c:v>
                </c:pt>
                <c:pt idx="7">
                  <c:v>79.2</c:v>
                </c:pt>
                <c:pt idx="8">
                  <c:v>84</c:v>
                </c:pt>
                <c:pt idx="9">
                  <c:v>82.7</c:v>
                </c:pt>
                <c:pt idx="10">
                  <c:v>93.8</c:v>
                </c:pt>
              </c:numCache>
            </c:numRef>
          </c:val>
          <c:extLst xmlns:c16r2="http://schemas.microsoft.com/office/drawing/2015/06/chart">
            <c:ext xmlns:c16="http://schemas.microsoft.com/office/drawing/2014/chart" uri="{C3380CC4-5D6E-409C-BE32-E72D297353CC}">
              <c16:uniqueId val="{00000003-EDDA-45C3-B159-3A40DE6DB09D}"/>
            </c:ext>
          </c:extLst>
        </c:ser>
        <c:ser>
          <c:idx val="2"/>
          <c:order val="2"/>
          <c:tx>
            <c:strRef>
              <c:f>Sheet1!$D$1</c:f>
              <c:strCache>
                <c:ptCount val="1"/>
                <c:pt idx="0">
                  <c:v>Ovine ș caprine</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40000"/>
                    <a:lumOff val="6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Sheet1!$D$2:$D$12</c:f>
              <c:numCache>
                <c:formatCode>0.0</c:formatCode>
                <c:ptCount val="11"/>
                <c:pt idx="0">
                  <c:v>4.7</c:v>
                </c:pt>
                <c:pt idx="1">
                  <c:v>4.7</c:v>
                </c:pt>
                <c:pt idx="2">
                  <c:v>4.7</c:v>
                </c:pt>
                <c:pt idx="3">
                  <c:v>4.4000000000000004</c:v>
                </c:pt>
                <c:pt idx="4">
                  <c:v>4.2</c:v>
                </c:pt>
                <c:pt idx="5">
                  <c:v>4.4000000000000004</c:v>
                </c:pt>
                <c:pt idx="6">
                  <c:v>4.2</c:v>
                </c:pt>
                <c:pt idx="7">
                  <c:v>5.0999999999999996</c:v>
                </c:pt>
                <c:pt idx="8">
                  <c:v>4.0999999999999996</c:v>
                </c:pt>
                <c:pt idx="9">
                  <c:v>4.2</c:v>
                </c:pt>
                <c:pt idx="10">
                  <c:v>4.0999999999999996</c:v>
                </c:pt>
              </c:numCache>
            </c:numRef>
          </c:val>
          <c:extLst xmlns:c16r2="http://schemas.microsoft.com/office/drawing/2015/06/chart">
            <c:ext xmlns:c16="http://schemas.microsoft.com/office/drawing/2014/chart" uri="{C3380CC4-5D6E-409C-BE32-E72D297353CC}">
              <c16:uniqueId val="{00000005-EDDA-45C3-B159-3A40DE6DB09D}"/>
            </c:ext>
          </c:extLst>
        </c:ser>
        <c:ser>
          <c:idx val="3"/>
          <c:order val="3"/>
          <c:tx>
            <c:strRef>
              <c:f>Sheet1!$E$1</c:f>
              <c:strCache>
                <c:ptCount val="1"/>
                <c:pt idx="0">
                  <c:v>Păsări</c:v>
                </c:pt>
              </c:strCache>
            </c:strRef>
          </c:tx>
          <c:spPr>
            <a:solidFill>
              <a:schemeClr val="tx2">
                <a:lumMod val="20000"/>
                <a:lumOff val="80000"/>
              </a:schemeClr>
            </a:solidFill>
            <a:ln>
              <a:noFill/>
            </a:ln>
            <a:effectLst/>
          </c:spPr>
          <c:invertIfNegative val="0"/>
          <c:dPt>
            <c:idx val="8"/>
            <c:invertIfNegative val="0"/>
            <c:bubble3D val="0"/>
            <c:spPr>
              <a:solidFill>
                <a:schemeClr val="tx2">
                  <a:lumMod val="20000"/>
                  <a:lumOff val="80000"/>
                </a:schemeClr>
              </a:solidFill>
              <a:ln>
                <a:solidFill>
                  <a:schemeClr val="accent2">
                    <a:lumMod val="20000"/>
                    <a:lumOff val="80000"/>
                  </a:schemeClr>
                </a:solidFill>
              </a:ln>
              <a:effectLst/>
            </c:spPr>
            <c:extLst xmlns:c16r2="http://schemas.microsoft.com/office/drawing/2015/06/chart">
              <c:ext xmlns:c16="http://schemas.microsoft.com/office/drawing/2014/chart" uri="{C3380CC4-5D6E-409C-BE32-E72D297353CC}">
                <c16:uniqueId val="{00000007-EDDA-45C3-B159-3A40DE6DB0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Sheet1!$E$2:$E$12</c:f>
              <c:numCache>
                <c:formatCode>0.0</c:formatCode>
                <c:ptCount val="11"/>
                <c:pt idx="0">
                  <c:v>54.7</c:v>
                </c:pt>
                <c:pt idx="1">
                  <c:v>55.2</c:v>
                </c:pt>
                <c:pt idx="2">
                  <c:v>51.7</c:v>
                </c:pt>
                <c:pt idx="3">
                  <c:v>57.3</c:v>
                </c:pt>
                <c:pt idx="4">
                  <c:v>62.2</c:v>
                </c:pt>
                <c:pt idx="5">
                  <c:v>62.7</c:v>
                </c:pt>
                <c:pt idx="6">
                  <c:v>69.900000000000006</c:v>
                </c:pt>
                <c:pt idx="7">
                  <c:v>59.3</c:v>
                </c:pt>
                <c:pt idx="8">
                  <c:v>60.3</c:v>
                </c:pt>
                <c:pt idx="9">
                  <c:v>57.6</c:v>
                </c:pt>
                <c:pt idx="10">
                  <c:v>60.6</c:v>
                </c:pt>
              </c:numCache>
            </c:numRef>
          </c:val>
          <c:extLst xmlns:c16r2="http://schemas.microsoft.com/office/drawing/2015/06/chart">
            <c:ext xmlns:c16="http://schemas.microsoft.com/office/drawing/2014/chart" uri="{C3380CC4-5D6E-409C-BE32-E72D297353CC}">
              <c16:uniqueId val="{00000009-EDDA-45C3-B159-3A40DE6DB09D}"/>
            </c:ext>
          </c:extLst>
        </c:ser>
        <c:dLbls>
          <c:showLegendKey val="0"/>
          <c:showVal val="0"/>
          <c:showCatName val="0"/>
          <c:showSerName val="0"/>
          <c:showPercent val="0"/>
          <c:showBubbleSize val="0"/>
        </c:dLbls>
        <c:gapWidth val="219"/>
        <c:overlap val="-27"/>
        <c:axId val="620065704"/>
        <c:axId val="620067272"/>
      </c:barChart>
      <c:catAx>
        <c:axId val="62006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67272"/>
        <c:crosses val="autoZero"/>
        <c:auto val="1"/>
        <c:lblAlgn val="ctr"/>
        <c:lblOffset val="100"/>
        <c:noMultiLvlLbl val="0"/>
      </c:catAx>
      <c:valAx>
        <c:axId val="620067272"/>
        <c:scaling>
          <c:orientation val="minMax"/>
        </c:scaling>
        <c:delete val="1"/>
        <c:axPos val="l"/>
        <c:numFmt formatCode="0.0" sourceLinked="1"/>
        <c:majorTickMark val="none"/>
        <c:minorTickMark val="none"/>
        <c:tickLblPos val="nextTo"/>
        <c:crossAx val="620065704"/>
        <c:crosses val="autoZero"/>
        <c:crossBetween val="between"/>
      </c:valAx>
      <c:spPr>
        <a:noFill/>
        <a:ln>
          <a:noFill/>
        </a:ln>
        <a:effectLst/>
      </c:spPr>
    </c:plotArea>
    <c:legend>
      <c:legendPos val="b"/>
      <c:layout>
        <c:manualLayout>
          <c:xMode val="edge"/>
          <c:yMode val="edge"/>
          <c:x val="4.0550685881245982E-2"/>
          <c:y val="0.57345395655330322"/>
          <c:w val="0.93491837105267506"/>
          <c:h val="0.184886357290445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Întreprinderi</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1.7</c:v>
                </c:pt>
                <c:pt idx="1">
                  <c:v>1.8</c:v>
                </c:pt>
                <c:pt idx="2">
                  <c:v>2.2000000000000002</c:v>
                </c:pt>
                <c:pt idx="3">
                  <c:v>1.9</c:v>
                </c:pt>
                <c:pt idx="4">
                  <c:v>1.4</c:v>
                </c:pt>
                <c:pt idx="5">
                  <c:v>2.6</c:v>
                </c:pt>
                <c:pt idx="6">
                  <c:v>4.5999999999999996</c:v>
                </c:pt>
                <c:pt idx="7">
                  <c:v>5.3</c:v>
                </c:pt>
                <c:pt idx="8">
                  <c:v>5.3</c:v>
                </c:pt>
                <c:pt idx="9">
                  <c:v>5.4</c:v>
                </c:pt>
                <c:pt idx="10">
                  <c:v>6.3</c:v>
                </c:pt>
              </c:numCache>
            </c:numRef>
          </c:val>
          <c:extLst xmlns:c16r2="http://schemas.microsoft.com/office/drawing/2015/06/chart">
            <c:ext xmlns:c16="http://schemas.microsoft.com/office/drawing/2014/chart" uri="{C3380CC4-5D6E-409C-BE32-E72D297353CC}">
              <c16:uniqueId val="{00000001-8D6F-49AD-8E4F-604A9B043D3E}"/>
            </c:ext>
          </c:extLst>
        </c:ser>
        <c:ser>
          <c:idx val="1"/>
          <c:order val="1"/>
          <c:tx>
            <c:strRef>
              <c:f>Sheet1!$C$1</c:f>
              <c:strCache>
                <c:ptCount val="1"/>
                <c:pt idx="0">
                  <c:v>Gospodării ale populației </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15.2</c:v>
                </c:pt>
                <c:pt idx="1">
                  <c:v>14.3</c:v>
                </c:pt>
                <c:pt idx="2">
                  <c:v>13.6</c:v>
                </c:pt>
                <c:pt idx="3">
                  <c:v>11.9</c:v>
                </c:pt>
                <c:pt idx="4">
                  <c:v>12.3</c:v>
                </c:pt>
                <c:pt idx="5">
                  <c:v>11.4</c:v>
                </c:pt>
                <c:pt idx="6">
                  <c:v>11.3</c:v>
                </c:pt>
                <c:pt idx="7">
                  <c:v>7.4</c:v>
                </c:pt>
                <c:pt idx="8">
                  <c:v>8.1</c:v>
                </c:pt>
                <c:pt idx="9">
                  <c:v>7.3</c:v>
                </c:pt>
                <c:pt idx="10">
                  <c:v>6.8</c:v>
                </c:pt>
              </c:numCache>
            </c:numRef>
          </c:val>
          <c:extLst xmlns:c16r2="http://schemas.microsoft.com/office/drawing/2015/06/chart">
            <c:ext xmlns:c16="http://schemas.microsoft.com/office/drawing/2014/chart" uri="{C3380CC4-5D6E-409C-BE32-E72D297353CC}">
              <c16:uniqueId val="{00000003-8D6F-49AD-8E4F-604A9B043D3E}"/>
            </c:ext>
          </c:extLst>
        </c:ser>
        <c:dLbls>
          <c:showLegendKey val="0"/>
          <c:showVal val="0"/>
          <c:showCatName val="0"/>
          <c:showSerName val="0"/>
          <c:showPercent val="0"/>
          <c:showBubbleSize val="0"/>
        </c:dLbls>
        <c:gapWidth val="219"/>
        <c:overlap val="-27"/>
        <c:axId val="620066880"/>
        <c:axId val="620066488"/>
      </c:barChart>
      <c:catAx>
        <c:axId val="62006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66488"/>
        <c:crosses val="autoZero"/>
        <c:auto val="1"/>
        <c:lblAlgn val="ctr"/>
        <c:lblOffset val="100"/>
        <c:noMultiLvlLbl val="0"/>
      </c:catAx>
      <c:valAx>
        <c:axId val="620066488"/>
        <c:scaling>
          <c:orientation val="minMax"/>
        </c:scaling>
        <c:delete val="1"/>
        <c:axPos val="l"/>
        <c:numFmt formatCode="0.0" sourceLinked="1"/>
        <c:majorTickMark val="none"/>
        <c:minorTickMark val="none"/>
        <c:tickLblPos val="nextTo"/>
        <c:crossAx val="62006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Întreprinderi</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12.8</c:v>
                </c:pt>
                <c:pt idx="1">
                  <c:v>18</c:v>
                </c:pt>
                <c:pt idx="2">
                  <c:v>18.3</c:v>
                </c:pt>
                <c:pt idx="3">
                  <c:v>23.4</c:v>
                </c:pt>
                <c:pt idx="4">
                  <c:v>25.9</c:v>
                </c:pt>
                <c:pt idx="5">
                  <c:v>32.6</c:v>
                </c:pt>
                <c:pt idx="6">
                  <c:v>33.200000000000003</c:v>
                </c:pt>
                <c:pt idx="7">
                  <c:v>27.5</c:v>
                </c:pt>
                <c:pt idx="8">
                  <c:v>33.1</c:v>
                </c:pt>
                <c:pt idx="9">
                  <c:v>36.6</c:v>
                </c:pt>
                <c:pt idx="10">
                  <c:v>46</c:v>
                </c:pt>
              </c:numCache>
            </c:numRef>
          </c:val>
          <c:extLst xmlns:c16r2="http://schemas.microsoft.com/office/drawing/2015/06/chart">
            <c:ext xmlns:c16="http://schemas.microsoft.com/office/drawing/2014/chart" uri="{C3380CC4-5D6E-409C-BE32-E72D297353CC}">
              <c16:uniqueId val="{00000001-47C5-411D-9276-65CB77725A89}"/>
            </c:ext>
          </c:extLst>
        </c:ser>
        <c:ser>
          <c:idx val="1"/>
          <c:order val="1"/>
          <c:tx>
            <c:strRef>
              <c:f>Sheet1!$C$1</c:f>
              <c:strCache>
                <c:ptCount val="1"/>
                <c:pt idx="0">
                  <c:v>Gospodării ale populației </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59.7</c:v>
                </c:pt>
                <c:pt idx="1">
                  <c:v>63.4</c:v>
                </c:pt>
                <c:pt idx="2">
                  <c:v>63.9</c:v>
                </c:pt>
                <c:pt idx="3">
                  <c:v>54.4</c:v>
                </c:pt>
                <c:pt idx="4">
                  <c:v>56.4</c:v>
                </c:pt>
                <c:pt idx="5">
                  <c:v>92.6</c:v>
                </c:pt>
                <c:pt idx="6">
                  <c:v>59.6</c:v>
                </c:pt>
                <c:pt idx="7">
                  <c:v>51.7</c:v>
                </c:pt>
                <c:pt idx="8">
                  <c:v>50.9</c:v>
                </c:pt>
                <c:pt idx="9">
                  <c:v>46.1</c:v>
                </c:pt>
                <c:pt idx="10">
                  <c:v>47.8</c:v>
                </c:pt>
              </c:numCache>
            </c:numRef>
          </c:val>
          <c:extLst xmlns:c16r2="http://schemas.microsoft.com/office/drawing/2015/06/chart">
            <c:ext xmlns:c16="http://schemas.microsoft.com/office/drawing/2014/chart" uri="{C3380CC4-5D6E-409C-BE32-E72D297353CC}">
              <c16:uniqueId val="{00000003-47C5-411D-9276-65CB77725A89}"/>
            </c:ext>
          </c:extLst>
        </c:ser>
        <c:dLbls>
          <c:showLegendKey val="0"/>
          <c:showVal val="0"/>
          <c:showCatName val="0"/>
          <c:showSerName val="0"/>
          <c:showPercent val="0"/>
          <c:showBubbleSize val="0"/>
        </c:dLbls>
        <c:gapWidth val="219"/>
        <c:overlap val="-27"/>
        <c:axId val="620072760"/>
        <c:axId val="620075504"/>
      </c:barChart>
      <c:catAx>
        <c:axId val="62007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75504"/>
        <c:crosses val="autoZero"/>
        <c:auto val="1"/>
        <c:lblAlgn val="ctr"/>
        <c:lblOffset val="100"/>
        <c:noMultiLvlLbl val="0"/>
      </c:catAx>
      <c:valAx>
        <c:axId val="620075504"/>
        <c:scaling>
          <c:orientation val="minMax"/>
        </c:scaling>
        <c:delete val="1"/>
        <c:axPos val="l"/>
        <c:numFmt formatCode="0.0" sourceLinked="1"/>
        <c:majorTickMark val="none"/>
        <c:minorTickMark val="none"/>
        <c:tickLblPos val="nextTo"/>
        <c:crossAx val="620072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029414843504657E-2"/>
          <c:y val="1.9260400616332819E-2"/>
          <c:w val="0.95394117031299064"/>
          <c:h val="0.66699343629812069"/>
        </c:manualLayout>
      </c:layout>
      <c:barChart>
        <c:barDir val="col"/>
        <c:grouping val="clustered"/>
        <c:varyColors val="0"/>
        <c:ser>
          <c:idx val="0"/>
          <c:order val="0"/>
          <c:tx>
            <c:strRef>
              <c:f>Sheet1!$B$1</c:f>
              <c:strCache>
                <c:ptCount val="1"/>
                <c:pt idx="0">
                  <c:v>Întreprinderi</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23.8</c:v>
                </c:pt>
                <c:pt idx="1">
                  <c:v>24</c:v>
                </c:pt>
                <c:pt idx="2">
                  <c:v>22.9</c:v>
                </c:pt>
                <c:pt idx="3">
                  <c:v>28.2</c:v>
                </c:pt>
                <c:pt idx="4">
                  <c:v>30.7</c:v>
                </c:pt>
                <c:pt idx="5">
                  <c:v>34.700000000000003</c:v>
                </c:pt>
                <c:pt idx="6">
                  <c:v>38.1</c:v>
                </c:pt>
                <c:pt idx="7">
                  <c:v>43.1</c:v>
                </c:pt>
                <c:pt idx="8">
                  <c:v>45</c:v>
                </c:pt>
                <c:pt idx="9">
                  <c:v>43.1</c:v>
                </c:pt>
                <c:pt idx="10">
                  <c:v>42.9</c:v>
                </c:pt>
              </c:numCache>
            </c:numRef>
          </c:val>
          <c:extLst xmlns:c16r2="http://schemas.microsoft.com/office/drawing/2015/06/chart">
            <c:ext xmlns:c16="http://schemas.microsoft.com/office/drawing/2014/chart" uri="{C3380CC4-5D6E-409C-BE32-E72D297353CC}">
              <c16:uniqueId val="{00000001-B6F1-40D3-8657-5381C022D621}"/>
            </c:ext>
          </c:extLst>
        </c:ser>
        <c:ser>
          <c:idx val="1"/>
          <c:order val="1"/>
          <c:tx>
            <c:strRef>
              <c:f>Sheet1!$C$1</c:f>
              <c:strCache>
                <c:ptCount val="1"/>
                <c:pt idx="0">
                  <c:v>Gospodării ale populației </c:v>
                </c:pt>
              </c:strCache>
            </c:strRef>
          </c:tx>
          <c:spPr>
            <a:solidFill>
              <a:schemeClr val="accent3">
                <a:lumMod val="60000"/>
                <a:lumOff val="40000"/>
              </a:schemeClr>
            </a:solidFill>
            <a:ln>
              <a:noFill/>
            </a:ln>
            <a:effectLst/>
          </c:spPr>
          <c:invertIfNegative val="0"/>
          <c:dLbls>
            <c:dLbl>
              <c:idx val="3"/>
              <c:layout>
                <c:manualLayout>
                  <c:x val="0"/>
                  <c:y val="-1.5408320493066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262636682484009E-3"/>
                  <c:y val="-1.73862648507678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30.9</c:v>
                </c:pt>
                <c:pt idx="1">
                  <c:v>31.2</c:v>
                </c:pt>
                <c:pt idx="2">
                  <c:v>28.8</c:v>
                </c:pt>
                <c:pt idx="3">
                  <c:v>29.1</c:v>
                </c:pt>
                <c:pt idx="4">
                  <c:v>31.5</c:v>
                </c:pt>
                <c:pt idx="5">
                  <c:v>28</c:v>
                </c:pt>
                <c:pt idx="6">
                  <c:v>31.8</c:v>
                </c:pt>
                <c:pt idx="7">
                  <c:v>16.2</c:v>
                </c:pt>
                <c:pt idx="8">
                  <c:v>15.3</c:v>
                </c:pt>
                <c:pt idx="9">
                  <c:v>14.5</c:v>
                </c:pt>
                <c:pt idx="10">
                  <c:v>17.7</c:v>
                </c:pt>
              </c:numCache>
            </c:numRef>
          </c:val>
          <c:extLst xmlns:c16r2="http://schemas.microsoft.com/office/drawing/2015/06/chart">
            <c:ext xmlns:c16="http://schemas.microsoft.com/office/drawing/2014/chart" uri="{C3380CC4-5D6E-409C-BE32-E72D297353CC}">
              <c16:uniqueId val="{00000003-B6F1-40D3-8657-5381C022D621}"/>
            </c:ext>
          </c:extLst>
        </c:ser>
        <c:dLbls>
          <c:showLegendKey val="0"/>
          <c:showVal val="0"/>
          <c:showCatName val="0"/>
          <c:showSerName val="0"/>
          <c:showPercent val="0"/>
          <c:showBubbleSize val="0"/>
        </c:dLbls>
        <c:gapWidth val="219"/>
        <c:overlap val="-27"/>
        <c:axId val="620061392"/>
        <c:axId val="620075112"/>
      </c:barChart>
      <c:catAx>
        <c:axId val="62006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75112"/>
        <c:crosses val="autoZero"/>
        <c:auto val="1"/>
        <c:lblAlgn val="ctr"/>
        <c:lblOffset val="100"/>
        <c:noMultiLvlLbl val="0"/>
      </c:catAx>
      <c:valAx>
        <c:axId val="620075112"/>
        <c:scaling>
          <c:orientation val="minMax"/>
        </c:scaling>
        <c:delete val="1"/>
        <c:axPos val="l"/>
        <c:numFmt formatCode="0.0" sourceLinked="1"/>
        <c:majorTickMark val="none"/>
        <c:minorTickMark val="none"/>
        <c:tickLblPos val="nextTo"/>
        <c:crossAx val="620061392"/>
        <c:crosses val="autoZero"/>
        <c:crossBetween val="between"/>
      </c:valAx>
      <c:spPr>
        <a:noFill/>
        <a:ln>
          <a:noFill/>
        </a:ln>
        <a:effectLst/>
      </c:spPr>
    </c:plotArea>
    <c:legend>
      <c:legendPos val="b"/>
      <c:layout>
        <c:manualLayout>
          <c:xMode val="edge"/>
          <c:yMode val="edge"/>
          <c:x val="0.1228827815972391"/>
          <c:y val="0.76791126263300291"/>
          <c:w val="0.81285460064901083"/>
          <c:h val="0.124230493915533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Lapte de vacă</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591.20000000000005</c:v>
                </c:pt>
                <c:pt idx="1">
                  <c:v>525.79999999999995</c:v>
                </c:pt>
                <c:pt idx="2">
                  <c:v>489.6</c:v>
                </c:pt>
                <c:pt idx="3">
                  <c:v>485.9</c:v>
                </c:pt>
                <c:pt idx="4">
                  <c:v>485.3</c:v>
                </c:pt>
                <c:pt idx="5">
                  <c:v>479.5</c:v>
                </c:pt>
                <c:pt idx="6">
                  <c:v>462.1</c:v>
                </c:pt>
                <c:pt idx="7">
                  <c:v>442.6</c:v>
                </c:pt>
                <c:pt idx="8">
                  <c:v>373.1</c:v>
                </c:pt>
                <c:pt idx="9">
                  <c:v>331.7</c:v>
                </c:pt>
                <c:pt idx="10">
                  <c:v>290.5</c:v>
                </c:pt>
              </c:numCache>
            </c:numRef>
          </c:val>
          <c:extLst xmlns:c16r2="http://schemas.microsoft.com/office/drawing/2015/06/chart">
            <c:ext xmlns:c16="http://schemas.microsoft.com/office/drawing/2014/chart" uri="{C3380CC4-5D6E-409C-BE32-E72D297353CC}">
              <c16:uniqueId val="{00000001-BD4C-4AC0-A7B6-C9C2E1601958}"/>
            </c:ext>
          </c:extLst>
        </c:ser>
        <c:ser>
          <c:idx val="1"/>
          <c:order val="1"/>
          <c:tx>
            <c:strRef>
              <c:f>Sheet1!$C$1</c:f>
              <c:strCache>
                <c:ptCount val="1"/>
                <c:pt idx="0">
                  <c:v>Ouă</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718.5</c:v>
                </c:pt>
                <c:pt idx="1">
                  <c:v>705.2</c:v>
                </c:pt>
                <c:pt idx="2">
                  <c:v>621.9</c:v>
                </c:pt>
                <c:pt idx="3">
                  <c:v>623.70000000000005</c:v>
                </c:pt>
                <c:pt idx="4">
                  <c:v>645</c:v>
                </c:pt>
                <c:pt idx="5">
                  <c:v>628.79999999999995</c:v>
                </c:pt>
                <c:pt idx="6">
                  <c:v>673.5</c:v>
                </c:pt>
                <c:pt idx="7">
                  <c:v>707.2</c:v>
                </c:pt>
                <c:pt idx="8">
                  <c:v>688.7</c:v>
                </c:pt>
                <c:pt idx="9">
                  <c:v>686.6</c:v>
                </c:pt>
                <c:pt idx="10">
                  <c:v>627.5</c:v>
                </c:pt>
              </c:numCache>
            </c:numRef>
          </c:val>
          <c:extLst xmlns:c16r2="http://schemas.microsoft.com/office/drawing/2015/06/chart">
            <c:ext xmlns:c16="http://schemas.microsoft.com/office/drawing/2014/chart" uri="{C3380CC4-5D6E-409C-BE32-E72D297353CC}">
              <c16:uniqueId val="{00000003-BD4C-4AC0-A7B6-C9C2E1601958}"/>
            </c:ext>
          </c:extLst>
        </c:ser>
        <c:ser>
          <c:idx val="2"/>
          <c:order val="2"/>
          <c:tx>
            <c:strRef>
              <c:f>Sheet1!$D$1</c:f>
              <c:strCache>
                <c:ptCount val="1"/>
                <c:pt idx="0">
                  <c:v>Lână</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40000"/>
                    <a:lumOff val="6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Sheet1!$D$2:$D$12</c:f>
              <c:numCache>
                <c:formatCode>0.0</c:formatCode>
                <c:ptCount val="11"/>
                <c:pt idx="0">
                  <c:v>2067</c:v>
                </c:pt>
                <c:pt idx="1">
                  <c:v>2043</c:v>
                </c:pt>
                <c:pt idx="2">
                  <c:v>1843</c:v>
                </c:pt>
                <c:pt idx="3">
                  <c:v>1899</c:v>
                </c:pt>
                <c:pt idx="4">
                  <c:v>1947</c:v>
                </c:pt>
                <c:pt idx="5">
                  <c:v>1899</c:v>
                </c:pt>
                <c:pt idx="6">
                  <c:v>1709.5</c:v>
                </c:pt>
                <c:pt idx="7">
                  <c:v>1850.2</c:v>
                </c:pt>
                <c:pt idx="8">
                  <c:v>1917.5</c:v>
                </c:pt>
                <c:pt idx="9">
                  <c:v>1755.1</c:v>
                </c:pt>
                <c:pt idx="10">
                  <c:v>1464.1</c:v>
                </c:pt>
              </c:numCache>
            </c:numRef>
          </c:val>
          <c:extLst xmlns:c16r2="http://schemas.microsoft.com/office/drawing/2015/06/chart">
            <c:ext xmlns:c16="http://schemas.microsoft.com/office/drawing/2014/chart" uri="{C3380CC4-5D6E-409C-BE32-E72D297353CC}">
              <c16:uniqueId val="{00000005-BD4C-4AC0-A7B6-C9C2E1601958}"/>
            </c:ext>
          </c:extLst>
        </c:ser>
        <c:dLbls>
          <c:showLegendKey val="0"/>
          <c:showVal val="0"/>
          <c:showCatName val="0"/>
          <c:showSerName val="0"/>
          <c:showPercent val="0"/>
          <c:showBubbleSize val="0"/>
        </c:dLbls>
        <c:gapWidth val="219"/>
        <c:overlap val="-27"/>
        <c:axId val="620052376"/>
        <c:axId val="620047672"/>
      </c:barChart>
      <c:catAx>
        <c:axId val="62005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47672"/>
        <c:crosses val="autoZero"/>
        <c:auto val="1"/>
        <c:lblAlgn val="ctr"/>
        <c:lblOffset val="100"/>
        <c:noMultiLvlLbl val="0"/>
      </c:catAx>
      <c:valAx>
        <c:axId val="620047672"/>
        <c:scaling>
          <c:orientation val="minMax"/>
        </c:scaling>
        <c:delete val="1"/>
        <c:axPos val="l"/>
        <c:numFmt formatCode="0.0" sourceLinked="1"/>
        <c:majorTickMark val="none"/>
        <c:minorTickMark val="none"/>
        <c:tickLblPos val="nextTo"/>
        <c:crossAx val="620052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Întreprinderi</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14.8</c:v>
                </c:pt>
                <c:pt idx="1">
                  <c:v>14.7</c:v>
                </c:pt>
                <c:pt idx="2">
                  <c:v>15.6</c:v>
                </c:pt>
                <c:pt idx="3">
                  <c:v>15.8</c:v>
                </c:pt>
                <c:pt idx="4">
                  <c:v>21.3</c:v>
                </c:pt>
                <c:pt idx="5">
                  <c:v>22.5</c:v>
                </c:pt>
                <c:pt idx="6">
                  <c:v>24.7</c:v>
                </c:pt>
                <c:pt idx="7">
                  <c:v>24.2</c:v>
                </c:pt>
                <c:pt idx="8">
                  <c:v>21.8</c:v>
                </c:pt>
                <c:pt idx="9">
                  <c:v>23.5</c:v>
                </c:pt>
                <c:pt idx="10">
                  <c:v>23</c:v>
                </c:pt>
              </c:numCache>
            </c:numRef>
          </c:val>
          <c:extLst xmlns:c16r2="http://schemas.microsoft.com/office/drawing/2015/06/chart">
            <c:ext xmlns:c16="http://schemas.microsoft.com/office/drawing/2014/chart" uri="{C3380CC4-5D6E-409C-BE32-E72D297353CC}">
              <c16:uniqueId val="{00000001-2937-47A1-8CFB-FDDBB85D5306}"/>
            </c:ext>
          </c:extLst>
        </c:ser>
        <c:ser>
          <c:idx val="1"/>
          <c:order val="1"/>
          <c:tx>
            <c:strRef>
              <c:f>Sheet1!$C$1</c:f>
              <c:strCache>
                <c:ptCount val="1"/>
                <c:pt idx="0">
                  <c:v>Gospodării ale populației </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576.4</c:v>
                </c:pt>
                <c:pt idx="1">
                  <c:v>511.1</c:v>
                </c:pt>
                <c:pt idx="2">
                  <c:v>474</c:v>
                </c:pt>
                <c:pt idx="3">
                  <c:v>470.1</c:v>
                </c:pt>
                <c:pt idx="4">
                  <c:v>464</c:v>
                </c:pt>
                <c:pt idx="5">
                  <c:v>457</c:v>
                </c:pt>
                <c:pt idx="6">
                  <c:v>437.4</c:v>
                </c:pt>
                <c:pt idx="7">
                  <c:v>418.4</c:v>
                </c:pt>
                <c:pt idx="8">
                  <c:v>351.3</c:v>
                </c:pt>
                <c:pt idx="9">
                  <c:v>308.2</c:v>
                </c:pt>
                <c:pt idx="10">
                  <c:v>267.5</c:v>
                </c:pt>
              </c:numCache>
            </c:numRef>
          </c:val>
          <c:extLst xmlns:c16r2="http://schemas.microsoft.com/office/drawing/2015/06/chart">
            <c:ext xmlns:c16="http://schemas.microsoft.com/office/drawing/2014/chart" uri="{C3380CC4-5D6E-409C-BE32-E72D297353CC}">
              <c16:uniqueId val="{00000003-2937-47A1-8CFB-FDDBB85D5306}"/>
            </c:ext>
          </c:extLst>
        </c:ser>
        <c:dLbls>
          <c:showLegendKey val="0"/>
          <c:showVal val="0"/>
          <c:showCatName val="0"/>
          <c:showSerName val="0"/>
          <c:showPercent val="0"/>
          <c:showBubbleSize val="0"/>
        </c:dLbls>
        <c:gapWidth val="219"/>
        <c:overlap val="-27"/>
        <c:axId val="620068056"/>
        <c:axId val="620050024"/>
      </c:barChart>
      <c:catAx>
        <c:axId val="620068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50024"/>
        <c:crosses val="autoZero"/>
        <c:auto val="1"/>
        <c:lblAlgn val="ctr"/>
        <c:lblOffset val="100"/>
        <c:noMultiLvlLbl val="0"/>
      </c:catAx>
      <c:valAx>
        <c:axId val="620050024"/>
        <c:scaling>
          <c:orientation val="minMax"/>
        </c:scaling>
        <c:delete val="1"/>
        <c:axPos val="l"/>
        <c:numFmt formatCode="0.0" sourceLinked="1"/>
        <c:majorTickMark val="none"/>
        <c:minorTickMark val="none"/>
        <c:tickLblPos val="nextTo"/>
        <c:crossAx val="620068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Întreprinderi</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lumMod val="60000"/>
                    <a:lumOff val="40000"/>
                  </a:schemeClr>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Sheet1!$B$2:$B$12</c:f>
              <c:numCache>
                <c:formatCode>0.0</c:formatCode>
                <c:ptCount val="11"/>
                <c:pt idx="0">
                  <c:v>276.2</c:v>
                </c:pt>
                <c:pt idx="1">
                  <c:v>241.9</c:v>
                </c:pt>
                <c:pt idx="2">
                  <c:v>242.2</c:v>
                </c:pt>
                <c:pt idx="3">
                  <c:v>242</c:v>
                </c:pt>
                <c:pt idx="4">
                  <c:v>246.5</c:v>
                </c:pt>
                <c:pt idx="5">
                  <c:v>292.60000000000002</c:v>
                </c:pt>
                <c:pt idx="6">
                  <c:v>292.7</c:v>
                </c:pt>
                <c:pt idx="7">
                  <c:v>316.2</c:v>
                </c:pt>
                <c:pt idx="8">
                  <c:v>318</c:v>
                </c:pt>
                <c:pt idx="9">
                  <c:v>297.7</c:v>
                </c:pt>
                <c:pt idx="10">
                  <c:v>253.5</c:v>
                </c:pt>
              </c:numCache>
            </c:numRef>
          </c:val>
          <c:extLst xmlns:c16r2="http://schemas.microsoft.com/office/drawing/2015/06/chart">
            <c:ext xmlns:c16="http://schemas.microsoft.com/office/drawing/2014/chart" uri="{C3380CC4-5D6E-409C-BE32-E72D297353CC}">
              <c16:uniqueId val="{00000001-B104-4FA0-912F-796188A247C0}"/>
            </c:ext>
          </c:extLst>
        </c:ser>
        <c:ser>
          <c:idx val="1"/>
          <c:order val="1"/>
          <c:tx>
            <c:strRef>
              <c:f>Sheet1!$C$1</c:f>
              <c:strCache>
                <c:ptCount val="1"/>
                <c:pt idx="0">
                  <c:v>Gospodării ale populației </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solidFill>
                <a:prstDash val="sysDot"/>
              </a:ln>
              <a:effectLst/>
            </c:spPr>
            <c:trendlineType val="linear"/>
            <c:dispRSqr val="0"/>
            <c:dispEq val="0"/>
          </c:trendline>
          <c:cat>
            <c:numRef>
              <c:f>Sheet1!$A$2:$A$12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Sheet1!$C$2:$C$12</c:f>
              <c:numCache>
                <c:formatCode>0.0</c:formatCode>
                <c:ptCount val="11"/>
                <c:pt idx="0">
                  <c:v>442.3</c:v>
                </c:pt>
                <c:pt idx="1">
                  <c:v>463.3</c:v>
                </c:pt>
                <c:pt idx="2">
                  <c:v>379.7</c:v>
                </c:pt>
                <c:pt idx="3">
                  <c:v>381.7</c:v>
                </c:pt>
                <c:pt idx="4">
                  <c:v>398.5</c:v>
                </c:pt>
                <c:pt idx="5">
                  <c:v>380.9</c:v>
                </c:pt>
                <c:pt idx="6">
                  <c:v>380.9</c:v>
                </c:pt>
                <c:pt idx="7">
                  <c:v>391</c:v>
                </c:pt>
                <c:pt idx="8">
                  <c:v>370.7</c:v>
                </c:pt>
                <c:pt idx="9">
                  <c:v>388.9</c:v>
                </c:pt>
                <c:pt idx="10">
                  <c:v>374</c:v>
                </c:pt>
              </c:numCache>
            </c:numRef>
          </c:val>
          <c:extLst xmlns:c16r2="http://schemas.microsoft.com/office/drawing/2015/06/chart">
            <c:ext xmlns:c16="http://schemas.microsoft.com/office/drawing/2014/chart" uri="{C3380CC4-5D6E-409C-BE32-E72D297353CC}">
              <c16:uniqueId val="{00000003-B104-4FA0-912F-796188A247C0}"/>
            </c:ext>
          </c:extLst>
        </c:ser>
        <c:dLbls>
          <c:showLegendKey val="0"/>
          <c:showVal val="0"/>
          <c:showCatName val="0"/>
          <c:showSerName val="0"/>
          <c:showPercent val="0"/>
          <c:showBubbleSize val="0"/>
        </c:dLbls>
        <c:gapWidth val="219"/>
        <c:overlap val="-27"/>
        <c:axId val="620052768"/>
        <c:axId val="620073544"/>
      </c:barChart>
      <c:catAx>
        <c:axId val="62005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73544"/>
        <c:crosses val="autoZero"/>
        <c:auto val="1"/>
        <c:lblAlgn val="ctr"/>
        <c:lblOffset val="100"/>
        <c:noMultiLvlLbl val="0"/>
      </c:catAx>
      <c:valAx>
        <c:axId val="620073544"/>
        <c:scaling>
          <c:orientation val="minMax"/>
        </c:scaling>
        <c:delete val="1"/>
        <c:axPos val="l"/>
        <c:numFmt formatCode="0.0" sourceLinked="1"/>
        <c:majorTickMark val="none"/>
        <c:minorTickMark val="none"/>
        <c:tickLblPos val="nextTo"/>
        <c:crossAx val="620052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2.3542001070090957E-2"/>
          <c:y val="4.2075736325385693E-2"/>
          <c:w val="0.95291599785981806"/>
          <c:h val="0.48012225154885091"/>
        </c:manualLayout>
      </c:layout>
      <c:barChart>
        <c:barDir val="col"/>
        <c:grouping val="clustered"/>
        <c:varyColors val="0"/>
        <c:ser>
          <c:idx val="0"/>
          <c:order val="0"/>
          <c:tx>
            <c:strRef>
              <c:f>Sheet1!$B$1</c:f>
              <c:strCache>
                <c:ptCount val="1"/>
                <c:pt idx="0">
                  <c:v>Rata ocupare</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Sheet1!$B$2:$B$9</c:f>
              <c:numCache>
                <c:formatCode>General</c:formatCode>
                <c:ptCount val="8"/>
                <c:pt idx="0">
                  <c:v>36.6</c:v>
                </c:pt>
                <c:pt idx="1">
                  <c:v>38</c:v>
                </c:pt>
                <c:pt idx="2">
                  <c:v>38.9</c:v>
                </c:pt>
                <c:pt idx="3">
                  <c:v>39.700000000000003</c:v>
                </c:pt>
                <c:pt idx="4">
                  <c:v>39.299999999999997</c:v>
                </c:pt>
                <c:pt idx="5" formatCode="0.0">
                  <c:v>36.200000000000003</c:v>
                </c:pt>
                <c:pt idx="6">
                  <c:v>32.4</c:v>
                </c:pt>
                <c:pt idx="7">
                  <c:v>31.5</c:v>
                </c:pt>
              </c:numCache>
            </c:numRef>
          </c:val>
          <c:extLst xmlns:c16r2="http://schemas.microsoft.com/office/drawing/2015/06/chart">
            <c:ext xmlns:c16="http://schemas.microsoft.com/office/drawing/2014/chart" uri="{C3380CC4-5D6E-409C-BE32-E72D297353CC}">
              <c16:uniqueId val="{00000000-8BAB-0C43-A01E-448784629BC3}"/>
            </c:ext>
          </c:extLst>
        </c:ser>
        <c:dLbls>
          <c:showLegendKey val="0"/>
          <c:showVal val="1"/>
          <c:showCatName val="0"/>
          <c:showSerName val="0"/>
          <c:showPercent val="0"/>
          <c:showBubbleSize val="0"/>
        </c:dLbls>
        <c:gapWidth val="219"/>
        <c:axId val="620055512"/>
        <c:axId val="620047280"/>
      </c:barChart>
      <c:lineChart>
        <c:grouping val="stacked"/>
        <c:varyColors val="0"/>
        <c:ser>
          <c:idx val="1"/>
          <c:order val="1"/>
          <c:tx>
            <c:strRef>
              <c:f>Sheet1!$C$1</c:f>
              <c:strCache>
                <c:ptCount val="1"/>
                <c:pt idx="0">
                  <c:v>Rata șomaj</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Sheet1!$C$2:$C$9</c:f>
              <c:numCache>
                <c:formatCode>General</c:formatCode>
                <c:ptCount val="8"/>
                <c:pt idx="0">
                  <c:v>4.0999999999999996</c:v>
                </c:pt>
                <c:pt idx="1">
                  <c:v>2.7</c:v>
                </c:pt>
                <c:pt idx="2">
                  <c:v>3.5</c:v>
                </c:pt>
                <c:pt idx="3">
                  <c:v>2.6</c:v>
                </c:pt>
                <c:pt idx="4">
                  <c:v>2.7</c:v>
                </c:pt>
                <c:pt idx="5" formatCode="0.0">
                  <c:v>2.9</c:v>
                </c:pt>
                <c:pt idx="6">
                  <c:v>5.0999999999999996</c:v>
                </c:pt>
                <c:pt idx="7">
                  <c:v>3.8</c:v>
                </c:pt>
              </c:numCache>
            </c:numRef>
          </c:val>
          <c:smooth val="0"/>
          <c:extLst xmlns:c16r2="http://schemas.microsoft.com/office/drawing/2015/06/chart">
            <c:ext xmlns:c16="http://schemas.microsoft.com/office/drawing/2014/chart" uri="{C3380CC4-5D6E-409C-BE32-E72D297353CC}">
              <c16:uniqueId val="{00000001-8BAB-0C43-A01E-448784629BC3}"/>
            </c:ext>
          </c:extLst>
        </c:ser>
        <c:dLbls>
          <c:showLegendKey val="0"/>
          <c:showVal val="1"/>
          <c:showCatName val="0"/>
          <c:showSerName val="0"/>
          <c:showPercent val="0"/>
          <c:showBubbleSize val="0"/>
        </c:dLbls>
        <c:marker val="1"/>
        <c:smooth val="0"/>
        <c:axId val="620055512"/>
        <c:axId val="620047280"/>
      </c:lineChart>
      <c:catAx>
        <c:axId val="62005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20047280"/>
        <c:crosses val="autoZero"/>
        <c:auto val="1"/>
        <c:lblAlgn val="ctr"/>
        <c:lblOffset val="100"/>
        <c:noMultiLvlLbl val="0"/>
      </c:catAx>
      <c:valAx>
        <c:axId val="620047280"/>
        <c:scaling>
          <c:orientation val="minMax"/>
        </c:scaling>
        <c:delete val="1"/>
        <c:axPos val="l"/>
        <c:numFmt formatCode="General" sourceLinked="1"/>
        <c:majorTickMark val="none"/>
        <c:minorTickMark val="none"/>
        <c:tickLblPos val="none"/>
        <c:crossAx val="620055512"/>
        <c:crosses val="autoZero"/>
        <c:crossBetween val="between"/>
      </c:valAx>
      <c:spPr>
        <a:noFill/>
        <a:ln>
          <a:noFill/>
        </a:ln>
        <a:effectLst/>
      </c:spPr>
    </c:plotArea>
    <c:legend>
      <c:legendPos val="b"/>
      <c:layout>
        <c:manualLayout>
          <c:xMode val="edge"/>
          <c:yMode val="edge"/>
          <c:x val="0.29856801607664213"/>
          <c:y val="0.69787578270808714"/>
          <c:w val="0.37718178486116199"/>
          <c:h val="0.1268086492694724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696824966757398"/>
          <c:y val="4.0201005025125629E-2"/>
          <c:w val="0.50702475583881823"/>
          <c:h val="0.91959798994974873"/>
        </c:manualLayout>
      </c:layout>
      <c:barChart>
        <c:barDir val="bar"/>
        <c:grouping val="clustered"/>
        <c:varyColors val="0"/>
        <c:ser>
          <c:idx val="0"/>
          <c:order val="0"/>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Sheet2!$E$80:$E$99</c:f>
              <c:strCache>
                <c:ptCount val="20"/>
                <c:pt idx="0">
                  <c:v>Activităţi ale gospodăriilor casnice în calitate de angajator de personal casnic; activităţi ale gospodăriilor casnice de producere de bunuri şi servicii destinate consumului propriu</c:v>
                </c:pt>
                <c:pt idx="1">
                  <c:v>Industria extractivă</c:v>
                </c:pt>
                <c:pt idx="2">
                  <c:v>Arta, activități de recreere și de agrement</c:v>
                </c:pt>
                <c:pt idx="3">
                  <c:v>Activități de cazare și alimentație publică</c:v>
                </c:pt>
                <c:pt idx="4">
                  <c:v>Distribuţia apei; salubritate, gestionarea deşeurilor, activităţi de decontaminare</c:v>
                </c:pt>
                <c:pt idx="5">
                  <c:v>Activităţi de servicii administrative şi activităţi de servicii suport</c:v>
                </c:pt>
                <c:pt idx="6">
                  <c:v>Alte activităţi de servicii</c:v>
                </c:pt>
                <c:pt idx="7">
                  <c:v>Activităţi profesionale, ştiinţifice şi tehnice</c:v>
                </c:pt>
                <c:pt idx="8">
                  <c:v>Producţia şi furnizarea de energie electrică şi termică, gaze, apă caldă şi aer condiţionat</c:v>
                </c:pt>
                <c:pt idx="9">
                  <c:v>Administraţie publică şi apărare; asigurări sociale obligatorii</c:v>
                </c:pt>
                <c:pt idx="10">
                  <c:v>Activități financiare și asigurări</c:v>
                </c:pt>
                <c:pt idx="11">
                  <c:v>Sănătate şi asistenţă socială</c:v>
                </c:pt>
                <c:pt idx="12">
                  <c:v>Transport şi depozitare</c:v>
                </c:pt>
                <c:pt idx="13">
                  <c:v>Învăţământ</c:v>
                </c:pt>
                <c:pt idx="14">
                  <c:v>Informaţii şi comunicaţii</c:v>
                </c:pt>
                <c:pt idx="15">
                  <c:v>Tranzacţii imobiliare</c:v>
                </c:pt>
                <c:pt idx="16">
                  <c:v>Construcţii</c:v>
                </c:pt>
                <c:pt idx="17">
                  <c:v>Agricultură, silvicultură şi pescuit</c:v>
                </c:pt>
                <c:pt idx="18">
                  <c:v>Industria prelucrătoare</c:v>
                </c:pt>
                <c:pt idx="19">
                  <c:v>Comerţ cu ridicata şi cu amănuntul; întreţinerea şi repararea autovehiculelor şi a motocicletelor</c:v>
                </c:pt>
              </c:strCache>
            </c:strRef>
          </c:cat>
          <c:val>
            <c:numRef>
              <c:f>Sheet2!$G$80:$G$99</c:f>
              <c:numCache>
                <c:formatCode>0.0</c:formatCode>
                <c:ptCount val="20"/>
                <c:pt idx="0">
                  <c:v>0.12889288655122411</c:v>
                </c:pt>
                <c:pt idx="1">
                  <c:v>0.34209730087492124</c:v>
                </c:pt>
                <c:pt idx="2">
                  <c:v>0.77041972051620955</c:v>
                </c:pt>
                <c:pt idx="3">
                  <c:v>0.84946799009798812</c:v>
                </c:pt>
                <c:pt idx="4">
                  <c:v>0.94326718961166911</c:v>
                </c:pt>
                <c:pt idx="5">
                  <c:v>1.3315696644605575</c:v>
                </c:pt>
                <c:pt idx="6">
                  <c:v>1.8343970493650421</c:v>
                </c:pt>
                <c:pt idx="7">
                  <c:v>2.0433174494030522</c:v>
                </c:pt>
                <c:pt idx="8">
                  <c:v>2.6006019281869017</c:v>
                </c:pt>
                <c:pt idx="9">
                  <c:v>4.3635561897590973</c:v>
                </c:pt>
                <c:pt idx="10">
                  <c:v>4.6980988518201716</c:v>
                </c:pt>
                <c:pt idx="11">
                  <c:v>4.8784675095969821</c:v>
                </c:pt>
                <c:pt idx="12">
                  <c:v>4.9612743110428621</c:v>
                </c:pt>
                <c:pt idx="13">
                  <c:v>4.9781030154105137</c:v>
                </c:pt>
                <c:pt idx="14">
                  <c:v>5.6740352572763859</c:v>
                </c:pt>
                <c:pt idx="15">
                  <c:v>8.299713274533401</c:v>
                </c:pt>
                <c:pt idx="16">
                  <c:v>10.506753484353663</c:v>
                </c:pt>
                <c:pt idx="17">
                  <c:v>11.043753733474658</c:v>
                </c:pt>
                <c:pt idx="18">
                  <c:v>12.03764097158127</c:v>
                </c:pt>
                <c:pt idx="19">
                  <c:v>17.714572222083426</c:v>
                </c:pt>
              </c:numCache>
            </c:numRef>
          </c:val>
          <c:extLst xmlns:c16r2="http://schemas.microsoft.com/office/drawing/2015/06/chart">
            <c:ext xmlns:c16="http://schemas.microsoft.com/office/drawing/2014/chart" uri="{C3380CC4-5D6E-409C-BE32-E72D297353CC}">
              <c16:uniqueId val="{00000000-B99E-492D-B450-4C0A6C8739F6}"/>
            </c:ext>
          </c:extLst>
        </c:ser>
        <c:dLbls>
          <c:showLegendKey val="0"/>
          <c:showVal val="0"/>
          <c:showCatName val="0"/>
          <c:showSerName val="0"/>
          <c:showPercent val="0"/>
          <c:showBubbleSize val="0"/>
        </c:dLbls>
        <c:gapWidth val="43"/>
        <c:axId val="620069624"/>
        <c:axId val="620074328"/>
      </c:barChart>
      <c:catAx>
        <c:axId val="620069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620074328"/>
        <c:crosses val="autoZero"/>
        <c:auto val="1"/>
        <c:lblAlgn val="ctr"/>
        <c:lblOffset val="100"/>
        <c:tickLblSkip val="1"/>
        <c:noMultiLvlLbl val="0"/>
      </c:catAx>
      <c:valAx>
        <c:axId val="620074328"/>
        <c:scaling>
          <c:orientation val="minMax"/>
        </c:scaling>
        <c:delete val="1"/>
        <c:axPos val="b"/>
        <c:numFmt formatCode="0.0" sourceLinked="1"/>
        <c:majorTickMark val="none"/>
        <c:minorTickMark val="none"/>
        <c:tickLblPos val="nextTo"/>
        <c:crossAx val="620069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Urban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Apeduct rețea publică</c:v>
                </c:pt>
                <c:pt idx="1">
                  <c:v>Apă caldă </c:v>
                </c:pt>
                <c:pt idx="2">
                  <c:v>Încălzire centrală</c:v>
                </c:pt>
                <c:pt idx="3">
                  <c:v>Gaze din retea</c:v>
                </c:pt>
                <c:pt idx="4">
                  <c:v>Grup sanitar în interiorul locuinței</c:v>
                </c:pt>
                <c:pt idx="5">
                  <c:v>Sistem de canalizare</c:v>
                </c:pt>
              </c:strCache>
            </c:strRef>
          </c:cat>
          <c:val>
            <c:numRef>
              <c:f>Sheet1!$B$2:$B$7</c:f>
              <c:numCache>
                <c:formatCode>General</c:formatCode>
                <c:ptCount val="6"/>
                <c:pt idx="0">
                  <c:v>91</c:v>
                </c:pt>
                <c:pt idx="1">
                  <c:v>80.400000000000006</c:v>
                </c:pt>
                <c:pt idx="2">
                  <c:v>41.3</c:v>
                </c:pt>
                <c:pt idx="3">
                  <c:v>84.9</c:v>
                </c:pt>
                <c:pt idx="4">
                  <c:v>80.599999999999994</c:v>
                </c:pt>
                <c:pt idx="5">
                  <c:v>92.2</c:v>
                </c:pt>
              </c:numCache>
            </c:numRef>
          </c:val>
          <c:extLst xmlns:c16r2="http://schemas.microsoft.com/office/drawing/2015/06/chart">
            <c:ext xmlns:c16="http://schemas.microsoft.com/office/drawing/2014/chart" uri="{C3380CC4-5D6E-409C-BE32-E72D297353CC}">
              <c16:uniqueId val="{00000000-89EA-D04C-B4D9-E98EC9F13347}"/>
            </c:ext>
          </c:extLst>
        </c:ser>
        <c:ser>
          <c:idx val="1"/>
          <c:order val="1"/>
          <c:tx>
            <c:strRef>
              <c:f>Sheet1!$C$1</c:f>
              <c:strCache>
                <c:ptCount val="1"/>
                <c:pt idx="0">
                  <c:v>Rural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Apeduct rețea publică</c:v>
                </c:pt>
                <c:pt idx="1">
                  <c:v>Apă caldă </c:v>
                </c:pt>
                <c:pt idx="2">
                  <c:v>Încălzire centrală</c:v>
                </c:pt>
                <c:pt idx="3">
                  <c:v>Gaze din retea</c:v>
                </c:pt>
                <c:pt idx="4">
                  <c:v>Grup sanitar în interiorul locuinței</c:v>
                </c:pt>
                <c:pt idx="5">
                  <c:v>Sistem de canalizare</c:v>
                </c:pt>
              </c:strCache>
            </c:strRef>
          </c:cat>
          <c:val>
            <c:numRef>
              <c:f>Sheet1!$C$2:$C$7</c:f>
              <c:numCache>
                <c:formatCode>General</c:formatCode>
                <c:ptCount val="6"/>
                <c:pt idx="0">
                  <c:v>50.5</c:v>
                </c:pt>
                <c:pt idx="1">
                  <c:v>34</c:v>
                </c:pt>
                <c:pt idx="2">
                  <c:v>0.1</c:v>
                </c:pt>
                <c:pt idx="3">
                  <c:v>36.9</c:v>
                </c:pt>
                <c:pt idx="4">
                  <c:v>16.600000000000001</c:v>
                </c:pt>
                <c:pt idx="5">
                  <c:v>48.8</c:v>
                </c:pt>
              </c:numCache>
            </c:numRef>
          </c:val>
          <c:extLst xmlns:c16r2="http://schemas.microsoft.com/office/drawing/2015/06/chart">
            <c:ext xmlns:c16="http://schemas.microsoft.com/office/drawing/2014/chart" uri="{C3380CC4-5D6E-409C-BE32-E72D297353CC}">
              <c16:uniqueId val="{00000001-89EA-D04C-B4D9-E98EC9F13347}"/>
            </c:ext>
          </c:extLst>
        </c:ser>
        <c:dLbls>
          <c:showLegendKey val="0"/>
          <c:showVal val="1"/>
          <c:showCatName val="0"/>
          <c:showSerName val="0"/>
          <c:showPercent val="0"/>
          <c:showBubbleSize val="0"/>
        </c:dLbls>
        <c:gapWidth val="219"/>
        <c:overlap val="-27"/>
        <c:axId val="620046496"/>
        <c:axId val="620050808"/>
      </c:barChart>
      <c:catAx>
        <c:axId val="62004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050808"/>
        <c:crosses val="autoZero"/>
        <c:auto val="1"/>
        <c:lblAlgn val="ctr"/>
        <c:lblOffset val="100"/>
        <c:noMultiLvlLbl val="0"/>
      </c:catAx>
      <c:valAx>
        <c:axId val="620050808"/>
        <c:scaling>
          <c:orientation val="minMax"/>
        </c:scaling>
        <c:delete val="1"/>
        <c:axPos val="l"/>
        <c:numFmt formatCode="General" sourceLinked="1"/>
        <c:majorTickMark val="none"/>
        <c:minorTickMark val="none"/>
        <c:tickLblPos val="none"/>
        <c:crossAx val="620046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Agricultură</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0.0%</c:formatCode>
                <c:ptCount val="10"/>
                <c:pt idx="0">
                  <c:v>0.27522154055896392</c:v>
                </c:pt>
                <c:pt idx="1">
                  <c:v>0.26445200104629873</c:v>
                </c:pt>
                <c:pt idx="2">
                  <c:v>0.28813848384070945</c:v>
                </c:pt>
                <c:pt idx="3">
                  <c:v>0.30477717758271439</c:v>
                </c:pt>
                <c:pt idx="4">
                  <c:v>0.31727174545152442</c:v>
                </c:pt>
                <c:pt idx="5">
                  <c:v>0.33694136941369413</c:v>
                </c:pt>
                <c:pt idx="6">
                  <c:v>0.32342222958423056</c:v>
                </c:pt>
                <c:pt idx="7">
                  <c:v>0.36096470212426135</c:v>
                </c:pt>
                <c:pt idx="8">
                  <c:v>0.20956093087240629</c:v>
                </c:pt>
                <c:pt idx="9">
                  <c:v>0.21086070486693839</c:v>
                </c:pt>
              </c:numCache>
            </c:numRef>
          </c:val>
          <c:extLst xmlns:c16r2="http://schemas.microsoft.com/office/drawing/2015/06/chart">
            <c:ext xmlns:c16="http://schemas.microsoft.com/office/drawing/2014/chart" uri="{C3380CC4-5D6E-409C-BE32-E72D297353CC}">
              <c16:uniqueId val="{00000000-92E7-43C8-BB11-AE28D3598104}"/>
            </c:ext>
          </c:extLst>
        </c:ser>
        <c:ser>
          <c:idx val="1"/>
          <c:order val="1"/>
          <c:tx>
            <c:strRef>
              <c:f>Sheet1!$C$1</c:f>
              <c:strCache>
                <c:ptCount val="1"/>
                <c:pt idx="0">
                  <c:v>Industrie</c:v>
                </c:pt>
              </c:strCache>
            </c:strRef>
          </c:tx>
          <c:spPr>
            <a:solidFill>
              <a:schemeClr val="bg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0.0%</c:formatCode>
                <c:ptCount val="10"/>
                <c:pt idx="0">
                  <c:v>0.1305385139740968</c:v>
                </c:pt>
                <c:pt idx="1">
                  <c:v>0.13157206382422182</c:v>
                </c:pt>
                <c:pt idx="2">
                  <c:v>0.12142918052357807</c:v>
                </c:pt>
                <c:pt idx="3">
                  <c:v>0.12288993923024984</c:v>
                </c:pt>
                <c:pt idx="4">
                  <c:v>0.12320345601063389</c:v>
                </c:pt>
                <c:pt idx="5">
                  <c:v>0.12144321443214431</c:v>
                </c:pt>
                <c:pt idx="6">
                  <c:v>0.11959582574126221</c:v>
                </c:pt>
                <c:pt idx="7">
                  <c:v>0.11763296597987545</c:v>
                </c:pt>
                <c:pt idx="8">
                  <c:v>0.1467385073942451</c:v>
                </c:pt>
                <c:pt idx="9">
                  <c:v>0.14552865020378805</c:v>
                </c:pt>
              </c:numCache>
            </c:numRef>
          </c:val>
          <c:extLst xmlns:c16r2="http://schemas.microsoft.com/office/drawing/2015/06/chart">
            <c:ext xmlns:c16="http://schemas.microsoft.com/office/drawing/2014/chart" uri="{C3380CC4-5D6E-409C-BE32-E72D297353CC}">
              <c16:uniqueId val="{00000001-92E7-43C8-BB11-AE28D3598104}"/>
            </c:ext>
          </c:extLst>
        </c:ser>
        <c:ser>
          <c:idx val="2"/>
          <c:order val="2"/>
          <c:tx>
            <c:strRef>
              <c:f>Sheet1!$D$1</c:f>
              <c:strCache>
                <c:ptCount val="1"/>
                <c:pt idx="0">
                  <c:v>Servicii</c:v>
                </c:pt>
              </c:strCache>
            </c:strRef>
          </c:tx>
          <c:spPr>
            <a:solidFill>
              <a:schemeClr val="bg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0.0%</c:formatCode>
                <c:ptCount val="10"/>
                <c:pt idx="0">
                  <c:v>0.53732106339468311</c:v>
                </c:pt>
                <c:pt idx="1">
                  <c:v>0.54276746010986132</c:v>
                </c:pt>
                <c:pt idx="2">
                  <c:v>0.53500469003155116</c:v>
                </c:pt>
                <c:pt idx="3">
                  <c:v>0.51628966914247132</c:v>
                </c:pt>
                <c:pt idx="4">
                  <c:v>0.50519232366868816</c:v>
                </c:pt>
                <c:pt idx="5">
                  <c:v>0.49167691676916769</c:v>
                </c:pt>
                <c:pt idx="6">
                  <c:v>0.51010435646844454</c:v>
                </c:pt>
                <c:pt idx="7">
                  <c:v>0.47388596070915195</c:v>
                </c:pt>
                <c:pt idx="8">
                  <c:v>0.57331193396767177</c:v>
                </c:pt>
                <c:pt idx="9">
                  <c:v>0.57120594581635098</c:v>
                </c:pt>
              </c:numCache>
            </c:numRef>
          </c:val>
          <c:extLst xmlns:c16r2="http://schemas.microsoft.com/office/drawing/2015/06/chart">
            <c:ext xmlns:c16="http://schemas.microsoft.com/office/drawing/2014/chart" uri="{C3380CC4-5D6E-409C-BE32-E72D297353CC}">
              <c16:uniqueId val="{00000002-92E7-43C8-BB11-AE28D3598104}"/>
            </c:ext>
          </c:extLst>
        </c:ser>
        <c:ser>
          <c:idx val="3"/>
          <c:order val="3"/>
          <c:tx>
            <c:strRef>
              <c:f>Sheet1!$E$1</c:f>
              <c:strCache>
                <c:ptCount val="1"/>
                <c:pt idx="0">
                  <c:v>Construcții</c:v>
                </c:pt>
              </c:strCache>
            </c:strRef>
          </c:tx>
          <c:spPr>
            <a:solidFill>
              <a:schemeClr val="accent3">
                <a:lumMod val="20000"/>
                <a:lumOff val="80000"/>
              </a:schemeClr>
            </a:solidFill>
            <a:ln>
              <a:noFill/>
            </a:ln>
            <a:effectLst/>
          </c:spPr>
          <c:invertIfNegative val="0"/>
          <c:dLbls>
            <c:dLbl>
              <c:idx val="0"/>
              <c:layout/>
              <c:tx>
                <c:rich>
                  <a:bodyPr/>
                  <a:lstStyle/>
                  <a:p>
                    <a:fld id="{2918AA84-E53C-B043-84A0-649C37B663B1}" type="VALUE">
                      <a:rPr lang="en-US" sz="800"/>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2E7-43C8-BB11-AE28D3598104}"/>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Sheet1!$E$2:$E$11</c:f>
              <c:numCache>
                <c:formatCode>0.0%</c:formatCode>
                <c:ptCount val="10"/>
                <c:pt idx="0">
                  <c:v>5.6918882072256309E-2</c:v>
                </c:pt>
                <c:pt idx="1">
                  <c:v>6.1208475019618097E-2</c:v>
                </c:pt>
                <c:pt idx="2">
                  <c:v>5.5427645604161337E-2</c:v>
                </c:pt>
                <c:pt idx="3">
                  <c:v>5.6043214044564492E-2</c:v>
                </c:pt>
                <c:pt idx="4">
                  <c:v>5.4332474869153449E-2</c:v>
                </c:pt>
                <c:pt idx="5">
                  <c:v>4.9938499384993847E-2</c:v>
                </c:pt>
                <c:pt idx="6">
                  <c:v>4.6877588206062609E-2</c:v>
                </c:pt>
                <c:pt idx="7">
                  <c:v>4.7516371186711398E-2</c:v>
                </c:pt>
                <c:pt idx="8">
                  <c:v>7.0388627765676948E-2</c:v>
                </c:pt>
                <c:pt idx="9">
                  <c:v>7.2404699112922549E-2</c:v>
                </c:pt>
              </c:numCache>
            </c:numRef>
          </c:val>
          <c:extLst xmlns:c16r2="http://schemas.microsoft.com/office/drawing/2015/06/chart">
            <c:ext xmlns:c16="http://schemas.microsoft.com/office/drawing/2014/chart" uri="{C3380CC4-5D6E-409C-BE32-E72D297353CC}">
              <c16:uniqueId val="{00000004-92E7-43C8-BB11-AE28D3598104}"/>
            </c:ext>
          </c:extLst>
        </c:ser>
        <c:dLbls>
          <c:showLegendKey val="0"/>
          <c:showVal val="0"/>
          <c:showCatName val="0"/>
          <c:showSerName val="0"/>
          <c:showPercent val="0"/>
          <c:showBubbleSize val="0"/>
        </c:dLbls>
        <c:gapWidth val="150"/>
        <c:overlap val="100"/>
        <c:axId val="620044144"/>
        <c:axId val="620062568"/>
      </c:barChart>
      <c:catAx>
        <c:axId val="620044144"/>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062568"/>
        <c:crosses val="autoZero"/>
        <c:auto val="1"/>
        <c:lblAlgn val="ctr"/>
        <c:lblOffset val="100"/>
        <c:noMultiLvlLbl val="0"/>
      </c:catAx>
      <c:valAx>
        <c:axId val="620062568"/>
        <c:scaling>
          <c:orientation val="minMax"/>
        </c:scaling>
        <c:delete val="1"/>
        <c:axPos val="l"/>
        <c:numFmt formatCode="0%" sourceLinked="1"/>
        <c:majorTickMark val="none"/>
        <c:minorTickMark val="none"/>
        <c:tickLblPos val="nextTo"/>
        <c:crossAx val="620044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3904060603535661E-2"/>
          <c:y val="7.407407407407407E-2"/>
          <c:w val="0.78478540876834824"/>
          <c:h val="0.8416746864975212"/>
        </c:manualLayout>
      </c:layout>
      <c:barChart>
        <c:barDir val="col"/>
        <c:grouping val="percentStacked"/>
        <c:varyColors val="0"/>
        <c:ser>
          <c:idx val="0"/>
          <c:order val="0"/>
          <c:tx>
            <c:strRef>
              <c:f>'ext010500'!$B$50</c:f>
              <c:strCache>
                <c:ptCount val="1"/>
                <c:pt idx="0">
                  <c:v>UE</c:v>
                </c:pt>
              </c:strCache>
            </c:strRef>
          </c:tx>
          <c:spPr>
            <a:solidFill>
              <a:srgbClr val="1347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'ext010500'!$C$49:$L$49</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'ext010500'!$C$50:$L$50</c:f>
              <c:numCache>
                <c:formatCode>0.0</c:formatCode>
                <c:ptCount val="10"/>
                <c:pt idx="0">
                  <c:v>41.65680984297623</c:v>
                </c:pt>
                <c:pt idx="1">
                  <c:v>37.707941703956308</c:v>
                </c:pt>
                <c:pt idx="2">
                  <c:v>36.840331053050441</c:v>
                </c:pt>
                <c:pt idx="3">
                  <c:v>41.295366318706805</c:v>
                </c:pt>
                <c:pt idx="4">
                  <c:v>53.272148205496499</c:v>
                </c:pt>
                <c:pt idx="5">
                  <c:v>56.680112033727674</c:v>
                </c:pt>
                <c:pt idx="6">
                  <c:v>57.561577164250679</c:v>
                </c:pt>
                <c:pt idx="7">
                  <c:v>54.77711367710851</c:v>
                </c:pt>
                <c:pt idx="8">
                  <c:v>49.519511965024996</c:v>
                </c:pt>
                <c:pt idx="9">
                  <c:v>52.432191384400994</c:v>
                </c:pt>
              </c:numCache>
            </c:numRef>
          </c:val>
          <c:extLst xmlns:c16r2="http://schemas.microsoft.com/office/drawing/2015/06/chart">
            <c:ext xmlns:c16="http://schemas.microsoft.com/office/drawing/2014/chart" uri="{C3380CC4-5D6E-409C-BE32-E72D297353CC}">
              <c16:uniqueId val="{00000000-02CD-452C-9F23-269BCC4CD9C9}"/>
            </c:ext>
          </c:extLst>
        </c:ser>
        <c:ser>
          <c:idx val="1"/>
          <c:order val="1"/>
          <c:tx>
            <c:strRef>
              <c:f>'ext010500'!$B$51</c:f>
              <c:strCache>
                <c:ptCount val="1"/>
                <c:pt idx="0">
                  <c:v>CSI </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'ext010500'!$C$49:$L$49</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'ext010500'!$C$51:$L$51</c:f>
              <c:numCache>
                <c:formatCode>0.0</c:formatCode>
                <c:ptCount val="10"/>
                <c:pt idx="0">
                  <c:v>46.928261801976163</c:v>
                </c:pt>
                <c:pt idx="1">
                  <c:v>47.81928577063362</c:v>
                </c:pt>
                <c:pt idx="2">
                  <c:v>40.095055076782728</c:v>
                </c:pt>
                <c:pt idx="3">
                  <c:v>35.043189453577753</c:v>
                </c:pt>
                <c:pt idx="4">
                  <c:v>26.528623882240758</c:v>
                </c:pt>
                <c:pt idx="5">
                  <c:v>18.679556722278765</c:v>
                </c:pt>
                <c:pt idx="6">
                  <c:v>19.242920440829135</c:v>
                </c:pt>
                <c:pt idx="7">
                  <c:v>18.546248994325254</c:v>
                </c:pt>
                <c:pt idx="8">
                  <c:v>17.756039482918915</c:v>
                </c:pt>
                <c:pt idx="9">
                  <c:v>19.871537298184517</c:v>
                </c:pt>
              </c:numCache>
            </c:numRef>
          </c:val>
          <c:extLst xmlns:c16r2="http://schemas.microsoft.com/office/drawing/2015/06/chart">
            <c:ext xmlns:c16="http://schemas.microsoft.com/office/drawing/2014/chart" uri="{C3380CC4-5D6E-409C-BE32-E72D297353CC}">
              <c16:uniqueId val="{00000001-02CD-452C-9F23-269BCC4CD9C9}"/>
            </c:ext>
          </c:extLst>
        </c:ser>
        <c:ser>
          <c:idx val="2"/>
          <c:order val="2"/>
          <c:tx>
            <c:strRef>
              <c:f>'ext010500'!$B$52</c:f>
              <c:strCache>
                <c:ptCount val="1"/>
                <c:pt idx="0">
                  <c:v>Ale țări </c:v>
                </c:pt>
              </c:strCache>
            </c:strRef>
          </c:tx>
          <c:spPr>
            <a:solidFill>
              <a:srgbClr val="3CA1BC">
                <a:lumMod val="20000"/>
                <a:lumOff val="8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'ext010500'!$C$49:$L$49</c:f>
              <c:strCache>
                <c:ptCount val="10"/>
                <c:pt idx="0">
                  <c:v>2011</c:v>
                </c:pt>
                <c:pt idx="1">
                  <c:v>2012</c:v>
                </c:pt>
                <c:pt idx="2">
                  <c:v>2013</c:v>
                </c:pt>
                <c:pt idx="3">
                  <c:v>2014</c:v>
                </c:pt>
                <c:pt idx="4">
                  <c:v>2015</c:v>
                </c:pt>
                <c:pt idx="5">
                  <c:v>2016</c:v>
                </c:pt>
                <c:pt idx="6">
                  <c:v>2017</c:v>
                </c:pt>
                <c:pt idx="7">
                  <c:v>2018</c:v>
                </c:pt>
                <c:pt idx="8">
                  <c:v>2019</c:v>
                </c:pt>
                <c:pt idx="9">
                  <c:v>2020</c:v>
                </c:pt>
              </c:strCache>
            </c:strRef>
          </c:cat>
          <c:val>
            <c:numRef>
              <c:f>'ext010500'!$C$52:$L$52</c:f>
              <c:numCache>
                <c:formatCode>0.0</c:formatCode>
                <c:ptCount val="10"/>
                <c:pt idx="0">
                  <c:v>11.414928355047616</c:v>
                </c:pt>
                <c:pt idx="1">
                  <c:v>14.472772525410077</c:v>
                </c:pt>
                <c:pt idx="2">
                  <c:v>23.064613870166824</c:v>
                </c:pt>
                <c:pt idx="3">
                  <c:v>23.661444227715442</c:v>
                </c:pt>
                <c:pt idx="4">
                  <c:v>20.199227912262742</c:v>
                </c:pt>
                <c:pt idx="5">
                  <c:v>24.640331243993554</c:v>
                </c:pt>
                <c:pt idx="6">
                  <c:v>23.195502394920187</c:v>
                </c:pt>
                <c:pt idx="7">
                  <c:v>26.676637328566223</c:v>
                </c:pt>
                <c:pt idx="8">
                  <c:v>32.724448552056103</c:v>
                </c:pt>
                <c:pt idx="9">
                  <c:v>27.696271317414492</c:v>
                </c:pt>
              </c:numCache>
            </c:numRef>
          </c:val>
          <c:extLst xmlns:c16r2="http://schemas.microsoft.com/office/drawing/2015/06/chart">
            <c:ext xmlns:c16="http://schemas.microsoft.com/office/drawing/2014/chart" uri="{C3380CC4-5D6E-409C-BE32-E72D297353CC}">
              <c16:uniqueId val="{00000002-02CD-452C-9F23-269BCC4CD9C9}"/>
            </c:ext>
          </c:extLst>
        </c:ser>
        <c:dLbls>
          <c:showLegendKey val="0"/>
          <c:showVal val="0"/>
          <c:showCatName val="0"/>
          <c:showSerName val="0"/>
          <c:showPercent val="0"/>
          <c:showBubbleSize val="0"/>
        </c:dLbls>
        <c:gapWidth val="150"/>
        <c:overlap val="100"/>
        <c:axId val="620057864"/>
        <c:axId val="620061784"/>
      </c:barChart>
      <c:catAx>
        <c:axId val="62005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61784"/>
        <c:crosses val="autoZero"/>
        <c:auto val="1"/>
        <c:lblAlgn val="ctr"/>
        <c:lblOffset val="100"/>
        <c:noMultiLvlLbl val="0"/>
      </c:catAx>
      <c:valAx>
        <c:axId val="620061784"/>
        <c:scaling>
          <c:orientation val="minMax"/>
        </c:scaling>
        <c:delete val="1"/>
        <c:axPos val="l"/>
        <c:numFmt formatCode="0%" sourceLinked="1"/>
        <c:majorTickMark val="none"/>
        <c:minorTickMark val="none"/>
        <c:tickLblPos val="nextTo"/>
        <c:crossAx val="620057864"/>
        <c:crosses val="autoZero"/>
        <c:crossBetween val="between"/>
      </c:valAx>
      <c:spPr>
        <a:noFill/>
        <a:ln>
          <a:noFill/>
        </a:ln>
        <a:effectLst/>
      </c:spPr>
    </c:plotArea>
    <c:legend>
      <c:legendPos val="r"/>
      <c:layout>
        <c:manualLayout>
          <c:xMode val="edge"/>
          <c:yMode val="edge"/>
          <c:x val="0.89629198053029746"/>
          <c:y val="0.20688575386410032"/>
          <c:w val="9.1324118540909938E-2"/>
          <c:h val="0.5954877515310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CSI</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0</c:formatCode>
                <c:ptCount val="10"/>
                <c:pt idx="0">
                  <c:v>308061.3</c:v>
                </c:pt>
                <c:pt idx="1">
                  <c:v>314839.80000000005</c:v>
                </c:pt>
                <c:pt idx="2">
                  <c:v>339730.80000000005</c:v>
                </c:pt>
                <c:pt idx="3">
                  <c:v>283720.2</c:v>
                </c:pt>
                <c:pt idx="4">
                  <c:v>223001.7</c:v>
                </c:pt>
                <c:pt idx="5">
                  <c:v>247482.26</c:v>
                </c:pt>
                <c:pt idx="6">
                  <c:v>275583.87</c:v>
                </c:pt>
                <c:pt idx="7">
                  <c:v>279890.02</c:v>
                </c:pt>
                <c:pt idx="8">
                  <c:v>300129.08</c:v>
                </c:pt>
                <c:pt idx="9">
                  <c:v>300985.43</c:v>
                </c:pt>
              </c:numCache>
            </c:numRef>
          </c:val>
          <c:extLst xmlns:c16r2="http://schemas.microsoft.com/office/drawing/2015/06/chart">
            <c:ext xmlns:c16="http://schemas.microsoft.com/office/drawing/2014/chart" uri="{C3380CC4-5D6E-409C-BE32-E72D297353CC}">
              <c16:uniqueId val="{00000000-1C74-6347-8320-85CD156DEDF8}"/>
            </c:ext>
          </c:extLst>
        </c:ser>
        <c:ser>
          <c:idx val="1"/>
          <c:order val="1"/>
          <c:tx>
            <c:strRef>
              <c:f>Sheet1!$C$1</c:f>
              <c:strCache>
                <c:ptCount val="1"/>
                <c:pt idx="0">
                  <c:v>UE</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0</c:formatCode>
                <c:ptCount val="10"/>
                <c:pt idx="0">
                  <c:v>212074.10000000003</c:v>
                </c:pt>
                <c:pt idx="1">
                  <c:v>258716.39999999997</c:v>
                </c:pt>
                <c:pt idx="2">
                  <c:v>267766.09999999998</c:v>
                </c:pt>
                <c:pt idx="3">
                  <c:v>270790.7</c:v>
                </c:pt>
                <c:pt idx="4">
                  <c:v>212012</c:v>
                </c:pt>
                <c:pt idx="5">
                  <c:v>249848.64</c:v>
                </c:pt>
                <c:pt idx="6">
                  <c:v>303170.73000000004</c:v>
                </c:pt>
                <c:pt idx="7">
                  <c:v>334086.04000000004</c:v>
                </c:pt>
                <c:pt idx="8">
                  <c:v>357197.68</c:v>
                </c:pt>
                <c:pt idx="9">
                  <c:v>373989.81</c:v>
                </c:pt>
              </c:numCache>
            </c:numRef>
          </c:val>
          <c:extLst xmlns:c16r2="http://schemas.microsoft.com/office/drawing/2015/06/chart">
            <c:ext xmlns:c16="http://schemas.microsoft.com/office/drawing/2014/chart" uri="{C3380CC4-5D6E-409C-BE32-E72D297353CC}">
              <c16:uniqueId val="{00000001-1C74-6347-8320-85CD156DEDF8}"/>
            </c:ext>
          </c:extLst>
        </c:ser>
        <c:ser>
          <c:idx val="2"/>
          <c:order val="2"/>
          <c:tx>
            <c:strRef>
              <c:f>Sheet1!$D$1</c:f>
              <c:strCache>
                <c:ptCount val="1"/>
                <c:pt idx="0">
                  <c:v>Alte țări</c:v>
                </c:pt>
              </c:strCache>
            </c:strRef>
          </c:tx>
          <c:spPr>
            <a:solidFill>
              <a:schemeClr val="accent3">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0</c:formatCode>
                <c:ptCount val="10"/>
                <c:pt idx="0">
                  <c:v>167649.20000000007</c:v>
                </c:pt>
                <c:pt idx="1">
                  <c:v>169783.49999999994</c:v>
                </c:pt>
                <c:pt idx="2">
                  <c:v>176298.70000000007</c:v>
                </c:pt>
                <c:pt idx="3">
                  <c:v>164814.69999999995</c:v>
                </c:pt>
                <c:pt idx="4">
                  <c:v>151562.60000000003</c:v>
                </c:pt>
                <c:pt idx="5">
                  <c:v>110717.64000000001</c:v>
                </c:pt>
                <c:pt idx="6">
                  <c:v>126452.25999999995</c:v>
                </c:pt>
                <c:pt idx="7">
                  <c:v>160336.32999999996</c:v>
                </c:pt>
                <c:pt idx="8">
                  <c:v>158572.39000000013</c:v>
                </c:pt>
                <c:pt idx="9">
                  <c:v>171097.89999999997</c:v>
                </c:pt>
              </c:numCache>
            </c:numRef>
          </c:val>
          <c:extLst xmlns:c16r2="http://schemas.microsoft.com/office/drawing/2015/06/chart">
            <c:ext xmlns:c16="http://schemas.microsoft.com/office/drawing/2014/chart" uri="{C3380CC4-5D6E-409C-BE32-E72D297353CC}">
              <c16:uniqueId val="{00000002-1C74-6347-8320-85CD156DEDF8}"/>
            </c:ext>
          </c:extLst>
        </c:ser>
        <c:dLbls>
          <c:showLegendKey val="0"/>
          <c:showVal val="0"/>
          <c:showCatName val="0"/>
          <c:showSerName val="0"/>
          <c:showPercent val="0"/>
          <c:showBubbleSize val="0"/>
        </c:dLbls>
        <c:gapWidth val="150"/>
        <c:overlap val="100"/>
        <c:axId val="620062960"/>
        <c:axId val="620049240"/>
      </c:barChart>
      <c:catAx>
        <c:axId val="620062960"/>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0049240"/>
        <c:crosses val="autoZero"/>
        <c:auto val="1"/>
        <c:lblAlgn val="ctr"/>
        <c:lblOffset val="100"/>
        <c:noMultiLvlLbl val="0"/>
      </c:catAx>
      <c:valAx>
        <c:axId val="620049240"/>
        <c:scaling>
          <c:orientation val="minMax"/>
        </c:scaling>
        <c:delete val="1"/>
        <c:axPos val="l"/>
        <c:numFmt formatCode="0%" sourceLinked="1"/>
        <c:majorTickMark val="none"/>
        <c:minorTickMark val="none"/>
        <c:tickLblPos val="nextTo"/>
        <c:crossAx val="620062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0</c:formatCode>
                <c:ptCount val="10"/>
                <c:pt idx="0">
                  <c:v>229318.49999999988</c:v>
                </c:pt>
                <c:pt idx="1">
                  <c:v>135541.40000000014</c:v>
                </c:pt>
                <c:pt idx="2">
                  <c:v>231749.89999999991</c:v>
                </c:pt>
                <c:pt idx="3">
                  <c:v>346025.4</c:v>
                </c:pt>
                <c:pt idx="4">
                  <c:v>327912.40000000002</c:v>
                </c:pt>
                <c:pt idx="5">
                  <c:v>337429.25999999972</c:v>
                </c:pt>
                <c:pt idx="6">
                  <c:v>425665.57999999996</c:v>
                </c:pt>
                <c:pt idx="7">
                  <c:v>393004.3299999999</c:v>
                </c:pt>
                <c:pt idx="8">
                  <c:v>395242.1999999999</c:v>
                </c:pt>
                <c:pt idx="9">
                  <c:v>241774.05999999994</c:v>
                </c:pt>
              </c:numCache>
            </c:numRef>
          </c:val>
          <c:extLst xmlns:c16r2="http://schemas.microsoft.com/office/drawing/2015/06/chart">
            <c:ext xmlns:c16="http://schemas.microsoft.com/office/drawing/2014/chart" uri="{C3380CC4-5D6E-409C-BE32-E72D297353CC}">
              <c16:uniqueId val="{00000000-BF03-A943-817E-052C03029852}"/>
            </c:ext>
          </c:extLst>
        </c:ser>
        <c:dLbls>
          <c:showLegendKey val="0"/>
          <c:showVal val="0"/>
          <c:showCatName val="0"/>
          <c:showSerName val="0"/>
          <c:showPercent val="0"/>
          <c:showBubbleSize val="0"/>
        </c:dLbls>
        <c:gapWidth val="219"/>
        <c:overlap val="-27"/>
        <c:axId val="620068840"/>
        <c:axId val="620045320"/>
      </c:barChart>
      <c:catAx>
        <c:axId val="620068840"/>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045320"/>
        <c:crosses val="autoZero"/>
        <c:auto val="1"/>
        <c:lblAlgn val="ctr"/>
        <c:lblOffset val="100"/>
        <c:noMultiLvlLbl val="0"/>
      </c:catAx>
      <c:valAx>
        <c:axId val="620045320"/>
        <c:scaling>
          <c:orientation val="minMax"/>
        </c:scaling>
        <c:delete val="1"/>
        <c:axPos val="l"/>
        <c:numFmt formatCode="0" sourceLinked="1"/>
        <c:majorTickMark val="none"/>
        <c:minorTickMark val="none"/>
        <c:tickLblPos val="nextTo"/>
        <c:crossAx val="620068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167473380429942"/>
          <c:y val="0.10082211815455526"/>
          <c:w val="0.79678569703326962"/>
          <c:h val="0.50475026222097474"/>
        </c:manualLayout>
      </c:layout>
      <c:lineChart>
        <c:grouping val="standard"/>
        <c:varyColors val="0"/>
        <c:ser>
          <c:idx val="0"/>
          <c:order val="0"/>
          <c:spPr>
            <a:ln w="28575" cap="rnd">
              <a:solidFill>
                <a:schemeClr val="accent3">
                  <a:lumMod val="75000"/>
                </a:schemeClr>
              </a:solidFill>
              <a:round/>
            </a:ln>
            <a:effectLst/>
          </c:spPr>
          <c:marker>
            <c:symbol val="none"/>
          </c:marker>
          <c:trendline>
            <c:spPr>
              <a:ln w="19050" cap="rnd">
                <a:solidFill>
                  <a:schemeClr val="accent3"/>
                </a:solidFill>
                <a:prstDash val="sysDot"/>
              </a:ln>
              <a:effectLst/>
            </c:spPr>
            <c:trendlineType val="linear"/>
            <c:dispRSqr val="0"/>
            <c:dispEq val="0"/>
          </c:trendline>
          <c:cat>
            <c:strRef>
              <c:f>Sheet1!$D$25:$N$25</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Sheet1!$D$49:$N$49</c:f>
              <c:numCache>
                <c:formatCode>0.00</c:formatCode>
                <c:ptCount val="11"/>
                <c:pt idx="0">
                  <c:v>13.229268028099439</c:v>
                </c:pt>
                <c:pt idx="1">
                  <c:v>13.44554861176232</c:v>
                </c:pt>
                <c:pt idx="2">
                  <c:v>11.544201139677645</c:v>
                </c:pt>
                <c:pt idx="3">
                  <c:v>12.412765663988699</c:v>
                </c:pt>
                <c:pt idx="4">
                  <c:v>12.642748290138398</c:v>
                </c:pt>
                <c:pt idx="5">
                  <c:v>11.659662210099912</c:v>
                </c:pt>
                <c:pt idx="6">
                  <c:v>11.83795451051574</c:v>
                </c:pt>
                <c:pt idx="7">
                  <c:v>12.159484463831758</c:v>
                </c:pt>
                <c:pt idx="8">
                  <c:v>10.890529872748008</c:v>
                </c:pt>
                <c:pt idx="9">
                  <c:v>10.539017854092208</c:v>
                </c:pt>
                <c:pt idx="10">
                  <c:v>9.5604208288193249</c:v>
                </c:pt>
              </c:numCache>
            </c:numRef>
          </c:val>
          <c:smooth val="0"/>
          <c:extLst xmlns:c16r2="http://schemas.microsoft.com/office/drawing/2015/06/chart">
            <c:ext xmlns:c16="http://schemas.microsoft.com/office/drawing/2014/chart" uri="{C3380CC4-5D6E-409C-BE32-E72D297353CC}">
              <c16:uniqueId val="{00000001-5D0F-4344-B88C-8778FDCFA836}"/>
            </c:ext>
          </c:extLst>
        </c:ser>
        <c:dLbls>
          <c:showLegendKey val="0"/>
          <c:showVal val="0"/>
          <c:showCatName val="0"/>
          <c:showSerName val="0"/>
          <c:showPercent val="0"/>
          <c:showBubbleSize val="0"/>
        </c:dLbls>
        <c:smooth val="0"/>
        <c:axId val="620053552"/>
        <c:axId val="620049632"/>
      </c:lineChart>
      <c:catAx>
        <c:axId val="62005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0049632"/>
        <c:crosses val="autoZero"/>
        <c:auto val="1"/>
        <c:lblAlgn val="ctr"/>
        <c:lblOffset val="100"/>
        <c:noMultiLvlLbl val="0"/>
      </c:catAx>
      <c:valAx>
        <c:axId val="620049632"/>
        <c:scaling>
          <c:orientation val="minMax"/>
          <c:min val="8"/>
        </c:scaling>
        <c:delete val="0"/>
        <c:axPos val="l"/>
        <c:title>
          <c:tx>
            <c:strRef>
              <c:f>Sheet1!$D$50</c:f>
              <c:strCache>
                <c:ptCount val="1"/>
                <c:pt idx="0">
                  <c:v>Procente</c:v>
                </c:pt>
              </c:strCache>
            </c:strRef>
          </c:tx>
          <c:layout>
            <c:manualLayout>
              <c:xMode val="edge"/>
              <c:yMode val="edge"/>
              <c:x val="1.6666666666666666E-2"/>
              <c:y val="0.372897346165062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0053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225068947599824"/>
          <c:y val="6.4839375184202769E-2"/>
          <c:w val="0.86293261565654544"/>
          <c:h val="0.5326960787726468"/>
        </c:manualLayout>
      </c:layout>
      <c:barChart>
        <c:barDir val="col"/>
        <c:grouping val="clustered"/>
        <c:varyColors val="0"/>
        <c:ser>
          <c:idx val="0"/>
          <c:order val="0"/>
          <c:tx>
            <c:strRef>
              <c:f>Sheet1!$B$55</c:f>
              <c:strCache>
                <c:ptCount val="1"/>
                <c:pt idx="0">
                  <c:v>Indicii volumului producției agricole</c:v>
                </c:pt>
              </c:strCache>
            </c:strRef>
          </c:tx>
          <c:spPr>
            <a:solidFill>
              <a:schemeClr val="accent3">
                <a:shade val="76000"/>
              </a:schemeClr>
            </a:solidFill>
            <a:ln>
              <a:noFill/>
            </a:ln>
            <a:effectLst/>
          </c:spPr>
          <c:invertIfNegative val="0"/>
          <c:trendline>
            <c:spPr>
              <a:ln w="19050" cap="rnd">
                <a:solidFill>
                  <a:srgbClr val="C00000"/>
                </a:solidFill>
                <a:prstDash val="sysDot"/>
              </a:ln>
              <a:effectLst/>
            </c:spPr>
            <c:trendlineType val="linear"/>
            <c:dispRSqr val="0"/>
            <c:dispEq val="0"/>
          </c:trendline>
          <c:cat>
            <c:numRef>
              <c:f>Sheet1!$C$3:$L$3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Sheet1!$C$54:$L$54</c:f>
              <c:numCache>
                <c:formatCode>0.0</c:formatCode>
                <c:ptCount val="10"/>
                <c:pt idx="0">
                  <c:v>114.21838237591484</c:v>
                </c:pt>
                <c:pt idx="1">
                  <c:v>89.762851479889022</c:v>
                </c:pt>
                <c:pt idx="2">
                  <c:v>120.32505301965979</c:v>
                </c:pt>
                <c:pt idx="3">
                  <c:v>114.76054740780101</c:v>
                </c:pt>
                <c:pt idx="4">
                  <c:v>99.989775413722228</c:v>
                </c:pt>
                <c:pt idx="5">
                  <c:v>111.39211355348087</c:v>
                </c:pt>
                <c:pt idx="6">
                  <c:v>112.49362420450436</c:v>
                </c:pt>
                <c:pt idx="7">
                  <c:v>96.093419474251689</c:v>
                </c:pt>
                <c:pt idx="8">
                  <c:v>106.0123996349601</c:v>
                </c:pt>
                <c:pt idx="9">
                  <c:v>88.003278679021747</c:v>
                </c:pt>
              </c:numCache>
            </c:numRef>
          </c:val>
          <c:extLst xmlns:c16r2="http://schemas.microsoft.com/office/drawing/2015/06/chart">
            <c:ext xmlns:c16="http://schemas.microsoft.com/office/drawing/2014/chart" uri="{C3380CC4-5D6E-409C-BE32-E72D297353CC}">
              <c16:uniqueId val="{00000001-3534-48E9-BC2B-5F733C2E4843}"/>
            </c:ext>
          </c:extLst>
        </c:ser>
        <c:ser>
          <c:idx val="1"/>
          <c:order val="1"/>
          <c:tx>
            <c:strRef>
              <c:f>Sheet1!$B$57</c:f>
              <c:strCache>
                <c:ptCount val="1"/>
                <c:pt idx="0">
                  <c:v>Indicii volumului fizic ai producției agricole</c:v>
                </c:pt>
              </c:strCache>
            </c:strRef>
          </c:tx>
          <c:spPr>
            <a:solidFill>
              <a:schemeClr val="accent3">
                <a:tint val="77000"/>
              </a:schemeClr>
            </a:solidFill>
            <a:ln>
              <a:noFill/>
            </a:ln>
            <a:effectLst/>
          </c:spPr>
          <c:invertIfNegative val="0"/>
          <c:trendline>
            <c:spPr>
              <a:ln w="19050" cap="rnd">
                <a:solidFill>
                  <a:schemeClr val="tx2"/>
                </a:solidFill>
                <a:prstDash val="sysDot"/>
              </a:ln>
              <a:effectLst/>
            </c:spPr>
            <c:trendlineType val="linear"/>
            <c:dispRSqr val="0"/>
            <c:dispEq val="0"/>
          </c:trendline>
          <c:cat>
            <c:numRef>
              <c:f>Sheet1!$C$3:$L$3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Sheet1!$C$57:$L$57</c:f>
              <c:numCache>
                <c:formatCode>0.0</c:formatCode>
                <c:ptCount val="10"/>
                <c:pt idx="0">
                  <c:v>104.8</c:v>
                </c:pt>
                <c:pt idx="1">
                  <c:v>77.5</c:v>
                </c:pt>
                <c:pt idx="2">
                  <c:v>139.30000000000001</c:v>
                </c:pt>
                <c:pt idx="3">
                  <c:v>108.6</c:v>
                </c:pt>
                <c:pt idx="4">
                  <c:v>86.9</c:v>
                </c:pt>
                <c:pt idx="5">
                  <c:v>118.1</c:v>
                </c:pt>
                <c:pt idx="6">
                  <c:v>108.9</c:v>
                </c:pt>
                <c:pt idx="7">
                  <c:v>102.9</c:v>
                </c:pt>
                <c:pt idx="8">
                  <c:v>98.8</c:v>
                </c:pt>
                <c:pt idx="9">
                  <c:v>73.2</c:v>
                </c:pt>
              </c:numCache>
            </c:numRef>
          </c:val>
          <c:extLst xmlns:c16r2="http://schemas.microsoft.com/office/drawing/2015/06/chart">
            <c:ext xmlns:c16="http://schemas.microsoft.com/office/drawing/2014/chart" uri="{C3380CC4-5D6E-409C-BE32-E72D297353CC}">
              <c16:uniqueId val="{00000003-3534-48E9-BC2B-5F733C2E4843}"/>
            </c:ext>
          </c:extLst>
        </c:ser>
        <c:dLbls>
          <c:showLegendKey val="0"/>
          <c:showVal val="0"/>
          <c:showCatName val="0"/>
          <c:showSerName val="0"/>
          <c:showPercent val="0"/>
          <c:showBubbleSize val="0"/>
        </c:dLbls>
        <c:gapWidth val="40"/>
        <c:overlap val="25"/>
        <c:axId val="620048064"/>
        <c:axId val="620053160"/>
      </c:barChart>
      <c:catAx>
        <c:axId val="6200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0053160"/>
        <c:crosses val="autoZero"/>
        <c:auto val="1"/>
        <c:lblAlgn val="ctr"/>
        <c:lblOffset val="100"/>
        <c:noMultiLvlLbl val="0"/>
      </c:catAx>
      <c:valAx>
        <c:axId val="620053160"/>
        <c:scaling>
          <c:orientation val="minMax"/>
        </c:scaling>
        <c:delete val="0"/>
        <c:axPos val="l"/>
        <c:title>
          <c:tx>
            <c:strRef>
              <c:f>Sheet1!$K$60</c:f>
              <c:strCache>
                <c:ptCount val="1"/>
                <c:pt idx="0">
                  <c:v>Procente</c:v>
                </c:pt>
              </c:strCache>
            </c:strRef>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0048064"/>
        <c:crosses val="autoZero"/>
        <c:crossBetween val="between"/>
      </c:valAx>
      <c:spPr>
        <a:noFill/>
        <a:ln>
          <a:noFill/>
        </a:ln>
        <a:effectLst/>
      </c:spPr>
    </c:plotArea>
    <c:legend>
      <c:legendPos val="b"/>
      <c:layout>
        <c:manualLayout>
          <c:xMode val="edge"/>
          <c:yMode val="edge"/>
          <c:x val="4.1828299381359048E-2"/>
          <c:y val="0.71736816591769625"/>
          <c:w val="0.64513454079215526"/>
          <c:h val="0.2560097696121318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Foaie1!$A$6:$B$6</c:f>
              <c:strCache>
                <c:ptCount val="2"/>
                <c:pt idx="0">
                  <c:v>Suprafața totală</c:v>
                </c:pt>
              </c:strCache>
            </c:strRef>
          </c:tx>
          <c:spPr>
            <a:solidFill>
              <a:srgbClr val="4F81BD"/>
            </a:solidFill>
            <a:ln w="25400">
              <a:noFill/>
            </a:ln>
          </c:spPr>
          <c:invertIfNegative val="0"/>
          <c:cat>
            <c:numRef>
              <c:f>Foaie1!$C$5:$I$5</c:f>
              <c:numCache>
                <c:formatCode>General</c:formatCode>
                <c:ptCount val="7"/>
                <c:pt idx="0">
                  <c:v>2014</c:v>
                </c:pt>
                <c:pt idx="1">
                  <c:v>2015</c:v>
                </c:pt>
                <c:pt idx="2">
                  <c:v>2016</c:v>
                </c:pt>
                <c:pt idx="3">
                  <c:v>2017</c:v>
                </c:pt>
                <c:pt idx="4">
                  <c:v>2018</c:v>
                </c:pt>
                <c:pt idx="5">
                  <c:v>2019</c:v>
                </c:pt>
                <c:pt idx="6">
                  <c:v>2020</c:v>
                </c:pt>
              </c:numCache>
            </c:numRef>
          </c:cat>
          <c:val>
            <c:numRef>
              <c:f>Foaie1!$C$6:$I$6</c:f>
              <c:numCache>
                <c:formatCode>General</c:formatCode>
                <c:ptCount val="7"/>
                <c:pt idx="0">
                  <c:v>140.4</c:v>
                </c:pt>
                <c:pt idx="1">
                  <c:v>135.4</c:v>
                </c:pt>
                <c:pt idx="2">
                  <c:v>135.30000000000001</c:v>
                </c:pt>
                <c:pt idx="3">
                  <c:v>129.69999999999999</c:v>
                </c:pt>
                <c:pt idx="4">
                  <c:v>133</c:v>
                </c:pt>
                <c:pt idx="5">
                  <c:v>126</c:v>
                </c:pt>
                <c:pt idx="6">
                  <c:v>121.2</c:v>
                </c:pt>
              </c:numCache>
            </c:numRef>
          </c:val>
          <c:extLst xmlns:c16r2="http://schemas.microsoft.com/office/drawing/2015/06/chart">
            <c:ext xmlns:c16="http://schemas.microsoft.com/office/drawing/2014/chart" uri="{C3380CC4-5D6E-409C-BE32-E72D297353CC}">
              <c16:uniqueId val="{00000000-75B8-4ACB-9857-0D6201F9A670}"/>
            </c:ext>
          </c:extLst>
        </c:ser>
        <c:ser>
          <c:idx val="1"/>
          <c:order val="1"/>
          <c:tx>
            <c:strRef>
              <c:f>Foaie1!$A$7:$B$7</c:f>
              <c:strCache>
                <c:ptCount val="2"/>
                <c:pt idx="0">
                  <c:v>În GPM</c:v>
                </c:pt>
              </c:strCache>
            </c:strRef>
          </c:tx>
          <c:spPr>
            <a:solidFill>
              <a:srgbClr val="C0504D"/>
            </a:solidFill>
            <a:ln w="25400">
              <a:noFill/>
            </a:ln>
          </c:spPr>
          <c:invertIfNegative val="0"/>
          <c:cat>
            <c:numRef>
              <c:f>Foaie1!$C$5:$I$5</c:f>
              <c:numCache>
                <c:formatCode>General</c:formatCode>
                <c:ptCount val="7"/>
                <c:pt idx="0">
                  <c:v>2014</c:v>
                </c:pt>
                <c:pt idx="1">
                  <c:v>2015</c:v>
                </c:pt>
                <c:pt idx="2">
                  <c:v>2016</c:v>
                </c:pt>
                <c:pt idx="3">
                  <c:v>2017</c:v>
                </c:pt>
                <c:pt idx="4">
                  <c:v>2018</c:v>
                </c:pt>
                <c:pt idx="5">
                  <c:v>2019</c:v>
                </c:pt>
                <c:pt idx="6">
                  <c:v>2020</c:v>
                </c:pt>
              </c:numCache>
            </c:numRef>
          </c:cat>
          <c:val>
            <c:numRef>
              <c:f>Foaie1!$C$7:$I$7</c:f>
              <c:numCache>
                <c:formatCode>General</c:formatCode>
                <c:ptCount val="7"/>
                <c:pt idx="0">
                  <c:v>92</c:v>
                </c:pt>
                <c:pt idx="1">
                  <c:v>88.8</c:v>
                </c:pt>
                <c:pt idx="2">
                  <c:v>85.7</c:v>
                </c:pt>
                <c:pt idx="3">
                  <c:v>83.2</c:v>
                </c:pt>
                <c:pt idx="4">
                  <c:v>82.2</c:v>
                </c:pt>
                <c:pt idx="5">
                  <c:v>79.099999999999994</c:v>
                </c:pt>
                <c:pt idx="6">
                  <c:v>73.5</c:v>
                </c:pt>
              </c:numCache>
            </c:numRef>
          </c:val>
          <c:extLst xmlns:c16r2="http://schemas.microsoft.com/office/drawing/2015/06/chart">
            <c:ext xmlns:c16="http://schemas.microsoft.com/office/drawing/2014/chart" uri="{C3380CC4-5D6E-409C-BE32-E72D297353CC}">
              <c16:uniqueId val="{00000001-75B8-4ACB-9857-0D6201F9A670}"/>
            </c:ext>
          </c:extLst>
        </c:ser>
        <c:ser>
          <c:idx val="2"/>
          <c:order val="2"/>
          <c:tx>
            <c:strRef>
              <c:f>Foaie1!$A$8:$B$8</c:f>
              <c:strCache>
                <c:ptCount val="2"/>
                <c:pt idx="0">
                  <c:v>În GPM struguri de masă</c:v>
                </c:pt>
              </c:strCache>
            </c:strRef>
          </c:tx>
          <c:spPr>
            <a:solidFill>
              <a:srgbClr val="9BBB59"/>
            </a:solidFill>
            <a:ln w="25400">
              <a:noFill/>
            </a:ln>
          </c:spPr>
          <c:invertIfNegative val="0"/>
          <c:cat>
            <c:numRef>
              <c:f>Foaie1!$C$5:$I$5</c:f>
              <c:numCache>
                <c:formatCode>General</c:formatCode>
                <c:ptCount val="7"/>
                <c:pt idx="0">
                  <c:v>2014</c:v>
                </c:pt>
                <c:pt idx="1">
                  <c:v>2015</c:v>
                </c:pt>
                <c:pt idx="2">
                  <c:v>2016</c:v>
                </c:pt>
                <c:pt idx="3">
                  <c:v>2017</c:v>
                </c:pt>
                <c:pt idx="4">
                  <c:v>2018</c:v>
                </c:pt>
                <c:pt idx="5">
                  <c:v>2019</c:v>
                </c:pt>
                <c:pt idx="6">
                  <c:v>2020</c:v>
                </c:pt>
              </c:numCache>
            </c:numRef>
          </c:cat>
          <c:val>
            <c:numRef>
              <c:f>Foaie1!$C$8:$I$8</c:f>
              <c:numCache>
                <c:formatCode>General</c:formatCode>
                <c:ptCount val="7"/>
                <c:pt idx="0">
                  <c:v>15.7</c:v>
                </c:pt>
                <c:pt idx="1">
                  <c:v>12.2</c:v>
                </c:pt>
                <c:pt idx="2">
                  <c:v>15.1</c:v>
                </c:pt>
                <c:pt idx="3">
                  <c:v>14.4</c:v>
                </c:pt>
                <c:pt idx="4">
                  <c:v>14.2</c:v>
                </c:pt>
                <c:pt idx="5">
                  <c:v>13.8</c:v>
                </c:pt>
                <c:pt idx="6">
                  <c:v>13.3</c:v>
                </c:pt>
              </c:numCache>
            </c:numRef>
          </c:val>
          <c:extLst xmlns:c16r2="http://schemas.microsoft.com/office/drawing/2015/06/chart">
            <c:ext xmlns:c16="http://schemas.microsoft.com/office/drawing/2014/chart" uri="{C3380CC4-5D6E-409C-BE32-E72D297353CC}">
              <c16:uniqueId val="{00000002-75B8-4ACB-9857-0D6201F9A670}"/>
            </c:ext>
          </c:extLst>
        </c:ser>
        <c:dLbls>
          <c:showLegendKey val="0"/>
          <c:showVal val="0"/>
          <c:showCatName val="0"/>
          <c:showSerName val="0"/>
          <c:showPercent val="0"/>
          <c:showBubbleSize val="0"/>
        </c:dLbls>
        <c:gapWidth val="150"/>
        <c:axId val="620045712"/>
        <c:axId val="620048456"/>
      </c:barChart>
      <c:catAx>
        <c:axId val="620045712"/>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620048456"/>
        <c:crosses val="autoZero"/>
        <c:auto val="1"/>
        <c:lblAlgn val="ctr"/>
        <c:lblOffset val="100"/>
        <c:noMultiLvlLbl val="0"/>
      </c:catAx>
      <c:valAx>
        <c:axId val="620048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mii hectare</a:t>
                </a:r>
              </a:p>
            </c:rich>
          </c:tx>
          <c:layout/>
          <c:overlay val="0"/>
          <c:spPr>
            <a:noFill/>
            <a:ln w="25400">
              <a:noFill/>
            </a:ln>
          </c:spPr>
        </c:title>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620045712"/>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0.30641</cdr:x>
      <cdr:y>0</cdr:y>
    </cdr:from>
    <cdr:to>
      <cdr:x>0.30641</cdr:x>
      <cdr:y>0.89392</cdr:y>
    </cdr:to>
    <cdr:cxnSp macro="">
      <cdr:nvCxnSpPr>
        <cdr:cNvPr id="2" name="Straight Connector 1"/>
        <cdr:cNvCxnSpPr/>
      </cdr:nvCxnSpPr>
      <cdr:spPr>
        <a:xfrm xmlns:a="http://schemas.openxmlformats.org/drawingml/2006/main">
          <a:off x="1930350" y="0"/>
          <a:ext cx="0" cy="2857500"/>
        </a:xfrm>
        <a:prstGeom xmlns:a="http://schemas.openxmlformats.org/drawingml/2006/main" prst="line">
          <a:avLst/>
        </a:prstGeom>
        <a:ln xmlns:a="http://schemas.openxmlformats.org/drawingml/2006/main">
          <a:solidFill>
            <a:schemeClr val="accent4">
              <a:lumMod val="25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F79D94EC8EA34694E8F159EB130D04" ma:contentTypeVersion="14" ma:contentTypeDescription="Create a new document." ma:contentTypeScope="" ma:versionID="ba7cf44bfe1e83d0bb12c6cc2beabf62">
  <xsd:schema xmlns:xsd="http://www.w3.org/2001/XMLSchema" xmlns:xs="http://www.w3.org/2001/XMLSchema" xmlns:p="http://schemas.microsoft.com/office/2006/metadata/properties" xmlns:ns3="56dc3971-e573-4a74-9ad5-eb7c6b466c3f" xmlns:ns4="0f9f1644-7042-4a6d-b5c5-0f3c55171f04" targetNamespace="http://schemas.microsoft.com/office/2006/metadata/properties" ma:root="true" ma:fieldsID="810f47dbdf5a01cbc47a510453d62a32" ns3:_="" ns4:_="">
    <xsd:import namespace="56dc3971-e573-4a74-9ad5-eb7c6b466c3f"/>
    <xsd:import namespace="0f9f1644-7042-4a6d-b5c5-0f3c55171f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3971-e573-4a74-9ad5-eb7c6b466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f1644-7042-4a6d-b5c5-0f3c55171f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720B-F406-42CA-AC32-063290F3785C}">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56dc3971-e573-4a74-9ad5-eb7c6b466c3f"/>
    <ds:schemaRef ds:uri="http://purl.org/dc/terms/"/>
    <ds:schemaRef ds:uri="http://schemas.microsoft.com/office/2006/documentManagement/types"/>
    <ds:schemaRef ds:uri="http://www.w3.org/XML/1998/namespace"/>
    <ds:schemaRef ds:uri="http://purl.org/dc/dcmitype/"/>
    <ds:schemaRef ds:uri="0f9f1644-7042-4a6d-b5c5-0f3c55171f04"/>
  </ds:schemaRefs>
</ds:datastoreItem>
</file>

<file path=customXml/itemProps2.xml><?xml version="1.0" encoding="utf-8"?>
<ds:datastoreItem xmlns:ds="http://schemas.openxmlformats.org/officeDocument/2006/customXml" ds:itemID="{110E835B-0EFE-489E-8E12-DABA98C9B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3971-e573-4a74-9ad5-eb7c6b466c3f"/>
    <ds:schemaRef ds:uri="0f9f1644-7042-4a6d-b5c5-0f3c55171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915F3-D4AE-448A-942B-8CE0B96EECE0}">
  <ds:schemaRefs>
    <ds:schemaRef ds:uri="http://schemas.microsoft.com/sharepoint/v3/contenttype/forms"/>
  </ds:schemaRefs>
</ds:datastoreItem>
</file>

<file path=customXml/itemProps4.xml><?xml version="1.0" encoding="utf-8"?>
<ds:datastoreItem xmlns:ds="http://schemas.openxmlformats.org/officeDocument/2006/customXml" ds:itemID="{F90DB8AB-9661-48B0-A3EE-4435B480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34331</Words>
  <Characters>195688</Characters>
  <Application>Microsoft Office Word</Application>
  <DocSecurity>0</DocSecurity>
  <Lines>1630</Lines>
  <Paragraphs>459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229560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1</cp:lastModifiedBy>
  <cp:revision>2</cp:revision>
  <cp:lastPrinted>2021-12-24T04:48:00Z</cp:lastPrinted>
  <dcterms:created xsi:type="dcterms:W3CDTF">2021-12-24T14:03:00Z</dcterms:created>
  <dcterms:modified xsi:type="dcterms:W3CDTF">2021-12-24T14:03:00Z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0x01010032F79D94EC8EA34694E8F159EB130D04</vt:lpwstr>
  </property>
</Properties>
</file>