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25CD" w14:textId="77777777" w:rsidR="00EB1559" w:rsidRPr="00797DF6" w:rsidRDefault="00EB1559" w:rsidP="00EB1559">
      <w:pPr>
        <w:tabs>
          <w:tab w:val="left" w:pos="884"/>
          <w:tab w:val="left" w:pos="1196"/>
        </w:tabs>
        <w:spacing w:after="0" w:line="240" w:lineRule="auto"/>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 xml:space="preserve">Nota informativă la proiectul de lege </w:t>
      </w:r>
    </w:p>
    <w:p w14:paraId="6CB6F97E" w14:textId="77777777" w:rsidR="00C752B3" w:rsidRPr="00C752B3" w:rsidRDefault="00C752B3" w:rsidP="00C752B3">
      <w:pPr>
        <w:spacing w:after="0" w:line="240" w:lineRule="auto"/>
        <w:jc w:val="center"/>
        <w:rPr>
          <w:rFonts w:ascii="Times New Roman" w:hAnsi="Times New Roman" w:cs="Times New Roman"/>
          <w:b/>
          <w:sz w:val="28"/>
          <w:szCs w:val="28"/>
          <w:lang w:val="ro-RO"/>
        </w:rPr>
      </w:pPr>
      <w:r w:rsidRPr="00C752B3">
        <w:rPr>
          <w:rFonts w:ascii="Times New Roman" w:hAnsi="Times New Roman" w:cs="Times New Roman"/>
          <w:b/>
          <w:sz w:val="28"/>
          <w:szCs w:val="28"/>
          <w:lang w:val="ro-RO"/>
        </w:rPr>
        <w:t>privind modificarea unor acte normative</w:t>
      </w:r>
    </w:p>
    <w:p w14:paraId="428E56AD" w14:textId="77777777" w:rsidR="00C752B3" w:rsidRPr="00C752B3" w:rsidRDefault="00C752B3" w:rsidP="00C752B3">
      <w:pPr>
        <w:spacing w:after="0" w:line="240" w:lineRule="auto"/>
        <w:jc w:val="center"/>
        <w:rPr>
          <w:rFonts w:ascii="Times New Roman" w:hAnsi="Times New Roman" w:cs="Times New Roman"/>
          <w:b/>
          <w:sz w:val="28"/>
          <w:szCs w:val="28"/>
          <w:lang w:val="ro-RO"/>
        </w:rPr>
      </w:pPr>
      <w:r w:rsidRPr="00C752B3">
        <w:rPr>
          <w:rFonts w:ascii="Times New Roman" w:hAnsi="Times New Roman" w:cs="Times New Roman"/>
          <w:b/>
          <w:sz w:val="28"/>
          <w:szCs w:val="28"/>
          <w:lang w:val="ro-RO"/>
        </w:rPr>
        <w:t>(legea practicilor comerciale neloiale)</w:t>
      </w:r>
    </w:p>
    <w:tbl>
      <w:tblPr>
        <w:tblW w:w="5161" w:type="pct"/>
        <w:tblInd w:w="-575" w:type="dxa"/>
        <w:tblCellMar>
          <w:top w:w="15" w:type="dxa"/>
          <w:left w:w="15" w:type="dxa"/>
          <w:bottom w:w="15" w:type="dxa"/>
          <w:right w:w="15" w:type="dxa"/>
        </w:tblCellMar>
        <w:tblLook w:val="04A0" w:firstRow="1" w:lastRow="0" w:firstColumn="1" w:lastColumn="0" w:noHBand="0" w:noVBand="1"/>
      </w:tblPr>
      <w:tblGrid>
        <w:gridCol w:w="9645"/>
      </w:tblGrid>
      <w:tr w:rsidR="00EB1559" w:rsidRPr="00A064DE" w14:paraId="7090D986" w14:textId="77777777" w:rsidTr="00E102D2">
        <w:trPr>
          <w:trHeight w:val="219"/>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00B6791"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t>1.</w:t>
            </w:r>
            <w:r w:rsidRPr="00A064DE">
              <w:rPr>
                <w:rFonts w:ascii="Times New Roman" w:eastAsia="Calibri" w:hAnsi="Times New Roman" w:cs="Times New Roman"/>
                <w:b/>
                <w:sz w:val="28"/>
                <w:szCs w:val="28"/>
                <w:lang w:val="ro-RO" w:eastAsia="ro-RO"/>
              </w:rPr>
              <w:t xml:space="preserve"> Denumirea autorului </w:t>
            </w:r>
            <w:proofErr w:type="spellStart"/>
            <w:r w:rsidRPr="00A064DE">
              <w:rPr>
                <w:rFonts w:ascii="Times New Roman" w:eastAsia="Calibri" w:hAnsi="Times New Roman" w:cs="Times New Roman"/>
                <w:b/>
                <w:sz w:val="28"/>
                <w:szCs w:val="28"/>
                <w:lang w:val="ro-RO" w:eastAsia="ro-RO"/>
              </w:rPr>
              <w:t>şi</w:t>
            </w:r>
            <w:proofErr w:type="spellEnd"/>
            <w:r w:rsidRPr="00A064DE">
              <w:rPr>
                <w:rFonts w:ascii="Times New Roman" w:eastAsia="Calibri" w:hAnsi="Times New Roman" w:cs="Times New Roman"/>
                <w:b/>
                <w:sz w:val="28"/>
                <w:szCs w:val="28"/>
                <w:lang w:val="ro-RO" w:eastAsia="ro-RO"/>
              </w:rPr>
              <w:t>, după caz, a participanților la elaborarea proiectului</w:t>
            </w:r>
          </w:p>
        </w:tc>
      </w:tr>
      <w:tr w:rsidR="00EB1559" w:rsidRPr="00A064DE" w14:paraId="124D6253" w14:textId="77777777" w:rsidTr="00E102D2">
        <w:trPr>
          <w:trHeight w:val="21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F5DE31" w14:textId="77777777"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rPr>
              <w:t>Proiectul de lege  pentru  modificarea unor acte normative e</w:t>
            </w:r>
            <w:r w:rsidRPr="00A064DE">
              <w:rPr>
                <w:rFonts w:ascii="Times New Roman" w:eastAsia="Calibri" w:hAnsi="Times New Roman" w:cs="Times New Roman"/>
                <w:sz w:val="28"/>
                <w:szCs w:val="28"/>
                <w:lang w:val="ro-RO" w:eastAsia="ro-RO"/>
              </w:rPr>
              <w:t>ste elaborat de către Ministerul Economiei și Infrastructurii.</w:t>
            </w:r>
          </w:p>
          <w:p w14:paraId="1659E907" w14:textId="77777777"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p>
        </w:tc>
      </w:tr>
      <w:tr w:rsidR="00EB1559" w:rsidRPr="00A064DE" w14:paraId="4E01AABC" w14:textId="77777777" w:rsidTr="00E102D2">
        <w:trPr>
          <w:trHeight w:val="219"/>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DC1C725"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t xml:space="preserve">2. </w:t>
            </w:r>
            <w:proofErr w:type="spellStart"/>
            <w:r w:rsidRPr="00A064DE">
              <w:rPr>
                <w:rFonts w:ascii="Times New Roman" w:eastAsia="Calibri" w:hAnsi="Times New Roman" w:cs="Times New Roman"/>
                <w:b/>
                <w:sz w:val="28"/>
                <w:szCs w:val="28"/>
                <w:lang w:val="ro-RO" w:eastAsia="ro-RO"/>
              </w:rPr>
              <w:t>Condiţiile</w:t>
            </w:r>
            <w:proofErr w:type="spellEnd"/>
            <w:r w:rsidRPr="00A064DE">
              <w:rPr>
                <w:rFonts w:ascii="Times New Roman" w:eastAsia="Calibri" w:hAnsi="Times New Roman" w:cs="Times New Roman"/>
                <w:b/>
                <w:sz w:val="28"/>
                <w:szCs w:val="28"/>
                <w:lang w:val="ro-RO" w:eastAsia="ro-RO"/>
              </w:rPr>
              <w:t xml:space="preserve"> ce au impus elaborarea proiectului de act normativ </w:t>
            </w:r>
            <w:proofErr w:type="spellStart"/>
            <w:r w:rsidRPr="00A064DE">
              <w:rPr>
                <w:rFonts w:ascii="Times New Roman" w:eastAsia="Calibri" w:hAnsi="Times New Roman" w:cs="Times New Roman"/>
                <w:b/>
                <w:sz w:val="28"/>
                <w:szCs w:val="28"/>
                <w:lang w:val="ro-RO" w:eastAsia="ro-RO"/>
              </w:rPr>
              <w:t>şi</w:t>
            </w:r>
            <w:proofErr w:type="spellEnd"/>
            <w:r w:rsidRPr="00A064DE">
              <w:rPr>
                <w:rFonts w:ascii="Times New Roman" w:eastAsia="Calibri" w:hAnsi="Times New Roman" w:cs="Times New Roman"/>
                <w:b/>
                <w:sz w:val="28"/>
                <w:szCs w:val="28"/>
                <w:lang w:val="ro-RO" w:eastAsia="ro-RO"/>
              </w:rPr>
              <w:t xml:space="preserve"> </w:t>
            </w:r>
            <w:proofErr w:type="spellStart"/>
            <w:r w:rsidRPr="00A064DE">
              <w:rPr>
                <w:rFonts w:ascii="Times New Roman" w:eastAsia="Calibri" w:hAnsi="Times New Roman" w:cs="Times New Roman"/>
                <w:b/>
                <w:sz w:val="28"/>
                <w:szCs w:val="28"/>
                <w:lang w:val="ro-RO" w:eastAsia="ro-RO"/>
              </w:rPr>
              <w:t>finalităţile</w:t>
            </w:r>
            <w:proofErr w:type="spellEnd"/>
            <w:r w:rsidRPr="00A064DE">
              <w:rPr>
                <w:rFonts w:ascii="Times New Roman" w:eastAsia="Calibri" w:hAnsi="Times New Roman" w:cs="Times New Roman"/>
                <w:b/>
                <w:sz w:val="28"/>
                <w:szCs w:val="28"/>
                <w:lang w:val="ro-RO" w:eastAsia="ro-RO"/>
              </w:rPr>
              <w:t xml:space="preserve"> urmărite</w:t>
            </w:r>
          </w:p>
        </w:tc>
      </w:tr>
      <w:tr w:rsidR="00EB1559" w:rsidRPr="00A064DE" w14:paraId="2A1A8259" w14:textId="77777777" w:rsidTr="00E102D2">
        <w:trPr>
          <w:trHeight w:val="60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FD566" w14:textId="77777777" w:rsidR="00EB1559" w:rsidRPr="00A064DE" w:rsidRDefault="00EB1559" w:rsidP="00EB1559">
            <w:pPr>
              <w:numPr>
                <w:ilvl w:val="0"/>
                <w:numId w:val="1"/>
              </w:numPr>
              <w:tabs>
                <w:tab w:val="left" w:pos="1010"/>
              </w:tabs>
              <w:spacing w:after="0" w:line="240" w:lineRule="auto"/>
              <w:ind w:left="167" w:right="144" w:firstLine="477"/>
              <w:jc w:val="both"/>
              <w:rPr>
                <w:rFonts w:ascii="Times New Roman" w:eastAsia="Times New Roman" w:hAnsi="Times New Roman" w:cs="Times New Roman"/>
                <w:b/>
                <w:i/>
                <w:sz w:val="28"/>
                <w:szCs w:val="28"/>
                <w:lang w:val="ro-RO"/>
              </w:rPr>
            </w:pPr>
            <w:r w:rsidRPr="00A064DE">
              <w:rPr>
                <w:rFonts w:ascii="Times New Roman" w:eastAsia="Times New Roman" w:hAnsi="Times New Roman" w:cs="Times New Roman"/>
                <w:b/>
                <w:i/>
                <w:sz w:val="28"/>
                <w:szCs w:val="28"/>
                <w:lang w:val="ro-RO"/>
              </w:rPr>
              <w:t>Drept temei pentru elaborarea proiectului de lege privind modificarea unor acte normative au constituit condițiile și situațiile descrise în continuare.</w:t>
            </w:r>
          </w:p>
          <w:p w14:paraId="7DC1B095" w14:textId="03D4BA01" w:rsidR="00356740" w:rsidRPr="00A064DE" w:rsidRDefault="00F955C0" w:rsidP="00A064DE">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1. </w:t>
            </w:r>
            <w:r w:rsidR="00886C61" w:rsidRPr="00A064DE">
              <w:rPr>
                <w:rFonts w:ascii="Times New Roman" w:eastAsia="Calibri" w:hAnsi="Times New Roman" w:cs="Times New Roman"/>
                <w:sz w:val="28"/>
                <w:szCs w:val="28"/>
                <w:lang w:val="ro-RO"/>
              </w:rPr>
              <w:t xml:space="preserve"> </w:t>
            </w:r>
            <w:r w:rsidR="002E1D63" w:rsidRPr="00A064DE">
              <w:rPr>
                <w:rFonts w:ascii="Times New Roman" w:eastAsia="Calibri" w:hAnsi="Times New Roman" w:cs="Times New Roman"/>
                <w:sz w:val="28"/>
                <w:szCs w:val="28"/>
                <w:lang w:val="ro-RO"/>
              </w:rPr>
              <w:t xml:space="preserve">Necesitatea acordării cadrului juridic național prevederilor UE în domeniul contracarării efectelor negative ale practicilor comerciale neloiale. </w:t>
            </w:r>
          </w:p>
          <w:p w14:paraId="0AA033DA" w14:textId="77777777" w:rsidR="00F955C0" w:rsidRPr="00A064DE" w:rsidRDefault="00F955C0" w:rsidP="00F955C0">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2. Adresările mediului de afaceri privind nece</w:t>
            </w:r>
            <w:r w:rsidR="00356740" w:rsidRPr="00A064DE">
              <w:rPr>
                <w:rFonts w:ascii="Times New Roman" w:eastAsia="Calibri" w:hAnsi="Times New Roman" w:cs="Times New Roman"/>
                <w:sz w:val="28"/>
                <w:szCs w:val="28"/>
                <w:lang w:val="ro-RO"/>
              </w:rPr>
              <w:t xml:space="preserve">sitatea transpunerii Directivei, fiind invocat comportamentul neloial a unor comercianți în raport cu furnizorii, care din perspectiva </w:t>
            </w:r>
            <w:r w:rsidR="00356740" w:rsidRPr="00A064DE">
              <w:rPr>
                <w:rFonts w:ascii="Times New Roman" w:eastAsia="Calibri" w:hAnsi="Times New Roman" w:cs="Times New Roman"/>
                <w:bCs/>
                <w:sz w:val="28"/>
                <w:szCs w:val="28"/>
                <w:lang w:val="ro-RO"/>
              </w:rPr>
              <w:t xml:space="preserve">Directivei urmează a fi încadrate în conceptul de </w:t>
            </w:r>
            <w:r w:rsidR="00356740" w:rsidRPr="00A064DE">
              <w:rPr>
                <w:rFonts w:ascii="Times New Roman" w:eastAsia="Calibri" w:hAnsi="Times New Roman" w:cs="Times New Roman"/>
                <w:sz w:val="28"/>
                <w:szCs w:val="28"/>
                <w:lang w:val="ro-RO"/>
              </w:rPr>
              <w:t>Practicile Comerciale Neloiale și interzise corespunzător.</w:t>
            </w:r>
          </w:p>
          <w:p w14:paraId="3EF1ED77" w14:textId="77777777" w:rsidR="00F955C0" w:rsidRPr="00A064DE" w:rsidRDefault="00F955C0" w:rsidP="00F955C0">
            <w:pPr>
              <w:tabs>
                <w:tab w:val="left" w:pos="1010"/>
              </w:tabs>
              <w:spacing w:after="0" w:line="240" w:lineRule="auto"/>
              <w:ind w:left="167" w:right="144" w:firstLine="426"/>
              <w:jc w:val="both"/>
              <w:rPr>
                <w:rFonts w:ascii="Times New Roman" w:eastAsia="Calibri" w:hAnsi="Times New Roman" w:cs="Times New Roman"/>
                <w:sz w:val="28"/>
                <w:szCs w:val="28"/>
                <w:lang w:val="ro-RO"/>
              </w:rPr>
            </w:pPr>
          </w:p>
          <w:p w14:paraId="622FBBB4" w14:textId="5E97B556" w:rsidR="002E1D63" w:rsidRPr="00A064DE" w:rsidRDefault="00AD5058" w:rsidP="002E1D63">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Transpunerea</w:t>
            </w:r>
            <w:r w:rsidR="002E1D63" w:rsidRPr="00A064DE">
              <w:rPr>
                <w:rFonts w:ascii="Times New Roman" w:eastAsia="Calibri" w:hAnsi="Times New Roman" w:cs="Times New Roman"/>
                <w:sz w:val="28"/>
                <w:szCs w:val="28"/>
                <w:lang w:val="ro-RO"/>
              </w:rPr>
              <w:t xml:space="preserve"> </w:t>
            </w:r>
            <w:r w:rsidR="002E1D63" w:rsidRPr="00A064DE">
              <w:rPr>
                <w:rFonts w:ascii="Times New Roman" w:eastAsia="Calibri" w:hAnsi="Times New Roman" w:cs="Times New Roman"/>
                <w:bCs/>
                <w:sz w:val="28"/>
                <w:szCs w:val="28"/>
                <w:lang w:val="ro-RO"/>
              </w:rPr>
              <w:t xml:space="preserve">Directivei (UE) 2019/633 a Parlamentului European și a Consiliului din 17 aprilie 2019 privind practicile comerciale neloiale dintre întreprinderi în cadrul lanțului de aprovizionare agricol și alimentar (în continuare Directiva) </w:t>
            </w:r>
            <w:r w:rsidRPr="00A064DE">
              <w:rPr>
                <w:rFonts w:ascii="Times New Roman" w:eastAsia="Calibri" w:hAnsi="Times New Roman" w:cs="Times New Roman"/>
                <w:bCs/>
                <w:sz w:val="28"/>
                <w:szCs w:val="28"/>
                <w:lang w:val="ro-RO"/>
              </w:rPr>
              <w:t>este</w:t>
            </w:r>
            <w:r w:rsidR="002E1D63" w:rsidRPr="00A064DE">
              <w:rPr>
                <w:rFonts w:ascii="Times New Roman" w:eastAsia="Calibri" w:hAnsi="Times New Roman" w:cs="Times New Roman"/>
                <w:bCs/>
                <w:sz w:val="28"/>
                <w:szCs w:val="28"/>
                <w:lang w:val="ro-RO"/>
              </w:rPr>
              <w:t xml:space="preserve"> argumentată prin următoarele.</w:t>
            </w:r>
          </w:p>
          <w:p w14:paraId="5C40E18C" w14:textId="27CDAFBA"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P</w:t>
            </w:r>
            <w:r w:rsidR="00356740" w:rsidRPr="00A064DE">
              <w:rPr>
                <w:rFonts w:ascii="Times New Roman" w:eastAsia="Calibri" w:hAnsi="Times New Roman" w:cs="Times New Roman"/>
                <w:sz w:val="28"/>
                <w:szCs w:val="28"/>
                <w:lang w:val="ro-RO"/>
              </w:rPr>
              <w:t>r</w:t>
            </w:r>
            <w:r w:rsidRPr="00A064DE">
              <w:rPr>
                <w:rFonts w:ascii="Times New Roman" w:eastAsia="Calibri" w:hAnsi="Times New Roman" w:cs="Times New Roman"/>
                <w:sz w:val="28"/>
                <w:szCs w:val="28"/>
                <w:lang w:val="ro-RO"/>
              </w:rPr>
              <w:t>acticile Comerciale Neloiale (PCN) pot fi definite în linii mari ca practici care se abat de la o bună conduită comercială, sunt contrare bunei-credințe și modalităților echitabile și sunt impuse unilateral de către un partener comercial altuia (business-</w:t>
            </w:r>
            <w:proofErr w:type="spellStart"/>
            <w:r w:rsidRPr="00A064DE">
              <w:rPr>
                <w:rFonts w:ascii="Times New Roman" w:eastAsia="Calibri" w:hAnsi="Times New Roman" w:cs="Times New Roman"/>
                <w:sz w:val="28"/>
                <w:szCs w:val="28"/>
                <w:lang w:val="ro-RO"/>
              </w:rPr>
              <w:t>to</w:t>
            </w:r>
            <w:proofErr w:type="spellEnd"/>
            <w:r w:rsidRPr="00A064DE">
              <w:rPr>
                <w:rFonts w:ascii="Times New Roman" w:eastAsia="Calibri" w:hAnsi="Times New Roman" w:cs="Times New Roman"/>
                <w:sz w:val="28"/>
                <w:szCs w:val="28"/>
                <w:lang w:val="ro-RO"/>
              </w:rPr>
              <w:t xml:space="preserve">-business). Comisia Europeană a identificat patru categorii cheie de </w:t>
            </w:r>
            <w:r w:rsidR="00AD5058" w:rsidRPr="00A064DE">
              <w:rPr>
                <w:rFonts w:ascii="Times New Roman" w:eastAsia="Calibri" w:hAnsi="Times New Roman" w:cs="Times New Roman"/>
                <w:sz w:val="28"/>
                <w:szCs w:val="28"/>
                <w:lang w:val="ro-RO"/>
              </w:rPr>
              <w:t>PCN</w:t>
            </w:r>
            <w:r w:rsidRPr="00A064DE">
              <w:rPr>
                <w:rFonts w:ascii="Times New Roman" w:eastAsia="Calibri" w:hAnsi="Times New Roman" w:cs="Times New Roman"/>
                <w:sz w:val="28"/>
                <w:szCs w:val="28"/>
                <w:lang w:val="ro-RO"/>
              </w:rPr>
              <w:t xml:space="preserve"> pe care un cadru de reglementare eficient ar trebui să le acopere.</w:t>
            </w:r>
          </w:p>
          <w:p w14:paraId="4019AD0C" w14:textId="77777777"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o parte nu ar trebui să-și transfere în mod nejustificat sau nedrept propriile costuri sau riscuri antreprenoriale către cealaltă parte;</w:t>
            </w:r>
          </w:p>
          <w:p w14:paraId="3410827F" w14:textId="77777777"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una dintre părți nu trebuie să ceară celeilalte părți avantaje sau beneficii de orice fel fără a presta un serviciu legat de avantajul sau beneficiul solicitat;</w:t>
            </w:r>
          </w:p>
          <w:p w14:paraId="786B1381" w14:textId="77777777"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una dintre părți nu ar trebui să facă modificări unilaterale și/sau retroactive unui contract, cu excepția cazului în care contractul permite acest lucru în condiții echitabile;</w:t>
            </w:r>
          </w:p>
          <w:p w14:paraId="3ED8461B" w14:textId="77777777"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nu ar trebui să existe încetarea neloială a unei relații contractuale sau amenințarea nejustificată de încetare a unei relații contractuale.</w:t>
            </w:r>
          </w:p>
          <w:p w14:paraId="0A065899" w14:textId="77777777"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Există indicii puternice că PCN-urile apar frecvent în lanțul de aprovizionare cu alimente și că acestea pot fi dăunătoare în principal </w:t>
            </w:r>
            <w:r w:rsidR="00356740" w:rsidRPr="00A064DE">
              <w:rPr>
                <w:rFonts w:ascii="Times New Roman" w:eastAsia="Calibri" w:hAnsi="Times New Roman" w:cs="Times New Roman"/>
                <w:sz w:val="28"/>
                <w:szCs w:val="28"/>
                <w:lang w:val="ro-RO"/>
              </w:rPr>
              <w:t>întreprinzătorilor</w:t>
            </w:r>
            <w:r w:rsidRPr="00A064DE">
              <w:rPr>
                <w:rFonts w:ascii="Times New Roman" w:eastAsia="Calibri" w:hAnsi="Times New Roman" w:cs="Times New Roman"/>
                <w:sz w:val="28"/>
                <w:szCs w:val="28"/>
                <w:lang w:val="ro-RO"/>
              </w:rPr>
              <w:t xml:space="preserve"> mai mici </w:t>
            </w:r>
            <w:r w:rsidR="00356740" w:rsidRPr="00A064DE">
              <w:rPr>
                <w:rFonts w:ascii="Times New Roman" w:eastAsia="Calibri" w:hAnsi="Times New Roman" w:cs="Times New Roman"/>
                <w:sz w:val="28"/>
                <w:szCs w:val="28"/>
                <w:lang w:val="ro-RO"/>
              </w:rPr>
              <w:t xml:space="preserve">precum ar </w:t>
            </w:r>
            <w:r w:rsidRPr="00A064DE">
              <w:rPr>
                <w:rFonts w:ascii="Times New Roman" w:eastAsia="Calibri" w:hAnsi="Times New Roman" w:cs="Times New Roman"/>
                <w:sz w:val="28"/>
                <w:szCs w:val="28"/>
                <w:lang w:val="ro-RO"/>
              </w:rPr>
              <w:t>fi producătorii agricoli și IMM-urile procesatoare de produse alimentare.</w:t>
            </w:r>
          </w:p>
          <w:p w14:paraId="30819071" w14:textId="17EF566F"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lastRenderedPageBreak/>
              <w:t>În timp ce riscul de afaceri este inerent în toate activitățile economice, agricultura este deosebit de plină de incertitudine, în special din cauza vremii</w:t>
            </w:r>
            <w:r w:rsidR="00AD5058" w:rsidRPr="00A064DE">
              <w:rPr>
                <w:rFonts w:ascii="Times New Roman" w:eastAsia="Calibri" w:hAnsi="Times New Roman" w:cs="Times New Roman"/>
                <w:sz w:val="28"/>
                <w:szCs w:val="28"/>
                <w:lang w:val="ro-RO"/>
              </w:rPr>
              <w:t xml:space="preserve"> (condițiilor climaterice)</w:t>
            </w:r>
            <w:r w:rsidRPr="00A064DE">
              <w:rPr>
                <w:rFonts w:ascii="Times New Roman" w:eastAsia="Calibri" w:hAnsi="Times New Roman" w:cs="Times New Roman"/>
                <w:sz w:val="28"/>
                <w:szCs w:val="28"/>
                <w:lang w:val="ro-RO"/>
              </w:rPr>
              <w:t xml:space="preserve"> care are un impact direct asupra variabilității cantității și a calit</w:t>
            </w:r>
            <w:r w:rsidR="00AD5058" w:rsidRPr="00A064DE">
              <w:rPr>
                <w:rFonts w:ascii="Times New Roman" w:eastAsia="Calibri" w:hAnsi="Times New Roman" w:cs="Times New Roman"/>
                <w:sz w:val="28"/>
                <w:szCs w:val="28"/>
                <w:lang w:val="ro-RO"/>
              </w:rPr>
              <w:t>ății producției</w:t>
            </w:r>
            <w:r w:rsidRPr="00A064DE">
              <w:rPr>
                <w:rFonts w:ascii="Times New Roman" w:eastAsia="Calibri" w:hAnsi="Times New Roman" w:cs="Times New Roman"/>
                <w:sz w:val="28"/>
                <w:szCs w:val="28"/>
                <w:lang w:val="ro-RO"/>
              </w:rPr>
              <w:t xml:space="preserve"> furnizat</w:t>
            </w:r>
            <w:r w:rsidR="00AD5058" w:rsidRPr="00A064DE">
              <w:rPr>
                <w:rFonts w:ascii="Times New Roman" w:eastAsia="Calibri" w:hAnsi="Times New Roman" w:cs="Times New Roman"/>
                <w:sz w:val="28"/>
                <w:szCs w:val="28"/>
                <w:lang w:val="ro-RO"/>
              </w:rPr>
              <w:t>e</w:t>
            </w:r>
            <w:r w:rsidRPr="00A064DE">
              <w:rPr>
                <w:rFonts w:ascii="Times New Roman" w:eastAsia="Calibri" w:hAnsi="Times New Roman" w:cs="Times New Roman"/>
                <w:sz w:val="28"/>
                <w:szCs w:val="28"/>
                <w:lang w:val="ro-RO"/>
              </w:rPr>
              <w:t xml:space="preserve">. </w:t>
            </w:r>
            <w:r w:rsidR="00356740" w:rsidRPr="00A064DE">
              <w:rPr>
                <w:rFonts w:ascii="Times New Roman" w:eastAsia="Calibri" w:hAnsi="Times New Roman" w:cs="Times New Roman"/>
                <w:sz w:val="28"/>
                <w:szCs w:val="28"/>
                <w:lang w:val="ro-RO"/>
              </w:rPr>
              <w:t>Oricine</w:t>
            </w:r>
            <w:r w:rsidRPr="00A064DE">
              <w:rPr>
                <w:rFonts w:ascii="Times New Roman" w:eastAsia="Calibri" w:hAnsi="Times New Roman" w:cs="Times New Roman"/>
                <w:sz w:val="28"/>
                <w:szCs w:val="28"/>
                <w:lang w:val="ro-RO"/>
              </w:rPr>
              <w:t xml:space="preserve"> are nevoie de hrană pentru supraviețuire, dar cererea de alimente este relativ </w:t>
            </w:r>
            <w:r w:rsidR="00356740" w:rsidRPr="00A064DE">
              <w:rPr>
                <w:rFonts w:ascii="Times New Roman" w:eastAsia="Calibri" w:hAnsi="Times New Roman" w:cs="Times New Roman"/>
                <w:sz w:val="28"/>
                <w:szCs w:val="28"/>
                <w:lang w:val="ro-RO"/>
              </w:rPr>
              <w:t>neelastică</w:t>
            </w:r>
            <w:r w:rsidRPr="00A064DE">
              <w:rPr>
                <w:rFonts w:ascii="Times New Roman" w:eastAsia="Calibri" w:hAnsi="Times New Roman" w:cs="Times New Roman"/>
                <w:sz w:val="28"/>
                <w:szCs w:val="28"/>
                <w:lang w:val="ro-RO"/>
              </w:rPr>
              <w:t xml:space="preserve">: nu se schimbă semnificativ dacă prețurile scad sau cresc. Aceasta înseamnă că fermierii nu se pot baza </w:t>
            </w:r>
            <w:r w:rsidR="00AA081F" w:rsidRPr="00A064DE">
              <w:rPr>
                <w:rFonts w:ascii="Times New Roman" w:eastAsia="Calibri" w:hAnsi="Times New Roman" w:cs="Times New Roman"/>
                <w:sz w:val="28"/>
                <w:szCs w:val="28"/>
                <w:lang w:val="ro-RO"/>
              </w:rPr>
              <w:t>doar pe</w:t>
            </w:r>
            <w:r w:rsidRPr="00A064DE">
              <w:rPr>
                <w:rFonts w:ascii="Times New Roman" w:eastAsia="Calibri" w:hAnsi="Times New Roman" w:cs="Times New Roman"/>
                <w:sz w:val="28"/>
                <w:szCs w:val="28"/>
                <w:lang w:val="ro-RO"/>
              </w:rPr>
              <w:t xml:space="preserve"> </w:t>
            </w:r>
            <w:r w:rsidR="00AA081F" w:rsidRPr="00A064DE">
              <w:rPr>
                <w:rFonts w:ascii="Times New Roman" w:eastAsia="Calibri" w:hAnsi="Times New Roman" w:cs="Times New Roman"/>
                <w:sz w:val="28"/>
                <w:szCs w:val="28"/>
                <w:lang w:val="ro-RO"/>
              </w:rPr>
              <w:t xml:space="preserve">creșterea </w:t>
            </w:r>
            <w:proofErr w:type="spellStart"/>
            <w:r w:rsidR="00AA081F" w:rsidRPr="00A064DE">
              <w:rPr>
                <w:rFonts w:ascii="Times New Roman" w:eastAsia="Calibri" w:hAnsi="Times New Roman" w:cs="Times New Roman"/>
                <w:sz w:val="28"/>
                <w:szCs w:val="28"/>
                <w:lang w:val="ro-RO"/>
              </w:rPr>
              <w:t>vînzărilor</w:t>
            </w:r>
            <w:proofErr w:type="spellEnd"/>
            <w:r w:rsidR="00AA081F" w:rsidRPr="00A064DE">
              <w:rPr>
                <w:rFonts w:ascii="Times New Roman" w:eastAsia="Calibri" w:hAnsi="Times New Roman" w:cs="Times New Roman"/>
                <w:sz w:val="28"/>
                <w:szCs w:val="28"/>
                <w:lang w:val="ro-RO"/>
              </w:rPr>
              <w:t xml:space="preserve"> producție</w:t>
            </w:r>
            <w:r w:rsidR="00950AA4" w:rsidRPr="00A064DE">
              <w:rPr>
                <w:rFonts w:ascii="Times New Roman" w:eastAsia="Calibri" w:hAnsi="Times New Roman" w:cs="Times New Roman"/>
                <w:sz w:val="28"/>
                <w:szCs w:val="28"/>
                <w:lang w:val="ro-RO"/>
              </w:rPr>
              <w:t>i</w:t>
            </w:r>
            <w:r w:rsidRPr="00A064DE">
              <w:rPr>
                <w:rFonts w:ascii="Times New Roman" w:eastAsia="Calibri" w:hAnsi="Times New Roman" w:cs="Times New Roman"/>
                <w:sz w:val="28"/>
                <w:szCs w:val="28"/>
                <w:lang w:val="ro-RO"/>
              </w:rPr>
              <w:t xml:space="preserve"> pentru a compensa prețurile mai mici. Surplusul de ofertă are, prin urmare, un impact semnificativ asupra nivelurilor prețurilor, precum și asupra volatilității prețurilor</w:t>
            </w:r>
            <w:r w:rsidR="00950AA4" w:rsidRPr="00A064DE">
              <w:rPr>
                <w:rFonts w:ascii="Times New Roman" w:eastAsia="Calibri" w:hAnsi="Times New Roman" w:cs="Times New Roman"/>
                <w:sz w:val="28"/>
                <w:szCs w:val="28"/>
                <w:lang w:val="ro-RO"/>
              </w:rPr>
              <w:t xml:space="preserve"> și viceversa, scăderea cantității produselor poate duce la creșterea prețurilor inclusiv la produsele procesate</w:t>
            </w:r>
            <w:r w:rsidRPr="00A064DE">
              <w:rPr>
                <w:rFonts w:ascii="Times New Roman" w:eastAsia="Calibri" w:hAnsi="Times New Roman" w:cs="Times New Roman"/>
                <w:sz w:val="28"/>
                <w:szCs w:val="28"/>
                <w:lang w:val="ro-RO"/>
              </w:rPr>
              <w:t>. În plus, există întârzieri lungi de producție din cauza proceselor biologice de care depinde producția agricolă. Acești factori pot avea un impact semnificativ asupra veniturilor fermierilor și, totuși, practic nu au control asupra lor.</w:t>
            </w:r>
            <w:r w:rsidR="00950AA4" w:rsidRPr="00A064DE">
              <w:rPr>
                <w:rFonts w:ascii="Times New Roman" w:eastAsia="Calibri" w:hAnsi="Times New Roman" w:cs="Times New Roman"/>
                <w:sz w:val="28"/>
                <w:szCs w:val="28"/>
                <w:lang w:val="ro-RO"/>
              </w:rPr>
              <w:t xml:space="preserve"> </w:t>
            </w:r>
          </w:p>
          <w:p w14:paraId="758F14FE" w14:textId="77777777"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Producătorii agricoli sunt deosebit de vulnerabili la PCN, deoarece adesea le lipsește puterea de negociere care ar fi egală cu cea a partenerilor lor din aval. Alternativele lor în ceea ce privește aducerea produselor lor către consumatori sunt limitate (această vulnerabilitate este exacerbată atunci când apar așa-numitele situații de reținere care pot face ca alternativele să fie practic inexistente din cauza perisabilității unui produs).</w:t>
            </w:r>
          </w:p>
          <w:p w14:paraId="0D253B3A" w14:textId="77777777"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Într-un mediu de politică agricolă care este mult mai orientat spre piață decât înainte și care urmărește valorificarea oportunităților de liber schimb, buna guvernare a lanțului de aprovizionare cu alimente a devenit mai importantă pentru operatori, inclusiv pentru fermieri. O astfel de bună guvernanță ar trebui să asigure că aceștia sunt capabili să-și dezvolte afacerea și să concureze în condiții echitabile, contribuind astfel la eficiența generală a lanțului. Conduita neloială în afaceri a operatorilor care dețin o putere de negociere semnificativă </w:t>
            </w:r>
            <w:r w:rsidR="00AA081F" w:rsidRPr="00A064DE">
              <w:rPr>
                <w:rFonts w:ascii="Times New Roman" w:eastAsia="Calibri" w:hAnsi="Times New Roman" w:cs="Times New Roman"/>
                <w:sz w:val="28"/>
                <w:szCs w:val="28"/>
                <w:lang w:val="ro-RO"/>
              </w:rPr>
              <w:t xml:space="preserve">atunci </w:t>
            </w:r>
            <w:proofErr w:type="spellStart"/>
            <w:r w:rsidR="00AA081F" w:rsidRPr="00A064DE">
              <w:rPr>
                <w:rFonts w:ascii="Times New Roman" w:eastAsia="Calibri" w:hAnsi="Times New Roman" w:cs="Times New Roman"/>
                <w:sz w:val="28"/>
                <w:szCs w:val="28"/>
                <w:lang w:val="ro-RO"/>
              </w:rPr>
              <w:t>cînd</w:t>
            </w:r>
            <w:proofErr w:type="spellEnd"/>
            <w:r w:rsidR="00AA081F" w:rsidRPr="00A064DE">
              <w:rPr>
                <w:rFonts w:ascii="Times New Roman" w:eastAsia="Calibri" w:hAnsi="Times New Roman" w:cs="Times New Roman"/>
                <w:sz w:val="28"/>
                <w:szCs w:val="28"/>
                <w:lang w:val="ro-RO"/>
              </w:rPr>
              <w:t xml:space="preserve"> nu este interzisă </w:t>
            </w:r>
            <w:r w:rsidRPr="00A064DE">
              <w:rPr>
                <w:rFonts w:ascii="Times New Roman" w:eastAsia="Calibri" w:hAnsi="Times New Roman" w:cs="Times New Roman"/>
                <w:sz w:val="28"/>
                <w:szCs w:val="28"/>
                <w:lang w:val="ro-RO"/>
              </w:rPr>
              <w:t>po</w:t>
            </w:r>
            <w:r w:rsidR="00AA081F" w:rsidRPr="00A064DE">
              <w:rPr>
                <w:rFonts w:ascii="Times New Roman" w:eastAsia="Calibri" w:hAnsi="Times New Roman" w:cs="Times New Roman"/>
                <w:sz w:val="28"/>
                <w:szCs w:val="28"/>
                <w:lang w:val="ro-RO"/>
              </w:rPr>
              <w:t>a</w:t>
            </w:r>
            <w:r w:rsidRPr="00A064DE">
              <w:rPr>
                <w:rFonts w:ascii="Times New Roman" w:eastAsia="Calibri" w:hAnsi="Times New Roman" w:cs="Times New Roman"/>
                <w:sz w:val="28"/>
                <w:szCs w:val="28"/>
                <w:lang w:val="ro-RO"/>
              </w:rPr>
              <w:t>t</w:t>
            </w:r>
            <w:r w:rsidR="00AA081F" w:rsidRPr="00A064DE">
              <w:rPr>
                <w:rFonts w:ascii="Times New Roman" w:eastAsia="Calibri" w:hAnsi="Times New Roman" w:cs="Times New Roman"/>
                <w:sz w:val="28"/>
                <w:szCs w:val="28"/>
                <w:lang w:val="ro-RO"/>
              </w:rPr>
              <w:t>e</w:t>
            </w:r>
            <w:r w:rsidRPr="00A064DE">
              <w:rPr>
                <w:rFonts w:ascii="Times New Roman" w:eastAsia="Calibri" w:hAnsi="Times New Roman" w:cs="Times New Roman"/>
                <w:sz w:val="28"/>
                <w:szCs w:val="28"/>
                <w:lang w:val="ro-RO"/>
              </w:rPr>
              <w:t xml:space="preserve"> submina viabilitatea economică a victimelor PCN, precum și încrederea acestora în corectitudinea generală a lanțului de aprovizionare cu alimente.</w:t>
            </w:r>
          </w:p>
          <w:p w14:paraId="685DE9B9" w14:textId="498BEABC"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Operatorii cu putere de negociere semnificativă pot impune presiuni asupra altor operatori mai slabi în lanțul de aprovizionare cu alimente. </w:t>
            </w:r>
            <w:r w:rsidR="0031678B" w:rsidRPr="00A064DE">
              <w:rPr>
                <w:rFonts w:ascii="Times New Roman" w:eastAsia="Calibri" w:hAnsi="Times New Roman" w:cs="Times New Roman"/>
                <w:sz w:val="28"/>
                <w:szCs w:val="28"/>
                <w:lang w:val="ro-RO"/>
              </w:rPr>
              <w:t>PCN</w:t>
            </w:r>
            <w:r w:rsidRPr="00A064DE">
              <w:rPr>
                <w:rFonts w:ascii="Times New Roman" w:eastAsia="Calibri" w:hAnsi="Times New Roman" w:cs="Times New Roman"/>
                <w:sz w:val="28"/>
                <w:szCs w:val="28"/>
                <w:lang w:val="ro-RO"/>
              </w:rPr>
              <w:t xml:space="preserve">-urile pun sub presiune profiturile și marjele companiilor, ceea ce poate duce la o alocare greșită a resurselor și chiar să conducă jucători în afara afacerii. În astfel de situații, o reglementare bine țintită a </w:t>
            </w:r>
            <w:r w:rsidR="00AA081F" w:rsidRPr="00A064DE">
              <w:rPr>
                <w:rFonts w:ascii="Times New Roman" w:eastAsia="Calibri" w:hAnsi="Times New Roman" w:cs="Times New Roman"/>
                <w:sz w:val="28"/>
                <w:szCs w:val="28"/>
                <w:lang w:val="ro-RO"/>
              </w:rPr>
              <w:t xml:space="preserve">modului de aranjare a </w:t>
            </w:r>
            <w:r w:rsidRPr="00A064DE">
              <w:rPr>
                <w:rFonts w:ascii="Times New Roman" w:eastAsia="Calibri" w:hAnsi="Times New Roman" w:cs="Times New Roman"/>
                <w:sz w:val="28"/>
                <w:szCs w:val="28"/>
                <w:lang w:val="ro-RO"/>
              </w:rPr>
              <w:t>anumitor tranzacții</w:t>
            </w:r>
            <w:r w:rsidR="00AA081F" w:rsidRPr="00A064DE">
              <w:rPr>
                <w:rFonts w:ascii="Times New Roman" w:eastAsia="Calibri" w:hAnsi="Times New Roman" w:cs="Times New Roman"/>
                <w:sz w:val="28"/>
                <w:szCs w:val="28"/>
                <w:lang w:val="ro-RO"/>
              </w:rPr>
              <w:t xml:space="preserve"> și limitarea unor</w:t>
            </w:r>
            <w:r w:rsidRPr="00A064DE">
              <w:rPr>
                <w:rFonts w:ascii="Times New Roman" w:eastAsia="Calibri" w:hAnsi="Times New Roman" w:cs="Times New Roman"/>
                <w:sz w:val="28"/>
                <w:szCs w:val="28"/>
                <w:lang w:val="ro-RO"/>
              </w:rPr>
              <w:t xml:space="preserve"> </w:t>
            </w:r>
            <w:r w:rsidR="00AA081F" w:rsidRPr="00A064DE">
              <w:rPr>
                <w:rFonts w:ascii="Times New Roman" w:eastAsia="Calibri" w:hAnsi="Times New Roman" w:cs="Times New Roman"/>
                <w:sz w:val="28"/>
                <w:szCs w:val="28"/>
                <w:lang w:val="ro-RO"/>
              </w:rPr>
              <w:t>practici</w:t>
            </w:r>
            <w:r w:rsidR="0031678B" w:rsidRPr="00A064DE">
              <w:rPr>
                <w:rFonts w:ascii="Times New Roman" w:eastAsia="Calibri" w:hAnsi="Times New Roman" w:cs="Times New Roman"/>
                <w:sz w:val="28"/>
                <w:szCs w:val="28"/>
                <w:lang w:val="ro-RO"/>
              </w:rPr>
              <w:t>,</w:t>
            </w:r>
            <w:r w:rsidRPr="00A064DE">
              <w:rPr>
                <w:rFonts w:ascii="Times New Roman" w:eastAsia="Calibri" w:hAnsi="Times New Roman" w:cs="Times New Roman"/>
                <w:sz w:val="28"/>
                <w:szCs w:val="28"/>
                <w:lang w:val="ro-RO"/>
              </w:rPr>
              <w:t xml:space="preserve"> vizează asigurarea echității între actorii din lanțul de aprovizionare cu alimente </w:t>
            </w:r>
            <w:r w:rsidR="0031678B" w:rsidRPr="00A064DE">
              <w:rPr>
                <w:rFonts w:ascii="Times New Roman" w:eastAsia="Calibri" w:hAnsi="Times New Roman" w:cs="Times New Roman"/>
                <w:sz w:val="28"/>
                <w:szCs w:val="28"/>
                <w:lang w:val="ro-RO"/>
              </w:rPr>
              <w:t xml:space="preserve">și </w:t>
            </w:r>
            <w:r w:rsidRPr="00A064DE">
              <w:rPr>
                <w:rFonts w:ascii="Times New Roman" w:eastAsia="Calibri" w:hAnsi="Times New Roman" w:cs="Times New Roman"/>
                <w:sz w:val="28"/>
                <w:szCs w:val="28"/>
                <w:lang w:val="ro-RO"/>
              </w:rPr>
              <w:t>pot ajuta la rezolvare</w:t>
            </w:r>
            <w:r w:rsidR="0031678B" w:rsidRPr="00A064DE">
              <w:rPr>
                <w:rFonts w:ascii="Times New Roman" w:eastAsia="Calibri" w:hAnsi="Times New Roman" w:cs="Times New Roman"/>
                <w:sz w:val="28"/>
                <w:szCs w:val="28"/>
                <w:lang w:val="ro-RO"/>
              </w:rPr>
              <w:t>a unor</w:t>
            </w:r>
            <w:r w:rsidRPr="00A064DE">
              <w:rPr>
                <w:rFonts w:ascii="Times New Roman" w:eastAsia="Calibri" w:hAnsi="Times New Roman" w:cs="Times New Roman"/>
                <w:sz w:val="28"/>
                <w:szCs w:val="28"/>
                <w:lang w:val="ro-RO"/>
              </w:rPr>
              <w:t xml:space="preserve"> </w:t>
            </w:r>
            <w:r w:rsidR="00AA081F" w:rsidRPr="00A064DE">
              <w:rPr>
                <w:rFonts w:ascii="Times New Roman" w:eastAsia="Calibri" w:hAnsi="Times New Roman" w:cs="Times New Roman"/>
                <w:sz w:val="28"/>
                <w:szCs w:val="28"/>
                <w:lang w:val="ro-RO"/>
              </w:rPr>
              <w:t>probleme specifice.</w:t>
            </w:r>
          </w:p>
          <w:p w14:paraId="75DC4D3F" w14:textId="6EC2828D"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trike/>
                <w:sz w:val="28"/>
                <w:szCs w:val="28"/>
                <w:lang w:val="ro-RO"/>
              </w:rPr>
            </w:pPr>
            <w:r w:rsidRPr="00A064DE">
              <w:rPr>
                <w:rFonts w:ascii="Times New Roman" w:eastAsia="Calibri" w:hAnsi="Times New Roman" w:cs="Times New Roman"/>
                <w:sz w:val="28"/>
                <w:szCs w:val="28"/>
                <w:lang w:val="ro-RO"/>
              </w:rPr>
              <w:t xml:space="preserve">Există un consens larg răspândit că </w:t>
            </w:r>
            <w:r w:rsidR="0031678B" w:rsidRPr="00A064DE">
              <w:rPr>
                <w:rFonts w:ascii="Times New Roman" w:eastAsia="Calibri" w:hAnsi="Times New Roman" w:cs="Times New Roman"/>
                <w:sz w:val="28"/>
                <w:szCs w:val="28"/>
                <w:lang w:val="ro-RO"/>
              </w:rPr>
              <w:t>PCN</w:t>
            </w:r>
            <w:r w:rsidRPr="00A064DE">
              <w:rPr>
                <w:rFonts w:ascii="Times New Roman" w:eastAsia="Calibri" w:hAnsi="Times New Roman" w:cs="Times New Roman"/>
                <w:sz w:val="28"/>
                <w:szCs w:val="28"/>
                <w:lang w:val="ro-RO"/>
              </w:rPr>
              <w:t>-urile apar pe tot parcursul lanțului de aprovizionare cu alimente. Frecvența lor distinge lanțul de aprovizionare cu alimente de alte lanțuri de aprovizionare în ceea ce privește amploarea problemei. Trei comunic</w:t>
            </w:r>
            <w:r w:rsidR="00283384" w:rsidRPr="00A064DE">
              <w:rPr>
                <w:rFonts w:ascii="Times New Roman" w:eastAsia="Calibri" w:hAnsi="Times New Roman" w:cs="Times New Roman"/>
                <w:sz w:val="28"/>
                <w:szCs w:val="28"/>
                <w:lang w:val="ro-RO"/>
              </w:rPr>
              <w:t>ate</w:t>
            </w:r>
            <w:r w:rsidRPr="00A064DE">
              <w:rPr>
                <w:rFonts w:ascii="Times New Roman" w:eastAsia="Calibri" w:hAnsi="Times New Roman" w:cs="Times New Roman"/>
                <w:sz w:val="28"/>
                <w:szCs w:val="28"/>
                <w:lang w:val="ro-RO"/>
              </w:rPr>
              <w:t xml:space="preserve"> ale Comisiei Europene </w:t>
            </w:r>
            <w:proofErr w:type="spellStart"/>
            <w:r w:rsidR="00283384" w:rsidRPr="00A064DE">
              <w:rPr>
                <w:rFonts w:ascii="Times New Roman" w:eastAsia="Calibri" w:hAnsi="Times New Roman" w:cs="Times New Roman"/>
                <w:sz w:val="28"/>
                <w:szCs w:val="28"/>
                <w:lang w:val="ro-RO"/>
              </w:rPr>
              <w:t>începînd</w:t>
            </w:r>
            <w:proofErr w:type="spellEnd"/>
            <w:r w:rsidR="00283384" w:rsidRPr="00A064DE">
              <w:rPr>
                <w:rFonts w:ascii="Times New Roman" w:eastAsia="Calibri" w:hAnsi="Times New Roman" w:cs="Times New Roman"/>
                <w:sz w:val="28"/>
                <w:szCs w:val="28"/>
                <w:lang w:val="ro-RO"/>
              </w:rPr>
              <w:t xml:space="preserve"> cu</w:t>
            </w:r>
            <w:r w:rsidRPr="00A064DE">
              <w:rPr>
                <w:rFonts w:ascii="Times New Roman" w:eastAsia="Calibri" w:hAnsi="Times New Roman" w:cs="Times New Roman"/>
                <w:sz w:val="28"/>
                <w:szCs w:val="28"/>
                <w:lang w:val="ro-RO"/>
              </w:rPr>
              <w:t xml:space="preserve"> 2009 </w:t>
            </w:r>
            <w:r w:rsidR="0031678B" w:rsidRPr="00A064DE">
              <w:rPr>
                <w:rFonts w:ascii="Times New Roman" w:eastAsia="Calibri" w:hAnsi="Times New Roman" w:cs="Times New Roman"/>
                <w:sz w:val="28"/>
                <w:szCs w:val="28"/>
                <w:lang w:val="ro-RO"/>
              </w:rPr>
              <w:t>s-</w:t>
            </w:r>
            <w:r w:rsidRPr="00A064DE">
              <w:rPr>
                <w:rFonts w:ascii="Times New Roman" w:eastAsia="Calibri" w:hAnsi="Times New Roman" w:cs="Times New Roman"/>
                <w:sz w:val="28"/>
                <w:szCs w:val="28"/>
                <w:lang w:val="ro-RO"/>
              </w:rPr>
              <w:t xml:space="preserve">au concentrat pe lanțul </w:t>
            </w:r>
            <w:r w:rsidRPr="00A064DE">
              <w:rPr>
                <w:rFonts w:ascii="Times New Roman" w:eastAsia="Calibri" w:hAnsi="Times New Roman" w:cs="Times New Roman"/>
                <w:sz w:val="28"/>
                <w:szCs w:val="28"/>
                <w:lang w:val="ro-RO"/>
              </w:rPr>
              <w:lastRenderedPageBreak/>
              <w:t xml:space="preserve">de aprovizionare cu alimente, inclusiv practicile comerciale neloiale. </w:t>
            </w:r>
            <w:r w:rsidR="00283384" w:rsidRPr="00A064DE">
              <w:rPr>
                <w:rFonts w:ascii="Times New Roman" w:eastAsia="Calibri" w:hAnsi="Times New Roman" w:cs="Times New Roman"/>
                <w:sz w:val="28"/>
                <w:szCs w:val="28"/>
                <w:lang w:val="ro-RO"/>
              </w:rPr>
              <w:t>Normele specifice PCN din 20 de state membre UE demonstrează îngrijorarea semnificativă cu privire la PCN la nivel național.</w:t>
            </w:r>
            <w:r w:rsidRPr="00A064DE">
              <w:rPr>
                <w:rFonts w:ascii="Times New Roman" w:eastAsia="Calibri" w:hAnsi="Times New Roman" w:cs="Times New Roman"/>
                <w:sz w:val="28"/>
                <w:szCs w:val="28"/>
                <w:lang w:val="ro-RO"/>
              </w:rPr>
              <w:t xml:space="preserve"> </w:t>
            </w:r>
          </w:p>
          <w:p w14:paraId="1F8C716F" w14:textId="5A997F1B" w:rsidR="00886C61" w:rsidRPr="00A064DE" w:rsidRDefault="00886C61"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Consult</w:t>
            </w:r>
            <w:r w:rsidR="00283384" w:rsidRPr="00A064DE">
              <w:rPr>
                <w:rFonts w:ascii="Times New Roman" w:eastAsia="Calibri" w:hAnsi="Times New Roman" w:cs="Times New Roman"/>
                <w:sz w:val="28"/>
                <w:szCs w:val="28"/>
                <w:lang w:val="ro-RO"/>
              </w:rPr>
              <w:t>area</w:t>
            </w:r>
            <w:r w:rsidRPr="00A064DE">
              <w:rPr>
                <w:rFonts w:ascii="Times New Roman" w:eastAsia="Calibri" w:hAnsi="Times New Roman" w:cs="Times New Roman"/>
                <w:sz w:val="28"/>
                <w:szCs w:val="28"/>
                <w:lang w:val="ro-RO"/>
              </w:rPr>
              <w:t xml:space="preserve"> publică</w:t>
            </w:r>
            <w:r w:rsidR="00283384" w:rsidRPr="00A064DE">
              <w:rPr>
                <w:rFonts w:ascii="Times New Roman" w:eastAsia="Calibri" w:hAnsi="Times New Roman" w:cs="Times New Roman"/>
                <w:sz w:val="28"/>
                <w:szCs w:val="28"/>
                <w:lang w:val="ro-RO"/>
              </w:rPr>
              <w:t xml:space="preserve"> la nivel de UE</w:t>
            </w:r>
            <w:r w:rsidRPr="00A064DE">
              <w:rPr>
                <w:rFonts w:ascii="Times New Roman" w:eastAsia="Calibri" w:hAnsi="Times New Roman" w:cs="Times New Roman"/>
                <w:sz w:val="28"/>
                <w:szCs w:val="28"/>
                <w:lang w:val="ro-RO"/>
              </w:rPr>
              <w:t xml:space="preserve"> deschisă din 2017 confirmă percepția că </w:t>
            </w:r>
            <w:r w:rsidR="0031678B" w:rsidRPr="00A064DE">
              <w:rPr>
                <w:rFonts w:ascii="Times New Roman" w:eastAsia="Calibri" w:hAnsi="Times New Roman" w:cs="Times New Roman"/>
                <w:sz w:val="28"/>
                <w:szCs w:val="28"/>
                <w:lang w:val="ro-RO"/>
              </w:rPr>
              <w:t>PCN</w:t>
            </w:r>
            <w:r w:rsidRPr="00A064DE">
              <w:rPr>
                <w:rFonts w:ascii="Times New Roman" w:eastAsia="Calibri" w:hAnsi="Times New Roman" w:cs="Times New Roman"/>
                <w:sz w:val="28"/>
                <w:szCs w:val="28"/>
                <w:lang w:val="ro-RO"/>
              </w:rPr>
              <w:t xml:space="preserve">-urile reprezintă o problemă </w:t>
            </w:r>
            <w:r w:rsidR="00924F6B" w:rsidRPr="00A064DE">
              <w:rPr>
                <w:rFonts w:ascii="Times New Roman" w:eastAsia="Calibri" w:hAnsi="Times New Roman" w:cs="Times New Roman"/>
                <w:sz w:val="28"/>
                <w:szCs w:val="28"/>
                <w:lang w:val="ro-RO"/>
              </w:rPr>
              <w:t xml:space="preserve">în </w:t>
            </w:r>
            <w:r w:rsidRPr="00A064DE">
              <w:rPr>
                <w:rFonts w:ascii="Times New Roman" w:eastAsia="Calibri" w:hAnsi="Times New Roman" w:cs="Times New Roman"/>
                <w:sz w:val="28"/>
                <w:szCs w:val="28"/>
                <w:lang w:val="ro-RO"/>
              </w:rPr>
              <w:t>lanțul de aprovizionare</w:t>
            </w:r>
            <w:r w:rsidR="00283384" w:rsidRPr="00A064DE">
              <w:rPr>
                <w:rFonts w:ascii="Times New Roman" w:eastAsia="Calibri" w:hAnsi="Times New Roman" w:cs="Times New Roman"/>
                <w:sz w:val="28"/>
                <w:szCs w:val="28"/>
                <w:lang w:val="ro-RO"/>
              </w:rPr>
              <w:t xml:space="preserve"> cu alimente</w:t>
            </w:r>
            <w:r w:rsidRPr="00A064DE">
              <w:rPr>
                <w:rFonts w:ascii="Times New Roman" w:eastAsia="Calibri" w:hAnsi="Times New Roman" w:cs="Times New Roman"/>
                <w:sz w:val="28"/>
                <w:szCs w:val="28"/>
                <w:lang w:val="ro-RO"/>
              </w:rPr>
              <w:t>: 90% dintre respondenți au fost de acord sau parțial de acord că există astfel de practici.</w:t>
            </w:r>
            <w:r w:rsidR="00283384" w:rsidRPr="00A064DE">
              <w:rPr>
                <w:rFonts w:ascii="Times New Roman" w:eastAsia="Calibri" w:hAnsi="Times New Roman" w:cs="Times New Roman"/>
                <w:sz w:val="28"/>
                <w:szCs w:val="28"/>
                <w:lang w:val="ro-RO"/>
              </w:rPr>
              <w:t xml:space="preserve"> </w:t>
            </w:r>
            <w:r w:rsidRPr="00A064DE">
              <w:rPr>
                <w:rFonts w:ascii="Times New Roman" w:eastAsia="Calibri" w:hAnsi="Times New Roman" w:cs="Times New Roman"/>
                <w:sz w:val="28"/>
                <w:szCs w:val="28"/>
                <w:lang w:val="ro-RO"/>
              </w:rPr>
              <w:t xml:space="preserve">Ratele de confirmare </w:t>
            </w:r>
            <w:r w:rsidR="00283384" w:rsidRPr="00A064DE">
              <w:rPr>
                <w:rFonts w:ascii="Times New Roman" w:eastAsia="Calibri" w:hAnsi="Times New Roman" w:cs="Times New Roman"/>
                <w:sz w:val="28"/>
                <w:szCs w:val="28"/>
                <w:lang w:val="ro-RO"/>
              </w:rPr>
              <w:t xml:space="preserve">printre respondenți </w:t>
            </w:r>
            <w:r w:rsidRPr="00A064DE">
              <w:rPr>
                <w:rFonts w:ascii="Times New Roman" w:eastAsia="Calibri" w:hAnsi="Times New Roman" w:cs="Times New Roman"/>
                <w:sz w:val="28"/>
                <w:szCs w:val="28"/>
                <w:lang w:val="ro-RO"/>
              </w:rPr>
              <w:t>au variat între 80% pentru organizațiile comerciale și 98% pentru societatea civilă</w:t>
            </w:r>
            <w:r w:rsidR="00283384" w:rsidRPr="00A064DE">
              <w:rPr>
                <w:rFonts w:ascii="Times New Roman" w:eastAsia="Calibri" w:hAnsi="Times New Roman" w:cs="Times New Roman"/>
                <w:sz w:val="28"/>
                <w:szCs w:val="28"/>
                <w:lang w:val="ro-RO"/>
              </w:rPr>
              <w:t>,</w:t>
            </w:r>
            <w:r w:rsidRPr="00A064DE">
              <w:rPr>
                <w:rFonts w:ascii="Times New Roman" w:eastAsia="Calibri" w:hAnsi="Times New Roman" w:cs="Times New Roman"/>
                <w:sz w:val="28"/>
                <w:szCs w:val="28"/>
                <w:lang w:val="ro-RO"/>
              </w:rPr>
              <w:t xml:space="preserve"> 93% pentru organizațiile din sectorul agricol și 86% pentru organizațiile din sectorul agroalimentar. Un studiu din 2016 a concluzionat, de asemenea, că </w:t>
            </w:r>
            <w:r w:rsidR="0031678B" w:rsidRPr="00A064DE">
              <w:rPr>
                <w:rFonts w:ascii="Times New Roman" w:eastAsia="Calibri" w:hAnsi="Times New Roman" w:cs="Times New Roman"/>
                <w:sz w:val="28"/>
                <w:szCs w:val="28"/>
                <w:lang w:val="ro-RO"/>
              </w:rPr>
              <w:t>PCN</w:t>
            </w:r>
            <w:r w:rsidRPr="00A064DE">
              <w:rPr>
                <w:rFonts w:ascii="Times New Roman" w:eastAsia="Calibri" w:hAnsi="Times New Roman" w:cs="Times New Roman"/>
                <w:sz w:val="28"/>
                <w:szCs w:val="28"/>
                <w:lang w:val="ro-RO"/>
              </w:rPr>
              <w:t xml:space="preserve"> au avut loc în toate statele membre</w:t>
            </w:r>
            <w:r w:rsidR="00283384" w:rsidRPr="00A064DE">
              <w:rPr>
                <w:rFonts w:ascii="Times New Roman" w:eastAsia="Calibri" w:hAnsi="Times New Roman" w:cs="Times New Roman"/>
                <w:sz w:val="28"/>
                <w:szCs w:val="28"/>
                <w:lang w:val="ro-RO"/>
              </w:rPr>
              <w:t xml:space="preserve"> UE</w:t>
            </w:r>
            <w:r w:rsidRPr="00A064DE">
              <w:rPr>
                <w:rFonts w:ascii="Times New Roman" w:eastAsia="Calibri" w:hAnsi="Times New Roman" w:cs="Times New Roman"/>
                <w:sz w:val="28"/>
                <w:szCs w:val="28"/>
                <w:lang w:val="ro-RO"/>
              </w:rPr>
              <w:t xml:space="preserve"> și la toate etapele lanțului de aprovizionare cu alimente și că au fost percepute ca fiind serioase</w:t>
            </w:r>
            <w:r w:rsidR="00924F6B" w:rsidRPr="00A064DE">
              <w:rPr>
                <w:rFonts w:ascii="Times New Roman" w:eastAsia="Calibri" w:hAnsi="Times New Roman" w:cs="Times New Roman"/>
                <w:sz w:val="28"/>
                <w:szCs w:val="28"/>
                <w:lang w:val="ro-RO"/>
              </w:rPr>
              <w:t>,</w:t>
            </w:r>
            <w:r w:rsidRPr="00A064DE">
              <w:rPr>
                <w:rFonts w:ascii="Times New Roman" w:eastAsia="Calibri" w:hAnsi="Times New Roman" w:cs="Times New Roman"/>
                <w:sz w:val="28"/>
                <w:szCs w:val="28"/>
                <w:lang w:val="ro-RO"/>
              </w:rPr>
              <w:t xml:space="preserve"> de majoritatea părțil</w:t>
            </w:r>
            <w:r w:rsidR="00283384" w:rsidRPr="00A064DE">
              <w:rPr>
                <w:rFonts w:ascii="Times New Roman" w:eastAsia="Calibri" w:hAnsi="Times New Roman" w:cs="Times New Roman"/>
                <w:sz w:val="28"/>
                <w:szCs w:val="28"/>
                <w:lang w:val="ro-RO"/>
              </w:rPr>
              <w:t>or</w:t>
            </w:r>
            <w:r w:rsidRPr="00A064DE">
              <w:rPr>
                <w:rFonts w:ascii="Times New Roman" w:eastAsia="Calibri" w:hAnsi="Times New Roman" w:cs="Times New Roman"/>
                <w:sz w:val="28"/>
                <w:szCs w:val="28"/>
                <w:lang w:val="ro-RO"/>
              </w:rPr>
              <w:t xml:space="preserve"> interesate. </w:t>
            </w:r>
          </w:p>
          <w:p w14:paraId="69E8796D" w14:textId="77777777" w:rsidR="002E1D63" w:rsidRPr="00A064DE" w:rsidRDefault="002E1D63" w:rsidP="00886C61">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94% dintre fermieri și 95% dintre cooperativele agroalimentare raportează că au fost expuși la cel puțin o PCN conform unui sondaj realizat de </w:t>
            </w:r>
            <w:proofErr w:type="spellStart"/>
            <w:r w:rsidRPr="00A064DE">
              <w:rPr>
                <w:rFonts w:ascii="Times New Roman" w:eastAsia="Calibri" w:hAnsi="Times New Roman" w:cs="Times New Roman"/>
                <w:sz w:val="28"/>
                <w:szCs w:val="28"/>
                <w:lang w:val="ro-RO"/>
              </w:rPr>
              <w:t>Dedicated</w:t>
            </w:r>
            <w:proofErr w:type="spellEnd"/>
            <w:r w:rsidRPr="00A064DE">
              <w:rPr>
                <w:rFonts w:ascii="Times New Roman" w:eastAsia="Calibri" w:hAnsi="Times New Roman" w:cs="Times New Roman"/>
                <w:sz w:val="28"/>
                <w:szCs w:val="28"/>
                <w:lang w:val="ro-RO"/>
              </w:rPr>
              <w:t xml:space="preserve"> </w:t>
            </w:r>
            <w:proofErr w:type="spellStart"/>
            <w:r w:rsidRPr="00A064DE">
              <w:rPr>
                <w:rFonts w:ascii="Times New Roman" w:eastAsia="Calibri" w:hAnsi="Times New Roman" w:cs="Times New Roman"/>
                <w:sz w:val="28"/>
                <w:szCs w:val="28"/>
                <w:lang w:val="ro-RO"/>
              </w:rPr>
              <w:t>Research</w:t>
            </w:r>
            <w:proofErr w:type="spellEnd"/>
            <w:r w:rsidRPr="00A064DE">
              <w:rPr>
                <w:rFonts w:ascii="Times New Roman" w:eastAsia="Calibri" w:hAnsi="Times New Roman" w:cs="Times New Roman"/>
                <w:sz w:val="28"/>
                <w:szCs w:val="28"/>
                <w:lang w:val="ro-RO"/>
              </w:rPr>
              <w:t xml:space="preserve"> în 2013. Un alt sondaj realizat de </w:t>
            </w:r>
            <w:proofErr w:type="spellStart"/>
            <w:r w:rsidRPr="00A064DE">
              <w:rPr>
                <w:rFonts w:ascii="Times New Roman" w:eastAsia="Calibri" w:hAnsi="Times New Roman" w:cs="Times New Roman"/>
                <w:sz w:val="28"/>
                <w:szCs w:val="28"/>
                <w:lang w:val="ro-RO"/>
              </w:rPr>
              <w:t>Dedicated</w:t>
            </w:r>
            <w:proofErr w:type="spellEnd"/>
            <w:r w:rsidRPr="00A064DE">
              <w:rPr>
                <w:rFonts w:ascii="Times New Roman" w:eastAsia="Calibri" w:hAnsi="Times New Roman" w:cs="Times New Roman"/>
                <w:sz w:val="28"/>
                <w:szCs w:val="28"/>
                <w:lang w:val="ro-RO"/>
              </w:rPr>
              <w:t xml:space="preserve"> </w:t>
            </w:r>
            <w:proofErr w:type="spellStart"/>
            <w:r w:rsidRPr="00A064DE">
              <w:rPr>
                <w:rFonts w:ascii="Times New Roman" w:eastAsia="Calibri" w:hAnsi="Times New Roman" w:cs="Times New Roman"/>
                <w:sz w:val="28"/>
                <w:szCs w:val="28"/>
                <w:lang w:val="ro-RO"/>
              </w:rPr>
              <w:t>Research</w:t>
            </w:r>
            <w:proofErr w:type="spellEnd"/>
            <w:r w:rsidRPr="00A064DE">
              <w:rPr>
                <w:rFonts w:ascii="Times New Roman" w:eastAsia="Calibri" w:hAnsi="Times New Roman" w:cs="Times New Roman"/>
                <w:sz w:val="28"/>
                <w:szCs w:val="28"/>
                <w:lang w:val="ro-RO"/>
              </w:rPr>
              <w:t xml:space="preserve"> în 2011 a avut un rezultat similar, 96% dintre respondenți (producători de produse alimentare) au raportat că au făcut obiectul a cel puțin o PCN. Excepția cu privire la întrebarea despre apariția PCN-urilor o reprezintă comercianții cu amănuntul, în cadrul consultării publice deschise, doar 12% dintre acestea au fost de acord sau parțial de acord că PCN-urile există în lanțul alimentar.</w:t>
            </w:r>
          </w:p>
          <w:p w14:paraId="16873D17" w14:textId="77777777" w:rsidR="00886C61" w:rsidRPr="00A064DE" w:rsidRDefault="002E1D63" w:rsidP="00F955C0">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Este important de menționat că, PCN-urile se manifestă nu numai sub forma unor clauze contractuale abuzive, cum ar fi, de exemplu, clauze contractuale specifice, ci apar și „comportamental” după încheierea contractelor. Un sondaj efectuat în 2016 asupra producătorilor de lapte în patru state membre (Germania, Franța, Spania, Polonia) a indicat că acestea sunt probabil să apară înainte, în timpul și după faza contractuală (respecti</w:t>
            </w:r>
            <w:r w:rsidR="00A533D4" w:rsidRPr="00A064DE">
              <w:rPr>
                <w:rFonts w:ascii="Times New Roman" w:eastAsia="Calibri" w:hAnsi="Times New Roman" w:cs="Times New Roman"/>
                <w:sz w:val="28"/>
                <w:szCs w:val="28"/>
                <w:lang w:val="ro-RO"/>
              </w:rPr>
              <w:t>v 25 %, 87 % și 4 % din cazuri)</w:t>
            </w:r>
            <w:r w:rsidRPr="00A064DE">
              <w:rPr>
                <w:rFonts w:ascii="Times New Roman" w:eastAsia="Calibri" w:hAnsi="Times New Roman" w:cs="Times New Roman"/>
                <w:sz w:val="28"/>
                <w:szCs w:val="28"/>
                <w:lang w:val="ro-RO"/>
              </w:rPr>
              <w:t>.</w:t>
            </w:r>
            <w:r w:rsidR="00A533D4" w:rsidRPr="00A064DE">
              <w:rPr>
                <w:rFonts w:ascii="Times New Roman" w:eastAsia="Calibri" w:hAnsi="Times New Roman" w:cs="Times New Roman"/>
                <w:sz w:val="28"/>
                <w:szCs w:val="28"/>
                <w:lang w:val="ro-RO"/>
              </w:rPr>
              <w:t xml:space="preserve"> Asemenea practici au fost comunicate și de către producătorii autohtoni.</w:t>
            </w:r>
          </w:p>
          <w:p w14:paraId="60AB847F" w14:textId="4E171BF3" w:rsidR="00A533D4" w:rsidRPr="00A064DE" w:rsidRDefault="00593B66" w:rsidP="00593B66">
            <w:pPr>
              <w:tabs>
                <w:tab w:val="left" w:pos="1010"/>
                <w:tab w:val="left" w:pos="53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Producătorii agricoli, inclusiv asociațiile acestora, pot fi victime directe ale PCN. Dar PCN-urile afectează producătorii chiar dacă nu sunt direct expuși la acestea, în virtutea presiunii de a transfera costurile induse de PCN până când se ajunge la partea cea mai slabă. Acest lucru este congruent cu privire la lanțul de aprovizionare cu alimente ca un continuum de piețe interconectate pe verticală. Efectul negativ al unei PCN care are loc în aval, de exemplu între un proces</w:t>
            </w:r>
            <w:r w:rsidR="00DE2385" w:rsidRPr="00A064DE">
              <w:rPr>
                <w:rFonts w:ascii="Times New Roman" w:eastAsia="Calibri" w:hAnsi="Times New Roman" w:cs="Times New Roman"/>
                <w:sz w:val="28"/>
                <w:szCs w:val="28"/>
                <w:lang w:val="ro-RO"/>
              </w:rPr>
              <w:t>ator</w:t>
            </w:r>
            <w:r w:rsidRPr="00A064DE">
              <w:rPr>
                <w:rFonts w:ascii="Times New Roman" w:eastAsia="Calibri" w:hAnsi="Times New Roman" w:cs="Times New Roman"/>
                <w:sz w:val="28"/>
                <w:szCs w:val="28"/>
                <w:lang w:val="ro-RO"/>
              </w:rPr>
              <w:t xml:space="preserve"> și un comerciant cu amănuntul, deseori se revarsă în lanț pentru a ajunge în cele din urmă la fermieri</w:t>
            </w:r>
            <w:r w:rsidR="00DE2385" w:rsidRPr="00A064DE">
              <w:rPr>
                <w:rFonts w:ascii="Times New Roman" w:eastAsia="Calibri" w:hAnsi="Times New Roman" w:cs="Times New Roman"/>
                <w:sz w:val="28"/>
                <w:szCs w:val="28"/>
                <w:lang w:val="ro-RO"/>
              </w:rPr>
              <w:t xml:space="preserve"> - c</w:t>
            </w:r>
            <w:r w:rsidRPr="00A064DE">
              <w:rPr>
                <w:rFonts w:ascii="Times New Roman" w:eastAsia="Calibri" w:hAnsi="Times New Roman" w:cs="Times New Roman"/>
                <w:sz w:val="28"/>
                <w:szCs w:val="28"/>
                <w:lang w:val="ro-RO"/>
              </w:rPr>
              <w:t xml:space="preserve">onsiderente din care reiese necesitatea aplicării PCN în raporturile dintre </w:t>
            </w:r>
            <w:r w:rsidR="00EC2D49" w:rsidRPr="00A064DE">
              <w:rPr>
                <w:rFonts w:ascii="Times New Roman" w:eastAsia="Calibri" w:hAnsi="Times New Roman" w:cs="Times New Roman"/>
                <w:sz w:val="28"/>
                <w:szCs w:val="28"/>
                <w:lang w:val="ro-RO"/>
              </w:rPr>
              <w:t xml:space="preserve">oricare furnizor și cumpărător. Acesta este unul din elementele de noutate cheie. Legislația națională </w:t>
            </w:r>
            <w:r w:rsidR="00DE2385" w:rsidRPr="00A064DE">
              <w:rPr>
                <w:rFonts w:ascii="Times New Roman" w:eastAsia="Calibri" w:hAnsi="Times New Roman" w:cs="Times New Roman"/>
                <w:sz w:val="28"/>
                <w:szCs w:val="28"/>
                <w:lang w:val="ro-RO"/>
              </w:rPr>
              <w:t>operează</w:t>
            </w:r>
            <w:r w:rsidR="00EC2D49" w:rsidRPr="00A064DE">
              <w:rPr>
                <w:rFonts w:ascii="Times New Roman" w:eastAsia="Calibri" w:hAnsi="Times New Roman" w:cs="Times New Roman"/>
                <w:sz w:val="28"/>
                <w:szCs w:val="28"/>
                <w:lang w:val="ro-RO"/>
              </w:rPr>
              <w:t xml:space="preserve"> cu noțiunile de cumpărător și producător/procesator. Urmare transpunerii Directivei, spectrul de subiecți pentru care se va oferi protecția contra PCN se va lărgi.</w:t>
            </w:r>
          </w:p>
          <w:p w14:paraId="36C6ECE9" w14:textId="3A3B91CC" w:rsidR="002E1D63" w:rsidRPr="00A064DE" w:rsidRDefault="002E1D63" w:rsidP="002E1D63">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lastRenderedPageBreak/>
              <w:t xml:space="preserve">Deși nu există studii concludente privind incidența pe subiecți, și volumul PCN în Republica Moldova, practica comunicării (ședințe, discuții publice, petiții) cu producătorii autohtoni </w:t>
            </w:r>
            <w:proofErr w:type="spellStart"/>
            <w:r w:rsidRPr="00A064DE">
              <w:rPr>
                <w:rFonts w:ascii="Times New Roman" w:eastAsia="Calibri" w:hAnsi="Times New Roman" w:cs="Times New Roman"/>
                <w:sz w:val="28"/>
                <w:szCs w:val="28"/>
                <w:lang w:val="ro-RO"/>
              </w:rPr>
              <w:t>începînd</w:t>
            </w:r>
            <w:proofErr w:type="spellEnd"/>
            <w:r w:rsidRPr="00A064DE">
              <w:rPr>
                <w:rFonts w:ascii="Times New Roman" w:eastAsia="Calibri" w:hAnsi="Times New Roman" w:cs="Times New Roman"/>
                <w:sz w:val="28"/>
                <w:szCs w:val="28"/>
                <w:lang w:val="ro-RO"/>
              </w:rPr>
              <w:t xml:space="preserve"> cu aproximativ </w:t>
            </w:r>
            <w:r w:rsidR="00DE2385" w:rsidRPr="00A064DE">
              <w:rPr>
                <w:rFonts w:ascii="Times New Roman" w:eastAsia="Calibri" w:hAnsi="Times New Roman" w:cs="Times New Roman"/>
                <w:sz w:val="28"/>
                <w:szCs w:val="28"/>
                <w:lang w:val="ro-RO"/>
              </w:rPr>
              <w:t xml:space="preserve">anul </w:t>
            </w:r>
            <w:r w:rsidRPr="00A064DE">
              <w:rPr>
                <w:rFonts w:ascii="Times New Roman" w:eastAsia="Calibri" w:hAnsi="Times New Roman" w:cs="Times New Roman"/>
                <w:sz w:val="28"/>
                <w:szCs w:val="28"/>
                <w:lang w:val="ro-RO"/>
              </w:rPr>
              <w:t xml:space="preserve">2011 denotă existența problemei, fiind invocate în special solicitarea de către comercianți a reducerilor pentru diverse acțiuni de logistică, publicitate, listare pe raft etc., care depășesc posibilitățile furnizorilor și au un impact negativ asupra veniturilor acestora, </w:t>
            </w:r>
            <w:proofErr w:type="spellStart"/>
            <w:r w:rsidRPr="00A064DE">
              <w:rPr>
                <w:rFonts w:ascii="Times New Roman" w:eastAsia="Calibri" w:hAnsi="Times New Roman" w:cs="Times New Roman"/>
                <w:sz w:val="28"/>
                <w:szCs w:val="28"/>
                <w:lang w:val="ro-RO"/>
              </w:rPr>
              <w:t>ducînd</w:t>
            </w:r>
            <w:proofErr w:type="spellEnd"/>
            <w:r w:rsidRPr="00A064DE">
              <w:rPr>
                <w:rFonts w:ascii="Times New Roman" w:eastAsia="Calibri" w:hAnsi="Times New Roman" w:cs="Times New Roman"/>
                <w:sz w:val="28"/>
                <w:szCs w:val="28"/>
                <w:lang w:val="ro-RO"/>
              </w:rPr>
              <w:t xml:space="preserve"> la dezinteresarea în practicarea ulterioară a afacerii. În special sunt influențați negativ producătorii de produse agricole și alimentare perisabile și în special acele din categoria ÎMM.</w:t>
            </w:r>
          </w:p>
          <w:p w14:paraId="087B8A01" w14:textId="6D9E250F" w:rsidR="00593B66" w:rsidRPr="00A064DE" w:rsidRDefault="00593B66" w:rsidP="002E1D63">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În legislația națională se regăsesc prevederi care sunt comparabile PCN, menite să asigure o protecția a furnizorilor în coraport cu comercianții, fiind reflectate în art. 21</w:t>
            </w:r>
            <w:r w:rsidRPr="00A064DE">
              <w:rPr>
                <w:rFonts w:ascii="Times New Roman" w:eastAsia="Calibri" w:hAnsi="Times New Roman" w:cs="Times New Roman"/>
                <w:sz w:val="28"/>
                <w:szCs w:val="28"/>
                <w:vertAlign w:val="superscript"/>
                <w:lang w:val="ro-RO"/>
              </w:rPr>
              <w:t>1</w:t>
            </w:r>
            <w:r w:rsidRPr="00A064DE">
              <w:rPr>
                <w:rFonts w:ascii="Times New Roman" w:eastAsia="Calibri" w:hAnsi="Times New Roman" w:cs="Times New Roman"/>
                <w:sz w:val="28"/>
                <w:szCs w:val="28"/>
                <w:lang w:val="ro-RO"/>
              </w:rPr>
              <w:t xml:space="preserve"> al Legii nr. 321/2010 cu privire la comerțul interior. </w:t>
            </w:r>
          </w:p>
          <w:p w14:paraId="67009EAB" w14:textId="251A436D" w:rsidR="00046153" w:rsidRPr="00A064DE" w:rsidRDefault="00046153" w:rsidP="002E1D63">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Transpunerea Directivei urmează să atingă următoarele finalități:</w:t>
            </w:r>
          </w:p>
          <w:p w14:paraId="7B99731A" w14:textId="58C2BA61" w:rsidR="00046153" w:rsidRPr="00A064DE" w:rsidRDefault="00046153" w:rsidP="002E1D63">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1. alinierea legislației naționale la reglementările UE;</w:t>
            </w:r>
          </w:p>
          <w:p w14:paraId="41750C3B" w14:textId="74FD0B65" w:rsidR="00046153" w:rsidRPr="00A064DE" w:rsidRDefault="00046153" w:rsidP="002E1D63">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2. să sporească puterea de negociere a furnizorilor în raport cu cea a cumpărătorilor, inclusiv a ÎMM și nu doar în fața comercianților dar și în fața procesatorilor/producătorilor, </w:t>
            </w:r>
            <w:proofErr w:type="spellStart"/>
            <w:r w:rsidRPr="00A064DE">
              <w:rPr>
                <w:rFonts w:ascii="Times New Roman" w:eastAsia="Calibri" w:hAnsi="Times New Roman" w:cs="Times New Roman"/>
                <w:sz w:val="28"/>
                <w:szCs w:val="28"/>
                <w:lang w:val="ro-RO"/>
              </w:rPr>
              <w:t>înglobînd</w:t>
            </w:r>
            <w:proofErr w:type="spellEnd"/>
            <w:r w:rsidRPr="00A064DE">
              <w:rPr>
                <w:rFonts w:ascii="Times New Roman" w:eastAsia="Calibri" w:hAnsi="Times New Roman" w:cs="Times New Roman"/>
                <w:sz w:val="28"/>
                <w:szCs w:val="28"/>
                <w:lang w:val="ro-RO"/>
              </w:rPr>
              <w:t xml:space="preserve"> tot lanțul de la </w:t>
            </w:r>
            <w:r w:rsidR="00DE0ABB" w:rsidRPr="00A064DE">
              <w:rPr>
                <w:rFonts w:ascii="Times New Roman" w:eastAsia="Calibri" w:hAnsi="Times New Roman" w:cs="Times New Roman"/>
                <w:sz w:val="28"/>
                <w:szCs w:val="28"/>
                <w:lang w:val="ro-RO"/>
              </w:rPr>
              <w:t xml:space="preserve">fermier </w:t>
            </w:r>
            <w:proofErr w:type="spellStart"/>
            <w:r w:rsidR="00DE0ABB" w:rsidRPr="00A064DE">
              <w:rPr>
                <w:rFonts w:ascii="Times New Roman" w:eastAsia="Calibri" w:hAnsi="Times New Roman" w:cs="Times New Roman"/>
                <w:sz w:val="28"/>
                <w:szCs w:val="28"/>
                <w:lang w:val="ro-RO"/>
              </w:rPr>
              <w:t>pînă</w:t>
            </w:r>
            <w:proofErr w:type="spellEnd"/>
            <w:r w:rsidR="00DE0ABB" w:rsidRPr="00A064DE">
              <w:rPr>
                <w:rFonts w:ascii="Times New Roman" w:eastAsia="Calibri" w:hAnsi="Times New Roman" w:cs="Times New Roman"/>
                <w:sz w:val="28"/>
                <w:szCs w:val="28"/>
                <w:lang w:val="ro-RO"/>
              </w:rPr>
              <w:t xml:space="preserve"> la masa consumatorului</w:t>
            </w:r>
            <w:r w:rsidRPr="00A064DE">
              <w:rPr>
                <w:rFonts w:ascii="Times New Roman" w:eastAsia="Calibri" w:hAnsi="Times New Roman" w:cs="Times New Roman"/>
                <w:sz w:val="28"/>
                <w:szCs w:val="28"/>
                <w:lang w:val="ro-RO"/>
              </w:rPr>
              <w:t>;</w:t>
            </w:r>
          </w:p>
          <w:p w14:paraId="33ED11AA" w14:textId="5A1CE2B2" w:rsidR="00046153" w:rsidRPr="00A064DE" w:rsidRDefault="00046153" w:rsidP="002E1D63">
            <w:pPr>
              <w:tabs>
                <w:tab w:val="left" w:pos="1010"/>
              </w:tabs>
              <w:spacing w:after="0" w:line="240" w:lineRule="auto"/>
              <w:ind w:left="167" w:right="144" w:firstLine="426"/>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3. să asigure diversitatea prezenței pe raft a tuturor furnizorilor care dispun </w:t>
            </w:r>
            <w:r w:rsidR="00DE0ABB" w:rsidRPr="00A064DE">
              <w:rPr>
                <w:rFonts w:ascii="Times New Roman" w:eastAsia="Calibri" w:hAnsi="Times New Roman" w:cs="Times New Roman"/>
                <w:sz w:val="28"/>
                <w:szCs w:val="28"/>
                <w:lang w:val="ro-RO"/>
              </w:rPr>
              <w:t>de produse pe măsura să fie acceptabile pentru plasare pe raft în magazinele contemporane.</w:t>
            </w:r>
          </w:p>
          <w:p w14:paraId="0669F64C" w14:textId="77777777" w:rsidR="00EB1559" w:rsidRPr="00A064DE" w:rsidRDefault="00EB1559" w:rsidP="00F955C0">
            <w:pPr>
              <w:tabs>
                <w:tab w:val="left" w:pos="1010"/>
              </w:tabs>
              <w:spacing w:after="0" w:line="240" w:lineRule="auto"/>
              <w:ind w:left="167" w:right="144" w:firstLine="426"/>
              <w:jc w:val="both"/>
              <w:rPr>
                <w:rFonts w:ascii="Times New Roman" w:eastAsia="Times New Roman" w:hAnsi="Times New Roman" w:cs="Times New Roman"/>
                <w:color w:val="000000"/>
                <w:sz w:val="28"/>
                <w:szCs w:val="28"/>
                <w:lang w:val="ro-RO"/>
              </w:rPr>
            </w:pPr>
          </w:p>
        </w:tc>
      </w:tr>
      <w:tr w:rsidR="00EB1559" w:rsidRPr="00A064DE" w14:paraId="251028EC" w14:textId="77777777" w:rsidTr="00E102D2">
        <w:trPr>
          <w:trHeight w:val="45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60767C6"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lastRenderedPageBreak/>
              <w:t>3.</w:t>
            </w:r>
            <w:r w:rsidRPr="00A064DE">
              <w:rPr>
                <w:rFonts w:ascii="Times New Roman" w:eastAsia="Calibri" w:hAnsi="Times New Roman" w:cs="Times New Roman"/>
                <w:b/>
                <w:sz w:val="28"/>
                <w:szCs w:val="28"/>
                <w:lang w:val="ro-RO" w:eastAsia="ro-RO"/>
              </w:rPr>
              <w:t xml:space="preserve"> Descrierea gradului de compatibilitate pentru proiectele care au ca scop armonizarea </w:t>
            </w:r>
            <w:proofErr w:type="spellStart"/>
            <w:r w:rsidRPr="00A064DE">
              <w:rPr>
                <w:rFonts w:ascii="Times New Roman" w:eastAsia="Calibri" w:hAnsi="Times New Roman" w:cs="Times New Roman"/>
                <w:b/>
                <w:sz w:val="28"/>
                <w:szCs w:val="28"/>
                <w:lang w:val="ro-RO" w:eastAsia="ro-RO"/>
              </w:rPr>
              <w:t>legislaţiei</w:t>
            </w:r>
            <w:proofErr w:type="spellEnd"/>
            <w:r w:rsidRPr="00A064DE">
              <w:rPr>
                <w:rFonts w:ascii="Times New Roman" w:eastAsia="Calibri" w:hAnsi="Times New Roman" w:cs="Times New Roman"/>
                <w:b/>
                <w:sz w:val="28"/>
                <w:szCs w:val="28"/>
                <w:lang w:val="ro-RO" w:eastAsia="ro-RO"/>
              </w:rPr>
              <w:t xml:space="preserve"> </w:t>
            </w:r>
            <w:proofErr w:type="spellStart"/>
            <w:r w:rsidRPr="00A064DE">
              <w:rPr>
                <w:rFonts w:ascii="Times New Roman" w:eastAsia="Calibri" w:hAnsi="Times New Roman" w:cs="Times New Roman"/>
                <w:b/>
                <w:sz w:val="28"/>
                <w:szCs w:val="28"/>
                <w:lang w:val="ro-RO" w:eastAsia="ro-RO"/>
              </w:rPr>
              <w:t>naţionale</w:t>
            </w:r>
            <w:proofErr w:type="spellEnd"/>
            <w:r w:rsidRPr="00A064DE">
              <w:rPr>
                <w:rFonts w:ascii="Times New Roman" w:eastAsia="Calibri" w:hAnsi="Times New Roman" w:cs="Times New Roman"/>
                <w:b/>
                <w:sz w:val="28"/>
                <w:szCs w:val="28"/>
                <w:lang w:val="ro-RO" w:eastAsia="ro-RO"/>
              </w:rPr>
              <w:t xml:space="preserve"> cu </w:t>
            </w:r>
            <w:proofErr w:type="spellStart"/>
            <w:r w:rsidRPr="00A064DE">
              <w:rPr>
                <w:rFonts w:ascii="Times New Roman" w:eastAsia="Calibri" w:hAnsi="Times New Roman" w:cs="Times New Roman"/>
                <w:b/>
                <w:sz w:val="28"/>
                <w:szCs w:val="28"/>
                <w:lang w:val="ro-RO" w:eastAsia="ro-RO"/>
              </w:rPr>
              <w:t>legislaţia</w:t>
            </w:r>
            <w:proofErr w:type="spellEnd"/>
            <w:r w:rsidRPr="00A064DE">
              <w:rPr>
                <w:rFonts w:ascii="Times New Roman" w:eastAsia="Calibri" w:hAnsi="Times New Roman" w:cs="Times New Roman"/>
                <w:b/>
                <w:sz w:val="28"/>
                <w:szCs w:val="28"/>
                <w:lang w:val="ro-RO" w:eastAsia="ro-RO"/>
              </w:rPr>
              <w:t xml:space="preserve"> Uniunii Europene</w:t>
            </w:r>
          </w:p>
          <w:p w14:paraId="7524EFCB"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p>
        </w:tc>
      </w:tr>
      <w:tr w:rsidR="00EB1559" w:rsidRPr="00A064DE" w14:paraId="726071E0" w14:textId="77777777" w:rsidTr="00E102D2">
        <w:trPr>
          <w:trHeight w:val="454"/>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EA80B" w14:textId="77777777"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eastAsia="ro-RO"/>
              </w:rPr>
              <w:t xml:space="preserve">Proiectul de lege conține norme privind armonizarea legislației naționale cu </w:t>
            </w:r>
            <w:r w:rsidR="00F955C0" w:rsidRPr="00A064DE">
              <w:rPr>
                <w:rFonts w:ascii="Times New Roman" w:eastAsia="Calibri" w:hAnsi="Times New Roman" w:cs="Times New Roman"/>
                <w:sz w:val="28"/>
                <w:szCs w:val="28"/>
                <w:lang w:val="ro-RO" w:eastAsia="ro-RO"/>
              </w:rPr>
              <w:t>legislația</w:t>
            </w:r>
            <w:r w:rsidRPr="00A064DE">
              <w:rPr>
                <w:rFonts w:ascii="Times New Roman" w:eastAsia="Calibri" w:hAnsi="Times New Roman" w:cs="Times New Roman"/>
                <w:sz w:val="28"/>
                <w:szCs w:val="28"/>
                <w:lang w:val="ro-RO" w:eastAsia="ro-RO"/>
              </w:rPr>
              <w:t xml:space="preserve"> Uniunii Europene.</w:t>
            </w:r>
          </w:p>
          <w:p w14:paraId="7F81A4AE" w14:textId="2131AB38" w:rsidR="00C752B3" w:rsidRPr="00A064DE" w:rsidRDefault="00C752B3" w:rsidP="00E102D2">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eastAsia="ro-RO"/>
              </w:rPr>
              <w:t>Tabelul comparativ va fi elaborat urmare definitivării proiectului în baza discuțiilor publice.</w:t>
            </w:r>
          </w:p>
          <w:p w14:paraId="2B979CA0" w14:textId="7C9750C3" w:rsidR="00EB1559" w:rsidRPr="00A064DE" w:rsidRDefault="00DE0ABB" w:rsidP="00521B21">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eastAsia="ro-RO"/>
              </w:rPr>
              <w:t xml:space="preserve">Totodată menționăm că, </w:t>
            </w:r>
            <w:r w:rsidR="00F546B8" w:rsidRPr="00A064DE">
              <w:rPr>
                <w:rFonts w:ascii="Times New Roman" w:eastAsia="Calibri" w:hAnsi="Times New Roman" w:cs="Times New Roman"/>
                <w:sz w:val="28"/>
                <w:szCs w:val="28"/>
                <w:lang w:val="ro-RO" w:eastAsia="ro-RO"/>
              </w:rPr>
              <w:t xml:space="preserve">conform pct. 39) din preambulul la </w:t>
            </w:r>
            <w:r w:rsidRPr="00A064DE">
              <w:rPr>
                <w:rFonts w:ascii="Times New Roman" w:eastAsia="Calibri" w:hAnsi="Times New Roman" w:cs="Times New Roman"/>
                <w:sz w:val="28"/>
                <w:szCs w:val="28"/>
                <w:lang w:val="ro-RO" w:eastAsia="ro-RO"/>
              </w:rPr>
              <w:t>Directiv</w:t>
            </w:r>
            <w:r w:rsidR="00F546B8" w:rsidRPr="00A064DE">
              <w:rPr>
                <w:rFonts w:ascii="Times New Roman" w:eastAsia="Calibri" w:hAnsi="Times New Roman" w:cs="Times New Roman"/>
                <w:sz w:val="28"/>
                <w:szCs w:val="28"/>
                <w:lang w:val="ro-RO" w:eastAsia="ro-RO"/>
              </w:rPr>
              <w:t>ă”</w:t>
            </w:r>
            <w:r w:rsidR="00F546B8" w:rsidRPr="00A064DE">
              <w:rPr>
                <w:sz w:val="28"/>
                <w:szCs w:val="28"/>
              </w:rPr>
              <w:t xml:space="preserve"> </w:t>
            </w:r>
            <w:r w:rsidR="00F546B8" w:rsidRPr="00A064DE">
              <w:rPr>
                <w:rFonts w:ascii="Times New Roman" w:eastAsia="Calibri" w:hAnsi="Times New Roman" w:cs="Times New Roman"/>
                <w:i/>
                <w:iCs/>
                <w:sz w:val="28"/>
                <w:szCs w:val="28"/>
                <w:lang w:val="ro-RO" w:eastAsia="ro-RO"/>
              </w:rPr>
              <w:t xml:space="preserve">Statele membre ar trebui să aibă libertatea de a menține sau de a introduce pe teritoriile lor </w:t>
            </w:r>
            <w:r w:rsidR="00F546B8" w:rsidRPr="00A064DE">
              <w:rPr>
                <w:rFonts w:ascii="Times New Roman" w:eastAsia="Calibri" w:hAnsi="Times New Roman" w:cs="Times New Roman"/>
                <w:i/>
                <w:iCs/>
                <w:sz w:val="28"/>
                <w:szCs w:val="28"/>
                <w:u w:val="single"/>
                <w:lang w:val="ro-RO" w:eastAsia="ro-RO"/>
              </w:rPr>
              <w:t>reglementări naționale mai stricte</w:t>
            </w:r>
            <w:r w:rsidR="00F546B8" w:rsidRPr="00A064DE">
              <w:rPr>
                <w:rFonts w:ascii="Times New Roman" w:eastAsia="Calibri" w:hAnsi="Times New Roman" w:cs="Times New Roman"/>
                <w:i/>
                <w:iCs/>
                <w:sz w:val="28"/>
                <w:szCs w:val="28"/>
                <w:lang w:val="ro-RO" w:eastAsia="ro-RO"/>
              </w:rPr>
              <w:t xml:space="preserve"> care să prevadă un nivel mai ridicat de protecție</w:t>
            </w:r>
            <w:r w:rsidR="00F546B8" w:rsidRPr="00A064DE">
              <w:rPr>
                <w:rFonts w:ascii="Times New Roman" w:eastAsia="Calibri" w:hAnsi="Times New Roman" w:cs="Times New Roman"/>
                <w:sz w:val="28"/>
                <w:szCs w:val="28"/>
                <w:lang w:val="ro-RO" w:eastAsia="ro-RO"/>
              </w:rPr>
              <w:t xml:space="preserve"> </w:t>
            </w:r>
            <w:r w:rsidR="00F546B8" w:rsidRPr="00A064DE">
              <w:rPr>
                <w:rFonts w:ascii="Times New Roman" w:eastAsia="Calibri" w:hAnsi="Times New Roman" w:cs="Times New Roman"/>
                <w:i/>
                <w:iCs/>
                <w:sz w:val="28"/>
                <w:szCs w:val="28"/>
                <w:lang w:val="ro-RO" w:eastAsia="ro-RO"/>
              </w:rPr>
              <w:t>împotriva practicilor comerciale neloiale în relațiile dintre întreprinderi în cadrul lanțului de aprovizionare agricol și alimentar, cu condiția respectării dispozițiilor dreptului Uniunii aplicabile funcționării pieței interne și cu condiția proporționalității reglementărilor respective</w:t>
            </w:r>
            <w:r w:rsidR="00F546B8" w:rsidRPr="00A064DE">
              <w:rPr>
                <w:rFonts w:ascii="Times New Roman" w:eastAsia="Calibri" w:hAnsi="Times New Roman" w:cs="Times New Roman"/>
                <w:sz w:val="28"/>
                <w:szCs w:val="28"/>
                <w:lang w:val="ro-RO" w:eastAsia="ro-RO"/>
              </w:rPr>
              <w:t>.</w:t>
            </w:r>
            <w:r w:rsidR="00F546B8" w:rsidRPr="00A064DE">
              <w:rPr>
                <w:rFonts w:ascii="Times New Roman" w:eastAsia="Calibri" w:hAnsi="Times New Roman" w:cs="Times New Roman"/>
                <w:sz w:val="28"/>
                <w:szCs w:val="28"/>
                <w:lang w:val="ro-RO" w:eastAsia="ro-RO"/>
              </w:rPr>
              <w:t>”</w:t>
            </w:r>
            <w:r w:rsidR="00521B21" w:rsidRPr="00A064DE">
              <w:rPr>
                <w:rFonts w:ascii="Times New Roman" w:eastAsia="Calibri" w:hAnsi="Times New Roman" w:cs="Times New Roman"/>
                <w:sz w:val="28"/>
                <w:szCs w:val="28"/>
                <w:lang w:val="ro-RO" w:eastAsia="ro-RO"/>
              </w:rPr>
              <w:t>, iar conform pct. (40) ”</w:t>
            </w:r>
            <w:r w:rsidR="00521B21" w:rsidRPr="00A064DE">
              <w:rPr>
                <w:rFonts w:ascii="Times New Roman" w:eastAsia="Calibri" w:hAnsi="Times New Roman" w:cs="Times New Roman"/>
                <w:i/>
                <w:iCs/>
                <w:sz w:val="28"/>
                <w:szCs w:val="28"/>
                <w:lang w:val="ro-RO" w:eastAsia="ro-RO"/>
              </w:rPr>
              <w:t xml:space="preserve">Statele membre ar trebui, de asemenea, să poată menține sau </w:t>
            </w:r>
            <w:r w:rsidR="00521B21" w:rsidRPr="00A064DE">
              <w:rPr>
                <w:rFonts w:ascii="Times New Roman" w:eastAsia="Calibri" w:hAnsi="Times New Roman" w:cs="Times New Roman"/>
                <w:i/>
                <w:iCs/>
                <w:sz w:val="28"/>
                <w:szCs w:val="28"/>
                <w:u w:val="single"/>
                <w:lang w:val="ro-RO" w:eastAsia="ro-RO"/>
              </w:rPr>
              <w:t>introduce reglementări naționale menite să combată practicile comerciale neloiale care nu fac parte din domeniul de aplicare al prezentei directive</w:t>
            </w:r>
            <w:r w:rsidR="00521B21" w:rsidRPr="00A064DE">
              <w:rPr>
                <w:rFonts w:ascii="Times New Roman" w:eastAsia="Calibri" w:hAnsi="Times New Roman" w:cs="Times New Roman"/>
                <w:i/>
                <w:iCs/>
                <w:sz w:val="28"/>
                <w:szCs w:val="28"/>
                <w:lang w:val="ro-RO" w:eastAsia="ro-RO"/>
              </w:rPr>
              <w:t xml:space="preserve">, cu condiția respectării dispozițiilor dreptului Uniunii aplicabile funcționării pieței interne și cu condiția proporționalității reglementărilor respective. </w:t>
            </w:r>
            <w:r w:rsidR="00521B21" w:rsidRPr="00A064DE">
              <w:rPr>
                <w:rFonts w:ascii="Times New Roman" w:eastAsia="Calibri" w:hAnsi="Times New Roman" w:cs="Times New Roman"/>
                <w:i/>
                <w:iCs/>
                <w:sz w:val="28"/>
                <w:szCs w:val="28"/>
                <w:u w:val="single"/>
                <w:lang w:val="ro-RO" w:eastAsia="ro-RO"/>
              </w:rPr>
              <w:t xml:space="preserve">Astfel de reglementări naționale ar </w:t>
            </w:r>
            <w:r w:rsidR="00521B21" w:rsidRPr="00A064DE">
              <w:rPr>
                <w:rFonts w:ascii="Times New Roman" w:eastAsia="Calibri" w:hAnsi="Times New Roman" w:cs="Times New Roman"/>
                <w:i/>
                <w:iCs/>
                <w:sz w:val="28"/>
                <w:szCs w:val="28"/>
                <w:u w:val="single"/>
                <w:lang w:val="ro-RO" w:eastAsia="ro-RO"/>
              </w:rPr>
              <w:lastRenderedPageBreak/>
              <w:t>putea depăși domeniul de aplicare al prezentei directive</w:t>
            </w:r>
            <w:r w:rsidR="00521B21" w:rsidRPr="00A064DE">
              <w:rPr>
                <w:rFonts w:ascii="Times New Roman" w:eastAsia="Calibri" w:hAnsi="Times New Roman" w:cs="Times New Roman"/>
                <w:i/>
                <w:iCs/>
                <w:sz w:val="28"/>
                <w:szCs w:val="28"/>
                <w:lang w:val="ro-RO" w:eastAsia="ro-RO"/>
              </w:rPr>
              <w:t xml:space="preserve">, de exemplu în ceea ce privește dimensiunea cumpărătorilor și a furnizorilor, protecția cumpărătorilor, gama de produse și de servicii. Astfel de reglementări naționale </w:t>
            </w:r>
            <w:r w:rsidR="00521B21" w:rsidRPr="00A064DE">
              <w:rPr>
                <w:rFonts w:ascii="Times New Roman" w:eastAsia="Calibri" w:hAnsi="Times New Roman" w:cs="Times New Roman"/>
                <w:i/>
                <w:iCs/>
                <w:sz w:val="28"/>
                <w:szCs w:val="28"/>
                <w:u w:val="single"/>
                <w:lang w:val="ro-RO" w:eastAsia="ro-RO"/>
              </w:rPr>
              <w:t>ar putea, de asemenea, depăși numărul și tipul practicilor comerciale neloiale interzise</w:t>
            </w:r>
            <w:r w:rsidR="00521B21" w:rsidRPr="00A064DE">
              <w:rPr>
                <w:rFonts w:ascii="Times New Roman" w:eastAsia="Calibri" w:hAnsi="Times New Roman" w:cs="Times New Roman"/>
                <w:i/>
                <w:iCs/>
                <w:sz w:val="28"/>
                <w:szCs w:val="28"/>
                <w:lang w:val="ro-RO" w:eastAsia="ro-RO"/>
              </w:rPr>
              <w:t xml:space="preserve"> enumerate în directivă</w:t>
            </w:r>
            <w:r w:rsidR="00521B21" w:rsidRPr="00A064DE">
              <w:rPr>
                <w:rFonts w:ascii="Times New Roman" w:eastAsia="Calibri" w:hAnsi="Times New Roman" w:cs="Times New Roman"/>
                <w:sz w:val="28"/>
                <w:szCs w:val="28"/>
                <w:lang w:val="ro-RO" w:eastAsia="ro-RO"/>
              </w:rPr>
              <w:t>.</w:t>
            </w:r>
            <w:r w:rsidR="00521B21" w:rsidRPr="00A064DE">
              <w:rPr>
                <w:rFonts w:ascii="Times New Roman" w:eastAsia="Calibri" w:hAnsi="Times New Roman" w:cs="Times New Roman"/>
                <w:sz w:val="28"/>
                <w:szCs w:val="28"/>
                <w:lang w:val="ro-RO" w:eastAsia="ro-RO"/>
              </w:rPr>
              <w:t xml:space="preserve">”  </w:t>
            </w:r>
            <w:r w:rsidR="00F546B8" w:rsidRPr="00A064DE">
              <w:rPr>
                <w:rFonts w:ascii="Times New Roman" w:eastAsia="Calibri" w:hAnsi="Times New Roman" w:cs="Times New Roman"/>
                <w:sz w:val="28"/>
                <w:szCs w:val="28"/>
                <w:lang w:val="ro-RO" w:eastAsia="ro-RO"/>
              </w:rPr>
              <w:t xml:space="preserve">Prin urmare proiectul conține și prevederi care se regăsesc în legislația națională de domeniu. </w:t>
            </w:r>
          </w:p>
        </w:tc>
      </w:tr>
      <w:tr w:rsidR="00EB1559" w:rsidRPr="00A064DE" w14:paraId="16988D20" w14:textId="77777777" w:rsidTr="00E102D2">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8FD90B6"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lastRenderedPageBreak/>
              <w:t>4.</w:t>
            </w:r>
            <w:r w:rsidRPr="00A064DE">
              <w:rPr>
                <w:rFonts w:ascii="Times New Roman" w:eastAsia="Calibri" w:hAnsi="Times New Roman" w:cs="Times New Roman"/>
                <w:b/>
                <w:sz w:val="28"/>
                <w:szCs w:val="28"/>
                <w:lang w:val="ro-RO" w:eastAsia="ro-RO"/>
              </w:rPr>
              <w:t xml:space="preserve"> Principalele prevederi ale proiectului </w:t>
            </w:r>
            <w:proofErr w:type="spellStart"/>
            <w:r w:rsidRPr="00A064DE">
              <w:rPr>
                <w:rFonts w:ascii="Times New Roman" w:eastAsia="Calibri" w:hAnsi="Times New Roman" w:cs="Times New Roman"/>
                <w:b/>
                <w:sz w:val="28"/>
                <w:szCs w:val="28"/>
                <w:lang w:val="ro-RO" w:eastAsia="ro-RO"/>
              </w:rPr>
              <w:t>şi</w:t>
            </w:r>
            <w:proofErr w:type="spellEnd"/>
            <w:r w:rsidRPr="00A064DE">
              <w:rPr>
                <w:rFonts w:ascii="Times New Roman" w:eastAsia="Calibri" w:hAnsi="Times New Roman" w:cs="Times New Roman"/>
                <w:b/>
                <w:sz w:val="28"/>
                <w:szCs w:val="28"/>
                <w:lang w:val="ro-RO" w:eastAsia="ro-RO"/>
              </w:rPr>
              <w:t xml:space="preserve"> </w:t>
            </w:r>
            <w:proofErr w:type="spellStart"/>
            <w:r w:rsidRPr="00A064DE">
              <w:rPr>
                <w:rFonts w:ascii="Times New Roman" w:eastAsia="Calibri" w:hAnsi="Times New Roman" w:cs="Times New Roman"/>
                <w:b/>
                <w:sz w:val="28"/>
                <w:szCs w:val="28"/>
                <w:lang w:val="ro-RO" w:eastAsia="ro-RO"/>
              </w:rPr>
              <w:t>evidenţierea</w:t>
            </w:r>
            <w:proofErr w:type="spellEnd"/>
            <w:r w:rsidRPr="00A064DE">
              <w:rPr>
                <w:rFonts w:ascii="Times New Roman" w:eastAsia="Calibri" w:hAnsi="Times New Roman" w:cs="Times New Roman"/>
                <w:b/>
                <w:sz w:val="28"/>
                <w:szCs w:val="28"/>
                <w:lang w:val="ro-RO" w:eastAsia="ro-RO"/>
              </w:rPr>
              <w:t xml:space="preserve"> elementelor noi </w:t>
            </w:r>
          </w:p>
          <w:p w14:paraId="32A59D84"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p>
        </w:tc>
      </w:tr>
      <w:tr w:rsidR="00EB1559" w:rsidRPr="00A064DE" w14:paraId="05C5252E" w14:textId="77777777" w:rsidTr="00E102D2">
        <w:trPr>
          <w:trHeight w:val="82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6AB2A1" w14:textId="7F7571BA" w:rsidR="00EB1559" w:rsidRPr="00A064DE" w:rsidRDefault="00C752B3" w:rsidP="00F955C0">
            <w:pPr>
              <w:numPr>
                <w:ilvl w:val="0"/>
                <w:numId w:val="3"/>
              </w:numPr>
              <w:tabs>
                <w:tab w:val="left" w:pos="1010"/>
              </w:tabs>
              <w:spacing w:after="0" w:line="240" w:lineRule="auto"/>
              <w:ind w:left="164" w:right="142" w:firstLine="477"/>
              <w:jc w:val="both"/>
              <w:rPr>
                <w:rFonts w:ascii="Times New Roman" w:eastAsia="Times New Roman" w:hAnsi="Times New Roman" w:cs="Times New Roman"/>
                <w:color w:val="000000"/>
                <w:sz w:val="28"/>
                <w:szCs w:val="28"/>
                <w:lang w:val="ro-RO"/>
              </w:rPr>
            </w:pPr>
            <w:r w:rsidRPr="00A064DE">
              <w:rPr>
                <w:rFonts w:ascii="Times New Roman" w:eastAsia="Times New Roman" w:hAnsi="Times New Roman" w:cs="Times New Roman"/>
                <w:b/>
                <w:i/>
                <w:sz w:val="28"/>
                <w:szCs w:val="28"/>
                <w:lang w:val="ro-RO" w:eastAsia="ro-RO"/>
              </w:rPr>
              <w:t>Principalele</w:t>
            </w:r>
            <w:r w:rsidR="00EB1559" w:rsidRPr="00A064DE">
              <w:rPr>
                <w:rFonts w:ascii="Times New Roman" w:eastAsia="Times New Roman" w:hAnsi="Times New Roman" w:cs="Times New Roman"/>
                <w:b/>
                <w:i/>
                <w:sz w:val="28"/>
                <w:szCs w:val="28"/>
                <w:lang w:val="ro-RO" w:eastAsia="ro-RO"/>
              </w:rPr>
              <w:t xml:space="preserve"> modificări propuse la Legea nr.</w:t>
            </w:r>
            <w:r w:rsidRPr="00A064DE">
              <w:rPr>
                <w:rFonts w:ascii="Times New Roman" w:eastAsia="Times New Roman" w:hAnsi="Times New Roman" w:cs="Times New Roman"/>
                <w:b/>
                <w:i/>
                <w:sz w:val="28"/>
                <w:szCs w:val="28"/>
                <w:lang w:val="ro-RO" w:eastAsia="ro-RO"/>
              </w:rPr>
              <w:t>231/2010</w:t>
            </w:r>
            <w:r w:rsidR="00EB1559" w:rsidRPr="00A064DE">
              <w:rPr>
                <w:rFonts w:ascii="Times New Roman" w:eastAsia="Times New Roman" w:hAnsi="Times New Roman" w:cs="Times New Roman"/>
                <w:sz w:val="28"/>
                <w:szCs w:val="28"/>
                <w:lang w:val="ro-RO" w:eastAsia="ro-RO"/>
              </w:rPr>
              <w:t xml:space="preserve"> </w:t>
            </w:r>
          </w:p>
          <w:p w14:paraId="5798DD69" w14:textId="6C831302" w:rsidR="00F546B8" w:rsidRPr="00A064DE" w:rsidRDefault="00F546B8" w:rsidP="00F546B8">
            <w:pPr>
              <w:tabs>
                <w:tab w:val="left" w:pos="1010"/>
              </w:tabs>
              <w:spacing w:after="0" w:line="240" w:lineRule="auto"/>
              <w:ind w:left="70" w:right="142" w:firstLine="540"/>
              <w:jc w:val="both"/>
              <w:rPr>
                <w:rFonts w:ascii="Times New Roman" w:eastAsia="Times New Roman" w:hAnsi="Times New Roman" w:cs="Times New Roman"/>
                <w:color w:val="000000"/>
                <w:sz w:val="28"/>
                <w:szCs w:val="28"/>
                <w:lang w:val="ro-RO"/>
              </w:rPr>
            </w:pPr>
            <w:r w:rsidRPr="00A064DE">
              <w:rPr>
                <w:rFonts w:ascii="Times New Roman" w:eastAsia="Times New Roman" w:hAnsi="Times New Roman" w:cs="Times New Roman"/>
                <w:color w:val="000000"/>
                <w:sz w:val="28"/>
                <w:szCs w:val="28"/>
                <w:lang w:val="ro-RO"/>
              </w:rPr>
              <w:t>În vederea asigurării coerenței expunerii normelor juridice s-a decis incorporarea prevederilor privind PCN în cuprinsul Legii comerțului interior nr. 231/2010.</w:t>
            </w:r>
          </w:p>
          <w:p w14:paraId="7B7D3593" w14:textId="2C7D5B68" w:rsidR="00F546B8" w:rsidRPr="00A064DE" w:rsidRDefault="00F546B8" w:rsidP="00F546B8">
            <w:pPr>
              <w:tabs>
                <w:tab w:val="left" w:pos="1010"/>
              </w:tabs>
              <w:spacing w:after="0" w:line="240" w:lineRule="auto"/>
              <w:ind w:left="70" w:right="142" w:firstLine="540"/>
              <w:jc w:val="both"/>
              <w:rPr>
                <w:rFonts w:ascii="Times New Roman" w:eastAsia="Times New Roman" w:hAnsi="Times New Roman" w:cs="Times New Roman"/>
                <w:color w:val="000000"/>
                <w:sz w:val="28"/>
                <w:szCs w:val="28"/>
                <w:lang w:val="ro-RO"/>
              </w:rPr>
            </w:pPr>
            <w:r w:rsidRPr="00A064DE">
              <w:rPr>
                <w:rFonts w:ascii="Times New Roman" w:eastAsia="Times New Roman" w:hAnsi="Times New Roman" w:cs="Times New Roman"/>
                <w:color w:val="000000"/>
                <w:sz w:val="28"/>
                <w:szCs w:val="28"/>
                <w:lang w:val="ro-RO"/>
              </w:rPr>
              <w:t xml:space="preserve">Principalele prevederi noi constau în preluarea prevederilor art. 3 din Directivă și anume textul din alineatele </w:t>
            </w:r>
            <w:r w:rsidR="00521B21" w:rsidRPr="00A064DE">
              <w:rPr>
                <w:rFonts w:ascii="Times New Roman" w:eastAsia="Times New Roman" w:hAnsi="Times New Roman" w:cs="Times New Roman"/>
                <w:color w:val="000000"/>
                <w:sz w:val="28"/>
                <w:szCs w:val="28"/>
                <w:lang w:val="ro-RO"/>
              </w:rPr>
              <w:t>2 și 3 al acestuia</w:t>
            </w:r>
            <w:r w:rsidR="007D4601">
              <w:rPr>
                <w:rFonts w:ascii="Times New Roman" w:eastAsia="Times New Roman" w:hAnsi="Times New Roman" w:cs="Times New Roman"/>
                <w:color w:val="000000"/>
                <w:sz w:val="28"/>
                <w:szCs w:val="28"/>
                <w:lang w:val="ro-RO"/>
              </w:rPr>
              <w:t xml:space="preserve"> fiind înglobate prevederile corespunzătoare a legislației naționale precum și introducerea unor elemente noi</w:t>
            </w:r>
            <w:r w:rsidR="00521B21" w:rsidRPr="00A064DE">
              <w:rPr>
                <w:rFonts w:ascii="Times New Roman" w:eastAsia="Times New Roman" w:hAnsi="Times New Roman" w:cs="Times New Roman"/>
                <w:color w:val="000000"/>
                <w:sz w:val="28"/>
                <w:szCs w:val="28"/>
                <w:lang w:val="ro-RO"/>
              </w:rPr>
              <w:t>:</w:t>
            </w:r>
          </w:p>
          <w:p w14:paraId="0960E635" w14:textId="77777777" w:rsidR="002007A1" w:rsidRPr="003A650D" w:rsidRDefault="002007A1" w:rsidP="002007A1">
            <w:pPr>
              <w:spacing w:after="0"/>
              <w:ind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(1) Sunt </w:t>
            </w:r>
            <w:proofErr w:type="spellStart"/>
            <w:r w:rsidRPr="003A650D">
              <w:rPr>
                <w:rFonts w:ascii="Times New Roman" w:hAnsi="Times New Roman" w:cs="Times New Roman"/>
                <w:sz w:val="28"/>
                <w:szCs w:val="28"/>
              </w:rPr>
              <w:t>interzise</w:t>
            </w:r>
            <w:proofErr w:type="spellEnd"/>
            <w:r w:rsidRPr="003A650D">
              <w:rPr>
                <w:rFonts w:ascii="Times New Roman" w:hAnsi="Times New Roman" w:cs="Times New Roman"/>
                <w:sz w:val="28"/>
                <w:szCs w:val="28"/>
              </w:rPr>
              <w:t xml:space="preserve"> </w:t>
            </w:r>
            <w:proofErr w:type="spellStart"/>
            <w:r w:rsidRPr="003A650D">
              <w:rPr>
                <w:rFonts w:ascii="Times New Roman" w:hAnsi="Times New Roman" w:cs="Times New Roman"/>
                <w:sz w:val="28"/>
                <w:szCs w:val="28"/>
              </w:rPr>
              <w:t>următoarele</w:t>
            </w:r>
            <w:proofErr w:type="spellEnd"/>
            <w:r w:rsidRPr="003A650D">
              <w:rPr>
                <w:rFonts w:ascii="Times New Roman" w:hAnsi="Times New Roman" w:cs="Times New Roman"/>
                <w:sz w:val="28"/>
                <w:szCs w:val="28"/>
              </w:rPr>
              <w:t xml:space="preserve"> </w:t>
            </w:r>
            <w:proofErr w:type="spellStart"/>
            <w:r w:rsidRPr="003A650D">
              <w:rPr>
                <w:rFonts w:ascii="Times New Roman" w:hAnsi="Times New Roman" w:cs="Times New Roman"/>
                <w:sz w:val="28"/>
                <w:szCs w:val="28"/>
              </w:rPr>
              <w:t>practici</w:t>
            </w:r>
            <w:proofErr w:type="spellEnd"/>
            <w:r w:rsidRPr="003A650D">
              <w:rPr>
                <w:rFonts w:ascii="Times New Roman" w:hAnsi="Times New Roman" w:cs="Times New Roman"/>
                <w:sz w:val="28"/>
                <w:szCs w:val="28"/>
              </w:rPr>
              <w:t xml:space="preserve"> </w:t>
            </w:r>
            <w:proofErr w:type="spellStart"/>
            <w:r w:rsidRPr="003A650D">
              <w:rPr>
                <w:rFonts w:ascii="Times New Roman" w:hAnsi="Times New Roman" w:cs="Times New Roman"/>
                <w:sz w:val="28"/>
                <w:szCs w:val="28"/>
              </w:rPr>
              <w:t>comerciale</w:t>
            </w:r>
            <w:proofErr w:type="spellEnd"/>
            <w:r w:rsidRPr="003A650D">
              <w:rPr>
                <w:rFonts w:ascii="Times New Roman" w:hAnsi="Times New Roman" w:cs="Times New Roman"/>
                <w:sz w:val="28"/>
                <w:szCs w:val="28"/>
              </w:rPr>
              <w:t xml:space="preserve"> </w:t>
            </w:r>
            <w:proofErr w:type="spellStart"/>
            <w:r w:rsidRPr="003A650D">
              <w:rPr>
                <w:rFonts w:ascii="Times New Roman" w:hAnsi="Times New Roman" w:cs="Times New Roman"/>
                <w:sz w:val="28"/>
                <w:szCs w:val="28"/>
              </w:rPr>
              <w:t>neloiale</w:t>
            </w:r>
            <w:proofErr w:type="spellEnd"/>
            <w:r w:rsidRPr="003A650D">
              <w:rPr>
                <w:rFonts w:ascii="Times New Roman" w:hAnsi="Times New Roman" w:cs="Times New Roman"/>
                <w:sz w:val="28"/>
                <w:szCs w:val="28"/>
              </w:rPr>
              <w:t>:</w:t>
            </w:r>
          </w:p>
          <w:p w14:paraId="656C3BDE"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stabilirea de clauze contractuale prin care părțile își stabilesc interdicții, directe sau indirecte, de a cumpăra sau de a vinde produse/servicii de la sau către un terț. Astfel de clauze sunt lovite de nulitate;</w:t>
            </w:r>
          </w:p>
          <w:p w14:paraId="0441B1D5"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solicitarea și oferirea de reduceri comerciale pentru produsele social importante de primă necesitate conform listei aprobate de către Guvern. Astfel de clauze sunt lovite de nulitate;</w:t>
            </w:r>
          </w:p>
          <w:p w14:paraId="674FE75B"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solicitarea și oferirea de reduceri comerciale în afara negocierii unui contract sau oferte anunțate în formă </w:t>
            </w:r>
            <w:proofErr w:type="spellStart"/>
            <w:r w:rsidRPr="003A650D">
              <w:rPr>
                <w:rFonts w:ascii="Times New Roman" w:hAnsi="Times New Roman" w:cs="Times New Roman"/>
                <w:sz w:val="28"/>
                <w:szCs w:val="28"/>
              </w:rPr>
              <w:t>scrsă</w:t>
            </w:r>
            <w:proofErr w:type="spellEnd"/>
            <w:r w:rsidRPr="003A650D">
              <w:rPr>
                <w:rFonts w:ascii="Times New Roman" w:hAnsi="Times New Roman" w:cs="Times New Roman"/>
                <w:sz w:val="28"/>
                <w:szCs w:val="28"/>
              </w:rPr>
              <w:t xml:space="preserve"> inclusiv în formă electronică. Astfel de clauze sunt lovite de nulitate;</w:t>
            </w:r>
          </w:p>
          <w:p w14:paraId="7F6B89FD"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condiționarea impusă furnizorului să nu vândă produsul altor comercianți la un preț mai mic decât cel la care i-l vinde lui. Astfel de clauze sunt lovite de nulitate;</w:t>
            </w:r>
          </w:p>
          <w:p w14:paraId="5B999962"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condiționarea impusă comerciantului privind păstrarea unui anumit preț de raft. Astfel de clauze sunt lovite de nulitate;</w:t>
            </w:r>
          </w:p>
          <w:p w14:paraId="2E9E22CA"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anularea comenzii de produse agricole și alimentare ușor perisabile. Astfel de clauze contractuale sau acțiuni sunt lovite de nulitate;</w:t>
            </w:r>
          </w:p>
          <w:p w14:paraId="03A95F3A"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anularea de către cumpărător a comenzilor de produse agricole și alimentare perisabile într-un termen de preaviz atât de scurt încât furnizorul nu are posibilități rezonabile de a găsi o alternativă pentru comercializarea sau utilizarea produselor respective; un termen de preaviz mai scurt de 30 de zile este întotdeauna considerat un termen de preaviz scurt; </w:t>
            </w:r>
          </w:p>
          <w:p w14:paraId="13B6DE42" w14:textId="77777777" w:rsidR="002007A1" w:rsidRPr="00A064DE"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modificarea de către cumpărător în mod unilateral a clauzelor</w:t>
            </w:r>
            <w:r w:rsidRPr="00A064DE">
              <w:rPr>
                <w:rFonts w:ascii="Times New Roman" w:hAnsi="Times New Roman" w:cs="Times New Roman"/>
                <w:sz w:val="28"/>
                <w:szCs w:val="28"/>
              </w:rPr>
              <w:t xml:space="preserve"> unui contract de furnizare pentru produse agricole și alimentare care se referă la frecvența, metoda, </w:t>
            </w:r>
            <w:r w:rsidRPr="00A064DE">
              <w:rPr>
                <w:rFonts w:ascii="Times New Roman" w:hAnsi="Times New Roman" w:cs="Times New Roman"/>
                <w:sz w:val="28"/>
                <w:szCs w:val="28"/>
              </w:rPr>
              <w:lastRenderedPageBreak/>
              <w:t>locul, calendarul (termenii sau periodicitatea) sau volumul furnizării sau livrării produselor agricole și alimentare, standardele de calitate, condițiile de plată sau prețurile sau în ceea ce privește furnizarea de servicii, în măsura în care acestea sunt menționate explicit în contract;</w:t>
            </w:r>
          </w:p>
          <w:p w14:paraId="69794791"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cumpărătorul solicită furnizorului plăți pentru compensarea costurilor suplimentare de achiziție al produselor;</w:t>
            </w:r>
          </w:p>
          <w:p w14:paraId="6CBB6B5A"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cumpărătorul solicită furnizorului plăți pentru deteriorarea sau pierderea de produse agricole și alimentare sau pentru ambele, survenite în spațiile cumpărătorului sau după ce proprietatea a fost transferată cumpărătorului sau din momentul recepționării mărfii, atunci când o astfel de deteriorare sau pierdere nu a avut loc din neglijența sau culpa furnizorului; </w:t>
            </w:r>
          </w:p>
          <w:p w14:paraId="6D124830"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cumpărătorul refuză să confirme în scris clauzele unui contract de furnizare între cumpărător și furnizor în legătură cu care furnizorul a solicitat o confirmare scrisă; cumpărătorul dobândește, utilizează sau divulgă în mod ilegal secrete comerciale ale furnizorului;</w:t>
            </w:r>
          </w:p>
          <w:p w14:paraId="71685A3D"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cumpărătorul amenință cu efectuarea sau efectuează represalii comerciale împotriva furnizorului în cazul în care furnizorul își exercită drepturile legale sau contractuale, inclusiv prin depunerea unei plângeri la autoritățile de aplicare a legii sau prin cooperarea cu autoritățile de aplicare a legii în timpul unei investigații;</w:t>
            </w:r>
          </w:p>
          <w:p w14:paraId="4B5AB94A" w14:textId="77777777" w:rsidR="002007A1" w:rsidRPr="00A064DE"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cumpărătorul solicită furnizorului compensarea costurilor aferente examinării plângerilor clienților</w:t>
            </w:r>
            <w:r w:rsidRPr="00A064DE">
              <w:rPr>
                <w:rFonts w:ascii="Times New Roman" w:hAnsi="Times New Roman" w:cs="Times New Roman"/>
                <w:sz w:val="28"/>
                <w:szCs w:val="28"/>
              </w:rPr>
              <w:t xml:space="preserve"> referitoare la vânzarea produselor furnizorului, în pofida absenței unei conduite neglijente sau a unei culpe din partea furnizorului;</w:t>
            </w:r>
          </w:p>
          <w:p w14:paraId="728331B5" w14:textId="77777777" w:rsidR="002007A1" w:rsidRPr="00A064DE"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A064DE">
              <w:rPr>
                <w:rFonts w:ascii="Times New Roman" w:hAnsi="Times New Roman" w:cs="Times New Roman"/>
                <w:sz w:val="28"/>
                <w:szCs w:val="28"/>
              </w:rPr>
              <w:t>refuzul repetat al furnizorului sau cumpărătorului să utilizeze în procesul de negocieri a unui contract sau amendament la contract mijloace de înregistrare;</w:t>
            </w:r>
          </w:p>
          <w:p w14:paraId="2E16E730" w14:textId="77777777" w:rsidR="002007A1" w:rsidRPr="00A064DE"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A064DE">
              <w:rPr>
                <w:rFonts w:ascii="Times New Roman" w:hAnsi="Times New Roman" w:cs="Times New Roman"/>
                <w:sz w:val="28"/>
                <w:szCs w:val="28"/>
              </w:rPr>
              <w:t>returnarea furnizorului produselor agricole și alimentare care au fost achiziționate cu respectarea cerințelor cantitative și calitative stipulate în contractele de livrare a produselor, dar care au devenit neconforme reglementărilor aplicabile în domeniul alimentar, inclusiv prin expirarea datei-limită de consum/datei durabilității minimale a acestora. Comerciantul este obligat să lichideze (să distrugă) produsele alimentare neconforme reglementărilor aplicabile în domeniul alimentar;</w:t>
            </w:r>
          </w:p>
          <w:p w14:paraId="3FAFEEC9" w14:textId="77777777" w:rsidR="002007A1" w:rsidRPr="00A064DE"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A064DE">
              <w:rPr>
                <w:rFonts w:ascii="Times New Roman" w:hAnsi="Times New Roman" w:cs="Times New Roman"/>
                <w:sz w:val="28"/>
                <w:szCs w:val="28"/>
              </w:rPr>
              <w:t>neexecutarea de către cumpărător a clauzelor contractuale stabilite în conformitate cu alineatul 2);</w:t>
            </w:r>
          </w:p>
          <w:p w14:paraId="5B686065" w14:textId="77777777" w:rsidR="002007A1" w:rsidRPr="003A650D"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cumpărătorul condiționează cumpărarea prin livrarea în mai mult decât una din unitățile comerciale de care dispune. Se va acorda prioritate unității comerciale celei mai apropiate de furnizor sau oricărei din unitățile negociate.</w:t>
            </w:r>
          </w:p>
          <w:p w14:paraId="4E46F88E" w14:textId="77777777" w:rsidR="002007A1" w:rsidRPr="00A064DE"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cumpărătorul refuză listarea prevăzută la alin. (9) al</w:t>
            </w:r>
            <w:r w:rsidRPr="00A064DE">
              <w:rPr>
                <w:rFonts w:ascii="Times New Roman" w:hAnsi="Times New Roman" w:cs="Times New Roman"/>
                <w:sz w:val="28"/>
                <w:szCs w:val="28"/>
              </w:rPr>
              <w:t xml:space="preserve"> prezentului articol fără </w:t>
            </w:r>
            <w:r w:rsidRPr="00A064DE">
              <w:rPr>
                <w:rFonts w:ascii="Times New Roman" w:eastAsia="Calibri" w:hAnsi="Times New Roman" w:cs="Times New Roman"/>
                <w:sz w:val="28"/>
                <w:szCs w:val="28"/>
              </w:rPr>
              <w:t>coordonare cu autoritatea de monitorizare prevăzută la alin. (10)</w:t>
            </w:r>
            <w:r w:rsidRPr="00A064DE">
              <w:rPr>
                <w:rFonts w:ascii="Times New Roman" w:hAnsi="Times New Roman" w:cs="Times New Roman"/>
                <w:sz w:val="28"/>
                <w:szCs w:val="28"/>
              </w:rPr>
              <w:t>.</w:t>
            </w:r>
          </w:p>
          <w:p w14:paraId="13BA2EB7" w14:textId="77777777" w:rsidR="002007A1" w:rsidRPr="00A064DE" w:rsidRDefault="002007A1" w:rsidP="002007A1">
            <w:pPr>
              <w:pStyle w:val="ListParagraph"/>
              <w:numPr>
                <w:ilvl w:val="0"/>
                <w:numId w:val="6"/>
              </w:numPr>
              <w:tabs>
                <w:tab w:val="left" w:pos="1080"/>
              </w:tabs>
              <w:spacing w:after="0"/>
              <w:ind w:left="0" w:firstLine="720"/>
              <w:jc w:val="both"/>
              <w:rPr>
                <w:rFonts w:ascii="Times New Roman" w:hAnsi="Times New Roman" w:cs="Times New Roman"/>
                <w:sz w:val="28"/>
                <w:szCs w:val="28"/>
              </w:rPr>
            </w:pPr>
            <w:r w:rsidRPr="00A064DE">
              <w:rPr>
                <w:rFonts w:ascii="Times New Roman" w:hAnsi="Times New Roman" w:cs="Times New Roman"/>
                <w:sz w:val="28"/>
                <w:szCs w:val="28"/>
              </w:rPr>
              <w:lastRenderedPageBreak/>
              <w:t>furnizarea (</w:t>
            </w:r>
            <w:proofErr w:type="spellStart"/>
            <w:r w:rsidRPr="00A064DE">
              <w:rPr>
                <w:rFonts w:ascii="Times New Roman" w:hAnsi="Times New Roman" w:cs="Times New Roman"/>
                <w:sz w:val="28"/>
                <w:szCs w:val="28"/>
              </w:rPr>
              <w:t>vînzarea</w:t>
            </w:r>
            <w:proofErr w:type="spellEnd"/>
            <w:r w:rsidRPr="00A064DE">
              <w:rPr>
                <w:rFonts w:ascii="Times New Roman" w:hAnsi="Times New Roman" w:cs="Times New Roman"/>
                <w:sz w:val="28"/>
                <w:szCs w:val="28"/>
              </w:rPr>
              <w:t xml:space="preserve">) produselor agricole și alimentare sub prețul de </w:t>
            </w:r>
            <w:proofErr w:type="spellStart"/>
            <w:r w:rsidRPr="00A064DE">
              <w:rPr>
                <w:rFonts w:ascii="Times New Roman" w:hAnsi="Times New Roman" w:cs="Times New Roman"/>
                <w:sz w:val="28"/>
                <w:szCs w:val="28"/>
              </w:rPr>
              <w:t>vînzare</w:t>
            </w:r>
            <w:proofErr w:type="spellEnd"/>
            <w:r w:rsidRPr="00A064DE">
              <w:rPr>
                <w:rFonts w:ascii="Times New Roman" w:hAnsi="Times New Roman" w:cs="Times New Roman"/>
                <w:sz w:val="28"/>
                <w:szCs w:val="28"/>
              </w:rPr>
              <w:t xml:space="preserve"> (</w:t>
            </w:r>
            <w:proofErr w:type="spellStart"/>
            <w:r w:rsidRPr="00A064DE">
              <w:rPr>
                <w:rFonts w:ascii="Times New Roman" w:hAnsi="Times New Roman" w:cs="Times New Roman"/>
                <w:sz w:val="28"/>
                <w:szCs w:val="28"/>
              </w:rPr>
              <w:t>exceptînd</w:t>
            </w:r>
            <w:proofErr w:type="spellEnd"/>
            <w:r w:rsidRPr="00A064DE">
              <w:rPr>
                <w:rFonts w:ascii="Times New Roman" w:hAnsi="Times New Roman" w:cs="Times New Roman"/>
                <w:sz w:val="28"/>
                <w:szCs w:val="28"/>
              </w:rPr>
              <w:t xml:space="preserve">  profitul furnizorului) cu excepția cazurilor și termenilor prevăzute la alin. (7). Cumpărătorul nu poate solicita plăți prevăzute la alin. (2) sub limita prevăzută la prezenta literă.</w:t>
            </w:r>
          </w:p>
          <w:p w14:paraId="689ECEC3" w14:textId="77777777" w:rsidR="002007A1" w:rsidRPr="00A064DE" w:rsidRDefault="002007A1" w:rsidP="002007A1">
            <w:pPr>
              <w:pStyle w:val="ListParagraph"/>
              <w:tabs>
                <w:tab w:val="left" w:pos="1080"/>
              </w:tabs>
              <w:spacing w:after="0"/>
              <w:ind w:left="0" w:firstLine="630"/>
              <w:jc w:val="both"/>
              <w:rPr>
                <w:rFonts w:ascii="Times New Roman" w:hAnsi="Times New Roman" w:cs="Times New Roman"/>
                <w:sz w:val="28"/>
                <w:szCs w:val="28"/>
              </w:rPr>
            </w:pPr>
            <w:r w:rsidRPr="00A064DE">
              <w:rPr>
                <w:rFonts w:ascii="Times New Roman" w:hAnsi="Times New Roman" w:cs="Times New Roman"/>
                <w:sz w:val="28"/>
                <w:szCs w:val="28"/>
              </w:rPr>
              <w:t xml:space="preserve">(2) Sunt interzise următoarele practici comerciale neloiale, cu excepția cazului în care acestea au fost convenite anterior prin clauze clare și lipsite de ambiguitate din contractul de furnizare sau printr-un contract sau amendament ulterior între furnizor și cumpărător: </w:t>
            </w:r>
          </w:p>
          <w:p w14:paraId="2F6EF618" w14:textId="77777777" w:rsidR="002007A1" w:rsidRPr="003A650D" w:rsidRDefault="002007A1" w:rsidP="002007A1">
            <w:pPr>
              <w:pStyle w:val="ListParagraph"/>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a) cumpărătorul returnează furnizorului produsele agricole și alimentare nevândute, fără să plătească pentru respectivele produse nevândute, sau fără să plătească pentru eliminarea acestor produse, sau ambele; </w:t>
            </w:r>
          </w:p>
          <w:p w14:paraId="4EE3B5BC" w14:textId="77777777" w:rsidR="002007A1" w:rsidRPr="003A650D" w:rsidRDefault="002007A1" w:rsidP="002007A1">
            <w:pPr>
              <w:pStyle w:val="ListParagraph"/>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b) furnizorului i se impune o plată de care este condiționată stocarea, afișarea (inclusiv pe raft sau pe o porțiune a acestuia) listarea produselor sale agricole și alimentare, sau plasarea pe piață a respectivelor produse; </w:t>
            </w:r>
          </w:p>
          <w:p w14:paraId="10BFBDEC" w14:textId="77777777" w:rsidR="002007A1" w:rsidRPr="003A650D" w:rsidRDefault="002007A1" w:rsidP="002007A1">
            <w:pPr>
              <w:pStyle w:val="ListParagraph"/>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c) cumpărătorul solicită furnizorului să suporte, integral sau parțial, costul oricăror reduceri pentru produsele agricole și alimentare vândute de cumpărător cu titlu promoțional; </w:t>
            </w:r>
          </w:p>
          <w:p w14:paraId="26E5CB4C" w14:textId="77777777" w:rsidR="002007A1" w:rsidRPr="003A650D" w:rsidRDefault="002007A1" w:rsidP="002007A1">
            <w:pPr>
              <w:pStyle w:val="ListParagraph"/>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d) cumpărătorul solicită furnizorului să plătească pentru publicitatea făcută de către cumpărător produselor agricole și alimentare; </w:t>
            </w:r>
          </w:p>
          <w:p w14:paraId="58B4DDCD" w14:textId="77777777" w:rsidR="002007A1" w:rsidRPr="003A650D" w:rsidRDefault="002007A1" w:rsidP="002007A1">
            <w:pPr>
              <w:pStyle w:val="ListParagraph"/>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 xml:space="preserve">e) cumpărătorul solicită furnizorului să plătească pentru serviciile de marketing prestate de către cumpărător privind produsele agricole și alimentare; </w:t>
            </w:r>
          </w:p>
          <w:p w14:paraId="2DADEE58" w14:textId="482E9ADA" w:rsidR="002007A1" w:rsidRPr="003A650D" w:rsidRDefault="002007A1" w:rsidP="002007A1">
            <w:pPr>
              <w:pStyle w:val="ListParagraph"/>
              <w:spacing w:after="0"/>
              <w:ind w:left="0" w:firstLine="720"/>
              <w:jc w:val="both"/>
              <w:rPr>
                <w:rFonts w:ascii="Times New Roman" w:hAnsi="Times New Roman" w:cs="Times New Roman"/>
                <w:sz w:val="28"/>
                <w:szCs w:val="28"/>
              </w:rPr>
            </w:pPr>
            <w:r w:rsidRPr="003A650D">
              <w:rPr>
                <w:rFonts w:ascii="Times New Roman" w:hAnsi="Times New Roman" w:cs="Times New Roman"/>
                <w:sz w:val="28"/>
                <w:szCs w:val="28"/>
              </w:rPr>
              <w:t>f) cumpărătorul solicită furnizorului să plătească pentru personalul care se ocupă de amenajarea spațiilor de vânzare utilizate pentru vânzarea produselor furnizorului.</w:t>
            </w:r>
            <w:r w:rsidRPr="003A650D">
              <w:rPr>
                <w:rFonts w:ascii="Times New Roman" w:hAnsi="Times New Roman" w:cs="Times New Roman"/>
                <w:sz w:val="28"/>
                <w:szCs w:val="28"/>
              </w:rPr>
              <w:t>”</w:t>
            </w:r>
          </w:p>
          <w:p w14:paraId="3EF77EE7" w14:textId="625EAED7" w:rsidR="002007A1" w:rsidRPr="00A064DE" w:rsidRDefault="002007A1" w:rsidP="002007A1">
            <w:pPr>
              <w:pStyle w:val="ListParagraph"/>
              <w:spacing w:after="0"/>
              <w:ind w:left="0" w:firstLine="720"/>
              <w:jc w:val="both"/>
              <w:rPr>
                <w:rFonts w:ascii="Times New Roman" w:hAnsi="Times New Roman" w:cs="Times New Roman"/>
                <w:sz w:val="28"/>
                <w:szCs w:val="28"/>
              </w:rPr>
            </w:pPr>
            <w:r w:rsidRPr="00A064DE">
              <w:rPr>
                <w:rFonts w:ascii="Times New Roman" w:hAnsi="Times New Roman" w:cs="Times New Roman"/>
                <w:sz w:val="28"/>
                <w:szCs w:val="28"/>
              </w:rPr>
              <w:t xml:space="preserve">De asemenea, după cum s-a menționat supra, </w:t>
            </w:r>
            <w:r w:rsidR="00EF1A10" w:rsidRPr="00A064DE">
              <w:rPr>
                <w:rFonts w:ascii="Times New Roman" w:hAnsi="Times New Roman" w:cs="Times New Roman"/>
                <w:sz w:val="28"/>
                <w:szCs w:val="28"/>
              </w:rPr>
              <w:t>în sensul reglementărilor PCN se introduc o serie de noțiuni specifice</w:t>
            </w:r>
            <w:r w:rsidR="00A064DE" w:rsidRPr="00A064DE">
              <w:rPr>
                <w:rFonts w:ascii="Times New Roman" w:hAnsi="Times New Roman" w:cs="Times New Roman"/>
                <w:sz w:val="28"/>
                <w:szCs w:val="28"/>
              </w:rPr>
              <w:t>, printre care</w:t>
            </w:r>
            <w:r w:rsidR="002F639E" w:rsidRPr="00A064DE">
              <w:rPr>
                <w:rFonts w:ascii="Times New Roman" w:hAnsi="Times New Roman" w:cs="Times New Roman"/>
                <w:sz w:val="28"/>
                <w:szCs w:val="28"/>
              </w:rPr>
              <w:t>:</w:t>
            </w:r>
          </w:p>
          <w:p w14:paraId="12FB1CB8" w14:textId="2AA9C0ED"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sz w:val="28"/>
                <w:szCs w:val="28"/>
                <w:lang w:val="ro-RO"/>
              </w:rPr>
              <w:t>”</w:t>
            </w:r>
            <w:r w:rsidRPr="00A064DE">
              <w:rPr>
                <w:rFonts w:ascii="Times New Roman" w:hAnsi="Times New Roman" w:cs="Times New Roman"/>
                <w:b/>
                <w:sz w:val="28"/>
                <w:szCs w:val="28"/>
                <w:lang w:val="ro-RO"/>
              </w:rPr>
              <w:t xml:space="preserve"> </w:t>
            </w:r>
            <w:r w:rsidRPr="00A064DE">
              <w:rPr>
                <w:rFonts w:ascii="Times New Roman" w:hAnsi="Times New Roman" w:cs="Times New Roman"/>
                <w:i/>
                <w:sz w:val="28"/>
                <w:szCs w:val="28"/>
                <w:lang w:val="ro-RO"/>
              </w:rPr>
              <w:t>cumpărător</w:t>
            </w:r>
            <w:r w:rsidRPr="00A064DE">
              <w:rPr>
                <w:rFonts w:ascii="Times New Roman" w:hAnsi="Times New Roman" w:cs="Times New Roman"/>
                <w:sz w:val="28"/>
                <w:szCs w:val="28"/>
                <w:lang w:val="ro-RO"/>
              </w:rPr>
              <w:t xml:space="preserve"> - înseamnă orice persoană fizică (cu excepția consumatorului final), juridică sau grup, uniuni/asociații a acestora, care cumpără produse agricole și alimentare; </w:t>
            </w:r>
          </w:p>
          <w:p w14:paraId="46896FEC" w14:textId="77777777"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i/>
                <w:sz w:val="28"/>
                <w:szCs w:val="28"/>
                <w:lang w:val="ro-RO"/>
              </w:rPr>
              <w:t>listare</w:t>
            </w:r>
            <w:r w:rsidRPr="00A064DE">
              <w:rPr>
                <w:rFonts w:ascii="Times New Roman" w:hAnsi="Times New Roman" w:cs="Times New Roman"/>
                <w:sz w:val="28"/>
                <w:szCs w:val="28"/>
                <w:lang w:val="ro-RO"/>
              </w:rPr>
              <w:t xml:space="preserve"> – acțiunea de includere în oferta cumpărătorului (comerciantului) produse agricole și alimentare;</w:t>
            </w:r>
          </w:p>
          <w:p w14:paraId="4D869CC1" w14:textId="77777777"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i/>
                <w:sz w:val="28"/>
                <w:szCs w:val="28"/>
                <w:lang w:val="ro-RO"/>
              </w:rPr>
              <w:t>produse agricole și alimentare</w:t>
            </w:r>
            <w:r w:rsidRPr="00A064DE">
              <w:rPr>
                <w:rFonts w:ascii="Times New Roman" w:hAnsi="Times New Roman" w:cs="Times New Roman"/>
                <w:sz w:val="28"/>
                <w:szCs w:val="28"/>
                <w:lang w:val="ro-RO"/>
              </w:rPr>
              <w:t xml:space="preserve"> – o lista de produse agricole și alimentare stabilită de Guvern;</w:t>
            </w:r>
          </w:p>
          <w:p w14:paraId="403880B7" w14:textId="77777777"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i/>
                <w:sz w:val="28"/>
                <w:szCs w:val="28"/>
                <w:lang w:val="ro-RO"/>
              </w:rPr>
              <w:t>produse agricole și alimentare ușor perisabile</w:t>
            </w:r>
            <w:r w:rsidRPr="00A064DE">
              <w:rPr>
                <w:rFonts w:ascii="Times New Roman" w:hAnsi="Times New Roman" w:cs="Times New Roman"/>
                <w:sz w:val="28"/>
                <w:szCs w:val="28"/>
                <w:lang w:val="ro-RO"/>
              </w:rPr>
              <w:t xml:space="preserve"> - înseamnă produse agricole și alimentare care, prin natura lor sau la stadiul lor de procesare, sunt susceptibile să devină improprii pentru vânzare în termen de 7 zile inclusiv după recoltare, producere sau procesare.</w:t>
            </w:r>
          </w:p>
          <w:p w14:paraId="52AEB5D6" w14:textId="77777777"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i/>
                <w:sz w:val="28"/>
                <w:szCs w:val="28"/>
                <w:lang w:val="ro-RO"/>
              </w:rPr>
              <w:lastRenderedPageBreak/>
              <w:t>produse agricole și alimentare perisabile</w:t>
            </w:r>
            <w:r w:rsidRPr="00A064DE">
              <w:rPr>
                <w:rFonts w:ascii="Times New Roman" w:hAnsi="Times New Roman" w:cs="Times New Roman"/>
                <w:sz w:val="28"/>
                <w:szCs w:val="28"/>
                <w:lang w:val="ro-RO"/>
              </w:rPr>
              <w:t xml:space="preserve"> - înseamnă produse agricole și alimentare care, prin natura lor sau la stadiul lor de procesare, sunt susceptibile să devină improprii pentru vânzare în termen de 30 de zile după recoltare, producere sau procesare.</w:t>
            </w:r>
          </w:p>
          <w:p w14:paraId="1382A5EA" w14:textId="77777777"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i/>
                <w:iCs/>
                <w:sz w:val="28"/>
                <w:szCs w:val="28"/>
                <w:lang w:val="ro-RO"/>
              </w:rPr>
              <w:t>reduceri comerciale</w:t>
            </w:r>
            <w:r w:rsidRPr="00A064DE">
              <w:rPr>
                <w:rFonts w:ascii="Times New Roman" w:hAnsi="Times New Roman" w:cs="Times New Roman"/>
                <w:sz w:val="28"/>
                <w:szCs w:val="28"/>
                <w:lang w:val="ro-RO"/>
              </w:rPr>
              <w:t xml:space="preserve"> – reduceri de la prețul de vânzare (discount, rabat, bonus, </w:t>
            </w:r>
            <w:proofErr w:type="spellStart"/>
            <w:r w:rsidRPr="00A064DE">
              <w:rPr>
                <w:rFonts w:ascii="Times New Roman" w:hAnsi="Times New Roman" w:cs="Times New Roman"/>
                <w:sz w:val="28"/>
                <w:szCs w:val="28"/>
                <w:lang w:val="ro-RO"/>
              </w:rPr>
              <w:t>retrobonus</w:t>
            </w:r>
            <w:proofErr w:type="spellEnd"/>
            <w:r w:rsidRPr="00A064DE">
              <w:rPr>
                <w:rFonts w:ascii="Times New Roman" w:hAnsi="Times New Roman" w:cs="Times New Roman"/>
                <w:sz w:val="28"/>
                <w:szCs w:val="28"/>
                <w:lang w:val="ro-RO"/>
              </w:rPr>
              <w:t xml:space="preserve">). </w:t>
            </w:r>
          </w:p>
          <w:p w14:paraId="4391C461" w14:textId="4D5B0A9B"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i/>
                <w:sz w:val="28"/>
                <w:szCs w:val="28"/>
                <w:lang w:val="ro-RO"/>
              </w:rPr>
              <w:t>furnizor</w:t>
            </w:r>
            <w:r w:rsidRPr="00A064DE">
              <w:rPr>
                <w:rFonts w:ascii="Times New Roman" w:hAnsi="Times New Roman" w:cs="Times New Roman"/>
                <w:sz w:val="28"/>
                <w:szCs w:val="28"/>
                <w:lang w:val="ro-RO"/>
              </w:rPr>
              <w:t xml:space="preserve"> - înseamnă orice producător agricol sau orice persoană fizică sau juridică sau grup, uniuni/asociații a acestora, care vinde produse agricole și alimentare.</w:t>
            </w:r>
            <w:r w:rsidRPr="00A064DE">
              <w:rPr>
                <w:rFonts w:ascii="Times New Roman" w:hAnsi="Times New Roman" w:cs="Times New Roman"/>
                <w:sz w:val="28"/>
                <w:szCs w:val="28"/>
                <w:lang w:val="ro-RO"/>
              </w:rPr>
              <w:t>”</w:t>
            </w:r>
          </w:p>
          <w:p w14:paraId="38B2B33A" w14:textId="197A0C57"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sz w:val="28"/>
                <w:szCs w:val="28"/>
                <w:lang w:val="ro-RO"/>
              </w:rPr>
              <w:t xml:space="preserve">În vederea asigurării monitorizării implementării PCN precum și examinarea </w:t>
            </w:r>
            <w:proofErr w:type="spellStart"/>
            <w:r w:rsidRPr="00A064DE">
              <w:rPr>
                <w:rFonts w:ascii="Times New Roman" w:hAnsi="Times New Roman" w:cs="Times New Roman"/>
                <w:sz w:val="28"/>
                <w:szCs w:val="28"/>
                <w:lang w:val="ro-RO"/>
              </w:rPr>
              <w:t>plîngerilor</w:t>
            </w:r>
            <w:proofErr w:type="spellEnd"/>
            <w:r w:rsidRPr="00A064DE">
              <w:rPr>
                <w:rFonts w:ascii="Times New Roman" w:hAnsi="Times New Roman" w:cs="Times New Roman"/>
                <w:sz w:val="28"/>
                <w:szCs w:val="28"/>
                <w:lang w:val="ro-RO"/>
              </w:rPr>
              <w:t xml:space="preserve"> celor împotriva cărora au fost aplicate PCN se stabilesc organele competente:</w:t>
            </w:r>
          </w:p>
          <w:p w14:paraId="7A3825E4" w14:textId="7D23DC3D"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sz w:val="28"/>
                <w:szCs w:val="28"/>
                <w:lang w:val="ro-RO"/>
              </w:rPr>
              <w:t xml:space="preserve">1. </w:t>
            </w:r>
            <w:r w:rsidRPr="00A064DE">
              <w:rPr>
                <w:rFonts w:ascii="Times New Roman" w:hAnsi="Times New Roman" w:cs="Times New Roman"/>
                <w:sz w:val="28"/>
                <w:szCs w:val="28"/>
                <w:lang w:val="ro-RO"/>
              </w:rPr>
              <w:t>Consiliul Concurenței în calitate de autoritate competentă cu atribuții de stabilire, examinare, asigurare a aplicării interdicțiilor și sancționare a practicilor comerciale neloiale</w:t>
            </w:r>
            <w:r w:rsidRPr="00A064DE">
              <w:rPr>
                <w:rFonts w:ascii="Times New Roman" w:hAnsi="Times New Roman" w:cs="Times New Roman"/>
                <w:sz w:val="28"/>
                <w:szCs w:val="28"/>
                <w:lang w:val="ro-RO"/>
              </w:rPr>
              <w:t xml:space="preserve"> și</w:t>
            </w:r>
          </w:p>
          <w:p w14:paraId="63C4F8D5" w14:textId="53FA4D20" w:rsidR="002F639E" w:rsidRPr="00A064DE" w:rsidRDefault="002F639E" w:rsidP="002F639E">
            <w:pPr>
              <w:spacing w:after="0"/>
              <w:ind w:firstLine="720"/>
              <w:jc w:val="both"/>
              <w:rPr>
                <w:rFonts w:ascii="Times New Roman" w:hAnsi="Times New Roman" w:cs="Times New Roman"/>
                <w:sz w:val="28"/>
                <w:szCs w:val="28"/>
                <w:lang w:val="ro-RO"/>
              </w:rPr>
            </w:pPr>
            <w:r w:rsidRPr="00A064DE">
              <w:rPr>
                <w:rFonts w:ascii="Times New Roman" w:hAnsi="Times New Roman" w:cs="Times New Roman"/>
                <w:sz w:val="28"/>
                <w:szCs w:val="28"/>
                <w:lang w:val="ro-RO"/>
              </w:rPr>
              <w:t xml:space="preserve">2. </w:t>
            </w:r>
            <w:r w:rsidR="00191CEE" w:rsidRPr="00A064DE">
              <w:rPr>
                <w:rFonts w:ascii="Times New Roman" w:hAnsi="Times New Roman" w:cs="Times New Roman"/>
                <w:sz w:val="28"/>
                <w:szCs w:val="28"/>
                <w:lang w:val="ro-RO"/>
              </w:rPr>
              <w:t>Agenția Națională de  Siguranță a Alimentelor, în calitate de autoritate cu atribuții de monitorizare și generalizare a practicii privind practicile comerciale neloiale.</w:t>
            </w:r>
          </w:p>
          <w:p w14:paraId="6F976D8F" w14:textId="7CF77957" w:rsidR="00521B21" w:rsidRPr="00A064DE" w:rsidRDefault="00191CEE" w:rsidP="00F546B8">
            <w:pPr>
              <w:tabs>
                <w:tab w:val="left" w:pos="1010"/>
              </w:tabs>
              <w:spacing w:after="0" w:line="240" w:lineRule="auto"/>
              <w:ind w:left="70" w:right="142" w:firstLine="540"/>
              <w:jc w:val="both"/>
              <w:rPr>
                <w:rFonts w:ascii="Times New Roman" w:eastAsia="Times New Roman" w:hAnsi="Times New Roman" w:cs="Times New Roman"/>
                <w:color w:val="000000"/>
                <w:sz w:val="28"/>
                <w:szCs w:val="28"/>
                <w:lang w:val="ro-RO"/>
              </w:rPr>
            </w:pPr>
            <w:r w:rsidRPr="00A064DE">
              <w:rPr>
                <w:rFonts w:ascii="Times New Roman" w:eastAsia="Times New Roman" w:hAnsi="Times New Roman" w:cs="Times New Roman"/>
                <w:color w:val="000000"/>
                <w:sz w:val="28"/>
                <w:szCs w:val="28"/>
                <w:lang w:val="ro-RO"/>
              </w:rPr>
              <w:t xml:space="preserve">Precum și procedura generală privind </w:t>
            </w:r>
            <w:proofErr w:type="spellStart"/>
            <w:r w:rsidRPr="00A064DE">
              <w:rPr>
                <w:rFonts w:ascii="Times New Roman" w:eastAsia="Times New Roman" w:hAnsi="Times New Roman" w:cs="Times New Roman"/>
                <w:color w:val="000000"/>
                <w:sz w:val="28"/>
                <w:szCs w:val="28"/>
                <w:lang w:val="ro-RO"/>
              </w:rPr>
              <w:t>plîngerile</w:t>
            </w:r>
            <w:proofErr w:type="spellEnd"/>
            <w:r w:rsidRPr="00A064DE">
              <w:rPr>
                <w:rFonts w:ascii="Times New Roman" w:eastAsia="Times New Roman" w:hAnsi="Times New Roman" w:cs="Times New Roman"/>
                <w:color w:val="000000"/>
                <w:sz w:val="28"/>
                <w:szCs w:val="28"/>
                <w:lang w:val="ro-RO"/>
              </w:rPr>
              <w:t>.</w:t>
            </w:r>
          </w:p>
          <w:p w14:paraId="1953B890" w14:textId="3CF6F092" w:rsidR="00C752B3" w:rsidRPr="00A064DE" w:rsidRDefault="00EB1559" w:rsidP="00EB1559">
            <w:pPr>
              <w:numPr>
                <w:ilvl w:val="0"/>
                <w:numId w:val="3"/>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A064DE">
              <w:rPr>
                <w:rFonts w:ascii="Times New Roman" w:eastAsia="Times New Roman" w:hAnsi="Times New Roman" w:cs="Times New Roman"/>
                <w:b/>
                <w:i/>
                <w:sz w:val="28"/>
                <w:szCs w:val="28"/>
                <w:lang w:val="ro-RO" w:eastAsia="ro-RO"/>
              </w:rPr>
              <w:t xml:space="preserve">Modificări propuse la Codul </w:t>
            </w:r>
            <w:r w:rsidR="00C752B3" w:rsidRPr="00A064DE">
              <w:rPr>
                <w:rFonts w:ascii="Times New Roman" w:eastAsia="Times New Roman" w:hAnsi="Times New Roman" w:cs="Times New Roman"/>
                <w:b/>
                <w:i/>
                <w:sz w:val="28"/>
                <w:szCs w:val="28"/>
                <w:lang w:val="ro-RO" w:eastAsia="ro-RO"/>
              </w:rPr>
              <w:t>contravențional</w:t>
            </w:r>
          </w:p>
          <w:p w14:paraId="61262DC3" w14:textId="3F1B783F" w:rsidR="00191CEE" w:rsidRPr="00A064DE" w:rsidRDefault="00191CEE" w:rsidP="00191CEE">
            <w:pPr>
              <w:tabs>
                <w:tab w:val="left" w:pos="1010"/>
              </w:tabs>
              <w:spacing w:after="0" w:line="240" w:lineRule="auto"/>
              <w:ind w:left="641" w:right="142"/>
              <w:jc w:val="both"/>
              <w:rPr>
                <w:rFonts w:ascii="Times New Roman" w:eastAsia="Times New Roman" w:hAnsi="Times New Roman" w:cs="Times New Roman"/>
                <w:bCs/>
                <w:iCs/>
                <w:sz w:val="28"/>
                <w:szCs w:val="28"/>
                <w:lang w:val="ro-RO" w:eastAsia="ro-RO"/>
              </w:rPr>
            </w:pPr>
            <w:r w:rsidRPr="00A064DE">
              <w:rPr>
                <w:rFonts w:ascii="Times New Roman" w:eastAsia="Times New Roman" w:hAnsi="Times New Roman" w:cs="Times New Roman"/>
                <w:bCs/>
                <w:iCs/>
                <w:sz w:val="28"/>
                <w:szCs w:val="28"/>
                <w:lang w:val="ro-RO" w:eastAsia="ro-RO"/>
              </w:rPr>
              <w:t xml:space="preserve">Modificările Codului contravențional vizează unificarea răspunderii pentru aplicarea PCN ceea ce presupune modificarea </w:t>
            </w:r>
            <w:r w:rsidRPr="00A064DE">
              <w:rPr>
                <w:rFonts w:ascii="Times New Roman" w:eastAsia="Times New Roman" w:hAnsi="Times New Roman" w:cs="Times New Roman"/>
                <w:bCs/>
                <w:iCs/>
                <w:sz w:val="28"/>
                <w:szCs w:val="28"/>
                <w:lang w:val="ro-RO" w:eastAsia="ro-RO"/>
              </w:rPr>
              <w:t>art. 273:</w:t>
            </w:r>
          </w:p>
          <w:p w14:paraId="10B6726D" w14:textId="4C2FBA13" w:rsidR="00191CEE" w:rsidRPr="00A064DE" w:rsidRDefault="000765FB" w:rsidP="00191CEE">
            <w:pPr>
              <w:tabs>
                <w:tab w:val="left" w:pos="1010"/>
              </w:tabs>
              <w:spacing w:after="0" w:line="240" w:lineRule="auto"/>
              <w:ind w:left="641" w:right="142"/>
              <w:jc w:val="both"/>
              <w:rPr>
                <w:rFonts w:ascii="Times New Roman" w:eastAsia="Times New Roman" w:hAnsi="Times New Roman" w:cs="Times New Roman"/>
                <w:bCs/>
                <w:iCs/>
                <w:sz w:val="28"/>
                <w:szCs w:val="28"/>
                <w:lang w:val="ro-RO" w:eastAsia="ro-RO"/>
              </w:rPr>
            </w:pPr>
            <w:r w:rsidRPr="00A064DE">
              <w:rPr>
                <w:rFonts w:ascii="Times New Roman" w:eastAsia="Times New Roman" w:hAnsi="Times New Roman" w:cs="Times New Roman"/>
                <w:bCs/>
                <w:iCs/>
                <w:sz w:val="28"/>
                <w:szCs w:val="28"/>
                <w:lang w:val="ro-RO" w:eastAsia="ro-RO"/>
              </w:rPr>
              <w:t>”</w:t>
            </w:r>
            <w:r w:rsidR="00191CEE" w:rsidRPr="00A064DE">
              <w:rPr>
                <w:rFonts w:ascii="Times New Roman" w:eastAsia="Times New Roman" w:hAnsi="Times New Roman" w:cs="Times New Roman"/>
                <w:bCs/>
                <w:iCs/>
                <w:sz w:val="28"/>
                <w:szCs w:val="28"/>
                <w:lang w:val="ro-RO" w:eastAsia="ro-RO"/>
              </w:rPr>
              <w:t>alineatele 51) -54) se abrogă.</w:t>
            </w:r>
          </w:p>
          <w:p w14:paraId="4250783E" w14:textId="77777777" w:rsidR="00191CEE" w:rsidRPr="00A064DE" w:rsidRDefault="00191CEE" w:rsidP="00191CEE">
            <w:pPr>
              <w:tabs>
                <w:tab w:val="left" w:pos="1010"/>
              </w:tabs>
              <w:spacing w:after="0" w:line="240" w:lineRule="auto"/>
              <w:ind w:left="641" w:right="142"/>
              <w:jc w:val="both"/>
              <w:rPr>
                <w:rFonts w:ascii="Times New Roman" w:eastAsia="Times New Roman" w:hAnsi="Times New Roman" w:cs="Times New Roman"/>
                <w:bCs/>
                <w:iCs/>
                <w:sz w:val="28"/>
                <w:szCs w:val="28"/>
                <w:lang w:val="ro-RO" w:eastAsia="ro-RO"/>
              </w:rPr>
            </w:pPr>
            <w:r w:rsidRPr="00A064DE">
              <w:rPr>
                <w:rFonts w:ascii="Times New Roman" w:eastAsia="Times New Roman" w:hAnsi="Times New Roman" w:cs="Times New Roman"/>
                <w:bCs/>
                <w:iCs/>
                <w:sz w:val="28"/>
                <w:szCs w:val="28"/>
                <w:lang w:val="ro-RO" w:eastAsia="ro-RO"/>
              </w:rPr>
              <w:t>se completează cu un alineat nou 55) cu următorul cuprins:</w:t>
            </w:r>
          </w:p>
          <w:p w14:paraId="6877F584" w14:textId="1781654B" w:rsidR="00191CEE" w:rsidRPr="00A064DE" w:rsidRDefault="00191CEE" w:rsidP="00191CEE">
            <w:pPr>
              <w:tabs>
                <w:tab w:val="left" w:pos="1010"/>
              </w:tabs>
              <w:spacing w:after="0" w:line="240" w:lineRule="auto"/>
              <w:ind w:left="641" w:right="142"/>
              <w:jc w:val="both"/>
              <w:rPr>
                <w:rFonts w:ascii="Times New Roman" w:eastAsia="Times New Roman" w:hAnsi="Times New Roman" w:cs="Times New Roman"/>
                <w:bCs/>
                <w:iCs/>
                <w:sz w:val="28"/>
                <w:szCs w:val="28"/>
                <w:lang w:val="ro-RO" w:eastAsia="ro-RO"/>
              </w:rPr>
            </w:pPr>
            <w:r w:rsidRPr="00A064DE">
              <w:rPr>
                <w:rFonts w:ascii="Times New Roman" w:eastAsia="Times New Roman" w:hAnsi="Times New Roman" w:cs="Times New Roman"/>
                <w:bCs/>
                <w:iCs/>
                <w:sz w:val="28"/>
                <w:szCs w:val="28"/>
                <w:lang w:val="ro-RO" w:eastAsia="ro-RO"/>
              </w:rPr>
              <w:t xml:space="preserve">”55) Înfăptuirea de practici comerciale neloiale prevăzute la alineatele (2) – (4) al art. 2115 și alineatele (1) și (2) al art. 2116 din Legea nr.231/2010 cu privire la </w:t>
            </w:r>
            <w:proofErr w:type="spellStart"/>
            <w:r w:rsidRPr="00A064DE">
              <w:rPr>
                <w:rFonts w:ascii="Times New Roman" w:eastAsia="Times New Roman" w:hAnsi="Times New Roman" w:cs="Times New Roman"/>
                <w:bCs/>
                <w:iCs/>
                <w:sz w:val="28"/>
                <w:szCs w:val="28"/>
                <w:lang w:val="ro-RO" w:eastAsia="ro-RO"/>
              </w:rPr>
              <w:t>comerţul</w:t>
            </w:r>
            <w:proofErr w:type="spellEnd"/>
            <w:r w:rsidRPr="00A064DE">
              <w:rPr>
                <w:rFonts w:ascii="Times New Roman" w:eastAsia="Times New Roman" w:hAnsi="Times New Roman" w:cs="Times New Roman"/>
                <w:bCs/>
                <w:iCs/>
                <w:sz w:val="28"/>
                <w:szCs w:val="28"/>
                <w:lang w:val="ro-RO" w:eastAsia="ro-RO"/>
              </w:rPr>
              <w:t xml:space="preserve"> interior,</w:t>
            </w:r>
          </w:p>
          <w:p w14:paraId="5A17B3A1" w14:textId="61D0BF22" w:rsidR="000765FB" w:rsidRPr="00A064DE" w:rsidRDefault="000765FB" w:rsidP="00191CEE">
            <w:pPr>
              <w:tabs>
                <w:tab w:val="left" w:pos="1010"/>
              </w:tabs>
              <w:spacing w:after="0" w:line="240" w:lineRule="auto"/>
              <w:ind w:left="641" w:right="142"/>
              <w:jc w:val="both"/>
              <w:rPr>
                <w:rFonts w:ascii="Times New Roman" w:eastAsia="Times New Roman" w:hAnsi="Times New Roman" w:cs="Times New Roman"/>
                <w:bCs/>
                <w:iCs/>
                <w:sz w:val="28"/>
                <w:szCs w:val="28"/>
                <w:lang w:val="ro-RO" w:eastAsia="ro-RO"/>
              </w:rPr>
            </w:pPr>
            <w:r w:rsidRPr="00A064DE">
              <w:rPr>
                <w:rFonts w:ascii="Times New Roman" w:eastAsia="Times New Roman" w:hAnsi="Times New Roman" w:cs="Times New Roman"/>
                <w:bCs/>
                <w:iCs/>
                <w:sz w:val="28"/>
                <w:szCs w:val="28"/>
                <w:lang w:val="ro-RO" w:eastAsia="ro-RO"/>
              </w:rPr>
              <w:t xml:space="preserve">se </w:t>
            </w:r>
            <w:proofErr w:type="spellStart"/>
            <w:r w:rsidRPr="00A064DE">
              <w:rPr>
                <w:rFonts w:ascii="Times New Roman" w:eastAsia="Times New Roman" w:hAnsi="Times New Roman" w:cs="Times New Roman"/>
                <w:bCs/>
                <w:iCs/>
                <w:sz w:val="28"/>
                <w:szCs w:val="28"/>
                <w:lang w:val="ro-RO" w:eastAsia="ro-RO"/>
              </w:rPr>
              <w:t>sancţionează</w:t>
            </w:r>
            <w:proofErr w:type="spellEnd"/>
            <w:r w:rsidRPr="00A064DE">
              <w:rPr>
                <w:rFonts w:ascii="Times New Roman" w:eastAsia="Times New Roman" w:hAnsi="Times New Roman" w:cs="Times New Roman"/>
                <w:bCs/>
                <w:iCs/>
                <w:sz w:val="28"/>
                <w:szCs w:val="28"/>
                <w:lang w:val="ro-RO" w:eastAsia="ro-RO"/>
              </w:rPr>
              <w:t xml:space="preserve"> cu amendă de la 50 la 100 de </w:t>
            </w:r>
            <w:proofErr w:type="spellStart"/>
            <w:r w:rsidRPr="00A064DE">
              <w:rPr>
                <w:rFonts w:ascii="Times New Roman" w:eastAsia="Times New Roman" w:hAnsi="Times New Roman" w:cs="Times New Roman"/>
                <w:bCs/>
                <w:iCs/>
                <w:sz w:val="28"/>
                <w:szCs w:val="28"/>
                <w:lang w:val="ro-RO" w:eastAsia="ro-RO"/>
              </w:rPr>
              <w:t>unităţi</w:t>
            </w:r>
            <w:proofErr w:type="spellEnd"/>
            <w:r w:rsidRPr="00A064DE">
              <w:rPr>
                <w:rFonts w:ascii="Times New Roman" w:eastAsia="Times New Roman" w:hAnsi="Times New Roman" w:cs="Times New Roman"/>
                <w:bCs/>
                <w:iCs/>
                <w:sz w:val="28"/>
                <w:szCs w:val="28"/>
                <w:lang w:val="ro-RO" w:eastAsia="ro-RO"/>
              </w:rPr>
              <w:t xml:space="preserve"> </w:t>
            </w:r>
            <w:proofErr w:type="spellStart"/>
            <w:r w:rsidRPr="00A064DE">
              <w:rPr>
                <w:rFonts w:ascii="Times New Roman" w:eastAsia="Times New Roman" w:hAnsi="Times New Roman" w:cs="Times New Roman"/>
                <w:bCs/>
                <w:iCs/>
                <w:sz w:val="28"/>
                <w:szCs w:val="28"/>
                <w:lang w:val="ro-RO" w:eastAsia="ro-RO"/>
              </w:rPr>
              <w:t>convenţionale</w:t>
            </w:r>
            <w:proofErr w:type="spellEnd"/>
            <w:r w:rsidRPr="00A064DE">
              <w:rPr>
                <w:rFonts w:ascii="Times New Roman" w:eastAsia="Times New Roman" w:hAnsi="Times New Roman" w:cs="Times New Roman"/>
                <w:bCs/>
                <w:iCs/>
                <w:sz w:val="28"/>
                <w:szCs w:val="28"/>
                <w:lang w:val="ro-RO" w:eastAsia="ro-RO"/>
              </w:rPr>
              <w:t xml:space="preserve"> aplicată persoanei fizice, cu amendă de la 200 la 400 de </w:t>
            </w:r>
            <w:proofErr w:type="spellStart"/>
            <w:r w:rsidRPr="00A064DE">
              <w:rPr>
                <w:rFonts w:ascii="Times New Roman" w:eastAsia="Times New Roman" w:hAnsi="Times New Roman" w:cs="Times New Roman"/>
                <w:bCs/>
                <w:iCs/>
                <w:sz w:val="28"/>
                <w:szCs w:val="28"/>
                <w:lang w:val="ro-RO" w:eastAsia="ro-RO"/>
              </w:rPr>
              <w:t>unităţi</w:t>
            </w:r>
            <w:proofErr w:type="spellEnd"/>
            <w:r w:rsidRPr="00A064DE">
              <w:rPr>
                <w:rFonts w:ascii="Times New Roman" w:eastAsia="Times New Roman" w:hAnsi="Times New Roman" w:cs="Times New Roman"/>
                <w:bCs/>
                <w:iCs/>
                <w:sz w:val="28"/>
                <w:szCs w:val="28"/>
                <w:lang w:val="ro-RO" w:eastAsia="ro-RO"/>
              </w:rPr>
              <w:t xml:space="preserve"> </w:t>
            </w:r>
            <w:proofErr w:type="spellStart"/>
            <w:r w:rsidRPr="00A064DE">
              <w:rPr>
                <w:rFonts w:ascii="Times New Roman" w:eastAsia="Times New Roman" w:hAnsi="Times New Roman" w:cs="Times New Roman"/>
                <w:bCs/>
                <w:iCs/>
                <w:sz w:val="28"/>
                <w:szCs w:val="28"/>
                <w:lang w:val="ro-RO" w:eastAsia="ro-RO"/>
              </w:rPr>
              <w:t>convenţionale</w:t>
            </w:r>
            <w:proofErr w:type="spellEnd"/>
            <w:r w:rsidRPr="00A064DE">
              <w:rPr>
                <w:rFonts w:ascii="Times New Roman" w:eastAsia="Times New Roman" w:hAnsi="Times New Roman" w:cs="Times New Roman"/>
                <w:bCs/>
                <w:iCs/>
                <w:sz w:val="28"/>
                <w:szCs w:val="28"/>
                <w:lang w:val="ro-RO" w:eastAsia="ro-RO"/>
              </w:rPr>
              <w:t xml:space="preserve"> aplicată persoanei juridice;”.</w:t>
            </w:r>
          </w:p>
          <w:p w14:paraId="204167DA" w14:textId="4CDD86F1" w:rsidR="000765FB" w:rsidRPr="00A064DE" w:rsidRDefault="000765FB" w:rsidP="00191CEE">
            <w:pPr>
              <w:tabs>
                <w:tab w:val="left" w:pos="1010"/>
              </w:tabs>
              <w:spacing w:after="0" w:line="240" w:lineRule="auto"/>
              <w:ind w:left="641" w:right="142"/>
              <w:jc w:val="both"/>
              <w:rPr>
                <w:rFonts w:ascii="Times New Roman" w:eastAsia="Times New Roman" w:hAnsi="Times New Roman" w:cs="Times New Roman"/>
                <w:bCs/>
                <w:iCs/>
                <w:sz w:val="28"/>
                <w:szCs w:val="28"/>
                <w:lang w:val="ro-RO" w:eastAsia="ro-RO"/>
              </w:rPr>
            </w:pPr>
            <w:r w:rsidRPr="00A064DE">
              <w:rPr>
                <w:rFonts w:ascii="Times New Roman" w:eastAsia="Times New Roman" w:hAnsi="Times New Roman" w:cs="Times New Roman"/>
                <w:bCs/>
                <w:iCs/>
                <w:sz w:val="28"/>
                <w:szCs w:val="28"/>
                <w:lang w:val="ro-RO" w:eastAsia="ro-RO"/>
              </w:rPr>
              <w:t>Se modifică și art. 404</w:t>
            </w:r>
            <w:r w:rsidRPr="00A064DE">
              <w:rPr>
                <w:rFonts w:ascii="Times New Roman" w:eastAsia="Times New Roman" w:hAnsi="Times New Roman" w:cs="Times New Roman"/>
                <w:bCs/>
                <w:iCs/>
                <w:sz w:val="28"/>
                <w:szCs w:val="28"/>
                <w:vertAlign w:val="superscript"/>
                <w:lang w:val="ro-RO" w:eastAsia="ro-RO"/>
              </w:rPr>
              <w:t>1</w:t>
            </w:r>
            <w:r w:rsidRPr="00A064DE">
              <w:rPr>
                <w:rFonts w:ascii="Times New Roman" w:eastAsia="Times New Roman" w:hAnsi="Times New Roman" w:cs="Times New Roman"/>
                <w:bCs/>
                <w:iCs/>
                <w:sz w:val="28"/>
                <w:szCs w:val="28"/>
                <w:lang w:val="ro-RO" w:eastAsia="ro-RO"/>
              </w:rPr>
              <w:t xml:space="preserve"> în vederea acordării Consiliului Concurenței dreptului de examina și sancționa contravențiile respective.</w:t>
            </w:r>
          </w:p>
          <w:p w14:paraId="3BDC1958" w14:textId="5AEAC628" w:rsidR="00EB1559" w:rsidRPr="00A064DE" w:rsidRDefault="00EB1559" w:rsidP="00F955C0">
            <w:pPr>
              <w:numPr>
                <w:ilvl w:val="0"/>
                <w:numId w:val="3"/>
              </w:numPr>
              <w:tabs>
                <w:tab w:val="left" w:pos="1010"/>
              </w:tabs>
              <w:spacing w:after="0" w:line="240" w:lineRule="auto"/>
              <w:ind w:left="164" w:right="142" w:firstLine="477"/>
              <w:jc w:val="both"/>
              <w:rPr>
                <w:rFonts w:ascii="Times New Roman" w:eastAsia="Times New Roman" w:hAnsi="Times New Roman" w:cs="Times New Roman"/>
                <w:sz w:val="28"/>
                <w:szCs w:val="28"/>
                <w:lang w:val="ro-RO" w:eastAsia="ro-RO"/>
              </w:rPr>
            </w:pPr>
            <w:r w:rsidRPr="00A064DE">
              <w:rPr>
                <w:rFonts w:ascii="Times New Roman" w:eastAsia="Times New Roman" w:hAnsi="Times New Roman" w:cs="Times New Roman"/>
                <w:b/>
                <w:i/>
                <w:sz w:val="28"/>
                <w:szCs w:val="28"/>
                <w:lang w:val="ro-RO" w:eastAsia="ro-RO"/>
              </w:rPr>
              <w:t xml:space="preserve"> </w:t>
            </w:r>
            <w:r w:rsidRPr="00A064DE">
              <w:rPr>
                <w:rFonts w:ascii="Times New Roman" w:eastAsia="Times New Roman" w:hAnsi="Times New Roman" w:cs="Times New Roman"/>
                <w:b/>
                <w:color w:val="000000"/>
                <w:sz w:val="28"/>
                <w:szCs w:val="28"/>
                <w:lang w:val="ro-RO"/>
              </w:rPr>
              <w:t xml:space="preserve">Legea nr. </w:t>
            </w:r>
            <w:r w:rsidR="00C752B3" w:rsidRPr="00A064DE">
              <w:rPr>
                <w:rFonts w:ascii="Times New Roman" w:eastAsia="Times New Roman" w:hAnsi="Times New Roman" w:cs="Times New Roman"/>
                <w:b/>
                <w:color w:val="000000"/>
                <w:sz w:val="28"/>
                <w:szCs w:val="28"/>
                <w:lang w:val="ro-RO"/>
              </w:rPr>
              <w:t>183</w:t>
            </w:r>
            <w:r w:rsidR="00883388" w:rsidRPr="00A064DE">
              <w:rPr>
                <w:rFonts w:ascii="Times New Roman" w:eastAsia="Times New Roman" w:hAnsi="Times New Roman" w:cs="Times New Roman"/>
                <w:b/>
                <w:color w:val="000000"/>
                <w:sz w:val="28"/>
                <w:szCs w:val="28"/>
                <w:lang w:val="ro-RO"/>
              </w:rPr>
              <w:t xml:space="preserve">/2012 – </w:t>
            </w:r>
            <w:r w:rsidR="00883388" w:rsidRPr="00A064DE">
              <w:rPr>
                <w:rFonts w:ascii="Times New Roman" w:eastAsia="Times New Roman" w:hAnsi="Times New Roman" w:cs="Times New Roman"/>
                <w:bCs/>
                <w:color w:val="000000"/>
                <w:sz w:val="28"/>
                <w:szCs w:val="28"/>
                <w:lang w:val="ro-RO"/>
              </w:rPr>
              <w:t>se completează cu prevederi care c</w:t>
            </w:r>
            <w:r w:rsidR="007D7155" w:rsidRPr="00A064DE">
              <w:rPr>
                <w:rFonts w:ascii="Times New Roman" w:eastAsia="Times New Roman" w:hAnsi="Times New Roman" w:cs="Times New Roman"/>
                <w:bCs/>
                <w:color w:val="000000"/>
                <w:sz w:val="28"/>
                <w:szCs w:val="28"/>
                <w:lang w:val="ro-RO"/>
              </w:rPr>
              <w:t>ompletează statutul de autoritate competentă.</w:t>
            </w:r>
          </w:p>
        </w:tc>
      </w:tr>
      <w:tr w:rsidR="00EB1559" w:rsidRPr="00A064DE" w14:paraId="240C2F08" w14:textId="77777777" w:rsidTr="00E102D2">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73011E0"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lastRenderedPageBreak/>
              <w:t>5.</w:t>
            </w:r>
            <w:r w:rsidRPr="00A064DE">
              <w:rPr>
                <w:rFonts w:ascii="Times New Roman" w:eastAsia="Calibri" w:hAnsi="Times New Roman" w:cs="Times New Roman"/>
                <w:b/>
                <w:sz w:val="28"/>
                <w:szCs w:val="28"/>
                <w:lang w:val="ro-RO" w:eastAsia="ro-RO"/>
              </w:rPr>
              <w:t xml:space="preserve"> Fundamentarea </w:t>
            </w:r>
            <w:proofErr w:type="spellStart"/>
            <w:r w:rsidRPr="00A064DE">
              <w:rPr>
                <w:rFonts w:ascii="Times New Roman" w:eastAsia="Calibri" w:hAnsi="Times New Roman" w:cs="Times New Roman"/>
                <w:b/>
                <w:sz w:val="28"/>
                <w:szCs w:val="28"/>
                <w:lang w:val="ro-RO" w:eastAsia="ro-RO"/>
              </w:rPr>
              <w:t>economico</w:t>
            </w:r>
            <w:proofErr w:type="spellEnd"/>
            <w:r w:rsidRPr="00A064DE">
              <w:rPr>
                <w:rFonts w:ascii="Times New Roman" w:eastAsia="Calibri" w:hAnsi="Times New Roman" w:cs="Times New Roman"/>
                <w:b/>
                <w:sz w:val="28"/>
                <w:szCs w:val="28"/>
                <w:lang w:val="ro-RO" w:eastAsia="ro-RO"/>
              </w:rPr>
              <w:t>-financiară</w:t>
            </w:r>
          </w:p>
          <w:p w14:paraId="0A2AB91C"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p>
        </w:tc>
      </w:tr>
      <w:tr w:rsidR="00EB1559" w:rsidRPr="00A064DE" w14:paraId="3F22A7FF" w14:textId="77777777" w:rsidTr="00E102D2">
        <w:trPr>
          <w:trHeight w:val="90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500CE"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i/>
                <w:sz w:val="28"/>
                <w:szCs w:val="28"/>
                <w:lang w:val="ro-RO" w:eastAsia="ro-RO"/>
              </w:rPr>
            </w:pPr>
            <w:r w:rsidRPr="00A064DE">
              <w:rPr>
                <w:rFonts w:ascii="Times New Roman" w:eastAsia="Calibri" w:hAnsi="Times New Roman" w:cs="Times New Roman"/>
                <w:b/>
                <w:i/>
                <w:sz w:val="28"/>
                <w:szCs w:val="28"/>
                <w:lang w:val="ro-RO" w:eastAsia="ro-RO"/>
              </w:rPr>
              <w:t xml:space="preserve">Bugetul de stat: </w:t>
            </w:r>
          </w:p>
          <w:p w14:paraId="5DAC8978" w14:textId="4BC6ABA0" w:rsidR="00EB1559" w:rsidRPr="00A064DE" w:rsidRDefault="00C752B3" w:rsidP="00367B67">
            <w:pPr>
              <w:tabs>
                <w:tab w:val="left" w:pos="876"/>
              </w:tabs>
              <w:spacing w:after="0" w:line="240" w:lineRule="auto"/>
              <w:ind w:left="96" w:right="142" w:firstLine="550"/>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eastAsia="ro-RO"/>
              </w:rPr>
              <w:t xml:space="preserve">În cazul în care numărul </w:t>
            </w:r>
            <w:r w:rsidR="00367B67" w:rsidRPr="00A064DE">
              <w:rPr>
                <w:rFonts w:ascii="Times New Roman" w:eastAsia="Calibri" w:hAnsi="Times New Roman" w:cs="Times New Roman"/>
                <w:sz w:val="28"/>
                <w:szCs w:val="28"/>
                <w:lang w:val="ro-RO" w:eastAsia="ro-RO"/>
              </w:rPr>
              <w:t>plângerilor</w:t>
            </w:r>
            <w:r w:rsidRPr="00A064DE">
              <w:rPr>
                <w:rFonts w:ascii="Times New Roman" w:eastAsia="Calibri" w:hAnsi="Times New Roman" w:cs="Times New Roman"/>
                <w:sz w:val="28"/>
                <w:szCs w:val="28"/>
                <w:lang w:val="ro-RO" w:eastAsia="ro-RO"/>
              </w:rPr>
              <w:t xml:space="preserve"> privind practicile comerciale neloiale va atinge un număr </w:t>
            </w:r>
            <w:r w:rsidR="00367B67" w:rsidRPr="00A064DE">
              <w:rPr>
                <w:rFonts w:ascii="Times New Roman" w:eastAsia="Calibri" w:hAnsi="Times New Roman" w:cs="Times New Roman"/>
                <w:sz w:val="28"/>
                <w:szCs w:val="28"/>
                <w:lang w:val="ro-RO" w:eastAsia="ro-RO"/>
              </w:rPr>
              <w:t xml:space="preserve">considerabil și va depăși capacitățile de personal din cadrul </w:t>
            </w:r>
            <w:r w:rsidR="00367B67" w:rsidRPr="00A064DE">
              <w:rPr>
                <w:rFonts w:ascii="Times New Roman" w:eastAsia="Calibri" w:hAnsi="Times New Roman" w:cs="Times New Roman"/>
                <w:sz w:val="28"/>
                <w:szCs w:val="28"/>
                <w:lang w:val="ro-RO" w:eastAsia="ro-RO"/>
              </w:rPr>
              <w:lastRenderedPageBreak/>
              <w:t>autorităților implicate (CC și ANSA) se va impune necesitatea evaluării posibilității suplinirii numărului de personal</w:t>
            </w:r>
            <w:r w:rsidR="00A064DE" w:rsidRPr="00A064DE">
              <w:rPr>
                <w:rFonts w:ascii="Times New Roman" w:eastAsia="Calibri" w:hAnsi="Times New Roman" w:cs="Times New Roman"/>
                <w:sz w:val="28"/>
                <w:szCs w:val="28"/>
                <w:lang w:val="ro-RO" w:eastAsia="ro-RO"/>
              </w:rPr>
              <w:t xml:space="preserve"> și alocării mijloacelor bugetare necesare</w:t>
            </w:r>
            <w:r w:rsidR="00367B67" w:rsidRPr="00A064DE">
              <w:rPr>
                <w:rFonts w:ascii="Times New Roman" w:eastAsia="Calibri" w:hAnsi="Times New Roman" w:cs="Times New Roman"/>
                <w:sz w:val="28"/>
                <w:szCs w:val="28"/>
                <w:lang w:val="ro-RO" w:eastAsia="ro-RO"/>
              </w:rPr>
              <w:t>.</w:t>
            </w:r>
          </w:p>
        </w:tc>
      </w:tr>
      <w:tr w:rsidR="00EB1559" w:rsidRPr="00A064DE" w14:paraId="53101788" w14:textId="77777777" w:rsidTr="00E102D2">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F93C598"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lastRenderedPageBreak/>
              <w:t>6.</w:t>
            </w:r>
            <w:r w:rsidRPr="00A064DE">
              <w:rPr>
                <w:rFonts w:ascii="Times New Roman" w:eastAsia="Calibri" w:hAnsi="Times New Roman" w:cs="Times New Roman"/>
                <w:b/>
                <w:sz w:val="28"/>
                <w:szCs w:val="28"/>
                <w:lang w:val="ro-RO" w:eastAsia="ro-RO"/>
              </w:rPr>
              <w:t xml:space="preserve"> Modul de încorporare a actului în cadrul normativ în vigoare </w:t>
            </w:r>
          </w:p>
        </w:tc>
      </w:tr>
      <w:tr w:rsidR="00EB1559" w:rsidRPr="00A064DE" w14:paraId="0370061E" w14:textId="77777777" w:rsidTr="00E102D2">
        <w:trPr>
          <w:trHeight w:val="227"/>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63A8E7" w14:textId="1E8E9478" w:rsidR="00EB1559" w:rsidRPr="00A064DE" w:rsidRDefault="00EB1559" w:rsidP="00E102D2">
            <w:pPr>
              <w:spacing w:after="0" w:line="240" w:lineRule="auto"/>
              <w:ind w:left="167" w:right="144" w:firstLine="477"/>
              <w:jc w:val="both"/>
              <w:rPr>
                <w:rFonts w:ascii="Times New Roman" w:eastAsia="Times New Roman" w:hAnsi="Times New Roman" w:cs="Times New Roman"/>
                <w:bCs/>
                <w:sz w:val="28"/>
                <w:szCs w:val="28"/>
                <w:lang w:val="ro-RO"/>
              </w:rPr>
            </w:pPr>
            <w:r w:rsidRPr="00A064DE">
              <w:rPr>
                <w:rFonts w:ascii="Times New Roman" w:eastAsia="Times New Roman" w:hAnsi="Times New Roman" w:cs="Times New Roman"/>
                <w:bCs/>
                <w:sz w:val="28"/>
                <w:szCs w:val="28"/>
                <w:lang w:val="ro-RO"/>
              </w:rPr>
              <w:t xml:space="preserve">Proiectul legii vine să asigure </w:t>
            </w:r>
            <w:r w:rsidR="00367B67" w:rsidRPr="00A064DE">
              <w:rPr>
                <w:rFonts w:ascii="Times New Roman" w:eastAsia="Times New Roman" w:hAnsi="Times New Roman" w:cs="Times New Roman"/>
                <w:bCs/>
                <w:sz w:val="28"/>
                <w:szCs w:val="28"/>
                <w:lang w:val="ro-RO"/>
              </w:rPr>
              <w:t>transpunerea</w:t>
            </w:r>
            <w:r w:rsidRPr="00A064DE">
              <w:rPr>
                <w:rFonts w:ascii="Times New Roman" w:eastAsia="Times New Roman" w:hAnsi="Times New Roman" w:cs="Times New Roman"/>
                <w:bCs/>
                <w:sz w:val="28"/>
                <w:szCs w:val="28"/>
                <w:lang w:val="ro-RO"/>
              </w:rPr>
              <w:t xml:space="preserve"> </w:t>
            </w:r>
            <w:r w:rsidR="00367B67" w:rsidRPr="00A064DE">
              <w:rPr>
                <w:rFonts w:ascii="Times New Roman" w:eastAsia="Times New Roman" w:hAnsi="Times New Roman" w:cs="Times New Roman"/>
                <w:bCs/>
                <w:sz w:val="28"/>
                <w:szCs w:val="28"/>
                <w:lang w:val="ro-RO"/>
              </w:rPr>
              <w:t>reglementărilor europene</w:t>
            </w:r>
            <w:r w:rsidRPr="00A064DE">
              <w:rPr>
                <w:rFonts w:ascii="Times New Roman" w:eastAsia="Times New Roman" w:hAnsi="Times New Roman" w:cs="Times New Roman"/>
                <w:bCs/>
                <w:sz w:val="28"/>
                <w:szCs w:val="28"/>
                <w:lang w:val="ro-RO"/>
              </w:rPr>
              <w:t xml:space="preserve"> în cadrul legal </w:t>
            </w:r>
            <w:r w:rsidR="00367B67" w:rsidRPr="00A064DE">
              <w:rPr>
                <w:rFonts w:ascii="Times New Roman" w:eastAsia="Times New Roman" w:hAnsi="Times New Roman" w:cs="Times New Roman"/>
                <w:bCs/>
                <w:sz w:val="28"/>
                <w:szCs w:val="28"/>
                <w:lang w:val="ro-RO"/>
              </w:rPr>
              <w:t>național</w:t>
            </w:r>
            <w:r w:rsidRPr="00A064DE">
              <w:rPr>
                <w:rFonts w:ascii="Times New Roman" w:eastAsia="Times New Roman" w:hAnsi="Times New Roman" w:cs="Times New Roman"/>
                <w:bCs/>
                <w:sz w:val="28"/>
                <w:szCs w:val="28"/>
                <w:lang w:val="ro-RO"/>
              </w:rPr>
              <w:t xml:space="preserve"> </w:t>
            </w:r>
            <w:r w:rsidR="00367B67" w:rsidRPr="00A064DE">
              <w:rPr>
                <w:rFonts w:ascii="Times New Roman" w:eastAsia="Times New Roman" w:hAnsi="Times New Roman" w:cs="Times New Roman"/>
                <w:bCs/>
                <w:sz w:val="28"/>
                <w:szCs w:val="28"/>
                <w:lang w:val="ro-RO"/>
              </w:rPr>
              <w:t>ce implică</w:t>
            </w:r>
            <w:r w:rsidRPr="00A064DE">
              <w:rPr>
                <w:rFonts w:ascii="Times New Roman" w:eastAsia="Times New Roman" w:hAnsi="Times New Roman" w:cs="Times New Roman"/>
                <w:bCs/>
                <w:sz w:val="28"/>
                <w:szCs w:val="28"/>
                <w:lang w:val="ro-RO"/>
              </w:rPr>
              <w:t xml:space="preserve"> necesitatea modificării unor acte legislative, expuse succint în pct.4 </w:t>
            </w:r>
            <w:r w:rsidR="002E354A" w:rsidRPr="00A064DE">
              <w:rPr>
                <w:rFonts w:ascii="Times New Roman" w:eastAsia="Times New Roman" w:hAnsi="Times New Roman" w:cs="Times New Roman"/>
                <w:bCs/>
                <w:sz w:val="28"/>
                <w:szCs w:val="28"/>
                <w:lang w:val="ro-RO"/>
              </w:rPr>
              <w:t xml:space="preserve">de </w:t>
            </w:r>
            <w:r w:rsidRPr="00A064DE">
              <w:rPr>
                <w:rFonts w:ascii="Times New Roman" w:eastAsia="Times New Roman" w:hAnsi="Times New Roman" w:cs="Times New Roman"/>
                <w:bCs/>
                <w:sz w:val="28"/>
                <w:szCs w:val="28"/>
                <w:lang w:val="ro-RO"/>
              </w:rPr>
              <w:t>mai sus.</w:t>
            </w:r>
          </w:p>
          <w:p w14:paraId="2953805C" w14:textId="77777777" w:rsidR="00EB1559" w:rsidRPr="00A064DE" w:rsidRDefault="00EB1559" w:rsidP="00E102D2">
            <w:pPr>
              <w:spacing w:after="0" w:line="240" w:lineRule="auto"/>
              <w:ind w:left="167" w:right="144" w:firstLine="477"/>
              <w:jc w:val="both"/>
              <w:rPr>
                <w:rFonts w:ascii="Times New Roman" w:eastAsia="Times New Roman" w:hAnsi="Times New Roman" w:cs="Times New Roman"/>
                <w:bCs/>
                <w:sz w:val="28"/>
                <w:szCs w:val="28"/>
                <w:lang w:val="ro-RO"/>
              </w:rPr>
            </w:pPr>
          </w:p>
        </w:tc>
      </w:tr>
      <w:tr w:rsidR="00EB1559" w:rsidRPr="00A064DE" w14:paraId="342D6509" w14:textId="77777777" w:rsidTr="00E102D2">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BA76551"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t>7.</w:t>
            </w:r>
            <w:r w:rsidRPr="00A064DE">
              <w:rPr>
                <w:rFonts w:ascii="Times New Roman" w:eastAsia="Calibri" w:hAnsi="Times New Roman" w:cs="Times New Roman"/>
                <w:b/>
                <w:sz w:val="28"/>
                <w:szCs w:val="28"/>
                <w:lang w:val="ro-RO" w:eastAsia="ro-RO"/>
              </w:rPr>
              <w:t xml:space="preserve"> Avizarea </w:t>
            </w:r>
            <w:proofErr w:type="spellStart"/>
            <w:r w:rsidRPr="00A064DE">
              <w:rPr>
                <w:rFonts w:ascii="Times New Roman" w:eastAsia="Calibri" w:hAnsi="Times New Roman" w:cs="Times New Roman"/>
                <w:b/>
                <w:sz w:val="28"/>
                <w:szCs w:val="28"/>
                <w:lang w:val="ro-RO" w:eastAsia="ro-RO"/>
              </w:rPr>
              <w:t>şi</w:t>
            </w:r>
            <w:proofErr w:type="spellEnd"/>
            <w:r w:rsidRPr="00A064DE">
              <w:rPr>
                <w:rFonts w:ascii="Times New Roman" w:eastAsia="Calibri" w:hAnsi="Times New Roman" w:cs="Times New Roman"/>
                <w:b/>
                <w:sz w:val="28"/>
                <w:szCs w:val="28"/>
                <w:lang w:val="ro-RO" w:eastAsia="ro-RO"/>
              </w:rPr>
              <w:t xml:space="preserve"> consultarea publică a proiectului </w:t>
            </w:r>
          </w:p>
          <w:p w14:paraId="5FE6CC02"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p>
        </w:tc>
      </w:tr>
      <w:tr w:rsidR="00EB1559" w:rsidRPr="00A064DE" w14:paraId="4DB3EDB4" w14:textId="77777777" w:rsidTr="00E102D2">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89CADB" w14:textId="51E85CE9"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rPr>
              <w:t xml:space="preserve">În scopul respectării prevederilor Legii nr.239/2008 privind </w:t>
            </w:r>
            <w:proofErr w:type="spellStart"/>
            <w:r w:rsidRPr="00A064DE">
              <w:rPr>
                <w:rFonts w:ascii="Times New Roman" w:eastAsia="Calibri" w:hAnsi="Times New Roman" w:cs="Times New Roman"/>
                <w:sz w:val="28"/>
                <w:szCs w:val="28"/>
                <w:lang w:val="ro-RO"/>
              </w:rPr>
              <w:t>transparenţa</w:t>
            </w:r>
            <w:proofErr w:type="spellEnd"/>
            <w:r w:rsidRPr="00A064DE">
              <w:rPr>
                <w:rFonts w:ascii="Times New Roman" w:eastAsia="Calibri" w:hAnsi="Times New Roman" w:cs="Times New Roman"/>
                <w:sz w:val="28"/>
                <w:szCs w:val="28"/>
                <w:lang w:val="ro-RO"/>
              </w:rPr>
              <w:t xml:space="preserve"> în procesul decizional, </w:t>
            </w:r>
            <w:r w:rsidR="005A5AD9" w:rsidRPr="00A064DE">
              <w:rPr>
                <w:rFonts w:ascii="Times New Roman" w:eastAsia="Calibri" w:hAnsi="Times New Roman" w:cs="Times New Roman"/>
                <w:sz w:val="28"/>
                <w:szCs w:val="28"/>
                <w:lang w:val="ro-RO"/>
              </w:rPr>
              <w:t xml:space="preserve">anunțul privind elaborarea </w:t>
            </w:r>
            <w:r w:rsidRPr="00A064DE">
              <w:rPr>
                <w:rFonts w:ascii="Times New Roman" w:eastAsia="Calibri" w:hAnsi="Times New Roman" w:cs="Times New Roman"/>
                <w:sz w:val="28"/>
                <w:szCs w:val="28"/>
                <w:lang w:val="ro-RO"/>
              </w:rPr>
              <w:t>proiectului</w:t>
            </w:r>
            <w:r w:rsidR="005A5AD9" w:rsidRPr="00A064DE">
              <w:rPr>
                <w:rFonts w:ascii="Times New Roman" w:eastAsia="Calibri" w:hAnsi="Times New Roman" w:cs="Times New Roman"/>
                <w:sz w:val="28"/>
                <w:szCs w:val="28"/>
                <w:lang w:val="ro-RO"/>
              </w:rPr>
              <w:t xml:space="preserve"> de</w:t>
            </w:r>
            <w:r w:rsidRPr="00A064DE">
              <w:rPr>
                <w:rFonts w:ascii="Times New Roman" w:eastAsia="Calibri" w:hAnsi="Times New Roman" w:cs="Times New Roman"/>
                <w:sz w:val="28"/>
                <w:szCs w:val="28"/>
                <w:lang w:val="ro-RO"/>
              </w:rPr>
              <w:t xml:space="preserve"> leg</w:t>
            </w:r>
            <w:r w:rsidR="005A5AD9" w:rsidRPr="00A064DE">
              <w:rPr>
                <w:rFonts w:ascii="Times New Roman" w:eastAsia="Calibri" w:hAnsi="Times New Roman" w:cs="Times New Roman"/>
                <w:sz w:val="28"/>
                <w:szCs w:val="28"/>
                <w:lang w:val="ro-RO"/>
              </w:rPr>
              <w:t>e și proiectul propriu-zis</w:t>
            </w:r>
            <w:r w:rsidRPr="00A064DE">
              <w:rPr>
                <w:rFonts w:ascii="Times New Roman" w:eastAsia="Calibri" w:hAnsi="Times New Roman" w:cs="Times New Roman"/>
                <w:sz w:val="28"/>
                <w:szCs w:val="28"/>
                <w:lang w:val="ro-RO"/>
              </w:rPr>
              <w:t xml:space="preserve"> a fost plasat pe pagina web oficială a Ministerului Economiei și Infrastructurii </w:t>
            </w:r>
            <w:r w:rsidRPr="00A064DE">
              <w:rPr>
                <w:rFonts w:ascii="Times New Roman" w:eastAsia="Calibri" w:hAnsi="Times New Roman" w:cs="Times New Roman"/>
                <w:i/>
                <w:sz w:val="28"/>
                <w:szCs w:val="28"/>
                <w:lang w:val="ro-RO"/>
              </w:rPr>
              <w:t>(</w:t>
            </w:r>
            <w:hyperlink r:id="rId6" w:history="1">
              <w:r w:rsidR="005A5AD9" w:rsidRPr="00A064DE">
                <w:rPr>
                  <w:rStyle w:val="Hyperlink"/>
                  <w:rFonts w:ascii="Times New Roman" w:eastAsia="Calibri" w:hAnsi="Times New Roman" w:cs="Times New Roman"/>
                  <w:i/>
                  <w:sz w:val="28"/>
                  <w:szCs w:val="28"/>
                  <w:lang w:val="ro-RO"/>
                </w:rPr>
                <w:t>www.me.gov.md</w:t>
              </w:r>
            </w:hyperlink>
            <w:r w:rsidRPr="00A064DE">
              <w:rPr>
                <w:rFonts w:ascii="Times New Roman" w:eastAsia="Calibri" w:hAnsi="Times New Roman" w:cs="Times New Roman"/>
                <w:i/>
                <w:sz w:val="28"/>
                <w:szCs w:val="28"/>
                <w:lang w:val="ro-RO"/>
              </w:rPr>
              <w:t>)</w:t>
            </w:r>
            <w:r w:rsidRPr="00A064DE">
              <w:rPr>
                <w:rFonts w:ascii="Times New Roman" w:eastAsia="Calibri" w:hAnsi="Times New Roman" w:cs="Times New Roman"/>
                <w:sz w:val="28"/>
                <w:szCs w:val="28"/>
                <w:lang w:val="ro-RO"/>
              </w:rPr>
              <w:t>, în compartimentul ”</w:t>
            </w:r>
            <w:proofErr w:type="spellStart"/>
            <w:r w:rsidRPr="00A064DE">
              <w:rPr>
                <w:rFonts w:ascii="Times New Roman" w:eastAsia="Calibri" w:hAnsi="Times New Roman" w:cs="Times New Roman"/>
                <w:sz w:val="28"/>
                <w:szCs w:val="28"/>
                <w:lang w:val="ro-RO"/>
              </w:rPr>
              <w:t>Transparenţa</w:t>
            </w:r>
            <w:proofErr w:type="spellEnd"/>
            <w:r w:rsidRPr="00A064DE">
              <w:rPr>
                <w:rFonts w:ascii="Times New Roman" w:eastAsia="Calibri" w:hAnsi="Times New Roman" w:cs="Times New Roman"/>
                <w:sz w:val="28"/>
                <w:szCs w:val="28"/>
                <w:lang w:val="ro-RO"/>
              </w:rPr>
              <w:t xml:space="preserve"> decizională”,</w:t>
            </w:r>
            <w:r w:rsidR="005A5AD9" w:rsidRPr="00A064DE">
              <w:rPr>
                <w:rFonts w:ascii="Times New Roman" w:eastAsia="Calibri" w:hAnsi="Times New Roman" w:cs="Times New Roman"/>
                <w:sz w:val="28"/>
                <w:szCs w:val="28"/>
                <w:lang w:val="ro-RO"/>
              </w:rPr>
              <w:t xml:space="preserve"> </w:t>
            </w:r>
            <w:r w:rsidR="005A5AD9" w:rsidRPr="00A064DE">
              <w:rPr>
                <w:rFonts w:ascii="Times New Roman" w:eastAsia="Calibri" w:hAnsi="Times New Roman" w:cs="Times New Roman"/>
                <w:sz w:val="28"/>
                <w:szCs w:val="28"/>
                <w:lang w:val="ro-RO"/>
              </w:rPr>
              <w:t>directoriul</w:t>
            </w:r>
            <w:r w:rsidR="005A5AD9" w:rsidRPr="00A064DE">
              <w:rPr>
                <w:rFonts w:ascii="Times New Roman" w:eastAsia="Calibri" w:hAnsi="Times New Roman" w:cs="Times New Roman"/>
                <w:sz w:val="28"/>
                <w:szCs w:val="28"/>
                <w:lang w:val="ro-RO"/>
              </w:rPr>
              <w:t xml:space="preserve"> ”</w:t>
            </w:r>
            <w:r w:rsidRPr="00A064DE">
              <w:rPr>
                <w:rFonts w:ascii="Times New Roman" w:eastAsia="Calibri" w:hAnsi="Times New Roman" w:cs="Times New Roman"/>
                <w:sz w:val="28"/>
                <w:szCs w:val="28"/>
                <w:lang w:val="ro-RO"/>
              </w:rPr>
              <w:t xml:space="preserve">Anunțuri privind inițierea elaborării deciziei” </w:t>
            </w:r>
            <w:r w:rsidR="005A5AD9" w:rsidRPr="00A064DE">
              <w:rPr>
                <w:rFonts w:ascii="Times New Roman" w:eastAsia="Calibri" w:hAnsi="Times New Roman" w:cs="Times New Roman"/>
                <w:sz w:val="28"/>
                <w:szCs w:val="28"/>
                <w:lang w:val="ro-RO"/>
              </w:rPr>
              <w:t>și</w:t>
            </w:r>
            <w:r w:rsidR="005A5AD9" w:rsidRPr="00A064DE">
              <w:rPr>
                <w:rFonts w:ascii="Times New Roman" w:eastAsia="Calibri" w:hAnsi="Times New Roman" w:cs="Times New Roman"/>
                <w:sz w:val="28"/>
                <w:szCs w:val="28"/>
                <w:lang w:val="ro-RO"/>
              </w:rPr>
              <w:t xml:space="preserve"> pe</w:t>
            </w:r>
            <w:r w:rsidR="005A5AD9" w:rsidRPr="00A064DE">
              <w:rPr>
                <w:rFonts w:ascii="Times New Roman" w:eastAsia="Calibri" w:hAnsi="Times New Roman" w:cs="Times New Roman"/>
                <w:sz w:val="28"/>
                <w:szCs w:val="28"/>
                <w:lang w:val="ro-RO"/>
              </w:rPr>
              <w:t xml:space="preserve"> pagina</w:t>
            </w:r>
            <w:r w:rsidR="005A5AD9" w:rsidRPr="00A064DE">
              <w:rPr>
                <w:rFonts w:ascii="Times New Roman" w:eastAsia="Calibri" w:hAnsi="Times New Roman" w:cs="Times New Roman"/>
                <w:sz w:val="28"/>
                <w:szCs w:val="28"/>
                <w:lang w:val="ro-RO"/>
              </w:rPr>
              <w:t xml:space="preserve"> </w:t>
            </w:r>
            <w:r w:rsidR="00A064DE" w:rsidRPr="00A064DE">
              <w:rPr>
                <w:rFonts w:ascii="Times New Roman" w:eastAsia="Calibri" w:hAnsi="Times New Roman" w:cs="Times New Roman"/>
                <w:sz w:val="28"/>
                <w:szCs w:val="28"/>
                <w:lang w:val="ro-RO"/>
              </w:rPr>
              <w:t xml:space="preserve">web </w:t>
            </w:r>
            <w:r w:rsidR="005A5AD9" w:rsidRPr="00A064DE">
              <w:rPr>
                <w:rFonts w:ascii="Times New Roman" w:eastAsia="Calibri" w:hAnsi="Times New Roman" w:cs="Times New Roman"/>
                <w:sz w:val="28"/>
                <w:szCs w:val="28"/>
                <w:lang w:val="ro-RO"/>
              </w:rPr>
              <w:t>particip.gov.md</w:t>
            </w:r>
            <w:r w:rsidR="005A5AD9" w:rsidRPr="00A064DE">
              <w:rPr>
                <w:rFonts w:ascii="Times New Roman" w:eastAsia="Calibri" w:hAnsi="Times New Roman" w:cs="Times New Roman"/>
                <w:sz w:val="28"/>
                <w:szCs w:val="28"/>
                <w:lang w:val="ro-RO"/>
              </w:rPr>
              <w:t xml:space="preserve">. </w:t>
            </w:r>
            <w:r w:rsidR="005A5AD9" w:rsidRPr="00A064DE">
              <w:rPr>
                <w:rFonts w:ascii="Times New Roman" w:eastAsia="Calibri" w:hAnsi="Times New Roman" w:cs="Times New Roman"/>
                <w:sz w:val="28"/>
                <w:szCs w:val="28"/>
                <w:lang w:val="ro-RO"/>
              </w:rPr>
              <w:t xml:space="preserve"> </w:t>
            </w:r>
            <w:r w:rsidRPr="00A064DE">
              <w:rPr>
                <w:rFonts w:ascii="Times New Roman" w:eastAsia="Calibri" w:hAnsi="Times New Roman" w:cs="Times New Roman"/>
                <w:sz w:val="28"/>
                <w:szCs w:val="28"/>
                <w:lang w:val="ro-RO"/>
              </w:rPr>
              <w:t xml:space="preserve">Proiectul de lege </w:t>
            </w:r>
            <w:r w:rsidR="002E354A" w:rsidRPr="00A064DE">
              <w:rPr>
                <w:rFonts w:ascii="Times New Roman" w:eastAsia="Calibri" w:hAnsi="Times New Roman" w:cs="Times New Roman"/>
                <w:sz w:val="28"/>
                <w:szCs w:val="28"/>
                <w:lang w:val="ro-RO"/>
              </w:rPr>
              <w:t>va fi</w:t>
            </w:r>
            <w:r w:rsidRPr="00A064DE">
              <w:rPr>
                <w:rFonts w:ascii="Times New Roman" w:eastAsia="Calibri" w:hAnsi="Times New Roman" w:cs="Times New Roman"/>
                <w:sz w:val="28"/>
                <w:szCs w:val="28"/>
                <w:lang w:val="ro-RO"/>
              </w:rPr>
              <w:t xml:space="preserve"> supus avizării și consultării publice în conformitate cu procedura stabilită prin Legea nr.100/2017 cu privire la actele normative și Legea nr.239/2008</w:t>
            </w:r>
            <w:r w:rsidRPr="00A064DE">
              <w:rPr>
                <w:rFonts w:ascii="Times New Roman" w:eastAsia="Calibri" w:hAnsi="Times New Roman" w:cs="Times New Roman"/>
                <w:sz w:val="28"/>
                <w:szCs w:val="28"/>
                <w:lang w:val="ro-RO" w:eastAsia="ro-RO"/>
              </w:rPr>
              <w:t xml:space="preserve">. </w:t>
            </w:r>
          </w:p>
          <w:p w14:paraId="5D38236D" w14:textId="77777777"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p>
        </w:tc>
      </w:tr>
      <w:tr w:rsidR="00EB1559" w:rsidRPr="00A064DE" w14:paraId="54F29F74" w14:textId="77777777" w:rsidTr="00E102D2">
        <w:trPr>
          <w:trHeight w:val="227"/>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AB2FBD1"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t>8.</w:t>
            </w:r>
            <w:r w:rsidRPr="00A064DE">
              <w:rPr>
                <w:rFonts w:ascii="Times New Roman" w:eastAsia="Calibri" w:hAnsi="Times New Roman" w:cs="Times New Roman"/>
                <w:b/>
                <w:sz w:val="28"/>
                <w:szCs w:val="28"/>
                <w:lang w:val="ro-RO" w:eastAsia="ro-RO"/>
              </w:rPr>
              <w:t xml:space="preserve"> Constatările expertizei </w:t>
            </w:r>
            <w:proofErr w:type="spellStart"/>
            <w:r w:rsidRPr="00A064DE">
              <w:rPr>
                <w:rFonts w:ascii="Times New Roman" w:eastAsia="Calibri" w:hAnsi="Times New Roman" w:cs="Times New Roman"/>
                <w:b/>
                <w:sz w:val="28"/>
                <w:szCs w:val="28"/>
                <w:lang w:val="ro-RO" w:eastAsia="ro-RO"/>
              </w:rPr>
              <w:t>anticorupţie</w:t>
            </w:r>
            <w:proofErr w:type="spellEnd"/>
          </w:p>
          <w:p w14:paraId="0F734A35"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p>
        </w:tc>
      </w:tr>
      <w:tr w:rsidR="00EB1559" w:rsidRPr="00A064DE" w14:paraId="6901E49D" w14:textId="77777777" w:rsidTr="00E102D2">
        <w:trPr>
          <w:trHeight w:val="462"/>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C1AED" w14:textId="77777777"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eastAsia="ro-RO"/>
              </w:rPr>
              <w:t xml:space="preserve">Proiectul de lege va fi supus expertizei anticorupție </w:t>
            </w:r>
          </w:p>
        </w:tc>
      </w:tr>
      <w:tr w:rsidR="00EB1559" w:rsidRPr="00A064DE" w14:paraId="6D06AD24" w14:textId="77777777" w:rsidTr="00E102D2">
        <w:trPr>
          <w:trHeight w:val="227"/>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08AC583E"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t>9.</w:t>
            </w:r>
            <w:r w:rsidRPr="00A064DE">
              <w:rPr>
                <w:rFonts w:ascii="Times New Roman" w:eastAsia="Calibri" w:hAnsi="Times New Roman" w:cs="Times New Roman"/>
                <w:b/>
                <w:sz w:val="28"/>
                <w:szCs w:val="28"/>
                <w:lang w:val="ro-RO" w:eastAsia="ro-RO"/>
              </w:rPr>
              <w:t xml:space="preserve"> Constatările expertizei de compatibilitate</w:t>
            </w:r>
          </w:p>
          <w:p w14:paraId="56C20A01"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p>
        </w:tc>
      </w:tr>
      <w:tr w:rsidR="00EB1559" w:rsidRPr="00A064DE" w14:paraId="2868C439" w14:textId="77777777" w:rsidTr="00E102D2">
        <w:trPr>
          <w:trHeight w:val="454"/>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BEAFBD" w14:textId="4F9FA62F" w:rsidR="00EB1559" w:rsidRPr="00A064DE" w:rsidRDefault="00EB1559" w:rsidP="001F1F65">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eastAsia="ro-RO"/>
              </w:rPr>
              <w:t xml:space="preserve">Proiectul de lege </w:t>
            </w:r>
            <w:r w:rsidR="001F1F65" w:rsidRPr="00A064DE">
              <w:rPr>
                <w:rFonts w:ascii="Times New Roman" w:eastAsia="Calibri" w:hAnsi="Times New Roman" w:cs="Times New Roman"/>
                <w:sz w:val="28"/>
                <w:szCs w:val="28"/>
                <w:lang w:val="ro-RO" w:eastAsia="ro-RO"/>
              </w:rPr>
              <w:t xml:space="preserve">va fi supus </w:t>
            </w:r>
            <w:proofErr w:type="spellStart"/>
            <w:r w:rsidR="001F1F65" w:rsidRPr="00A064DE">
              <w:rPr>
                <w:rFonts w:ascii="Times New Roman" w:eastAsia="Calibri" w:hAnsi="Times New Roman" w:cs="Times New Roman"/>
                <w:sz w:val="28"/>
                <w:szCs w:val="28"/>
                <w:lang w:val="ro-RO" w:eastAsia="ro-RO"/>
              </w:rPr>
              <w:t>e</w:t>
            </w:r>
            <w:r w:rsidR="001F1F65" w:rsidRPr="00A064DE">
              <w:rPr>
                <w:rFonts w:ascii="Times New Roman" w:eastAsia="Calibri" w:hAnsi="Times New Roman" w:cs="Times New Roman"/>
                <w:sz w:val="28"/>
                <w:szCs w:val="28"/>
                <w:lang w:val="ro-RO" w:eastAsia="ro-RO"/>
              </w:rPr>
              <w:t>xpertiza</w:t>
            </w:r>
            <w:r w:rsidR="001F1F65" w:rsidRPr="00A064DE">
              <w:rPr>
                <w:rFonts w:ascii="Times New Roman" w:eastAsia="Calibri" w:hAnsi="Times New Roman" w:cs="Times New Roman"/>
                <w:sz w:val="28"/>
                <w:szCs w:val="28"/>
                <w:lang w:val="ro-RO" w:eastAsia="ro-RO"/>
              </w:rPr>
              <w:t>ei</w:t>
            </w:r>
            <w:proofErr w:type="spellEnd"/>
            <w:r w:rsidR="001F1F65" w:rsidRPr="00A064DE">
              <w:rPr>
                <w:rFonts w:ascii="Times New Roman" w:eastAsia="Calibri" w:hAnsi="Times New Roman" w:cs="Times New Roman"/>
                <w:sz w:val="28"/>
                <w:szCs w:val="28"/>
                <w:lang w:val="ro-RO" w:eastAsia="ro-RO"/>
              </w:rPr>
              <w:t xml:space="preserve"> de compatibilitate a proiectului actului normativ</w:t>
            </w:r>
            <w:r w:rsidR="001F1F65" w:rsidRPr="00A064DE">
              <w:rPr>
                <w:rFonts w:ascii="Times New Roman" w:eastAsia="Calibri" w:hAnsi="Times New Roman" w:cs="Times New Roman"/>
                <w:sz w:val="28"/>
                <w:szCs w:val="28"/>
                <w:lang w:val="ro-RO" w:eastAsia="ro-RO"/>
              </w:rPr>
              <w:t xml:space="preserve"> </w:t>
            </w:r>
            <w:r w:rsidR="001F1F65" w:rsidRPr="00A064DE">
              <w:rPr>
                <w:rFonts w:ascii="Times New Roman" w:eastAsia="Calibri" w:hAnsi="Times New Roman" w:cs="Times New Roman"/>
                <w:sz w:val="28"/>
                <w:szCs w:val="28"/>
                <w:lang w:val="ro-RO" w:eastAsia="ro-RO"/>
              </w:rPr>
              <w:t xml:space="preserve">cu </w:t>
            </w:r>
            <w:proofErr w:type="spellStart"/>
            <w:r w:rsidR="001F1F65" w:rsidRPr="00A064DE">
              <w:rPr>
                <w:rFonts w:ascii="Times New Roman" w:eastAsia="Calibri" w:hAnsi="Times New Roman" w:cs="Times New Roman"/>
                <w:sz w:val="28"/>
                <w:szCs w:val="28"/>
                <w:lang w:val="ro-RO" w:eastAsia="ro-RO"/>
              </w:rPr>
              <w:t>legislaţia</w:t>
            </w:r>
            <w:proofErr w:type="spellEnd"/>
            <w:r w:rsidR="001F1F65" w:rsidRPr="00A064DE">
              <w:rPr>
                <w:rFonts w:ascii="Times New Roman" w:eastAsia="Calibri" w:hAnsi="Times New Roman" w:cs="Times New Roman"/>
                <w:sz w:val="28"/>
                <w:szCs w:val="28"/>
                <w:lang w:val="ro-RO" w:eastAsia="ro-RO"/>
              </w:rPr>
              <w:t xml:space="preserve"> Uniunii Europene</w:t>
            </w:r>
            <w:r w:rsidR="001F1F65" w:rsidRPr="00A064DE">
              <w:rPr>
                <w:rFonts w:ascii="Times New Roman" w:eastAsia="Calibri" w:hAnsi="Times New Roman" w:cs="Times New Roman"/>
                <w:sz w:val="28"/>
                <w:szCs w:val="28"/>
                <w:lang w:val="ro-RO" w:eastAsia="ro-RO"/>
              </w:rPr>
              <w:t xml:space="preserve">  în cadrul procesului de avizare</w:t>
            </w:r>
            <w:r w:rsidRPr="00A064DE">
              <w:rPr>
                <w:rFonts w:ascii="Times New Roman" w:eastAsia="Calibri" w:hAnsi="Times New Roman" w:cs="Times New Roman"/>
                <w:sz w:val="28"/>
                <w:szCs w:val="28"/>
                <w:lang w:val="ro-RO" w:eastAsia="ro-RO"/>
              </w:rPr>
              <w:t>.</w:t>
            </w:r>
          </w:p>
        </w:tc>
      </w:tr>
      <w:tr w:rsidR="00EB1559" w:rsidRPr="00A064DE" w14:paraId="6948777C" w14:textId="77777777" w:rsidTr="00E102D2">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63C7B06" w14:textId="77777777" w:rsidR="00EB1559" w:rsidRPr="00A064DE" w:rsidRDefault="00EB1559" w:rsidP="00E102D2">
            <w:pPr>
              <w:spacing w:after="0" w:line="240" w:lineRule="auto"/>
              <w:ind w:left="167" w:right="144" w:firstLine="477"/>
              <w:jc w:val="both"/>
              <w:rPr>
                <w:rFonts w:ascii="Times New Roman" w:eastAsia="Calibri" w:hAnsi="Times New Roman" w:cs="Times New Roman"/>
                <w:b/>
                <w:sz w:val="28"/>
                <w:szCs w:val="28"/>
                <w:lang w:val="ro-RO" w:eastAsia="ro-RO"/>
              </w:rPr>
            </w:pPr>
            <w:r w:rsidRPr="00A064DE">
              <w:rPr>
                <w:rFonts w:ascii="Times New Roman" w:eastAsia="Calibri" w:hAnsi="Times New Roman" w:cs="Times New Roman"/>
                <w:b/>
                <w:bCs/>
                <w:sz w:val="28"/>
                <w:szCs w:val="28"/>
                <w:lang w:val="ro-RO" w:eastAsia="ro-RO"/>
              </w:rPr>
              <w:t>10.</w:t>
            </w:r>
            <w:r w:rsidRPr="00A064DE">
              <w:rPr>
                <w:rFonts w:ascii="Times New Roman" w:eastAsia="Calibri" w:hAnsi="Times New Roman" w:cs="Times New Roman"/>
                <w:b/>
                <w:sz w:val="28"/>
                <w:szCs w:val="28"/>
                <w:lang w:val="ro-RO" w:eastAsia="ro-RO"/>
              </w:rPr>
              <w:t xml:space="preserve"> Constatările expertizei juridice</w:t>
            </w:r>
          </w:p>
        </w:tc>
      </w:tr>
      <w:tr w:rsidR="00EB1559" w:rsidRPr="00A064DE" w14:paraId="147A2673" w14:textId="77777777" w:rsidTr="00E102D2">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CB5E0" w14:textId="3AB72C9F"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sz w:val="28"/>
                <w:szCs w:val="28"/>
                <w:lang w:val="ro-RO" w:eastAsia="ro-RO"/>
              </w:rPr>
              <w:t>Proiectul de lege va fi supus expertizei juridice.</w:t>
            </w:r>
          </w:p>
        </w:tc>
      </w:tr>
      <w:tr w:rsidR="00EB1559" w:rsidRPr="00A064DE" w14:paraId="0141057B" w14:textId="77777777" w:rsidTr="00E102D2">
        <w:trPr>
          <w:trHeight w:val="312"/>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14:paraId="2D21B59D" w14:textId="77777777" w:rsidR="00EB1559" w:rsidRPr="00A064DE" w:rsidRDefault="00EB1559" w:rsidP="00E102D2">
            <w:pPr>
              <w:spacing w:after="0" w:line="240" w:lineRule="auto"/>
              <w:ind w:left="167" w:right="144" w:firstLine="477"/>
              <w:jc w:val="both"/>
              <w:rPr>
                <w:rFonts w:ascii="Times New Roman" w:eastAsia="Calibri" w:hAnsi="Times New Roman" w:cs="Times New Roman"/>
                <w:sz w:val="28"/>
                <w:szCs w:val="28"/>
                <w:lang w:val="ro-RO" w:eastAsia="ro-RO"/>
              </w:rPr>
            </w:pPr>
            <w:r w:rsidRPr="00A064DE">
              <w:rPr>
                <w:rFonts w:ascii="Times New Roman" w:eastAsia="Calibri" w:hAnsi="Times New Roman" w:cs="Times New Roman"/>
                <w:b/>
                <w:bCs/>
                <w:sz w:val="28"/>
                <w:szCs w:val="28"/>
                <w:lang w:val="ro-RO" w:eastAsia="ro-RO"/>
              </w:rPr>
              <w:t>11.</w:t>
            </w:r>
            <w:r w:rsidRPr="00A064DE">
              <w:rPr>
                <w:rFonts w:ascii="Times New Roman" w:eastAsia="Calibri" w:hAnsi="Times New Roman" w:cs="Times New Roman"/>
                <w:b/>
                <w:sz w:val="28"/>
                <w:szCs w:val="28"/>
                <w:lang w:val="ro-RO" w:eastAsia="ro-RO"/>
              </w:rPr>
              <w:t xml:space="preserve"> Constatările altor expertize</w:t>
            </w:r>
          </w:p>
        </w:tc>
      </w:tr>
      <w:tr w:rsidR="00EB1559" w:rsidRPr="00A064DE" w14:paraId="4BDBC130" w14:textId="77777777" w:rsidTr="00E102D2">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7BF110" w14:textId="77777777" w:rsidR="00EB1559" w:rsidRPr="00A064DE" w:rsidRDefault="00EB1559" w:rsidP="002E354A">
            <w:pPr>
              <w:spacing w:after="0" w:line="240" w:lineRule="auto"/>
              <w:ind w:left="167" w:right="144" w:firstLine="477"/>
              <w:jc w:val="both"/>
              <w:rPr>
                <w:rFonts w:ascii="Times New Roman" w:eastAsia="Calibri" w:hAnsi="Times New Roman" w:cs="Times New Roman"/>
                <w:sz w:val="28"/>
                <w:szCs w:val="28"/>
                <w:lang w:val="ro-RO"/>
              </w:rPr>
            </w:pPr>
            <w:r w:rsidRPr="00A064DE">
              <w:rPr>
                <w:rFonts w:ascii="Times New Roman" w:eastAsia="Calibri" w:hAnsi="Times New Roman" w:cs="Times New Roman"/>
                <w:sz w:val="28"/>
                <w:szCs w:val="28"/>
                <w:lang w:val="ro-RO"/>
              </w:rPr>
              <w:t xml:space="preserve">În scopul implementării principiilor transparenței procesului decizional </w:t>
            </w:r>
            <w:proofErr w:type="spellStart"/>
            <w:r w:rsidRPr="00A064DE">
              <w:rPr>
                <w:rFonts w:ascii="Times New Roman" w:eastAsia="Calibri" w:hAnsi="Times New Roman" w:cs="Times New Roman"/>
                <w:sz w:val="28"/>
                <w:szCs w:val="28"/>
                <w:lang w:val="ro-RO"/>
              </w:rPr>
              <w:t>şi</w:t>
            </w:r>
            <w:proofErr w:type="spellEnd"/>
            <w:r w:rsidRPr="00A064DE">
              <w:rPr>
                <w:rFonts w:ascii="Times New Roman" w:eastAsia="Calibri" w:hAnsi="Times New Roman" w:cs="Times New Roman"/>
                <w:sz w:val="28"/>
                <w:szCs w:val="28"/>
                <w:lang w:val="ro-RO"/>
              </w:rPr>
              <w:t xml:space="preserve"> respectării intereselor societății </w:t>
            </w:r>
            <w:proofErr w:type="spellStart"/>
            <w:r w:rsidRPr="00A064DE">
              <w:rPr>
                <w:rFonts w:ascii="Times New Roman" w:eastAsia="Calibri" w:hAnsi="Times New Roman" w:cs="Times New Roman"/>
                <w:sz w:val="28"/>
                <w:szCs w:val="28"/>
                <w:lang w:val="ro-RO"/>
              </w:rPr>
              <w:t>şi</w:t>
            </w:r>
            <w:proofErr w:type="spellEnd"/>
            <w:r w:rsidRPr="00A064DE">
              <w:rPr>
                <w:rFonts w:ascii="Times New Roman" w:eastAsia="Calibri" w:hAnsi="Times New Roman" w:cs="Times New Roman"/>
                <w:sz w:val="28"/>
                <w:szCs w:val="28"/>
                <w:lang w:val="ro-RO"/>
              </w:rPr>
              <w:t xml:space="preserve"> drepturilor întreprinzătorilor, în conformitate cu Legea nr.235/2006 cu privire la principiile de reglementare a activității de întreprinzător, Legea nr.100/2017 cu privire la actele normative și </w:t>
            </w:r>
            <w:proofErr w:type="spellStart"/>
            <w:r w:rsidRPr="00A064DE">
              <w:rPr>
                <w:rFonts w:ascii="Times New Roman" w:eastAsia="Calibri" w:hAnsi="Times New Roman" w:cs="Times New Roman"/>
                <w:sz w:val="28"/>
                <w:szCs w:val="28"/>
                <w:lang w:val="ro-RO"/>
              </w:rPr>
              <w:t>Hotărîrea</w:t>
            </w:r>
            <w:proofErr w:type="spellEnd"/>
            <w:r w:rsidRPr="00A064DE">
              <w:rPr>
                <w:rFonts w:ascii="Times New Roman" w:eastAsia="Calibri" w:hAnsi="Times New Roman" w:cs="Times New Roman"/>
                <w:sz w:val="28"/>
                <w:szCs w:val="28"/>
                <w:lang w:val="ro-RO"/>
              </w:rPr>
              <w:t xml:space="preserve"> Guvernului nr.23/2019 cu privire la aprobarea Metodologiei de analiză a impactului în procesul de fundamentare a proiectelor de acte normative, </w:t>
            </w:r>
            <w:r w:rsidR="002E354A" w:rsidRPr="00A064DE">
              <w:rPr>
                <w:rFonts w:ascii="Times New Roman" w:eastAsia="Calibri" w:hAnsi="Times New Roman" w:cs="Times New Roman"/>
                <w:sz w:val="28"/>
                <w:szCs w:val="28"/>
                <w:lang w:val="ro-RO"/>
              </w:rPr>
              <w:t>este în proces de elaborare</w:t>
            </w:r>
            <w:r w:rsidRPr="00A064DE">
              <w:rPr>
                <w:rFonts w:ascii="Times New Roman" w:eastAsia="Calibri" w:hAnsi="Times New Roman" w:cs="Times New Roman"/>
                <w:sz w:val="28"/>
                <w:szCs w:val="28"/>
                <w:lang w:val="ro-RO"/>
              </w:rPr>
              <w:t xml:space="preserve"> analiza impactului de reglementare a proiectului de lege </w:t>
            </w:r>
            <w:r w:rsidR="002E354A" w:rsidRPr="00A064DE">
              <w:rPr>
                <w:rFonts w:ascii="Times New Roman" w:eastAsia="Calibri" w:hAnsi="Times New Roman" w:cs="Times New Roman"/>
                <w:sz w:val="28"/>
                <w:szCs w:val="28"/>
                <w:lang w:val="ro-RO"/>
              </w:rPr>
              <w:t>care va fi</w:t>
            </w:r>
            <w:r w:rsidRPr="00A064DE">
              <w:rPr>
                <w:rFonts w:ascii="Times New Roman" w:eastAsia="Calibri" w:hAnsi="Times New Roman" w:cs="Times New Roman"/>
                <w:sz w:val="28"/>
                <w:szCs w:val="28"/>
                <w:lang w:val="ro-RO"/>
              </w:rPr>
              <w:t xml:space="preserve"> remisă grupului de lucru al Comisiei de stat pentru reglementarea activității de întreprinzător, pentru expertiză.</w:t>
            </w:r>
          </w:p>
        </w:tc>
      </w:tr>
    </w:tbl>
    <w:p w14:paraId="488F3397" w14:textId="77777777" w:rsidR="00EB1559" w:rsidRDefault="00EB1559"/>
    <w:sectPr w:rsidR="00EB1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3EEE"/>
    <w:multiLevelType w:val="hybridMultilevel"/>
    <w:tmpl w:val="EFA419BC"/>
    <w:lvl w:ilvl="0" w:tplc="1A045FA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15:restartNumberingAfterBreak="0">
    <w:nsid w:val="28347F31"/>
    <w:multiLevelType w:val="hybridMultilevel"/>
    <w:tmpl w:val="F9D4FD92"/>
    <w:lvl w:ilvl="0" w:tplc="50B463CC">
      <w:start w:val="1"/>
      <w:numFmt w:val="decimal"/>
      <w:lvlText w:val="%1)"/>
      <w:lvlJc w:val="left"/>
      <w:pPr>
        <w:ind w:left="3005" w:hanging="10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15:restartNumberingAfterBreak="0">
    <w:nsid w:val="327B43C2"/>
    <w:multiLevelType w:val="hybridMultilevel"/>
    <w:tmpl w:val="6484892E"/>
    <w:lvl w:ilvl="0" w:tplc="53346C94">
      <w:start w:val="1"/>
      <w:numFmt w:val="upperLetter"/>
      <w:lvlText w:val="%1."/>
      <w:lvlJc w:val="left"/>
      <w:pPr>
        <w:ind w:left="1069" w:hanging="360"/>
      </w:pPr>
      <w:rPr>
        <w:rFonts w:hint="default"/>
        <w:b/>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4F6E0037"/>
    <w:multiLevelType w:val="hybridMultilevel"/>
    <w:tmpl w:val="F93C211A"/>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3534390"/>
    <w:multiLevelType w:val="hybridMultilevel"/>
    <w:tmpl w:val="DE0E6C72"/>
    <w:lvl w:ilvl="0" w:tplc="2884C7D2">
      <w:start w:val="1"/>
      <w:numFmt w:val="decimal"/>
      <w:lvlText w:val="%1)"/>
      <w:lvlJc w:val="left"/>
      <w:pPr>
        <w:ind w:left="953" w:hanging="360"/>
      </w:pPr>
      <w:rPr>
        <w:rFonts w:hint="default"/>
        <w:i/>
        <w:color w:val="000000"/>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59"/>
    <w:rsid w:val="00046153"/>
    <w:rsid w:val="000765FB"/>
    <w:rsid w:val="00191CEE"/>
    <w:rsid w:val="001F1F65"/>
    <w:rsid w:val="002007A1"/>
    <w:rsid w:val="00283384"/>
    <w:rsid w:val="002E1D63"/>
    <w:rsid w:val="002E354A"/>
    <w:rsid w:val="002F639E"/>
    <w:rsid w:val="0031678B"/>
    <w:rsid w:val="00356740"/>
    <w:rsid w:val="00367B67"/>
    <w:rsid w:val="003A650D"/>
    <w:rsid w:val="00521B21"/>
    <w:rsid w:val="00593B66"/>
    <w:rsid w:val="005A5AD9"/>
    <w:rsid w:val="007D4601"/>
    <w:rsid w:val="007D7155"/>
    <w:rsid w:val="00856C4F"/>
    <w:rsid w:val="00883388"/>
    <w:rsid w:val="00886C61"/>
    <w:rsid w:val="00924F6B"/>
    <w:rsid w:val="00950AA4"/>
    <w:rsid w:val="00A064DE"/>
    <w:rsid w:val="00A533D4"/>
    <w:rsid w:val="00AA081F"/>
    <w:rsid w:val="00AD5058"/>
    <w:rsid w:val="00B028AD"/>
    <w:rsid w:val="00C752B3"/>
    <w:rsid w:val="00DE0ABB"/>
    <w:rsid w:val="00DE2385"/>
    <w:rsid w:val="00E838BB"/>
    <w:rsid w:val="00E83CD8"/>
    <w:rsid w:val="00EB1559"/>
    <w:rsid w:val="00EC2D49"/>
    <w:rsid w:val="00EC3152"/>
    <w:rsid w:val="00EF1A10"/>
    <w:rsid w:val="00F546B8"/>
    <w:rsid w:val="00F9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0D1B"/>
  <w15:chartTrackingRefBased/>
  <w15:docId w15:val="{C6B870E3-62BE-441F-9827-A8C3B71E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7A1"/>
    <w:pPr>
      <w:ind w:left="720"/>
      <w:contextualSpacing/>
    </w:pPr>
    <w:rPr>
      <w:lang w:val="ro-RO"/>
    </w:rPr>
  </w:style>
  <w:style w:type="character" w:styleId="Hyperlink">
    <w:name w:val="Hyperlink"/>
    <w:basedOn w:val="DefaultParagraphFont"/>
    <w:uiPriority w:val="99"/>
    <w:unhideWhenUsed/>
    <w:rsid w:val="005A5AD9"/>
    <w:rPr>
      <w:color w:val="0563C1" w:themeColor="hyperlink"/>
      <w:u w:val="single"/>
    </w:rPr>
  </w:style>
  <w:style w:type="character" w:styleId="UnresolvedMention">
    <w:name w:val="Unresolved Mention"/>
    <w:basedOn w:val="DefaultParagraphFont"/>
    <w:uiPriority w:val="99"/>
    <w:semiHidden/>
    <w:unhideWhenUsed/>
    <w:rsid w:val="005A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2499">
      <w:bodyDiv w:val="1"/>
      <w:marLeft w:val="0"/>
      <w:marRight w:val="0"/>
      <w:marTop w:val="0"/>
      <w:marBottom w:val="0"/>
      <w:divBdr>
        <w:top w:val="none" w:sz="0" w:space="0" w:color="auto"/>
        <w:left w:val="none" w:sz="0" w:space="0" w:color="auto"/>
        <w:bottom w:val="none" w:sz="0" w:space="0" w:color="auto"/>
        <w:right w:val="none" w:sz="0" w:space="0" w:color="auto"/>
      </w:divBdr>
    </w:div>
    <w:div w:id="16778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253E-0D0D-45DA-A66B-D0A861C3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Armas</dc:creator>
  <cp:keywords/>
  <dc:description/>
  <cp:lastModifiedBy>valentin armas</cp:lastModifiedBy>
  <cp:revision>10</cp:revision>
  <dcterms:created xsi:type="dcterms:W3CDTF">2021-12-14T06:56:00Z</dcterms:created>
  <dcterms:modified xsi:type="dcterms:W3CDTF">2021-12-14T20:21:00Z</dcterms:modified>
</cp:coreProperties>
</file>