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10" w:rsidRPr="00ED5094" w:rsidRDefault="00D27310" w:rsidP="00D27310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B4617" w:rsidRPr="00ED5094" w:rsidRDefault="00D27310" w:rsidP="00C70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ED50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NOTĂ INFORMATIVĂ</w:t>
      </w:r>
    </w:p>
    <w:p w:rsidR="00C70F9A" w:rsidRPr="00ED5094" w:rsidRDefault="00D27310" w:rsidP="00C70F9A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D50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la proiectul hotărârii Guvernului </w:t>
      </w:r>
      <w:r w:rsidR="00A265F3" w:rsidRPr="00ED5094">
        <w:rPr>
          <w:rFonts w:ascii="Times New Roman" w:hAnsi="Times New Roman" w:cs="Times New Roman"/>
          <w:b/>
          <w:sz w:val="28"/>
          <w:szCs w:val="28"/>
          <w:lang w:val="ro-RO"/>
        </w:rPr>
        <w:t>cu privire</w:t>
      </w:r>
    </w:p>
    <w:p w:rsidR="0089132D" w:rsidRDefault="00A265F3" w:rsidP="00C70F9A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D5094">
        <w:rPr>
          <w:rFonts w:ascii="Times New Roman" w:hAnsi="Times New Roman" w:cs="Times New Roman"/>
          <w:b/>
          <w:sz w:val="28"/>
          <w:szCs w:val="28"/>
          <w:lang w:val="ro-RO"/>
        </w:rPr>
        <w:t>la eliberarea păcurii din rezervele de stat</w:t>
      </w:r>
    </w:p>
    <w:p w:rsidR="007374FD" w:rsidRPr="00ED5094" w:rsidRDefault="007374FD" w:rsidP="00C70F9A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tbl>
      <w:tblPr>
        <w:tblStyle w:val="1"/>
        <w:tblW w:w="10450" w:type="dxa"/>
        <w:tblInd w:w="-552" w:type="dxa"/>
        <w:tblLook w:val="04A0"/>
      </w:tblPr>
      <w:tblGrid>
        <w:gridCol w:w="10450"/>
      </w:tblGrid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1. </w:t>
            </w:r>
            <w:r w:rsidRPr="00ED509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093B5E" w:rsidP="00D27310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Proiectul a fost elaborat de </w:t>
            </w:r>
            <w:r w:rsidR="00D27310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Ministerul Afacerilor Interne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.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2. Condiţiile ce au impus elaborarea proiectului şi finlităţile urmărite </w:t>
            </w:r>
          </w:p>
        </w:tc>
      </w:tr>
      <w:tr w:rsidR="00D27310" w:rsidRPr="00781631" w:rsidTr="00AA6925">
        <w:tc>
          <w:tcPr>
            <w:tcW w:w="10450" w:type="dxa"/>
          </w:tcPr>
          <w:p w:rsidR="00AA5B3D" w:rsidRPr="00ED5094" w:rsidRDefault="00D27310" w:rsidP="00AA5B3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a fost elaborat în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temeiul art.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(1),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(2) lit.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a) și alin.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(3) </w:t>
            </w:r>
            <w:r w:rsidR="0034021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și art. 26</w:t>
            </w:r>
            <w:r w:rsidR="00595EB5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alin. (1) </w:t>
            </w: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din 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Legea </w:t>
            </w:r>
            <w:r w:rsidR="008A74BA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104/2020 cu privire la reze</w:t>
            </w:r>
            <w:r w:rsidR="00595EB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rvele de stat și de mobilizare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5E1D9B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Deciziei Prim-ministrului nr. 57/2021</w:t>
            </w:r>
            <w:r w:rsidR="003F5BE6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595EB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precum și </w:t>
            </w:r>
            <w:r w:rsidR="00AD3ECF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conformitate cu procesul-verbal nr.12-53-242-7749 din 13.10.2021 al ședinței Comisiei pentru Situaţii Excepționale a Republicii Moldova prin care a fost constatată apariția situației</w:t>
            </w:r>
            <w:r w:rsidR="00595EB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excepționale – situație de alertă pe piața gazelor naturale din Republica Moldova</w:t>
            </w:r>
            <w:r w:rsidR="00AA5B3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FA76AA" w:rsidRPr="00ED5094" w:rsidRDefault="00D27310" w:rsidP="00AA5B3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Scopul proiectului constă în intervenirea statului pentru soluționarea situației excepționale create pe piața gazelor naturale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, </w:t>
            </w:r>
            <w:r w:rsidR="0089132D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asigurării se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curității energetice a țării și protecției populației.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1F2CCC" w:rsidRPr="00ED5094" w:rsidRDefault="00FA76AA" w:rsidP="002D5B1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Din cauza situației de criză privind livrarea gazelor naturale în Republica Moldova, S.A. ”Termoelectrica” </w:t>
            </w:r>
            <w:r w:rsidR="00FD7F16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a fost </w:t>
            </w:r>
            <w:r w:rsidR="00DD276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trecută 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la arderea păcurii. În acest sens, </w:t>
            </w:r>
            <w:r w:rsidR="00B639A8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reieșind din faptul că</w:t>
            </w:r>
            <w:r w:rsidR="0056126F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B639A8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 data de 15 </w:t>
            </w:r>
            <w:r w:rsidR="00B639A8" w:rsidRPr="00ED5094">
              <w:rPr>
                <w:rStyle w:val="object"/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octombrie </w:t>
            </w:r>
            <w:r w:rsidR="00B639A8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2021, S.A. „Termoelectrica” a epuizat stocul disponibil personal</w:t>
            </w:r>
            <w:r w:rsidR="003F114E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păcură</w:t>
            </w:r>
            <w:r w:rsidR="00B639A8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AA2BC1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a nu stopa procesul tehnologic de producere</w:t>
            </w:r>
            <w:r w:rsidR="000908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bookmarkStart w:id="0" w:name="_GoBack"/>
            <w:bookmarkEnd w:id="0"/>
            <w:r w:rsidR="00AA2BC1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energiei electrice și termice</w:t>
            </w:r>
            <w:r w:rsidR="002D5B1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B639A8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Comisia pentru Situații Excepționale a decis </w:t>
            </w:r>
            <w:r w:rsidR="002D5B1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eliberare</w:t>
            </w:r>
            <w:r w:rsidR="003F114E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2D5B1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cantității de 16500 tone de păcură </w:t>
            </w:r>
            <w:r w:rsidR="003F114E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rezervele de stat</w:t>
            </w:r>
            <w:r w:rsidR="0058308B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3F114E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care </w:t>
            </w:r>
            <w:r w:rsidR="001F2CCC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permite menținerea procesului tehnologic de asigurare a populației cu </w:t>
            </w:r>
            <w:r w:rsidR="0058308B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energie electrică și termică</w:t>
            </w:r>
            <w:r w:rsidR="001F2CCC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AD216D" w:rsidRDefault="00F979E1" w:rsidP="00AD216D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Conform proiectului, 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Agenția Rezerve Materiale</w:t>
            </w:r>
            <w:r w:rsidR="00FA76A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va elibera </w:t>
            </w:r>
            <w:r w:rsidR="008B018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din rezervele de stat 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către 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S.A. „Termoelectrica”</w:t>
            </w:r>
            <w:r w:rsidR="00FA76A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, cu titlu de deblocare, cantitatea </w:t>
            </w:r>
            <w:r w:rsidR="00A5005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de 16 500 tone de păcură. Arder</w:t>
            </w:r>
            <w:r w:rsidR="00FA76A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ea păcurii eliberate va permite asigurarea </w:t>
            </w:r>
            <w:r w:rsidR="0098457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populației și instituțiilor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importante cu carater social</w:t>
            </w:r>
            <w:r w:rsidR="008B018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(grădinițe</w:t>
            </w:r>
            <w:r w:rsidR="0098457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 spitale,</w:t>
            </w:r>
            <w:r w:rsidR="00794C4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școli,</w:t>
            </w:r>
            <w:r w:rsidR="0098457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etc</w:t>
            </w:r>
            <w:r w:rsidR="003E4A14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.) cu</w:t>
            </w:r>
            <w:r w:rsidR="00DA76AB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energie electrică, dar și agent termic</w:t>
            </w:r>
            <w:r w:rsidR="00984579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în perioada rece a anului.</w:t>
            </w:r>
          </w:p>
          <w:p w:rsidR="00CD1EF9" w:rsidRDefault="00886A50" w:rsidP="00DA5E32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Arderea păcurii din rezervele de stat </w:t>
            </w:r>
            <w:r w:rsidR="005F774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asigură procesul</w:t>
            </w:r>
            <w:r w:rsidR="00E9014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de livrare a agentului termic și electric beneficiari</w:t>
            </w:r>
            <w:r w:rsidR="006902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lor</w:t>
            </w:r>
            <w:r w:rsidR="00E9014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de serviciile </w:t>
            </w:r>
            <w:r w:rsidR="00E90145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S.A. „Termoelectrica”</w:t>
            </w:r>
            <w:r w:rsidR="00E9014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</w:t>
            </w:r>
            <w:r w:rsidR="009B197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fapt ce</w:t>
            </w:r>
            <w:r w:rsidR="005F774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permite menținerea unui tarif stab</w:t>
            </w:r>
            <w:r w:rsidR="006902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il </w:t>
            </w:r>
            <w:r w:rsidR="00D31EB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pentru consumatori și </w:t>
            </w:r>
            <w:r w:rsidR="006902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</w:t>
            </w:r>
            <w:r w:rsidR="00CD1EF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conomisirea gazelor naturale, fără a fi ridicate tarifele achitate de </w:t>
            </w:r>
            <w:r w:rsidR="00DA5E3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populație.</w:t>
            </w:r>
          </w:p>
          <w:p w:rsidR="001424CA" w:rsidRPr="00ED5094" w:rsidRDefault="004067B3" w:rsidP="009472A5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</w:t>
            </w:r>
            <w:r w:rsidR="000B10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evidenței prețul păcuri</w:t>
            </w:r>
            <w:r w:rsidR="001424CA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eliberate din rezervele de stat este de </w:t>
            </w:r>
            <w:r w:rsidR="0024406D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51659435,28 lei.</w:t>
            </w:r>
            <w:r w:rsidR="003E6E12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24406D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Însă, î</w:t>
            </w:r>
            <w:r w:rsidR="001424C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n situația crizei energetice la nivel mondial, se atestă o creștere rapidă și necontrolată a prețurilor la produsele petroliere. Prin urmare, este dificilă stabilirea prețului de </w:t>
            </w:r>
            <w:r w:rsidR="00FC108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reintre</w:t>
            </w:r>
            <w:r w:rsidR="003E6E12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gire a stocului din rezervele de stat cu păcură</w:t>
            </w:r>
            <w:r w:rsidR="001424C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</w:t>
            </w:r>
            <w:r w:rsidR="005517B6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1424C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acesta fiind determinat și de serviciile de transport, transbordare, descărcare, stocare etc.</w:t>
            </w:r>
            <w:r w:rsidR="005517B6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(pentru transportar</w:t>
            </w:r>
            <w:r w:rsidR="001424CA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ea cantității care să asigure completarea rezervelor de stat cu cantitatea eliberată sunt necesare estimativ 11-13 garnituri de tren).</w:t>
            </w:r>
          </w:p>
          <w:p w:rsidR="00607403" w:rsidRPr="00DC04DD" w:rsidRDefault="003E4A14" w:rsidP="00DC04DD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MO"/>
              </w:rPr>
            </w:pP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Având în vedere că achiziționare</w:t>
            </w:r>
            <w:r w:rsidR="00EA063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, transportare</w:t>
            </w:r>
            <w:r w:rsidR="00EA063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 și stocare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a păcurii este de durată, </w:t>
            </w:r>
            <w:r w:rsidR="00EA0633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procesul dat 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nu </w:t>
            </w:r>
            <w:r w:rsidR="00CC7144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este real </w:t>
            </w:r>
            <w:r w:rsidR="00CF7985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 fi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CC7144"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realizat</w:t>
            </w:r>
            <w:r w:rsidRPr="00ED509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în anul 2021. În acest context, </w:t>
            </w:r>
            <w:r w:rsidR="00DC04D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conform avizului Ministerului Finanțelor, </w:t>
            </w:r>
            <w:r w:rsidR="00DC04DD" w:rsidRPr="00EF0DD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elaborarea proiectului bugetului de stat pentru anul 2022 Ministerul Afacerilor Interne va înainta propuneri privind alocațiile necesare pentru completarea rezervei de stat cu cantitatea de păcură eliberată</w:t>
            </w:r>
            <w:r w:rsidR="00DC04D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3. Descrierea gradului de compatibilitate pentru proiectele care au ca scop </w:t>
            </w: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lastRenderedPageBreak/>
              <w:t xml:space="preserve">armonizarea legislaţiei naţionale cu legislaţia Uniunii Europene 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ind w:firstLine="44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Proiectul nu are ca scop armonizarea legislației naționale cu legislaţia Uniunii Europene.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4. Principalele prevederi ale proiectului şi evidenţierea elementelor noi </w:t>
            </w:r>
          </w:p>
        </w:tc>
      </w:tr>
      <w:tr w:rsidR="00D27310" w:rsidRPr="00781631" w:rsidTr="00AA6925">
        <w:tc>
          <w:tcPr>
            <w:tcW w:w="10450" w:type="dxa"/>
          </w:tcPr>
          <w:p w:rsidR="0024545D" w:rsidRPr="00886A50" w:rsidRDefault="00D27310" w:rsidP="00886A50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Proiectul are drept scop </w:t>
            </w:r>
            <w:r w:rsidR="00936E2B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eliberarea cantității de 16 500 tone de păcură din 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rezervele de stat</w:t>
            </w:r>
            <w:r w:rsidR="006901E0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către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11787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S.A. „Termoelectrica” </w:t>
            </w:r>
            <w:r w:rsidR="00936E2B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11787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asigurarea populației cu age</w:t>
            </w:r>
            <w:r w:rsidR="00513005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nt termic și energie electrică</w:t>
            </w:r>
            <w:r w:rsidR="006901E0" w:rsidRPr="00ED509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5F08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iar </w:t>
            </w:r>
            <w:r w:rsidR="005F0805" w:rsidRPr="00EF0DD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elaborarea proiectului bugetului de stat pentru anul 2022</w:t>
            </w:r>
            <w:r w:rsidR="005F080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F0805" w:rsidRPr="00EF0DD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Ministerul Afacerilor Interne va înainta propuneri Ministerului Finanțelor privind alocațiile necesare pentru completarea rezervei de stat cu cantitatea de păcură eliberată</w:t>
            </w:r>
            <w:r w:rsidR="005F0805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D27310" w:rsidRPr="00ED5094" w:rsidTr="00AA6925">
        <w:tc>
          <w:tcPr>
            <w:tcW w:w="10450" w:type="dxa"/>
          </w:tcPr>
          <w:p w:rsidR="00D27310" w:rsidRPr="00ED5094" w:rsidRDefault="00D27310" w:rsidP="0089132D">
            <w:pPr>
              <w:tabs>
                <w:tab w:val="left" w:pos="414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D27310" w:rsidRPr="00781631" w:rsidTr="0024545D">
        <w:trPr>
          <w:trHeight w:val="53"/>
        </w:trPr>
        <w:tc>
          <w:tcPr>
            <w:tcW w:w="10450" w:type="dxa"/>
          </w:tcPr>
          <w:p w:rsidR="00D27310" w:rsidRPr="00ED5094" w:rsidRDefault="00D27310" w:rsidP="00D5491B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Implementarea prevederilor prezentului proiect necesită alocarea mijloacelor financiare </w:t>
            </w:r>
            <w:r w:rsidR="00D5491B"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din bugetul de stat pentru anul 2022.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6. Modul de încorporare a proiectului în cadrul normativ în vigoare 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D27310" w:rsidP="0089132D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Aprobarea proiectului nu va genera modificări sau ajustări a cadrului normativ în vigoare.</w:t>
            </w:r>
          </w:p>
        </w:tc>
      </w:tr>
      <w:tr w:rsidR="00D27310" w:rsidRPr="00ED5094" w:rsidTr="00AA6925">
        <w:tc>
          <w:tcPr>
            <w:tcW w:w="10450" w:type="dxa"/>
          </w:tcPr>
          <w:p w:rsidR="00D27310" w:rsidRPr="00ED5094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7.  Avizarea şi consultarea publică </w:t>
            </w:r>
          </w:p>
        </w:tc>
      </w:tr>
      <w:tr w:rsidR="00D27310" w:rsidRPr="00781631" w:rsidTr="00AA6925">
        <w:tc>
          <w:tcPr>
            <w:tcW w:w="10450" w:type="dxa"/>
          </w:tcPr>
          <w:p w:rsidR="00D27310" w:rsidRPr="00ED5094" w:rsidRDefault="00BF3093" w:rsidP="0089132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respectării prevederilor Legii nr. 239/2008 privind transparenţa în procesul decizional, proiectul </w:t>
            </w:r>
            <w:r w:rsidR="009675B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este</w:t>
            </w:r>
            <w:r w:rsidRPr="00ED509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plasat pe pagina-web oficială a Ministerului Afacerilor Interne și pe portalul guvernamental </w:t>
            </w:r>
            <w:hyperlink r:id="rId4" w:history="1">
              <w:r w:rsidRPr="00ED509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O"/>
                </w:rPr>
                <w:t>www.particip.gov.md</w:t>
              </w:r>
            </w:hyperlink>
            <w:r w:rsidRPr="00ED509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BF3093" w:rsidRPr="00ED5094" w:rsidRDefault="00BF3093" w:rsidP="00781631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509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="00963C5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se remite spre avizare </w:t>
            </w:r>
            <w:r w:rsidR="00781631" w:rsidRPr="0078163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instituțiilor</w:t>
            </w:r>
            <w:r w:rsidR="007816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responsabile</w:t>
            </w:r>
            <w:r w:rsidR="00963C5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34118B" w:rsidRPr="007C4880" w:rsidTr="00CE0B43">
        <w:tc>
          <w:tcPr>
            <w:tcW w:w="10450" w:type="dxa"/>
          </w:tcPr>
          <w:p w:rsidR="0034118B" w:rsidRPr="00AF635F" w:rsidRDefault="0034118B" w:rsidP="00CE0B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AF635F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8. Expertiza juridică</w:t>
            </w:r>
          </w:p>
        </w:tc>
      </w:tr>
      <w:tr w:rsidR="0034118B" w:rsidRPr="00781631" w:rsidTr="00CE0B43">
        <w:tc>
          <w:tcPr>
            <w:tcW w:w="10450" w:type="dxa"/>
          </w:tcPr>
          <w:p w:rsidR="0034118B" w:rsidRPr="00ED5094" w:rsidRDefault="0034118B" w:rsidP="000012F8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Proiectul </w:t>
            </w:r>
            <w:r w:rsidR="000012F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 transmite pentru efectuarea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expertizei juridice.</w:t>
            </w:r>
          </w:p>
        </w:tc>
      </w:tr>
      <w:tr w:rsidR="0034118B" w:rsidRPr="007C4880" w:rsidTr="00CE0B43">
        <w:tc>
          <w:tcPr>
            <w:tcW w:w="10450" w:type="dxa"/>
          </w:tcPr>
          <w:p w:rsidR="0034118B" w:rsidRPr="00AF635F" w:rsidRDefault="0034118B" w:rsidP="00CE0B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</w:pPr>
            <w:r w:rsidRPr="00AF635F">
              <w:rPr>
                <w:rFonts w:ascii="Times New Roman" w:hAnsi="Times New Roman" w:cs="Times New Roman"/>
                <w:b/>
                <w:sz w:val="28"/>
                <w:szCs w:val="28"/>
                <w:lang w:val="ro-MO"/>
              </w:rPr>
              <w:t>9. Expertiza anticorupție</w:t>
            </w:r>
          </w:p>
        </w:tc>
      </w:tr>
      <w:tr w:rsidR="0034118B" w:rsidRPr="00781631" w:rsidTr="00CE0B43">
        <w:tc>
          <w:tcPr>
            <w:tcW w:w="10450" w:type="dxa"/>
          </w:tcPr>
          <w:p w:rsidR="0034118B" w:rsidRPr="00ED5094" w:rsidRDefault="0034118B" w:rsidP="00963C5B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Proiectul</w:t>
            </w:r>
            <w:r w:rsidR="00963C5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 transmite pentru efectuarea expertizei anticorupție.</w:t>
            </w:r>
          </w:p>
        </w:tc>
      </w:tr>
    </w:tbl>
    <w:p w:rsidR="0034118B" w:rsidRDefault="0034118B" w:rsidP="0034118B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p w:rsidR="002F28A5" w:rsidRPr="00ED5094" w:rsidRDefault="002F28A5" w:rsidP="0034118B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p w:rsidR="0034118B" w:rsidRPr="00ED5094" w:rsidRDefault="0034118B" w:rsidP="0034118B">
      <w:pPr>
        <w:ind w:hanging="6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Secretar de stat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                             </w:t>
      </w:r>
      <w:r w:rsidRPr="00ED5094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  Serghei DIACONU</w:t>
      </w:r>
    </w:p>
    <w:p w:rsidR="00895DB7" w:rsidRPr="0089132D" w:rsidRDefault="00895DB7">
      <w:pPr>
        <w:rPr>
          <w:sz w:val="27"/>
          <w:szCs w:val="27"/>
          <w:lang w:val="ro-RO"/>
        </w:rPr>
      </w:pPr>
    </w:p>
    <w:sectPr w:rsidR="00895DB7" w:rsidRPr="0089132D" w:rsidSect="0049453A">
      <w:pgSz w:w="11906" w:h="16838"/>
      <w:pgMar w:top="719" w:right="576" w:bottom="107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7262"/>
    <w:rsid w:val="000012F8"/>
    <w:rsid w:val="00003E64"/>
    <w:rsid w:val="00032054"/>
    <w:rsid w:val="00090881"/>
    <w:rsid w:val="000927E0"/>
    <w:rsid w:val="00093B5E"/>
    <w:rsid w:val="000B10F8"/>
    <w:rsid w:val="00102BDF"/>
    <w:rsid w:val="001100D1"/>
    <w:rsid w:val="001350F3"/>
    <w:rsid w:val="001424CA"/>
    <w:rsid w:val="00180170"/>
    <w:rsid w:val="00195DAC"/>
    <w:rsid w:val="001D18DF"/>
    <w:rsid w:val="001F2CCC"/>
    <w:rsid w:val="0024406D"/>
    <w:rsid w:val="0024545D"/>
    <w:rsid w:val="00247B01"/>
    <w:rsid w:val="0025231A"/>
    <w:rsid w:val="002567A3"/>
    <w:rsid w:val="002D5B1D"/>
    <w:rsid w:val="002D6C0A"/>
    <w:rsid w:val="002F28A5"/>
    <w:rsid w:val="00321FA6"/>
    <w:rsid w:val="0034021A"/>
    <w:rsid w:val="0034118B"/>
    <w:rsid w:val="00380BF3"/>
    <w:rsid w:val="003C2FBA"/>
    <w:rsid w:val="003D290D"/>
    <w:rsid w:val="003E4A14"/>
    <w:rsid w:val="003E6E12"/>
    <w:rsid w:val="003F114E"/>
    <w:rsid w:val="003F5BE6"/>
    <w:rsid w:val="004067B3"/>
    <w:rsid w:val="00464D69"/>
    <w:rsid w:val="00473FB0"/>
    <w:rsid w:val="00475BA5"/>
    <w:rsid w:val="00487631"/>
    <w:rsid w:val="0049453A"/>
    <w:rsid w:val="00510A76"/>
    <w:rsid w:val="00513005"/>
    <w:rsid w:val="005517B6"/>
    <w:rsid w:val="0056126F"/>
    <w:rsid w:val="00564CA7"/>
    <w:rsid w:val="00576BE1"/>
    <w:rsid w:val="0058308B"/>
    <w:rsid w:val="00595DD6"/>
    <w:rsid w:val="00595EB5"/>
    <w:rsid w:val="005A17AB"/>
    <w:rsid w:val="005E1D9B"/>
    <w:rsid w:val="005F0805"/>
    <w:rsid w:val="005F7741"/>
    <w:rsid w:val="00605E76"/>
    <w:rsid w:val="00607403"/>
    <w:rsid w:val="00635C7F"/>
    <w:rsid w:val="006901E0"/>
    <w:rsid w:val="0069020D"/>
    <w:rsid w:val="006B6167"/>
    <w:rsid w:val="007332A3"/>
    <w:rsid w:val="007374FD"/>
    <w:rsid w:val="00737E67"/>
    <w:rsid w:val="00761823"/>
    <w:rsid w:val="00781631"/>
    <w:rsid w:val="00794C43"/>
    <w:rsid w:val="007A29FE"/>
    <w:rsid w:val="007A741D"/>
    <w:rsid w:val="008266C2"/>
    <w:rsid w:val="00843194"/>
    <w:rsid w:val="008513FC"/>
    <w:rsid w:val="008772D1"/>
    <w:rsid w:val="00881724"/>
    <w:rsid w:val="00886A50"/>
    <w:rsid w:val="0089132D"/>
    <w:rsid w:val="00895DB7"/>
    <w:rsid w:val="008A74BA"/>
    <w:rsid w:val="008B0189"/>
    <w:rsid w:val="008B3FDC"/>
    <w:rsid w:val="008D70A1"/>
    <w:rsid w:val="008E3260"/>
    <w:rsid w:val="00927FE9"/>
    <w:rsid w:val="00936E2B"/>
    <w:rsid w:val="009472A5"/>
    <w:rsid w:val="00961D78"/>
    <w:rsid w:val="00963C5B"/>
    <w:rsid w:val="009675BB"/>
    <w:rsid w:val="00984579"/>
    <w:rsid w:val="009A0471"/>
    <w:rsid w:val="009B197A"/>
    <w:rsid w:val="00A265F3"/>
    <w:rsid w:val="00A5005A"/>
    <w:rsid w:val="00A72841"/>
    <w:rsid w:val="00A7377A"/>
    <w:rsid w:val="00A93732"/>
    <w:rsid w:val="00AA2BC1"/>
    <w:rsid w:val="00AA5B3D"/>
    <w:rsid w:val="00AB6F28"/>
    <w:rsid w:val="00AD216D"/>
    <w:rsid w:val="00AD3ECF"/>
    <w:rsid w:val="00B0731B"/>
    <w:rsid w:val="00B547AC"/>
    <w:rsid w:val="00B639A8"/>
    <w:rsid w:val="00B81125"/>
    <w:rsid w:val="00B9082A"/>
    <w:rsid w:val="00B933AB"/>
    <w:rsid w:val="00BA30A1"/>
    <w:rsid w:val="00BB3DE1"/>
    <w:rsid w:val="00BF3093"/>
    <w:rsid w:val="00C11C28"/>
    <w:rsid w:val="00C27FA0"/>
    <w:rsid w:val="00C70F9A"/>
    <w:rsid w:val="00C910EF"/>
    <w:rsid w:val="00C9797E"/>
    <w:rsid w:val="00CC6E14"/>
    <w:rsid w:val="00CC7144"/>
    <w:rsid w:val="00CD1EF9"/>
    <w:rsid w:val="00CF7985"/>
    <w:rsid w:val="00D11787"/>
    <w:rsid w:val="00D21D77"/>
    <w:rsid w:val="00D27310"/>
    <w:rsid w:val="00D31EB4"/>
    <w:rsid w:val="00D5491B"/>
    <w:rsid w:val="00D77262"/>
    <w:rsid w:val="00DA091D"/>
    <w:rsid w:val="00DA5E32"/>
    <w:rsid w:val="00DA76AB"/>
    <w:rsid w:val="00DB4617"/>
    <w:rsid w:val="00DC04DD"/>
    <w:rsid w:val="00DD276A"/>
    <w:rsid w:val="00DF0B83"/>
    <w:rsid w:val="00E12911"/>
    <w:rsid w:val="00E20925"/>
    <w:rsid w:val="00E5378A"/>
    <w:rsid w:val="00E763B2"/>
    <w:rsid w:val="00E90145"/>
    <w:rsid w:val="00EA0633"/>
    <w:rsid w:val="00ED5094"/>
    <w:rsid w:val="00EE3947"/>
    <w:rsid w:val="00EE43B6"/>
    <w:rsid w:val="00F0680B"/>
    <w:rsid w:val="00F20527"/>
    <w:rsid w:val="00F45D6C"/>
    <w:rsid w:val="00F537AA"/>
    <w:rsid w:val="00F939E4"/>
    <w:rsid w:val="00F979E1"/>
    <w:rsid w:val="00FA76AA"/>
    <w:rsid w:val="00FB67E0"/>
    <w:rsid w:val="00FB7F3F"/>
    <w:rsid w:val="00FC1089"/>
    <w:rsid w:val="00FD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2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1">
    <w:name w:val="Сетка таблицы1"/>
    <w:basedOn w:val="TabelNormal"/>
    <w:next w:val="GrilTabel"/>
    <w:uiPriority w:val="59"/>
    <w:rsid w:val="00D273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D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semiHidden/>
    <w:unhideWhenUsed/>
    <w:rsid w:val="00BF3093"/>
    <w:rPr>
      <w:color w:val="0000FF"/>
      <w:u w:val="single"/>
    </w:rPr>
  </w:style>
  <w:style w:type="character" w:customStyle="1" w:styleId="object">
    <w:name w:val="object"/>
    <w:basedOn w:val="Fontdeparagrafimplicit"/>
    <w:rsid w:val="001F2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3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194</cp:revision>
  <cp:lastPrinted>2021-10-20T12:14:00Z</cp:lastPrinted>
  <dcterms:created xsi:type="dcterms:W3CDTF">2021-10-15T07:52:00Z</dcterms:created>
  <dcterms:modified xsi:type="dcterms:W3CDTF">2021-10-21T07:04:00Z</dcterms:modified>
</cp:coreProperties>
</file>