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9C864" w14:textId="4621A2F2" w:rsidR="00F02C9D" w:rsidRPr="00D559EF" w:rsidRDefault="00D559EF" w:rsidP="00D559EF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  <w:lang w:val="ro-RO"/>
        </w:rPr>
      </w:pPr>
      <w:bookmarkStart w:id="0" w:name="_Hlk80636055"/>
      <w:r w:rsidRPr="00D559EF">
        <w:rPr>
          <w:rFonts w:ascii="Times New Roman" w:hAnsi="Times New Roman" w:cs="Times New Roman"/>
          <w:b/>
          <w:bCs/>
          <w:sz w:val="26"/>
          <w:szCs w:val="26"/>
          <w:lang w:val="ro-RO"/>
        </w:rPr>
        <w:t xml:space="preserve">Avizul Ministerului Economiei </w:t>
      </w:r>
      <w:proofErr w:type="spellStart"/>
      <w:r w:rsidRPr="00D559EF">
        <w:rPr>
          <w:rFonts w:ascii="Times New Roman" w:hAnsi="Times New Roman" w:cs="Times New Roman"/>
          <w:b/>
          <w:bCs/>
          <w:sz w:val="26"/>
          <w:szCs w:val="26"/>
          <w:lang w:val="ro-RO"/>
        </w:rPr>
        <w:t>şi</w:t>
      </w:r>
      <w:proofErr w:type="spellEnd"/>
      <w:r w:rsidRPr="00D559EF">
        <w:rPr>
          <w:rFonts w:ascii="Times New Roman" w:hAnsi="Times New Roman" w:cs="Times New Roman"/>
          <w:b/>
          <w:bCs/>
          <w:sz w:val="26"/>
          <w:szCs w:val="26"/>
          <w:lang w:val="ro-RO"/>
        </w:rPr>
        <w:t xml:space="preserve"> Infrastructurii</w:t>
      </w:r>
    </w:p>
    <w:p w14:paraId="1374F67B" w14:textId="15A9B059" w:rsidR="00D559EF" w:rsidRPr="00D559EF" w:rsidRDefault="00D559EF" w:rsidP="00D559EF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  <w:lang w:val="ro-RO"/>
        </w:rPr>
      </w:pPr>
      <w:r w:rsidRPr="00D559EF">
        <w:rPr>
          <w:rFonts w:ascii="Times New Roman" w:hAnsi="Times New Roman" w:cs="Times New Roman"/>
          <w:b/>
          <w:bCs/>
          <w:sz w:val="26"/>
          <w:szCs w:val="26"/>
          <w:lang w:val="ro-RO"/>
        </w:rPr>
        <w:t>Nr. 10/2 2629 din 31.05.2021</w:t>
      </w:r>
      <w:bookmarkEnd w:id="0"/>
    </w:p>
    <w:p w14:paraId="29DF0473" w14:textId="6BBA7981" w:rsidR="00D559EF" w:rsidRDefault="00D559EF" w:rsidP="00D559EF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6521"/>
        <w:gridCol w:w="7477"/>
      </w:tblGrid>
      <w:tr w:rsidR="00D559EF" w14:paraId="302C01E6" w14:textId="77777777" w:rsidTr="00D559EF">
        <w:tc>
          <w:tcPr>
            <w:tcW w:w="562" w:type="dxa"/>
          </w:tcPr>
          <w:p w14:paraId="1144573C" w14:textId="387A8E18" w:rsidR="00D559EF" w:rsidRPr="00D559EF" w:rsidRDefault="00D559EF" w:rsidP="00D559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№</w:t>
            </w:r>
          </w:p>
        </w:tc>
        <w:tc>
          <w:tcPr>
            <w:tcW w:w="6521" w:type="dxa"/>
          </w:tcPr>
          <w:p w14:paraId="05D34EF9" w14:textId="303B9E52" w:rsidR="00D559EF" w:rsidRPr="00D559EF" w:rsidRDefault="00D559EF" w:rsidP="00D559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Recomandările</w:t>
            </w:r>
          </w:p>
        </w:tc>
        <w:tc>
          <w:tcPr>
            <w:tcW w:w="7477" w:type="dxa"/>
          </w:tcPr>
          <w:p w14:paraId="16896673" w14:textId="333404F2" w:rsidR="00D559EF" w:rsidRPr="00D559EF" w:rsidRDefault="00D559EF" w:rsidP="00D559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o-RO"/>
              </w:rPr>
            </w:pPr>
            <w:r w:rsidRPr="00D559E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o-RO"/>
              </w:rPr>
              <w:t xml:space="preserve">Decizia </w:t>
            </w:r>
            <w:proofErr w:type="spellStart"/>
            <w:r w:rsidRPr="00D559E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o-RO"/>
              </w:rPr>
              <w:t>şi</w:t>
            </w:r>
            <w:proofErr w:type="spellEnd"/>
            <w:r w:rsidRPr="00D559E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o-RO"/>
              </w:rPr>
              <w:t xml:space="preserve"> argumentările de acceptare sau respingere a recomandărilor</w:t>
            </w:r>
          </w:p>
        </w:tc>
      </w:tr>
      <w:tr w:rsidR="00D559EF" w14:paraId="22B760A5" w14:textId="77777777" w:rsidTr="00D559EF">
        <w:tc>
          <w:tcPr>
            <w:tcW w:w="562" w:type="dxa"/>
          </w:tcPr>
          <w:p w14:paraId="2351B045" w14:textId="7DB8A650" w:rsidR="00D559EF" w:rsidRDefault="008F6A84" w:rsidP="00D559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521" w:type="dxa"/>
          </w:tcPr>
          <w:p w14:paraId="7FA59D6D" w14:textId="77777777" w:rsidR="00D559EF" w:rsidRDefault="00D559EF" w:rsidP="00D559EF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</w:pPr>
            <w:r w:rsidRPr="00D559EF">
              <w:rPr>
                <w:rFonts w:ascii="Times New Roman" w:hAnsi="Times New Roman" w:cs="Times New Roman"/>
                <w:sz w:val="26"/>
                <w:szCs w:val="26"/>
              </w:rPr>
              <w:t xml:space="preserve">Se propune modificarea articolului 7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prin înlocuirea sintagmei „</w:t>
            </w:r>
            <w:r w:rsidRPr="00D559E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  <w:t>dispoziția Primarului general al municipiului Chișinău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  <w:t>” cu sintagma „</w:t>
            </w:r>
            <w:r w:rsidRPr="00D559E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  <w:t>decizia Consiliului Municipal Chişinău”</w:t>
            </w:r>
          </w:p>
          <w:p w14:paraId="0568EDD2" w14:textId="573E6FFF" w:rsidR="00D559EF" w:rsidRPr="00D559EF" w:rsidRDefault="00D559EF" w:rsidP="00D559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Motivare: </w:t>
            </w:r>
            <w:r w:rsidRPr="00D559EF">
              <w:rPr>
                <w:rFonts w:ascii="Times New Roman" w:hAnsi="Times New Roman" w:cs="Times New Roman"/>
                <w:sz w:val="26"/>
                <w:szCs w:val="26"/>
              </w:rPr>
              <w:t>Prin d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ecizia </w:t>
            </w:r>
            <w:r w:rsidR="008F6A84">
              <w:rPr>
                <w:rFonts w:ascii="Times New Roman" w:hAnsi="Times New Roman" w:cs="Times New Roman"/>
                <w:sz w:val="26"/>
                <w:szCs w:val="26"/>
              </w:rPr>
              <w:t>Curții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Supreme de Justiție</w:t>
            </w:r>
            <w:r w:rsidR="008F6A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6A84" w:rsidRPr="008F6A84">
              <w:rPr>
                <w:rFonts w:ascii="Times New Roman" w:hAnsi="Times New Roman" w:cs="Times New Roman"/>
                <w:sz w:val="26"/>
                <w:szCs w:val="26"/>
              </w:rPr>
              <w:t>nr. 3ra-137/21</w:t>
            </w:r>
            <w:r w:rsidR="008F6A84">
              <w:rPr>
                <w:rFonts w:ascii="Times New Roman" w:hAnsi="Times New Roman" w:cs="Times New Roman"/>
                <w:sz w:val="26"/>
                <w:szCs w:val="26"/>
              </w:rPr>
              <w:t xml:space="preserve"> din </w:t>
            </w:r>
            <w:r w:rsidR="008F6A84" w:rsidRPr="008F6A84">
              <w:rPr>
                <w:rFonts w:ascii="Times New Roman" w:hAnsi="Times New Roman" w:cs="Times New Roman"/>
                <w:sz w:val="26"/>
                <w:szCs w:val="26"/>
              </w:rPr>
              <w:t>24 martie 2021</w:t>
            </w:r>
            <w:r w:rsidR="008F6A84">
              <w:rPr>
                <w:rFonts w:ascii="Times New Roman" w:hAnsi="Times New Roman" w:cs="Times New Roman"/>
                <w:sz w:val="26"/>
                <w:szCs w:val="26"/>
              </w:rPr>
              <w:t xml:space="preserve"> a fost abrogat Regulamentul anterior pe motiv că a fost aprobat prin </w:t>
            </w:r>
            <w:r w:rsidR="008F6A84" w:rsidRPr="008F6A84">
              <w:rPr>
                <w:rFonts w:ascii="Times New Roman" w:hAnsi="Times New Roman" w:cs="Times New Roman"/>
                <w:sz w:val="26"/>
                <w:szCs w:val="26"/>
              </w:rPr>
              <w:t>Dispoziția Primarului General interimar al mun. Chișinău nr.1545-d din 11 decembrie 2006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6A84">
              <w:rPr>
                <w:rFonts w:ascii="Times New Roman" w:hAnsi="Times New Roman" w:cs="Times New Roman"/>
                <w:sz w:val="26"/>
                <w:szCs w:val="26"/>
              </w:rPr>
              <w:t>dar nu prin Decizia Consiliului Municipal</w:t>
            </w:r>
          </w:p>
          <w:p w14:paraId="0FE40722" w14:textId="12CD5B0D" w:rsidR="00D559EF" w:rsidRPr="00D559EF" w:rsidRDefault="00D559EF" w:rsidP="00D559E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77" w:type="dxa"/>
          </w:tcPr>
          <w:p w14:paraId="3540552D" w14:textId="77777777" w:rsidR="00D559EF" w:rsidRDefault="008F6A84" w:rsidP="008F6A84">
            <w:pPr>
              <w:pStyle w:val="a3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A84">
              <w:rPr>
                <w:rFonts w:ascii="Times New Roman" w:hAnsi="Times New Roman" w:cs="Times New Roman"/>
                <w:sz w:val="26"/>
                <w:szCs w:val="26"/>
              </w:rPr>
              <w:t xml:space="preserve">Proiectul propus spre avizare se propune a fi aprobat prin Decizia Consiliului Municipal Chişinău, conform prevederilor art. 6 alin. (2) lit. b) din legea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privind statutul municipiului Chişinău, nr. 136/2016.</w:t>
            </w:r>
            <w:r w:rsidRPr="008F6A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31B18DF" w14:textId="77777777" w:rsidR="008F6A84" w:rsidRDefault="008F6A84" w:rsidP="008F6A84">
            <w:pPr>
              <w:pStyle w:val="a3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Articolul 7 din proiect prevede că </w:t>
            </w:r>
            <w:r w:rsidRPr="008F6A8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Componența nominală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a Consiliului Urbanistic să fie aprobat prin Dispoziția Primarului General dar nu regulamentul supus avizării.</w:t>
            </w:r>
          </w:p>
          <w:p w14:paraId="2B930D77" w14:textId="29AEB53E" w:rsidR="00386ABF" w:rsidRDefault="00386ABF" w:rsidP="008F6A84">
            <w:pPr>
              <w:pStyle w:val="a3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Conform prevederilor art. 15 alin. (2) din legea privind statutul municipiului Chişinău, nr. 136/2016, </w:t>
            </w:r>
            <w:r w:rsidRPr="00386AB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Primarul general, în calitatea sa de autoritate publică executivă, exercită </w:t>
            </w:r>
            <w:proofErr w:type="spellStart"/>
            <w:r w:rsidRPr="00386AB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şi</w:t>
            </w:r>
            <w:proofErr w:type="spellEnd"/>
            <w:r w:rsidRPr="00386AB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alte </w:t>
            </w:r>
            <w:proofErr w:type="spellStart"/>
            <w:r w:rsidRPr="00386AB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atribuţii</w:t>
            </w:r>
            <w:proofErr w:type="spellEnd"/>
            <w:r w:rsidRPr="00386AB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prevăzute de </w:t>
            </w:r>
            <w:r w:rsidR="00CB7D04" w:rsidRPr="00386AB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legislația</w:t>
            </w:r>
            <w:r w:rsidRPr="00386AB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în vigoare </w:t>
            </w:r>
            <w:r w:rsidRPr="00386ABF">
              <w:rPr>
                <w:rFonts w:ascii="Times New Roman" w:hAnsi="Times New Roman" w:cs="Times New Roman"/>
                <w:i/>
                <w:iCs/>
                <w:sz w:val="26"/>
                <w:szCs w:val="26"/>
                <w:u w:val="single"/>
              </w:rPr>
              <w:t>sau delegate/încredințate de consiliul municipal</w:t>
            </w:r>
            <w:r w:rsidRPr="00386A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BA9F9B2" w14:textId="77777777" w:rsidR="008F6A84" w:rsidRDefault="00386ABF" w:rsidP="00386ABF">
            <w:pPr>
              <w:pStyle w:val="a3"/>
              <w:ind w:firstLine="3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Reieșind din faptul că </w:t>
            </w:r>
            <w:r w:rsidRPr="00386A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la pct. 2 din Aviz, Ministerul propune ca membrii Consiliului să fie numiți pe o perioadă de </w:t>
            </w:r>
            <w:r w:rsidRPr="00386AB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 luni, delegarea </w:t>
            </w:r>
            <w:r w:rsidR="00CB7D04">
              <w:rPr>
                <w:rFonts w:ascii="Times New Roman" w:hAnsi="Times New Roman" w:cs="Times New Roman"/>
                <w:sz w:val="26"/>
                <w:szCs w:val="26"/>
              </w:rPr>
              <w:t>competenței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Primarului General de a aproba </w:t>
            </w:r>
            <w:r w:rsidR="00CB7D04">
              <w:rPr>
                <w:rFonts w:ascii="Times New Roman" w:hAnsi="Times New Roman" w:cs="Times New Roman"/>
                <w:sz w:val="26"/>
                <w:szCs w:val="26"/>
              </w:rPr>
              <w:t>componența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nominală va permite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va acord o flexibilitate în modificarea </w:t>
            </w:r>
            <w:r w:rsidR="00CB7D04">
              <w:rPr>
                <w:rFonts w:ascii="Times New Roman" w:hAnsi="Times New Roman" w:cs="Times New Roman"/>
                <w:sz w:val="26"/>
                <w:szCs w:val="26"/>
              </w:rPr>
              <w:t>componenței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7D04">
              <w:rPr>
                <w:rFonts w:ascii="Times New Roman" w:hAnsi="Times New Roman" w:cs="Times New Roman"/>
                <w:sz w:val="26"/>
                <w:szCs w:val="26"/>
              </w:rPr>
              <w:t xml:space="preserve">nominale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atunci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cînd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la cererea </w:t>
            </w:r>
            <w:r w:rsidR="00CB7D04">
              <w:rPr>
                <w:rFonts w:ascii="Times New Roman" w:hAnsi="Times New Roman" w:cs="Times New Roman"/>
                <w:sz w:val="26"/>
                <w:szCs w:val="26"/>
              </w:rPr>
              <w:t>personală a membrului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sau din alte motive</w:t>
            </w:r>
            <w:r w:rsidR="00CB7D04">
              <w:rPr>
                <w:rFonts w:ascii="Times New Roman" w:hAnsi="Times New Roman" w:cs="Times New Roman"/>
                <w:sz w:val="26"/>
                <w:szCs w:val="26"/>
              </w:rPr>
              <w:t xml:space="preserve"> personale sau profesionale ale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membri</w:t>
            </w:r>
            <w:r w:rsidR="00CB7D04">
              <w:rPr>
                <w:rFonts w:ascii="Times New Roman" w:hAnsi="Times New Roman" w:cs="Times New Roman"/>
                <w:sz w:val="26"/>
                <w:szCs w:val="26"/>
              </w:rPr>
              <w:t>lor va apărea necesitatea de a modifica componența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Consiliului</w:t>
            </w:r>
            <w:r w:rsidR="00CB7D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ECFE4D7" w14:textId="77777777" w:rsidR="00CB7D04" w:rsidRDefault="00CB7D04" w:rsidP="00CB7D04">
            <w:pPr>
              <w:pStyle w:val="a3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Este dreptul discreționar al Consiliului Municipal Chişinău de a delega această prerogativă Primarului General.</w:t>
            </w:r>
          </w:p>
          <w:p w14:paraId="39F26271" w14:textId="1B1B5E96" w:rsidR="00CB7D04" w:rsidRPr="008F6A84" w:rsidRDefault="00CB7D04" w:rsidP="00CB7D04">
            <w:pPr>
              <w:pStyle w:val="a3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De principiu, această prerogativă/drept poate fi atribuit Arhitectului-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şef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a municipiului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Chişinău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D559EF" w14:paraId="287F69A4" w14:textId="77777777" w:rsidTr="00D559EF">
        <w:tc>
          <w:tcPr>
            <w:tcW w:w="562" w:type="dxa"/>
          </w:tcPr>
          <w:p w14:paraId="70035A61" w14:textId="23435563" w:rsidR="00D559EF" w:rsidRDefault="00CB7D04" w:rsidP="00D559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</w:t>
            </w:r>
            <w:r w:rsidR="008F6A8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521" w:type="dxa"/>
          </w:tcPr>
          <w:p w14:paraId="74A4D2C0" w14:textId="77777777" w:rsidR="00D559EF" w:rsidRDefault="00CB7D04" w:rsidP="00CB7D04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</w:pPr>
            <w:r w:rsidRPr="00D559EF">
              <w:rPr>
                <w:rFonts w:ascii="Times New Roman" w:hAnsi="Times New Roman" w:cs="Times New Roman"/>
                <w:sz w:val="26"/>
                <w:szCs w:val="26"/>
              </w:rPr>
              <w:t xml:space="preserve">Se propune modificarea articolului 7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prin înlocuirea sintagmei „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  <w:t>12 luni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  <w:t>” cu sintagma „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  <w:t>24 luni</w:t>
            </w:r>
            <w:r w:rsidRPr="00D559E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  <w:t>”</w:t>
            </w:r>
          </w:p>
          <w:p w14:paraId="4BAF1D2B" w14:textId="0398F7CC" w:rsidR="00CB7D04" w:rsidRPr="00CB7D04" w:rsidRDefault="00CB7D04" w:rsidP="00CB7D04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7D04">
              <w:rPr>
                <w:rFonts w:ascii="Times New Roman" w:hAnsi="Times New Roman" w:cs="Times New Roman"/>
                <w:sz w:val="26"/>
                <w:szCs w:val="26"/>
              </w:rPr>
              <w:t>Motivare: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Instituirea componenței nominale a Consiliului pe un termen de doar 12 luni este insuficient pentru ca membrii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acestuia să-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exercite funcțiile sale. Se propune termenul de 24 luni, care reprezintă termenul maxim de valabilitate a certificatului de urbanism conform prevederilor art. 5 alin. (3) din legea privind autorizarea executării lucrărilor de construcție nr. 163/2010- </w:t>
            </w:r>
          </w:p>
        </w:tc>
        <w:tc>
          <w:tcPr>
            <w:tcW w:w="7477" w:type="dxa"/>
          </w:tcPr>
          <w:p w14:paraId="17FEE40C" w14:textId="1F4EF7E2" w:rsidR="00D559EF" w:rsidRDefault="00CB7D04" w:rsidP="00CB7D04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Se acceptă.</w:t>
            </w:r>
          </w:p>
        </w:tc>
      </w:tr>
      <w:tr w:rsidR="00D559EF" w14:paraId="6997AAC9" w14:textId="77777777" w:rsidTr="00D559EF">
        <w:tc>
          <w:tcPr>
            <w:tcW w:w="562" w:type="dxa"/>
          </w:tcPr>
          <w:p w14:paraId="3B0484C8" w14:textId="7E990C2A" w:rsidR="00D559EF" w:rsidRDefault="006F64C6" w:rsidP="00D559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521" w:type="dxa"/>
          </w:tcPr>
          <w:p w14:paraId="3766BC15" w14:textId="59BD6C8F" w:rsidR="00D559EF" w:rsidRPr="006F64C6" w:rsidRDefault="006F64C6" w:rsidP="006F64C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64C6">
              <w:rPr>
                <w:rFonts w:ascii="Times New Roman" w:hAnsi="Times New Roman" w:cs="Times New Roman"/>
                <w:sz w:val="26"/>
                <w:szCs w:val="26"/>
              </w:rPr>
              <w:t>Se propune completarea Capitolului IV cu un articol nou, cu următorul conținut: „</w:t>
            </w:r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Deciziile Consiliului </w:t>
            </w:r>
            <w:bookmarkStart w:id="1" w:name="_Hlk79929587"/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au un rol consultativ pentru arhitectul-</w:t>
            </w:r>
            <w:proofErr w:type="spellStart"/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şef</w:t>
            </w:r>
            <w:proofErr w:type="spellEnd"/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al mun. </w:t>
            </w:r>
            <w:proofErr w:type="spellStart"/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Chişinău</w:t>
            </w:r>
            <w:proofErr w:type="spellEnd"/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şi</w:t>
            </w:r>
            <w:proofErr w:type="spellEnd"/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caracter recomandabil pentru beneficiari </w:t>
            </w:r>
            <w:proofErr w:type="spellStart"/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şi</w:t>
            </w:r>
            <w:proofErr w:type="spellEnd"/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proiectanți. Arhitectul-</w:t>
            </w:r>
            <w:proofErr w:type="spellStart"/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şef</w:t>
            </w:r>
            <w:proofErr w:type="spellEnd"/>
            <w:r w:rsidRPr="006F64C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este obligat să argumenteze motivele de respingere a soluțiilor propuse de Consiliu</w:t>
            </w:r>
            <w:r w:rsidRPr="006F64C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bookmarkEnd w:id="1"/>
            <w:r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</w:tc>
        <w:tc>
          <w:tcPr>
            <w:tcW w:w="7477" w:type="dxa"/>
          </w:tcPr>
          <w:p w14:paraId="43582534" w14:textId="77777777" w:rsidR="00D559EF" w:rsidRDefault="006F64C6" w:rsidP="008A774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Conform prevederilor </w:t>
            </w:r>
            <w:r w:rsidR="00FA1F86">
              <w:rPr>
                <w:rFonts w:ascii="Times New Roman" w:hAnsi="Times New Roman" w:cs="Times New Roman"/>
                <w:sz w:val="26"/>
                <w:szCs w:val="26"/>
              </w:rPr>
              <w:t>proiectului în activitatea sa Consiliul nu emite decizii.</w:t>
            </w:r>
          </w:p>
          <w:p w14:paraId="69F585A0" w14:textId="1BCB50AF" w:rsidR="00FA1F86" w:rsidRDefault="00FA1F86" w:rsidP="008A774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Conform prevederilor pct. 13, 25, 29-31 din proiect, Consiliul emite avize de oportunitate, în procesul elaborării documentației de urbanism, consultative sau propuneri.</w:t>
            </w:r>
          </w:p>
          <w:p w14:paraId="7BB72BFF" w14:textId="71378337" w:rsidR="006E0B8E" w:rsidRPr="006E0B8E" w:rsidRDefault="006E0B8E" w:rsidP="008A774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Conform prevederilor art. 15 pct. 2) lit. e) din legea privind statutul municipiului Chişinău, nr. 136/2016, </w:t>
            </w:r>
            <w:r w:rsidRPr="006E0B8E">
              <w:rPr>
                <w:rFonts w:ascii="Times New Roman" w:hAnsi="Times New Roman" w:cs="Times New Roman"/>
                <w:i/>
                <w:iCs/>
                <w:sz w:val="26"/>
                <w:szCs w:val="26"/>
                <w:u w:val="single"/>
              </w:rPr>
              <w:t>primarul general</w:t>
            </w:r>
            <w:r w:rsidRPr="006E0B8E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6E0B8E"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</w:rPr>
              <w:t xml:space="preserve">asigură elaborarea </w:t>
            </w:r>
            <w:r w:rsidRPr="006E0B8E"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  <w:u w:val="single"/>
              </w:rPr>
              <w:t>și avizarea</w:t>
            </w:r>
            <w:r w:rsidRPr="006E0B8E"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</w:rPr>
              <w:t>, în condițiile legii, a documentației de urbanism și amenajare a teritoriului municipiului, inclusiv:</w:t>
            </w:r>
          </w:p>
          <w:p w14:paraId="3D1FD371" w14:textId="77777777" w:rsidR="006E0B8E" w:rsidRPr="006E0B8E" w:rsidRDefault="006E0B8E" w:rsidP="006E0B8E">
            <w:pPr>
              <w:pStyle w:val="a5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i/>
                <w:iCs/>
                <w:color w:val="333333"/>
                <w:sz w:val="26"/>
                <w:szCs w:val="26"/>
              </w:rPr>
            </w:pPr>
            <w:r w:rsidRPr="006E0B8E">
              <w:rPr>
                <w:i/>
                <w:iCs/>
                <w:color w:val="333333"/>
                <w:sz w:val="26"/>
                <w:szCs w:val="26"/>
              </w:rPr>
              <w:t>– planul de amenajare a teritoriului municipiului;</w:t>
            </w:r>
          </w:p>
          <w:p w14:paraId="08FF6EFF" w14:textId="77777777" w:rsidR="006E0B8E" w:rsidRPr="006E0B8E" w:rsidRDefault="006E0B8E" w:rsidP="006E0B8E">
            <w:pPr>
              <w:pStyle w:val="a5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i/>
                <w:iCs/>
                <w:color w:val="333333"/>
                <w:sz w:val="26"/>
                <w:szCs w:val="26"/>
              </w:rPr>
            </w:pPr>
            <w:r w:rsidRPr="006E0B8E">
              <w:rPr>
                <w:i/>
                <w:iCs/>
                <w:color w:val="333333"/>
                <w:sz w:val="26"/>
                <w:szCs w:val="26"/>
              </w:rPr>
              <w:t>– planul urbanistic general al municipiului și Regulamentul local de urbanism;</w:t>
            </w:r>
          </w:p>
          <w:p w14:paraId="4A51D10D" w14:textId="028F7F35" w:rsidR="006E0B8E" w:rsidRDefault="006E0B8E" w:rsidP="006E0B8E">
            <w:pPr>
              <w:pStyle w:val="a5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i/>
                <w:iCs/>
                <w:color w:val="333333"/>
                <w:sz w:val="26"/>
                <w:szCs w:val="26"/>
              </w:rPr>
            </w:pPr>
            <w:r w:rsidRPr="006E0B8E">
              <w:rPr>
                <w:i/>
                <w:iCs/>
                <w:color w:val="333333"/>
                <w:sz w:val="26"/>
                <w:szCs w:val="26"/>
              </w:rPr>
              <w:t xml:space="preserve">– planul urbanistic zonal, </w:t>
            </w:r>
            <w:proofErr w:type="spellStart"/>
            <w:r w:rsidRPr="006E0B8E">
              <w:rPr>
                <w:i/>
                <w:iCs/>
                <w:color w:val="333333"/>
                <w:sz w:val="26"/>
                <w:szCs w:val="26"/>
              </w:rPr>
              <w:t>şi</w:t>
            </w:r>
            <w:proofErr w:type="spellEnd"/>
            <w:r w:rsidRPr="006E0B8E">
              <w:rPr>
                <w:i/>
                <w:iCs/>
                <w:color w:val="333333"/>
                <w:sz w:val="26"/>
                <w:szCs w:val="26"/>
              </w:rPr>
              <w:t xml:space="preserve"> o prezintă spre aprobare consiliului municipal;</w:t>
            </w:r>
          </w:p>
          <w:p w14:paraId="0A846AA8" w14:textId="2F2DD247" w:rsidR="006E0B8E" w:rsidRPr="006E0B8E" w:rsidRDefault="006E0B8E" w:rsidP="008A774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Conform prevederilor art. </w:t>
            </w:r>
            <w:r>
              <w:rPr>
                <w:sz w:val="26"/>
                <w:szCs w:val="26"/>
              </w:rPr>
              <w:t>4 alin. (2)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pct. 2) lit. </w:t>
            </w:r>
            <w:r>
              <w:rPr>
                <w:sz w:val="26"/>
                <w:szCs w:val="26"/>
              </w:rPr>
              <w:t>f</w:t>
            </w:r>
            <w:r>
              <w:rPr>
                <w:sz w:val="26"/>
                <w:szCs w:val="26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6E0B8E">
              <w:rPr>
                <w:rFonts w:ascii="Times New Roman" w:hAnsi="Times New Roman" w:cs="Times New Roman"/>
                <w:sz w:val="26"/>
                <w:szCs w:val="26"/>
              </w:rPr>
              <w:t>din legea privind statutul municipiului Chişinău, nr. 136/2016,</w:t>
            </w:r>
            <w:r w:rsidRPr="006E0B8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0B8E">
              <w:rPr>
                <w:i/>
                <w:iCs/>
                <w:sz w:val="26"/>
                <w:szCs w:val="26"/>
                <w:u w:val="single"/>
              </w:rPr>
              <w:t xml:space="preserve">Consiliul Municipal </w:t>
            </w:r>
            <w:r w:rsidRPr="006E0B8E">
              <w:rPr>
                <w:rFonts w:ascii="Times New Roman" w:hAnsi="Times New Roman"/>
                <w:i/>
                <w:iCs/>
                <w:sz w:val="26"/>
                <w:szCs w:val="26"/>
              </w:rPr>
              <w:t>decide, în condițiile legii, finanțarea și aprobarea documentației de urbanism și amenajare a teritoriului municipiului, inclusiv:</w:t>
            </w:r>
          </w:p>
          <w:p w14:paraId="14FC552C" w14:textId="77777777" w:rsidR="006E0B8E" w:rsidRPr="006E0B8E" w:rsidRDefault="006E0B8E" w:rsidP="006E0B8E">
            <w:pPr>
              <w:pStyle w:val="a5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</w:pPr>
            <w:r w:rsidRPr="006E0B8E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– planul de amenajare a teritoriului municipiului;</w:t>
            </w:r>
          </w:p>
          <w:p w14:paraId="2F5C3DEB" w14:textId="77777777" w:rsidR="006E0B8E" w:rsidRPr="006E0B8E" w:rsidRDefault="006E0B8E" w:rsidP="006E0B8E">
            <w:pPr>
              <w:pStyle w:val="a5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</w:pPr>
            <w:r w:rsidRPr="006E0B8E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– planul urbanistic general al municipiului și Regulamentul local de urbanism;</w:t>
            </w:r>
          </w:p>
          <w:p w14:paraId="00C03E69" w14:textId="77777777" w:rsidR="006E0B8E" w:rsidRPr="006E0B8E" w:rsidRDefault="006E0B8E" w:rsidP="006E0B8E">
            <w:pPr>
              <w:pStyle w:val="a5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</w:pPr>
            <w:r w:rsidRPr="006E0B8E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– planul urbanistic zonal;</w:t>
            </w:r>
          </w:p>
          <w:p w14:paraId="560FD597" w14:textId="6A26F40B" w:rsidR="006E0B8E" w:rsidRPr="006E0B8E" w:rsidRDefault="006E0B8E" w:rsidP="006E0B8E">
            <w:pPr>
              <w:pStyle w:val="a5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color w:val="333333"/>
                <w:sz w:val="26"/>
                <w:szCs w:val="26"/>
              </w:rPr>
            </w:pPr>
          </w:p>
          <w:p w14:paraId="2D025511" w14:textId="77777777" w:rsidR="00FA1F86" w:rsidRDefault="006E0B8E" w:rsidP="008A774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Astfel,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ţine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de dreptul Primarului General sau a Consiliului Municipal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Chişinău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de a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ţine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cont sau nu de avizele emise de Consiliul Arhitectural Urbanistic</w:t>
            </w:r>
          </w:p>
          <w:p w14:paraId="2E345046" w14:textId="7C4F87E3" w:rsidR="006E0B8E" w:rsidRDefault="006E0B8E" w:rsidP="008A774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Conform pct. 1 din proiect </w:t>
            </w:r>
            <w:r w:rsidRPr="006E0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  <w:t xml:space="preserve">Consiliul arhitectural-urbanistic (denumit în continuare „Consiliu”) se constituie ca </w:t>
            </w:r>
            <w:r w:rsidRPr="006E0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u w:val="single"/>
                <w:lang w:eastAsia="ro-RO"/>
              </w:rPr>
              <w:t>organ consultativ</w:t>
            </w:r>
            <w:r w:rsidRPr="006E0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  <w:t xml:space="preserve"> pe lingă Direcţia Generală Arhitectură, Urbanism </w:t>
            </w:r>
            <w:proofErr w:type="spellStart"/>
            <w:r w:rsidRPr="006E0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  <w:t>şi</w:t>
            </w:r>
            <w:proofErr w:type="spellEnd"/>
            <w:r w:rsidRPr="006E0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  <w:t xml:space="preserve"> Relații Funciare a Consiliului municipal Chişinău.</w:t>
            </w:r>
          </w:p>
          <w:p w14:paraId="121D1B95" w14:textId="1AF54187" w:rsidR="008A7743" w:rsidRPr="008A7743" w:rsidRDefault="008A7743" w:rsidP="008A774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Se propune expunerea pct. 15 din proiect în următoarea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redacţie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482FE558" w14:textId="021F562B" w:rsidR="008A7743" w:rsidRPr="001E4903" w:rsidRDefault="008A7743" w:rsidP="008A7743">
            <w:pPr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„15. </w:t>
            </w:r>
            <w:r w:rsidRPr="00DE05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Consiliul poate analiza în cadrul ședințelor </w:t>
            </w:r>
            <w:proofErr w:type="spellStart"/>
            <w:r w:rsidRPr="00DE05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  <w:t>şi</w:t>
            </w:r>
            <w:proofErr w:type="spellEnd"/>
            <w:r w:rsidRPr="00DE05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alte tipuri de documentații la solicitarea Arhitectului-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  <w:t>ș</w:t>
            </w:r>
            <w:r w:rsidRPr="00DE05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  <w:t>ef.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</w:t>
            </w:r>
            <w:r w:rsidRPr="001E49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În acest caz, avizul Consiliului </w:t>
            </w:r>
            <w:r w:rsidRPr="001E4903">
              <w:rPr>
                <w:rFonts w:ascii="Times New Roman" w:hAnsi="Times New Roman" w:cs="Times New Roman"/>
                <w:sz w:val="26"/>
                <w:szCs w:val="26"/>
              </w:rPr>
              <w:t>are un rol consultativ pentru arhitectul-</w:t>
            </w:r>
            <w:proofErr w:type="spellStart"/>
            <w:r w:rsidRPr="001E4903">
              <w:rPr>
                <w:rFonts w:ascii="Times New Roman" w:hAnsi="Times New Roman" w:cs="Times New Roman"/>
                <w:sz w:val="26"/>
                <w:szCs w:val="26"/>
              </w:rPr>
              <w:t>şef</w:t>
            </w:r>
            <w:proofErr w:type="spellEnd"/>
            <w:r w:rsidRPr="001E4903">
              <w:rPr>
                <w:rFonts w:ascii="Times New Roman" w:hAnsi="Times New Roman" w:cs="Times New Roman"/>
                <w:sz w:val="26"/>
                <w:szCs w:val="26"/>
              </w:rPr>
              <w:t xml:space="preserve"> al mun. </w:t>
            </w:r>
            <w:proofErr w:type="spellStart"/>
            <w:r w:rsidRPr="001E4903">
              <w:rPr>
                <w:rFonts w:ascii="Times New Roman" w:hAnsi="Times New Roman" w:cs="Times New Roman"/>
                <w:sz w:val="26"/>
                <w:szCs w:val="26"/>
              </w:rPr>
              <w:t>Chişinău</w:t>
            </w:r>
            <w:proofErr w:type="spellEnd"/>
            <w:r w:rsidRPr="001E49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4903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1E4903">
              <w:rPr>
                <w:rFonts w:ascii="Times New Roman" w:hAnsi="Times New Roman" w:cs="Times New Roman"/>
                <w:sz w:val="26"/>
                <w:szCs w:val="26"/>
              </w:rPr>
              <w:t xml:space="preserve"> caracter recomandabil pentru beneficiari </w:t>
            </w:r>
            <w:proofErr w:type="spellStart"/>
            <w:r w:rsidRPr="001E4903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1E4903">
              <w:rPr>
                <w:rFonts w:ascii="Times New Roman" w:hAnsi="Times New Roman" w:cs="Times New Roman"/>
                <w:sz w:val="26"/>
                <w:szCs w:val="26"/>
              </w:rPr>
              <w:t xml:space="preserve"> proiectanți. Arhitectul-</w:t>
            </w:r>
            <w:proofErr w:type="spellStart"/>
            <w:r w:rsidRPr="001E4903">
              <w:rPr>
                <w:rFonts w:ascii="Times New Roman" w:hAnsi="Times New Roman" w:cs="Times New Roman"/>
                <w:sz w:val="26"/>
                <w:szCs w:val="26"/>
              </w:rPr>
              <w:t>şef</w:t>
            </w:r>
            <w:proofErr w:type="spellEnd"/>
            <w:r w:rsidRPr="001E4903">
              <w:rPr>
                <w:rFonts w:ascii="Times New Roman" w:hAnsi="Times New Roman" w:cs="Times New Roman"/>
                <w:sz w:val="26"/>
                <w:szCs w:val="26"/>
              </w:rPr>
              <w:t xml:space="preserve"> este obligat să argumenteze motivele de respingere a soluțiilor propuse de Consiliu.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  <w:p w14:paraId="7B4A39C8" w14:textId="27F8664C" w:rsidR="006E0B8E" w:rsidRPr="006F64C6" w:rsidRDefault="006E0B8E" w:rsidP="006E0B8E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59EF" w14:paraId="1C78A554" w14:textId="77777777" w:rsidTr="00D559EF">
        <w:tc>
          <w:tcPr>
            <w:tcW w:w="562" w:type="dxa"/>
          </w:tcPr>
          <w:p w14:paraId="7A7FC80B" w14:textId="3ADDFBAC" w:rsidR="00D559EF" w:rsidRDefault="00543BF4" w:rsidP="00D559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4.</w:t>
            </w:r>
            <w:r w:rsidR="006F64C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521" w:type="dxa"/>
          </w:tcPr>
          <w:p w14:paraId="132A44D6" w14:textId="191B8C2A" w:rsidR="00D559EF" w:rsidRPr="008A7743" w:rsidRDefault="008A7743" w:rsidP="008A774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7743">
              <w:rPr>
                <w:rFonts w:ascii="Times New Roman" w:hAnsi="Times New Roman" w:cs="Times New Roman"/>
                <w:sz w:val="26"/>
                <w:szCs w:val="26"/>
              </w:rPr>
              <w:t>Se propune completarea Capitolului IV cu un articol nou, cu următorul conținut: „</w:t>
            </w:r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În cazul examinării chestiunilor privind avizarea documentației de urbanism </w:t>
            </w:r>
            <w:proofErr w:type="spellStart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şi</w:t>
            </w:r>
            <w:proofErr w:type="spellEnd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amenajare a teritoriului a obiectivelor incluse în Registrul monumentelor Republicii Moldova ocrotite de stat, Consiliul este obligat să </w:t>
            </w:r>
            <w:r w:rsidR="00C70A40"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țină</w:t>
            </w:r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cont de avizele emise de către Consiliul național  pentru monumentele istorice de pe </w:t>
            </w:r>
            <w:r w:rsidR="00C70A40"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lângă</w:t>
            </w:r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Miniserul</w:t>
            </w:r>
            <w:proofErr w:type="spellEnd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Educaţiei</w:t>
            </w:r>
            <w:proofErr w:type="spellEnd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, Culturii </w:t>
            </w:r>
            <w:proofErr w:type="spellStart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şi</w:t>
            </w:r>
            <w:proofErr w:type="spellEnd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Cercetării, care au prioritate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  <w:r w:rsidRPr="008A77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477" w:type="dxa"/>
          </w:tcPr>
          <w:p w14:paraId="1B95940E" w14:textId="508287D8" w:rsidR="00D559EF" w:rsidRDefault="008A7743" w:rsidP="008A7743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Se acceptă, se introduce un pct. nou 16 cu </w:t>
            </w:r>
            <w:r w:rsidR="0055520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următorul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5520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conținut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</w:p>
          <w:p w14:paraId="3AA255E4" w14:textId="6D646EFD" w:rsidR="00555201" w:rsidRDefault="00555201" w:rsidP="008A7743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„</w:t>
            </w:r>
            <w:r w:rsidRPr="00555201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În cazul examinării chestiunilor privind avizarea documentației de urbanism </w:t>
            </w:r>
            <w:proofErr w:type="spellStart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şi</w:t>
            </w:r>
            <w:proofErr w:type="spellEnd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amenajare a teritoriului a obiectivelor incluse în Registrul monumentelor Republicii Moldova ocrotite de stat, Consiliul este obligat să </w:t>
            </w:r>
            <w:r w:rsidR="00C70A40"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țină</w:t>
            </w:r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cont de avizele emise de către Consiliul național  pentru monumentele istorice de pe </w:t>
            </w:r>
            <w:r w:rsidR="00C70A40"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lângă</w:t>
            </w:r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="00C70A40"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Ministerul</w:t>
            </w:r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="00C70A40"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Educației</w:t>
            </w:r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, Culturii </w:t>
            </w:r>
            <w:proofErr w:type="spellStart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şi</w:t>
            </w:r>
            <w:proofErr w:type="spellEnd"/>
            <w:r w:rsidRPr="008A774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Cercetării, care au prioritate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  <w:p w14:paraId="579F7C83" w14:textId="1D92961D" w:rsidR="008A7743" w:rsidRDefault="008A7743" w:rsidP="008A7743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59EF" w14:paraId="26A7CDBC" w14:textId="77777777" w:rsidTr="00D559EF">
        <w:tc>
          <w:tcPr>
            <w:tcW w:w="562" w:type="dxa"/>
          </w:tcPr>
          <w:p w14:paraId="5B6B4508" w14:textId="77777777" w:rsidR="00D559EF" w:rsidRDefault="00D559EF" w:rsidP="00D559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521" w:type="dxa"/>
          </w:tcPr>
          <w:p w14:paraId="3D44229E" w14:textId="77777777" w:rsidR="00D559EF" w:rsidRDefault="00D559EF" w:rsidP="00D559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477" w:type="dxa"/>
          </w:tcPr>
          <w:p w14:paraId="79F0D1A6" w14:textId="77777777" w:rsidR="00D559EF" w:rsidRDefault="00D559EF" w:rsidP="00D559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6BD43FDF" w14:textId="77777777" w:rsidR="00D559EF" w:rsidRPr="00D559EF" w:rsidRDefault="00D559EF" w:rsidP="00D559EF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D559EF" w:rsidRPr="00D559EF" w:rsidSect="00D559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21909"/>
    <w:multiLevelType w:val="hybridMultilevel"/>
    <w:tmpl w:val="CAF488F8"/>
    <w:lvl w:ilvl="0" w:tplc="3BBC0F1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72E3"/>
    <w:multiLevelType w:val="hybridMultilevel"/>
    <w:tmpl w:val="8B8E52FC"/>
    <w:lvl w:ilvl="0" w:tplc="08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104BA"/>
    <w:multiLevelType w:val="multilevel"/>
    <w:tmpl w:val="29E0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A425C8"/>
    <w:multiLevelType w:val="multilevel"/>
    <w:tmpl w:val="3092C01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9DA"/>
    <w:rsid w:val="00386ABF"/>
    <w:rsid w:val="003E1CAC"/>
    <w:rsid w:val="00543BF4"/>
    <w:rsid w:val="00555201"/>
    <w:rsid w:val="006E0B8E"/>
    <w:rsid w:val="006F64C6"/>
    <w:rsid w:val="008A7743"/>
    <w:rsid w:val="008F6A84"/>
    <w:rsid w:val="009879DA"/>
    <w:rsid w:val="00C70A40"/>
    <w:rsid w:val="00CB7D04"/>
    <w:rsid w:val="00D559EF"/>
    <w:rsid w:val="00F02C9D"/>
    <w:rsid w:val="00FA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8603"/>
  <w15:chartTrackingRefBased/>
  <w15:docId w15:val="{B2104771-4501-4AA6-BADD-6444D315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9EF"/>
    <w:pPr>
      <w:spacing w:after="0" w:line="240" w:lineRule="auto"/>
    </w:pPr>
  </w:style>
  <w:style w:type="table" w:styleId="a4">
    <w:name w:val="Table Grid"/>
    <w:basedOn w:val="a1"/>
    <w:uiPriority w:val="39"/>
    <w:rsid w:val="00D55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E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2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</dc:creator>
  <cp:keywords/>
  <dc:description/>
  <cp:lastModifiedBy>Gatmaniuc Serghei</cp:lastModifiedBy>
  <cp:revision>2</cp:revision>
  <cp:lastPrinted>2021-08-23T15:04:00Z</cp:lastPrinted>
  <dcterms:created xsi:type="dcterms:W3CDTF">2021-08-23T15:36:00Z</dcterms:created>
  <dcterms:modified xsi:type="dcterms:W3CDTF">2021-08-23T15:36:00Z</dcterms:modified>
</cp:coreProperties>
</file>