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FAE66"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lang w:val="ro-RO"/>
        </w:rPr>
        <w:t xml:space="preserve">Analiza impactului de reglementare </w:t>
      </w:r>
    </w:p>
    <w:p w14:paraId="7D9249FB"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lang w:val="ro-RO"/>
        </w:rPr>
        <w:t xml:space="preserve">la proiectul hotărîrii de Guvern cu privire la aprobarea </w:t>
      </w:r>
    </w:p>
    <w:p w14:paraId="702D1499" w14:textId="77777777" w:rsidR="00E338A0" w:rsidRPr="00E338A0" w:rsidRDefault="00E338A0" w:rsidP="00E338A0">
      <w:pPr>
        <w:spacing w:after="0" w:line="240" w:lineRule="auto"/>
        <w:ind w:left="90" w:right="189" w:firstLine="477"/>
        <w:jc w:val="center"/>
        <w:rPr>
          <w:rFonts w:ascii="Times New Roman" w:eastAsia="Calibri" w:hAnsi="Times New Roman" w:cs="Times New Roman"/>
          <w:b/>
          <w:sz w:val="28"/>
          <w:szCs w:val="28"/>
          <w:lang w:val="ro-RO" w:eastAsia="en-GB"/>
        </w:rPr>
      </w:pPr>
      <w:r w:rsidRPr="00E338A0">
        <w:rPr>
          <w:rFonts w:ascii="Times New Roman" w:eastAsia="Times New Roman" w:hAnsi="Times New Roman" w:cs="Times New Roman"/>
          <w:b/>
          <w:sz w:val="28"/>
          <w:szCs w:val="28"/>
          <w:lang w:val="ro-RO" w:eastAsia="en-GB"/>
        </w:rPr>
        <w:t xml:space="preserve">Reglementării tehnice </w:t>
      </w:r>
      <w:r w:rsidRPr="00E338A0">
        <w:rPr>
          <w:rFonts w:ascii="Times New Roman" w:eastAsia="Calibri" w:hAnsi="Times New Roman" w:cs="Times New Roman"/>
          <w:b/>
          <w:sz w:val="28"/>
          <w:szCs w:val="28"/>
          <w:lang w:val="ro-RO" w:eastAsia="en-GB"/>
        </w:rPr>
        <w:t xml:space="preserve">privind punerea la dispoziţie pe piaţă </w:t>
      </w:r>
    </w:p>
    <w:tbl>
      <w:tblPr>
        <w:tblW w:w="5243" w:type="pct"/>
        <w:jc w:val="center"/>
        <w:tblLayout w:type="fixed"/>
        <w:tblLook w:val="04A0" w:firstRow="1" w:lastRow="0" w:firstColumn="1" w:lastColumn="0" w:noHBand="0" w:noVBand="1"/>
      </w:tblPr>
      <w:tblGrid>
        <w:gridCol w:w="3735"/>
        <w:gridCol w:w="1393"/>
        <w:gridCol w:w="1450"/>
        <w:gridCol w:w="1611"/>
        <w:gridCol w:w="1621"/>
      </w:tblGrid>
      <w:tr w:rsidR="00E338A0" w:rsidRPr="00E338A0" w14:paraId="0FEB67AC" w14:textId="77777777" w:rsidTr="008C2C82">
        <w:trPr>
          <w:jc w:val="center"/>
        </w:trPr>
        <w:tc>
          <w:tcPr>
            <w:tcW w:w="5000" w:type="pct"/>
            <w:gridSpan w:val="5"/>
            <w:tcMar>
              <w:top w:w="15" w:type="dxa"/>
              <w:left w:w="45" w:type="dxa"/>
              <w:bottom w:w="15" w:type="dxa"/>
              <w:right w:w="45" w:type="dxa"/>
            </w:tcMar>
            <w:hideMark/>
          </w:tcPr>
          <w:p w14:paraId="0C7C1983"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sz w:val="28"/>
                <w:szCs w:val="28"/>
                <w:lang w:val="ro-RO" w:eastAsia="ru-RU"/>
              </w:rPr>
            </w:pPr>
            <w:r w:rsidRPr="00E338A0">
              <w:rPr>
                <w:rFonts w:ascii="Times New Roman" w:eastAsia="Calibri" w:hAnsi="Times New Roman" w:cs="Times New Roman"/>
                <w:b/>
                <w:sz w:val="28"/>
                <w:szCs w:val="28"/>
                <w:lang w:val="ro-RO" w:eastAsia="en-GB"/>
              </w:rPr>
              <w:t>a aparatelor consumatoare de combustibili gazoși</w:t>
            </w:r>
          </w:p>
        </w:tc>
      </w:tr>
      <w:tr w:rsidR="00E338A0" w:rsidRPr="00E338A0" w14:paraId="5F1C8F71" w14:textId="77777777" w:rsidTr="008C2C82">
        <w:trPr>
          <w:jc w:val="center"/>
        </w:trPr>
        <w:tc>
          <w:tcPr>
            <w:tcW w:w="1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F4E3FC" w14:textId="77777777" w:rsidR="00E338A0" w:rsidRPr="00E338A0" w:rsidRDefault="00E338A0" w:rsidP="00260AEE">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Titlul analizei impactului</w:t>
            </w:r>
          </w:p>
        </w:tc>
        <w:tc>
          <w:tcPr>
            <w:tcW w:w="309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1DB24B8" w14:textId="77777777" w:rsidR="00E338A0" w:rsidRPr="00E338A0" w:rsidRDefault="00E338A0" w:rsidP="00E338A0">
            <w:pPr>
              <w:spacing w:after="0" w:line="240" w:lineRule="auto"/>
              <w:ind w:left="90" w:right="189" w:firstLine="477"/>
              <w:jc w:val="both"/>
              <w:rPr>
                <w:rFonts w:ascii="Times New Roman" w:eastAsia="MS Mincho" w:hAnsi="Times New Roman" w:cs="Times New Roman"/>
                <w:noProof/>
                <w:sz w:val="28"/>
                <w:szCs w:val="28"/>
                <w:lang w:val="ro-RO" w:eastAsia="ja-JP"/>
              </w:rPr>
            </w:pPr>
            <w:r w:rsidRPr="00E338A0">
              <w:rPr>
                <w:rFonts w:ascii="Times New Roman" w:eastAsia="Times New Roman" w:hAnsi="Times New Roman" w:cs="Times New Roman"/>
                <w:sz w:val="28"/>
                <w:szCs w:val="28"/>
                <w:lang w:val="ro-RO" w:eastAsia="ja-JP"/>
              </w:rPr>
              <w:t xml:space="preserve">Proiectul </w:t>
            </w:r>
            <w:r w:rsidRPr="00E338A0">
              <w:rPr>
                <w:rFonts w:ascii="Times New Roman" w:eastAsia="Times New Roman" w:hAnsi="Times New Roman" w:cs="Times New Roman"/>
                <w:sz w:val="28"/>
                <w:szCs w:val="28"/>
                <w:lang w:val="ro-RO"/>
              </w:rPr>
              <w:t xml:space="preserve">Hotărîrii Guvernului cu privire  la aprobarea </w:t>
            </w:r>
            <w:r w:rsidRPr="00E338A0">
              <w:rPr>
                <w:rFonts w:ascii="Times New Roman" w:eastAsia="Times New Roman" w:hAnsi="Times New Roman" w:cs="Times New Roman"/>
                <w:sz w:val="28"/>
                <w:szCs w:val="28"/>
                <w:lang w:val="ro-RO" w:eastAsia="en-GB"/>
              </w:rPr>
              <w:t xml:space="preserve">Reglementării tehnice </w:t>
            </w:r>
            <w:r w:rsidRPr="00E338A0">
              <w:rPr>
                <w:rFonts w:ascii="Times New Roman" w:eastAsia="Calibri" w:hAnsi="Times New Roman" w:cs="Times New Roman"/>
                <w:sz w:val="28"/>
                <w:szCs w:val="28"/>
                <w:lang w:val="ro-RO" w:eastAsia="en-GB"/>
              </w:rPr>
              <w:t>privind punerea la dispoziţie pe piaţă a aparatelor consumatoare de combustibili gazoși</w:t>
            </w:r>
          </w:p>
        </w:tc>
      </w:tr>
      <w:tr w:rsidR="00E338A0" w:rsidRPr="00E338A0" w14:paraId="443B2EF7" w14:textId="77777777" w:rsidTr="008C2C82">
        <w:trPr>
          <w:jc w:val="center"/>
        </w:trPr>
        <w:tc>
          <w:tcPr>
            <w:tcW w:w="1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5B7D1C4" w14:textId="77777777" w:rsidR="00E338A0" w:rsidRPr="00E338A0" w:rsidRDefault="00E338A0" w:rsidP="00260AEE">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Data</w:t>
            </w:r>
          </w:p>
        </w:tc>
        <w:tc>
          <w:tcPr>
            <w:tcW w:w="309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7F745BC" w14:textId="0F2264EC" w:rsidR="00E338A0" w:rsidRPr="00E338A0" w:rsidRDefault="00E338A0" w:rsidP="008C2C82">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highlight w:val="yellow"/>
                <w:lang w:val="ro-RO"/>
              </w:rPr>
              <w:t>25 i</w:t>
            </w:r>
            <w:r w:rsidR="008C2C82">
              <w:rPr>
                <w:rFonts w:ascii="Times New Roman" w:eastAsia="Times New Roman" w:hAnsi="Times New Roman" w:cs="Times New Roman"/>
                <w:sz w:val="28"/>
                <w:szCs w:val="28"/>
                <w:highlight w:val="yellow"/>
                <w:lang w:val="ro-RO"/>
              </w:rPr>
              <w:t>ulie</w:t>
            </w:r>
            <w:r w:rsidRPr="00E338A0">
              <w:rPr>
                <w:rFonts w:ascii="Times New Roman" w:eastAsia="Times New Roman" w:hAnsi="Times New Roman" w:cs="Times New Roman"/>
                <w:sz w:val="28"/>
                <w:szCs w:val="28"/>
                <w:highlight w:val="yellow"/>
                <w:lang w:val="ro-RO"/>
              </w:rPr>
              <w:t xml:space="preserve"> 2021</w:t>
            </w:r>
          </w:p>
        </w:tc>
      </w:tr>
      <w:tr w:rsidR="00E338A0" w:rsidRPr="00E338A0" w14:paraId="240CA7C4" w14:textId="77777777" w:rsidTr="008C2C82">
        <w:trPr>
          <w:jc w:val="center"/>
        </w:trPr>
        <w:tc>
          <w:tcPr>
            <w:tcW w:w="1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D858243" w14:textId="77777777" w:rsidR="00E338A0" w:rsidRPr="00E338A0" w:rsidRDefault="00E338A0" w:rsidP="00260AEE">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Autoritatea administraţiei publice (autor)</w:t>
            </w:r>
          </w:p>
        </w:tc>
        <w:tc>
          <w:tcPr>
            <w:tcW w:w="309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5E31795"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Ministerul Economiei și Infrastructurii</w:t>
            </w:r>
          </w:p>
        </w:tc>
      </w:tr>
      <w:tr w:rsidR="00E338A0" w:rsidRPr="00E338A0" w14:paraId="01E73F91" w14:textId="77777777" w:rsidTr="008C2C82">
        <w:trPr>
          <w:trHeight w:val="381"/>
          <w:jc w:val="center"/>
        </w:trPr>
        <w:tc>
          <w:tcPr>
            <w:tcW w:w="1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48CCEC4" w14:textId="77777777" w:rsidR="00E338A0" w:rsidRPr="00E338A0" w:rsidRDefault="00E338A0" w:rsidP="00260AEE">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Subdiviziunea</w:t>
            </w:r>
          </w:p>
        </w:tc>
        <w:tc>
          <w:tcPr>
            <w:tcW w:w="309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8E4F065"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ja-JP"/>
              </w:rPr>
            </w:pPr>
            <w:r w:rsidRPr="00E338A0">
              <w:rPr>
                <w:rFonts w:ascii="Times New Roman" w:eastAsia="Times New Roman" w:hAnsi="Times New Roman" w:cs="Times New Roman"/>
                <w:sz w:val="28"/>
                <w:szCs w:val="28"/>
                <w:lang w:val="ro-RO" w:eastAsia="ja-JP"/>
              </w:rPr>
              <w:t>Direcţia infrastructura calității și securitate industrială</w:t>
            </w:r>
          </w:p>
        </w:tc>
      </w:tr>
      <w:tr w:rsidR="00E338A0" w:rsidRPr="00E338A0" w14:paraId="4C0C44F3" w14:textId="77777777" w:rsidTr="008C2C82">
        <w:trPr>
          <w:jc w:val="center"/>
        </w:trPr>
        <w:tc>
          <w:tcPr>
            <w:tcW w:w="1904"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F7E4E4E" w14:textId="77777777" w:rsidR="00E338A0" w:rsidRPr="00E338A0" w:rsidRDefault="00E338A0" w:rsidP="00260AEE">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Persoana responsabilă şi datele de contact</w:t>
            </w:r>
          </w:p>
        </w:tc>
        <w:tc>
          <w:tcPr>
            <w:tcW w:w="3096" w:type="pct"/>
            <w:gridSpan w:val="4"/>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4B8EDBC2" w14:textId="77777777" w:rsidR="00E338A0" w:rsidRPr="00E338A0" w:rsidRDefault="00E338A0" w:rsidP="00E338A0">
            <w:pPr>
              <w:spacing w:after="0" w:line="240" w:lineRule="auto"/>
              <w:ind w:left="90" w:right="189" w:firstLine="477"/>
              <w:rPr>
                <w:rFonts w:ascii="Times New Roman" w:eastAsia="Calibri" w:hAnsi="Times New Roman" w:cs="Times New Roman"/>
                <w:sz w:val="28"/>
                <w:szCs w:val="28"/>
                <w:lang w:val="ro-RO" w:eastAsia="ja-JP"/>
              </w:rPr>
            </w:pPr>
            <w:r w:rsidRPr="00E338A0">
              <w:rPr>
                <w:rFonts w:ascii="Times New Roman" w:eastAsia="Calibri" w:hAnsi="Times New Roman" w:cs="Times New Roman"/>
                <w:sz w:val="28"/>
                <w:szCs w:val="28"/>
                <w:lang w:val="ro-RO" w:eastAsia="ja-JP"/>
              </w:rPr>
              <w:t xml:space="preserve">Lidia Jitari - consultant principal, </w:t>
            </w:r>
          </w:p>
          <w:p w14:paraId="42916EA7" w14:textId="77777777" w:rsidR="00E338A0" w:rsidRPr="00E338A0" w:rsidRDefault="00E338A0" w:rsidP="00E338A0">
            <w:pPr>
              <w:spacing w:after="0" w:line="240" w:lineRule="auto"/>
              <w:ind w:left="90" w:right="189" w:firstLine="477"/>
              <w:rPr>
                <w:rFonts w:ascii="Times New Roman" w:eastAsia="Calibri" w:hAnsi="Times New Roman" w:cs="Times New Roman"/>
                <w:sz w:val="28"/>
                <w:szCs w:val="28"/>
                <w:lang w:val="ro-RO" w:eastAsia="ja-JP"/>
              </w:rPr>
            </w:pPr>
            <w:r w:rsidRPr="00E338A0">
              <w:rPr>
                <w:rFonts w:ascii="Times New Roman" w:eastAsia="Calibri" w:hAnsi="Times New Roman" w:cs="Times New Roman"/>
                <w:sz w:val="28"/>
                <w:szCs w:val="28"/>
                <w:lang w:val="ro-RO" w:eastAsia="ja-JP"/>
              </w:rPr>
              <w:t>tel. 022 250 645,</w:t>
            </w:r>
          </w:p>
          <w:p w14:paraId="604ED9F4" w14:textId="77777777" w:rsidR="00E338A0" w:rsidRPr="00E338A0" w:rsidRDefault="00E338A0" w:rsidP="00E338A0">
            <w:pPr>
              <w:spacing w:after="0" w:line="240" w:lineRule="auto"/>
              <w:ind w:left="90" w:right="189" w:firstLine="477"/>
              <w:rPr>
                <w:rFonts w:ascii="Times New Roman" w:eastAsia="Calibri" w:hAnsi="Times New Roman" w:cs="Times New Roman"/>
                <w:i/>
                <w:sz w:val="28"/>
                <w:szCs w:val="28"/>
                <w:lang w:val="ro-RO" w:eastAsia="ja-JP"/>
              </w:rPr>
            </w:pPr>
            <w:r w:rsidRPr="00E338A0">
              <w:rPr>
                <w:rFonts w:ascii="Times New Roman" w:eastAsia="Calibri" w:hAnsi="Times New Roman" w:cs="Times New Roman"/>
                <w:sz w:val="28"/>
                <w:szCs w:val="28"/>
                <w:lang w:val="ro-RO" w:eastAsia="ja-JP"/>
              </w:rPr>
              <w:t xml:space="preserve">e-mail: </w:t>
            </w:r>
            <w:hyperlink r:id="rId7" w:history="1">
              <w:r w:rsidRPr="00E338A0">
                <w:rPr>
                  <w:rFonts w:ascii="Times New Roman" w:eastAsia="Calibri" w:hAnsi="Times New Roman" w:cs="Times New Roman"/>
                  <w:i/>
                  <w:sz w:val="28"/>
                  <w:szCs w:val="28"/>
                  <w:u w:val="single"/>
                  <w:lang w:val="ro-RO" w:eastAsia="ja-JP"/>
                </w:rPr>
                <w:t>lidia.jitari@mei.gov.md</w:t>
              </w:r>
            </w:hyperlink>
          </w:p>
        </w:tc>
      </w:tr>
      <w:tr w:rsidR="00E338A0" w:rsidRPr="00E338A0" w14:paraId="4C296577"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14:paraId="0DBDF9EB" w14:textId="77777777" w:rsidR="00E338A0" w:rsidRPr="00E338A0" w:rsidRDefault="00E338A0" w:rsidP="00E338A0">
            <w:pPr>
              <w:spacing w:after="0" w:line="240" w:lineRule="auto"/>
              <w:ind w:left="90" w:right="189" w:firstLine="477"/>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b/>
                <w:bCs/>
                <w:sz w:val="28"/>
                <w:szCs w:val="28"/>
                <w:lang w:val="ro-RO"/>
              </w:rPr>
              <w:t>Compartimentele analizei impactului</w:t>
            </w:r>
          </w:p>
        </w:tc>
      </w:tr>
      <w:tr w:rsidR="00E338A0" w:rsidRPr="00E338A0" w14:paraId="3C9C090E"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6B266FCD" w14:textId="77777777" w:rsidR="00E338A0" w:rsidRPr="00260AEE" w:rsidRDefault="00E338A0" w:rsidP="00E338A0">
            <w:pPr>
              <w:spacing w:after="0" w:line="240" w:lineRule="auto"/>
              <w:ind w:left="90" w:right="189" w:firstLine="477"/>
              <w:rPr>
                <w:rFonts w:ascii="Times New Roman" w:eastAsia="Times New Roman" w:hAnsi="Times New Roman" w:cs="Times New Roman"/>
                <w:sz w:val="28"/>
                <w:szCs w:val="28"/>
                <w:lang w:val="ru-RU"/>
              </w:rPr>
            </w:pPr>
            <w:r w:rsidRPr="00E338A0">
              <w:rPr>
                <w:rFonts w:ascii="Times New Roman" w:eastAsia="Times New Roman" w:hAnsi="Times New Roman" w:cs="Times New Roman"/>
                <w:b/>
                <w:bCs/>
                <w:sz w:val="28"/>
                <w:szCs w:val="28"/>
                <w:lang w:val="ro-RO"/>
              </w:rPr>
              <w:t>1. Definirea problemei</w:t>
            </w:r>
          </w:p>
        </w:tc>
      </w:tr>
      <w:tr w:rsidR="00E338A0" w:rsidRPr="00E338A0" w14:paraId="246AF689"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4914220C"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lang w:val="ro-RO"/>
              </w:rPr>
              <w:t>a) Determinați clar şi concis problema şi/sau problemele care urmează să fie soluţionate</w:t>
            </w:r>
          </w:p>
        </w:tc>
      </w:tr>
      <w:tr w:rsidR="00E338A0" w:rsidRPr="00E338A0" w14:paraId="42B2ECCA"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680A6E2" w14:textId="77777777" w:rsidR="00E338A0" w:rsidRPr="00E338A0" w:rsidRDefault="00E338A0" w:rsidP="008C2C82">
            <w:pPr>
              <w:autoSpaceDE w:val="0"/>
              <w:autoSpaceDN w:val="0"/>
              <w:adjustRightInd w:val="0"/>
              <w:spacing w:after="0" w:line="240" w:lineRule="auto"/>
              <w:ind w:left="135" w:right="135" w:firstLine="450"/>
              <w:jc w:val="both"/>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 xml:space="preserve">Cadrul normativ învechit și care, la moment, nu acoperă întreaga problematică din  </w:t>
            </w:r>
            <w:r w:rsidRPr="00E338A0">
              <w:rPr>
                <w:rFonts w:ascii="Times New Roman" w:eastAsia="Times New Roman" w:hAnsi="Times New Roman" w:cs="Times New Roman"/>
                <w:color w:val="000000"/>
                <w:sz w:val="28"/>
                <w:szCs w:val="28"/>
                <w:lang w:val="ro-RO"/>
              </w:rPr>
              <w:t xml:space="preserve">domeniul fabricării și comercializării cu </w:t>
            </w:r>
            <w:r w:rsidRPr="00E338A0">
              <w:rPr>
                <w:rFonts w:ascii="Times New Roman" w:eastAsia="Calibri" w:hAnsi="Times New Roman" w:cs="Times New Roman"/>
                <w:color w:val="000000"/>
                <w:sz w:val="28"/>
                <w:szCs w:val="28"/>
                <w:lang w:val="ro-RO"/>
              </w:rPr>
              <w:t xml:space="preserve">aparate consumătoare de combustibili gazoși, ce constituie obiectul de reglementare al proiectului; </w:t>
            </w:r>
          </w:p>
          <w:p w14:paraId="008F0007" w14:textId="77777777" w:rsidR="00E338A0" w:rsidRPr="00E338A0" w:rsidRDefault="00E338A0" w:rsidP="008C2C82">
            <w:pPr>
              <w:autoSpaceDE w:val="0"/>
              <w:autoSpaceDN w:val="0"/>
              <w:adjustRightInd w:val="0"/>
              <w:spacing w:after="0" w:line="240" w:lineRule="auto"/>
              <w:ind w:left="135" w:right="135" w:firstLine="450"/>
              <w:jc w:val="both"/>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Lipsa prevederilor normative clare și comprehensive cu privire la</w:t>
            </w:r>
            <w:r w:rsidRPr="00E338A0">
              <w:rPr>
                <w:rFonts w:ascii="Times New Roman" w:eastAsia="Arial Unicode MS" w:hAnsi="Times New Roman" w:cs="Times New Roman"/>
                <w:color w:val="000000"/>
                <w:sz w:val="28"/>
                <w:szCs w:val="28"/>
                <w:lang w:val="ro-RO" w:eastAsia="ro-RO"/>
              </w:rPr>
              <w:t xml:space="preserve"> funcționarea eficientă a pieței interne, la sănătatea, bunăstarea și încrederea consumatorilor, precum și</w:t>
            </w:r>
            <w:r w:rsidRPr="00E338A0">
              <w:rPr>
                <w:rFonts w:ascii="Times New Roman" w:eastAsia="Times New Roman" w:hAnsi="Times New Roman" w:cs="Times New Roman"/>
                <w:color w:val="000000"/>
                <w:sz w:val="28"/>
                <w:szCs w:val="28"/>
                <w:lang w:val="ro-RO"/>
              </w:rPr>
              <w:t xml:space="preserve"> a intereselor economice a partenerilor comerciali</w:t>
            </w:r>
            <w:r w:rsidRPr="00E338A0">
              <w:rPr>
                <w:rFonts w:ascii="Times New Roman" w:eastAsia="Calibri" w:hAnsi="Times New Roman" w:cs="Times New Roman"/>
                <w:color w:val="000000"/>
                <w:sz w:val="28"/>
                <w:szCs w:val="28"/>
                <w:lang w:val="ro-RO"/>
              </w:rPr>
              <w:t xml:space="preserve">; </w:t>
            </w:r>
          </w:p>
          <w:p w14:paraId="0900AA71" w14:textId="77777777" w:rsidR="00E338A0" w:rsidRPr="00E338A0" w:rsidRDefault="00E338A0" w:rsidP="008C2C82">
            <w:pPr>
              <w:spacing w:after="0" w:line="240" w:lineRule="auto"/>
              <w:ind w:left="135" w:right="135" w:firstLine="450"/>
              <w:jc w:val="both"/>
              <w:rPr>
                <w:rFonts w:ascii="Times New Roman" w:eastAsia="Arial Unicode MS" w:hAnsi="Times New Roman" w:cs="Times New Roman"/>
                <w:sz w:val="28"/>
                <w:szCs w:val="28"/>
                <w:lang w:eastAsia="ro-RO"/>
              </w:rPr>
            </w:pPr>
            <w:r w:rsidRPr="00E338A0">
              <w:rPr>
                <w:rFonts w:ascii="Times New Roman" w:eastAsia="Calibri" w:hAnsi="Times New Roman" w:cs="Times New Roman"/>
                <w:sz w:val="28"/>
                <w:szCs w:val="28"/>
                <w:lang w:val="ro-RO"/>
              </w:rPr>
              <w:t>Neconcordanța unor prevederi normative naționale cu cadrul european care reglementează introducerea pe piață și punerea în funcțiune a aparatelor consumătoare de combustibili gazoși.</w:t>
            </w:r>
            <w:r w:rsidRPr="00E338A0">
              <w:rPr>
                <w:rFonts w:ascii="Times New Roman" w:eastAsia="Calibri" w:hAnsi="Times New Roman" w:cs="Times New Roman"/>
                <w:sz w:val="28"/>
                <w:szCs w:val="28"/>
              </w:rPr>
              <w:t xml:space="preserve"> </w:t>
            </w:r>
          </w:p>
          <w:p w14:paraId="799776BB"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6C9D9988"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6532E58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lang w:val="ro-RO"/>
              </w:rPr>
              <w:t>b)</w:t>
            </w:r>
            <w:r w:rsidRPr="00E338A0">
              <w:rPr>
                <w:rFonts w:ascii="Times New Roman" w:eastAsia="Times New Roman" w:hAnsi="Times New Roman" w:cs="Times New Roman"/>
                <w:b/>
                <w:sz w:val="28"/>
                <w:szCs w:val="28"/>
                <w:lang w:val="ro-RO"/>
              </w:rPr>
              <w:t xml:space="preserve"> Descrieți problema, persoanele/entităţile afectate și cele care contribuie la apariția problemei, cu justificarea necesității schimbării situaţiei curente şi viitoare, în baza dovezilor şi datelor colectate și examinate</w:t>
            </w:r>
          </w:p>
        </w:tc>
      </w:tr>
      <w:tr w:rsidR="00E338A0" w:rsidRPr="00E338A0" w14:paraId="042BF0FC" w14:textId="77777777" w:rsidTr="008C2C82">
        <w:trPr>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517D689" w14:textId="77777777" w:rsidR="00E338A0" w:rsidRPr="00E338A0" w:rsidRDefault="00E338A0" w:rsidP="00E338A0">
            <w:pPr>
              <w:spacing w:after="0" w:line="240" w:lineRule="auto"/>
              <w:ind w:firstLine="709"/>
              <w:jc w:val="both"/>
              <w:rPr>
                <w:rFonts w:ascii="Times New Roman" w:eastAsia="Times New Roman" w:hAnsi="Times New Roman" w:cs="Times New Roman"/>
                <w:sz w:val="28"/>
                <w:szCs w:val="28"/>
                <w:lang w:val="ro-RO"/>
              </w:rPr>
            </w:pPr>
          </w:p>
          <w:p w14:paraId="2E8E47C6" w14:textId="77777777" w:rsidR="00E338A0" w:rsidRPr="00E338A0" w:rsidRDefault="00E338A0" w:rsidP="008C2C82">
            <w:pPr>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O aten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ie deosebită o prezintă faptul că cadrul legal existent deja prevede cerin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 xml:space="preserve">e, care trebuie să se satisfacă, în vederea punerii la dispoziţie pe piaţă şi/sau punerii în funcţiune a aparatelor consumatoare de combustibili gazoşi, pentru a asigura un nivel ridicat de protecţie a bunurilor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intereselor publice, cum ar fi sănătatea şi siguranţa persoanelor şi să garanteze o concurenţă loială pe piaţă. Aceste cerin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e sunt stipulate în Hotărîrea Guvernului nr. 1329/2016 Cu privire la aprobarea Reglementării tehnice ”</w:t>
            </w:r>
            <w:r w:rsidRPr="00E338A0">
              <w:rPr>
                <w:rFonts w:ascii="Times New Roman" w:eastAsia="Times New Roman" w:hAnsi="Times New Roman" w:cs="Times New Roman"/>
                <w:bCs/>
                <w:color w:val="444444"/>
                <w:sz w:val="28"/>
                <w:szCs w:val="28"/>
                <w:lang w:val="ro-RO" w:eastAsia="ru-RU"/>
              </w:rPr>
              <w:t>Aparate consumatoare de combustibili gazoşi</w:t>
            </w:r>
            <w:r w:rsidRPr="00E338A0">
              <w:rPr>
                <w:rFonts w:ascii="Times New Roman" w:eastAsia="Times New Roman" w:hAnsi="Times New Roman" w:cs="Times New Roman"/>
                <w:sz w:val="28"/>
                <w:szCs w:val="28"/>
                <w:lang w:val="ro-RO" w:eastAsia="ru-RU"/>
              </w:rPr>
              <w:t xml:space="preserve">”. Această Hotărîre de Guvern a transpus parţial Directiva 2009/142/CE a Parlamentului </w:t>
            </w:r>
            <w:r w:rsidRPr="00E53A29">
              <w:rPr>
                <w:rFonts w:ascii="Times New Roman" w:eastAsia="Times New Roman" w:hAnsi="Times New Roman" w:cs="Times New Roman"/>
                <w:sz w:val="28"/>
                <w:szCs w:val="28"/>
                <w:lang w:val="ro-RO" w:eastAsia="ru-RU"/>
              </w:rPr>
              <w:t>ș</w:t>
            </w:r>
            <w:r w:rsidRPr="00E338A0">
              <w:rPr>
                <w:rFonts w:ascii="Times New Roman" w:eastAsia="Times New Roman" w:hAnsi="Times New Roman" w:cs="Times New Roman"/>
                <w:sz w:val="28"/>
                <w:szCs w:val="28"/>
                <w:lang w:val="ro-RO" w:eastAsia="ru-RU"/>
              </w:rPr>
              <w:t xml:space="preserve">i </w:t>
            </w:r>
            <w:r w:rsidRPr="00E338A0">
              <w:rPr>
                <w:rFonts w:ascii="Times New Roman" w:eastAsia="Times New Roman" w:hAnsi="Times New Roman" w:cs="Times New Roman"/>
                <w:sz w:val="28"/>
                <w:szCs w:val="28"/>
                <w:lang w:val="ro-RO" w:eastAsia="ru-RU"/>
              </w:rPr>
              <w:lastRenderedPageBreak/>
              <w:t xml:space="preserve">Consiliului European din 29 iunie 1990 </w:t>
            </w:r>
            <w:r w:rsidRPr="00E338A0">
              <w:rPr>
                <w:rFonts w:ascii="Times New Roman" w:eastAsia="Times New Roman" w:hAnsi="Times New Roman" w:cs="Times New Roman"/>
                <w:bCs/>
                <w:color w:val="444444"/>
                <w:sz w:val="28"/>
                <w:szCs w:val="28"/>
                <w:lang w:val="ro-RO" w:eastAsia="ru-RU"/>
              </w:rPr>
              <w:t>referitoare la aparatele consumatoare de combustibili gazoşi</w:t>
            </w:r>
            <w:r w:rsidRPr="00E338A0">
              <w:rPr>
                <w:rFonts w:ascii="Times New Roman" w:eastAsia="Times New Roman" w:hAnsi="Times New Roman" w:cs="Times New Roman"/>
                <w:sz w:val="28"/>
                <w:szCs w:val="28"/>
                <w:lang w:val="ro-RO" w:eastAsia="ru-RU"/>
              </w:rPr>
              <w:t>.</w:t>
            </w:r>
          </w:p>
          <w:p w14:paraId="2364301A" w14:textId="77777777" w:rsidR="00E338A0" w:rsidRPr="00E338A0" w:rsidRDefault="00E338A0" w:rsidP="008C2C82">
            <w:pPr>
              <w:tabs>
                <w:tab w:val="left" w:pos="0"/>
              </w:tabs>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Experien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a legată de punerea în aplicare a Reglementării tehnice ”</w:t>
            </w:r>
            <w:r w:rsidRPr="00E338A0">
              <w:rPr>
                <w:rFonts w:ascii="Times New Roman" w:eastAsia="Times New Roman" w:hAnsi="Times New Roman" w:cs="Times New Roman"/>
                <w:bCs/>
                <w:sz w:val="28"/>
                <w:szCs w:val="28"/>
                <w:lang w:val="ro-RO" w:eastAsia="ru-RU"/>
              </w:rPr>
              <w:t>Aparate consumatoare de combustibili gazoşi</w:t>
            </w:r>
            <w:r w:rsidRPr="00E338A0">
              <w:rPr>
                <w:rFonts w:ascii="Times New Roman" w:eastAsia="Times New Roman" w:hAnsi="Times New Roman" w:cs="Times New Roman"/>
                <w:sz w:val="28"/>
                <w:szCs w:val="28"/>
                <w:lang w:val="ro-RO" w:eastAsia="ru-RU"/>
              </w:rPr>
              <w:t xml:space="preserve">”, aprobată prin HG nr. 1329/2016 a arătat anumite dificultăţi, lacune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incoeren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e în ceea ce prive</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 xml:space="preserve">te punerea în aplicare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asigurarea respectării acestei legisla</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ii, ducând la:</w:t>
            </w:r>
          </w:p>
          <w:p w14:paraId="55961FA0" w14:textId="77777777" w:rsidR="00E338A0" w:rsidRPr="00E338A0" w:rsidRDefault="00E338A0" w:rsidP="008C2C82">
            <w:pPr>
              <w:tabs>
                <w:tab w:val="left" w:pos="567"/>
              </w:tabs>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prezen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a unor produse neconforme sau periculoase pe pia</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ă;</w:t>
            </w:r>
          </w:p>
          <w:p w14:paraId="7B481038" w14:textId="77777777" w:rsidR="00E338A0" w:rsidRPr="00E338A0" w:rsidRDefault="00E338A0" w:rsidP="008C2C82">
            <w:pPr>
              <w:tabs>
                <w:tab w:val="left" w:pos="567"/>
              </w:tabs>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dezavantaje concuren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iale pentru operatorii economici care respectă legisla</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ia, în raport cu cei care eludează normele;</w:t>
            </w:r>
          </w:p>
          <w:p w14:paraId="16A31F0B" w14:textId="77777777" w:rsidR="00E338A0" w:rsidRPr="00E338A0" w:rsidRDefault="00E338A0" w:rsidP="008C2C82">
            <w:pPr>
              <w:tabs>
                <w:tab w:val="left" w:pos="567"/>
              </w:tabs>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xml:space="preserve">– tratament inegal în cazul produselor neconforme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denaturarea concuren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ei între operatorii economici din cauza diferitelor practici de asigurare a respectării cadrului legal;</w:t>
            </w:r>
          </w:p>
          <w:p w14:paraId="0AEAB5A7" w14:textId="77777777" w:rsidR="00E338A0" w:rsidRPr="00E338A0" w:rsidRDefault="00E338A0" w:rsidP="008C2C82">
            <w:pPr>
              <w:tabs>
                <w:tab w:val="left" w:pos="567"/>
              </w:tabs>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ab/>
              <w:t>- aplicarea incorectă și neuniformă a procedurilor (modulelor) de evaluare a conformită</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ii.</w:t>
            </w:r>
          </w:p>
          <w:p w14:paraId="6947742C" w14:textId="77777777" w:rsidR="00E338A0" w:rsidRPr="00E338A0" w:rsidRDefault="00E338A0" w:rsidP="008C2C82">
            <w:pPr>
              <w:spacing w:after="0" w:line="240" w:lineRule="auto"/>
              <w:ind w:left="135" w:right="135" w:firstLine="574"/>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 xml:space="preserve">Dificultățile menționate provocând </w:t>
            </w:r>
            <w:r w:rsidRPr="00E338A0">
              <w:rPr>
                <w:rFonts w:ascii="Times New Roman" w:eastAsia="Times New Roman" w:hAnsi="Times New Roman" w:cs="Times New Roman"/>
                <w:sz w:val="28"/>
                <w:szCs w:val="28"/>
                <w:lang w:val="ro-RO" w:eastAsia="ru-RU"/>
              </w:rPr>
              <w:t>situaţii periculoase care pot conduce la accidente şi traumatisme a consumatorilor sunt datorate calității cadrului reglementării tehnice.</w:t>
            </w:r>
          </w:p>
          <w:p w14:paraId="7540B823" w14:textId="77777777" w:rsidR="00E338A0" w:rsidRPr="00E338A0" w:rsidRDefault="00E338A0" w:rsidP="008C2C82">
            <w:pPr>
              <w:spacing w:after="0" w:line="240" w:lineRule="auto"/>
              <w:ind w:left="135" w:right="135" w:firstLine="574"/>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rPr>
              <w:t>În urma analizei cadrului legal, urmează a fi soluționate probleme relatate mai jos.</w:t>
            </w:r>
            <w:r w:rsidRPr="00E338A0">
              <w:rPr>
                <w:rFonts w:ascii="Times New Roman" w:eastAsia="Times New Roman" w:hAnsi="Times New Roman" w:cs="Times New Roman"/>
                <w:sz w:val="28"/>
                <w:szCs w:val="28"/>
                <w:lang w:val="ro-RO" w:eastAsia="ru-RU"/>
              </w:rPr>
              <w:t xml:space="preserve"> </w:t>
            </w:r>
          </w:p>
          <w:p w14:paraId="4EE51618"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b/>
                <w:sz w:val="28"/>
                <w:szCs w:val="28"/>
                <w:lang w:val="ro-RO"/>
              </w:rPr>
              <w:t>Problema 1:</w:t>
            </w:r>
            <w:r w:rsidRPr="00E338A0">
              <w:rPr>
                <w:rFonts w:ascii="Times New Roman" w:eastAsia="Calibri" w:hAnsi="Times New Roman" w:cs="Times New Roman"/>
                <w:sz w:val="28"/>
                <w:szCs w:val="28"/>
                <w:lang w:val="ro-RO"/>
              </w:rPr>
              <w:t xml:space="preserve"> Lipsa în Hotărîrea Guvernului nr.1329/2016 a unor definiții specifice sectorului și neclarificarea domeniului de aplicare. </w:t>
            </w:r>
          </w:p>
          <w:p w14:paraId="458D6877"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Obiectul de reglementare incorect stabilit, ce exclude unele produse importante care au impact asupra siguranței oamenilor. Acest lucru se datorează faptului că domeniul de aplicare este definit prin prezentarea unei liste a utilizărilor produselor, dar nu sunt prevăzute definiții ale respectivelor utilizări. Astfel, s-a creat situații în care există loc pentru interpretării asupra domeniului de aplicare a prevederilor Hotărîrii Guvernului nr.1329/2016, care nu oferă securitatea juridică și claritatea necesare pentru părțile interesate (agenții economii, autorități pentru supraveghere a pieței, organisme de evaluare a conformității). De asemenea, este stabilită limita de temperatură de 105</w:t>
            </w:r>
            <w:r w:rsidRPr="00E338A0">
              <w:rPr>
                <w:rFonts w:ascii="Times New Roman" w:eastAsia="Calibri" w:hAnsi="Times New Roman" w:cs="Times New Roman"/>
                <w:sz w:val="28"/>
                <w:szCs w:val="28"/>
                <w:vertAlign w:val="superscript"/>
                <w:lang w:val="ro-RO"/>
              </w:rPr>
              <w:t>o</w:t>
            </w:r>
            <w:r w:rsidRPr="00E338A0">
              <w:rPr>
                <w:rFonts w:ascii="Times New Roman" w:eastAsia="Calibri" w:hAnsi="Times New Roman" w:cs="Times New Roman"/>
                <w:sz w:val="28"/>
                <w:szCs w:val="28"/>
                <w:lang w:val="ro-RO"/>
              </w:rPr>
              <w:t xml:space="preserve">C a apei pentru aparate de combustibili gazoși, care restrânge domeniul de aplicare a reglementării tehnice. </w:t>
            </w:r>
          </w:p>
          <w:p w14:paraId="5CED7D96"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În contextul dezvoltării cadrului legal national prin care se asigură diversificarea pieței energetice, acest aspect face subiectul armonizării legislației naționale cu legislația UE de armonizare, ceea ce înseamnă că nu există niciun risc de a intra în conflict cu cadrul legal national. </w:t>
            </w:r>
          </w:p>
          <w:p w14:paraId="1DF7D3F6" w14:textId="77777777" w:rsidR="00E338A0" w:rsidRPr="00E338A0" w:rsidRDefault="00E338A0" w:rsidP="00E338A0">
            <w:pPr>
              <w:spacing w:after="0" w:line="240" w:lineRule="auto"/>
              <w:ind w:left="97" w:right="18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b/>
                <w:sz w:val="28"/>
                <w:szCs w:val="28"/>
                <w:lang w:val="ro-RO"/>
              </w:rPr>
              <w:t>Problema 2:</w:t>
            </w:r>
            <w:r w:rsidRPr="00E338A0">
              <w:rPr>
                <w:rFonts w:ascii="Times New Roman" w:eastAsia="Calibri" w:hAnsi="Times New Roman" w:cs="Times New Roman"/>
                <w:sz w:val="28"/>
                <w:szCs w:val="28"/>
                <w:lang w:val="ro-RO"/>
              </w:rPr>
              <w:t xml:space="preserve"> Caracterul neadecvat al conținutului comunicării privind tipurile de gaz și presiunile de livrare corespunzătoare </w:t>
            </w:r>
          </w:p>
          <w:p w14:paraId="478B507F" w14:textId="77777777" w:rsidR="00E338A0" w:rsidRPr="00E338A0" w:rsidRDefault="00E338A0" w:rsidP="00E338A0">
            <w:pPr>
              <w:spacing w:after="0" w:line="240" w:lineRule="auto"/>
              <w:ind w:left="97" w:right="18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Tipurile de gaz și presiunile de livrare corespunzătoare nu fac obiectul armonizării legislației. Pentru a asigura disponibilitatea acestor date relevante privind siguranța și performanța, la pct. 14 din Hotărîrea Guvernului nr.1329/2016 este prevăzut că Ministerul economiei trebuie să comunice tipurile de gaz și presiunile de livrare corespunzătoare utilizate pe teritoriul RM. Informațiile comunicate în prezent privind condițiile de livrare a gazului nu sunt suficiente. Reieșind, din prevederile alin. 1) pct.14 din Hotărîrea Parlamentului nr.334/2018 competențele de comunicare </w:t>
            </w:r>
            <w:r w:rsidRPr="00E338A0">
              <w:rPr>
                <w:rFonts w:ascii="Times New Roman" w:eastAsia="Calibri" w:hAnsi="Times New Roman" w:cs="Times New Roman"/>
                <w:sz w:val="28"/>
                <w:szCs w:val="28"/>
                <w:lang w:val="ro-RO"/>
              </w:rPr>
              <w:lastRenderedPageBreak/>
              <w:t>și publicarea datelor privind tipurile de gaz și presiunile de livrare corespunzătoare sunt specifice atribuțiilor ANRE.</w:t>
            </w:r>
          </w:p>
          <w:p w14:paraId="469BE098" w14:textId="77777777" w:rsidR="00E338A0" w:rsidRPr="00E338A0" w:rsidRDefault="00E338A0" w:rsidP="00E338A0">
            <w:pPr>
              <w:spacing w:after="0" w:line="240" w:lineRule="auto"/>
              <w:ind w:left="97" w:right="18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Deoarece Hotărîrea Guvernului nr.1329/2016 nu definește parametrii care ar trebui să fie furnizați și nici nu stabilește formatul/conținutul comunicărilor, este necesar să fie stabilite acești parametri și să fie definit un formular - model pentru asigurarea caracterului clar a informațiilor. De asemenea, acest lucru ar garanta că va fi abordat în mod corespunzător și creșterea volumului biogazului utilizat de aparate consumatoare cu combustibili gazoși.</w:t>
            </w:r>
          </w:p>
          <w:p w14:paraId="6503F37E"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b/>
                <w:sz w:val="28"/>
                <w:szCs w:val="28"/>
                <w:lang w:val="ro-RO"/>
              </w:rPr>
              <w:t>Problema 3</w:t>
            </w:r>
            <w:r w:rsidRPr="00E338A0">
              <w:rPr>
                <w:rFonts w:ascii="Times New Roman" w:eastAsia="Calibri" w:hAnsi="Times New Roman" w:cs="Times New Roman"/>
                <w:sz w:val="28"/>
                <w:szCs w:val="28"/>
                <w:lang w:val="ro-RO"/>
              </w:rPr>
              <w:t xml:space="preserve">: Lipsa preluării normelor europene actualizate. Astfel, Republica Moldova nu are posibilități să dezvolte relații comerciale de liber schimb cu țărie UE, ceea ce afectează activitatea producătorlor autohtoni de aparate consumatoare de combustibili gazoși, care doresc să exporte produse respective în UE. </w:t>
            </w:r>
          </w:p>
          <w:p w14:paraId="63A12587"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Subsidiar, necorespunderea cu </w:t>
            </w:r>
            <w:r w:rsidRPr="00E338A0">
              <w:rPr>
                <w:rFonts w:ascii="Times New Roman" w:eastAsia="Times New Roman" w:hAnsi="Times New Roman" w:cs="Times New Roman"/>
                <w:sz w:val="28"/>
                <w:szCs w:val="28"/>
                <w:lang w:val="ro-RO" w:eastAsia="en-GB"/>
              </w:rPr>
              <w:t>prevederile Legii nr.235/2011 în ceea ce privește obligațiile operatorilor economici, organismelor notificate, autorităților de notificare și cu prevederile Legii nr. 7/2016.</w:t>
            </w:r>
          </w:p>
          <w:p w14:paraId="38299671"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În contextul punerii în aplicare a Hotărîrii Guvernului nr. 1329/2016 s-a constat, de exemplu, diferența dintre denumirile și lipsa descrierii procedurilor de evaluare a conformității aplicabile aparatelor consumătoare cu combustibili gazoși, diferența dintre prevederile Legii nr. 235/2011 și Hotărîrii Guvernului nr. 1329/2016 în ceea ce privește cerințele către organismele de evaluare a conformității. În Hotărîrea Guvernului nr. 1329/2016 lipsesc prevederi ce se referă la obligațiile agenților economici, dispoziții privind prezumția de conformitate atât a produselor, cât și a organismelor de evaluare a conformității, precum și cerințele către autoritățile de notificare și norme procedurale privind notificarea organismelor de evaluare a conformității. Cadrul juridic este inconsecvent din punct de vedere a Legii nr. 7/2016, deoarece lipsesc norme privind procedura de salvgardare și neconformitatea formală.</w:t>
            </w:r>
          </w:p>
          <w:p w14:paraId="2E7D4432"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b/>
                <w:sz w:val="28"/>
                <w:szCs w:val="28"/>
                <w:lang w:val="ro-RO"/>
              </w:rPr>
              <w:t>Problema 4:</w:t>
            </w:r>
            <w:r w:rsidRPr="00E338A0">
              <w:rPr>
                <w:rFonts w:ascii="Times New Roman" w:eastAsia="Calibri" w:hAnsi="Times New Roman" w:cs="Times New Roman"/>
                <w:sz w:val="28"/>
                <w:szCs w:val="28"/>
                <w:lang w:val="ro-RO"/>
              </w:rPr>
              <w:t xml:space="preserve"> Clarificarea relațiilor cu legislația privind eficiența energetică </w:t>
            </w:r>
          </w:p>
          <w:p w14:paraId="16ADEF29" w14:textId="77777777" w:rsidR="00E338A0" w:rsidRPr="00E338A0" w:rsidRDefault="00E338A0" w:rsidP="00E338A0">
            <w:pPr>
              <w:spacing w:after="0" w:line="240" w:lineRule="auto"/>
              <w:ind w:left="97"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Cerința esențială din pct. 29 Anexa nr.1 din Hotărîrea Guvernului nr. 1329/2016 care abordează „utilizarea rațională a energiei” este foarte generică, în timp ce cerințele în conformitate cu Legii nr. 151/</w:t>
            </w:r>
            <w:r w:rsidRPr="00E338A0">
              <w:rPr>
                <w:rFonts w:ascii="Times New Roman" w:eastAsia="Times New Roman" w:hAnsi="Times New Roman" w:cs="Times New Roman"/>
                <w:bCs/>
                <w:sz w:val="28"/>
                <w:szCs w:val="28"/>
                <w:lang w:val="ro-RO" w:eastAsia="en-GB"/>
              </w:rPr>
              <w:t>2014 privind cerinţele în materie de proiectare ecologică aplicabile produselor cu impact energetic</w:t>
            </w:r>
            <w:r w:rsidRPr="00E338A0">
              <w:rPr>
                <w:rFonts w:ascii="Times New Roman" w:eastAsia="Calibri" w:hAnsi="Times New Roman" w:cs="Times New Roman"/>
                <w:sz w:val="28"/>
                <w:szCs w:val="28"/>
                <w:lang w:val="ro-RO"/>
              </w:rPr>
              <w:t xml:space="preserve"> și cu măsurile de punere în aplicare a acesteia sunt foarte detaliate. De asemenea, terminologia utilizată în Hotărîrea Guvernului nr.1329/2016 nu mai este aliniată cu cea modernă utilizată în legislația privind eficiența energetică. Având în vedere că actele juridice privind eficiența energetică au evoluat, prin care sau introdus noi dispoziții de implementare în temeiul Legii nr. 151/2014 aplicabilă unei game de aparate consumatoare de combustibili gazoși, este necesar să se clarifice aplicarea cerinței esențiale 29 Anexa nr.1 din Hotărîrea Guvernului nr. 1329/2016 în cazul în care există cerințe specifice privind utilizarea rațională a energiei. </w:t>
            </w:r>
          </w:p>
          <w:p w14:paraId="29BCA5D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 xml:space="preserve">Hotărîrea Guvernului nr. 1329/2016 transpune parțial Directiva 2009/142/CE, care reprezintă un exemplu de legislație de armonizare a Uniunii Europene și care asigură libera circulație a aparatelor consumatoare de combustibili gazoși. </w:t>
            </w:r>
          </w:p>
          <w:p w14:paraId="453276C1"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 xml:space="preserve">Astfel, Hotărîrea Guvernului nr. 1329/2016 a contribuit în mod considerabil la funcționarea pieței interne cu aparatele consumatoare de combustibili gazoși. Aceasta armonizează condițiile pentru introducerea pe piață și/sau punerea în funcțiune a </w:t>
            </w:r>
            <w:r w:rsidRPr="00E338A0">
              <w:rPr>
                <w:rFonts w:ascii="Times New Roman" w:eastAsia="Times New Roman" w:hAnsi="Times New Roman" w:cs="Times New Roman"/>
                <w:bCs/>
                <w:sz w:val="28"/>
                <w:szCs w:val="28"/>
                <w:lang w:val="ro-RO" w:eastAsia="en-GB"/>
              </w:rPr>
              <w:lastRenderedPageBreak/>
              <w:t xml:space="preserve">aparatelor consumatoare de combustibili gazoși, reglementate conform domeniului de aplicare, stabilește cerințele esențiale pe care trebuie să le îndeplinească aparatele pentru evita riscurile de siguranță și a putea fi introduse pe piața RM. </w:t>
            </w:r>
          </w:p>
          <w:p w14:paraId="3C02A18E" w14:textId="77777777" w:rsidR="00E338A0" w:rsidRPr="00E338A0" w:rsidRDefault="00E338A0" w:rsidP="00E338A0">
            <w:pPr>
              <w:autoSpaceDE w:val="0"/>
              <w:autoSpaceDN w:val="0"/>
              <w:adjustRightInd w:val="0"/>
              <w:spacing w:after="0" w:line="240" w:lineRule="auto"/>
              <w:ind w:left="135" w:right="225"/>
              <w:jc w:val="both"/>
              <w:rPr>
                <w:rFonts w:ascii="Times New Roman" w:eastAsia="Calibri" w:hAnsi="Times New Roman" w:cs="Times New Roman"/>
                <w:color w:val="0000FF"/>
                <w:sz w:val="28"/>
                <w:szCs w:val="28"/>
                <w:lang w:val="ro-RO"/>
              </w:rPr>
            </w:pPr>
            <w:r w:rsidRPr="00E338A0">
              <w:rPr>
                <w:rFonts w:ascii="Times New Roman" w:eastAsia="Calibri" w:hAnsi="Times New Roman" w:cs="Times New Roman"/>
                <w:sz w:val="28"/>
                <w:szCs w:val="28"/>
                <w:lang w:val="ro-RO"/>
              </w:rPr>
              <w:t xml:space="preserve">Potrivit Raportului final din octombrie 2012 privind Studiul de evaluare a impactului (2012) pentru revizuire a Directivei 2009/142/EC, prezentat către Comisia Europeană, s-a subliniat importanța identificării unor potențiale probleme reale și a cauzelor apariției acestora. Analiza aprofundată a consultărilor publice organizate la nivelul european, a tuturor datelor disponibile și a modificărilor propuse a demonstrat că nu au existat dovezi evidente care să justifice extinderea domeniului de aplicare a Directivei 2009/142/EC din motive de siguranță. Totodată, nu au fost identificate probleme asociate cu bariere în calea comerțului. În consecință, nu existau justificări pentru introducerea altor produse în domeniul de aplicare a acestei </w:t>
            </w:r>
            <w:r w:rsidRPr="00E338A0">
              <w:rPr>
                <w:rFonts w:ascii="Times New Roman" w:eastAsia="Calibri" w:hAnsi="Times New Roman" w:cs="Times New Roman"/>
                <w:i/>
                <w:sz w:val="28"/>
                <w:szCs w:val="28"/>
                <w:lang w:val="ro-RO"/>
              </w:rPr>
              <w:t>(</w:t>
            </w:r>
            <w:r w:rsidRPr="00E338A0">
              <w:rPr>
                <w:rFonts w:ascii="Times New Roman" w:eastAsia="Calibri" w:hAnsi="Times New Roman" w:cs="Times New Roman"/>
                <w:i/>
                <w:sz w:val="20"/>
                <w:szCs w:val="20"/>
                <w:lang w:val="ro-RO"/>
              </w:rPr>
              <w:t xml:space="preserve">Sursa: </w:t>
            </w:r>
            <w:r w:rsidRPr="00E338A0">
              <w:rPr>
                <w:rFonts w:ascii="Times New Roman" w:eastAsia="Calibri" w:hAnsi="Times New Roman" w:cs="Times New Roman"/>
                <w:color w:val="000000"/>
                <w:sz w:val="20"/>
                <w:szCs w:val="20"/>
                <w:lang w:val="ro-RO"/>
              </w:rPr>
              <w:t xml:space="preserve">Impact assessment study on the review of the Gas Appliances Directive 2009/142/EC, ), Final Report, Risk &amp; Policy Analysts Limited, October 2012 </w:t>
            </w:r>
            <w:hyperlink r:id="rId8" w:history="1">
              <w:r w:rsidRPr="00E338A0">
                <w:rPr>
                  <w:rFonts w:ascii="Times New Roman" w:eastAsia="Calibri" w:hAnsi="Times New Roman" w:cs="Times New Roman"/>
                  <w:color w:val="0563C1"/>
                  <w:sz w:val="20"/>
                  <w:szCs w:val="20"/>
                  <w:u w:val="single"/>
                  <w:lang w:val="ro-RO"/>
                </w:rPr>
                <w:t>http://ec.europa.eu/enterprise/sectors/pressure-and-gas/files/gad/ia-study-rep_en.pdf</w:t>
              </w:r>
            </w:hyperlink>
            <w:r w:rsidRPr="00E338A0">
              <w:rPr>
                <w:rFonts w:ascii="Times New Roman" w:eastAsia="Calibri" w:hAnsi="Times New Roman" w:cs="Times New Roman"/>
                <w:color w:val="0000FF"/>
                <w:sz w:val="28"/>
                <w:szCs w:val="28"/>
                <w:lang w:val="ro-RO"/>
              </w:rPr>
              <w:t>).</w:t>
            </w:r>
          </w:p>
          <w:p w14:paraId="4BFC9D73" w14:textId="77777777" w:rsidR="00E338A0" w:rsidRPr="00E338A0" w:rsidRDefault="00E338A0" w:rsidP="00E338A0">
            <w:pPr>
              <w:autoSpaceDE w:val="0"/>
              <w:autoSpaceDN w:val="0"/>
              <w:adjustRightInd w:val="0"/>
              <w:spacing w:after="0" w:line="240" w:lineRule="auto"/>
              <w:ind w:left="135" w:right="225" w:firstLine="450"/>
              <w:jc w:val="both"/>
              <w:rPr>
                <w:rFonts w:ascii="Times New Roman" w:eastAsia="Calibri" w:hAnsi="Times New Roman" w:cs="Times New Roman"/>
                <w:bCs/>
                <w:sz w:val="28"/>
                <w:szCs w:val="28"/>
                <w:lang w:val="ro-RO" w:eastAsia="ru-RU"/>
              </w:rPr>
            </w:pPr>
            <w:r w:rsidRPr="00E338A0">
              <w:rPr>
                <w:rFonts w:ascii="Times New Roman" w:eastAsia="Calibri" w:hAnsi="Times New Roman" w:cs="Times New Roman"/>
                <w:sz w:val="28"/>
                <w:szCs w:val="28"/>
                <w:lang w:val="ro-RO"/>
              </w:rPr>
              <w:t>Prezentul proiect se atribuie unui grup restrîns de companii din Republica Moldova - producătoare de aparate consumatoare de combustibili gazoși, care fabrică aparate consumatoare de combustibili gazoși și accesorii pentru acestea.</w:t>
            </w:r>
            <w:r w:rsidRPr="00E338A0">
              <w:rPr>
                <w:rFonts w:ascii="Times New Roman" w:eastAsia="Calibri" w:hAnsi="Times New Roman" w:cs="Times New Roman"/>
                <w:bCs/>
                <w:sz w:val="28"/>
                <w:szCs w:val="28"/>
                <w:lang w:val="ro-RO" w:eastAsia="ru-RU"/>
              </w:rPr>
              <w:t xml:space="preserve"> Astfel, în Republica Moldova se fabrică în volume foarte mici (la comandă) arzătoare de diferită capacitate de către ÎM „Romany Gaz Group” SRL și </w:t>
            </w:r>
            <w:hyperlink r:id="rId9" w:history="1">
              <w:r w:rsidRPr="00E338A0">
                <w:rPr>
                  <w:rFonts w:ascii="Times New Roman" w:eastAsia="Times New Roman" w:hAnsi="Times New Roman" w:cs="Times New Roman"/>
                  <w:spacing w:val="2"/>
                  <w:sz w:val="28"/>
                  <w:szCs w:val="28"/>
                  <w:lang w:val="ro-RO" w:eastAsia="en-GB"/>
                </w:rPr>
                <w:t>S.R.L. Uzina de Utilaj Electricotermic</w:t>
              </w:r>
            </w:hyperlink>
            <w:r w:rsidRPr="00E338A0">
              <w:rPr>
                <w:rFonts w:ascii="Times New Roman" w:eastAsia="Calibri" w:hAnsi="Times New Roman" w:cs="Times New Roman"/>
                <w:bCs/>
                <w:sz w:val="28"/>
                <w:szCs w:val="28"/>
                <w:lang w:val="ro-RO" w:eastAsia="ru-RU"/>
              </w:rPr>
              <w:t xml:space="preserve">. Potrivit datelor statistice pentru anii 2018-2020 producătorii nominalizați nu avut export de </w:t>
            </w:r>
            <w:r w:rsidRPr="00E338A0">
              <w:rPr>
                <w:rFonts w:ascii="Times New Roman" w:eastAsia="Calibri" w:hAnsi="Times New Roman" w:cs="Times New Roman"/>
                <w:sz w:val="28"/>
                <w:szCs w:val="28"/>
                <w:lang w:val="ro-RO"/>
              </w:rPr>
              <w:t>aparate consumatoare de combustibili gazoși.</w:t>
            </w:r>
          </w:p>
          <w:p w14:paraId="35312EF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 xml:space="preserve">Alăturat, aparatele consumatoare de combustibili gazoși sunt produse de consum larg. </w:t>
            </w:r>
          </w:p>
          <w:p w14:paraId="3AE308E1"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Calibri" w:hAnsi="Times New Roman" w:cs="Times New Roman"/>
                <w:sz w:val="28"/>
                <w:szCs w:val="28"/>
                <w:lang w:val="ro-RO"/>
              </w:rPr>
              <w:t xml:space="preserve">Conform datelor din Sistemul Asycuda în perioada anilor 2018 - 2020 în Republica Moldova aparatele consumatoare de combustibili gazoși au fost importate de către circa 40 de companii. </w:t>
            </w:r>
            <w:r w:rsidRPr="00E338A0">
              <w:rPr>
                <w:rFonts w:ascii="Times New Roman" w:eastAsia="Times New Roman" w:hAnsi="Times New Roman" w:cs="Times New Roman"/>
                <w:bCs/>
                <w:sz w:val="28"/>
                <w:szCs w:val="28"/>
                <w:lang w:val="ro-RO" w:eastAsia="ru-RU"/>
              </w:rPr>
              <w:t xml:space="preserve">Printre principali importatori de aparate consumatoare de combustibili gazoşi sunt: „Amber-Term” SRL, </w:t>
            </w:r>
            <w:r w:rsidRPr="00E338A0">
              <w:rPr>
                <w:rFonts w:ascii="Times New Roman" w:eastAsia="Times New Roman" w:hAnsi="Times New Roman" w:cs="Times New Roman"/>
                <w:sz w:val="28"/>
                <w:szCs w:val="28"/>
                <w:lang w:val="ro-RO" w:eastAsia="ru-RU"/>
              </w:rPr>
              <w:t>“Dina-Cociug” SRL,</w:t>
            </w:r>
            <w:r w:rsidRPr="00E338A0">
              <w:rPr>
                <w:rFonts w:ascii="Times New Roman" w:eastAsia="Times New Roman" w:hAnsi="Times New Roman" w:cs="Times New Roman"/>
                <w:bCs/>
                <w:sz w:val="28"/>
                <w:szCs w:val="28"/>
                <w:lang w:val="ro-RO" w:eastAsia="ru-RU"/>
              </w:rPr>
              <w:t xml:space="preserve"> </w:t>
            </w:r>
            <w:r w:rsidRPr="00E338A0">
              <w:rPr>
                <w:rFonts w:ascii="Times New Roman" w:eastAsia="Times New Roman" w:hAnsi="Times New Roman" w:cs="Times New Roman"/>
                <w:sz w:val="28"/>
                <w:szCs w:val="28"/>
                <w:lang w:val="ro-RO" w:eastAsia="ru-RU"/>
              </w:rPr>
              <w:t xml:space="preserve">ÎCS “Euroterm Group” SRL, “Elisio” SRL, IM “Romstal Trade” SRL, ÎCS “Rolling International” SRL, “Proterm Grup” SRL, “MGM” SRL, </w:t>
            </w:r>
            <w:r w:rsidRPr="00E338A0">
              <w:rPr>
                <w:rFonts w:ascii="Times New Roman" w:eastAsia="Times New Roman" w:hAnsi="Times New Roman" w:cs="Times New Roman"/>
                <w:bCs/>
                <w:sz w:val="28"/>
                <w:szCs w:val="28"/>
                <w:lang w:val="ro-RO" w:eastAsia="ru-RU"/>
              </w:rPr>
              <w:t>„Combusgaz” SRL, „Cominstal” SRL,</w:t>
            </w:r>
            <w:r w:rsidRPr="00E338A0">
              <w:rPr>
                <w:rFonts w:ascii="Times New Roman" w:eastAsia="Times New Roman" w:hAnsi="Times New Roman" w:cs="Times New Roman"/>
                <w:sz w:val="28"/>
                <w:szCs w:val="28"/>
                <w:lang w:val="ro-RO" w:eastAsia="ru-RU"/>
              </w:rPr>
              <w:t xml:space="preserve"> “Darnic-Gaz” SRL, “Decostar” SRL, “Dl &amp; TRADE” SRL, “DSG-Montaj” SRL, “Ecosanteh” SRL, “Elpo” SRL, “Eurostal” SRL, “Expotermgrup” SRL, “Gaztermcomplex” SRL, “Gecon-Vent” SRL, “Horus” SA, “Igmagterm” SRL, “Instalco” SRL, “Linia Standard” SRL, “Moldconstruct Service” SRL, “Montajautomatica" SA, “Nelimot-Com” SRL, “Ormotex” S</w:t>
            </w:r>
            <w:r w:rsidRPr="00E338A0">
              <w:rPr>
                <w:rFonts w:ascii="Times New Roman" w:eastAsia="Arial Unicode MS" w:hAnsi="Times New Roman" w:cs="Times New Roman"/>
                <w:sz w:val="28"/>
                <w:szCs w:val="28"/>
                <w:lang w:val="ro-RO" w:eastAsia="ro-RO" w:bidi="ro-RO"/>
              </w:rPr>
              <w:t xml:space="preserve">A, </w:t>
            </w:r>
            <w:r w:rsidRPr="00E338A0">
              <w:rPr>
                <w:rFonts w:ascii="Times New Roman" w:eastAsia="Times New Roman" w:hAnsi="Times New Roman" w:cs="Times New Roman"/>
                <w:sz w:val="28"/>
                <w:szCs w:val="28"/>
                <w:lang w:val="ro-RO" w:eastAsia="ru-RU"/>
              </w:rPr>
              <w:t xml:space="preserve">ÎM “Romany Gaz Group” SRL, “Tebaprim” SRL, “Tehinstalprim” SRL, “Termoclima” SRL, “Termoconfort” SRL, “Termostal Imex” SRL, ”Tresmus </w:t>
            </w:r>
            <w:r w:rsidRPr="00E338A0">
              <w:rPr>
                <w:rFonts w:ascii="Times New Roman" w:eastAsia="Arial Unicode MS" w:hAnsi="Times New Roman" w:cs="Times New Roman"/>
                <w:sz w:val="28"/>
                <w:szCs w:val="28"/>
                <w:lang w:val="ro-RO" w:eastAsia="ro-RO" w:bidi="ro-RO"/>
              </w:rPr>
              <w:t xml:space="preserve">Grup” SRL, </w:t>
            </w:r>
            <w:r w:rsidRPr="00E338A0">
              <w:rPr>
                <w:rFonts w:ascii="Times New Roman" w:eastAsia="Times New Roman" w:hAnsi="Times New Roman" w:cs="Times New Roman"/>
                <w:sz w:val="28"/>
                <w:szCs w:val="28"/>
                <w:lang w:val="ro-RO" w:eastAsia="ru-RU"/>
              </w:rPr>
              <w:t xml:space="preserve">“Vitoteh” SRL,’’Witezze </w:t>
            </w:r>
            <w:r w:rsidRPr="00E338A0">
              <w:rPr>
                <w:rFonts w:ascii="Times New Roman" w:eastAsia="Arial Unicode MS" w:hAnsi="Times New Roman" w:cs="Times New Roman"/>
                <w:sz w:val="28"/>
                <w:szCs w:val="28"/>
                <w:lang w:val="ro-RO" w:eastAsia="ro-RO" w:bidi="ro-RO"/>
              </w:rPr>
              <w:t xml:space="preserve">Gruppe” SRL, </w:t>
            </w:r>
            <w:r w:rsidRPr="00E338A0">
              <w:rPr>
                <w:rFonts w:ascii="Times New Roman" w:eastAsia="Times New Roman" w:hAnsi="Times New Roman" w:cs="Times New Roman"/>
                <w:bCs/>
                <w:sz w:val="28"/>
                <w:szCs w:val="28"/>
                <w:lang w:val="ro-RO" w:eastAsia="ru-RU"/>
              </w:rPr>
              <w:t xml:space="preserve">„Aiea” SA, </w:t>
            </w:r>
            <w:r w:rsidRPr="00E338A0">
              <w:rPr>
                <w:rFonts w:ascii="Times New Roman" w:eastAsia="Arial Unicode MS" w:hAnsi="Times New Roman" w:cs="Times New Roman"/>
                <w:sz w:val="28"/>
                <w:szCs w:val="28"/>
                <w:lang w:val="ro-RO" w:eastAsia="ro-RO" w:bidi="ro-RO"/>
              </w:rPr>
              <w:t>etc.</w:t>
            </w:r>
          </w:p>
          <w:p w14:paraId="32D86918" w14:textId="77777777" w:rsidR="00E338A0" w:rsidRPr="00E338A0" w:rsidRDefault="00E338A0" w:rsidP="00E338A0">
            <w:pPr>
              <w:autoSpaceDE w:val="0"/>
              <w:autoSpaceDN w:val="0"/>
              <w:adjustRightInd w:val="0"/>
              <w:spacing w:after="0" w:line="240" w:lineRule="auto"/>
              <w:ind w:left="97" w:right="239" w:firstLine="477"/>
              <w:jc w:val="both"/>
              <w:rPr>
                <w:rFonts w:ascii="Times New Roman" w:eastAsia="Calibri" w:hAnsi="Times New Roman" w:cs="Times New Roman"/>
                <w:bCs/>
                <w:sz w:val="28"/>
                <w:szCs w:val="28"/>
                <w:lang w:val="ro-RO" w:eastAsia="ru-RU"/>
              </w:rPr>
            </w:pPr>
            <w:r w:rsidRPr="00E338A0">
              <w:rPr>
                <w:rFonts w:ascii="Times New Roman" w:eastAsia="Calibri" w:hAnsi="Times New Roman" w:cs="Times New Roman"/>
                <w:bCs/>
                <w:sz w:val="28"/>
                <w:szCs w:val="28"/>
                <w:lang w:val="ro-RO" w:eastAsia="ru-RU"/>
              </w:rPr>
              <w:t xml:space="preserve">Gama aparatelor consumatoare de combustibili gazoşi importate este foarte diversă (aparate de gătit, plite de încălzit, arzătoare, cuptoare, cazane de încălzire, generatoare și distribuitoare de aer cald etc.). Aparatele sunt importate atăt din ţările CSI (Belarus, Ucraina, Federaţia Rusă, Kazahstan), câț și din ţările UE (Austria, Italia, Republica Cehă, Bulgaria, Franţa, Germania, Ungaria, Olanda, Polonia, România, Slovenia, Spania, Lituania, Slovacia, Regatul Unit al Marii Britanii, </w:t>
            </w:r>
            <w:r w:rsidRPr="00E338A0">
              <w:rPr>
                <w:rFonts w:ascii="Times New Roman" w:eastAsia="Calibri" w:hAnsi="Times New Roman" w:cs="Times New Roman"/>
                <w:bCs/>
                <w:sz w:val="28"/>
                <w:szCs w:val="28"/>
                <w:lang w:val="ro-RO" w:eastAsia="ru-RU"/>
              </w:rPr>
              <w:lastRenderedPageBreak/>
              <w:t>Belgia, Elveţia, Suedia, etc.). Cu toate acestea, sunt importurile mici și din celelalte ţări (China, Turcia; Georgia, SUA, Canada, India, Emiratele Arabe Unite, Japonia).</w:t>
            </w:r>
          </w:p>
          <w:p w14:paraId="334490E4" w14:textId="77777777" w:rsidR="00E338A0" w:rsidRPr="00E338A0" w:rsidRDefault="00E338A0" w:rsidP="00E338A0">
            <w:pPr>
              <w:spacing w:after="0" w:line="240" w:lineRule="auto"/>
              <w:ind w:right="189" w:firstLine="477"/>
              <w:jc w:val="right"/>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Tabelul 1</w:t>
            </w:r>
          </w:p>
          <w:p w14:paraId="68774621" w14:textId="77777777" w:rsidR="00E338A0" w:rsidRPr="00E338A0" w:rsidRDefault="00E338A0" w:rsidP="00E338A0">
            <w:pPr>
              <w:spacing w:after="0" w:line="240" w:lineRule="auto"/>
              <w:ind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Volumul importului constituie:</w:t>
            </w:r>
          </w:p>
          <w:tbl>
            <w:tblPr>
              <w:tblW w:w="893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0"/>
              <w:gridCol w:w="2250"/>
              <w:gridCol w:w="2340"/>
              <w:gridCol w:w="2682"/>
            </w:tblGrid>
            <w:tr w:rsidR="00E338A0" w:rsidRPr="00E338A0" w14:paraId="4FBE3777" w14:textId="77777777" w:rsidTr="008C2C82">
              <w:trPr>
                <w:trHeight w:val="255"/>
              </w:trPr>
              <w:tc>
                <w:tcPr>
                  <w:tcW w:w="1660" w:type="dxa"/>
                </w:tcPr>
                <w:p w14:paraId="42CA4EE2" w14:textId="77777777" w:rsidR="00E338A0" w:rsidRPr="00E338A0" w:rsidRDefault="00E338A0" w:rsidP="00E338A0">
                  <w:pPr>
                    <w:ind w:right="189" w:firstLine="477"/>
                    <w:jc w:val="center"/>
                    <w:rPr>
                      <w:rFonts w:ascii="Times New Roman" w:eastAsia="Calibri" w:hAnsi="Times New Roman" w:cs="Times New Roman"/>
                      <w:b/>
                      <w:bCs/>
                      <w:sz w:val="28"/>
                      <w:szCs w:val="28"/>
                      <w:lang w:val="ro-RO"/>
                    </w:rPr>
                  </w:pPr>
                  <w:r w:rsidRPr="00E338A0">
                    <w:rPr>
                      <w:rFonts w:ascii="Times New Roman" w:eastAsia="Calibri" w:hAnsi="Times New Roman" w:cs="Times New Roman"/>
                      <w:b/>
                      <w:bCs/>
                      <w:sz w:val="28"/>
                      <w:szCs w:val="28"/>
                      <w:lang w:val="ro-RO"/>
                    </w:rPr>
                    <w:t>Anul</w:t>
                  </w:r>
                </w:p>
              </w:tc>
              <w:tc>
                <w:tcPr>
                  <w:tcW w:w="2250" w:type="dxa"/>
                </w:tcPr>
                <w:p w14:paraId="66410758" w14:textId="77777777" w:rsidR="00E338A0" w:rsidRPr="00E338A0" w:rsidRDefault="00E338A0" w:rsidP="00E338A0">
                  <w:pPr>
                    <w:ind w:right="189" w:firstLine="477"/>
                    <w:jc w:val="center"/>
                    <w:rPr>
                      <w:rFonts w:ascii="Times New Roman" w:eastAsia="Calibri" w:hAnsi="Times New Roman" w:cs="Times New Roman"/>
                      <w:b/>
                      <w:bCs/>
                      <w:sz w:val="28"/>
                      <w:szCs w:val="28"/>
                      <w:lang w:val="ro-RO"/>
                    </w:rPr>
                  </w:pPr>
                  <w:r w:rsidRPr="00E338A0">
                    <w:rPr>
                      <w:rFonts w:ascii="Times New Roman" w:eastAsia="Calibri" w:hAnsi="Times New Roman" w:cs="Times New Roman"/>
                      <w:b/>
                      <w:bCs/>
                      <w:sz w:val="28"/>
                      <w:szCs w:val="28"/>
                      <w:lang w:val="ro-RO"/>
                    </w:rPr>
                    <w:t>2018</w:t>
                  </w:r>
                </w:p>
              </w:tc>
              <w:tc>
                <w:tcPr>
                  <w:tcW w:w="2340" w:type="dxa"/>
                </w:tcPr>
                <w:p w14:paraId="67C3B39A" w14:textId="77777777" w:rsidR="00E338A0" w:rsidRPr="00E338A0" w:rsidRDefault="00E338A0" w:rsidP="00E338A0">
                  <w:pPr>
                    <w:ind w:right="189" w:firstLine="477"/>
                    <w:jc w:val="center"/>
                    <w:rPr>
                      <w:rFonts w:ascii="Times New Roman" w:eastAsia="Calibri" w:hAnsi="Times New Roman" w:cs="Times New Roman"/>
                      <w:b/>
                      <w:bCs/>
                      <w:sz w:val="28"/>
                      <w:szCs w:val="28"/>
                      <w:lang w:val="ro-RO"/>
                    </w:rPr>
                  </w:pPr>
                  <w:r w:rsidRPr="00E338A0">
                    <w:rPr>
                      <w:rFonts w:ascii="Times New Roman" w:eastAsia="Calibri" w:hAnsi="Times New Roman" w:cs="Times New Roman"/>
                      <w:b/>
                      <w:bCs/>
                      <w:sz w:val="28"/>
                      <w:szCs w:val="28"/>
                      <w:lang w:val="ro-RO"/>
                    </w:rPr>
                    <w:t>2019</w:t>
                  </w:r>
                </w:p>
              </w:tc>
              <w:tc>
                <w:tcPr>
                  <w:tcW w:w="2682" w:type="dxa"/>
                </w:tcPr>
                <w:p w14:paraId="59CE05B8" w14:textId="77777777" w:rsidR="00E338A0" w:rsidRPr="00E338A0" w:rsidRDefault="00E338A0" w:rsidP="00E338A0">
                  <w:pPr>
                    <w:ind w:right="-36"/>
                    <w:jc w:val="center"/>
                    <w:rPr>
                      <w:rFonts w:ascii="Times New Roman" w:eastAsia="Calibri" w:hAnsi="Times New Roman" w:cs="Times New Roman"/>
                      <w:b/>
                      <w:bCs/>
                      <w:sz w:val="28"/>
                      <w:szCs w:val="28"/>
                      <w:lang w:val="ro-RO"/>
                    </w:rPr>
                  </w:pPr>
                  <w:r w:rsidRPr="00E338A0">
                    <w:rPr>
                      <w:rFonts w:ascii="Times New Roman" w:eastAsia="Calibri" w:hAnsi="Times New Roman" w:cs="Times New Roman"/>
                      <w:b/>
                      <w:bCs/>
                      <w:sz w:val="28"/>
                      <w:szCs w:val="28"/>
                      <w:lang w:val="ro-RO"/>
                    </w:rPr>
                    <w:t>2020</w:t>
                  </w:r>
                </w:p>
              </w:tc>
            </w:tr>
            <w:tr w:rsidR="00E338A0" w:rsidRPr="00E338A0" w14:paraId="4891E2C8" w14:textId="77777777" w:rsidTr="008C2C82">
              <w:trPr>
                <w:trHeight w:val="255"/>
              </w:trPr>
              <w:tc>
                <w:tcPr>
                  <w:tcW w:w="1660" w:type="dxa"/>
                </w:tcPr>
                <w:p w14:paraId="4F629EFB" w14:textId="77777777" w:rsidR="00E338A0" w:rsidRPr="00E338A0" w:rsidRDefault="00E338A0" w:rsidP="00E338A0">
                  <w:pPr>
                    <w:ind w:right="189" w:firstLine="477"/>
                    <w:jc w:val="center"/>
                    <w:rPr>
                      <w:rFonts w:ascii="Times New Roman" w:eastAsia="Calibri" w:hAnsi="Times New Roman" w:cs="Times New Roman"/>
                      <w:bCs/>
                      <w:sz w:val="28"/>
                      <w:szCs w:val="28"/>
                      <w:lang w:val="ro-RO"/>
                    </w:rPr>
                  </w:pPr>
                  <w:r w:rsidRPr="00E338A0">
                    <w:rPr>
                      <w:rFonts w:ascii="Times New Roman" w:eastAsia="Calibri" w:hAnsi="Times New Roman" w:cs="Times New Roman"/>
                      <w:bCs/>
                      <w:sz w:val="28"/>
                      <w:szCs w:val="28"/>
                      <w:lang w:val="ro-RO"/>
                    </w:rPr>
                    <w:t>USD</w:t>
                  </w:r>
                </w:p>
              </w:tc>
              <w:tc>
                <w:tcPr>
                  <w:tcW w:w="2250" w:type="dxa"/>
                </w:tcPr>
                <w:p w14:paraId="1579D95B" w14:textId="77777777" w:rsidR="00E338A0" w:rsidRPr="00E338A0" w:rsidRDefault="00E338A0" w:rsidP="00E338A0">
                  <w:pPr>
                    <w:rPr>
                      <w:rFonts w:ascii="Times New Roman" w:eastAsia="Calibri" w:hAnsi="Times New Roman" w:cs="Times New Roman"/>
                      <w:bCs/>
                      <w:sz w:val="28"/>
                      <w:szCs w:val="28"/>
                      <w:lang w:val="ro-RO"/>
                    </w:rPr>
                  </w:pPr>
                  <w:r w:rsidRPr="00E338A0">
                    <w:rPr>
                      <w:rFonts w:ascii="Times New Roman" w:eastAsia="Calibri" w:hAnsi="Times New Roman" w:cs="Times New Roman"/>
                      <w:bCs/>
                      <w:sz w:val="28"/>
                      <w:szCs w:val="28"/>
                      <w:lang w:val="ro-RO"/>
                    </w:rPr>
                    <w:t>214119655.2</w:t>
                  </w:r>
                </w:p>
              </w:tc>
              <w:tc>
                <w:tcPr>
                  <w:tcW w:w="2340" w:type="dxa"/>
                </w:tcPr>
                <w:p w14:paraId="7E94272F" w14:textId="77777777" w:rsidR="00E338A0" w:rsidRPr="00E338A0" w:rsidRDefault="00E338A0" w:rsidP="00E338A0">
                  <w:pPr>
                    <w:tabs>
                      <w:tab w:val="left" w:pos="1932"/>
                    </w:tabs>
                    <w:ind w:right="189"/>
                    <w:rPr>
                      <w:rFonts w:ascii="Times New Roman" w:eastAsia="Calibri" w:hAnsi="Times New Roman" w:cs="Times New Roman"/>
                      <w:bCs/>
                      <w:sz w:val="28"/>
                      <w:szCs w:val="28"/>
                      <w:lang w:val="ro-RO"/>
                    </w:rPr>
                  </w:pPr>
                  <w:r w:rsidRPr="00E338A0">
                    <w:rPr>
                      <w:rFonts w:ascii="Times New Roman" w:eastAsia="Calibri" w:hAnsi="Times New Roman" w:cs="Times New Roman"/>
                      <w:bCs/>
                      <w:sz w:val="28"/>
                      <w:szCs w:val="28"/>
                      <w:lang w:val="ro-RO"/>
                    </w:rPr>
                    <w:t>251248019.91</w:t>
                  </w:r>
                </w:p>
              </w:tc>
              <w:tc>
                <w:tcPr>
                  <w:tcW w:w="2682" w:type="dxa"/>
                </w:tcPr>
                <w:p w14:paraId="14B03FF2" w14:textId="77777777" w:rsidR="00E338A0" w:rsidRPr="00E338A0" w:rsidRDefault="00E338A0" w:rsidP="00E338A0">
                  <w:pPr>
                    <w:ind w:right="189" w:firstLine="477"/>
                    <w:rPr>
                      <w:rFonts w:ascii="Times New Roman" w:eastAsia="Calibri" w:hAnsi="Times New Roman" w:cs="Times New Roman"/>
                      <w:bCs/>
                      <w:sz w:val="28"/>
                      <w:szCs w:val="28"/>
                      <w:lang w:val="ro-RO"/>
                    </w:rPr>
                  </w:pPr>
                  <w:r w:rsidRPr="00E338A0">
                    <w:rPr>
                      <w:rFonts w:ascii="Times New Roman" w:eastAsia="Calibri" w:hAnsi="Times New Roman" w:cs="Times New Roman"/>
                      <w:bCs/>
                      <w:sz w:val="28"/>
                      <w:szCs w:val="28"/>
                      <w:lang w:val="ro-RO"/>
                    </w:rPr>
                    <w:t>245408580.7</w:t>
                  </w:r>
                </w:p>
              </w:tc>
            </w:tr>
          </w:tbl>
          <w:p w14:paraId="1FB5F185" w14:textId="77777777" w:rsidR="00E338A0" w:rsidRPr="00E338A0" w:rsidRDefault="00E338A0" w:rsidP="00E338A0">
            <w:pPr>
              <w:autoSpaceDE w:val="0"/>
              <w:autoSpaceDN w:val="0"/>
              <w:adjustRightInd w:val="0"/>
              <w:spacing w:after="0" w:line="240" w:lineRule="auto"/>
              <w:ind w:right="239" w:firstLine="477"/>
              <w:jc w:val="both"/>
              <w:rPr>
                <w:rFonts w:ascii="Times New Roman" w:eastAsia="Calibri" w:hAnsi="Times New Roman" w:cs="Times New Roman"/>
                <w:sz w:val="28"/>
                <w:szCs w:val="28"/>
                <w:lang w:val="ro-RO" w:eastAsia="ru-RU"/>
              </w:rPr>
            </w:pPr>
          </w:p>
          <w:p w14:paraId="21FF2D25" w14:textId="15B7F661" w:rsidR="00E338A0" w:rsidRPr="00E338A0" w:rsidRDefault="00E338A0" w:rsidP="00E338A0">
            <w:pPr>
              <w:autoSpaceDE w:val="0"/>
              <w:autoSpaceDN w:val="0"/>
              <w:adjustRightInd w:val="0"/>
              <w:spacing w:after="0" w:line="240" w:lineRule="auto"/>
              <w:ind w:right="239"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În tabelul nr.2 sunt indicate datele privind volumul importului a aparatelor consumatoare de combustibili gazoşi conform pozițiilor tarifare din NM MD 7321 și 7322.</w:t>
            </w:r>
          </w:p>
          <w:p w14:paraId="5573B643" w14:textId="77777777" w:rsidR="00E338A0" w:rsidRPr="00E338A0" w:rsidRDefault="00E338A0" w:rsidP="00E338A0">
            <w:pPr>
              <w:autoSpaceDE w:val="0"/>
              <w:autoSpaceDN w:val="0"/>
              <w:adjustRightInd w:val="0"/>
              <w:spacing w:after="0" w:line="240" w:lineRule="auto"/>
              <w:ind w:right="239" w:firstLine="477"/>
              <w:jc w:val="right"/>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Tabelul 2</w:t>
            </w:r>
          </w:p>
          <w:p w14:paraId="53240FAA" w14:textId="77777777" w:rsidR="00E338A0" w:rsidRPr="00E338A0" w:rsidRDefault="00E338A0" w:rsidP="00E338A0">
            <w:pPr>
              <w:autoSpaceDE w:val="0"/>
              <w:autoSpaceDN w:val="0"/>
              <w:adjustRightInd w:val="0"/>
              <w:spacing w:after="0" w:line="240" w:lineRule="auto"/>
              <w:ind w:right="239" w:firstLine="477"/>
              <w:jc w:val="center"/>
              <w:rPr>
                <w:rFonts w:ascii="Times New Roman" w:eastAsia="Calibri" w:hAnsi="Times New Roman" w:cs="Times New Roman"/>
                <w:b/>
                <w:sz w:val="28"/>
                <w:szCs w:val="28"/>
                <w:lang w:val="ro-RO" w:eastAsia="ru-RU"/>
              </w:rPr>
            </w:pPr>
            <w:r w:rsidRPr="00E338A0">
              <w:rPr>
                <w:rFonts w:ascii="Times New Roman" w:eastAsia="Calibri" w:hAnsi="Times New Roman" w:cs="Times New Roman"/>
                <w:b/>
                <w:sz w:val="28"/>
                <w:szCs w:val="28"/>
                <w:lang w:val="ro-RO" w:eastAsia="ru-RU"/>
              </w:rPr>
              <w:t xml:space="preserve">Aparatele consumatoare de combustibili gazoşi importate </w:t>
            </w:r>
          </w:p>
          <w:p w14:paraId="2979D91B" w14:textId="77777777" w:rsidR="00E338A0" w:rsidRPr="00E338A0" w:rsidRDefault="00E338A0" w:rsidP="00E338A0">
            <w:pPr>
              <w:autoSpaceDE w:val="0"/>
              <w:autoSpaceDN w:val="0"/>
              <w:adjustRightInd w:val="0"/>
              <w:spacing w:after="0" w:line="240" w:lineRule="auto"/>
              <w:ind w:right="239" w:firstLine="477"/>
              <w:jc w:val="center"/>
              <w:rPr>
                <w:rFonts w:ascii="Times New Roman" w:eastAsia="Calibri" w:hAnsi="Times New Roman" w:cs="Times New Roman"/>
                <w:b/>
                <w:sz w:val="28"/>
                <w:szCs w:val="28"/>
                <w:lang w:val="ro-RO" w:eastAsia="ru-RU"/>
              </w:rPr>
            </w:pPr>
            <w:r w:rsidRPr="00E338A0">
              <w:rPr>
                <w:rFonts w:ascii="Times New Roman" w:eastAsia="Calibri" w:hAnsi="Times New Roman" w:cs="Times New Roman"/>
                <w:b/>
                <w:sz w:val="28"/>
                <w:szCs w:val="28"/>
                <w:lang w:val="ro-RO" w:eastAsia="ru-RU"/>
              </w:rPr>
              <w:t xml:space="preserve">din Uniunea Europeană, CSI și alte țări </w:t>
            </w:r>
          </w:p>
          <w:p w14:paraId="428AAD50" w14:textId="77777777" w:rsidR="00E338A0" w:rsidRPr="00E338A0" w:rsidRDefault="00E338A0" w:rsidP="00E338A0">
            <w:pPr>
              <w:autoSpaceDE w:val="0"/>
              <w:autoSpaceDN w:val="0"/>
              <w:adjustRightInd w:val="0"/>
              <w:spacing w:after="0" w:line="240" w:lineRule="auto"/>
              <w:ind w:right="239" w:firstLine="477"/>
              <w:jc w:val="center"/>
              <w:rPr>
                <w:rFonts w:ascii="Times New Roman" w:eastAsia="Calibri" w:hAnsi="Times New Roman" w:cs="Times New Roman"/>
                <w:bCs/>
                <w:sz w:val="28"/>
                <w:szCs w:val="28"/>
                <w:lang w:val="ro-RO" w:eastAsia="ru-RU"/>
              </w:rPr>
            </w:pPr>
            <w:r w:rsidRPr="00E338A0">
              <w:rPr>
                <w:rFonts w:ascii="Times New Roman" w:eastAsia="Calibri" w:hAnsi="Times New Roman" w:cs="Times New Roman"/>
                <w:b/>
                <w:sz w:val="28"/>
                <w:szCs w:val="28"/>
                <w:lang w:val="ro-RO" w:eastAsia="ru-RU"/>
              </w:rPr>
              <w:t>(perioada 2018-2020)</w:t>
            </w:r>
            <w:r w:rsidRPr="00E338A0">
              <w:rPr>
                <w:rFonts w:ascii="Times New Roman" w:eastAsia="Calibri" w:hAnsi="Times New Roman" w:cs="Times New Roman"/>
                <w:bCs/>
                <w:sz w:val="28"/>
                <w:szCs w:val="28"/>
                <w:lang w:val="ro-RO" w:eastAsia="ru-RU"/>
              </w:rPr>
              <w:t xml:space="preserve"> </w:t>
            </w:r>
          </w:p>
          <w:p w14:paraId="5D279AFF" w14:textId="77777777" w:rsidR="00E338A0" w:rsidRPr="00E338A0" w:rsidRDefault="00E338A0" w:rsidP="00E338A0">
            <w:pPr>
              <w:autoSpaceDE w:val="0"/>
              <w:autoSpaceDN w:val="0"/>
              <w:adjustRightInd w:val="0"/>
              <w:spacing w:after="0" w:line="240" w:lineRule="auto"/>
              <w:ind w:right="239" w:firstLine="477"/>
              <w:jc w:val="center"/>
              <w:rPr>
                <w:rFonts w:ascii="Times New Roman" w:eastAsia="Calibri" w:hAnsi="Times New Roman" w:cs="Times New Roman"/>
                <w:bCs/>
                <w:sz w:val="28"/>
                <w:szCs w:val="28"/>
                <w:lang w:val="ro-RO" w:eastAsia="ru-RU"/>
              </w:rPr>
            </w:pPr>
          </w:p>
          <w:tbl>
            <w:tblPr>
              <w:tblW w:w="9307" w:type="dxa"/>
              <w:tblInd w:w="88" w:type="dxa"/>
              <w:tblLayout w:type="fixed"/>
              <w:tblLook w:val="04A0" w:firstRow="1" w:lastRow="0" w:firstColumn="1" w:lastColumn="0" w:noHBand="0" w:noVBand="1"/>
            </w:tblPr>
            <w:tblGrid>
              <w:gridCol w:w="847"/>
              <w:gridCol w:w="2520"/>
              <w:gridCol w:w="1980"/>
              <w:gridCol w:w="1890"/>
              <w:gridCol w:w="2070"/>
            </w:tblGrid>
            <w:tr w:rsidR="00E338A0" w:rsidRPr="00E338A0" w14:paraId="57047AB6" w14:textId="77777777" w:rsidTr="00B7005B">
              <w:trPr>
                <w:trHeight w:val="675"/>
              </w:trPr>
              <w:tc>
                <w:tcPr>
                  <w:tcW w:w="847" w:type="dxa"/>
                  <w:tcBorders>
                    <w:top w:val="single" w:sz="8" w:space="0" w:color="auto"/>
                    <w:left w:val="single" w:sz="8" w:space="0" w:color="auto"/>
                    <w:bottom w:val="single" w:sz="8" w:space="0" w:color="000000"/>
                    <w:right w:val="nil"/>
                  </w:tcBorders>
                  <w:shd w:val="clear" w:color="auto" w:fill="auto"/>
                  <w:vAlign w:val="center"/>
                  <w:hideMark/>
                </w:tcPr>
                <w:p w14:paraId="537206AC" w14:textId="77777777" w:rsidR="00E338A0" w:rsidRPr="00E338A0" w:rsidRDefault="00E338A0" w:rsidP="00E338A0">
                  <w:pPr>
                    <w:tabs>
                      <w:tab w:val="left" w:pos="28"/>
                    </w:tabs>
                    <w:spacing w:after="0" w:line="240" w:lineRule="auto"/>
                    <w:ind w:right="-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Cod NM</w:t>
                  </w:r>
                </w:p>
              </w:tc>
              <w:tc>
                <w:tcPr>
                  <w:tcW w:w="2520"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5876CCC0" w14:textId="77777777" w:rsidR="00E338A0" w:rsidRPr="00E338A0" w:rsidRDefault="00E338A0" w:rsidP="00E338A0">
                  <w:pPr>
                    <w:spacing w:after="0" w:line="240" w:lineRule="auto"/>
                    <w:ind w:firstLine="477"/>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 xml:space="preserve">Denumirea mărfii </w:t>
                  </w:r>
                </w:p>
              </w:tc>
              <w:tc>
                <w:tcPr>
                  <w:tcW w:w="1980" w:type="dxa"/>
                  <w:tcBorders>
                    <w:top w:val="single" w:sz="8" w:space="0" w:color="auto"/>
                    <w:left w:val="single" w:sz="4" w:space="0" w:color="auto"/>
                    <w:bottom w:val="single" w:sz="8" w:space="0" w:color="000000"/>
                    <w:right w:val="single" w:sz="4" w:space="0" w:color="auto"/>
                  </w:tcBorders>
                  <w:shd w:val="clear" w:color="auto" w:fill="auto"/>
                  <w:vAlign w:val="center"/>
                </w:tcPr>
                <w:p w14:paraId="6099BA8A" w14:textId="77777777" w:rsidR="00E338A0" w:rsidRPr="00E338A0" w:rsidRDefault="00E338A0" w:rsidP="00E338A0">
                  <w:pPr>
                    <w:spacing w:after="0" w:line="240" w:lineRule="auto"/>
                    <w:ind w:firstLine="50"/>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a.2018</w:t>
                  </w:r>
                </w:p>
              </w:tc>
              <w:tc>
                <w:tcPr>
                  <w:tcW w:w="1890" w:type="dxa"/>
                  <w:tcBorders>
                    <w:top w:val="single" w:sz="8" w:space="0" w:color="auto"/>
                    <w:left w:val="nil"/>
                    <w:right w:val="single" w:sz="4" w:space="0" w:color="auto"/>
                  </w:tcBorders>
                  <w:shd w:val="clear" w:color="auto" w:fill="auto"/>
                  <w:noWrap/>
                  <w:vAlign w:val="center"/>
                  <w:hideMark/>
                </w:tcPr>
                <w:p w14:paraId="04962358" w14:textId="77777777" w:rsidR="00E338A0" w:rsidRPr="00E338A0" w:rsidRDefault="00E338A0" w:rsidP="00E338A0">
                  <w:pPr>
                    <w:spacing w:after="0" w:line="240" w:lineRule="auto"/>
                    <w:ind w:right="-20" w:hanging="20"/>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a.2019</w:t>
                  </w:r>
                </w:p>
              </w:tc>
              <w:tc>
                <w:tcPr>
                  <w:tcW w:w="2070" w:type="dxa"/>
                  <w:tcBorders>
                    <w:top w:val="single" w:sz="8" w:space="0" w:color="auto"/>
                    <w:left w:val="single" w:sz="8" w:space="0" w:color="auto"/>
                    <w:right w:val="single" w:sz="4" w:space="0" w:color="auto"/>
                  </w:tcBorders>
                  <w:shd w:val="clear" w:color="auto" w:fill="auto"/>
                  <w:noWrap/>
                  <w:vAlign w:val="center"/>
                  <w:hideMark/>
                </w:tcPr>
                <w:p w14:paraId="0ED686F7" w14:textId="77777777" w:rsidR="00E338A0" w:rsidRPr="00E338A0" w:rsidRDefault="00E338A0" w:rsidP="00E338A0">
                  <w:pPr>
                    <w:spacing w:after="0" w:line="240" w:lineRule="auto"/>
                    <w:ind w:right="-108" w:hanging="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a.2020</w:t>
                  </w:r>
                </w:p>
              </w:tc>
            </w:tr>
            <w:tr w:rsidR="00E338A0" w:rsidRPr="00E338A0" w14:paraId="0A4866C1"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blHeader/>
              </w:trPr>
              <w:tc>
                <w:tcPr>
                  <w:tcW w:w="847" w:type="dxa"/>
                  <w:shd w:val="clear" w:color="auto" w:fill="auto"/>
                  <w:vAlign w:val="center"/>
                  <w:hideMark/>
                </w:tcPr>
                <w:p w14:paraId="61E46ECF" w14:textId="77777777" w:rsidR="00E338A0" w:rsidRPr="00E338A0" w:rsidRDefault="00E338A0" w:rsidP="00E338A0">
                  <w:pPr>
                    <w:tabs>
                      <w:tab w:val="left" w:pos="0"/>
                    </w:tabs>
                    <w:spacing w:after="0" w:line="240" w:lineRule="auto"/>
                    <w:ind w:right="-18" w:firstLine="477"/>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1</w:t>
                  </w:r>
                </w:p>
              </w:tc>
              <w:tc>
                <w:tcPr>
                  <w:tcW w:w="2520" w:type="dxa"/>
                  <w:shd w:val="clear" w:color="auto" w:fill="auto"/>
                  <w:vAlign w:val="center"/>
                  <w:hideMark/>
                </w:tcPr>
                <w:p w14:paraId="137BDB1C" w14:textId="77777777" w:rsidR="00E338A0" w:rsidRPr="00E338A0" w:rsidRDefault="00E338A0" w:rsidP="00E338A0">
                  <w:pPr>
                    <w:spacing w:after="0" w:line="240" w:lineRule="auto"/>
                    <w:ind w:right="239" w:firstLine="477"/>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2</w:t>
                  </w:r>
                </w:p>
              </w:tc>
              <w:tc>
                <w:tcPr>
                  <w:tcW w:w="1980" w:type="dxa"/>
                  <w:shd w:val="clear" w:color="auto" w:fill="auto"/>
                  <w:vAlign w:val="center"/>
                  <w:hideMark/>
                </w:tcPr>
                <w:p w14:paraId="119187D5" w14:textId="77777777" w:rsidR="00E338A0" w:rsidRPr="00E338A0" w:rsidRDefault="00E338A0" w:rsidP="00E338A0">
                  <w:pPr>
                    <w:spacing w:after="0" w:line="240" w:lineRule="auto"/>
                    <w:ind w:firstLine="477"/>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3</w:t>
                  </w:r>
                </w:p>
              </w:tc>
              <w:tc>
                <w:tcPr>
                  <w:tcW w:w="1890" w:type="dxa"/>
                  <w:shd w:val="clear" w:color="auto" w:fill="auto"/>
                  <w:noWrap/>
                  <w:vAlign w:val="center"/>
                  <w:hideMark/>
                </w:tcPr>
                <w:p w14:paraId="1714B4DF" w14:textId="77777777" w:rsidR="00E338A0" w:rsidRPr="00E338A0" w:rsidRDefault="00E338A0" w:rsidP="00E338A0">
                  <w:pPr>
                    <w:spacing w:after="0" w:line="240" w:lineRule="auto"/>
                    <w:ind w:right="-20" w:hanging="20"/>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4</w:t>
                  </w:r>
                </w:p>
              </w:tc>
              <w:tc>
                <w:tcPr>
                  <w:tcW w:w="2070" w:type="dxa"/>
                  <w:shd w:val="clear" w:color="auto" w:fill="auto"/>
                  <w:noWrap/>
                  <w:vAlign w:val="center"/>
                  <w:hideMark/>
                </w:tcPr>
                <w:p w14:paraId="106B9539" w14:textId="77777777" w:rsidR="00E338A0" w:rsidRPr="00E338A0" w:rsidRDefault="00E338A0" w:rsidP="00E338A0">
                  <w:pPr>
                    <w:spacing w:after="0" w:line="240" w:lineRule="auto"/>
                    <w:ind w:right="-108" w:hanging="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5</w:t>
                  </w:r>
                </w:p>
              </w:tc>
            </w:tr>
            <w:tr w:rsidR="00E338A0" w:rsidRPr="00E338A0" w14:paraId="491C79A0"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val="restart"/>
                  <w:shd w:val="clear" w:color="auto" w:fill="auto"/>
                  <w:hideMark/>
                </w:tcPr>
                <w:p w14:paraId="169AB2B0" w14:textId="77777777" w:rsidR="00E338A0" w:rsidRPr="00E338A0" w:rsidRDefault="00E338A0" w:rsidP="00E338A0">
                  <w:pPr>
                    <w:spacing w:after="0" w:line="240" w:lineRule="auto"/>
                    <w:ind w:right="-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7321</w:t>
                  </w:r>
                </w:p>
                <w:p w14:paraId="47C5C2BC"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08CC7400"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268AE557"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398CFD11" w14:textId="77777777" w:rsidR="00E338A0" w:rsidRPr="00E338A0" w:rsidRDefault="00E338A0" w:rsidP="00E338A0">
                  <w:pPr>
                    <w:tabs>
                      <w:tab w:val="left" w:pos="559"/>
                    </w:tabs>
                    <w:spacing w:after="0" w:line="240" w:lineRule="auto"/>
                    <w:ind w:right="-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sz w:val="28"/>
                      <w:szCs w:val="28"/>
                      <w:lang w:val="ro-RO" w:eastAsia="ru-RU"/>
                    </w:rPr>
                    <w:t> </w:t>
                  </w:r>
                </w:p>
              </w:tc>
              <w:tc>
                <w:tcPr>
                  <w:tcW w:w="2520" w:type="dxa"/>
                  <w:shd w:val="clear" w:color="auto" w:fill="auto"/>
                  <w:hideMark/>
                </w:tcPr>
                <w:p w14:paraId="70D5536F" w14:textId="77777777" w:rsidR="00E338A0" w:rsidRPr="00E338A0" w:rsidRDefault="00E338A0" w:rsidP="00E338A0">
                  <w:pPr>
                    <w:spacing w:after="0" w:line="240" w:lineRule="auto"/>
                    <w:ind w:right="34" w:firstLine="477"/>
                    <w:jc w:val="both"/>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Sobe de încălzit, cazane cu vatra, aparate de gătit, cuptoare, grătare, reşouri cu gaze si aparate neelectrice similare, din fonta, fier sau otel</w:t>
                  </w:r>
                </w:p>
              </w:tc>
              <w:tc>
                <w:tcPr>
                  <w:tcW w:w="1980" w:type="dxa"/>
                  <w:shd w:val="clear" w:color="auto" w:fill="auto"/>
                  <w:hideMark/>
                </w:tcPr>
                <w:p w14:paraId="42EEB67F" w14:textId="77777777" w:rsidR="00E338A0" w:rsidRPr="00E338A0" w:rsidRDefault="00E338A0" w:rsidP="00E338A0">
                  <w:pPr>
                    <w:spacing w:after="0" w:line="240" w:lineRule="auto"/>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80388232.3</w:t>
                  </w:r>
                </w:p>
              </w:tc>
              <w:tc>
                <w:tcPr>
                  <w:tcW w:w="1890" w:type="dxa"/>
                  <w:shd w:val="clear" w:color="auto" w:fill="auto"/>
                  <w:noWrap/>
                </w:tcPr>
                <w:p w14:paraId="5ADBF2A3" w14:textId="77777777" w:rsidR="00E338A0" w:rsidRPr="00E338A0" w:rsidRDefault="00E338A0" w:rsidP="00E338A0">
                  <w:pPr>
                    <w:spacing w:after="0" w:line="240" w:lineRule="auto"/>
                    <w:ind w:right="-20" w:hanging="20"/>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96150518.11</w:t>
                  </w:r>
                </w:p>
              </w:tc>
              <w:tc>
                <w:tcPr>
                  <w:tcW w:w="2070" w:type="dxa"/>
                  <w:shd w:val="clear" w:color="auto" w:fill="auto"/>
                  <w:noWrap/>
                </w:tcPr>
                <w:p w14:paraId="42F84283" w14:textId="77777777" w:rsidR="00E338A0" w:rsidRPr="00E338A0" w:rsidRDefault="00E338A0" w:rsidP="00E338A0">
                  <w:pPr>
                    <w:spacing w:after="0" w:line="240" w:lineRule="auto"/>
                    <w:ind w:right="-108" w:hanging="18"/>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101156886.7</w:t>
                  </w:r>
                </w:p>
              </w:tc>
            </w:tr>
            <w:tr w:rsidR="00E338A0" w:rsidRPr="00E338A0" w14:paraId="05B3E8CB"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6472C763"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2258201F" w14:textId="77777777" w:rsidR="00E338A0" w:rsidRPr="00E338A0" w:rsidRDefault="00E338A0" w:rsidP="00E338A0">
                  <w:pPr>
                    <w:spacing w:after="0" w:line="240" w:lineRule="auto"/>
                    <w:ind w:right="239" w:firstLine="477"/>
                    <w:rPr>
                      <w:rFonts w:ascii="Times New Roman" w:eastAsia="Times New Roman" w:hAnsi="Times New Roman" w:cs="Times New Roman"/>
                      <w:bCs/>
                      <w:i/>
                      <w:iCs/>
                      <w:sz w:val="24"/>
                      <w:szCs w:val="24"/>
                      <w:lang w:val="ro-RO" w:eastAsia="ru-RU"/>
                    </w:rPr>
                  </w:pPr>
                  <w:r w:rsidRPr="00E338A0">
                    <w:rPr>
                      <w:rFonts w:ascii="Times New Roman" w:eastAsia="Times New Roman" w:hAnsi="Times New Roman" w:cs="Times New Roman"/>
                      <w:bCs/>
                      <w:i/>
                      <w:iCs/>
                      <w:sz w:val="24"/>
                      <w:szCs w:val="24"/>
                      <w:lang w:val="ro-RO" w:eastAsia="ru-RU"/>
                    </w:rPr>
                    <w:t>din care:</w:t>
                  </w:r>
                </w:p>
              </w:tc>
              <w:tc>
                <w:tcPr>
                  <w:tcW w:w="1980" w:type="dxa"/>
                  <w:shd w:val="clear" w:color="auto" w:fill="auto"/>
                  <w:noWrap/>
                  <w:hideMark/>
                </w:tcPr>
                <w:p w14:paraId="29D5021B" w14:textId="77777777" w:rsidR="00E338A0" w:rsidRPr="00E338A0" w:rsidRDefault="00E338A0" w:rsidP="00E338A0">
                  <w:pPr>
                    <w:spacing w:after="0" w:line="240" w:lineRule="auto"/>
                    <w:ind w:firstLine="477"/>
                    <w:rPr>
                      <w:rFonts w:ascii="Times New Roman" w:eastAsia="Times New Roman" w:hAnsi="Times New Roman" w:cs="Times New Roman"/>
                      <w:sz w:val="28"/>
                      <w:szCs w:val="28"/>
                      <w:lang w:val="ro-RO" w:eastAsia="ru-RU"/>
                    </w:rPr>
                  </w:pPr>
                </w:p>
              </w:tc>
              <w:tc>
                <w:tcPr>
                  <w:tcW w:w="1890" w:type="dxa"/>
                  <w:shd w:val="clear" w:color="auto" w:fill="auto"/>
                  <w:noWrap/>
                </w:tcPr>
                <w:p w14:paraId="6BBE8C2A"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p>
              </w:tc>
              <w:tc>
                <w:tcPr>
                  <w:tcW w:w="2070" w:type="dxa"/>
                  <w:shd w:val="clear" w:color="auto" w:fill="auto"/>
                  <w:noWrap/>
                </w:tcPr>
                <w:p w14:paraId="0814169B"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p>
              </w:tc>
            </w:tr>
            <w:tr w:rsidR="00E338A0" w:rsidRPr="00E338A0" w14:paraId="5A2758B2"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61F654DD"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42228710" w14:textId="77777777" w:rsidR="00E338A0" w:rsidRPr="00E338A0" w:rsidRDefault="00E338A0" w:rsidP="00E338A0">
                  <w:pPr>
                    <w:spacing w:after="0" w:line="240" w:lineRule="auto"/>
                    <w:ind w:right="239"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Țările CSI</w:t>
                  </w:r>
                </w:p>
              </w:tc>
              <w:tc>
                <w:tcPr>
                  <w:tcW w:w="1980" w:type="dxa"/>
                  <w:shd w:val="clear" w:color="auto" w:fill="auto"/>
                  <w:noWrap/>
                  <w:hideMark/>
                </w:tcPr>
                <w:p w14:paraId="41A4566A" w14:textId="77777777" w:rsidR="00E338A0" w:rsidRPr="00E338A0" w:rsidRDefault="00E338A0" w:rsidP="00E338A0">
                  <w:pPr>
                    <w:spacing w:after="0" w:line="240" w:lineRule="auto"/>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19410356,8</w:t>
                  </w:r>
                </w:p>
              </w:tc>
              <w:tc>
                <w:tcPr>
                  <w:tcW w:w="1890" w:type="dxa"/>
                  <w:shd w:val="clear" w:color="auto" w:fill="auto"/>
                  <w:noWrap/>
                </w:tcPr>
                <w:p w14:paraId="58940609"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21909228.63</w:t>
                  </w:r>
                </w:p>
              </w:tc>
              <w:tc>
                <w:tcPr>
                  <w:tcW w:w="2070" w:type="dxa"/>
                  <w:shd w:val="clear" w:color="auto" w:fill="auto"/>
                  <w:noWrap/>
                </w:tcPr>
                <w:p w14:paraId="41B865D4"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18156770.84</w:t>
                  </w:r>
                </w:p>
              </w:tc>
            </w:tr>
            <w:tr w:rsidR="00E338A0" w:rsidRPr="00E338A0" w14:paraId="26E356DC"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328286F9"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5480BDEC" w14:textId="77777777" w:rsidR="00E338A0" w:rsidRPr="00E338A0" w:rsidRDefault="00E338A0" w:rsidP="00E338A0">
                  <w:pPr>
                    <w:spacing w:after="0" w:line="240" w:lineRule="auto"/>
                    <w:ind w:right="239"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Țările UE</w:t>
                  </w:r>
                </w:p>
              </w:tc>
              <w:tc>
                <w:tcPr>
                  <w:tcW w:w="1980" w:type="dxa"/>
                  <w:shd w:val="clear" w:color="auto" w:fill="auto"/>
                  <w:noWrap/>
                  <w:hideMark/>
                </w:tcPr>
                <w:p w14:paraId="6A02DACD" w14:textId="77777777" w:rsidR="00E338A0" w:rsidRPr="00E338A0" w:rsidRDefault="00E338A0" w:rsidP="00E338A0">
                  <w:pPr>
                    <w:spacing w:after="0" w:line="240" w:lineRule="auto"/>
                    <w:ind w:firstLine="72"/>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21904965.8</w:t>
                  </w:r>
                </w:p>
              </w:tc>
              <w:tc>
                <w:tcPr>
                  <w:tcW w:w="1890" w:type="dxa"/>
                  <w:shd w:val="clear" w:color="auto" w:fill="auto"/>
                  <w:noWrap/>
                </w:tcPr>
                <w:p w14:paraId="0A90E309"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28513259,98</w:t>
                  </w:r>
                </w:p>
              </w:tc>
              <w:tc>
                <w:tcPr>
                  <w:tcW w:w="2070" w:type="dxa"/>
                  <w:shd w:val="clear" w:color="auto" w:fill="auto"/>
                  <w:noWrap/>
                </w:tcPr>
                <w:p w14:paraId="73628DB5"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35416299.57</w:t>
                  </w:r>
                </w:p>
              </w:tc>
            </w:tr>
            <w:tr w:rsidR="00E338A0" w:rsidRPr="00E338A0" w14:paraId="7C50A728"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7A88045E"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4F1C912B" w14:textId="77777777" w:rsidR="00E338A0" w:rsidRPr="00E338A0" w:rsidRDefault="00E338A0" w:rsidP="00E338A0">
                  <w:pPr>
                    <w:spacing w:after="0" w:line="240" w:lineRule="auto"/>
                    <w:ind w:right="239"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 xml:space="preserve">Alte țări </w:t>
                  </w:r>
                </w:p>
              </w:tc>
              <w:tc>
                <w:tcPr>
                  <w:tcW w:w="1980" w:type="dxa"/>
                  <w:shd w:val="clear" w:color="auto" w:fill="auto"/>
                  <w:noWrap/>
                  <w:hideMark/>
                </w:tcPr>
                <w:p w14:paraId="15FA04C0" w14:textId="77777777" w:rsidR="00E338A0" w:rsidRPr="00E338A0" w:rsidRDefault="00E338A0" w:rsidP="00E338A0">
                  <w:pPr>
                    <w:spacing w:after="0" w:line="240" w:lineRule="auto"/>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39072909.7</w:t>
                  </w:r>
                </w:p>
              </w:tc>
              <w:tc>
                <w:tcPr>
                  <w:tcW w:w="1890" w:type="dxa"/>
                  <w:shd w:val="clear" w:color="auto" w:fill="auto"/>
                  <w:noWrap/>
                </w:tcPr>
                <w:p w14:paraId="33950355"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45728029.50</w:t>
                  </w:r>
                </w:p>
              </w:tc>
              <w:tc>
                <w:tcPr>
                  <w:tcW w:w="2070" w:type="dxa"/>
                  <w:shd w:val="clear" w:color="auto" w:fill="auto"/>
                  <w:noWrap/>
                </w:tcPr>
                <w:p w14:paraId="76AD9597"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47583816.29</w:t>
                  </w:r>
                </w:p>
              </w:tc>
            </w:tr>
            <w:tr w:rsidR="00E338A0" w:rsidRPr="00E338A0" w14:paraId="083AFD99"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val="restart"/>
                  <w:shd w:val="clear" w:color="auto" w:fill="auto"/>
                  <w:hideMark/>
                </w:tcPr>
                <w:p w14:paraId="3D29998D" w14:textId="77777777" w:rsidR="00E338A0" w:rsidRPr="00E338A0" w:rsidRDefault="00E338A0" w:rsidP="00E338A0">
                  <w:pPr>
                    <w:spacing w:after="0" w:line="240" w:lineRule="auto"/>
                    <w:ind w:right="-18"/>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7322</w:t>
                  </w:r>
                </w:p>
                <w:p w14:paraId="7FF47EF9"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61B824F8"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706F2A83"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w:t>
                  </w:r>
                </w:p>
                <w:p w14:paraId="73BEDD6C" w14:textId="77777777" w:rsidR="00E338A0" w:rsidRPr="00E338A0" w:rsidRDefault="00E338A0" w:rsidP="00E338A0">
                  <w:pPr>
                    <w:spacing w:after="0" w:line="240" w:lineRule="auto"/>
                    <w:ind w:right="-18" w:firstLine="477"/>
                    <w:jc w:val="center"/>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sz w:val="28"/>
                      <w:szCs w:val="28"/>
                      <w:lang w:val="ro-RO" w:eastAsia="ru-RU"/>
                    </w:rPr>
                    <w:t> </w:t>
                  </w:r>
                </w:p>
              </w:tc>
              <w:tc>
                <w:tcPr>
                  <w:tcW w:w="2520" w:type="dxa"/>
                  <w:shd w:val="clear" w:color="auto" w:fill="auto"/>
                  <w:hideMark/>
                </w:tcPr>
                <w:p w14:paraId="7C415F8F" w14:textId="77777777" w:rsidR="00E338A0" w:rsidRPr="00E338A0" w:rsidRDefault="00E338A0" w:rsidP="00E338A0">
                  <w:pPr>
                    <w:spacing w:after="0" w:line="240" w:lineRule="auto"/>
                    <w:ind w:right="34" w:firstLine="477"/>
                    <w:jc w:val="both"/>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Radiatoare pentru încălzirea centrala, neelectrice; generatoare si distribuitoare de aer, prevăzute cu un ventilator, din fonta, fier sau otel</w:t>
                  </w:r>
                </w:p>
              </w:tc>
              <w:tc>
                <w:tcPr>
                  <w:tcW w:w="1980" w:type="dxa"/>
                  <w:shd w:val="clear" w:color="auto" w:fill="auto"/>
                  <w:hideMark/>
                </w:tcPr>
                <w:p w14:paraId="72FBDD5E" w14:textId="48C825DC" w:rsidR="00E338A0" w:rsidRPr="00E338A0" w:rsidRDefault="00B7005B" w:rsidP="00E338A0">
                  <w:pPr>
                    <w:spacing w:after="0" w:line="240" w:lineRule="auto"/>
                    <w:ind w:firstLine="72"/>
                    <w:rPr>
                      <w:rFonts w:ascii="Times New Roman" w:eastAsia="Times New Roman" w:hAnsi="Times New Roman" w:cs="Times New Roman"/>
                      <w:b/>
                      <w:bCs/>
                      <w:sz w:val="28"/>
                      <w:szCs w:val="28"/>
                      <w:lang w:val="ro-RO" w:eastAsia="ru-RU"/>
                    </w:rPr>
                  </w:pPr>
                  <w:r>
                    <w:rPr>
                      <w:rFonts w:ascii="Times New Roman" w:eastAsia="Times New Roman" w:hAnsi="Times New Roman" w:cs="Times New Roman"/>
                      <w:b/>
                      <w:bCs/>
                      <w:sz w:val="28"/>
                      <w:szCs w:val="28"/>
                      <w:lang w:val="ro-RO" w:eastAsia="ru-RU"/>
                    </w:rPr>
                    <w:t>133731422.9</w:t>
                  </w:r>
                </w:p>
              </w:tc>
              <w:tc>
                <w:tcPr>
                  <w:tcW w:w="1890" w:type="dxa"/>
                  <w:shd w:val="clear" w:color="auto" w:fill="auto"/>
                  <w:noWrap/>
                </w:tcPr>
                <w:p w14:paraId="4368590F" w14:textId="77777777" w:rsidR="00E338A0" w:rsidRPr="00E338A0" w:rsidRDefault="00E338A0" w:rsidP="00E338A0">
                  <w:pPr>
                    <w:spacing w:after="0" w:line="240" w:lineRule="auto"/>
                    <w:ind w:right="-20" w:hanging="20"/>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155097501.8</w:t>
                  </w:r>
                </w:p>
              </w:tc>
              <w:tc>
                <w:tcPr>
                  <w:tcW w:w="2070" w:type="dxa"/>
                  <w:shd w:val="clear" w:color="auto" w:fill="auto"/>
                  <w:noWrap/>
                </w:tcPr>
                <w:p w14:paraId="152D5C4F" w14:textId="77777777" w:rsidR="00E338A0" w:rsidRPr="00E338A0" w:rsidRDefault="00E338A0" w:rsidP="00E338A0">
                  <w:pPr>
                    <w:spacing w:after="0" w:line="240" w:lineRule="auto"/>
                    <w:ind w:right="-108" w:hanging="18"/>
                    <w:rPr>
                      <w:rFonts w:ascii="Times New Roman" w:eastAsia="Times New Roman" w:hAnsi="Times New Roman" w:cs="Times New Roman"/>
                      <w:b/>
                      <w:bCs/>
                      <w:sz w:val="28"/>
                      <w:szCs w:val="28"/>
                      <w:lang w:val="ro-RO" w:eastAsia="ru-RU"/>
                    </w:rPr>
                  </w:pPr>
                  <w:r w:rsidRPr="00E338A0">
                    <w:rPr>
                      <w:rFonts w:ascii="Times New Roman" w:eastAsia="Times New Roman" w:hAnsi="Times New Roman" w:cs="Times New Roman"/>
                      <w:b/>
                      <w:bCs/>
                      <w:sz w:val="28"/>
                      <w:szCs w:val="28"/>
                      <w:lang w:val="ro-RO" w:eastAsia="ru-RU"/>
                    </w:rPr>
                    <w:t>144251694.0</w:t>
                  </w:r>
                </w:p>
              </w:tc>
            </w:tr>
            <w:tr w:rsidR="00E338A0" w:rsidRPr="00E338A0" w14:paraId="3C00F1EF"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5A1F8137"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05AD0263" w14:textId="77777777" w:rsidR="00E338A0" w:rsidRPr="00E338A0" w:rsidRDefault="00E338A0" w:rsidP="00E338A0">
                  <w:pPr>
                    <w:spacing w:after="0" w:line="240" w:lineRule="auto"/>
                    <w:ind w:right="239" w:firstLine="477"/>
                    <w:rPr>
                      <w:rFonts w:ascii="Times New Roman" w:eastAsia="Times New Roman" w:hAnsi="Times New Roman" w:cs="Times New Roman"/>
                      <w:bCs/>
                      <w:i/>
                      <w:iCs/>
                      <w:sz w:val="24"/>
                      <w:szCs w:val="24"/>
                      <w:lang w:val="ro-RO" w:eastAsia="ru-RU"/>
                    </w:rPr>
                  </w:pPr>
                  <w:r w:rsidRPr="00E338A0">
                    <w:rPr>
                      <w:rFonts w:ascii="Times New Roman" w:eastAsia="Times New Roman" w:hAnsi="Times New Roman" w:cs="Times New Roman"/>
                      <w:bCs/>
                      <w:i/>
                      <w:iCs/>
                      <w:sz w:val="24"/>
                      <w:szCs w:val="24"/>
                      <w:lang w:val="ro-RO" w:eastAsia="ru-RU"/>
                    </w:rPr>
                    <w:t>din care:</w:t>
                  </w:r>
                </w:p>
              </w:tc>
              <w:tc>
                <w:tcPr>
                  <w:tcW w:w="1980" w:type="dxa"/>
                  <w:shd w:val="clear" w:color="auto" w:fill="auto"/>
                  <w:noWrap/>
                  <w:hideMark/>
                </w:tcPr>
                <w:p w14:paraId="5941368D" w14:textId="77777777" w:rsidR="00E338A0" w:rsidRPr="00E338A0" w:rsidRDefault="00E338A0" w:rsidP="00E338A0">
                  <w:pPr>
                    <w:spacing w:after="0" w:line="240" w:lineRule="auto"/>
                    <w:ind w:firstLine="434"/>
                    <w:rPr>
                      <w:rFonts w:ascii="Times New Roman" w:eastAsia="Times New Roman" w:hAnsi="Times New Roman" w:cs="Times New Roman"/>
                      <w:sz w:val="28"/>
                      <w:szCs w:val="28"/>
                      <w:lang w:val="ro-RO" w:eastAsia="ru-RU"/>
                    </w:rPr>
                  </w:pPr>
                </w:p>
              </w:tc>
              <w:tc>
                <w:tcPr>
                  <w:tcW w:w="1890" w:type="dxa"/>
                  <w:shd w:val="clear" w:color="auto" w:fill="auto"/>
                  <w:noWrap/>
                  <w:hideMark/>
                </w:tcPr>
                <w:p w14:paraId="35D6ADF8"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p>
              </w:tc>
              <w:tc>
                <w:tcPr>
                  <w:tcW w:w="2070" w:type="dxa"/>
                  <w:shd w:val="clear" w:color="auto" w:fill="auto"/>
                  <w:noWrap/>
                  <w:hideMark/>
                </w:tcPr>
                <w:p w14:paraId="07DCC868"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p>
              </w:tc>
            </w:tr>
            <w:tr w:rsidR="00E338A0" w:rsidRPr="00E338A0" w14:paraId="0EF4F916"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0B4E217D"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4F676CB6" w14:textId="77777777" w:rsidR="00E338A0" w:rsidRPr="00E338A0" w:rsidRDefault="00E338A0" w:rsidP="00E338A0">
                  <w:pPr>
                    <w:spacing w:after="0" w:line="240" w:lineRule="auto"/>
                    <w:ind w:right="34"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Țările CSI</w:t>
                  </w:r>
                </w:p>
              </w:tc>
              <w:tc>
                <w:tcPr>
                  <w:tcW w:w="1980" w:type="dxa"/>
                  <w:shd w:val="clear" w:color="auto" w:fill="auto"/>
                  <w:noWrap/>
                  <w:hideMark/>
                </w:tcPr>
                <w:p w14:paraId="4DC253B7" w14:textId="4E0864F5" w:rsidR="00E338A0" w:rsidRPr="00E338A0" w:rsidRDefault="00B7005B" w:rsidP="00E338A0">
                  <w:pPr>
                    <w:spacing w:after="0" w:line="240" w:lineRule="auto"/>
                    <w:ind w:hanging="18"/>
                    <w:rPr>
                      <w:rFonts w:ascii="Times New Roman" w:eastAsia="Times New Roman" w:hAnsi="Times New Roman" w:cs="Times New Roman"/>
                      <w:sz w:val="28"/>
                      <w:szCs w:val="28"/>
                      <w:lang w:val="ro-RO" w:eastAsia="ru-RU"/>
                    </w:rPr>
                  </w:pPr>
                  <w:r>
                    <w:rPr>
                      <w:rFonts w:ascii="Times New Roman" w:eastAsia="Times New Roman" w:hAnsi="Times New Roman" w:cs="Times New Roman"/>
                      <w:sz w:val="28"/>
                      <w:szCs w:val="28"/>
                      <w:lang w:val="ro-RO" w:eastAsia="ru-RU"/>
                    </w:rPr>
                    <w:t>22681847.32</w:t>
                  </w:r>
                </w:p>
              </w:tc>
              <w:tc>
                <w:tcPr>
                  <w:tcW w:w="1890" w:type="dxa"/>
                  <w:shd w:val="clear" w:color="auto" w:fill="auto"/>
                  <w:noWrap/>
                </w:tcPr>
                <w:p w14:paraId="331265E7"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25665943.05</w:t>
                  </w:r>
                </w:p>
              </w:tc>
              <w:tc>
                <w:tcPr>
                  <w:tcW w:w="2070" w:type="dxa"/>
                  <w:shd w:val="clear" w:color="auto" w:fill="auto"/>
                  <w:noWrap/>
                </w:tcPr>
                <w:p w14:paraId="63DC2143"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29712142.35</w:t>
                  </w:r>
                </w:p>
              </w:tc>
            </w:tr>
            <w:tr w:rsidR="00E338A0" w:rsidRPr="00E338A0" w14:paraId="1C73D703"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67046A20"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2F68431D" w14:textId="77777777" w:rsidR="00E338A0" w:rsidRPr="00E338A0" w:rsidRDefault="00E338A0" w:rsidP="00E338A0">
                  <w:pPr>
                    <w:spacing w:after="0" w:line="240" w:lineRule="auto"/>
                    <w:ind w:right="239"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Țările UE</w:t>
                  </w:r>
                </w:p>
              </w:tc>
              <w:tc>
                <w:tcPr>
                  <w:tcW w:w="1980" w:type="dxa"/>
                  <w:shd w:val="clear" w:color="auto" w:fill="auto"/>
                  <w:noWrap/>
                  <w:hideMark/>
                </w:tcPr>
                <w:p w14:paraId="4DE3822E" w14:textId="77777777" w:rsidR="00E338A0" w:rsidRPr="00E338A0" w:rsidRDefault="00E338A0" w:rsidP="00E338A0">
                  <w:pPr>
                    <w:spacing w:after="0" w:line="240" w:lineRule="auto"/>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25547935.41</w:t>
                  </w:r>
                </w:p>
              </w:tc>
              <w:tc>
                <w:tcPr>
                  <w:tcW w:w="1890" w:type="dxa"/>
                  <w:shd w:val="clear" w:color="auto" w:fill="auto"/>
                  <w:noWrap/>
                </w:tcPr>
                <w:p w14:paraId="2C0605F7"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22398114.19</w:t>
                  </w:r>
                </w:p>
              </w:tc>
              <w:tc>
                <w:tcPr>
                  <w:tcW w:w="2070" w:type="dxa"/>
                  <w:shd w:val="clear" w:color="auto" w:fill="auto"/>
                  <w:noWrap/>
                </w:tcPr>
                <w:p w14:paraId="7E1F93BE"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19085306.15</w:t>
                  </w:r>
                </w:p>
              </w:tc>
            </w:tr>
            <w:tr w:rsidR="00E338A0" w:rsidRPr="00E338A0" w14:paraId="2C7CBAEA" w14:textId="77777777" w:rsidTr="00B70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47" w:type="dxa"/>
                  <w:vMerge/>
                  <w:shd w:val="clear" w:color="auto" w:fill="auto"/>
                  <w:noWrap/>
                  <w:hideMark/>
                </w:tcPr>
                <w:p w14:paraId="230C52A7" w14:textId="77777777" w:rsidR="00E338A0" w:rsidRPr="00E338A0" w:rsidRDefault="00E338A0" w:rsidP="00E338A0">
                  <w:pPr>
                    <w:spacing w:after="0" w:line="240" w:lineRule="auto"/>
                    <w:ind w:right="-18" w:firstLine="477"/>
                    <w:jc w:val="center"/>
                    <w:rPr>
                      <w:rFonts w:ascii="Times New Roman" w:eastAsia="Times New Roman" w:hAnsi="Times New Roman" w:cs="Times New Roman"/>
                      <w:sz w:val="28"/>
                      <w:szCs w:val="28"/>
                      <w:lang w:val="ro-RO" w:eastAsia="ru-RU"/>
                    </w:rPr>
                  </w:pPr>
                </w:p>
              </w:tc>
              <w:tc>
                <w:tcPr>
                  <w:tcW w:w="2520" w:type="dxa"/>
                  <w:shd w:val="clear" w:color="auto" w:fill="auto"/>
                  <w:noWrap/>
                  <w:hideMark/>
                </w:tcPr>
                <w:p w14:paraId="2ACB8BDD" w14:textId="77777777" w:rsidR="00E338A0" w:rsidRPr="00E338A0" w:rsidRDefault="00E338A0" w:rsidP="00E338A0">
                  <w:pPr>
                    <w:spacing w:after="0" w:line="240" w:lineRule="auto"/>
                    <w:ind w:right="239" w:firstLine="477"/>
                    <w:rPr>
                      <w:rFonts w:ascii="Times New Roman" w:eastAsia="Times New Roman" w:hAnsi="Times New Roman" w:cs="Times New Roman"/>
                      <w:bCs/>
                      <w:sz w:val="24"/>
                      <w:szCs w:val="24"/>
                      <w:lang w:val="ro-RO" w:eastAsia="ru-RU"/>
                    </w:rPr>
                  </w:pPr>
                  <w:r w:rsidRPr="00E338A0">
                    <w:rPr>
                      <w:rFonts w:ascii="Times New Roman" w:eastAsia="Times New Roman" w:hAnsi="Times New Roman" w:cs="Times New Roman"/>
                      <w:bCs/>
                      <w:sz w:val="24"/>
                      <w:szCs w:val="24"/>
                      <w:lang w:val="ro-RO" w:eastAsia="ru-RU"/>
                    </w:rPr>
                    <w:t xml:space="preserve">Alte țări </w:t>
                  </w:r>
                </w:p>
              </w:tc>
              <w:tc>
                <w:tcPr>
                  <w:tcW w:w="1980" w:type="dxa"/>
                  <w:shd w:val="clear" w:color="auto" w:fill="auto"/>
                  <w:noWrap/>
                  <w:hideMark/>
                </w:tcPr>
                <w:p w14:paraId="5DC163CB" w14:textId="77777777" w:rsidR="00E338A0" w:rsidRPr="00E338A0" w:rsidRDefault="00E338A0" w:rsidP="00E338A0">
                  <w:pPr>
                    <w:spacing w:after="0" w:line="240" w:lineRule="auto"/>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85501640.17 </w:t>
                  </w:r>
                </w:p>
              </w:tc>
              <w:tc>
                <w:tcPr>
                  <w:tcW w:w="1890" w:type="dxa"/>
                  <w:shd w:val="clear" w:color="auto" w:fill="auto"/>
                  <w:noWrap/>
                </w:tcPr>
                <w:p w14:paraId="5F1E39A9" w14:textId="77777777" w:rsidR="00E338A0" w:rsidRPr="00E338A0" w:rsidRDefault="00E338A0" w:rsidP="00E338A0">
                  <w:pPr>
                    <w:spacing w:after="0" w:line="240" w:lineRule="auto"/>
                    <w:ind w:right="-20" w:hanging="20"/>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107033444.56</w:t>
                  </w:r>
                </w:p>
              </w:tc>
              <w:tc>
                <w:tcPr>
                  <w:tcW w:w="2070" w:type="dxa"/>
                  <w:shd w:val="clear" w:color="auto" w:fill="auto"/>
                  <w:noWrap/>
                </w:tcPr>
                <w:p w14:paraId="2596FD36" w14:textId="77777777" w:rsidR="00E338A0" w:rsidRPr="00E338A0" w:rsidRDefault="00E338A0" w:rsidP="00E338A0">
                  <w:pPr>
                    <w:spacing w:after="0" w:line="240" w:lineRule="auto"/>
                    <w:ind w:right="-108" w:hanging="18"/>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95454245.50</w:t>
                  </w:r>
                </w:p>
              </w:tc>
            </w:tr>
          </w:tbl>
          <w:p w14:paraId="481B629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p>
          <w:p w14:paraId="5DA34FC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 xml:space="preserve">În consecință, în ceea ce privește importatori și distribuitori, proiectul va avea impact asupra activității mai multor companii din Republica Moldova. </w:t>
            </w:r>
          </w:p>
          <w:p w14:paraId="5D380285" w14:textId="77777777" w:rsidR="00E338A0" w:rsidRPr="00E338A0" w:rsidRDefault="00E338A0" w:rsidP="008C2C82">
            <w:pPr>
              <w:tabs>
                <w:tab w:val="left" w:pos="567"/>
              </w:tabs>
              <w:spacing w:after="0" w:line="240" w:lineRule="auto"/>
              <w:ind w:left="135" w:right="225" w:firstLine="709"/>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To</w:t>
            </w:r>
            <w:r w:rsidRPr="00E338A0">
              <w:rPr>
                <w:rFonts w:ascii="Cambria Math" w:eastAsia="Times New Roman" w:hAnsi="Cambria Math" w:cs="Cambria Math"/>
                <w:sz w:val="28"/>
                <w:szCs w:val="28"/>
                <w:lang w:val="ro-RO"/>
              </w:rPr>
              <w:t>ț</w:t>
            </w:r>
            <w:r w:rsidRPr="00E338A0">
              <w:rPr>
                <w:rFonts w:ascii="Times New Roman" w:eastAsia="Times New Roman" w:hAnsi="Times New Roman" w:cs="Times New Roman"/>
                <w:sz w:val="28"/>
                <w:szCs w:val="28"/>
                <w:lang w:val="ro-RO"/>
              </w:rPr>
              <w:t>i agenţii economici care intervin în lan</w:t>
            </w:r>
            <w:r w:rsidRPr="00E338A0">
              <w:rPr>
                <w:rFonts w:ascii="Cambria Math" w:eastAsia="Times New Roman" w:hAnsi="Cambria Math" w:cs="Cambria Math"/>
                <w:sz w:val="28"/>
                <w:szCs w:val="28"/>
                <w:lang w:val="ro-RO"/>
              </w:rPr>
              <w:t>ț</w:t>
            </w:r>
            <w:r w:rsidRPr="00E338A0">
              <w:rPr>
                <w:rFonts w:ascii="Times New Roman" w:eastAsia="Times New Roman" w:hAnsi="Times New Roman" w:cs="Times New Roman"/>
                <w:sz w:val="28"/>
                <w:szCs w:val="28"/>
                <w:lang w:val="ro-RO"/>
              </w:rPr>
              <w:t>ul de furnizare și de distribuție a aparatelor i-au toate măsurile corespunzătoare pentru a asigura că pun la dispozi</w:t>
            </w:r>
            <w:r w:rsidRPr="00E338A0">
              <w:rPr>
                <w:rFonts w:ascii="Cambria Math" w:eastAsia="Times New Roman" w:hAnsi="Cambria Math" w:cs="Cambria Math"/>
                <w:sz w:val="28"/>
                <w:szCs w:val="28"/>
                <w:lang w:val="ro-RO"/>
              </w:rPr>
              <w:t>ț</w:t>
            </w:r>
            <w:r w:rsidRPr="00E338A0">
              <w:rPr>
                <w:rFonts w:ascii="Times New Roman" w:eastAsia="Times New Roman" w:hAnsi="Times New Roman" w:cs="Times New Roman"/>
                <w:sz w:val="28"/>
                <w:szCs w:val="28"/>
                <w:lang w:val="ro-RO"/>
              </w:rPr>
              <w:t xml:space="preserve">ie </w:t>
            </w:r>
            <w:r w:rsidRPr="00E338A0">
              <w:rPr>
                <w:rFonts w:ascii="Times New Roman" w:eastAsia="Times New Roman" w:hAnsi="Times New Roman" w:cs="Times New Roman"/>
                <w:sz w:val="28"/>
                <w:szCs w:val="28"/>
                <w:lang w:val="ro-RO"/>
              </w:rPr>
              <w:lastRenderedPageBreak/>
              <w:t>pe pia</w:t>
            </w:r>
            <w:r w:rsidRPr="00E338A0">
              <w:rPr>
                <w:rFonts w:ascii="Cambria Math" w:eastAsia="Times New Roman" w:hAnsi="Cambria Math" w:cs="Cambria Math"/>
                <w:sz w:val="28"/>
                <w:szCs w:val="28"/>
                <w:lang w:val="ro-RO"/>
              </w:rPr>
              <w:t>ț</w:t>
            </w:r>
            <w:r w:rsidRPr="00E338A0">
              <w:rPr>
                <w:rFonts w:ascii="Times New Roman" w:eastAsia="Times New Roman" w:hAnsi="Times New Roman" w:cs="Times New Roman"/>
                <w:sz w:val="28"/>
                <w:szCs w:val="28"/>
                <w:lang w:val="ro-RO"/>
              </w:rPr>
              <w:t>ă numai aparate care sunt în conformitate cu reglementarea tehnică  aplicabilă.</w:t>
            </w:r>
          </w:p>
          <w:p w14:paraId="48C58CDF" w14:textId="77777777" w:rsidR="00E338A0" w:rsidRPr="00E338A0" w:rsidRDefault="00E338A0" w:rsidP="008C2C82">
            <w:pPr>
              <w:tabs>
                <w:tab w:val="left" w:pos="567"/>
              </w:tabs>
              <w:spacing w:after="0" w:line="240" w:lineRule="auto"/>
              <w:ind w:left="135" w:right="225" w:firstLine="709"/>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Pentru a permite agenţilor economici să demonstreze că aparatele consumatoare de combustibili gazoşi puse la dispozi</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ie pe pia</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ă respectă cerin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ele esen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iale de siguran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 xml:space="preserve">ă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autorită</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ilor competente să se asigure de acest lucru, este necesar să fie prevăzute şi efectuate procedurile de evaluare a conformită</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ii, care includ proceduri de la cea mai pu</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in strictă până la cea mai strictă, propor</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 xml:space="preserve">ional cu nivelul de risc implicat </w:t>
            </w:r>
            <w:r w:rsidRPr="00E338A0">
              <w:rPr>
                <w:rFonts w:ascii="Cambria Math" w:eastAsia="Times New Roman" w:hAnsi="Cambria Math" w:cs="Cambria Math"/>
                <w:sz w:val="28"/>
                <w:szCs w:val="28"/>
                <w:lang w:val="ro-RO" w:eastAsia="ru-RU"/>
              </w:rPr>
              <w:t>ș</w:t>
            </w:r>
            <w:r w:rsidRPr="00E338A0">
              <w:rPr>
                <w:rFonts w:ascii="Times New Roman" w:eastAsia="Times New Roman" w:hAnsi="Times New Roman" w:cs="Times New Roman"/>
                <w:sz w:val="28"/>
                <w:szCs w:val="28"/>
                <w:lang w:val="ro-RO" w:eastAsia="ru-RU"/>
              </w:rPr>
              <w:t>i cu nivelul de siguran</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 xml:space="preserve">ă impus. </w:t>
            </w:r>
          </w:p>
          <w:p w14:paraId="5DBA17B5" w14:textId="77777777" w:rsidR="00E338A0" w:rsidRPr="00E338A0" w:rsidRDefault="00E338A0" w:rsidP="008C2C82">
            <w:pPr>
              <w:tabs>
                <w:tab w:val="left" w:pos="567"/>
              </w:tabs>
              <w:spacing w:after="0" w:line="240" w:lineRule="auto"/>
              <w:ind w:left="135" w:right="225" w:firstLine="709"/>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Cu scopul de a evita variantele ad-hoc, se recomandă ca procedurile de evaluare a conformită</w:t>
            </w:r>
            <w:r w:rsidRPr="00E338A0">
              <w:rPr>
                <w:rFonts w:ascii="Cambria Math" w:eastAsia="Times New Roman" w:hAnsi="Cambria Math" w:cs="Cambria Math"/>
                <w:sz w:val="28"/>
                <w:szCs w:val="28"/>
                <w:lang w:val="ro-RO" w:eastAsia="ru-RU"/>
              </w:rPr>
              <w:t>ț</w:t>
            </w:r>
            <w:r w:rsidRPr="00E338A0">
              <w:rPr>
                <w:rFonts w:ascii="Times New Roman" w:eastAsia="Times New Roman" w:hAnsi="Times New Roman" w:cs="Times New Roman"/>
                <w:sz w:val="28"/>
                <w:szCs w:val="28"/>
                <w:lang w:val="ro-RO" w:eastAsia="ru-RU"/>
              </w:rPr>
              <w:t>ii să fie alese dintre module, în care sunt relatate responsabilitățile specifice producătorilor, reprezentanților autorizați ale acestora, organismelor de evaluare a conformității și care se finalizează cu norme privind aplicarea marcajului de conformitate și întocmirea declarației de conformitate.</w:t>
            </w:r>
          </w:p>
          <w:p w14:paraId="472C6CA5" w14:textId="56A43703" w:rsidR="00E338A0" w:rsidRPr="00E53A29" w:rsidRDefault="00E338A0" w:rsidP="00E338A0">
            <w:pPr>
              <w:spacing w:after="0" w:line="240" w:lineRule="auto"/>
              <w:ind w:left="90" w:right="189" w:firstLine="477"/>
              <w:jc w:val="both"/>
              <w:rPr>
                <w:rFonts w:ascii="Times New Roman" w:eastAsia="Times New Roman" w:hAnsi="Times New Roman" w:cs="Times New Roman"/>
                <w:bCs/>
                <w:sz w:val="28"/>
                <w:szCs w:val="28"/>
                <w:lang w:val="ro-MD" w:eastAsia="en-GB"/>
              </w:rPr>
            </w:pPr>
            <w:r w:rsidRPr="00E53A29">
              <w:rPr>
                <w:rFonts w:ascii="Times New Roman" w:eastAsia="Calibri" w:hAnsi="Times New Roman" w:cs="Times New Roman"/>
                <w:sz w:val="28"/>
                <w:szCs w:val="28"/>
                <w:lang w:val="ro-MD"/>
              </w:rPr>
              <w:t xml:space="preserve">Reglementarea tehnică învechită și neracordată la cadrul normativ UE influențează volumul de exporturi către UE. Analiza tendințelor înregistrate în comerțul exterior arată că RM este slab </w:t>
            </w:r>
            <w:r w:rsidR="00E53A29" w:rsidRPr="00E53A29">
              <w:rPr>
                <w:rFonts w:ascii="Times New Roman" w:eastAsia="Calibri" w:hAnsi="Times New Roman" w:cs="Times New Roman"/>
                <w:sz w:val="28"/>
                <w:szCs w:val="28"/>
                <w:lang w:val="ro-MD"/>
              </w:rPr>
              <w:t>competitivă</w:t>
            </w:r>
            <w:r w:rsidRPr="00E53A29">
              <w:rPr>
                <w:rFonts w:ascii="Times New Roman" w:eastAsia="Calibri" w:hAnsi="Times New Roman" w:cs="Times New Roman"/>
                <w:sz w:val="28"/>
                <w:szCs w:val="28"/>
                <w:lang w:val="ro-MD"/>
              </w:rPr>
              <w:t xml:space="preserve"> în ramurile industriei bazate pe înaltă tehnologie. Din punct de vedere al eficienței exportului moldovenesc, RM pare a fi </w:t>
            </w:r>
            <w:r w:rsidR="00E53A29" w:rsidRPr="00E53A29">
              <w:rPr>
                <w:rFonts w:ascii="Times New Roman" w:eastAsia="Calibri" w:hAnsi="Times New Roman" w:cs="Times New Roman"/>
                <w:sz w:val="28"/>
                <w:szCs w:val="28"/>
                <w:lang w:val="ro-MD"/>
              </w:rPr>
              <w:t>competitivă</w:t>
            </w:r>
            <w:r w:rsidRPr="00E53A29">
              <w:rPr>
                <w:rFonts w:ascii="Times New Roman" w:eastAsia="Calibri" w:hAnsi="Times New Roman" w:cs="Times New Roman"/>
                <w:sz w:val="28"/>
                <w:szCs w:val="28"/>
                <w:lang w:val="ro-MD"/>
              </w:rPr>
              <w:t xml:space="preserve">, în principal, în sectoarele care folosesc forța de muncă mai </w:t>
            </w:r>
            <w:r w:rsidR="00E53A29" w:rsidRPr="00E53A29">
              <w:rPr>
                <w:rFonts w:ascii="Times New Roman" w:eastAsia="Calibri" w:hAnsi="Times New Roman" w:cs="Times New Roman"/>
                <w:sz w:val="28"/>
                <w:szCs w:val="28"/>
                <w:lang w:val="ro-MD"/>
              </w:rPr>
              <w:t>ieften</w:t>
            </w:r>
            <w:r w:rsidRPr="00E53A29">
              <w:rPr>
                <w:rFonts w:ascii="Times New Roman" w:eastAsia="Calibri" w:hAnsi="Times New Roman" w:cs="Times New Roman"/>
                <w:sz w:val="28"/>
                <w:szCs w:val="28"/>
                <w:lang w:val="ro-MD"/>
              </w:rPr>
              <w:t>, schimburile comerciale fiind orient</w:t>
            </w:r>
            <w:r w:rsidR="00E53A29">
              <w:rPr>
                <w:rFonts w:ascii="Times New Roman" w:eastAsia="Calibri" w:hAnsi="Times New Roman" w:cs="Times New Roman"/>
                <w:sz w:val="28"/>
                <w:szCs w:val="28"/>
                <w:lang w:val="ro-MD"/>
              </w:rPr>
              <w:t>ate preponderant către statele m</w:t>
            </w:r>
            <w:r w:rsidRPr="00E53A29">
              <w:rPr>
                <w:rFonts w:ascii="Times New Roman" w:eastAsia="Calibri" w:hAnsi="Times New Roman" w:cs="Times New Roman"/>
                <w:sz w:val="28"/>
                <w:szCs w:val="28"/>
                <w:lang w:val="ro-MD"/>
              </w:rPr>
              <w:t>embr</w:t>
            </w:r>
            <w:r w:rsidR="00E53A29">
              <w:rPr>
                <w:rFonts w:ascii="Times New Roman" w:eastAsia="Calibri" w:hAnsi="Times New Roman" w:cs="Times New Roman"/>
                <w:sz w:val="28"/>
                <w:szCs w:val="28"/>
                <w:lang w:val="ro-MD"/>
              </w:rPr>
              <w:t>e</w:t>
            </w:r>
            <w:r w:rsidRPr="00E53A29">
              <w:rPr>
                <w:rFonts w:ascii="Times New Roman" w:eastAsia="Calibri" w:hAnsi="Times New Roman" w:cs="Times New Roman"/>
                <w:sz w:val="28"/>
                <w:szCs w:val="28"/>
                <w:lang w:val="ro-MD"/>
              </w:rPr>
              <w:t xml:space="preserve"> ale UE.</w:t>
            </w:r>
            <w:r w:rsidR="00E53A29">
              <w:rPr>
                <w:rFonts w:ascii="Times New Roman" w:eastAsia="Calibri" w:hAnsi="Times New Roman" w:cs="Times New Roman"/>
                <w:sz w:val="28"/>
                <w:szCs w:val="28"/>
                <w:lang w:val="ro-MD"/>
              </w:rPr>
              <w:t xml:space="preserve"> </w:t>
            </w:r>
            <w:r w:rsidRPr="00E53A29">
              <w:rPr>
                <w:rFonts w:ascii="Times New Roman" w:eastAsia="Calibri" w:hAnsi="Times New Roman" w:cs="Times New Roman"/>
                <w:sz w:val="28"/>
                <w:szCs w:val="28"/>
                <w:lang w:val="ro-MD"/>
              </w:rPr>
              <w:t xml:space="preserve">Astfel, perspectivele nu sunt optimiste, dacă ne referim la diferența de cadrul juridic aplicat în domeniul industrial. Aceasta va avea drept consecinţă directă </w:t>
            </w:r>
            <w:r w:rsidR="00E53A29">
              <w:rPr>
                <w:rFonts w:ascii="Times New Roman" w:eastAsia="Calibri" w:hAnsi="Times New Roman" w:cs="Times New Roman"/>
                <w:sz w:val="28"/>
                <w:szCs w:val="28"/>
                <w:lang w:val="ro-MD"/>
              </w:rPr>
              <w:t xml:space="preserve">- </w:t>
            </w:r>
            <w:r w:rsidRPr="00E53A29">
              <w:rPr>
                <w:rFonts w:ascii="Times New Roman" w:eastAsia="Calibri" w:hAnsi="Times New Roman" w:cs="Times New Roman"/>
                <w:sz w:val="28"/>
                <w:szCs w:val="28"/>
                <w:lang w:val="ro-MD"/>
              </w:rPr>
              <w:t xml:space="preserve">pierderea de către RM a avantajului competitivităţii produselor industriale, în caz concret a aparatelor consumatoare de combustibili gazoși. </w:t>
            </w:r>
            <w:r w:rsidRPr="00E53A29">
              <w:rPr>
                <w:rFonts w:ascii="Times New Roman" w:eastAsia="Times New Roman" w:hAnsi="Times New Roman" w:cs="Times New Roman"/>
                <w:bCs/>
                <w:sz w:val="28"/>
                <w:szCs w:val="28"/>
                <w:lang w:val="ro-MD" w:eastAsia="en-GB"/>
              </w:rPr>
              <w:t xml:space="preserve">Funcționarea corectă și eficace a pieței interne necesită norme comune pentru aparatele consumatoare de combustibili gazoși în ceea ce privește riscurile pentru sănătate și siguranță cauzate de utilizarea gazelor naturale, precum și în ceea ce privește randamentul lor energetic. </w:t>
            </w:r>
          </w:p>
          <w:p w14:paraId="0E50D361" w14:textId="77A7231F" w:rsidR="00E338A0" w:rsidRPr="00B7005B" w:rsidRDefault="00E338A0" w:rsidP="00B7005B">
            <w:pPr>
              <w:autoSpaceDE w:val="0"/>
              <w:autoSpaceDN w:val="0"/>
              <w:adjustRightInd w:val="0"/>
              <w:spacing w:after="0" w:line="240" w:lineRule="auto"/>
              <w:ind w:right="192" w:firstLine="477"/>
              <w:jc w:val="both"/>
              <w:rPr>
                <w:rFonts w:ascii="Times New Roman" w:eastAsia="Calibri" w:hAnsi="Times New Roman" w:cs="Times New Roman"/>
                <w:i/>
                <w:sz w:val="24"/>
                <w:szCs w:val="24"/>
                <w:u w:val="single"/>
                <w:lang w:val="ro-RO"/>
              </w:rPr>
            </w:pPr>
            <w:r w:rsidRPr="00E338A0">
              <w:rPr>
                <w:rFonts w:ascii="Times New Roman" w:eastAsia="Calibri" w:hAnsi="Times New Roman" w:cs="Times New Roman"/>
                <w:sz w:val="28"/>
                <w:szCs w:val="28"/>
                <w:lang w:val="ro-RO"/>
              </w:rPr>
              <w:t>Conform datelor Moldovagaz SA prezentate în rapoartele anuale numărul consumatorilor finali de gaze naturale este în creștere continuu (a se vedea Tabelul 3</w:t>
            </w:r>
            <w:r w:rsidRPr="00E338A0">
              <w:rPr>
                <w:rFonts w:ascii="Times New Roman" w:eastAsia="Calibri" w:hAnsi="Times New Roman" w:cs="Times New Roman"/>
                <w:i/>
                <w:sz w:val="28"/>
                <w:szCs w:val="28"/>
                <w:lang w:val="ro-RO"/>
              </w:rPr>
              <w:t>) (</w:t>
            </w:r>
            <w:hyperlink r:id="rId10" w:history="1">
              <w:r w:rsidRPr="00B7005B">
                <w:rPr>
                  <w:rFonts w:ascii="Times New Roman" w:eastAsia="Calibri" w:hAnsi="Times New Roman" w:cs="Times New Roman"/>
                  <w:i/>
                  <w:sz w:val="24"/>
                  <w:szCs w:val="24"/>
                  <w:u w:val="single"/>
                  <w:lang w:val="ro-RO"/>
                </w:rPr>
                <w:t>https://www.moldovagaz.md/pic/uploaded/docs/Numarul_consumatorilor_finali_ro_v15_oct_2020.pdf</w:t>
              </w:r>
            </w:hyperlink>
            <w:r w:rsidRPr="00E338A0">
              <w:rPr>
                <w:rFonts w:ascii="Times New Roman" w:eastAsia="Calibri" w:hAnsi="Times New Roman" w:cs="Times New Roman"/>
                <w:i/>
                <w:sz w:val="28"/>
                <w:szCs w:val="28"/>
                <w:lang w:val="ro-RO"/>
              </w:rPr>
              <w:t>)</w:t>
            </w:r>
          </w:p>
          <w:p w14:paraId="4DC9F71F" w14:textId="77777777" w:rsidR="00E338A0" w:rsidRPr="00E338A0" w:rsidRDefault="00E338A0" w:rsidP="00E338A0">
            <w:pPr>
              <w:autoSpaceDE w:val="0"/>
              <w:autoSpaceDN w:val="0"/>
              <w:adjustRightInd w:val="0"/>
              <w:spacing w:after="0" w:line="240" w:lineRule="auto"/>
              <w:ind w:right="192" w:firstLine="477"/>
              <w:jc w:val="right"/>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Tabelul 3</w:t>
            </w:r>
          </w:p>
          <w:p w14:paraId="581A33A8" w14:textId="77777777" w:rsidR="00E338A0" w:rsidRPr="00E338A0" w:rsidRDefault="00E338A0" w:rsidP="00E338A0">
            <w:pPr>
              <w:autoSpaceDE w:val="0"/>
              <w:autoSpaceDN w:val="0"/>
              <w:adjustRightInd w:val="0"/>
              <w:spacing w:after="0" w:line="240" w:lineRule="auto"/>
              <w:ind w:firstLine="477"/>
              <w:jc w:val="center"/>
              <w:rPr>
                <w:rFonts w:ascii="Times New Roman" w:eastAsia="Calibri" w:hAnsi="Times New Roman" w:cs="Times New Roman"/>
                <w:sz w:val="28"/>
                <w:szCs w:val="28"/>
                <w:lang w:val="ro-RO"/>
              </w:rPr>
            </w:pPr>
            <w:r w:rsidRPr="00E338A0">
              <w:rPr>
                <w:rFonts w:ascii="Times New Roman" w:eastAsia="Calibri" w:hAnsi="Times New Roman" w:cs="Times New Roman"/>
                <w:b/>
                <w:bCs/>
                <w:sz w:val="28"/>
                <w:szCs w:val="28"/>
                <w:lang w:val="ro-RO"/>
              </w:rPr>
              <w:t>Numărul consumatorilor finali de gaze naturale</w:t>
            </w:r>
          </w:p>
          <w:p w14:paraId="003C943E" w14:textId="77777777" w:rsidR="00E338A0" w:rsidRPr="00E338A0" w:rsidRDefault="00E338A0" w:rsidP="00E338A0">
            <w:pPr>
              <w:ind w:firstLine="477"/>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(pentru perioada 2016 - 2020)</w:t>
            </w:r>
          </w:p>
          <w:tbl>
            <w:tblPr>
              <w:tblStyle w:val="TableGrid"/>
              <w:tblW w:w="9303" w:type="dxa"/>
              <w:tblInd w:w="97" w:type="dxa"/>
              <w:tblLayout w:type="fixed"/>
              <w:tblLook w:val="04A0" w:firstRow="1" w:lastRow="0" w:firstColumn="1" w:lastColumn="0" w:noHBand="0" w:noVBand="1"/>
            </w:tblPr>
            <w:tblGrid>
              <w:gridCol w:w="3633"/>
              <w:gridCol w:w="2880"/>
              <w:gridCol w:w="2790"/>
            </w:tblGrid>
            <w:tr w:rsidR="00E338A0" w:rsidRPr="00E338A0" w14:paraId="58F0B282" w14:textId="77777777" w:rsidTr="008C2C82">
              <w:tc>
                <w:tcPr>
                  <w:tcW w:w="3633" w:type="dxa"/>
                </w:tcPr>
                <w:p w14:paraId="2F0FCAB1"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Serviciul de gaze furnizate</w:t>
                  </w:r>
                </w:p>
              </w:tc>
              <w:tc>
                <w:tcPr>
                  <w:tcW w:w="2880" w:type="dxa"/>
                </w:tcPr>
                <w:p w14:paraId="0BDFBCAD"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Total</w:t>
                  </w:r>
                </w:p>
              </w:tc>
              <w:tc>
                <w:tcPr>
                  <w:tcW w:w="2790" w:type="dxa"/>
                </w:tcPr>
                <w:p w14:paraId="2155E894" w14:textId="77777777" w:rsidR="00E338A0" w:rsidRPr="00E338A0" w:rsidRDefault="00E338A0" w:rsidP="00E338A0">
                  <w:pPr>
                    <w:ind w:hanging="7"/>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Inclusiv</w:t>
                  </w:r>
                </w:p>
                <w:p w14:paraId="77C8444A"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casnici</w:t>
                  </w:r>
                </w:p>
              </w:tc>
            </w:tr>
            <w:tr w:rsidR="00E338A0" w:rsidRPr="00E338A0" w14:paraId="618A0C3C" w14:textId="77777777" w:rsidTr="008C2C82">
              <w:tc>
                <w:tcPr>
                  <w:tcW w:w="3633" w:type="dxa"/>
                </w:tcPr>
                <w:p w14:paraId="24FD0729"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2020</w:t>
                  </w:r>
                </w:p>
              </w:tc>
              <w:tc>
                <w:tcPr>
                  <w:tcW w:w="2880" w:type="dxa"/>
                </w:tcPr>
                <w:tbl>
                  <w:tblPr>
                    <w:tblW w:w="0" w:type="auto"/>
                    <w:tblBorders>
                      <w:top w:val="nil"/>
                      <w:left w:val="nil"/>
                      <w:bottom w:val="nil"/>
                      <w:right w:val="nil"/>
                    </w:tblBorders>
                    <w:tblLayout w:type="fixed"/>
                    <w:tblLook w:val="0000" w:firstRow="0" w:lastRow="0" w:firstColumn="0" w:lastColumn="0" w:noHBand="0" w:noVBand="0"/>
                  </w:tblPr>
                  <w:tblGrid>
                    <w:gridCol w:w="2772"/>
                  </w:tblGrid>
                  <w:tr w:rsidR="00E338A0" w:rsidRPr="00E338A0" w14:paraId="512C0A6A" w14:textId="77777777" w:rsidTr="008C2C82">
                    <w:trPr>
                      <w:trHeight w:val="100"/>
                    </w:trPr>
                    <w:tc>
                      <w:tcPr>
                        <w:tcW w:w="2772" w:type="dxa"/>
                      </w:tcPr>
                      <w:p w14:paraId="1A0872E2"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746409</w:t>
                        </w:r>
                      </w:p>
                    </w:tc>
                  </w:tr>
                </w:tbl>
                <w:p w14:paraId="219854D5" w14:textId="77777777" w:rsidR="00E338A0" w:rsidRPr="00E338A0" w:rsidRDefault="00E338A0" w:rsidP="00E338A0">
                  <w:pPr>
                    <w:autoSpaceDE w:val="0"/>
                    <w:autoSpaceDN w:val="0"/>
                    <w:adjustRightInd w:val="0"/>
                    <w:jc w:val="center"/>
                    <w:rPr>
                      <w:rFonts w:ascii="Times New Roman" w:eastAsia="Calibri" w:hAnsi="Times New Roman" w:cs="Times New Roman"/>
                      <w:color w:val="000000"/>
                      <w:sz w:val="28"/>
                      <w:szCs w:val="28"/>
                      <w:lang w:val="ro-RO"/>
                    </w:rPr>
                  </w:pPr>
                </w:p>
              </w:tc>
              <w:tc>
                <w:tcPr>
                  <w:tcW w:w="2790" w:type="dxa"/>
                </w:tcPr>
                <w:tbl>
                  <w:tblPr>
                    <w:tblW w:w="0" w:type="auto"/>
                    <w:tblBorders>
                      <w:top w:val="nil"/>
                      <w:left w:val="nil"/>
                      <w:bottom w:val="nil"/>
                      <w:right w:val="nil"/>
                    </w:tblBorders>
                    <w:tblLayout w:type="fixed"/>
                    <w:tblLook w:val="0000" w:firstRow="0" w:lastRow="0" w:firstColumn="0" w:lastColumn="0" w:noHBand="0" w:noVBand="0"/>
                  </w:tblPr>
                  <w:tblGrid>
                    <w:gridCol w:w="2502"/>
                  </w:tblGrid>
                  <w:tr w:rsidR="00E338A0" w:rsidRPr="00E338A0" w14:paraId="2096CDA4" w14:textId="77777777" w:rsidTr="008C2C82">
                    <w:trPr>
                      <w:trHeight w:val="100"/>
                    </w:trPr>
                    <w:tc>
                      <w:tcPr>
                        <w:tcW w:w="2502" w:type="dxa"/>
                      </w:tcPr>
                      <w:p w14:paraId="6BFB3E6D"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732121</w:t>
                        </w:r>
                      </w:p>
                    </w:tc>
                  </w:tr>
                </w:tbl>
                <w:p w14:paraId="545BD1BC" w14:textId="77777777" w:rsidR="00E338A0" w:rsidRPr="00E338A0" w:rsidRDefault="00E338A0" w:rsidP="00E338A0">
                  <w:pPr>
                    <w:autoSpaceDE w:val="0"/>
                    <w:autoSpaceDN w:val="0"/>
                    <w:adjustRightInd w:val="0"/>
                    <w:jc w:val="center"/>
                    <w:rPr>
                      <w:rFonts w:ascii="Times New Roman" w:eastAsia="Calibri" w:hAnsi="Times New Roman" w:cs="Times New Roman"/>
                      <w:color w:val="000000"/>
                      <w:sz w:val="28"/>
                      <w:szCs w:val="28"/>
                      <w:lang w:val="ro-RO"/>
                    </w:rPr>
                  </w:pPr>
                </w:p>
              </w:tc>
            </w:tr>
            <w:tr w:rsidR="00E338A0" w:rsidRPr="00E338A0" w14:paraId="50ADEBB5" w14:textId="77777777" w:rsidTr="008C2C82">
              <w:tc>
                <w:tcPr>
                  <w:tcW w:w="3633" w:type="dxa"/>
                </w:tcPr>
                <w:p w14:paraId="08044C11"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2019</w:t>
                  </w:r>
                </w:p>
              </w:tc>
              <w:tc>
                <w:tcPr>
                  <w:tcW w:w="2880" w:type="dxa"/>
                </w:tcPr>
                <w:tbl>
                  <w:tblPr>
                    <w:tblW w:w="0" w:type="auto"/>
                    <w:tblBorders>
                      <w:top w:val="nil"/>
                      <w:left w:val="nil"/>
                      <w:bottom w:val="nil"/>
                      <w:right w:val="nil"/>
                    </w:tblBorders>
                    <w:tblLayout w:type="fixed"/>
                    <w:tblLook w:val="0000" w:firstRow="0" w:lastRow="0" w:firstColumn="0" w:lastColumn="0" w:noHBand="0" w:noVBand="0"/>
                  </w:tblPr>
                  <w:tblGrid>
                    <w:gridCol w:w="2772"/>
                  </w:tblGrid>
                  <w:tr w:rsidR="00E338A0" w:rsidRPr="00E338A0" w14:paraId="5E884735" w14:textId="77777777" w:rsidTr="008C2C82">
                    <w:trPr>
                      <w:trHeight w:val="100"/>
                    </w:trPr>
                    <w:tc>
                      <w:tcPr>
                        <w:tcW w:w="2772" w:type="dxa"/>
                      </w:tcPr>
                      <w:p w14:paraId="27E6DBBA"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736048</w:t>
                        </w:r>
                      </w:p>
                    </w:tc>
                  </w:tr>
                </w:tbl>
                <w:p w14:paraId="2D20B7E3" w14:textId="77777777" w:rsidR="00E338A0" w:rsidRPr="00E338A0" w:rsidRDefault="00E338A0" w:rsidP="00E338A0">
                  <w:pPr>
                    <w:jc w:val="center"/>
                    <w:rPr>
                      <w:rFonts w:ascii="Times New Roman" w:eastAsia="Calibri" w:hAnsi="Times New Roman" w:cs="Times New Roman"/>
                      <w:sz w:val="28"/>
                      <w:szCs w:val="28"/>
                      <w:lang w:val="ro-RO"/>
                    </w:rPr>
                  </w:pPr>
                </w:p>
              </w:tc>
              <w:tc>
                <w:tcPr>
                  <w:tcW w:w="2790" w:type="dxa"/>
                </w:tcPr>
                <w:tbl>
                  <w:tblPr>
                    <w:tblW w:w="0" w:type="auto"/>
                    <w:tblBorders>
                      <w:top w:val="nil"/>
                      <w:left w:val="nil"/>
                      <w:bottom w:val="nil"/>
                      <w:right w:val="nil"/>
                    </w:tblBorders>
                    <w:tblLayout w:type="fixed"/>
                    <w:tblLook w:val="0000" w:firstRow="0" w:lastRow="0" w:firstColumn="0" w:lastColumn="0" w:noHBand="0" w:noVBand="0"/>
                  </w:tblPr>
                  <w:tblGrid>
                    <w:gridCol w:w="2502"/>
                  </w:tblGrid>
                  <w:tr w:rsidR="00E338A0" w:rsidRPr="00E338A0" w14:paraId="0D2EAA69" w14:textId="77777777" w:rsidTr="008C2C82">
                    <w:trPr>
                      <w:trHeight w:val="100"/>
                    </w:trPr>
                    <w:tc>
                      <w:tcPr>
                        <w:tcW w:w="2502" w:type="dxa"/>
                      </w:tcPr>
                      <w:p w14:paraId="5B3B4E10"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721889</w:t>
                        </w:r>
                      </w:p>
                    </w:tc>
                  </w:tr>
                </w:tbl>
                <w:p w14:paraId="524C3584" w14:textId="77777777" w:rsidR="00E338A0" w:rsidRPr="00E338A0" w:rsidRDefault="00E338A0" w:rsidP="00E338A0">
                  <w:pPr>
                    <w:jc w:val="center"/>
                    <w:rPr>
                      <w:rFonts w:ascii="Times New Roman" w:eastAsia="Calibri" w:hAnsi="Times New Roman" w:cs="Times New Roman"/>
                      <w:sz w:val="28"/>
                      <w:szCs w:val="28"/>
                      <w:lang w:val="ro-RO"/>
                    </w:rPr>
                  </w:pPr>
                </w:p>
              </w:tc>
            </w:tr>
            <w:tr w:rsidR="00E338A0" w:rsidRPr="00E338A0" w14:paraId="1175DA58" w14:textId="77777777" w:rsidTr="008C2C82">
              <w:tc>
                <w:tcPr>
                  <w:tcW w:w="3633" w:type="dxa"/>
                </w:tcPr>
                <w:p w14:paraId="3B386807"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2018</w:t>
                  </w:r>
                </w:p>
              </w:tc>
              <w:tc>
                <w:tcPr>
                  <w:tcW w:w="2880" w:type="dxa"/>
                </w:tcPr>
                <w:tbl>
                  <w:tblPr>
                    <w:tblW w:w="0" w:type="auto"/>
                    <w:tblBorders>
                      <w:top w:val="nil"/>
                      <w:left w:val="nil"/>
                      <w:bottom w:val="nil"/>
                      <w:right w:val="nil"/>
                    </w:tblBorders>
                    <w:tblLayout w:type="fixed"/>
                    <w:tblLook w:val="0000" w:firstRow="0" w:lastRow="0" w:firstColumn="0" w:lastColumn="0" w:noHBand="0" w:noVBand="0"/>
                  </w:tblPr>
                  <w:tblGrid>
                    <w:gridCol w:w="2772"/>
                  </w:tblGrid>
                  <w:tr w:rsidR="00E338A0" w:rsidRPr="00E338A0" w14:paraId="3C8B89B2" w14:textId="77777777" w:rsidTr="008C2C82">
                    <w:trPr>
                      <w:trHeight w:val="100"/>
                    </w:trPr>
                    <w:tc>
                      <w:tcPr>
                        <w:tcW w:w="2772" w:type="dxa"/>
                      </w:tcPr>
                      <w:p w14:paraId="7DFBB63F"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719479</w:t>
                        </w:r>
                      </w:p>
                    </w:tc>
                  </w:tr>
                </w:tbl>
                <w:p w14:paraId="502E406A" w14:textId="77777777" w:rsidR="00E338A0" w:rsidRPr="00E338A0" w:rsidRDefault="00E338A0" w:rsidP="00E338A0">
                  <w:pPr>
                    <w:jc w:val="center"/>
                    <w:rPr>
                      <w:rFonts w:ascii="Times New Roman" w:eastAsia="Calibri" w:hAnsi="Times New Roman" w:cs="Times New Roman"/>
                      <w:sz w:val="28"/>
                      <w:szCs w:val="28"/>
                      <w:lang w:val="ro-RO"/>
                    </w:rPr>
                  </w:pPr>
                </w:p>
              </w:tc>
              <w:tc>
                <w:tcPr>
                  <w:tcW w:w="2790" w:type="dxa"/>
                </w:tcPr>
                <w:p w14:paraId="1969F8AE" w14:textId="77777777" w:rsidR="00E338A0" w:rsidRPr="00E338A0" w:rsidRDefault="00E338A0" w:rsidP="00E338A0">
                  <w:pPr>
                    <w:autoSpaceDE w:val="0"/>
                    <w:autoSpaceDN w:val="0"/>
                    <w:adjustRightInd w:val="0"/>
                    <w:ind w:firstLine="72"/>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705897</w:t>
                  </w:r>
                </w:p>
              </w:tc>
            </w:tr>
            <w:tr w:rsidR="00E338A0" w:rsidRPr="00E338A0" w14:paraId="7BBA00DA" w14:textId="77777777" w:rsidTr="008C2C82">
              <w:tc>
                <w:tcPr>
                  <w:tcW w:w="3633" w:type="dxa"/>
                </w:tcPr>
                <w:p w14:paraId="71461F1C"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2017</w:t>
                  </w:r>
                </w:p>
              </w:tc>
              <w:tc>
                <w:tcPr>
                  <w:tcW w:w="2880" w:type="dxa"/>
                </w:tcPr>
                <w:p w14:paraId="2A245768" w14:textId="77777777" w:rsidR="00E338A0" w:rsidRPr="00E338A0" w:rsidRDefault="00E338A0" w:rsidP="00E338A0">
                  <w:pPr>
                    <w:autoSpaceDE w:val="0"/>
                    <w:autoSpaceDN w:val="0"/>
                    <w:adjustRightInd w:val="0"/>
                    <w:ind w:firstLine="72"/>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705030</w:t>
                  </w:r>
                </w:p>
              </w:tc>
              <w:tc>
                <w:tcPr>
                  <w:tcW w:w="2790" w:type="dxa"/>
                </w:tcPr>
                <w:p w14:paraId="4F39E95A" w14:textId="77777777" w:rsidR="00E338A0" w:rsidRPr="00E338A0" w:rsidRDefault="00E338A0" w:rsidP="00E338A0">
                  <w:pPr>
                    <w:autoSpaceDE w:val="0"/>
                    <w:autoSpaceDN w:val="0"/>
                    <w:adjustRightInd w:val="0"/>
                    <w:ind w:firstLine="72"/>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691954</w:t>
                  </w:r>
                </w:p>
              </w:tc>
            </w:tr>
            <w:tr w:rsidR="00E338A0" w:rsidRPr="00E338A0" w14:paraId="60EB0AF5" w14:textId="77777777" w:rsidTr="008C2C82">
              <w:tc>
                <w:tcPr>
                  <w:tcW w:w="3633" w:type="dxa"/>
                </w:tcPr>
                <w:p w14:paraId="29BF9F43"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2016</w:t>
                  </w:r>
                </w:p>
              </w:tc>
              <w:tc>
                <w:tcPr>
                  <w:tcW w:w="2880" w:type="dxa"/>
                </w:tcPr>
                <w:p w14:paraId="374D8EC1" w14:textId="77777777" w:rsidR="00E338A0" w:rsidRPr="00E338A0" w:rsidRDefault="00E338A0" w:rsidP="00E338A0">
                  <w:pPr>
                    <w:autoSpaceDE w:val="0"/>
                    <w:autoSpaceDN w:val="0"/>
                    <w:adjustRightInd w:val="0"/>
                    <w:ind w:firstLine="72"/>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689355</w:t>
                  </w:r>
                </w:p>
              </w:tc>
              <w:tc>
                <w:tcPr>
                  <w:tcW w:w="2790" w:type="dxa"/>
                </w:tcPr>
                <w:tbl>
                  <w:tblPr>
                    <w:tblW w:w="2412" w:type="dxa"/>
                    <w:tblBorders>
                      <w:top w:val="nil"/>
                      <w:left w:val="nil"/>
                      <w:bottom w:val="nil"/>
                      <w:right w:val="nil"/>
                    </w:tblBorders>
                    <w:tblLayout w:type="fixed"/>
                    <w:tblLook w:val="0000" w:firstRow="0" w:lastRow="0" w:firstColumn="0" w:lastColumn="0" w:noHBand="0" w:noVBand="0"/>
                  </w:tblPr>
                  <w:tblGrid>
                    <w:gridCol w:w="2412"/>
                  </w:tblGrid>
                  <w:tr w:rsidR="00E338A0" w:rsidRPr="00E338A0" w14:paraId="49E0EDA2" w14:textId="77777777" w:rsidTr="008C2C82">
                    <w:trPr>
                      <w:trHeight w:val="100"/>
                    </w:trPr>
                    <w:tc>
                      <w:tcPr>
                        <w:tcW w:w="2412" w:type="dxa"/>
                      </w:tcPr>
                      <w:p w14:paraId="356A4B8B" w14:textId="77777777" w:rsidR="00E338A0" w:rsidRPr="00E338A0" w:rsidRDefault="00E338A0" w:rsidP="00E338A0">
                        <w:pPr>
                          <w:autoSpaceDE w:val="0"/>
                          <w:autoSpaceDN w:val="0"/>
                          <w:adjustRightInd w:val="0"/>
                          <w:spacing w:after="0" w:line="240" w:lineRule="auto"/>
                          <w:jc w:val="center"/>
                          <w:rPr>
                            <w:rFonts w:ascii="Times New Roman" w:eastAsia="Calibri" w:hAnsi="Times New Roman" w:cs="Times New Roman"/>
                            <w:color w:val="000000"/>
                            <w:sz w:val="28"/>
                            <w:szCs w:val="28"/>
                            <w:lang w:val="ro-RO"/>
                          </w:rPr>
                        </w:pPr>
                        <w:r w:rsidRPr="00E338A0">
                          <w:rPr>
                            <w:rFonts w:ascii="Times New Roman" w:eastAsia="Calibri" w:hAnsi="Times New Roman" w:cs="Times New Roman"/>
                            <w:color w:val="000000"/>
                            <w:sz w:val="28"/>
                            <w:szCs w:val="28"/>
                            <w:lang w:val="ro-RO"/>
                          </w:rPr>
                          <w:t>676725</w:t>
                        </w:r>
                      </w:p>
                    </w:tc>
                  </w:tr>
                </w:tbl>
                <w:p w14:paraId="55094D65" w14:textId="77777777" w:rsidR="00E338A0" w:rsidRPr="00E338A0" w:rsidRDefault="00E338A0" w:rsidP="00E338A0">
                  <w:pPr>
                    <w:jc w:val="center"/>
                    <w:rPr>
                      <w:rFonts w:ascii="Times New Roman" w:eastAsia="Calibri" w:hAnsi="Times New Roman" w:cs="Times New Roman"/>
                      <w:sz w:val="28"/>
                      <w:szCs w:val="28"/>
                      <w:lang w:val="ro-RO"/>
                    </w:rPr>
                  </w:pPr>
                </w:p>
              </w:tc>
            </w:tr>
          </w:tbl>
          <w:p w14:paraId="34104F18" w14:textId="77777777" w:rsidR="00E338A0" w:rsidRPr="00E338A0" w:rsidRDefault="00E338A0" w:rsidP="00E338A0">
            <w:pPr>
              <w:autoSpaceDE w:val="0"/>
              <w:autoSpaceDN w:val="0"/>
              <w:adjustRightInd w:val="0"/>
              <w:spacing w:after="0" w:line="240" w:lineRule="auto"/>
              <w:ind w:left="97" w:right="238" w:firstLine="477"/>
              <w:rPr>
                <w:rFonts w:ascii="Times New Roman" w:eastAsia="Calibri" w:hAnsi="Times New Roman" w:cs="Times New Roman"/>
                <w:sz w:val="28"/>
                <w:szCs w:val="28"/>
                <w:lang w:val="ro-RO"/>
              </w:rPr>
            </w:pPr>
          </w:p>
          <w:p w14:paraId="70B70962" w14:textId="77777777" w:rsidR="00E338A0" w:rsidRPr="00E338A0" w:rsidRDefault="00E338A0" w:rsidP="00E338A0">
            <w:pPr>
              <w:autoSpaceDE w:val="0"/>
              <w:autoSpaceDN w:val="0"/>
              <w:adjustRightInd w:val="0"/>
              <w:spacing w:after="0" w:line="240" w:lineRule="auto"/>
              <w:ind w:left="97" w:right="238" w:firstLine="477"/>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Respectiv, volumul gazelor natural furnizate consumatorilor finali de asemenea este în creșterea, cu excepția anului 2020 </w:t>
            </w:r>
            <w:r w:rsidRPr="00E338A0">
              <w:rPr>
                <w:rFonts w:ascii="Times New Roman" w:eastAsia="Calibri" w:hAnsi="Times New Roman" w:cs="Times New Roman"/>
                <w:sz w:val="28"/>
                <w:szCs w:val="28"/>
                <w:lang w:val="ro-RO"/>
              </w:rPr>
              <w:lastRenderedPageBreak/>
              <w:t>(</w:t>
            </w:r>
            <w:hyperlink r:id="rId11" w:history="1">
              <w:r w:rsidRPr="00E338A0">
                <w:rPr>
                  <w:rFonts w:ascii="Times New Roman" w:eastAsia="Calibri" w:hAnsi="Times New Roman" w:cs="Times New Roman"/>
                  <w:sz w:val="28"/>
                  <w:szCs w:val="28"/>
                  <w:u w:val="single"/>
                  <w:lang w:val="ro-RO"/>
                </w:rPr>
                <w:t>https://www.moldovagaz.md/pic/uploaded/docs/Volumul_de_gaze_naturale_furnizate_ro_v15_oct_2020.pdf</w:t>
              </w:r>
            </w:hyperlink>
            <w:r w:rsidRPr="00E338A0">
              <w:rPr>
                <w:rFonts w:ascii="Times New Roman" w:eastAsia="Calibri" w:hAnsi="Times New Roman" w:cs="Times New Roman"/>
                <w:sz w:val="28"/>
                <w:szCs w:val="28"/>
                <w:lang w:val="ro-RO"/>
              </w:rPr>
              <w:t>).</w:t>
            </w:r>
          </w:p>
          <w:p w14:paraId="38EFE140" w14:textId="77777777" w:rsidR="00E338A0" w:rsidRPr="00E338A0" w:rsidRDefault="00E338A0" w:rsidP="00E338A0">
            <w:pPr>
              <w:autoSpaceDE w:val="0"/>
              <w:autoSpaceDN w:val="0"/>
              <w:adjustRightInd w:val="0"/>
              <w:spacing w:after="0" w:line="240" w:lineRule="auto"/>
              <w:ind w:left="97" w:right="238" w:firstLine="477"/>
              <w:rPr>
                <w:rFonts w:ascii="Times New Roman" w:eastAsia="Calibri" w:hAnsi="Times New Roman" w:cs="Times New Roman"/>
                <w:sz w:val="28"/>
                <w:szCs w:val="28"/>
                <w:lang w:val="ro-RO"/>
              </w:rPr>
            </w:pPr>
          </w:p>
          <w:p w14:paraId="65A11669" w14:textId="77777777" w:rsidR="00E338A0" w:rsidRPr="00E338A0" w:rsidRDefault="00E338A0" w:rsidP="00E338A0">
            <w:pPr>
              <w:autoSpaceDE w:val="0"/>
              <w:autoSpaceDN w:val="0"/>
              <w:adjustRightInd w:val="0"/>
              <w:spacing w:after="0" w:line="240" w:lineRule="auto"/>
              <w:ind w:right="238" w:firstLine="477"/>
              <w:jc w:val="right"/>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Tabelul 4</w:t>
            </w:r>
          </w:p>
          <w:p w14:paraId="6FE5A2E4" w14:textId="77777777" w:rsidR="00E338A0" w:rsidRPr="00E338A0" w:rsidRDefault="00E338A0" w:rsidP="00E338A0">
            <w:pPr>
              <w:autoSpaceDE w:val="0"/>
              <w:autoSpaceDN w:val="0"/>
              <w:adjustRightInd w:val="0"/>
              <w:spacing w:after="0" w:line="240" w:lineRule="auto"/>
              <w:ind w:firstLine="477"/>
              <w:jc w:val="center"/>
              <w:rPr>
                <w:rFonts w:ascii="Times New Roman" w:eastAsia="Calibri" w:hAnsi="Times New Roman" w:cs="Times New Roman"/>
                <w:sz w:val="28"/>
                <w:szCs w:val="28"/>
                <w:lang w:val="ro-RO"/>
              </w:rPr>
            </w:pPr>
            <w:r w:rsidRPr="00E338A0">
              <w:rPr>
                <w:rFonts w:ascii="Times New Roman" w:eastAsia="Calibri" w:hAnsi="Times New Roman" w:cs="Times New Roman"/>
                <w:b/>
                <w:bCs/>
                <w:sz w:val="28"/>
                <w:szCs w:val="28"/>
                <w:lang w:val="ro-RO"/>
              </w:rPr>
              <w:t>Volumul de gaze naturale furnizate consumatorilor finali</w:t>
            </w:r>
          </w:p>
          <w:p w14:paraId="57A7027B" w14:textId="77777777" w:rsidR="00E338A0" w:rsidRPr="00E338A0" w:rsidRDefault="00E338A0" w:rsidP="00E338A0">
            <w:pPr>
              <w:ind w:firstLine="477"/>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(pentru perioada 2016 - 2020)</w:t>
            </w:r>
          </w:p>
          <w:tbl>
            <w:tblPr>
              <w:tblStyle w:val="TableGrid"/>
              <w:tblW w:w="9303" w:type="dxa"/>
              <w:tblInd w:w="97" w:type="dxa"/>
              <w:tblLayout w:type="fixed"/>
              <w:tblLook w:val="04A0" w:firstRow="1" w:lastRow="0" w:firstColumn="1" w:lastColumn="0" w:noHBand="0" w:noVBand="1"/>
            </w:tblPr>
            <w:tblGrid>
              <w:gridCol w:w="3453"/>
              <w:gridCol w:w="2970"/>
              <w:gridCol w:w="2880"/>
            </w:tblGrid>
            <w:tr w:rsidR="00E338A0" w:rsidRPr="00E338A0" w14:paraId="072971F7" w14:textId="77777777" w:rsidTr="008C2C82">
              <w:tc>
                <w:tcPr>
                  <w:tcW w:w="3453" w:type="dxa"/>
                </w:tcPr>
                <w:p w14:paraId="3D171A0D"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Serviciul de gaze furnizate</w:t>
                  </w:r>
                </w:p>
              </w:tc>
              <w:tc>
                <w:tcPr>
                  <w:tcW w:w="2970" w:type="dxa"/>
                </w:tcPr>
                <w:p w14:paraId="3A4F37BE"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Total</w:t>
                  </w:r>
                </w:p>
              </w:tc>
              <w:tc>
                <w:tcPr>
                  <w:tcW w:w="2880" w:type="dxa"/>
                </w:tcPr>
                <w:p w14:paraId="0C1A57C2" w14:textId="77777777" w:rsidR="00E338A0" w:rsidRPr="00E338A0" w:rsidRDefault="00E338A0" w:rsidP="00E338A0">
                  <w:pPr>
                    <w:ind w:hanging="7"/>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Inclusiv</w:t>
                  </w:r>
                </w:p>
                <w:p w14:paraId="69A557E2" w14:textId="77777777" w:rsidR="00E338A0" w:rsidRPr="00E338A0" w:rsidRDefault="00E338A0" w:rsidP="00E338A0">
                  <w:pPr>
                    <w:autoSpaceDE w:val="0"/>
                    <w:autoSpaceDN w:val="0"/>
                    <w:adjustRightInd w:val="0"/>
                    <w:ind w:right="238"/>
                    <w:jc w:val="center"/>
                    <w:rPr>
                      <w:rFonts w:ascii="Times New Roman" w:eastAsia="Calibri" w:hAnsi="Times New Roman" w:cs="Times New Roman"/>
                      <w:b/>
                      <w:sz w:val="28"/>
                      <w:szCs w:val="28"/>
                      <w:lang w:val="ro-RO"/>
                    </w:rPr>
                  </w:pPr>
                  <w:r w:rsidRPr="00E338A0">
                    <w:rPr>
                      <w:rFonts w:ascii="Times New Roman" w:eastAsia="Calibri" w:hAnsi="Times New Roman" w:cs="Times New Roman"/>
                      <w:b/>
                      <w:sz w:val="28"/>
                      <w:szCs w:val="28"/>
                      <w:lang w:val="ro-RO"/>
                    </w:rPr>
                    <w:t>casnici</w:t>
                  </w:r>
                </w:p>
              </w:tc>
            </w:tr>
            <w:tr w:rsidR="00E338A0" w:rsidRPr="00E338A0" w14:paraId="380AC62A" w14:textId="77777777" w:rsidTr="008C2C82">
              <w:tc>
                <w:tcPr>
                  <w:tcW w:w="3453" w:type="dxa"/>
                </w:tcPr>
                <w:p w14:paraId="5C05C3AE"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2020</w:t>
                  </w:r>
                </w:p>
              </w:tc>
              <w:tc>
                <w:tcPr>
                  <w:tcW w:w="2970" w:type="dxa"/>
                </w:tcPr>
                <w:tbl>
                  <w:tblPr>
                    <w:tblW w:w="0" w:type="auto"/>
                    <w:tblBorders>
                      <w:top w:val="nil"/>
                      <w:left w:val="nil"/>
                      <w:bottom w:val="nil"/>
                      <w:right w:val="nil"/>
                    </w:tblBorders>
                    <w:tblLayout w:type="fixed"/>
                    <w:tblLook w:val="0000" w:firstRow="0" w:lastRow="0" w:firstColumn="0" w:lastColumn="0" w:noHBand="0" w:noVBand="0"/>
                  </w:tblPr>
                  <w:tblGrid>
                    <w:gridCol w:w="2592"/>
                  </w:tblGrid>
                  <w:tr w:rsidR="00E338A0" w:rsidRPr="00E338A0" w14:paraId="40D4D641" w14:textId="77777777" w:rsidTr="008C2C82">
                    <w:trPr>
                      <w:trHeight w:val="100"/>
                    </w:trPr>
                    <w:tc>
                      <w:tcPr>
                        <w:tcW w:w="2592" w:type="dxa"/>
                      </w:tcPr>
                      <w:p w14:paraId="6430D7D4" w14:textId="77777777" w:rsidR="00E338A0" w:rsidRPr="00E338A0" w:rsidRDefault="00E338A0" w:rsidP="00E338A0">
                        <w:pPr>
                          <w:autoSpaceDE w:val="0"/>
                          <w:autoSpaceDN w:val="0"/>
                          <w:adjustRightInd w:val="0"/>
                          <w:spacing w:after="0" w:line="240" w:lineRule="auto"/>
                          <w:ind w:left="-123"/>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640282,4</w:t>
                        </w:r>
                      </w:p>
                    </w:tc>
                  </w:tr>
                </w:tbl>
                <w:p w14:paraId="402C4737" w14:textId="77777777" w:rsidR="00E338A0" w:rsidRPr="00E338A0" w:rsidRDefault="00E338A0" w:rsidP="00E338A0">
                  <w:pPr>
                    <w:autoSpaceDE w:val="0"/>
                    <w:autoSpaceDN w:val="0"/>
                    <w:adjustRightInd w:val="0"/>
                    <w:jc w:val="center"/>
                    <w:rPr>
                      <w:rFonts w:ascii="Times New Roman" w:eastAsia="Calibri" w:hAnsi="Times New Roman" w:cs="Times New Roman"/>
                      <w:sz w:val="28"/>
                      <w:szCs w:val="28"/>
                      <w:lang w:val="ro-RO"/>
                    </w:rPr>
                  </w:pPr>
                </w:p>
              </w:tc>
              <w:tc>
                <w:tcPr>
                  <w:tcW w:w="2880" w:type="dxa"/>
                </w:tcPr>
                <w:tbl>
                  <w:tblPr>
                    <w:tblW w:w="0" w:type="auto"/>
                    <w:tblBorders>
                      <w:top w:val="nil"/>
                      <w:left w:val="nil"/>
                      <w:bottom w:val="nil"/>
                      <w:right w:val="nil"/>
                    </w:tblBorders>
                    <w:tblLayout w:type="fixed"/>
                    <w:tblLook w:val="0000" w:firstRow="0" w:lastRow="0" w:firstColumn="0" w:lastColumn="0" w:noHBand="0" w:noVBand="0"/>
                  </w:tblPr>
                  <w:tblGrid>
                    <w:gridCol w:w="2502"/>
                  </w:tblGrid>
                  <w:tr w:rsidR="00E338A0" w:rsidRPr="00E338A0" w14:paraId="2103B1BA" w14:textId="77777777" w:rsidTr="008C2C82">
                    <w:trPr>
                      <w:trHeight w:val="100"/>
                    </w:trPr>
                    <w:tc>
                      <w:tcPr>
                        <w:tcW w:w="2502" w:type="dxa"/>
                      </w:tcPr>
                      <w:p w14:paraId="7DB4ED62" w14:textId="77777777" w:rsidR="00E338A0" w:rsidRPr="00E338A0" w:rsidRDefault="00E338A0" w:rsidP="00E338A0">
                        <w:pPr>
                          <w:autoSpaceDE w:val="0"/>
                          <w:autoSpaceDN w:val="0"/>
                          <w:adjustRightInd w:val="0"/>
                          <w:spacing w:after="0" w:line="240" w:lineRule="auto"/>
                          <w:ind w:left="-74" w:right="-114" w:firstLine="218"/>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238248,9</w:t>
                        </w:r>
                      </w:p>
                    </w:tc>
                  </w:tr>
                </w:tbl>
                <w:p w14:paraId="25C6006B" w14:textId="77777777" w:rsidR="00E338A0" w:rsidRPr="00E338A0" w:rsidRDefault="00E338A0" w:rsidP="00E338A0">
                  <w:pPr>
                    <w:autoSpaceDE w:val="0"/>
                    <w:autoSpaceDN w:val="0"/>
                    <w:adjustRightInd w:val="0"/>
                    <w:ind w:firstLine="236"/>
                    <w:jc w:val="center"/>
                    <w:rPr>
                      <w:rFonts w:ascii="Times New Roman" w:eastAsia="Calibri" w:hAnsi="Times New Roman" w:cs="Times New Roman"/>
                      <w:sz w:val="28"/>
                      <w:szCs w:val="28"/>
                      <w:lang w:val="ro-RO"/>
                    </w:rPr>
                  </w:pPr>
                </w:p>
              </w:tc>
            </w:tr>
            <w:tr w:rsidR="00E338A0" w:rsidRPr="00E338A0" w14:paraId="7F1E0F7B" w14:textId="77777777" w:rsidTr="008C2C82">
              <w:tc>
                <w:tcPr>
                  <w:tcW w:w="3453" w:type="dxa"/>
                </w:tcPr>
                <w:p w14:paraId="10610311"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2019</w:t>
                  </w:r>
                </w:p>
              </w:tc>
              <w:tc>
                <w:tcPr>
                  <w:tcW w:w="2970" w:type="dxa"/>
                </w:tcPr>
                <w:tbl>
                  <w:tblPr>
                    <w:tblW w:w="2592" w:type="dxa"/>
                    <w:tblBorders>
                      <w:top w:val="nil"/>
                      <w:left w:val="nil"/>
                      <w:bottom w:val="nil"/>
                      <w:right w:val="nil"/>
                    </w:tblBorders>
                    <w:tblLayout w:type="fixed"/>
                    <w:tblLook w:val="0000" w:firstRow="0" w:lastRow="0" w:firstColumn="0" w:lastColumn="0" w:noHBand="0" w:noVBand="0"/>
                  </w:tblPr>
                  <w:tblGrid>
                    <w:gridCol w:w="2592"/>
                  </w:tblGrid>
                  <w:tr w:rsidR="00E338A0" w:rsidRPr="00E338A0" w14:paraId="6AF07BE6" w14:textId="77777777" w:rsidTr="008C2C82">
                    <w:trPr>
                      <w:trHeight w:val="100"/>
                    </w:trPr>
                    <w:tc>
                      <w:tcPr>
                        <w:tcW w:w="2592" w:type="dxa"/>
                      </w:tcPr>
                      <w:p w14:paraId="74BF536D" w14:textId="77777777" w:rsidR="00E338A0" w:rsidRPr="00E338A0" w:rsidRDefault="00E338A0" w:rsidP="00E338A0">
                        <w:pPr>
                          <w:autoSpaceDE w:val="0"/>
                          <w:autoSpaceDN w:val="0"/>
                          <w:adjustRightInd w:val="0"/>
                          <w:spacing w:after="0" w:line="240" w:lineRule="auto"/>
                          <w:ind w:left="-74" w:right="-24"/>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1015615,4</w:t>
                        </w:r>
                      </w:p>
                    </w:tc>
                  </w:tr>
                </w:tbl>
                <w:p w14:paraId="26CE17C6" w14:textId="77777777" w:rsidR="00E338A0" w:rsidRPr="00E338A0" w:rsidRDefault="00E338A0" w:rsidP="00E338A0">
                  <w:pPr>
                    <w:jc w:val="center"/>
                    <w:rPr>
                      <w:rFonts w:ascii="Times New Roman" w:eastAsia="Calibri" w:hAnsi="Times New Roman" w:cs="Times New Roman"/>
                      <w:sz w:val="28"/>
                      <w:szCs w:val="28"/>
                      <w:lang w:val="ro-RO"/>
                    </w:rPr>
                  </w:pPr>
                </w:p>
              </w:tc>
              <w:tc>
                <w:tcPr>
                  <w:tcW w:w="2880" w:type="dxa"/>
                </w:tcPr>
                <w:tbl>
                  <w:tblPr>
                    <w:tblW w:w="0" w:type="auto"/>
                    <w:tblBorders>
                      <w:top w:val="nil"/>
                      <w:left w:val="nil"/>
                      <w:bottom w:val="nil"/>
                      <w:right w:val="nil"/>
                    </w:tblBorders>
                    <w:tblLayout w:type="fixed"/>
                    <w:tblLook w:val="0000" w:firstRow="0" w:lastRow="0" w:firstColumn="0" w:lastColumn="0" w:noHBand="0" w:noVBand="0"/>
                  </w:tblPr>
                  <w:tblGrid>
                    <w:gridCol w:w="2502"/>
                  </w:tblGrid>
                  <w:tr w:rsidR="00E338A0" w:rsidRPr="00E338A0" w14:paraId="0E0C5AF0" w14:textId="77777777" w:rsidTr="008C2C82">
                    <w:trPr>
                      <w:trHeight w:val="100"/>
                    </w:trPr>
                    <w:tc>
                      <w:tcPr>
                        <w:tcW w:w="2502" w:type="dxa"/>
                      </w:tcPr>
                      <w:p w14:paraId="4B72CC17" w14:textId="77777777" w:rsidR="00E338A0" w:rsidRPr="00E338A0" w:rsidRDefault="00E338A0" w:rsidP="00E338A0">
                        <w:pPr>
                          <w:tabs>
                            <w:tab w:val="left" w:pos="559"/>
                          </w:tabs>
                          <w:autoSpaceDE w:val="0"/>
                          <w:autoSpaceDN w:val="0"/>
                          <w:adjustRightInd w:val="0"/>
                          <w:spacing w:after="0" w:line="240" w:lineRule="auto"/>
                          <w:ind w:left="-134" w:right="-26" w:firstLine="236"/>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347858,0</w:t>
                        </w:r>
                      </w:p>
                    </w:tc>
                  </w:tr>
                </w:tbl>
                <w:p w14:paraId="0B094EBB" w14:textId="77777777" w:rsidR="00E338A0" w:rsidRPr="00E338A0" w:rsidRDefault="00E338A0" w:rsidP="00E338A0">
                  <w:pPr>
                    <w:ind w:firstLine="236"/>
                    <w:jc w:val="center"/>
                    <w:rPr>
                      <w:rFonts w:ascii="Times New Roman" w:eastAsia="Calibri" w:hAnsi="Times New Roman" w:cs="Times New Roman"/>
                      <w:sz w:val="28"/>
                      <w:szCs w:val="28"/>
                      <w:lang w:val="ro-RO"/>
                    </w:rPr>
                  </w:pPr>
                </w:p>
              </w:tc>
            </w:tr>
            <w:tr w:rsidR="00E338A0" w:rsidRPr="00E338A0" w14:paraId="318D50F8" w14:textId="77777777" w:rsidTr="008C2C82">
              <w:tc>
                <w:tcPr>
                  <w:tcW w:w="3453" w:type="dxa"/>
                </w:tcPr>
                <w:p w14:paraId="3F44E0B0"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2018</w:t>
                  </w:r>
                </w:p>
              </w:tc>
              <w:tc>
                <w:tcPr>
                  <w:tcW w:w="2970" w:type="dxa"/>
                </w:tcPr>
                <w:tbl>
                  <w:tblPr>
                    <w:tblW w:w="0" w:type="auto"/>
                    <w:tblBorders>
                      <w:top w:val="nil"/>
                      <w:left w:val="nil"/>
                      <w:bottom w:val="nil"/>
                      <w:right w:val="nil"/>
                    </w:tblBorders>
                    <w:tblLayout w:type="fixed"/>
                    <w:tblLook w:val="0000" w:firstRow="0" w:lastRow="0" w:firstColumn="0" w:lastColumn="0" w:noHBand="0" w:noVBand="0"/>
                  </w:tblPr>
                  <w:tblGrid>
                    <w:gridCol w:w="2592"/>
                  </w:tblGrid>
                  <w:tr w:rsidR="00E338A0" w:rsidRPr="00E338A0" w14:paraId="70A7C0B9" w14:textId="77777777" w:rsidTr="008C2C82">
                    <w:trPr>
                      <w:trHeight w:val="100"/>
                    </w:trPr>
                    <w:tc>
                      <w:tcPr>
                        <w:tcW w:w="2592" w:type="dxa"/>
                      </w:tcPr>
                      <w:p w14:paraId="506C9548" w14:textId="77777777" w:rsidR="00E338A0" w:rsidRPr="00E338A0" w:rsidRDefault="00E338A0" w:rsidP="00E338A0">
                        <w:pPr>
                          <w:autoSpaceDE w:val="0"/>
                          <w:autoSpaceDN w:val="0"/>
                          <w:adjustRightInd w:val="0"/>
                          <w:spacing w:after="0" w:line="240" w:lineRule="auto"/>
                          <w:ind w:left="-74" w:right="-116"/>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1069470,9</w:t>
                        </w:r>
                      </w:p>
                    </w:tc>
                  </w:tr>
                </w:tbl>
                <w:p w14:paraId="6E9963AD" w14:textId="77777777" w:rsidR="00E338A0" w:rsidRPr="00E338A0" w:rsidRDefault="00E338A0" w:rsidP="00E338A0">
                  <w:pPr>
                    <w:jc w:val="center"/>
                    <w:rPr>
                      <w:rFonts w:ascii="Times New Roman" w:eastAsia="Calibri" w:hAnsi="Times New Roman" w:cs="Times New Roman"/>
                      <w:sz w:val="28"/>
                      <w:szCs w:val="28"/>
                      <w:lang w:val="ro-RO"/>
                    </w:rPr>
                  </w:pPr>
                </w:p>
              </w:tc>
              <w:tc>
                <w:tcPr>
                  <w:tcW w:w="2880" w:type="dxa"/>
                </w:tcPr>
                <w:p w14:paraId="0D91E866" w14:textId="77777777" w:rsidR="00E338A0" w:rsidRPr="00E338A0" w:rsidRDefault="00E338A0" w:rsidP="00E338A0">
                  <w:pPr>
                    <w:autoSpaceDE w:val="0"/>
                    <w:autoSpaceDN w:val="0"/>
                    <w:adjustRightInd w:val="0"/>
                    <w:ind w:firstLine="236"/>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346357,2</w:t>
                  </w:r>
                </w:p>
              </w:tc>
            </w:tr>
            <w:tr w:rsidR="00E338A0" w:rsidRPr="00E338A0" w14:paraId="4C87A0FB" w14:textId="77777777" w:rsidTr="008C2C82">
              <w:tc>
                <w:tcPr>
                  <w:tcW w:w="3453" w:type="dxa"/>
                </w:tcPr>
                <w:p w14:paraId="1568119D"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2017</w:t>
                  </w:r>
                </w:p>
              </w:tc>
              <w:tc>
                <w:tcPr>
                  <w:tcW w:w="2970" w:type="dxa"/>
                </w:tcPr>
                <w:p w14:paraId="54786D81" w14:textId="77777777" w:rsidR="00E338A0" w:rsidRPr="00E338A0" w:rsidRDefault="00E338A0" w:rsidP="00E338A0">
                  <w:pPr>
                    <w:autoSpaceDE w:val="0"/>
                    <w:autoSpaceDN w:val="0"/>
                    <w:adjustRightInd w:val="0"/>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938421,1</w:t>
                  </w:r>
                </w:p>
              </w:tc>
              <w:tc>
                <w:tcPr>
                  <w:tcW w:w="2880" w:type="dxa"/>
                </w:tcPr>
                <w:p w14:paraId="2B0DD3EB" w14:textId="77777777" w:rsidR="00E338A0" w:rsidRPr="00E338A0" w:rsidRDefault="00E338A0" w:rsidP="00E338A0">
                  <w:pPr>
                    <w:autoSpaceDE w:val="0"/>
                    <w:autoSpaceDN w:val="0"/>
                    <w:adjustRightInd w:val="0"/>
                    <w:ind w:firstLine="236"/>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302777,6</w:t>
                  </w:r>
                </w:p>
              </w:tc>
            </w:tr>
            <w:tr w:rsidR="00E338A0" w:rsidRPr="00E338A0" w14:paraId="1BAD35A4" w14:textId="77777777" w:rsidTr="008C2C82">
              <w:tc>
                <w:tcPr>
                  <w:tcW w:w="3453" w:type="dxa"/>
                </w:tcPr>
                <w:p w14:paraId="0A37A962" w14:textId="77777777" w:rsidR="00E338A0" w:rsidRPr="00E338A0" w:rsidRDefault="00E338A0" w:rsidP="00E338A0">
                  <w:pPr>
                    <w:autoSpaceDE w:val="0"/>
                    <w:autoSpaceDN w:val="0"/>
                    <w:adjustRightInd w:val="0"/>
                    <w:ind w:right="238"/>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2016</w:t>
                  </w:r>
                </w:p>
              </w:tc>
              <w:tc>
                <w:tcPr>
                  <w:tcW w:w="2970" w:type="dxa"/>
                </w:tcPr>
                <w:p w14:paraId="1469D32B" w14:textId="77777777" w:rsidR="00E338A0" w:rsidRPr="00E338A0" w:rsidRDefault="00E338A0" w:rsidP="00E338A0">
                  <w:pPr>
                    <w:autoSpaceDE w:val="0"/>
                    <w:autoSpaceDN w:val="0"/>
                    <w:adjustRightInd w:val="0"/>
                    <w:ind w:right="-108"/>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938453,1</w:t>
                  </w:r>
                </w:p>
              </w:tc>
              <w:tc>
                <w:tcPr>
                  <w:tcW w:w="2880" w:type="dxa"/>
                </w:tcPr>
                <w:tbl>
                  <w:tblPr>
                    <w:tblW w:w="2502" w:type="dxa"/>
                    <w:tblBorders>
                      <w:top w:val="nil"/>
                      <w:left w:val="nil"/>
                      <w:bottom w:val="nil"/>
                      <w:right w:val="nil"/>
                    </w:tblBorders>
                    <w:tblLayout w:type="fixed"/>
                    <w:tblLook w:val="0000" w:firstRow="0" w:lastRow="0" w:firstColumn="0" w:lastColumn="0" w:noHBand="0" w:noVBand="0"/>
                  </w:tblPr>
                  <w:tblGrid>
                    <w:gridCol w:w="2502"/>
                  </w:tblGrid>
                  <w:tr w:rsidR="00E338A0" w:rsidRPr="00E338A0" w14:paraId="613AA065" w14:textId="77777777" w:rsidTr="008C2C82">
                    <w:trPr>
                      <w:trHeight w:val="100"/>
                    </w:trPr>
                    <w:tc>
                      <w:tcPr>
                        <w:tcW w:w="2502" w:type="dxa"/>
                      </w:tcPr>
                      <w:p w14:paraId="3AD6E5CC" w14:textId="77777777" w:rsidR="00E338A0" w:rsidRPr="00E338A0" w:rsidRDefault="00E338A0" w:rsidP="00E338A0">
                        <w:pPr>
                          <w:autoSpaceDE w:val="0"/>
                          <w:autoSpaceDN w:val="0"/>
                          <w:adjustRightInd w:val="0"/>
                          <w:spacing w:after="0" w:line="240" w:lineRule="auto"/>
                          <w:ind w:firstLine="144"/>
                          <w:jc w:val="center"/>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285295,9</w:t>
                        </w:r>
                      </w:p>
                    </w:tc>
                  </w:tr>
                </w:tbl>
                <w:p w14:paraId="21282201" w14:textId="77777777" w:rsidR="00E338A0" w:rsidRPr="00E338A0" w:rsidRDefault="00E338A0" w:rsidP="00E338A0">
                  <w:pPr>
                    <w:ind w:firstLine="236"/>
                    <w:jc w:val="center"/>
                    <w:rPr>
                      <w:rFonts w:ascii="Times New Roman" w:eastAsia="Calibri" w:hAnsi="Times New Roman" w:cs="Times New Roman"/>
                      <w:sz w:val="28"/>
                      <w:szCs w:val="28"/>
                      <w:lang w:val="ro-RO"/>
                    </w:rPr>
                  </w:pPr>
                </w:p>
              </w:tc>
            </w:tr>
          </w:tbl>
          <w:p w14:paraId="5EEF8DAC" w14:textId="77777777" w:rsidR="00E338A0" w:rsidRPr="00E338A0" w:rsidRDefault="00E338A0" w:rsidP="00E338A0">
            <w:pPr>
              <w:autoSpaceDE w:val="0"/>
              <w:autoSpaceDN w:val="0"/>
              <w:adjustRightInd w:val="0"/>
              <w:spacing w:after="0" w:line="240" w:lineRule="auto"/>
              <w:ind w:firstLine="477"/>
              <w:jc w:val="both"/>
              <w:rPr>
                <w:rFonts w:ascii="Times New Roman" w:eastAsia="Calibri" w:hAnsi="Times New Roman" w:cs="Times New Roman"/>
                <w:sz w:val="10"/>
                <w:szCs w:val="10"/>
                <w:lang w:val="ro-RO"/>
              </w:rPr>
            </w:pPr>
          </w:p>
          <w:p w14:paraId="271AE90F" w14:textId="77777777" w:rsidR="00E338A0" w:rsidRPr="00E338A0" w:rsidRDefault="00E338A0" w:rsidP="00E338A0">
            <w:pPr>
              <w:autoSpaceDE w:val="0"/>
              <w:autoSpaceDN w:val="0"/>
              <w:adjustRightInd w:val="0"/>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Scăderea volumului de gaze naturale furnizate consumatorilor finali pentru anul 2020 a fost condiționat de situația pandemică din țară, precum și condițiile climaterice, sezonul de iarnă 2020, fiind anomal de cald în comparație cu anii precedenți, datele despre starea vremii fiind indicate de către </w:t>
            </w:r>
            <w:r w:rsidRPr="00E338A0">
              <w:rPr>
                <w:rFonts w:ascii="Times New Roman" w:eastAsia="Calibri" w:hAnsi="Times New Roman" w:cs="Times New Roman"/>
                <w:i/>
                <w:sz w:val="28"/>
                <w:szCs w:val="28"/>
                <w:lang w:val="ro-RO"/>
              </w:rPr>
              <w:t>Serviciului Hidrometeorologic</w:t>
            </w:r>
            <w:r w:rsidRPr="00E338A0">
              <w:rPr>
                <w:rFonts w:ascii="Times New Roman" w:eastAsia="Calibri" w:hAnsi="Times New Roman" w:cs="Times New Roman"/>
                <w:sz w:val="28"/>
                <w:szCs w:val="28"/>
                <w:lang w:val="ro-RO"/>
              </w:rPr>
              <w:t xml:space="preserve"> de Stat în ”Caracterizarea condiţiilor meteorologice şi agrometeorologice din anul 2020</w:t>
            </w:r>
            <w:r w:rsidRPr="00E338A0">
              <w:rPr>
                <w:rFonts w:ascii="Times New Roman" w:eastAsia="Calibri" w:hAnsi="Times New Roman" w:cs="Times New Roman"/>
                <w:i/>
                <w:sz w:val="28"/>
                <w:szCs w:val="28"/>
                <w:lang w:val="ro-RO"/>
              </w:rPr>
              <w:t xml:space="preserve">” (link-ul </w:t>
            </w:r>
            <w:hyperlink r:id="rId12" w:history="1">
              <w:r w:rsidRPr="00E338A0">
                <w:rPr>
                  <w:rFonts w:ascii="Times New Roman" w:eastAsia="Calibri" w:hAnsi="Times New Roman" w:cs="Times New Roman"/>
                  <w:i/>
                  <w:sz w:val="28"/>
                  <w:szCs w:val="28"/>
                  <w:u w:val="single"/>
                  <w:lang w:val="ro-RO"/>
                </w:rPr>
                <w:t>http://www.meteo.md/images/uploads/clima/2020_ro.pdf</w:t>
              </w:r>
            </w:hyperlink>
            <w:r w:rsidRPr="00E338A0">
              <w:rPr>
                <w:rFonts w:ascii="Times New Roman" w:eastAsia="Calibri" w:hAnsi="Times New Roman" w:cs="Times New Roman"/>
                <w:i/>
                <w:sz w:val="28"/>
                <w:szCs w:val="28"/>
                <w:lang w:val="ro-RO"/>
              </w:rPr>
              <w:t>)</w:t>
            </w:r>
          </w:p>
          <w:p w14:paraId="4E6BBBAA"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Conform Registrului organismelor de evaluare a conformității și Registrului organismelor de evaluare a conformității recunoscute, publicate pe pagina oficială a Centrului Național de Acreditare MOLDAC, în Republica Moldova există un singur organism de certificare a produselor acreditat și recunoscut pentru desfășurarea procedurilor de evaluare conformității (modulelor) în corespundere cu prevederile Hotărîrii Guvernului nr. 1329/2016 (</w:t>
            </w:r>
            <w:r w:rsidRPr="00E338A0">
              <w:rPr>
                <w:rFonts w:ascii="Times New Roman" w:eastAsia="Times New Roman" w:hAnsi="Times New Roman" w:cs="Times New Roman"/>
                <w:bCs/>
                <w:i/>
                <w:sz w:val="28"/>
                <w:szCs w:val="28"/>
                <w:lang w:val="ro-RO" w:eastAsia="en-GB"/>
              </w:rPr>
              <w:t>link-ul:</w:t>
            </w:r>
            <w:r w:rsidRPr="00E338A0">
              <w:rPr>
                <w:rFonts w:ascii="Times New Roman" w:eastAsia="Times New Roman" w:hAnsi="Times New Roman" w:cs="Times New Roman"/>
                <w:b/>
                <w:bCs/>
                <w:i/>
                <w:sz w:val="28"/>
                <w:szCs w:val="28"/>
                <w:lang w:val="ro-RO" w:eastAsia="en-GB"/>
              </w:rPr>
              <w:t xml:space="preserve"> </w:t>
            </w:r>
            <w:hyperlink r:id="rId13" w:history="1">
              <w:r w:rsidRPr="00E338A0">
                <w:rPr>
                  <w:rFonts w:ascii="Times New Roman" w:eastAsia="Times New Roman" w:hAnsi="Times New Roman" w:cs="Times New Roman"/>
                  <w:bCs/>
                  <w:i/>
                  <w:sz w:val="28"/>
                  <w:szCs w:val="28"/>
                  <w:u w:val="single"/>
                  <w:lang w:val="ro-RO" w:eastAsia="en-GB"/>
                </w:rPr>
                <w:t>https://acreditare.md/registre/#</w:t>
              </w:r>
            </w:hyperlink>
            <w:r w:rsidRPr="00E338A0">
              <w:rPr>
                <w:rFonts w:ascii="Times New Roman" w:eastAsia="Times New Roman" w:hAnsi="Times New Roman" w:cs="Times New Roman"/>
                <w:bCs/>
                <w:sz w:val="28"/>
                <w:szCs w:val="28"/>
                <w:lang w:val="ro-RO" w:eastAsia="en-GB"/>
              </w:rPr>
              <w:t>) - Organism de certificare produse din cadrul Centrului Tehnic pentru Securitate Industrială și Certificare SRL (</w:t>
            </w:r>
            <w:r w:rsidRPr="00E338A0">
              <w:rPr>
                <w:rFonts w:ascii="Times New Roman" w:eastAsia="Times New Roman" w:hAnsi="Times New Roman" w:cs="Times New Roman"/>
                <w:bCs/>
                <w:i/>
                <w:sz w:val="28"/>
                <w:szCs w:val="28"/>
                <w:lang w:val="ro-RO" w:eastAsia="en-GB"/>
              </w:rPr>
              <w:t>în continuare - OC CTSIC</w:t>
            </w:r>
            <w:r w:rsidRPr="00E338A0">
              <w:rPr>
                <w:rFonts w:ascii="Times New Roman" w:eastAsia="Times New Roman" w:hAnsi="Times New Roman" w:cs="Times New Roman"/>
                <w:bCs/>
                <w:sz w:val="28"/>
                <w:szCs w:val="28"/>
                <w:lang w:val="ro-RO" w:eastAsia="en-GB"/>
              </w:rPr>
              <w:t>).</w:t>
            </w:r>
          </w:p>
          <w:p w14:paraId="160B5315"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shd w:val="clear" w:color="auto" w:fill="FFFFFF"/>
                <w:lang w:val="ro-RO"/>
              </w:rPr>
            </w:pPr>
            <w:r w:rsidRPr="00E338A0">
              <w:rPr>
                <w:rFonts w:ascii="Times New Roman" w:eastAsia="Calibri" w:hAnsi="Times New Roman" w:cs="Times New Roman"/>
                <w:sz w:val="28"/>
                <w:szCs w:val="28"/>
                <w:lang w:val="ro-RO"/>
              </w:rPr>
              <w:t>OC CTSIC este acreditat în conformitate cu cerințele standardului de referință SM SR EN ISO/IEC 17065 ”Evaluarea conformităţii. Cerinţe pentru organismele care certifică produse, procese şi servicii” și recunoscut de către Ministerul Economiei și Infrastructurii (Ordinul nr. 87 din 02.06.2017). Potrivit prevederilor art. 14</w:t>
            </w:r>
            <w:r w:rsidRPr="00E338A0">
              <w:rPr>
                <w:rFonts w:ascii="Times New Roman" w:eastAsia="Calibri" w:hAnsi="Times New Roman" w:cs="Times New Roman"/>
                <w:sz w:val="28"/>
                <w:szCs w:val="28"/>
                <w:vertAlign w:val="superscript"/>
                <w:lang w:val="ro-RO"/>
              </w:rPr>
              <w:t>1</w:t>
            </w:r>
            <w:r w:rsidRPr="00E338A0">
              <w:rPr>
                <w:rFonts w:ascii="Times New Roman" w:eastAsia="Calibri" w:hAnsi="Times New Roman" w:cs="Times New Roman"/>
                <w:sz w:val="28"/>
                <w:szCs w:val="28"/>
                <w:lang w:val="ro-RO"/>
              </w:rPr>
              <w:t xml:space="preserve"> din Legea 235/2011 OC CTSIC prezintă anual către Ministerul Economiei și Infrastructurii, în calitate de autoritate de recunoaștere în vederea notificări, </w:t>
            </w:r>
            <w:r w:rsidRPr="00E338A0">
              <w:rPr>
                <w:rFonts w:ascii="Times New Roman" w:eastAsia="Calibri" w:hAnsi="Times New Roman" w:cs="Times New Roman"/>
                <w:sz w:val="28"/>
                <w:szCs w:val="28"/>
                <w:shd w:val="clear" w:color="auto" w:fill="FFFFFF"/>
                <w:lang w:val="ro-RO"/>
              </w:rPr>
              <w:t xml:space="preserve">raportul care conţine informaţii privind: activităţile de evaluare a conformităţii, realizate, informații privind certificatele de conformitate emise, dificultăţile întîmpinate în realizarea activităţilor și măsurile întreprinse, precum și solicitările din partea autorităţii de supraveghere a pieţei referitoare la desfăşurarea activităţilor de evaluare a conformităţii. </w:t>
            </w:r>
          </w:p>
          <w:p w14:paraId="4B7F1CCD"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shd w:val="clear" w:color="auto" w:fill="FFFFFF"/>
                <w:lang w:val="ro-RO"/>
              </w:rPr>
              <w:t>Astfel, potrivit Raportului pentru anul 2020, prezentat de OC CTSIC pe parcursul anului 2020 au fost eliberate 70 de certificate de conformitate pentru aparatele consumatoare de combustibili găzoși și 122 de certificate de conformitate pentru aparatele ce fac subiectul Hotărîrii Guvernului nr.1329/2016 și Hotărîrii Guvernului nr.</w:t>
            </w:r>
            <w:r w:rsidRPr="00E338A0">
              <w:rPr>
                <w:rFonts w:ascii="Times New Roman" w:eastAsia="Calibri" w:hAnsi="Times New Roman" w:cs="Times New Roman"/>
                <w:sz w:val="28"/>
                <w:szCs w:val="28"/>
                <w:lang w:val="ro-RO"/>
              </w:rPr>
              <w:t xml:space="preserve"> 428/2009 privind cerințe de randament pentru cazane noi de apă caldă </w:t>
            </w:r>
            <w:r w:rsidRPr="00E338A0">
              <w:rPr>
                <w:rFonts w:ascii="Times New Roman" w:eastAsia="Calibri" w:hAnsi="Times New Roman" w:cs="Times New Roman"/>
                <w:sz w:val="28"/>
                <w:szCs w:val="28"/>
                <w:lang w:val="ro-RO"/>
              </w:rPr>
              <w:lastRenderedPageBreak/>
              <w:t>cu combustie lichidă sau gazoasă. Principală dificultatea cu care se confruntă OC CTSIC în realizarea activităților de evaluare a conformității – lipsa în RM a laboratoarelor de încercări acreditate capabile să determină toți parametrii stabilite de standarde armonizate aplicabile pentru aparatele consumatori de combustibili gazoși. Pentru depășirea dificultății, OC CTSIC a identificat și subcontractat laboratoare de încercări acreditate în afara RM – 4 laboratoare din Ucraina.</w:t>
            </w:r>
          </w:p>
          <w:p w14:paraId="6680CBF2"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Pe parcursul anului 2020 a fost o singură solicitare către OC CTSIC referitor la certificarea aparatelor de combustibili gazoși. </w:t>
            </w:r>
          </w:p>
          <w:p w14:paraId="761CFD32" w14:textId="77777777" w:rsidR="00E338A0" w:rsidRPr="00E338A0" w:rsidRDefault="00E338A0" w:rsidP="00E338A0">
            <w:pPr>
              <w:spacing w:after="0" w:line="240" w:lineRule="auto"/>
              <w:ind w:left="97" w:right="189" w:firstLine="477"/>
              <w:jc w:val="both"/>
              <w:rPr>
                <w:rFonts w:ascii="Times New Roman" w:eastAsia="Times New Roman" w:hAnsi="Times New Roman" w:cs="Times New Roman"/>
                <w:bCs/>
                <w:sz w:val="28"/>
                <w:szCs w:val="28"/>
                <w:lang w:val="ro-RO" w:eastAsia="en-GB"/>
              </w:rPr>
            </w:pPr>
            <w:r w:rsidRPr="00E338A0">
              <w:rPr>
                <w:rFonts w:ascii="Times New Roman" w:eastAsia="Times New Roman" w:hAnsi="Times New Roman" w:cs="Times New Roman"/>
                <w:bCs/>
                <w:sz w:val="28"/>
                <w:szCs w:val="28"/>
                <w:lang w:val="ro-RO" w:eastAsia="en-GB"/>
              </w:rPr>
              <w:t>Avînd în vedere natura riscurilor implicate de utilizarea aparatelor consumatoare de combustibili gazoși urmează a fi sporită eficiența supravegherii pieței.</w:t>
            </w:r>
          </w:p>
          <w:p w14:paraId="512A51C9"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Potrivit Legii nr. 7/2016 autoritatea responsabilă de supravegherea pieței pentru aparatele consumatori de combustibili gazoși – Agenția pentru Protecția Consumatorilor și Supravegherea Pieței (APCSP).</w:t>
            </w:r>
          </w:p>
          <w:p w14:paraId="5F907824"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Activităţile de control se desfăşoară cu prioritate la agenţii economici ale căror produse prezintă riscuri, au prejudiciat sau ar fi putut prejudicia interesele economice ale consumatorilor, ca urmare a constatărilor proprii şi a informaţiilor provenite din mass-media sau de la alte structuri ale administraţiei publice, de la consumatori sau asociaţii ale acestora.</w:t>
            </w:r>
          </w:p>
          <w:p w14:paraId="445DDB0A"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xml:space="preserve">În ultimii ani, întru schimbarea semnificativă de abordare, APCSP pune în aplicare procesul de tranziţie de la un sistem de control la un sistem de conformare, orientat spre securitatea produselor puse la dispoziție pe piaţă. </w:t>
            </w:r>
          </w:p>
          <w:p w14:paraId="5FA8DFEE"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Analizând dinamica controalelor efectuate în anii 2017-2020 de către APCSP privind corespunderea produselor prevederilor reglementărilor tehnice în vigoare(inclusiv pe categoria aparatelor de combustibili gazoși), reflectată în Rapoartele anuale de activitate a APCSP, putem remarca, că controalele au fost în permanentă descreştere.</w:t>
            </w:r>
          </w:p>
          <w:p w14:paraId="6CA38A5F"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4"/>
                <w:szCs w:val="24"/>
                <w:lang w:val="ro-RO" w:eastAsia="ru-RU"/>
              </w:rPr>
            </w:pPr>
          </w:p>
          <w:tbl>
            <w:tblPr>
              <w:tblW w:w="931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43"/>
              <w:gridCol w:w="2160"/>
              <w:gridCol w:w="1800"/>
              <w:gridCol w:w="1771"/>
            </w:tblGrid>
            <w:tr w:rsidR="00E338A0" w:rsidRPr="00E338A0" w14:paraId="663B403F" w14:textId="77777777" w:rsidTr="008C2C82">
              <w:tc>
                <w:tcPr>
                  <w:tcW w:w="1843" w:type="dxa"/>
                </w:tcPr>
                <w:p w14:paraId="59004157" w14:textId="77777777" w:rsidR="00E338A0" w:rsidRPr="00E338A0" w:rsidRDefault="00E338A0" w:rsidP="00E338A0">
                  <w:pPr>
                    <w:ind w:right="239" w:firstLine="477"/>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w:t>
                  </w:r>
                </w:p>
              </w:tc>
              <w:tc>
                <w:tcPr>
                  <w:tcW w:w="1743" w:type="dxa"/>
                </w:tcPr>
                <w:p w14:paraId="79D796EB" w14:textId="77777777" w:rsidR="00E338A0" w:rsidRPr="00E338A0" w:rsidRDefault="00E338A0" w:rsidP="00E338A0">
                  <w:pPr>
                    <w:ind w:right="239" w:firstLine="15"/>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2017</w:t>
                  </w:r>
                </w:p>
              </w:tc>
              <w:tc>
                <w:tcPr>
                  <w:tcW w:w="2160" w:type="dxa"/>
                </w:tcPr>
                <w:p w14:paraId="5EC5C049" w14:textId="77777777" w:rsidR="00E338A0" w:rsidRPr="00E338A0" w:rsidRDefault="00E338A0" w:rsidP="00E338A0">
                  <w:pPr>
                    <w:ind w:right="34" w:firstLine="477"/>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2018</w:t>
                  </w:r>
                </w:p>
              </w:tc>
              <w:tc>
                <w:tcPr>
                  <w:tcW w:w="1800" w:type="dxa"/>
                </w:tcPr>
                <w:p w14:paraId="636EA7BB" w14:textId="77777777" w:rsidR="00E338A0" w:rsidRPr="00E338A0" w:rsidRDefault="00E338A0" w:rsidP="00E338A0">
                  <w:pPr>
                    <w:ind w:right="239" w:firstLine="34"/>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2019</w:t>
                  </w:r>
                </w:p>
              </w:tc>
              <w:tc>
                <w:tcPr>
                  <w:tcW w:w="1771" w:type="dxa"/>
                </w:tcPr>
                <w:p w14:paraId="27258A66" w14:textId="77777777" w:rsidR="00E338A0" w:rsidRPr="00E338A0" w:rsidRDefault="00E338A0" w:rsidP="00E338A0">
                  <w:pPr>
                    <w:ind w:right="239" w:firstLine="34"/>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2020</w:t>
                  </w:r>
                </w:p>
              </w:tc>
            </w:tr>
            <w:tr w:rsidR="00E338A0" w:rsidRPr="00E338A0" w14:paraId="47894908" w14:textId="77777777" w:rsidTr="008C2C82">
              <w:tc>
                <w:tcPr>
                  <w:tcW w:w="1843" w:type="dxa"/>
                </w:tcPr>
                <w:p w14:paraId="0A1C9EE3" w14:textId="77777777" w:rsidR="00E338A0" w:rsidRPr="00E338A0" w:rsidRDefault="00E338A0" w:rsidP="00E338A0">
                  <w:pPr>
                    <w:tabs>
                      <w:tab w:val="left" w:pos="1309"/>
                    </w:tabs>
                    <w:ind w:right="239" w:firstLine="34"/>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 xml:space="preserve">Numărul controalelor efectuate </w:t>
                  </w:r>
                </w:p>
              </w:tc>
              <w:tc>
                <w:tcPr>
                  <w:tcW w:w="1743" w:type="dxa"/>
                </w:tcPr>
                <w:p w14:paraId="07081075" w14:textId="77777777" w:rsidR="00E338A0" w:rsidRPr="00E338A0" w:rsidRDefault="00E338A0" w:rsidP="00E338A0">
                  <w:pPr>
                    <w:ind w:right="239" w:firstLine="15"/>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203</w:t>
                  </w:r>
                </w:p>
              </w:tc>
              <w:tc>
                <w:tcPr>
                  <w:tcW w:w="2160" w:type="dxa"/>
                </w:tcPr>
                <w:p w14:paraId="5B6C0F80" w14:textId="77777777" w:rsidR="00E338A0" w:rsidRPr="00E338A0" w:rsidRDefault="00E338A0" w:rsidP="00E338A0">
                  <w:pPr>
                    <w:ind w:firstLine="34"/>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Raportul APCSP nu conține date despre controale desfășurate, doar acțiuni ce țin de examinarea petițiilor și activități privind consultarea consumatorilor și agenților economici</w:t>
                  </w:r>
                </w:p>
              </w:tc>
              <w:tc>
                <w:tcPr>
                  <w:tcW w:w="1800" w:type="dxa"/>
                </w:tcPr>
                <w:p w14:paraId="5B9B87C7"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 xml:space="preserve">84 </w:t>
                  </w:r>
                </w:p>
              </w:tc>
              <w:tc>
                <w:tcPr>
                  <w:tcW w:w="1771" w:type="dxa"/>
                </w:tcPr>
                <w:p w14:paraId="78B4B4CE" w14:textId="77777777" w:rsidR="00E338A0" w:rsidRPr="00E338A0" w:rsidRDefault="00E338A0" w:rsidP="00E338A0">
                  <w:pPr>
                    <w:ind w:right="239" w:firstLine="13"/>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363</w:t>
                  </w:r>
                </w:p>
              </w:tc>
            </w:tr>
            <w:tr w:rsidR="00E338A0" w:rsidRPr="00E338A0" w14:paraId="405FA3E4" w14:textId="77777777" w:rsidTr="008C2C82">
              <w:tc>
                <w:tcPr>
                  <w:tcW w:w="1843" w:type="dxa"/>
                </w:tcPr>
                <w:p w14:paraId="78C39E08" w14:textId="77777777" w:rsidR="00E338A0" w:rsidRPr="00E338A0" w:rsidRDefault="00E338A0" w:rsidP="00E338A0">
                  <w:pPr>
                    <w:ind w:firstLine="34"/>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Rata neconformităților depistate</w:t>
                  </w:r>
                </w:p>
              </w:tc>
              <w:tc>
                <w:tcPr>
                  <w:tcW w:w="1743" w:type="dxa"/>
                </w:tcPr>
                <w:p w14:paraId="039288DA" w14:textId="77777777" w:rsidR="00E338A0" w:rsidRPr="00E338A0" w:rsidRDefault="00E338A0" w:rsidP="00E338A0">
                  <w:pPr>
                    <w:ind w:right="239" w:firstLine="15"/>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65%</w:t>
                  </w:r>
                </w:p>
              </w:tc>
              <w:tc>
                <w:tcPr>
                  <w:tcW w:w="2160" w:type="dxa"/>
                </w:tcPr>
                <w:p w14:paraId="2798D50F" w14:textId="77777777" w:rsidR="00E338A0" w:rsidRPr="00E338A0" w:rsidRDefault="00E338A0" w:rsidP="00E338A0">
                  <w:pPr>
                    <w:ind w:right="239" w:firstLine="477"/>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w:t>
                  </w:r>
                </w:p>
              </w:tc>
              <w:tc>
                <w:tcPr>
                  <w:tcW w:w="1800" w:type="dxa"/>
                </w:tcPr>
                <w:p w14:paraId="2D326D54"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64%</w:t>
                  </w:r>
                </w:p>
              </w:tc>
              <w:tc>
                <w:tcPr>
                  <w:tcW w:w="1771" w:type="dxa"/>
                </w:tcPr>
                <w:p w14:paraId="0298F0EF"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66%</w:t>
                  </w:r>
                </w:p>
              </w:tc>
            </w:tr>
          </w:tbl>
          <w:p w14:paraId="301F3BF8"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10"/>
                <w:szCs w:val="10"/>
                <w:lang w:val="ro-RO"/>
              </w:rPr>
            </w:pPr>
          </w:p>
          <w:p w14:paraId="394C7748"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4"/>
                <w:szCs w:val="24"/>
                <w:lang w:val="ro-RO" w:eastAsia="ru-RU"/>
              </w:rPr>
            </w:pPr>
            <w:r w:rsidRPr="00E338A0">
              <w:rPr>
                <w:rFonts w:ascii="Times New Roman" w:eastAsia="Calibri" w:hAnsi="Times New Roman" w:cs="Times New Roman"/>
                <w:sz w:val="28"/>
                <w:szCs w:val="28"/>
                <w:lang w:val="ro-RO"/>
              </w:rPr>
              <w:t xml:space="preserve">Reducerea considerabilă a numărului de controale efectuate în ultimii ani, a fost generată de moratoriul asupra controalelor de stat, instituit în a. 2016, de ultimele </w:t>
            </w:r>
            <w:r w:rsidRPr="00E338A0">
              <w:rPr>
                <w:rFonts w:ascii="Times New Roman" w:eastAsia="Calibri" w:hAnsi="Times New Roman" w:cs="Times New Roman"/>
                <w:sz w:val="28"/>
                <w:szCs w:val="28"/>
                <w:lang w:val="ro-RO"/>
              </w:rPr>
              <w:lastRenderedPageBreak/>
              <w:t>modificări ale Legii 131 din 08.06.2012 privind controlul de stat asupra activității de întreprinzător, cît și în contextul reformei instituționale a organelor cu funcții de control.</w:t>
            </w:r>
            <w:r w:rsidRPr="00E338A0">
              <w:rPr>
                <w:rFonts w:ascii="Times New Roman" w:eastAsia="Times New Roman" w:hAnsi="Times New Roman" w:cs="Times New Roman"/>
                <w:sz w:val="24"/>
                <w:szCs w:val="24"/>
                <w:lang w:val="ro-RO" w:eastAsia="ru-RU"/>
              </w:rPr>
              <w:t xml:space="preserve"> </w:t>
            </w:r>
          </w:p>
          <w:p w14:paraId="4588C4FF"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Din Rapoartele cu privire la realizarea programelor sectoriale de supraveghere a pieței pentru anii 2019- 2020 APCSP a executa următoarele:</w:t>
            </w:r>
          </w:p>
          <w:p w14:paraId="2AFA3B30"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4"/>
                <w:szCs w:val="24"/>
                <w:lang w:val="ro-RO" w:eastAsia="ru-RU"/>
              </w:rPr>
            </w:pPr>
          </w:p>
          <w:tbl>
            <w:tblPr>
              <w:tblW w:w="9317"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96"/>
              <w:gridCol w:w="3060"/>
              <w:gridCol w:w="2761"/>
            </w:tblGrid>
            <w:tr w:rsidR="00E338A0" w:rsidRPr="00E338A0" w14:paraId="6E8AFA8B" w14:textId="77777777" w:rsidTr="008C2C82">
              <w:tc>
                <w:tcPr>
                  <w:tcW w:w="3496" w:type="dxa"/>
                </w:tcPr>
                <w:p w14:paraId="5CBD5E07" w14:textId="77777777" w:rsidR="00E338A0" w:rsidRPr="00E338A0" w:rsidRDefault="00E338A0" w:rsidP="00E338A0">
                  <w:pPr>
                    <w:ind w:right="34" w:firstLine="477"/>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w:t>
                  </w:r>
                </w:p>
              </w:tc>
              <w:tc>
                <w:tcPr>
                  <w:tcW w:w="3060" w:type="dxa"/>
                </w:tcPr>
                <w:p w14:paraId="67CD1838" w14:textId="77777777" w:rsidR="00E338A0" w:rsidRPr="00E338A0" w:rsidRDefault="00E338A0" w:rsidP="00E338A0">
                  <w:pPr>
                    <w:ind w:right="239" w:firstLine="34"/>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2019</w:t>
                  </w:r>
                </w:p>
              </w:tc>
              <w:tc>
                <w:tcPr>
                  <w:tcW w:w="2761" w:type="dxa"/>
                </w:tcPr>
                <w:p w14:paraId="422708D7" w14:textId="77777777" w:rsidR="00E338A0" w:rsidRPr="00E338A0" w:rsidRDefault="00E338A0" w:rsidP="00E338A0">
                  <w:pPr>
                    <w:ind w:right="239" w:firstLine="34"/>
                    <w:jc w:val="center"/>
                    <w:rPr>
                      <w:rFonts w:ascii="Times New Roman" w:eastAsia="Calibri" w:hAnsi="Times New Roman" w:cs="Times New Roman"/>
                      <w:b/>
                      <w:sz w:val="24"/>
                      <w:szCs w:val="24"/>
                      <w:lang w:val="ro-RO" w:eastAsia="ru-RU"/>
                    </w:rPr>
                  </w:pPr>
                  <w:r w:rsidRPr="00E338A0">
                    <w:rPr>
                      <w:rFonts w:ascii="Times New Roman" w:eastAsia="Calibri" w:hAnsi="Times New Roman" w:cs="Times New Roman"/>
                      <w:b/>
                      <w:sz w:val="24"/>
                      <w:szCs w:val="24"/>
                      <w:lang w:val="ro-RO" w:eastAsia="ru-RU"/>
                    </w:rPr>
                    <w:t>2020</w:t>
                  </w:r>
                </w:p>
              </w:tc>
            </w:tr>
            <w:tr w:rsidR="00E338A0" w:rsidRPr="00E338A0" w14:paraId="432E4A00" w14:textId="77777777" w:rsidTr="008C2C82">
              <w:tc>
                <w:tcPr>
                  <w:tcW w:w="3496" w:type="dxa"/>
                </w:tcPr>
                <w:p w14:paraId="64BA898D" w14:textId="77777777" w:rsidR="00E338A0" w:rsidRPr="00E338A0" w:rsidRDefault="00E338A0" w:rsidP="00E338A0">
                  <w:pPr>
                    <w:ind w:firstLine="34"/>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Numărul controalelor planificate</w:t>
                  </w:r>
                </w:p>
              </w:tc>
              <w:tc>
                <w:tcPr>
                  <w:tcW w:w="3060" w:type="dxa"/>
                </w:tcPr>
                <w:p w14:paraId="633BC528"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4</w:t>
                  </w:r>
                </w:p>
              </w:tc>
              <w:tc>
                <w:tcPr>
                  <w:tcW w:w="2761" w:type="dxa"/>
                </w:tcPr>
                <w:p w14:paraId="07076EB2" w14:textId="77777777" w:rsidR="00E338A0" w:rsidRPr="00E338A0" w:rsidRDefault="00E338A0" w:rsidP="00E338A0">
                  <w:pPr>
                    <w:ind w:right="239" w:firstLine="13"/>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24</w:t>
                  </w:r>
                </w:p>
              </w:tc>
            </w:tr>
            <w:tr w:rsidR="00E338A0" w:rsidRPr="00E338A0" w14:paraId="2288D477" w14:textId="77777777" w:rsidTr="008C2C82">
              <w:tc>
                <w:tcPr>
                  <w:tcW w:w="3496" w:type="dxa"/>
                </w:tcPr>
                <w:p w14:paraId="61D9C9B3" w14:textId="77777777" w:rsidR="00E338A0" w:rsidRPr="00E338A0" w:rsidRDefault="00E338A0" w:rsidP="00E338A0">
                  <w:pPr>
                    <w:ind w:right="239"/>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 xml:space="preserve">Numărul controalelor efectuate </w:t>
                  </w:r>
                </w:p>
              </w:tc>
              <w:tc>
                <w:tcPr>
                  <w:tcW w:w="3060" w:type="dxa"/>
                </w:tcPr>
                <w:p w14:paraId="7B1BC0D9"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5 (un control inopinat)</w:t>
                  </w:r>
                </w:p>
              </w:tc>
              <w:tc>
                <w:tcPr>
                  <w:tcW w:w="2761" w:type="dxa"/>
                </w:tcPr>
                <w:p w14:paraId="72C24974"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18</w:t>
                  </w:r>
                </w:p>
              </w:tc>
            </w:tr>
            <w:tr w:rsidR="00E338A0" w:rsidRPr="00E338A0" w14:paraId="3B2BA480" w14:textId="77777777" w:rsidTr="008C2C82">
              <w:tc>
                <w:tcPr>
                  <w:tcW w:w="3496" w:type="dxa"/>
                </w:tcPr>
                <w:p w14:paraId="764B8D4D" w14:textId="77777777" w:rsidR="00E338A0" w:rsidRPr="00E338A0" w:rsidRDefault="00E338A0" w:rsidP="00E338A0">
                  <w:pPr>
                    <w:spacing w:after="0" w:line="240" w:lineRule="auto"/>
                    <w:jc w:val="both"/>
                    <w:rPr>
                      <w:rFonts w:ascii="Times New Roman" w:eastAsia="Times New Roman" w:hAnsi="Times New Roman" w:cs="Times New Roman"/>
                      <w:sz w:val="24"/>
                      <w:szCs w:val="24"/>
                      <w:lang w:val="ro-RO" w:eastAsia="ru-RU"/>
                    </w:rPr>
                  </w:pPr>
                  <w:r w:rsidRPr="00E338A0">
                    <w:rPr>
                      <w:rFonts w:ascii="Times New Roman" w:eastAsia="Calibri" w:hAnsi="Times New Roman" w:cs="Times New Roman"/>
                      <w:sz w:val="24"/>
                      <w:szCs w:val="24"/>
                      <w:lang w:val="ro-RO" w:eastAsia="ru-RU"/>
                    </w:rPr>
                    <w:t>Rata neconformităților depistate</w:t>
                  </w:r>
                </w:p>
              </w:tc>
              <w:tc>
                <w:tcPr>
                  <w:tcW w:w="3060" w:type="dxa"/>
                </w:tcPr>
                <w:p w14:paraId="4B78CC64"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50%</w:t>
                  </w:r>
                </w:p>
              </w:tc>
              <w:tc>
                <w:tcPr>
                  <w:tcW w:w="2761" w:type="dxa"/>
                </w:tcPr>
                <w:p w14:paraId="7445F742" w14:textId="77777777" w:rsidR="00E338A0" w:rsidRPr="00E338A0" w:rsidRDefault="00E338A0" w:rsidP="00E338A0">
                  <w:pPr>
                    <w:ind w:right="239"/>
                    <w:jc w:val="center"/>
                    <w:rPr>
                      <w:rFonts w:ascii="Times New Roman" w:eastAsia="Calibri" w:hAnsi="Times New Roman" w:cs="Times New Roman"/>
                      <w:sz w:val="24"/>
                      <w:szCs w:val="24"/>
                      <w:lang w:val="ro-RO" w:eastAsia="ru-RU"/>
                    </w:rPr>
                  </w:pPr>
                  <w:r w:rsidRPr="00E338A0">
                    <w:rPr>
                      <w:rFonts w:ascii="Times New Roman" w:eastAsia="Calibri" w:hAnsi="Times New Roman" w:cs="Times New Roman"/>
                      <w:sz w:val="24"/>
                      <w:szCs w:val="24"/>
                      <w:lang w:val="ro-RO" w:eastAsia="ru-RU"/>
                    </w:rPr>
                    <w:t>55,55%</w:t>
                  </w:r>
                </w:p>
              </w:tc>
            </w:tr>
          </w:tbl>
          <w:p w14:paraId="1452905A"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p>
          <w:p w14:paraId="3E789BF8"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eastAsia="en-GB"/>
              </w:rPr>
            </w:pPr>
            <w:r w:rsidRPr="00E338A0">
              <w:rPr>
                <w:rFonts w:ascii="Times New Roman" w:eastAsia="Times New Roman" w:hAnsi="Times New Roman" w:cs="Times New Roman"/>
                <w:sz w:val="28"/>
                <w:szCs w:val="28"/>
                <w:lang w:val="ro-RO" w:eastAsia="ru-RU"/>
              </w:rPr>
              <w:t xml:space="preserve">Urmare a analizei Rapoartelor în cauză putem remarca o creștere a numărului de controale și a petiților înregistrate și s-a constatat că cele mai frecvente neconformități depistate în cadrul supravegherii pieței a produselor din categoria aparate consumatoare de combustibili gazoși pe parcursul anilor 2019-2020 au fost, lipsa certificatelor de conformitate pentru produs, lipsa instrucțiunii de utilizare în limba de stat. </w:t>
            </w:r>
          </w:p>
          <w:p w14:paraId="340459AD"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xml:space="preserve">Totodată, în descreştere sunt neconformităţile depistate la aparate consumatoare de combustibili gazoși în cadrul desfășurării controalelor. Potrivit Raportului OC CTSIC pentru anul 2020 a fost înregistrată o solicitare din partea APCSP referitor la certificatul de conformitate eliberat, ceea ce indică faptul că în cadrul supravegherii pieței pentru aparatele consumatoare de combustibili gazoși se depistează mai mult neconformități formale. </w:t>
            </w:r>
          </w:p>
          <w:p w14:paraId="25F120DC"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ru-RU"/>
              </w:rPr>
              <w:t xml:space="preserve">Urmare a analizei Rapoartelor anuale APCSP s-a constatat că cele mai frecvente neconformităţi depistate în cadrul supravegherii pieței pe parcursul anilor 2017-2020 au fost următoarele neconformități formale: </w:t>
            </w:r>
          </w:p>
          <w:p w14:paraId="2E8657B0"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rPr>
            </w:pPr>
            <w:r w:rsidRPr="00E338A0">
              <w:rPr>
                <w:rFonts w:ascii="Times New Roman" w:eastAsia="Times New Roman" w:hAnsi="Times New Roman" w:cs="Times New Roman"/>
                <w:sz w:val="28"/>
                <w:szCs w:val="28"/>
                <w:lang w:val="ro-RO" w:eastAsia="ru-RU"/>
              </w:rPr>
              <w:t xml:space="preserve">- </w:t>
            </w:r>
            <w:r w:rsidRPr="00E338A0">
              <w:rPr>
                <w:rFonts w:ascii="Times New Roman" w:eastAsia="Calibri" w:hAnsi="Times New Roman" w:cs="Times New Roman"/>
                <w:sz w:val="28"/>
                <w:szCs w:val="28"/>
                <w:lang w:val="ro-RO"/>
              </w:rPr>
              <w:t>aplicarea incorectă a marcajului de conformitate din punctul de vedere al dimensiunii, al vizibilității, al caracterului indelebil sau al lizibilității;</w:t>
            </w:r>
          </w:p>
          <w:p w14:paraId="72DEC484"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o declarație de conformitate nu fost furnizată imediat sau nu însoțește produsul;</w:t>
            </w:r>
          </w:p>
          <w:p w14:paraId="6725E407" w14:textId="77777777" w:rsidR="00E338A0" w:rsidRPr="00E338A0" w:rsidRDefault="00E338A0" w:rsidP="00E338A0">
            <w:pPr>
              <w:spacing w:after="0"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Calibri" w:hAnsi="Times New Roman" w:cs="Times New Roman"/>
                <w:sz w:val="28"/>
                <w:szCs w:val="28"/>
                <w:lang w:val="ro-RO"/>
              </w:rPr>
              <w:t>- cerința de a anexa alte informații nu este îndeplinită integral sau numărul de identificare al organismului de evaluare a conformității nu a fost aplicat marcajului de conformitate. Cu alte cuvinte, produsul nu prezintă riscuri</w:t>
            </w:r>
            <w:r w:rsidRPr="00E338A0">
              <w:rPr>
                <w:rFonts w:ascii="Times New Roman" w:eastAsia="Times New Roman" w:hAnsi="Times New Roman" w:cs="Times New Roman"/>
                <w:sz w:val="28"/>
                <w:szCs w:val="28"/>
                <w:lang w:val="ro-RO" w:eastAsia="ru-RU"/>
              </w:rPr>
              <w:t>.</w:t>
            </w:r>
          </w:p>
          <w:p w14:paraId="33A9C5EC"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În context, norme din proiectul actului normativ vizează, de asemenea, să îmbunătățească supravegherea pieței de către autoritățile publice fără a impune sarcini și costuri inutile pentru industrie.</w:t>
            </w:r>
          </w:p>
          <w:p w14:paraId="131ABF5C" w14:textId="77777777" w:rsidR="00E338A0" w:rsidRPr="00E338A0" w:rsidRDefault="00E338A0" w:rsidP="00E338A0">
            <w:pPr>
              <w:autoSpaceDE w:val="0"/>
              <w:autoSpaceDN w:val="0"/>
              <w:adjustRightInd w:val="0"/>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41E47588" w14:textId="77777777" w:rsidTr="008C2C82">
        <w:trPr>
          <w:trHeight w:val="361"/>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hideMark/>
          </w:tcPr>
          <w:p w14:paraId="24C8AEBE"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highlight w:val="yellow"/>
                <w:lang w:val="ro-RO"/>
              </w:rPr>
            </w:pPr>
            <w:r w:rsidRPr="00E338A0">
              <w:rPr>
                <w:rFonts w:ascii="Times New Roman" w:eastAsia="Times New Roman" w:hAnsi="Times New Roman" w:cs="Times New Roman"/>
                <w:b/>
                <w:bCs/>
                <w:sz w:val="28"/>
                <w:szCs w:val="28"/>
                <w:highlight w:val="green"/>
                <w:lang w:val="ro-RO"/>
              </w:rPr>
              <w:lastRenderedPageBreak/>
              <w:t>c)</w:t>
            </w:r>
            <w:r w:rsidRPr="00E338A0">
              <w:rPr>
                <w:rFonts w:ascii="Times New Roman" w:eastAsia="Times New Roman" w:hAnsi="Times New Roman" w:cs="Times New Roman"/>
                <w:b/>
                <w:sz w:val="28"/>
                <w:szCs w:val="28"/>
                <w:highlight w:val="green"/>
                <w:lang w:val="ro-RO"/>
              </w:rPr>
              <w:t xml:space="preserve"> Expuneți clar cauzele care au dus la apariţia problemei</w:t>
            </w:r>
          </w:p>
        </w:tc>
      </w:tr>
      <w:tr w:rsidR="00E338A0" w:rsidRPr="00E338A0" w14:paraId="7FB2A409"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03FD2EB" w14:textId="0F0DE1DB" w:rsidR="00C74BE2" w:rsidRPr="00C74BE2" w:rsidRDefault="00E338A0" w:rsidP="00E338A0">
            <w:pPr>
              <w:spacing w:after="0" w:line="240" w:lineRule="auto"/>
              <w:ind w:left="90" w:right="189" w:firstLine="477"/>
              <w:jc w:val="both"/>
              <w:rPr>
                <w:rFonts w:ascii="Times New Roman" w:eastAsia="Times New Roman" w:hAnsi="Times New Roman" w:cs="Times New Roman"/>
                <w:strike/>
                <w:sz w:val="28"/>
                <w:szCs w:val="28"/>
                <w:lang w:val="ro-RO" w:eastAsia="en-GB"/>
              </w:rPr>
            </w:pPr>
            <w:r w:rsidRPr="00C74BE2">
              <w:rPr>
                <w:rFonts w:ascii="Times New Roman" w:eastAsia="Times New Roman" w:hAnsi="Times New Roman" w:cs="Times New Roman"/>
                <w:sz w:val="28"/>
                <w:szCs w:val="28"/>
                <w:lang w:val="ro-RO" w:eastAsia="en-GB"/>
              </w:rPr>
              <w:t>Experiența în urma punerii în aplicare a H</w:t>
            </w:r>
            <w:r w:rsidRPr="00C74BE2">
              <w:rPr>
                <w:rFonts w:ascii="Times New Roman" w:eastAsia="Calibri" w:hAnsi="Times New Roman" w:cs="Times New Roman"/>
                <w:sz w:val="28"/>
                <w:szCs w:val="28"/>
                <w:lang w:val="ro-RO"/>
              </w:rPr>
              <w:t xml:space="preserve">otărîrii </w:t>
            </w:r>
            <w:r w:rsidRPr="00C74BE2">
              <w:rPr>
                <w:rFonts w:ascii="Times New Roman" w:eastAsia="Times New Roman" w:hAnsi="Times New Roman" w:cs="Times New Roman"/>
                <w:sz w:val="28"/>
                <w:szCs w:val="28"/>
                <w:lang w:val="ro-RO" w:eastAsia="en-GB"/>
              </w:rPr>
              <w:t>G</w:t>
            </w:r>
            <w:r w:rsidRPr="00C74BE2">
              <w:rPr>
                <w:rFonts w:ascii="Times New Roman" w:eastAsia="Calibri" w:hAnsi="Times New Roman" w:cs="Times New Roman"/>
                <w:sz w:val="28"/>
                <w:szCs w:val="28"/>
                <w:lang w:val="ro-RO"/>
              </w:rPr>
              <w:t>uvernului</w:t>
            </w:r>
            <w:r w:rsidRPr="00C74BE2">
              <w:rPr>
                <w:rFonts w:ascii="Times New Roman" w:eastAsia="Times New Roman" w:hAnsi="Times New Roman" w:cs="Times New Roman"/>
                <w:sz w:val="28"/>
                <w:szCs w:val="28"/>
                <w:lang w:val="ro-RO" w:eastAsia="en-GB"/>
              </w:rPr>
              <w:t xml:space="preserve"> nr. 1329/2016 a demonstrat deficiențe pentru funcționarea corectă a mecanismului pieței interne care afectează interesele părților implicate. Unele dintre dispozițiile Hotărîrii Guvernului nr. 1329/2016 necesitatea modificarea deoarece nu sunt suficient de clare și actuale care corespund evoluției sectorului aparatelor consumatoare de combustibili gazoși și terminologiei specifice. Denumirile și descrierile procedurilor de evaluare a </w:t>
            </w:r>
            <w:r w:rsidRPr="00C74BE2">
              <w:rPr>
                <w:rFonts w:ascii="Times New Roman" w:eastAsia="Times New Roman" w:hAnsi="Times New Roman" w:cs="Times New Roman"/>
                <w:sz w:val="28"/>
                <w:szCs w:val="28"/>
                <w:lang w:val="ro-RO" w:eastAsia="en-GB"/>
              </w:rPr>
              <w:lastRenderedPageBreak/>
              <w:t xml:space="preserve">conformității, </w:t>
            </w:r>
            <w:r w:rsidR="00C74BE2" w:rsidRPr="00C74BE2">
              <w:rPr>
                <w:rFonts w:ascii="Times New Roman" w:eastAsia="Times New Roman" w:hAnsi="Times New Roman" w:cs="Times New Roman"/>
                <w:sz w:val="28"/>
                <w:szCs w:val="28"/>
                <w:lang w:val="ro-RO" w:eastAsia="en-GB"/>
              </w:rPr>
              <w:t xml:space="preserve">prezentarea </w:t>
            </w:r>
            <w:r w:rsidRPr="00C74BE2">
              <w:rPr>
                <w:rFonts w:ascii="Times New Roman" w:eastAsia="Times New Roman" w:hAnsi="Times New Roman" w:cs="Times New Roman"/>
                <w:sz w:val="28"/>
                <w:szCs w:val="28"/>
                <w:lang w:val="ro-RO" w:eastAsia="en-GB"/>
              </w:rPr>
              <w:t>obligațiil</w:t>
            </w:r>
            <w:r w:rsidR="00C74BE2" w:rsidRPr="00C74BE2">
              <w:rPr>
                <w:rFonts w:ascii="Times New Roman" w:eastAsia="Times New Roman" w:hAnsi="Times New Roman" w:cs="Times New Roman"/>
                <w:sz w:val="28"/>
                <w:szCs w:val="28"/>
                <w:lang w:val="ro-RO" w:eastAsia="en-GB"/>
              </w:rPr>
              <w:t>or</w:t>
            </w:r>
            <w:r w:rsidRPr="00C74BE2">
              <w:rPr>
                <w:rFonts w:ascii="Times New Roman" w:eastAsia="Times New Roman" w:hAnsi="Times New Roman" w:cs="Times New Roman"/>
                <w:sz w:val="28"/>
                <w:szCs w:val="28"/>
                <w:lang w:val="ro-RO" w:eastAsia="en-GB"/>
              </w:rPr>
              <w:t xml:space="preserve"> agenților economici necesită ajustare la prevederile din Legea nr. 235/2011. </w:t>
            </w:r>
          </w:p>
          <w:p w14:paraId="747DB952" w14:textId="7D144E54" w:rsidR="00E338A0" w:rsidRPr="00C74BE2"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C74BE2">
              <w:rPr>
                <w:rFonts w:ascii="Times New Roman" w:eastAsia="Times New Roman" w:hAnsi="Times New Roman" w:cs="Times New Roman"/>
                <w:sz w:val="28"/>
                <w:szCs w:val="28"/>
                <w:lang w:val="ro-RO" w:eastAsia="en-GB"/>
              </w:rPr>
              <w:t xml:space="preserve">Deoarece Hotărîrea Guvernului nu difenește parametrii care trebuie să fie furnizați și nu uniformizează conținutul comunicărilor ANRE cu privire la tipurile de gaz, nu este asigurat caracterul adecvat și compatibilitatea informațiilor respective. </w:t>
            </w:r>
          </w:p>
          <w:p w14:paraId="163B739B" w14:textId="43EECB6F"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C74BE2">
              <w:rPr>
                <w:rFonts w:ascii="Times New Roman" w:eastAsia="Times New Roman" w:hAnsi="Times New Roman" w:cs="Times New Roman"/>
                <w:sz w:val="28"/>
                <w:szCs w:val="28"/>
                <w:lang w:val="ro-RO" w:eastAsia="en-GB"/>
              </w:rPr>
              <w:t xml:space="preserve">Cerința esențială 29 din Anexa nr. 1 din reglementarea tehnică în vigoare care abordează ”utilizarea rațională a energiei” </w:t>
            </w:r>
            <w:r w:rsidR="00C74BE2" w:rsidRPr="00C74BE2">
              <w:rPr>
                <w:rFonts w:ascii="Times New Roman" w:eastAsia="Times New Roman" w:hAnsi="Times New Roman" w:cs="Times New Roman"/>
                <w:sz w:val="28"/>
                <w:szCs w:val="28"/>
                <w:lang w:val="ro-RO" w:eastAsia="en-GB"/>
              </w:rPr>
              <w:t xml:space="preserve">la general </w:t>
            </w:r>
            <w:r w:rsidRPr="00C74BE2">
              <w:rPr>
                <w:rFonts w:ascii="Times New Roman" w:eastAsia="Times New Roman" w:hAnsi="Times New Roman" w:cs="Times New Roman"/>
                <w:sz w:val="28"/>
                <w:szCs w:val="28"/>
                <w:lang w:val="ro-RO" w:eastAsia="en-GB"/>
              </w:rPr>
              <w:t xml:space="preserve">nu corespunde </w:t>
            </w:r>
            <w:r w:rsidR="00C74BE2" w:rsidRPr="00C74BE2">
              <w:rPr>
                <w:rFonts w:ascii="Times New Roman" w:eastAsia="Times New Roman" w:hAnsi="Times New Roman" w:cs="Times New Roman"/>
                <w:sz w:val="28"/>
                <w:szCs w:val="28"/>
                <w:lang w:val="ro-RO" w:eastAsia="en-GB"/>
              </w:rPr>
              <w:t>prevederilor legislației naționale</w:t>
            </w:r>
            <w:r w:rsidRPr="00C74BE2">
              <w:rPr>
                <w:rFonts w:ascii="Times New Roman" w:eastAsia="Times New Roman" w:hAnsi="Times New Roman" w:cs="Times New Roman"/>
                <w:sz w:val="28"/>
                <w:szCs w:val="28"/>
                <w:lang w:val="ro-RO" w:eastAsia="en-GB"/>
              </w:rPr>
              <w:t xml:space="preserve"> privind proiectarea ecologică și eficiența energetică.</w:t>
            </w:r>
            <w:r w:rsidR="00C74BE2" w:rsidRPr="00C74BE2">
              <w:rPr>
                <w:rFonts w:ascii="Times New Roman" w:eastAsia="Times New Roman" w:hAnsi="Times New Roman" w:cs="Times New Roman"/>
                <w:sz w:val="28"/>
                <w:szCs w:val="28"/>
                <w:lang w:val="ro-RO" w:eastAsia="en-GB"/>
              </w:rPr>
              <w:t xml:space="preserve"> În final nu este garantată și abordată în modul corespunzător creșterea utilizării biogazului.</w:t>
            </w:r>
          </w:p>
          <w:p w14:paraId="01CEBBA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Nu în ultimul rînd, conform angajamentelor asumate prin </w:t>
            </w:r>
            <w:r w:rsidRPr="00E338A0">
              <w:rPr>
                <w:rFonts w:ascii="Times New Roman" w:eastAsia="Times New Roman" w:hAnsi="Times New Roman" w:cs="Times New Roman"/>
                <w:i/>
                <w:sz w:val="28"/>
                <w:szCs w:val="28"/>
                <w:lang w:val="ro-RO" w:eastAsia="en-GB"/>
              </w:rPr>
              <w:t>Acordul de Asociere între RM, pe de o parte, şi UE şi Comunitatea Europeană a Energiei Atomice şi statele membre ale acestora, pe de altă parte,</w:t>
            </w:r>
            <w:r w:rsidRPr="00E338A0">
              <w:rPr>
                <w:rFonts w:ascii="Times New Roman" w:eastAsia="Times New Roman" w:hAnsi="Times New Roman" w:cs="Times New Roman"/>
                <w:sz w:val="28"/>
                <w:szCs w:val="28"/>
                <w:lang w:val="ro-RO" w:eastAsia="en-GB"/>
              </w:rPr>
              <w:t xml:space="preserve"> ratificat prin Legea nr. 112/20144 (art. 410), RM asigură punerea efectivă în aplicare a legislaţiei sale interne apropiate şi întreprinde orice acţiune necesară pentru a reflecta evoluţiile dreptului UE în legislaţia sa internă, în domeniile legate de comerţ aferente Titlului V (Comerţ şi aspecte legate de comerţ) și se abţine de la orice acţiune care ar putea submina obiectivul sau rezultatul apropierii în ceea ce priveşte comerţ şi aspecte legate de comerţ.</w:t>
            </w:r>
          </w:p>
          <w:p w14:paraId="7302C8CA"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rPr>
              <w:t xml:space="preserve">Urmare a discuțiilor care au avut loc în cadrul ședinței a 7-a a Comitetului de Asociere Configurația Comerț RM-UE din 20-21 octombrie 2020, părții moldave a fost adus la cunoștință cadrul juridic nou al UE, care ține de subiectul Titlului V, Capitolul 3 din Acordul de Asociere. Printre actele respective se regăsește </w:t>
            </w:r>
            <w:r w:rsidRPr="00E338A0">
              <w:rPr>
                <w:rFonts w:ascii="Times New Roman" w:eastAsia="Calibri" w:hAnsi="Times New Roman" w:cs="Times New Roman"/>
                <w:sz w:val="28"/>
                <w:szCs w:val="28"/>
                <w:lang w:val="ro-RO" w:eastAsia="en-GB"/>
              </w:rPr>
              <w:t xml:space="preserve">Regulamentul (UE) 2016/426 al Parlamentului European și al Consiliului din 9 martie 2016 privind aparatele consumatoare de combustibili gazoși și de abrogare a Directivei 2009/142/CE. </w:t>
            </w:r>
          </w:p>
          <w:p w14:paraId="4CDDF1A2" w14:textId="6CF20ABF"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eastAsia="en-GB"/>
              </w:rPr>
              <w:t xml:space="preserve">Conform </w:t>
            </w:r>
            <w:r w:rsidRPr="00E338A0">
              <w:rPr>
                <w:rFonts w:ascii="Times New Roman" w:eastAsia="Calibri" w:hAnsi="Times New Roman" w:cs="Times New Roman"/>
                <w:sz w:val="28"/>
                <w:szCs w:val="28"/>
                <w:lang w:val="ro-RO"/>
              </w:rPr>
              <w:t>Concluziilor operaționale prezentate după ședința Comitetului de Asociere Configurația Comerț RM-UE, Republica Moldova urmează să întreprindă măsuri, care vor asigura substituirea actelor normative indicate în Anexa XVI din Acordul de Asociere RM-UE cu actele juridice ale UE noi, inclusiv substituirea Directivei 2009/142/EC cu Regulamentul (UE) 2016/426</w:t>
            </w:r>
            <w:r w:rsidRPr="00E338A0">
              <w:rPr>
                <w:rFonts w:ascii="Times New Roman" w:eastAsia="Calibri" w:hAnsi="Times New Roman" w:cs="Times New Roman"/>
                <w:bCs/>
                <w:color w:val="000000"/>
                <w:sz w:val="28"/>
                <w:szCs w:val="28"/>
              </w:rPr>
              <w:t xml:space="preserve"> al </w:t>
            </w:r>
            <w:r w:rsidRPr="00C74BE2">
              <w:rPr>
                <w:rFonts w:ascii="Times New Roman" w:eastAsia="Calibri" w:hAnsi="Times New Roman" w:cs="Times New Roman"/>
                <w:bCs/>
                <w:color w:val="000000"/>
                <w:sz w:val="28"/>
                <w:szCs w:val="28"/>
                <w:lang w:val="ro-MD"/>
              </w:rPr>
              <w:t>Parlamentului European și al Consiliului din 9 martie 2016 privind aparatele consumatoare de combustibili gazoși și de abrogare a Directivei 2009/142/CE</w:t>
            </w:r>
            <w:r w:rsidRPr="00C74BE2">
              <w:rPr>
                <w:rFonts w:ascii="Times New Roman" w:eastAsia="Calibri" w:hAnsi="Times New Roman" w:cs="Times New Roman"/>
                <w:sz w:val="28"/>
                <w:szCs w:val="28"/>
                <w:lang w:val="ro-MD"/>
              </w:rPr>
              <w:t xml:space="preserve">. </w:t>
            </w:r>
            <w:r w:rsidR="00C74BE2" w:rsidRPr="00C74BE2">
              <w:rPr>
                <w:rFonts w:ascii="Times New Roman" w:eastAsia="Calibri" w:hAnsi="Times New Roman" w:cs="Times New Roman"/>
                <w:sz w:val="28"/>
                <w:szCs w:val="28"/>
                <w:lang w:val="ro-MD"/>
              </w:rPr>
              <w:t>Concomitent</w:t>
            </w:r>
            <w:r w:rsidRPr="00E338A0">
              <w:rPr>
                <w:rFonts w:ascii="Times New Roman" w:eastAsia="Calibri" w:hAnsi="Times New Roman" w:cs="Times New Roman"/>
                <w:sz w:val="28"/>
                <w:szCs w:val="28"/>
                <w:lang w:val="ro-RO"/>
              </w:rPr>
              <w:t>, a fost adoptat termen pentru aproximare a legislației naționale cu actul juridic UE în vigoare - anii 2021-2022.</w:t>
            </w:r>
          </w:p>
          <w:p w14:paraId="798BB52E" w14:textId="77777777" w:rsidR="00E338A0" w:rsidRPr="00E338A0" w:rsidRDefault="00E338A0" w:rsidP="00E338A0">
            <w:pPr>
              <w:spacing w:after="0" w:line="240" w:lineRule="auto"/>
              <w:ind w:left="97" w:right="239" w:firstLine="477"/>
              <w:jc w:val="both"/>
              <w:rPr>
                <w:rFonts w:ascii="Calibri" w:eastAsia="Calibri" w:hAnsi="Calibri" w:cs="Times New Roman"/>
                <w:sz w:val="28"/>
                <w:szCs w:val="28"/>
                <w:highlight w:val="yellow"/>
                <w:lang w:val="ro-RO"/>
              </w:rPr>
            </w:pPr>
          </w:p>
        </w:tc>
      </w:tr>
      <w:tr w:rsidR="00E338A0" w:rsidRPr="00E338A0" w14:paraId="1451FC27"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034BF711"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lastRenderedPageBreak/>
              <w:t xml:space="preserve">d) </w:t>
            </w:r>
            <w:r w:rsidRPr="00E338A0">
              <w:rPr>
                <w:rFonts w:ascii="Times New Roman" w:eastAsia="Times New Roman" w:hAnsi="Times New Roman" w:cs="Times New Roman"/>
                <w:b/>
                <w:sz w:val="28"/>
                <w:szCs w:val="28"/>
                <w:highlight w:val="green"/>
                <w:lang w:val="ro-RO"/>
              </w:rPr>
              <w:t>Descrieți cum a evoluat problema şi cum va evolua fără o intervenție</w:t>
            </w:r>
            <w:r w:rsidRPr="00E338A0">
              <w:rPr>
                <w:rFonts w:ascii="Times New Roman" w:eastAsia="Times New Roman" w:hAnsi="Times New Roman" w:cs="Times New Roman"/>
                <w:b/>
                <w:sz w:val="28"/>
                <w:szCs w:val="28"/>
                <w:lang w:val="ro-RO"/>
              </w:rPr>
              <w:t xml:space="preserve"> </w:t>
            </w:r>
          </w:p>
        </w:tc>
      </w:tr>
      <w:tr w:rsidR="00E338A0" w:rsidRPr="00E338A0" w14:paraId="2BC5C2FA"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84327C2" w14:textId="77777777" w:rsidR="00E338A0" w:rsidRPr="00E338A0" w:rsidRDefault="00E338A0" w:rsidP="00E338A0">
            <w:pPr>
              <w:spacing w:after="0" w:line="240" w:lineRule="auto"/>
              <w:ind w:left="90" w:right="189" w:firstLine="477"/>
              <w:contextualSpacing/>
              <w:jc w:val="both"/>
              <w:rPr>
                <w:rFonts w:ascii="Calibri" w:eastAsia="Calibri" w:hAnsi="Calibri" w:cs="Times New Roman"/>
              </w:rPr>
            </w:pPr>
            <w:r w:rsidRPr="00E338A0">
              <w:rPr>
                <w:rFonts w:ascii="Times New Roman" w:eastAsia="Times New Roman" w:hAnsi="Times New Roman" w:cs="Times New Roman"/>
                <w:sz w:val="28"/>
                <w:szCs w:val="28"/>
                <w:lang w:val="ro-RO"/>
              </w:rPr>
              <w:t>Sursa necesității de modificare a reglementării tehnice în vigoare provine din modificarea legislației periodică a cadrului legal național. Dacă în reglementarea tehnică nu se va modifica terminologia specifică domeniului, obligațiile agenților economici și organismelor de evaluare a conformității, atunci autoritățile cu funcții de reglementare și funcții de supravegherea tehnică nu vor fi nevoiți pentru domeniul aparatelor de combustibili gazoși se aplică concomitent mai multe acte normative: reglementarea tehnică privind mașini industriale, echipamente sub presiune, legislația din domeniul eficienței energetice.</w:t>
            </w:r>
            <w:r w:rsidRPr="00E338A0">
              <w:rPr>
                <w:rFonts w:ascii="Calibri" w:eastAsia="Calibri" w:hAnsi="Calibri" w:cs="Times New Roman"/>
              </w:rPr>
              <w:t xml:space="preserve"> </w:t>
            </w:r>
          </w:p>
          <w:p w14:paraId="335901D0" w14:textId="77777777" w:rsidR="00E338A0" w:rsidRPr="00E338A0" w:rsidRDefault="00E338A0" w:rsidP="00E338A0">
            <w:pPr>
              <w:spacing w:after="0" w:line="240" w:lineRule="auto"/>
              <w:ind w:left="90" w:right="189" w:firstLine="477"/>
              <w:contextualSpacing/>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lastRenderedPageBreak/>
              <w:t>Orice suprapunere legislativă între diferite acte normative ar trebui să fie revizuită. Conștientizarea agenților economici și a altor părți interesate cu privire la funcționarea legislației naționale nu este întotdeauna suficientă pentru a înțelege pe deplin modul în care acest cadru juridice este destinat să funcționeze.</w:t>
            </w:r>
          </w:p>
          <w:p w14:paraId="78A75536" w14:textId="77777777" w:rsidR="00E338A0" w:rsidRPr="00E338A0" w:rsidRDefault="00E338A0" w:rsidP="00E338A0">
            <w:pPr>
              <w:spacing w:after="0" w:line="240" w:lineRule="auto"/>
              <w:ind w:left="90" w:right="189" w:firstLine="477"/>
              <w:contextualSpacing/>
              <w:jc w:val="both"/>
              <w:rPr>
                <w:rFonts w:ascii="Times New Roman" w:eastAsia="Calibri" w:hAnsi="Times New Roman" w:cs="Times New Roman"/>
                <w:sz w:val="28"/>
                <w:szCs w:val="28"/>
                <w:lang w:val="ro-RO"/>
              </w:rPr>
            </w:pPr>
            <w:r w:rsidRPr="00E338A0">
              <w:rPr>
                <w:rFonts w:ascii="Times New Roman" w:eastAsia="Times New Roman" w:hAnsi="Times New Roman" w:cs="Times New Roman"/>
                <w:sz w:val="28"/>
                <w:szCs w:val="28"/>
                <w:lang w:val="ro-RO"/>
              </w:rPr>
              <w:t xml:space="preserve">În urma consultărilor publice organizate la nivelul european între statele membre și </w:t>
            </w:r>
            <w:r w:rsidRPr="00E338A0">
              <w:rPr>
                <w:rFonts w:ascii="Times New Roman" w:eastAsia="Calibri" w:hAnsi="Times New Roman" w:cs="Times New Roman"/>
                <w:sz w:val="28"/>
                <w:szCs w:val="28"/>
                <w:lang w:val="ro-RO"/>
              </w:rPr>
              <w:t xml:space="preserve">federațiile europene de producători și altele părți interesate s-a convenit la necesitatea îmbunătățirii Directivei 2009/142/CE. </w:t>
            </w:r>
          </w:p>
          <w:p w14:paraId="467CF1DA" w14:textId="77777777" w:rsidR="00E338A0" w:rsidRPr="00E338A0" w:rsidRDefault="00E338A0" w:rsidP="00E338A0">
            <w:pPr>
              <w:spacing w:after="0" w:line="240" w:lineRule="auto"/>
              <w:ind w:left="90" w:right="18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Revizuirea acestei a fost de mai multe ori subiect de discuție la forumul organismelor de evaluare a conformității notificate pentru aparatele consumătoare de combustibili gazoși, urmare cărora au fost sugerate mai multe propuneri. De asemenea, majoritatea dintre respondenții (75,6%) la consultarea publică, organizată în anii 2011-2012, a fost de părere că definițiile din Directiva 2009/142/CE, transpusă prin Hotărîrea Guvernului nr. 1329/2016, nu sunt clare suficient, că ar trebui furnizate informații suplimentare referitoare la condițiile de furnizare a gazului disponibil (77,8% de respondenți) și că formularea anumitor articole și cerințe esențiale ar putea fi îmbunătățită.</w:t>
            </w:r>
          </w:p>
          <w:p w14:paraId="42570E23"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rPr>
              <w:t xml:space="preserve">Hotărîrea Guvernului nr. 1329/2016 conține 4 termeni și definițiile acestora, pe cînd proiectul nou </w:t>
            </w:r>
            <w:r w:rsidRPr="00E338A0">
              <w:rPr>
                <w:rFonts w:ascii="Times New Roman" w:eastAsia="Calibri" w:hAnsi="Times New Roman" w:cs="Times New Roman"/>
                <w:sz w:val="28"/>
                <w:szCs w:val="28"/>
                <w:lang w:val="ro-RO" w:eastAsia="en-GB"/>
              </w:rPr>
              <w:t>introduce 13 definiții specifice sectorului, astfel îmbunătățind lizibilitatea și perceperea prevederilor din proiect. Definițiile generale care rezultă din alinierea la legislația de armonizare sunt utilizate conform Legii nr. 235/2011 și Legii nr. 7/2016.</w:t>
            </w:r>
          </w:p>
          <w:p w14:paraId="20C63BAB"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Comunicările ANRE privind tipurile de gaz și presiunile de alimentare corespunzătoare utilizate pe teritoriul Republicii Moldova și orice modificare a condițiilor de furnizare a gazului sunt foarte importante pentru producători, deoarece condițiile de furnizare a gazului în locul în care este pus în funcțiune un aparat consumator de combustibili gazoși sunt foarte necesare pentru funcționarea corectă și în siguranță a acestuia. Prin urmare, acest aspect trebuie să fie luat în considerare de către producător încă la etapa de proiectare a unui aparat.</w:t>
            </w:r>
          </w:p>
          <w:p w14:paraId="6FEBD8A0"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Disponibilitatea unor informații adecvate este, de asemenea, indispensabilă pentru determinarea marcajului sau a marcajelor privind ”categoria aparatului”, care trebuie indicate pe aparat și care sunt definite de standardul armonizat SM SR EN 437:2003 și în standardele specifice tipului concret de aparat consumator de combustibili gazoși (a</w:t>
            </w:r>
            <w:r w:rsidRPr="00E338A0">
              <w:rPr>
                <w:rFonts w:ascii="Times New Roman" w:eastAsia="Calibri" w:hAnsi="Times New Roman" w:cs="Times New Roman"/>
                <w:sz w:val="28"/>
                <w:szCs w:val="28"/>
                <w:lang w:val="ro-RO"/>
              </w:rPr>
              <w:t xml:space="preserve">parat de producere instantanee a apei calde, aparate de gătit casnice, robinete multifuncţionale, cazane de încălzire </w:t>
            </w:r>
            <w:r w:rsidRPr="00E338A0">
              <w:rPr>
                <w:rFonts w:ascii="Times New Roman" w:eastAsia="Calibri" w:hAnsi="Times New Roman" w:cs="Times New Roman"/>
                <w:sz w:val="28"/>
                <w:szCs w:val="28"/>
                <w:lang w:val="ro-RO" w:eastAsia="en-GB"/>
              </w:rPr>
              <w:t>etc).</w:t>
            </w:r>
          </w:p>
          <w:p w14:paraId="45E2533B"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Cu toate acestea, întrucât informațiile privind tipuri de gaze și presiunile de alimentare corespunzătoare utilizate pe teritoriul Republicii Moldova în prezent nu sunt suficiente, iar uneori chiar lipsesc, este necesară o mai bună determinare a parametrilor care trebuie comunicați de către ANRE, pentru asigurare a caracterului adecvat și a comparabilității acestor informații necesare atît pentru producători autohtoni și din afara țării, cît și pentru importatorii și distribuitorii de aparate.</w:t>
            </w:r>
          </w:p>
          <w:p w14:paraId="169FE7DC"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În plus, condițiile de aprovizionare cu gaze pe plan european și mondial sunt în prezent în curs de dezvoltare rapidă. Acest fapt se datorează obiectivelor de a crește proporția energiilor din surse regenerabile. Ca urmare, din ce în ce mai multe gaze din surse neconvenționale vor fi furnizate atât prin intermediul rețelelor</w:t>
            </w:r>
            <w:r w:rsidRPr="00E338A0">
              <w:rPr>
                <w:rFonts w:ascii="Calibri" w:eastAsia="Calibri" w:hAnsi="Calibri" w:cs="Times New Roman"/>
                <w:lang w:val="ro-RO" w:eastAsia="en-GB"/>
              </w:rPr>
              <w:t xml:space="preserve"> </w:t>
            </w:r>
            <w:r w:rsidRPr="00E338A0">
              <w:rPr>
                <w:rFonts w:ascii="Times New Roman" w:eastAsia="Calibri" w:hAnsi="Times New Roman" w:cs="Times New Roman"/>
                <w:sz w:val="28"/>
                <w:szCs w:val="28"/>
                <w:lang w:val="ro-RO" w:eastAsia="en-GB"/>
              </w:rPr>
              <w:t>locale și cât prin injectare în rețelele de distribuție a gazelor naturale.</w:t>
            </w:r>
          </w:p>
          <w:p w14:paraId="0F8EAC34"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lastRenderedPageBreak/>
              <w:t>În pofida tentativelor de a atinge un grad mai ridicat de armonizare a calității gazului, epuizarea progresivă a surselor de gaz extras din zăcăminte și înlocuirea lor cu biogaz vor duce la o diversitatea din ce în ce mai mare a calității gazelor.</w:t>
            </w:r>
          </w:p>
          <w:p w14:paraId="6F711317"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Deoarece tipurile de gaz și presiunile de alimentare nu fac obiectul armonizării și nu pot fi supuse unei astfel de armonizări în temeiul prezentului proiect de act normativ, chestiunea legată de calitatea gazului este luată în considerare pentru a asigura legătura cu siguranța și performanța aparatelor consumatoare de combustibili gazoși.</w:t>
            </w:r>
          </w:p>
          <w:p w14:paraId="5FF64F24"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Prin urmare, este important că agenții economici vor deține informații adecvate cu privire la tipurile de gaz și presiunile de alimentare disponibile deoarece aparatele cu gaz sunt foarte sensibile la compoziția combustibilului. Absența sau caracterul necorespunzător al informațiilor în faza de proiectare ar conduce la introducerea pe piață a unor aparate care nu funcționează în condiții de siguranță și/sau care funcționează incorect sau cu un nivel de eficiență energetică redus în mod semnificativ.</w:t>
            </w:r>
          </w:p>
          <w:p w14:paraId="0747069A"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Astfel, proiectul urmează să determine parametrii care trebuie incluși în comunicări pentru a asigura mai bine compatibilitatea aparatelor cu gaz cu condițiile de aprovizionare și să prevadă un formular unic pentru respectivele comunicări ANRE.</w:t>
            </w:r>
          </w:p>
          <w:p w14:paraId="4AD4F259"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Inițial, limita de temperatură de 105</w:t>
            </w:r>
            <w:r w:rsidRPr="00E338A0">
              <w:rPr>
                <w:rFonts w:ascii="Times New Roman" w:eastAsia="Calibri" w:hAnsi="Times New Roman" w:cs="Times New Roman"/>
                <w:sz w:val="28"/>
                <w:szCs w:val="28"/>
                <w:vertAlign w:val="superscript"/>
                <w:lang w:val="ro-RO"/>
              </w:rPr>
              <w:t>0</w:t>
            </w:r>
            <w:r w:rsidRPr="00E338A0">
              <w:rPr>
                <w:rFonts w:ascii="Times New Roman" w:eastAsia="Calibri" w:hAnsi="Times New Roman" w:cs="Times New Roman"/>
                <w:sz w:val="28"/>
                <w:szCs w:val="28"/>
                <w:lang w:val="ro-RO"/>
              </w:rPr>
              <w:t xml:space="preserve">C a fost introdusă deoarece riscurile cauzate de presiune în cazul aparatelor consumatoare de combustibili gazoși nu făceau obiectul dispozițiilor legislației de armonizare. Dezvoltarea cadrului legal național în domeniul diversificării pieței energetice, inclusiv prin armonizarea cu legislația UE, diminuează existență riscului de a intra în conflict cu cadrul legal national. </w:t>
            </w:r>
          </w:p>
          <w:p w14:paraId="66622735" w14:textId="77777777" w:rsidR="00E338A0" w:rsidRPr="00E338A0" w:rsidRDefault="00E338A0" w:rsidP="00E338A0">
            <w:pPr>
              <w:spacing w:after="0" w:line="240" w:lineRule="auto"/>
              <w:ind w:left="135" w:right="189" w:firstLine="450"/>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În prezent, Hotărîrea Guvernului nr. 1329/2016 nu precizează principiile generale de proiectare care trebuie aplicate în vederea obținerii siguranței aparatelor consumatoare de combustibili gazoși și a accesoriilor. Deși aceste principii sunt considerate a fi deja incluse în actualele cerințe esențiale, ar fi mai bine ca acestea să fie prevăzute în textele legislative pentru a se evita situațiile în care unele părți, acționând în mod iresponsabil, ar utiliza, de exemplu, doar avertizări în loc să conceapă produse sigure. De asemenea, introducerea principiilor generale de proiectare ar facilita supravegherea pieței. </w:t>
            </w:r>
          </w:p>
          <w:p w14:paraId="5E870527"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Pe parcursul anilor 2014-2020 în RM a fost dezvoltat și aprobat cadrul legal privind eficiența energetică. Astfel, prin pachet de legi (</w:t>
            </w:r>
            <w:r w:rsidRPr="00E338A0">
              <w:rPr>
                <w:rFonts w:ascii="Times New Roman" w:eastAsia="Times New Roman" w:hAnsi="Times New Roman" w:cs="Times New Roman"/>
                <w:bCs/>
                <w:i/>
                <w:sz w:val="28"/>
                <w:szCs w:val="28"/>
                <w:lang w:val="ro-RO" w:eastAsia="en-GB"/>
              </w:rPr>
              <w:t>Legea</w:t>
            </w:r>
            <w:r w:rsidRPr="00E338A0">
              <w:rPr>
                <w:rFonts w:ascii="Times New Roman" w:eastAsia="Times New Roman" w:hAnsi="Times New Roman" w:cs="Times New Roman"/>
                <w:i/>
                <w:sz w:val="28"/>
                <w:szCs w:val="28"/>
                <w:lang w:val="ro-RO" w:eastAsia="en-GB"/>
              </w:rPr>
              <w:t xml:space="preserve"> nr.139 din 19.07.2018</w:t>
            </w:r>
            <w:r w:rsidRPr="00E338A0">
              <w:rPr>
                <w:rFonts w:ascii="Times New Roman" w:eastAsia="Times New Roman" w:hAnsi="Times New Roman" w:cs="Times New Roman"/>
                <w:bCs/>
                <w:i/>
                <w:sz w:val="28"/>
                <w:szCs w:val="28"/>
                <w:lang w:val="ro-RO" w:eastAsia="en-GB"/>
              </w:rPr>
              <w:t xml:space="preserve"> cu privire la eficienţa energetică</w:t>
            </w:r>
            <w:r w:rsidRPr="00E338A0">
              <w:rPr>
                <w:rFonts w:ascii="Times New Roman" w:eastAsia="Times New Roman" w:hAnsi="Times New Roman" w:cs="Times New Roman"/>
                <w:i/>
                <w:sz w:val="28"/>
                <w:szCs w:val="28"/>
                <w:lang w:val="ro-RO" w:eastAsia="en-GB"/>
              </w:rPr>
              <w:t xml:space="preserve">, </w:t>
            </w:r>
            <w:r w:rsidRPr="00E338A0">
              <w:rPr>
                <w:rFonts w:ascii="Times New Roman" w:eastAsia="Calibri" w:hAnsi="Times New Roman" w:cs="Times New Roman"/>
                <w:i/>
                <w:sz w:val="28"/>
                <w:szCs w:val="28"/>
                <w:lang w:val="ro-RO"/>
              </w:rPr>
              <w:t>Legea</w:t>
            </w:r>
            <w:r w:rsidRPr="00E338A0">
              <w:rPr>
                <w:rFonts w:ascii="Times New Roman" w:eastAsia="Times New Roman" w:hAnsi="Times New Roman" w:cs="Times New Roman"/>
                <w:bCs/>
                <w:i/>
                <w:sz w:val="28"/>
                <w:szCs w:val="28"/>
                <w:lang w:val="ro-RO" w:eastAsia="en-GB"/>
              </w:rPr>
              <w:t xml:space="preserve"> nr. 92 din 29.05.2014 cu privire la energia termică şi promovarea cogenerării</w:t>
            </w:r>
            <w:r w:rsidRPr="00E338A0">
              <w:rPr>
                <w:rFonts w:ascii="Times New Roman" w:eastAsia="Calibri" w:hAnsi="Times New Roman" w:cs="Times New Roman"/>
                <w:i/>
                <w:sz w:val="28"/>
                <w:szCs w:val="28"/>
                <w:lang w:val="ro-RO"/>
              </w:rPr>
              <w:t xml:space="preserve">, Legea </w:t>
            </w:r>
            <w:r w:rsidRPr="00E338A0">
              <w:rPr>
                <w:rFonts w:ascii="Times New Roman" w:eastAsia="Times New Roman" w:hAnsi="Times New Roman" w:cs="Times New Roman"/>
                <w:bCs/>
                <w:i/>
                <w:sz w:val="28"/>
                <w:szCs w:val="28"/>
                <w:lang w:val="ro-RO" w:eastAsia="en-GB"/>
              </w:rPr>
              <w:t>nr. 151 din 17.07.2014 privind cerinţele în materie de proiectare ecologică aplicabile produselor cu impact energetic,</w:t>
            </w:r>
            <w:r w:rsidRPr="00E338A0">
              <w:rPr>
                <w:rFonts w:ascii="Calibri" w:eastAsia="Calibri" w:hAnsi="Calibri" w:cs="Times New Roman"/>
                <w:i/>
                <w:sz w:val="28"/>
                <w:szCs w:val="28"/>
                <w:lang w:val="ro-RO"/>
              </w:rPr>
              <w:t xml:space="preserve"> </w:t>
            </w:r>
            <w:r w:rsidRPr="00E338A0">
              <w:rPr>
                <w:rFonts w:ascii="Times New Roman" w:eastAsia="Calibri" w:hAnsi="Times New Roman" w:cs="Times New Roman"/>
                <w:i/>
                <w:sz w:val="28"/>
                <w:szCs w:val="28"/>
                <w:lang w:val="ro-RO"/>
              </w:rPr>
              <w:t>Legea nr. 44 din 27.03.2014 privind etichetarea produselor cu impact energetic</w:t>
            </w:r>
            <w:r w:rsidRPr="00E338A0">
              <w:rPr>
                <w:rFonts w:ascii="Times New Roman" w:eastAsia="Times New Roman" w:hAnsi="Times New Roman" w:cs="Times New Roman"/>
                <w:bCs/>
                <w:sz w:val="28"/>
                <w:szCs w:val="28"/>
                <w:lang w:val="ro-RO" w:eastAsia="en-GB"/>
              </w:rPr>
              <w:t>), cu care aparatele consumatoare de combustibili gazoși au tangenta, să abordează riscurile legate de utilizarea gazelor pe care ar putea prezenta aparatele și accesoriile. În special, e</w:t>
            </w:r>
            <w:r w:rsidRPr="00E338A0">
              <w:rPr>
                <w:rFonts w:ascii="Times New Roman" w:eastAsia="Calibri" w:hAnsi="Times New Roman" w:cs="Times New Roman"/>
                <w:sz w:val="28"/>
                <w:szCs w:val="28"/>
                <w:lang w:val="ro-RO"/>
              </w:rPr>
              <w:t>xistă preocupări de ordin general de siguranță cu privire la intoxicarea cu CO, care este cauză principala de decese asociată cu aparatele consumatoare de combustibili gazoși. Acest lucru pare să se refere la aspecte care ies din sfera de aplicare a Hotărîrii Guvernului nr. 1329/2016, cum ar fi deficiențele apărute în etapa de instalare, lipsa de întreținere și utilizarea incorectă a aparatelor.</w:t>
            </w:r>
            <w:r w:rsidRPr="00E338A0">
              <w:rPr>
                <w:rFonts w:ascii="Times New Roman" w:eastAsia="Times New Roman" w:hAnsi="Times New Roman" w:cs="Times New Roman"/>
                <w:b/>
                <w:bCs/>
                <w:sz w:val="28"/>
                <w:szCs w:val="28"/>
                <w:lang w:val="ro-RO" w:eastAsia="en-GB"/>
              </w:rPr>
              <w:t xml:space="preserve"> </w:t>
            </w:r>
            <w:r w:rsidRPr="00E338A0">
              <w:rPr>
                <w:rFonts w:ascii="Times New Roman" w:eastAsia="Calibri" w:hAnsi="Times New Roman" w:cs="Times New Roman"/>
                <w:sz w:val="28"/>
                <w:szCs w:val="28"/>
                <w:lang w:val="ro-RO"/>
              </w:rPr>
              <w:t xml:space="preserve">Aspectele vizate </w:t>
            </w:r>
            <w:r w:rsidRPr="00E338A0">
              <w:rPr>
                <w:rFonts w:ascii="Times New Roman" w:eastAsia="Calibri" w:hAnsi="Times New Roman" w:cs="Times New Roman"/>
                <w:sz w:val="28"/>
                <w:szCs w:val="28"/>
                <w:lang w:val="ro-RO"/>
              </w:rPr>
              <w:lastRenderedPageBreak/>
              <w:t>în acest context sunt deja reglementate de proiectul actului normativ. Acesta stabilește cerințe esențiale în mod eficient și problemele identificate mai sus nu vor persista în cazul aprobării proiectului nou.</w:t>
            </w:r>
          </w:p>
          <w:p w14:paraId="7CDD8E65" w14:textId="61FB6561" w:rsidR="00E338A0" w:rsidRPr="00E338A0" w:rsidRDefault="00E338A0" w:rsidP="00E338A0">
            <w:pPr>
              <w:spacing w:after="0" w:line="240" w:lineRule="auto"/>
              <w:ind w:left="97" w:right="238"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Aspectele vizate mai sus sunt deja reglementate de Hotărîrea Guvernului nr.</w:t>
            </w:r>
            <w:r w:rsidRPr="00E338A0">
              <w:rPr>
                <w:rFonts w:ascii="Times New Roman" w:eastAsia="Calibri" w:hAnsi="Times New Roman" w:cs="Times New Roman"/>
                <w:sz w:val="28"/>
                <w:szCs w:val="28"/>
                <w:lang w:val="ro-RO"/>
              </w:rPr>
              <w:t>1329/2016</w:t>
            </w:r>
            <w:r w:rsidRPr="00E338A0">
              <w:rPr>
                <w:rFonts w:ascii="Times New Roman" w:eastAsia="Times New Roman" w:hAnsi="Times New Roman" w:cs="Times New Roman"/>
                <w:sz w:val="28"/>
                <w:szCs w:val="28"/>
                <w:lang w:val="ro-RO"/>
              </w:rPr>
              <w:t xml:space="preserve">, însă această nu abordează în mod eficient problemele identificate. În urma analizei, se poate concluziona că problemele vor persista dacă </w:t>
            </w:r>
            <w:r w:rsidRPr="00E338A0">
              <w:rPr>
                <w:rFonts w:ascii="Times New Roman" w:eastAsia="Calibri" w:hAnsi="Times New Roman" w:cs="Times New Roman"/>
                <w:sz w:val="28"/>
                <w:szCs w:val="28"/>
                <w:lang w:val="ro-RO"/>
              </w:rPr>
              <w:t xml:space="preserve">hotărîrea prenotată </w:t>
            </w:r>
            <w:r w:rsidRPr="00E338A0">
              <w:rPr>
                <w:rFonts w:ascii="Times New Roman" w:eastAsia="Times New Roman" w:hAnsi="Times New Roman" w:cs="Times New Roman"/>
                <w:sz w:val="28"/>
                <w:szCs w:val="28"/>
                <w:lang w:val="ro-RO"/>
              </w:rPr>
              <w:t>nu va fi înlocuită.</w:t>
            </w:r>
          </w:p>
          <w:p w14:paraId="5AACA1BD" w14:textId="77777777" w:rsidR="00E338A0" w:rsidRPr="00E338A0" w:rsidRDefault="00E338A0" w:rsidP="00E338A0">
            <w:pPr>
              <w:autoSpaceDE w:val="0"/>
              <w:autoSpaceDN w:val="0"/>
              <w:adjustRightInd w:val="0"/>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0E2EC534"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5CD5B933"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lang w:val="ro-RO"/>
              </w:rPr>
              <w:lastRenderedPageBreak/>
              <w:t xml:space="preserve">e) </w:t>
            </w:r>
            <w:r w:rsidRPr="00E338A0">
              <w:rPr>
                <w:rFonts w:ascii="Times New Roman" w:eastAsia="Times New Roman" w:hAnsi="Times New Roman" w:cs="Times New Roman"/>
                <w:b/>
                <w:sz w:val="28"/>
                <w:szCs w:val="28"/>
                <w:highlight w:val="green"/>
                <w:lang w:val="ro-RO"/>
              </w:rPr>
              <w:t>Descrieți cadrul juridic actual aplicabil raporturilor analizate şi identificați carenţele prevederilor normative în vigoare, identificați documentele de politici şi reglementările existente care condiţionează intervenţia statului</w:t>
            </w:r>
          </w:p>
        </w:tc>
      </w:tr>
      <w:tr w:rsidR="00E338A0" w:rsidRPr="00E338A0" w14:paraId="0EC90EE8"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350100B" w14:textId="77777777" w:rsidR="00E338A0" w:rsidRPr="00E338A0" w:rsidRDefault="00E338A0" w:rsidP="00E338A0">
            <w:pPr>
              <w:shd w:val="clear" w:color="auto" w:fill="FFFFFF"/>
              <w:spacing w:after="165" w:line="240" w:lineRule="auto"/>
              <w:ind w:right="238" w:firstLine="477"/>
              <w:jc w:val="both"/>
              <w:outlineLvl w:val="4"/>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en-GB"/>
              </w:rPr>
              <w:t>Cadrul juridic în ceea ce privește obligațiile producătorilor, importatorilor, reprezentanților autorizați și distribuitorilor pentru domeniu armonizat este relatat în Legea nr. 235/2011. De asemenea, în linii generale sunt prezentate cerințele către organisme notificate, autorități de notificare. Legea 7/2016 reglementează dispoziții privind supravegherea pieței. Legile nominalizate prezintă cadrul normativ orizontal/general aplicabil, inclusiv, aparatelor consumatoare de combustibili gazoși, ultimele fiind indicate în Anexa nr. 3 din Legea 235/2011 și, respectiv, în Anexa din Legea 7/2016</w:t>
            </w:r>
            <w:r w:rsidRPr="00E338A0">
              <w:rPr>
                <w:rFonts w:ascii="Georgia" w:eastAsia="Times New Roman" w:hAnsi="Georgia" w:cs="Times New Roman"/>
                <w:bCs/>
                <w:sz w:val="28"/>
                <w:szCs w:val="28"/>
                <w:lang w:val="ro-RO" w:eastAsia="ru-RU"/>
              </w:rPr>
              <w:t xml:space="preserve"> </w:t>
            </w:r>
            <w:r w:rsidRPr="00E338A0">
              <w:rPr>
                <w:rFonts w:ascii="Times New Roman" w:eastAsia="Times New Roman" w:hAnsi="Times New Roman" w:cs="Times New Roman"/>
                <w:bCs/>
                <w:sz w:val="28"/>
                <w:szCs w:val="28"/>
                <w:lang w:val="ro-RO" w:eastAsia="ru-RU"/>
              </w:rPr>
              <w:t>privind supravegherea pieţei în ceea ce privește comercializarea produselor nealimentare.</w:t>
            </w:r>
          </w:p>
          <w:p w14:paraId="218439A9" w14:textId="77777777" w:rsidR="00E338A0" w:rsidRPr="00E338A0" w:rsidRDefault="00E338A0" w:rsidP="00E338A0">
            <w:pPr>
              <w:shd w:val="clear" w:color="auto" w:fill="FFFFFF"/>
              <w:spacing w:after="165"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en-GB"/>
              </w:rPr>
              <w:t>Conform alin. (8) art. 3 din Legea 420/2006 ”</w:t>
            </w:r>
            <w:r w:rsidRPr="00E338A0">
              <w:rPr>
                <w:rFonts w:ascii="Times New Roman" w:eastAsia="Times New Roman" w:hAnsi="Times New Roman" w:cs="Times New Roman"/>
                <w:sz w:val="28"/>
                <w:szCs w:val="28"/>
                <w:lang w:val="ro-RO" w:eastAsia="ru-RU"/>
              </w:rPr>
              <w:t xml:space="preserve">În cazul în care </w:t>
            </w:r>
            <w:r w:rsidRPr="00E338A0">
              <w:rPr>
                <w:rFonts w:ascii="Times New Roman" w:eastAsia="Times New Roman" w:hAnsi="Times New Roman" w:cs="Times New Roman"/>
                <w:spacing w:val="1"/>
                <w:sz w:val="28"/>
                <w:szCs w:val="28"/>
                <w:lang w:val="ro-RO" w:eastAsia="ru-RU"/>
              </w:rPr>
              <w:t xml:space="preserve">aceloraşi produse şi servicii le sînt aplicabile atât </w:t>
            </w:r>
            <w:r w:rsidRPr="00E338A0">
              <w:rPr>
                <w:rFonts w:ascii="Times New Roman" w:eastAsia="Times New Roman" w:hAnsi="Times New Roman" w:cs="Times New Roman"/>
                <w:spacing w:val="-8"/>
                <w:sz w:val="28"/>
                <w:szCs w:val="28"/>
                <w:lang w:val="ro-RO" w:eastAsia="ru-RU"/>
              </w:rPr>
              <w:t xml:space="preserve">reglementări tehnice generale, câț şi </w:t>
            </w:r>
            <w:r w:rsidRPr="00E338A0">
              <w:rPr>
                <w:rFonts w:ascii="Times New Roman" w:eastAsia="Times New Roman" w:hAnsi="Times New Roman" w:cs="Times New Roman"/>
                <w:sz w:val="28"/>
                <w:szCs w:val="28"/>
                <w:lang w:val="ro-RO" w:eastAsia="ru-RU"/>
              </w:rPr>
              <w:t>reglementări tehnice specifice, se aplică reglementările tehnice specifice.”</w:t>
            </w:r>
          </w:p>
          <w:p w14:paraId="68A4BCB1" w14:textId="77777777" w:rsidR="00E338A0" w:rsidRPr="00E338A0" w:rsidRDefault="00E338A0" w:rsidP="00E338A0">
            <w:pPr>
              <w:shd w:val="clear" w:color="auto" w:fill="FFFFFF"/>
              <w:spacing w:after="165" w:line="240" w:lineRule="auto"/>
              <w:ind w:left="97" w:right="239" w:firstLine="477"/>
              <w:jc w:val="both"/>
              <w:rPr>
                <w:rFonts w:ascii="Times New Roman" w:eastAsia="Times New Roman" w:hAnsi="Times New Roman" w:cs="Times New Roman"/>
                <w:sz w:val="28"/>
                <w:szCs w:val="28"/>
                <w:lang w:val="ro-RO" w:eastAsia="ru-RU"/>
              </w:rPr>
            </w:pPr>
            <w:r w:rsidRPr="00E338A0">
              <w:rPr>
                <w:rFonts w:ascii="Times New Roman" w:eastAsia="Times New Roman" w:hAnsi="Times New Roman" w:cs="Times New Roman"/>
                <w:sz w:val="28"/>
                <w:szCs w:val="28"/>
                <w:lang w:val="ro-RO" w:eastAsia="en-GB"/>
              </w:rPr>
              <w:t xml:space="preserve">Cu toate acestea, aparatele consumatoare de combustibili gazoși, fiind produse care utilizează energie (gaze naturale, biogaze, energia electrică) fac indirect subiectul documentelor de politici cum ar fi </w:t>
            </w:r>
            <w:r w:rsidRPr="00E338A0">
              <w:rPr>
                <w:rFonts w:ascii="Times New Roman" w:eastAsia="Times New Roman" w:hAnsi="Times New Roman" w:cs="Times New Roman"/>
                <w:sz w:val="28"/>
                <w:szCs w:val="28"/>
                <w:lang w:val="ro-RO" w:eastAsia="en-CA"/>
              </w:rPr>
              <w:t>Strategia energetică a Republicii Moldova până în anul 2030 (Hotărîrea Guvernului nr. 102/2013) care prevede integrarea Republicii Moldova în piață energetică internă a Uniunii Europene, stabilind ca obiectiv diversificarea și</w:t>
            </w:r>
            <w:r w:rsidRPr="00E338A0">
              <w:rPr>
                <w:rFonts w:ascii="Times New Roman" w:eastAsia="Times New Roman" w:hAnsi="Times New Roman" w:cs="Times New Roman"/>
                <w:sz w:val="28"/>
                <w:szCs w:val="28"/>
                <w:lang w:val="ro-RO" w:eastAsia="en-GB"/>
              </w:rPr>
              <w:t xml:space="preserve"> n</w:t>
            </w:r>
            <w:r w:rsidRPr="00E338A0">
              <w:rPr>
                <w:rFonts w:ascii="Times New Roman" w:eastAsia="Times New Roman" w:hAnsi="Times New Roman" w:cs="Times New Roman"/>
                <w:sz w:val="28"/>
                <w:szCs w:val="28"/>
                <w:lang w:val="ro-RO" w:eastAsia="ru-RU"/>
              </w:rPr>
              <w:t>oile alternative de furnizare a gazelor bazate pe surse regenerabile, care în final pot servi surse de gaze pentru aparate consumatoare de combustibili gazoși.</w:t>
            </w:r>
          </w:p>
          <w:p w14:paraId="12E7CA44" w14:textId="77777777" w:rsidR="00E338A0" w:rsidRPr="00E338A0" w:rsidRDefault="00E338A0" w:rsidP="00E338A0">
            <w:pPr>
              <w:shd w:val="clear" w:color="auto" w:fill="FFFFFF"/>
              <w:spacing w:after="165" w:line="240" w:lineRule="auto"/>
              <w:ind w:left="97" w:right="23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Printre acțiuni prioritare cuprinse în Planul de acțiuni a Guvernului pentru anii 2020-2023 aprobat prin Hotărîrea Guvernului nr. 636/2019 se numără promovarea proiectelor și realizarea măsurilor care contribuie la eficientizarea consumului de resurse energetice și valorificarea energiei regenerabile, și dezvoltarea energiei „verzi” care influențează stimularea interesului pentru producerea aparatelor consumatoare gazoși ce au capacități pentru valorificarea surselor de energiei regenerabile, inclusiv folosirea tehnologiilor eficiente și curate. </w:t>
            </w:r>
          </w:p>
          <w:p w14:paraId="61473EC2"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Aparatele fabricate pentru a fi utilizate în procesele tehnologice desfășurate în incinte industriale sunt excluse din domeniul de aplicare a proiectului. Asemenea aparate consumatoare de combustibili gazoși fac subiectul Legii nr. 116/2012 privind </w:t>
            </w:r>
            <w:r w:rsidRPr="00E338A0">
              <w:rPr>
                <w:rFonts w:ascii="Times New Roman" w:eastAsia="Calibri" w:hAnsi="Times New Roman" w:cs="Times New Roman"/>
                <w:sz w:val="28"/>
                <w:szCs w:val="28"/>
                <w:lang w:val="ro-RO" w:eastAsia="ru-RU"/>
              </w:rPr>
              <w:lastRenderedPageBreak/>
              <w:t xml:space="preserve">securitatea industrială a obiectelor industriale periculoase și actelor normative subsidiare acestei legi. </w:t>
            </w:r>
          </w:p>
          <w:p w14:paraId="053F9131"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Din altă perspectivă, unele componente (de exemplu: fitinguri) dintr-un aparat de gaz industrial se certifică conform standardelor europene armonizate cu Hotărîrea Guvernului nr. 1329/2016 sau componente de comandă și reglare, componente electrice, dispozitive de siguranță împotriva flăcării etc. fac subiectul altor reglementări tehnice, aprobate prin o șir de alte acte normative, cum ar fi:</w:t>
            </w:r>
          </w:p>
          <w:p w14:paraId="72B1A9D0"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130/2014 privind mașini industriale;</w:t>
            </w:r>
          </w:p>
          <w:p w14:paraId="24CC866D"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808/2015 privind compatibilitatea electromagnetică;</w:t>
            </w:r>
          </w:p>
          <w:p w14:paraId="554DD2CC"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1407/2016 privind echipamentele și sisteme de protecție destinate utilizării în medii potențial explozive;</w:t>
            </w:r>
          </w:p>
          <w:p w14:paraId="259CB5BA"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1333/2016 privind echipamentele sub presiune;</w:t>
            </w:r>
          </w:p>
          <w:p w14:paraId="07F45D57"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408/20154 privind mijloacele de măsurare;</w:t>
            </w:r>
          </w:p>
          <w:p w14:paraId="44AD91FF"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913/2016 privind produsele pentru construcții;</w:t>
            </w:r>
          </w:p>
          <w:p w14:paraId="51C6B0BD" w14:textId="77777777" w:rsidR="00E338A0" w:rsidRPr="00E338A0" w:rsidRDefault="00E338A0" w:rsidP="00E338A0">
            <w:pPr>
              <w:numPr>
                <w:ilvl w:val="0"/>
                <w:numId w:val="19"/>
              </w:numPr>
              <w:spacing w:after="0" w:line="240" w:lineRule="auto"/>
              <w:ind w:left="97" w:right="97" w:firstLine="425"/>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745/2015 echipamentele electrice destinate utilizării în cadrul unor anumite limite de tensiune;</w:t>
            </w:r>
          </w:p>
          <w:p w14:paraId="4E7718FA" w14:textId="77777777" w:rsidR="00E338A0" w:rsidRPr="00E338A0" w:rsidRDefault="00E338A0" w:rsidP="00E338A0">
            <w:pPr>
              <w:numPr>
                <w:ilvl w:val="0"/>
                <w:numId w:val="19"/>
              </w:numPr>
              <w:spacing w:after="0" w:line="240" w:lineRule="auto"/>
              <w:ind w:left="232" w:right="188" w:firstLine="263"/>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Hotărîrea Guvernului nr. 428/2009 Cerințele de randament pentru cazanele noi de apă caldă cu combustie lichidă sau gazoasă.</w:t>
            </w:r>
          </w:p>
          <w:p w14:paraId="4A061240" w14:textId="77777777" w:rsidR="00E338A0" w:rsidRPr="00E338A0" w:rsidRDefault="00E338A0" w:rsidP="00E338A0">
            <w:pPr>
              <w:spacing w:after="0" w:line="240" w:lineRule="auto"/>
              <w:ind w:left="135" w:right="188" w:firstLine="450"/>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În plus, Legea nr. 186/2008 securității și sănătății în muncă și șir de acte normative subsidiare privind utilizatorii finali care privesc angajatorii din industriile de proces termic pe bază de gaz, inclusiv Hotărîrea Guvernului nr/ 603/2011 p</w:t>
            </w:r>
            <w:r w:rsidRPr="00E338A0">
              <w:rPr>
                <w:rFonts w:ascii="Times New Roman" w:eastAsia="Times New Roman" w:hAnsi="Times New Roman" w:cs="Times New Roman"/>
                <w:bCs/>
                <w:sz w:val="28"/>
                <w:szCs w:val="28"/>
                <w:lang w:val="ro-RO" w:eastAsia="en-GB"/>
              </w:rPr>
              <w:t xml:space="preserve">rivind cerinţele minime de securitate şi sănătate pentru folosirea </w:t>
            </w:r>
            <w:r w:rsidRPr="00E338A0">
              <w:rPr>
                <w:rFonts w:ascii="Times New Roman" w:eastAsia="Times New Roman" w:hAnsi="Times New Roman" w:cs="Times New Roman"/>
                <w:sz w:val="28"/>
                <w:szCs w:val="28"/>
                <w:lang w:val="ro-RO" w:eastAsia="en-GB"/>
              </w:rPr>
              <w:t>de către lucrători a echipamentului de muncă la locul de muncă</w:t>
            </w:r>
            <w:r w:rsidRPr="00E338A0">
              <w:rPr>
                <w:rFonts w:ascii="Times New Roman" w:eastAsia="Calibri" w:hAnsi="Times New Roman" w:cs="Times New Roman"/>
                <w:sz w:val="28"/>
                <w:szCs w:val="28"/>
                <w:lang w:val="ro-RO" w:eastAsia="ru-RU"/>
              </w:rPr>
              <w:t>.</w:t>
            </w:r>
          </w:p>
          <w:p w14:paraId="65F6FC83"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Examinînd acte normative menționate mai sus, se constată că nu există dovezi privind lacune sau discrepanțe cu proiectul nou de reglementare tehnică, respectiv nu există riscuri pentru siguranța aparatelor consumatoare cu combustibili gazoși reglementate de proiectul de act normativ. </w:t>
            </w:r>
          </w:p>
          <w:p w14:paraId="4F421092"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Prin urmare în proiectul se vor prezentate prevederi care vor fi în totală concordanța cu prevederile actelor normative superioare, precum și unele prevederi administrative/procedurale care vor sprijini aplicarea corectă în practică a acestuia de toate părțile vizate (autorități, agenți economici, organisme de evaluare a conformității).</w:t>
            </w:r>
          </w:p>
          <w:p w14:paraId="348288DB"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03A04486"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4D897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lastRenderedPageBreak/>
              <w:t>2. Stabilirea obiectivelor</w:t>
            </w:r>
          </w:p>
        </w:tc>
      </w:tr>
      <w:tr w:rsidR="00E338A0" w:rsidRPr="00E338A0" w14:paraId="3B58B4D5"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3671806D"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a) Expuneți obiectivele (care trebuie să fie legate direct de problemă și cauzele acesteia, formulate cuantificat, măsurabil, fixat în timp și realist</w:t>
            </w:r>
            <w:r w:rsidRPr="00E338A0">
              <w:rPr>
                <w:rFonts w:ascii="Times New Roman" w:eastAsia="Times New Roman" w:hAnsi="Times New Roman" w:cs="Times New Roman"/>
                <w:b/>
                <w:sz w:val="28"/>
                <w:szCs w:val="28"/>
                <w:highlight w:val="green"/>
                <w:lang w:val="ro-RO"/>
              </w:rPr>
              <w:t>)</w:t>
            </w:r>
          </w:p>
        </w:tc>
      </w:tr>
      <w:tr w:rsidR="00E338A0" w:rsidRPr="00E338A0" w14:paraId="045493BF"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51E240C" w14:textId="77777777" w:rsidR="00E338A0" w:rsidRPr="00E338A0" w:rsidRDefault="00E338A0" w:rsidP="00E338A0">
            <w:pPr>
              <w:spacing w:before="150" w:after="15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Times New Roman" w:hAnsi="Times New Roman" w:cs="Times New Roman"/>
                <w:sz w:val="28"/>
                <w:szCs w:val="28"/>
                <w:lang w:val="ro-RO" w:eastAsia="en-GB"/>
              </w:rPr>
              <w:t>Scopul prezentului proiect este să se asigură că domeniul de aplicare, cerințele esențiale și procedurile de evaluare a conformității trebuie să fie astfel, în care nu există flexibilitatea și care impune norme clare și detaliate pentru asigurarea aplicării uniforme în Republica Moldova de către toate părțile implicate: agenți economici, organismele de evaluare a conformității și autorități cu funcții de supraveghere a pieței.</w:t>
            </w:r>
            <w:r w:rsidRPr="00E338A0">
              <w:rPr>
                <w:rFonts w:ascii="Times New Roman" w:eastAsia="Calibri" w:hAnsi="Times New Roman" w:cs="Times New Roman"/>
                <w:sz w:val="28"/>
                <w:szCs w:val="28"/>
                <w:lang w:val="ro-RO"/>
              </w:rPr>
              <w:t xml:space="preserve"> </w:t>
            </w:r>
          </w:p>
          <w:p w14:paraId="0059C3F1" w14:textId="77777777" w:rsidR="00E338A0" w:rsidRPr="00E338A0" w:rsidRDefault="00E338A0" w:rsidP="00E338A0">
            <w:pPr>
              <w:spacing w:after="0" w:line="240" w:lineRule="auto"/>
              <w:ind w:lef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Obiectivele acestei inițiative sunt următoarele:</w:t>
            </w:r>
          </w:p>
          <w:p w14:paraId="0EBEB764" w14:textId="77777777" w:rsidR="00E338A0" w:rsidRPr="00E338A0" w:rsidRDefault="00E338A0" w:rsidP="00E338A0">
            <w:pPr>
              <w:spacing w:after="0" w:line="240" w:lineRule="auto"/>
              <w:ind w:left="97" w:firstLine="477"/>
              <w:jc w:val="both"/>
              <w:rPr>
                <w:rFonts w:ascii="Times New Roman" w:eastAsia="Calibri" w:hAnsi="Times New Roman" w:cs="Times New Roman"/>
                <w:sz w:val="28"/>
                <w:szCs w:val="28"/>
                <w:u w:val="single"/>
                <w:lang w:val="ro-RO"/>
              </w:rPr>
            </w:pPr>
            <w:r w:rsidRPr="00E338A0">
              <w:rPr>
                <w:rFonts w:ascii="Times New Roman" w:eastAsia="Calibri" w:hAnsi="Times New Roman" w:cs="Times New Roman"/>
                <w:sz w:val="28"/>
                <w:szCs w:val="28"/>
                <w:u w:val="single"/>
                <w:lang w:val="ro-RO"/>
              </w:rPr>
              <w:t xml:space="preserve">Generale: </w:t>
            </w:r>
          </w:p>
          <w:p w14:paraId="458E2BB4"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lastRenderedPageBreak/>
              <w:t>-Să se asigure o mai bună protecție a sănătății și siguranței utilizatorilor de aparate consumatoare de combustibili gazoși și accesorii ale acestora, precum și o funcționare corespunzătoare a acestora;</w:t>
            </w:r>
          </w:p>
          <w:p w14:paraId="7A2F7F52" w14:textId="77777777" w:rsidR="00E338A0" w:rsidRPr="00E338A0" w:rsidRDefault="00E338A0" w:rsidP="00E338A0">
            <w:pPr>
              <w:spacing w:after="0" w:line="240" w:lineRule="auto"/>
              <w:ind w:left="97" w:right="23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-Să se amelioreze condițiile de concurență echitabilă pentru agenții economici din sector.</w:t>
            </w:r>
          </w:p>
          <w:p w14:paraId="0B346487" w14:textId="77777777" w:rsidR="00E338A0" w:rsidRPr="00E338A0" w:rsidRDefault="00E338A0" w:rsidP="00E338A0">
            <w:pPr>
              <w:spacing w:after="0" w:line="240" w:lineRule="auto"/>
              <w:ind w:left="97" w:firstLine="477"/>
              <w:jc w:val="both"/>
              <w:rPr>
                <w:rFonts w:ascii="Times New Roman" w:eastAsia="Calibri" w:hAnsi="Times New Roman" w:cs="Times New Roman"/>
                <w:sz w:val="28"/>
                <w:szCs w:val="28"/>
                <w:u w:val="single"/>
                <w:lang w:val="ro-RO"/>
              </w:rPr>
            </w:pPr>
            <w:r w:rsidRPr="00E338A0">
              <w:rPr>
                <w:rFonts w:ascii="Times New Roman" w:eastAsia="Calibri" w:hAnsi="Times New Roman" w:cs="Times New Roman"/>
                <w:sz w:val="28"/>
                <w:szCs w:val="28"/>
                <w:u w:val="single"/>
                <w:lang w:val="ro-RO"/>
              </w:rPr>
              <w:t xml:space="preserve">Specifice: </w:t>
            </w:r>
          </w:p>
          <w:p w14:paraId="74014CB5" w14:textId="77777777" w:rsidR="00E338A0" w:rsidRPr="00E338A0" w:rsidRDefault="00E338A0" w:rsidP="00E338A0">
            <w:pPr>
              <w:spacing w:after="0" w:line="240" w:lineRule="auto"/>
              <w:ind w:left="97"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Să se asigure claritatea cerințelor esențiale și administrative;</w:t>
            </w:r>
          </w:p>
          <w:p w14:paraId="70E8A866" w14:textId="77777777" w:rsidR="00E338A0" w:rsidRPr="00E338A0" w:rsidRDefault="00E338A0" w:rsidP="008C2C82">
            <w:pPr>
              <w:spacing w:after="0" w:line="240" w:lineRule="auto"/>
              <w:ind w:left="97" w:right="225"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Să se asigurare claritate juridică în ceea ce privește aplicarea legislației specifice privind utilizarea rațională a energiei;</w:t>
            </w:r>
          </w:p>
          <w:p w14:paraId="28913995" w14:textId="77777777" w:rsidR="00E338A0" w:rsidRPr="00E338A0" w:rsidRDefault="00E338A0" w:rsidP="00E338A0">
            <w:pPr>
              <w:spacing w:after="0" w:line="240" w:lineRule="auto"/>
              <w:ind w:left="97" w:right="239" w:firstLine="477"/>
              <w:contextualSpacing/>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 Să se asigure că legislația este actualizată; </w:t>
            </w:r>
          </w:p>
          <w:p w14:paraId="665ACB97" w14:textId="77777777" w:rsidR="00E338A0" w:rsidRPr="00E338A0" w:rsidRDefault="00E338A0" w:rsidP="00E338A0">
            <w:pPr>
              <w:spacing w:after="0" w:line="240" w:lineRule="auto"/>
              <w:ind w:left="97" w:right="23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 Să se asigure claritatea domeniului de aplicare; </w:t>
            </w:r>
          </w:p>
          <w:p w14:paraId="44413E1E"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Să se specifice conținutul informațiilor care trebuie comunicate cu privire la tipurile de gaz și presiunile de livrare corespunzătoare utilizate în RM;</w:t>
            </w:r>
          </w:p>
          <w:p w14:paraId="15F8CBB5"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Să se elimine dispozițiile învechite care exclud aparatele a căror temperatură normală a apei depășește 105</w:t>
            </w:r>
            <w:r w:rsidRPr="00E338A0">
              <w:rPr>
                <w:rFonts w:ascii="Times New Roman" w:eastAsia="Calibri" w:hAnsi="Times New Roman" w:cs="Times New Roman"/>
                <w:sz w:val="28"/>
                <w:szCs w:val="28"/>
                <w:vertAlign w:val="superscript"/>
                <w:lang w:val="ro-RO"/>
              </w:rPr>
              <w:t>o</w:t>
            </w:r>
            <w:r w:rsidRPr="00E338A0">
              <w:rPr>
                <w:rFonts w:ascii="Times New Roman" w:eastAsia="Calibri" w:hAnsi="Times New Roman" w:cs="Times New Roman"/>
                <w:sz w:val="28"/>
                <w:szCs w:val="28"/>
                <w:lang w:val="ro-RO"/>
              </w:rPr>
              <w:t xml:space="preserve"> C.</w:t>
            </w:r>
          </w:p>
          <w:p w14:paraId="04ABAB2F" w14:textId="77777777" w:rsidR="00E338A0" w:rsidRPr="00E338A0" w:rsidRDefault="00E338A0" w:rsidP="008C2C82">
            <w:pPr>
              <w:spacing w:after="0" w:line="240" w:lineRule="auto"/>
              <w:ind w:left="97"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Valoarea adăugată a inițiativei de elaborarea proiectului nou de reglementarea tehnică va asigura protejarea mai bună a sănătății și siguranței utilizatorilor de aparate consumatoare de combustibili gazoși și accesorii, precum și performanța adecvată a acestor produse. Claritatea îmbunătățită a definiției domeniului de aplicare și cerințele specifice pentru aparate vor facilita producătorii să stabilească dacă proiectul reglementării tehnice se aplică produselor lor, în identificarea cerințelor legale aplicabile, reducând astfel sarcina administrativă și facilitând accesul pe piață. </w:t>
            </w:r>
          </w:p>
          <w:p w14:paraId="48D2E80A"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În general, clarificarea juridică a proiectului va oferi agenților economici stabilitate datorită căreia sa va reduce sau se va elimina necesitatea de interpretare a acestuia. În acest context, se va încuraja producătorii să investească în proiecte și tehnologii avansate de produse.</w:t>
            </w:r>
          </w:p>
          <w:p w14:paraId="5E1CA9CA"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Activitatea autorității de supraveghere a pieței va fi, de asemenea, facilitată din punct de vedere reducerii pe piață a aparatelor neconforme.</w:t>
            </w:r>
          </w:p>
          <w:p w14:paraId="0CAA8247" w14:textId="77777777" w:rsidR="00E338A0" w:rsidRPr="00E338A0" w:rsidRDefault="00E338A0" w:rsidP="00E338A0">
            <w:pPr>
              <w:spacing w:after="0" w:line="240" w:lineRule="auto"/>
              <w:ind w:left="97" w:firstLine="477"/>
              <w:jc w:val="both"/>
              <w:rPr>
                <w:rFonts w:ascii="Times New Roman" w:eastAsia="Times New Roman" w:hAnsi="Times New Roman" w:cs="Times New Roman"/>
                <w:sz w:val="28"/>
                <w:szCs w:val="28"/>
                <w:lang w:val="ro-RO"/>
              </w:rPr>
            </w:pPr>
          </w:p>
        </w:tc>
      </w:tr>
      <w:tr w:rsidR="00E338A0" w:rsidRPr="00E338A0" w14:paraId="1E093372"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BB4B17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lastRenderedPageBreak/>
              <w:t>3. Identificarea opţiunilor</w:t>
            </w:r>
          </w:p>
        </w:tc>
      </w:tr>
      <w:tr w:rsidR="00E338A0" w:rsidRPr="00E338A0" w14:paraId="4DAD6E35"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620750A3"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a) Expuneți succint opțiunea „a nu face nimic”, care presupune lipsa de intervenție</w:t>
            </w:r>
          </w:p>
        </w:tc>
      </w:tr>
      <w:tr w:rsidR="00E338A0" w:rsidRPr="00E338A0" w14:paraId="6AF42C0D"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169BDCD" w14:textId="77777777" w:rsidR="00E338A0" w:rsidRPr="00E338A0" w:rsidRDefault="00E338A0" w:rsidP="00E338A0">
            <w:pPr>
              <w:spacing w:after="0" w:line="276" w:lineRule="auto"/>
              <w:ind w:left="90" w:right="189" w:firstLine="477"/>
              <w:jc w:val="both"/>
              <w:rPr>
                <w:rFonts w:ascii="Times New Roman" w:eastAsia="Times New Roman" w:hAnsi="Times New Roman" w:cs="Times New Roman"/>
                <w:bCs/>
                <w:sz w:val="28"/>
                <w:szCs w:val="28"/>
                <w:lang w:val="ro-RO" w:eastAsia="ja-JP"/>
              </w:rPr>
            </w:pPr>
            <w:r w:rsidRPr="00E338A0">
              <w:rPr>
                <w:rFonts w:ascii="Times New Roman" w:eastAsia="Times New Roman" w:hAnsi="Times New Roman" w:cs="Times New Roman"/>
                <w:bCs/>
                <w:sz w:val="28"/>
                <w:szCs w:val="28"/>
                <w:lang w:val="ro-RO" w:eastAsia="ja-JP"/>
              </w:rPr>
              <w:t>Lipsa intervenţiei de modificare a prevederilor tehnice și administrative aprobate prin Hotărârea Guvernului nr. 1369/2016 păstrează situația actuală din care rezultă:</w:t>
            </w:r>
          </w:p>
          <w:p w14:paraId="20A30D15" w14:textId="77777777" w:rsidR="00E338A0" w:rsidRPr="00E338A0" w:rsidRDefault="00E338A0" w:rsidP="00E338A0">
            <w:pPr>
              <w:spacing w:after="0" w:line="276" w:lineRule="auto"/>
              <w:ind w:left="90" w:right="189" w:firstLine="477"/>
              <w:jc w:val="both"/>
              <w:rPr>
                <w:rFonts w:ascii="Times New Roman" w:eastAsia="Times New Roman" w:hAnsi="Times New Roman" w:cs="Times New Roman"/>
                <w:bCs/>
                <w:sz w:val="28"/>
                <w:szCs w:val="28"/>
                <w:lang w:val="ro-RO" w:eastAsia="ja-JP"/>
              </w:rPr>
            </w:pPr>
            <w:r w:rsidRPr="00E338A0">
              <w:rPr>
                <w:rFonts w:ascii="Times New Roman" w:eastAsia="Times New Roman" w:hAnsi="Times New Roman" w:cs="Times New Roman"/>
                <w:bCs/>
                <w:sz w:val="28"/>
                <w:szCs w:val="28"/>
                <w:lang w:val="ro-RO" w:eastAsia="ja-JP"/>
              </w:rPr>
              <w:t>1. Cadrul normativ neactualizat  și cu normele incerte</w:t>
            </w:r>
            <w:r w:rsidRPr="00E338A0">
              <w:rPr>
                <w:rFonts w:ascii="Times New Roman" w:eastAsia="Times New Roman" w:hAnsi="Times New Roman" w:cs="Times New Roman"/>
                <w:bCs/>
                <w:sz w:val="28"/>
                <w:szCs w:val="28"/>
                <w:lang w:val="ro-RO"/>
              </w:rPr>
              <w:t>.</w:t>
            </w:r>
          </w:p>
          <w:p w14:paraId="2A39AD88"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noProof/>
                <w:sz w:val="28"/>
                <w:szCs w:val="28"/>
                <w:lang w:val="ro-RO"/>
              </w:rPr>
            </w:pPr>
            <w:r w:rsidRPr="00E338A0">
              <w:rPr>
                <w:rFonts w:ascii="Times New Roman" w:eastAsia="Times New Roman" w:hAnsi="Times New Roman" w:cs="Times New Roman"/>
                <w:noProof/>
                <w:sz w:val="28"/>
                <w:szCs w:val="28"/>
                <w:lang w:val="ro-RO"/>
              </w:rPr>
              <w:t xml:space="preserve">2. Lipsa cadrului legal pentru o </w:t>
            </w:r>
            <w:r w:rsidRPr="00E338A0">
              <w:rPr>
                <w:rFonts w:ascii="Times New Roman" w:eastAsia="Times New Roman" w:hAnsi="Times New Roman" w:cs="Times New Roman"/>
                <w:sz w:val="28"/>
                <w:szCs w:val="28"/>
                <w:lang w:val="ro-RO"/>
              </w:rPr>
              <w:t xml:space="preserve">aplicare </w:t>
            </w:r>
            <w:r w:rsidRPr="00E338A0">
              <w:rPr>
                <w:rFonts w:ascii="Times New Roman" w:eastAsia="Times New Roman" w:hAnsi="Times New Roman" w:cs="Times New Roman"/>
                <w:noProof/>
                <w:sz w:val="28"/>
                <w:szCs w:val="28"/>
                <w:lang w:val="ro-RO"/>
              </w:rPr>
              <w:t xml:space="preserve">mai eficientă </w:t>
            </w:r>
          </w:p>
          <w:p w14:paraId="01C2F827"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noProof/>
                <w:sz w:val="28"/>
                <w:szCs w:val="28"/>
                <w:lang w:val="ro-RO"/>
              </w:rPr>
              <w:t>3. Lips</w:t>
            </w:r>
            <w:r w:rsidRPr="00E338A0">
              <w:rPr>
                <w:rFonts w:ascii="Times New Roman" w:eastAsia="Times New Roman" w:hAnsi="Times New Roman" w:cs="Times New Roman"/>
                <w:sz w:val="28"/>
                <w:szCs w:val="28"/>
                <w:lang w:val="ro-RO"/>
              </w:rPr>
              <w:t>a condiţiilor favorabile şi un impact pozitiv direct asupra funcţionării pieţei interne.</w:t>
            </w:r>
          </w:p>
          <w:p w14:paraId="2FB6970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noProof/>
                <w:sz w:val="28"/>
                <w:szCs w:val="28"/>
                <w:lang w:val="ro-RO"/>
              </w:rPr>
            </w:pPr>
            <w:r w:rsidRPr="00E338A0">
              <w:rPr>
                <w:rFonts w:ascii="Times New Roman" w:eastAsia="Times New Roman" w:hAnsi="Times New Roman" w:cs="Times New Roman"/>
                <w:sz w:val="28"/>
                <w:szCs w:val="28"/>
                <w:lang w:val="ro-RO"/>
              </w:rPr>
              <w:t>3. Apariția riscului de n</w:t>
            </w:r>
            <w:r w:rsidRPr="00E338A0">
              <w:rPr>
                <w:rFonts w:ascii="Times New Roman" w:eastAsia="Times New Roman" w:hAnsi="Times New Roman" w:cs="Times New Roman"/>
                <w:bCs/>
                <w:noProof/>
                <w:sz w:val="28"/>
                <w:szCs w:val="28"/>
                <w:lang w:val="ro-RO"/>
              </w:rPr>
              <w:t xml:space="preserve">eexecutarea angajamentelor asumate prin Acordul de Asociere </w:t>
            </w:r>
            <w:r w:rsidRPr="00E338A0">
              <w:rPr>
                <w:rFonts w:ascii="Times New Roman" w:eastAsia="Times New Roman" w:hAnsi="Times New Roman" w:cs="Times New Roman"/>
                <w:sz w:val="28"/>
                <w:szCs w:val="28"/>
                <w:lang w:val="ro-RO"/>
              </w:rPr>
              <w:t>urmare n</w:t>
            </w:r>
            <w:r w:rsidRPr="00E338A0">
              <w:rPr>
                <w:rFonts w:ascii="Times New Roman" w:eastAsia="Times New Roman" w:hAnsi="Times New Roman" w:cs="Times New Roman"/>
                <w:bCs/>
                <w:noProof/>
                <w:sz w:val="28"/>
                <w:szCs w:val="28"/>
                <w:lang w:val="ro-RO"/>
              </w:rPr>
              <w:t>ealinierii la rigorile actelor juridice UE;</w:t>
            </w:r>
          </w:p>
          <w:p w14:paraId="0ACDD859"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Cs/>
                <w:noProof/>
                <w:sz w:val="28"/>
                <w:szCs w:val="28"/>
                <w:lang w:val="ro-RO"/>
              </w:rPr>
              <w:t>4. Nu se va contribui la îmbunătățirea aspectelor de siguranță, cum ar fi utilizarea aparatelor combustibili gazoși pentru temperatura 105</w:t>
            </w:r>
            <w:r w:rsidRPr="00E338A0">
              <w:rPr>
                <w:rFonts w:ascii="Times New Roman" w:eastAsia="Times New Roman" w:hAnsi="Times New Roman" w:cs="Times New Roman"/>
                <w:bCs/>
                <w:noProof/>
                <w:sz w:val="28"/>
                <w:szCs w:val="28"/>
                <w:vertAlign w:val="superscript"/>
                <w:lang w:val="ro-RO"/>
              </w:rPr>
              <w:t>0</w:t>
            </w:r>
            <w:r w:rsidRPr="00E338A0">
              <w:rPr>
                <w:rFonts w:ascii="Times New Roman" w:eastAsia="Times New Roman" w:hAnsi="Times New Roman" w:cs="Times New Roman"/>
                <w:bCs/>
                <w:noProof/>
                <w:sz w:val="28"/>
                <w:szCs w:val="28"/>
                <w:lang w:val="ro-RO"/>
              </w:rPr>
              <w:t>C.</w:t>
            </w:r>
          </w:p>
          <w:p w14:paraId="15F173CD" w14:textId="77777777" w:rsidR="00E338A0" w:rsidRPr="00E338A0" w:rsidRDefault="00E338A0" w:rsidP="00E338A0">
            <w:pPr>
              <w:spacing w:after="0" w:line="240" w:lineRule="auto"/>
              <w:ind w:firstLine="477"/>
              <w:jc w:val="both"/>
              <w:rPr>
                <w:rFonts w:ascii="Times New Roman" w:eastAsia="Times New Roman" w:hAnsi="Times New Roman" w:cs="Times New Roman"/>
                <w:sz w:val="28"/>
                <w:szCs w:val="28"/>
                <w:lang w:val="ro-RO"/>
              </w:rPr>
            </w:pPr>
          </w:p>
        </w:tc>
      </w:tr>
      <w:tr w:rsidR="00E338A0" w:rsidRPr="00E338A0" w14:paraId="3A2CE6E0"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344AF1D9"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lastRenderedPageBreak/>
              <w:t>b) Expuneți</w:t>
            </w:r>
            <w:r w:rsidRPr="00E338A0">
              <w:rPr>
                <w:rFonts w:ascii="Times New Roman" w:eastAsia="Times New Roman" w:hAnsi="Times New Roman" w:cs="Times New Roman"/>
                <w:b/>
                <w:sz w:val="28"/>
                <w:szCs w:val="28"/>
                <w:highlight w:val="green"/>
                <w:lang w:val="ro-RO"/>
              </w:rPr>
              <w:t xml:space="preserve"> principalele prevederi ale proiectului, cu impact, explicând cum acestea țintesc cauzele problemei, cu indicarea novațiilor și întregului spectru de soluţii/drepturi/obligaţii ce se doresc să fie aprobate</w:t>
            </w:r>
          </w:p>
        </w:tc>
      </w:tr>
      <w:tr w:rsidR="00E338A0" w:rsidRPr="00E338A0" w14:paraId="140B5B58"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7A1FF6E"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rPr>
              <w:t>Opțiunea recomandată presupune aprobarea actului normativ nou, armonizat cu cerințele legislației comunitare, care vine să înlocuiască HG nr. 1329/2016.</w:t>
            </w:r>
            <w:r w:rsidRPr="00E338A0">
              <w:rPr>
                <w:rFonts w:ascii="Times New Roman" w:eastAsia="Calibri" w:hAnsi="Times New Roman" w:cs="Times New Roman"/>
                <w:sz w:val="28"/>
                <w:szCs w:val="28"/>
                <w:lang w:val="ro-RO" w:eastAsia="en-GB"/>
              </w:rPr>
              <w:t xml:space="preserve"> </w:t>
            </w:r>
          </w:p>
          <w:p w14:paraId="4CD119EB"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Proiectul hotărîrii de Guvern propune următoarele aspecte noi:</w:t>
            </w:r>
          </w:p>
          <w:p w14:paraId="0CDC28FC"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 introducerea unor definiții specifice sectorului în prezent absente în Hotărîrea Guvernului nr.1329/2016;</w:t>
            </w:r>
          </w:p>
          <w:p w14:paraId="751D1280"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Calibri" w:hAnsi="Times New Roman" w:cs="Times New Roman"/>
                <w:sz w:val="28"/>
                <w:szCs w:val="28"/>
                <w:lang w:val="ro-RO" w:eastAsia="en-GB"/>
              </w:rPr>
              <w:t>- introducerea unui conținut și a unei forme unificate pentru comunicările ANRE cu privire la tipurile de gaz și presiunile de alimentare corespunzătoare utilizate pe teritoriul Republicii Moldova;</w:t>
            </w:r>
            <w:r w:rsidRPr="00E338A0">
              <w:rPr>
                <w:rFonts w:ascii="Times New Roman" w:eastAsia="Times New Roman" w:hAnsi="Times New Roman" w:cs="Times New Roman"/>
                <w:sz w:val="28"/>
                <w:szCs w:val="28"/>
                <w:lang w:val="ro-RO" w:eastAsia="en-GB"/>
              </w:rPr>
              <w:t xml:space="preserve"> </w:t>
            </w:r>
          </w:p>
          <w:p w14:paraId="775BB939"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 alinierea cu prevederile Legii nr. 235/2011 privind activitățile de acreditare și de evaluare a conformității </w:t>
            </w:r>
            <w:r w:rsidRPr="00E338A0">
              <w:rPr>
                <w:rFonts w:ascii="Times New Roman" w:eastAsia="Times New Roman" w:hAnsi="Times New Roman" w:cs="Times New Roman"/>
                <w:i/>
                <w:sz w:val="28"/>
                <w:szCs w:val="28"/>
                <w:lang w:val="ro-RO" w:eastAsia="en-GB"/>
              </w:rPr>
              <w:t>(în continuare – Legea 235/2011</w:t>
            </w:r>
            <w:r w:rsidRPr="00E338A0">
              <w:rPr>
                <w:rFonts w:ascii="Times New Roman" w:eastAsia="Times New Roman" w:hAnsi="Times New Roman" w:cs="Times New Roman"/>
                <w:sz w:val="28"/>
                <w:szCs w:val="28"/>
                <w:lang w:val="ro-RO" w:eastAsia="en-GB"/>
              </w:rPr>
              <w:t>) în ceea ce privește obligațiile agenților economici, organismelor de evaluare a conformității, autorităților de reglementare și cu prevederile Legii nr. 7/2016 în ceea ce privește obligațiile autorității de supraveghere a pieței (</w:t>
            </w:r>
            <w:r w:rsidRPr="00E338A0">
              <w:rPr>
                <w:rFonts w:ascii="Times New Roman" w:eastAsia="Times New Roman" w:hAnsi="Times New Roman" w:cs="Times New Roman"/>
                <w:i/>
                <w:sz w:val="28"/>
                <w:szCs w:val="28"/>
                <w:lang w:val="ro-RO" w:eastAsia="en-GB"/>
              </w:rPr>
              <w:t>în continuare –Legea 7/2016</w:t>
            </w:r>
            <w:r w:rsidRPr="00E338A0">
              <w:rPr>
                <w:rFonts w:ascii="Times New Roman" w:eastAsia="Times New Roman" w:hAnsi="Times New Roman" w:cs="Times New Roman"/>
                <w:sz w:val="28"/>
                <w:szCs w:val="28"/>
                <w:lang w:val="ro-RO" w:eastAsia="en-GB"/>
              </w:rPr>
              <w:t xml:space="preserve">), inclusiv mecanisme de salvgardare. </w:t>
            </w:r>
          </w:p>
          <w:p w14:paraId="14DDC24F" w14:textId="77777777" w:rsidR="00E338A0" w:rsidRPr="00E338A0" w:rsidRDefault="00E338A0" w:rsidP="008C2C82">
            <w:pPr>
              <w:spacing w:after="0" w:line="240" w:lineRule="auto"/>
              <w:ind w:left="97" w:right="135"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 clarificarea legăturii dintre normele aplicabile aparatelor consumatoare cu combustibili gazoși cu alte acte normative, inclusiv privind eficiența energetică;</w:t>
            </w:r>
          </w:p>
          <w:p w14:paraId="1A741B41" w14:textId="77777777" w:rsidR="00E338A0" w:rsidRPr="00E338A0" w:rsidRDefault="00E338A0" w:rsidP="008C2C82">
            <w:pPr>
              <w:spacing w:after="0" w:line="240" w:lineRule="auto"/>
              <w:ind w:left="97" w:right="135" w:firstLine="477"/>
              <w:jc w:val="both"/>
              <w:rPr>
                <w:rFonts w:ascii="Times New Roman" w:eastAsia="Calibri" w:hAnsi="Times New Roman" w:cs="Times New Roman"/>
                <w:sz w:val="28"/>
                <w:szCs w:val="28"/>
                <w:lang w:val="ro-RO" w:eastAsia="en-GB"/>
              </w:rPr>
            </w:pPr>
            <w:r w:rsidRPr="00E338A0">
              <w:rPr>
                <w:rFonts w:ascii="Times New Roman" w:eastAsia="Calibri" w:hAnsi="Times New Roman" w:cs="Times New Roman"/>
                <w:sz w:val="28"/>
                <w:szCs w:val="28"/>
                <w:lang w:val="ro-RO" w:eastAsia="en-GB"/>
              </w:rPr>
              <w:t>- eliminarea limitei învechite de temperatură de 105°C din definiția domeniului de aplicare;</w:t>
            </w:r>
          </w:p>
          <w:p w14:paraId="73465C2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 îmbunătățirea lizibilității unora dintre dispozițiile Hotărîrii Guvernului nr. 1329/2016. </w:t>
            </w:r>
          </w:p>
          <w:p w14:paraId="6D4B7387"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Toate prevederile vor fi completate și consolidate astfel, încât se reducă sau chiar excludă necesitatea interpretării acestora și se asigură faptul că cadrul normativ se va aplica într-un mod mai eficient în practică.</w:t>
            </w:r>
          </w:p>
          <w:p w14:paraId="029BF703" w14:textId="77777777" w:rsidR="00E338A0" w:rsidRPr="00E338A0" w:rsidRDefault="00E338A0" w:rsidP="00E338A0">
            <w:pPr>
              <w:spacing w:after="0" w:line="240" w:lineRule="auto"/>
              <w:ind w:left="97" w:right="97" w:firstLine="477"/>
              <w:jc w:val="both"/>
              <w:rPr>
                <w:rFonts w:ascii="Times New Roman" w:eastAsia="Times New Roman" w:hAnsi="Times New Roman" w:cs="Times New Roman"/>
                <w:sz w:val="28"/>
                <w:szCs w:val="28"/>
                <w:lang w:val="ro-RO" w:eastAsia="en-GB"/>
              </w:rPr>
            </w:pPr>
          </w:p>
          <w:p w14:paraId="345FD009" w14:textId="77777777" w:rsidR="00E338A0" w:rsidRPr="00E338A0" w:rsidRDefault="00E338A0" w:rsidP="00E338A0">
            <w:pPr>
              <w:spacing w:after="0" w:line="240" w:lineRule="auto"/>
              <w:ind w:left="97" w:right="238"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Prevederile noi sunt susceptibile să aibă un impact minim sau să nu aibă niciun impact, deoarece:</w:t>
            </w:r>
          </w:p>
          <w:p w14:paraId="5ABCA79C" w14:textId="77777777" w:rsidR="00E338A0" w:rsidRPr="00E338A0" w:rsidRDefault="00E338A0" w:rsidP="00E338A0">
            <w:pPr>
              <w:spacing w:after="0" w:line="240" w:lineRule="auto"/>
              <w:ind w:left="97" w:right="238" w:firstLine="477"/>
              <w:jc w:val="both"/>
              <w:rPr>
                <w:rFonts w:ascii="Times New Roman" w:eastAsia="Times New Roman" w:hAnsi="Times New Roman" w:cs="Times New Roman"/>
                <w:sz w:val="28"/>
                <w:szCs w:val="28"/>
                <w:lang w:val="ro-RO" w:eastAsia="en-GB"/>
              </w:rPr>
            </w:pPr>
            <w:r w:rsidRPr="00E338A0">
              <w:rPr>
                <w:rFonts w:ascii="Times New Roman" w:eastAsia="Calibri" w:hAnsi="Times New Roman" w:cs="Times New Roman"/>
                <w:sz w:val="28"/>
                <w:szCs w:val="28"/>
                <w:lang w:val="ro-RO"/>
              </w:rPr>
              <w:t xml:space="preserve">- nu </w:t>
            </w:r>
            <w:r w:rsidRPr="00E338A0">
              <w:rPr>
                <w:rFonts w:ascii="Times New Roman" w:eastAsia="Times New Roman" w:hAnsi="Times New Roman" w:cs="Times New Roman"/>
                <w:sz w:val="28"/>
                <w:szCs w:val="28"/>
                <w:lang w:val="ro-RO" w:eastAsia="en-GB"/>
              </w:rPr>
              <w:t>generează costuri semnificative pentru agenții economici;</w:t>
            </w:r>
          </w:p>
          <w:p w14:paraId="12770150" w14:textId="77777777" w:rsidR="00E338A0" w:rsidRPr="00E338A0" w:rsidRDefault="00E338A0" w:rsidP="00E338A0">
            <w:pPr>
              <w:spacing w:after="0" w:line="240" w:lineRule="auto"/>
              <w:ind w:left="97" w:right="238"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 </w:t>
            </w:r>
            <w:r w:rsidRPr="00E338A0">
              <w:rPr>
                <w:rFonts w:ascii="Times New Roman" w:eastAsia="Calibri" w:hAnsi="Times New Roman" w:cs="Times New Roman"/>
                <w:sz w:val="28"/>
                <w:szCs w:val="28"/>
                <w:lang w:val="ro-RO"/>
              </w:rPr>
              <w:t xml:space="preserve">nu </w:t>
            </w:r>
            <w:r w:rsidRPr="00E338A0">
              <w:rPr>
                <w:rFonts w:ascii="Times New Roman" w:eastAsia="Times New Roman" w:hAnsi="Times New Roman" w:cs="Times New Roman"/>
                <w:sz w:val="28"/>
                <w:szCs w:val="28"/>
                <w:lang w:val="ro-RO" w:eastAsia="en-GB"/>
              </w:rPr>
              <w:t xml:space="preserve">generează costuri semnificative pentru organismele de evaluare a conformității, pentru cei care își desfășoară deja activitatea în mod responsabil, </w:t>
            </w:r>
          </w:p>
          <w:p w14:paraId="7A7A1447" w14:textId="77777777" w:rsidR="00E338A0" w:rsidRPr="00E338A0" w:rsidRDefault="00E338A0" w:rsidP="00E338A0">
            <w:pPr>
              <w:spacing w:after="0" w:line="240" w:lineRule="auto"/>
              <w:ind w:left="97" w:right="238"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nu se preconizează costuri suplimentare sau se preconizează doar costuri neglijabile, deoarece sfera de aplicare și dispozițiile rămân nemodificate în fond și se introduc numai clarificări de natură juridică;</w:t>
            </w:r>
          </w:p>
          <w:p w14:paraId="3868ED2B" w14:textId="77777777" w:rsidR="00E338A0" w:rsidRPr="00E338A0" w:rsidRDefault="00E338A0" w:rsidP="00E338A0">
            <w:pPr>
              <w:spacing w:after="0" w:line="240" w:lineRule="auto"/>
              <w:ind w:left="97"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 nu a fost identificat niciun impact economic sau social semnificativ. </w:t>
            </w:r>
          </w:p>
          <w:p w14:paraId="2C5F4A63" w14:textId="77777777" w:rsidR="00E338A0" w:rsidRPr="00E338A0" w:rsidRDefault="00E338A0" w:rsidP="00E338A0">
            <w:pPr>
              <w:spacing w:before="150" w:after="150" w:line="240" w:lineRule="auto"/>
              <w:ind w:left="97" w:right="192"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În context, impactul acestei măsuri va contribui la consolidarea competitivității întreprinderilor ca urmare a garantării unor condiții de concurență echitabile pentru agenții economici și la o protecție sporită pentru consumatori și utilizatorii finali.</w:t>
            </w:r>
          </w:p>
          <w:p w14:paraId="5EB5818B"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ru-RU"/>
              </w:rPr>
              <w:t xml:space="preserve">Totodată, </w:t>
            </w:r>
            <w:r w:rsidRPr="00E338A0">
              <w:rPr>
                <w:rFonts w:ascii="Times New Roman" w:eastAsia="Calibri" w:hAnsi="Times New Roman" w:cs="Times New Roman"/>
                <w:sz w:val="28"/>
                <w:szCs w:val="28"/>
                <w:lang w:val="ro-RO"/>
              </w:rPr>
              <w:t xml:space="preserve">pentru a evita acțiunile întreprinse la nivel național care pot crea obstacole în calea liberei circulații a aparatelor, orice modificare a domeniului de aplicare, a procedurilor sau a cerințelor trebuie să fie armonizată cu ceea ai UE. În rezultat, acest lucru va servi pentru claritatea juridică, va contribui la reducerea </w:t>
            </w:r>
            <w:r w:rsidRPr="00E338A0">
              <w:rPr>
                <w:rFonts w:ascii="Times New Roman" w:eastAsia="Calibri" w:hAnsi="Times New Roman" w:cs="Times New Roman"/>
                <w:sz w:val="28"/>
                <w:szCs w:val="28"/>
                <w:lang w:val="ro-RO"/>
              </w:rPr>
              <w:lastRenderedPageBreak/>
              <w:t>costurilor pentru producători și va asigura un cadru comun pentru introducerea, punerea la dispoziție pe piață a aparatelor și a accesoriilor.</w:t>
            </w:r>
            <w:r w:rsidRPr="00E338A0">
              <w:rPr>
                <w:rFonts w:ascii="Times New Roman" w:eastAsia="Times New Roman" w:hAnsi="Times New Roman" w:cs="Times New Roman"/>
                <w:sz w:val="28"/>
                <w:szCs w:val="28"/>
                <w:lang w:val="ro-RO" w:eastAsia="en-GB"/>
              </w:rPr>
              <w:t xml:space="preserve"> </w:t>
            </w:r>
          </w:p>
          <w:p w14:paraId="74379992"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52A3AACE"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12BC08A0"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highlight w:val="green"/>
                <w:lang w:val="ro-RO"/>
              </w:rPr>
            </w:pPr>
            <w:r w:rsidRPr="00E338A0">
              <w:rPr>
                <w:rFonts w:ascii="Times New Roman" w:eastAsia="Times New Roman" w:hAnsi="Times New Roman" w:cs="Times New Roman"/>
                <w:b/>
                <w:bCs/>
                <w:sz w:val="28"/>
                <w:szCs w:val="28"/>
                <w:highlight w:val="green"/>
                <w:lang w:val="ro-RO"/>
              </w:rPr>
              <w:lastRenderedPageBreak/>
              <w:t>c) Expuneți opțiunile alternative analizate sau explicați motivul de ce acestea nu au fost luate în considerare</w:t>
            </w:r>
          </w:p>
        </w:tc>
      </w:tr>
      <w:tr w:rsidR="00E338A0" w:rsidRPr="00E338A0" w14:paraId="2D207CDA"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BDC8204" w14:textId="77777777" w:rsidR="00E338A0" w:rsidRPr="00E338A0" w:rsidRDefault="00E338A0" w:rsidP="00E338A0">
            <w:pPr>
              <w:spacing w:after="0" w:line="240" w:lineRule="auto"/>
              <w:ind w:left="142" w:right="141"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Nu au fost identificate opțiuni alternative, întrucât nu s-au atestat careva beneficii sau impacturi pozitive majore în cazul neintervenției legislative. </w:t>
            </w:r>
          </w:p>
          <w:p w14:paraId="0574C3D9" w14:textId="77777777" w:rsidR="00E338A0" w:rsidRPr="00E338A0" w:rsidRDefault="00E338A0" w:rsidP="00E338A0">
            <w:pPr>
              <w:spacing w:after="0" w:line="240" w:lineRule="auto"/>
              <w:ind w:left="142" w:right="141"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În urma examinării opțiunii propuse în scopul asigurării respectării prevederilor legislației s-a constatat că reieșind din prevederile Legii nr. 235/2011 și Legii nr. 7/2016 elaborarea și implementarea unei opțiuni alternative nu are o justificare. </w:t>
            </w:r>
          </w:p>
          <w:p w14:paraId="6B8A20FD"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highlight w:val="green"/>
                <w:lang w:val="ro-RO"/>
              </w:rPr>
            </w:pPr>
          </w:p>
        </w:tc>
      </w:tr>
      <w:tr w:rsidR="00E338A0" w:rsidRPr="00E338A0" w14:paraId="2851EFBD"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262833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4. Analiza impacturilor opţiunilor</w:t>
            </w:r>
          </w:p>
        </w:tc>
      </w:tr>
      <w:tr w:rsidR="00E338A0" w:rsidRPr="00E338A0" w14:paraId="0AFA7378"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6A66F60E"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a) Expuneți efectele negative şi pozitive ale stării actuale și evoluția acestora în viitor, care vor sta la baza calculării impacturilor opțiunii recomandate</w:t>
            </w:r>
          </w:p>
        </w:tc>
      </w:tr>
      <w:tr w:rsidR="00E338A0" w:rsidRPr="00E338A0" w14:paraId="2B848699"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52C8A26"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Tipurile de impacturi considerate a fi cele mai relevante și rezumatul privnd aprobarea proiectului nou de act normativ sunt prezentate în tabelul de mai jos. </w:t>
            </w:r>
          </w:p>
          <w:p w14:paraId="58BCBF8D"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Deoarece modificarea domeniului de aplicare nu poate fost justificată, cadrul juridic al Hotărîrii Guvernului nr. 1329/2016 va rămâne neschimbat. Prin urmare, operatorii economici și celelalte părți interesate afectate vor rămâne, de asemenea, neschimbați, iar prevederile sugerate în proiectul de act normativ reprezintă doar îmbunătățirea lizibilității și clarității domeniului de aplicare, a cerințelor esențiale și a altor dispoziții. </w:t>
            </w:r>
          </w:p>
          <w:p w14:paraId="5C0D65B4"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Absența unor probleme specifice concrete care trebuie abordate implică faptul că proiectul de act normativ propus nu are impacturi semnificative economice, sociale sau asupra mediului, cu excepția impactului minor al clarificărilor care vor facilita foarte mult punerea în aplicare a proiectului. Prin urmare, avantajele preconizate au fost abordate în mod proporțional în cadrul evaluării calitative care a permis selectarea opțiunii preferate. De exemplu, este posibil de evaluat dacă proiectul propus este favorabil pentru siguranță. În măsura posibilului, s-a evaluat dacă punerea în aplicare a proiectului de act normativ presupune costuri pentru agenții economici (producători) și autorități. Cu toate acestea, trebuie subliniat faptul că nu a fost posibilă cuantificarea beneficiilor acestor efecte, întrucât proiectul propus, practic, nu schimbă cadrul legal. </w:t>
            </w:r>
          </w:p>
          <w:p w14:paraId="0903904C"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Impacturile sociale constau în avantaje pentru sănătatea și siguranța utilizatorilor și a instalatorilor de aparate consumatoare de combustibili gazoși. Cu toate acestea, îmbunătățirea clarității juridice și a disponibilității datelor relevante pentru asigurarea produselor sigure și eficiente din punct de vedere energetic poate, de asemenea, să aibă un impact minor pozitiv asupra obiectivului de creștere eficienței energetice.</w:t>
            </w:r>
          </w:p>
          <w:p w14:paraId="68C3684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3E6E7246"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162C5967"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b</w:t>
            </w:r>
            <w:r w:rsidRPr="00E338A0">
              <w:rPr>
                <w:rFonts w:ascii="Times New Roman" w:eastAsia="Times New Roman" w:hAnsi="Times New Roman" w:cs="Times New Roman"/>
                <w:b/>
                <w:bCs/>
                <w:sz w:val="28"/>
                <w:szCs w:val="28"/>
                <w:highlight w:val="green"/>
                <w:vertAlign w:val="superscript"/>
                <w:lang w:val="ro-RO"/>
              </w:rPr>
              <w:t>1</w:t>
            </w:r>
            <w:r w:rsidRPr="00E338A0">
              <w:rPr>
                <w:rFonts w:ascii="Times New Roman" w:eastAsia="Times New Roman" w:hAnsi="Times New Roman" w:cs="Times New Roman"/>
                <w:b/>
                <w:bCs/>
                <w:sz w:val="28"/>
                <w:szCs w:val="28"/>
                <w:highlight w:val="green"/>
                <w:lang w:val="ro-RO"/>
              </w:rPr>
              <w:t>) Pentru opțiunea recomandată, identificați impacturile completând tabelul din anexa la prezentul formular. Descrieți pe larg impacturile sub formă de costuri sau beneficii, inclusiv părțile interesate care ar putea fi afectate pozitiv și negativ de acestea</w:t>
            </w:r>
          </w:p>
        </w:tc>
      </w:tr>
      <w:tr w:rsidR="00E338A0" w:rsidRPr="00E338A0" w14:paraId="47AC2912"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E22C790"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u w:val="single"/>
                <w:lang w:val="ro-RO" w:eastAsia="ja-JP"/>
              </w:rPr>
            </w:pPr>
            <w:r w:rsidRPr="00E338A0">
              <w:rPr>
                <w:rFonts w:ascii="Times New Roman" w:eastAsia="Times New Roman" w:hAnsi="Times New Roman" w:cs="Times New Roman"/>
                <w:b/>
                <w:sz w:val="28"/>
                <w:szCs w:val="28"/>
                <w:u w:val="single"/>
                <w:lang w:val="ro-RO" w:eastAsia="ja-JP"/>
              </w:rPr>
              <w:t>Beneficii</w:t>
            </w:r>
          </w:p>
          <w:p w14:paraId="074EBAE1"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ja-JP"/>
              </w:rPr>
            </w:pPr>
            <w:r w:rsidRPr="00E338A0">
              <w:rPr>
                <w:rFonts w:ascii="Times New Roman" w:eastAsia="Times New Roman" w:hAnsi="Times New Roman" w:cs="Times New Roman"/>
                <w:sz w:val="28"/>
                <w:szCs w:val="28"/>
                <w:lang w:val="ro-RO" w:eastAsia="ja-JP"/>
              </w:rPr>
              <w:lastRenderedPageBreak/>
              <w:t xml:space="preserve">Pentru eliminarea problemelor abordate soluții propuse odată cu aprobarea proiectului de act normativ vor avea impacturi pozitive: </w:t>
            </w:r>
          </w:p>
          <w:p w14:paraId="7263FBDD"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Times New Roman" w:hAnsi="Times New Roman" w:cs="Times New Roman"/>
                <w:sz w:val="28"/>
                <w:szCs w:val="28"/>
                <w:lang w:val="ro-RO" w:eastAsia="ja-JP"/>
              </w:rPr>
              <w:t>- i</w:t>
            </w:r>
            <w:r w:rsidRPr="00E338A0">
              <w:rPr>
                <w:rFonts w:ascii="Times New Roman" w:eastAsia="Calibri" w:hAnsi="Times New Roman" w:cs="Times New Roman"/>
                <w:sz w:val="28"/>
                <w:szCs w:val="28"/>
                <w:lang w:val="ro-RO"/>
              </w:rPr>
              <w:t xml:space="preserve">ntroducerea definițiilor noi, clarificarea domeniului de aplicare și alinierea </w:t>
            </w:r>
            <w:r w:rsidRPr="00E338A0">
              <w:rPr>
                <w:rFonts w:ascii="Times New Roman" w:eastAsia="Times New Roman" w:hAnsi="Times New Roman" w:cs="Times New Roman"/>
                <w:sz w:val="28"/>
                <w:szCs w:val="28"/>
                <w:lang w:val="ro-RO" w:eastAsia="en-GB"/>
              </w:rPr>
              <w:t xml:space="preserve">cu prevederile cadrului legal superior </w:t>
            </w:r>
            <w:r w:rsidRPr="00E338A0">
              <w:rPr>
                <w:rFonts w:ascii="Times New Roman" w:eastAsia="Calibri" w:hAnsi="Times New Roman" w:cs="Times New Roman"/>
                <w:sz w:val="28"/>
                <w:szCs w:val="28"/>
                <w:lang w:val="ro-RO"/>
              </w:rPr>
              <w:t>va avea impacturi economice care va contribui la economii considerabile datorită clarificării tehnice și juridice, respectiv situațiile juridice mai clare vor duce la supravegherea mai ușoară a pieței. Claritatea juridică conduce la diminuarea sarcinii administrative și, prin urmare, a costurilor;</w:t>
            </w:r>
          </w:p>
          <w:p w14:paraId="00C23AFC"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comunicările privind tipurile de gaz și presiunile de livrare corespunzătoare va îmbunătăți siguranța utilizatorilor și instalatorilor, vor sprijini disponibilitatea crescută de investiții în dezvoltarea produselor, respectiv va asigura acces mai ușor pe piață;</w:t>
            </w:r>
          </w:p>
          <w:p w14:paraId="365D8607" w14:textId="6D2891E4"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eliminarea limitei de temperatură de 105</w:t>
            </w:r>
            <w:r w:rsidRPr="00E338A0">
              <w:rPr>
                <w:rFonts w:ascii="Times New Roman" w:eastAsia="Calibri" w:hAnsi="Times New Roman" w:cs="Times New Roman"/>
                <w:sz w:val="28"/>
                <w:szCs w:val="28"/>
                <w:vertAlign w:val="superscript"/>
                <w:lang w:val="ro-RO"/>
              </w:rPr>
              <w:t>o</w:t>
            </w:r>
            <w:r w:rsidR="00CF6202">
              <w:rPr>
                <w:rFonts w:ascii="Times New Roman" w:eastAsia="Calibri" w:hAnsi="Times New Roman" w:cs="Times New Roman"/>
                <w:sz w:val="28"/>
                <w:szCs w:val="28"/>
                <w:lang w:val="ro-RO"/>
              </w:rPr>
              <w:t xml:space="preserve">C </w:t>
            </w:r>
            <w:r w:rsidRPr="00E338A0">
              <w:rPr>
                <w:rFonts w:ascii="Times New Roman" w:eastAsia="Calibri" w:hAnsi="Times New Roman" w:cs="Times New Roman"/>
                <w:sz w:val="28"/>
                <w:szCs w:val="28"/>
                <w:lang w:val="ro-RO"/>
              </w:rPr>
              <w:t>nu va avea nici un impact cu excepția asigurării siguranței produselor cu o temperatură normală a apei mai mare de 105</w:t>
            </w:r>
            <w:r w:rsidRPr="00E338A0">
              <w:rPr>
                <w:rFonts w:ascii="Times New Roman" w:eastAsia="Calibri" w:hAnsi="Times New Roman" w:cs="Times New Roman"/>
                <w:sz w:val="28"/>
                <w:szCs w:val="28"/>
                <w:vertAlign w:val="superscript"/>
                <w:lang w:val="ro-RO"/>
              </w:rPr>
              <w:t>0</w:t>
            </w:r>
            <w:r w:rsidRPr="00E338A0">
              <w:rPr>
                <w:rFonts w:ascii="Times New Roman" w:eastAsia="Calibri" w:hAnsi="Times New Roman" w:cs="Times New Roman"/>
                <w:sz w:val="28"/>
                <w:szCs w:val="28"/>
                <w:lang w:val="ro-RO"/>
              </w:rPr>
              <w:t>C;</w:t>
            </w:r>
          </w:p>
          <w:p w14:paraId="3CEB8207" w14:textId="77777777" w:rsidR="00E338A0" w:rsidRPr="00E338A0" w:rsidRDefault="00E338A0" w:rsidP="00E338A0">
            <w:pPr>
              <w:spacing w:after="0" w:line="240" w:lineRule="auto"/>
              <w:ind w:left="90" w:right="189"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clarificarea relațiilor cu legislația privind eficiența energetică va avea impact pozitiv asupra reducerii numărului de produse neconforme, facilitării dezvoltării produselor noi competitive și inovaționale.</w:t>
            </w:r>
          </w:p>
          <w:p w14:paraId="31E8106C"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10"/>
                <w:szCs w:val="10"/>
                <w:u w:val="single"/>
                <w:lang w:val="ro-RO" w:eastAsia="ja-JP"/>
              </w:rPr>
            </w:pPr>
          </w:p>
          <w:p w14:paraId="2ECADCD2" w14:textId="77777777" w:rsidR="00E338A0" w:rsidRDefault="00E338A0" w:rsidP="00C74BE2">
            <w:pPr>
              <w:autoSpaceDE w:val="0"/>
              <w:autoSpaceDN w:val="0"/>
              <w:adjustRightInd w:val="0"/>
              <w:spacing w:after="0" w:line="240" w:lineRule="auto"/>
              <w:ind w:firstLine="675"/>
              <w:rPr>
                <w:rFonts w:ascii="TimesNewRoman" w:eastAsia="Calibri" w:hAnsi="TimesNewRoman" w:cs="TimesNewRoman"/>
                <w:sz w:val="24"/>
                <w:szCs w:val="24"/>
              </w:rPr>
            </w:pPr>
            <w:r w:rsidRPr="00E338A0">
              <w:rPr>
                <w:rFonts w:ascii="Times New Roman" w:eastAsia="Calibri" w:hAnsi="Times New Roman" w:cs="Times New Roman"/>
                <w:b/>
                <w:sz w:val="28"/>
                <w:szCs w:val="28"/>
                <w:u w:val="single"/>
                <w:lang w:val="ro-RO"/>
              </w:rPr>
              <w:t>Costuri</w:t>
            </w:r>
            <w:r w:rsidRPr="00E338A0">
              <w:rPr>
                <w:rFonts w:ascii="TimesNewRoman" w:eastAsia="Calibri" w:hAnsi="TimesNewRoman" w:cs="TimesNewRoman"/>
                <w:sz w:val="24"/>
                <w:szCs w:val="24"/>
              </w:rPr>
              <w:t xml:space="preserve"> </w:t>
            </w:r>
          </w:p>
          <w:p w14:paraId="3786391C" w14:textId="62DC26E6" w:rsidR="00E338A0" w:rsidRPr="00E338A0" w:rsidRDefault="00EC7329" w:rsidP="00EC7329">
            <w:pPr>
              <w:autoSpaceDE w:val="0"/>
              <w:autoSpaceDN w:val="0"/>
              <w:adjustRightInd w:val="0"/>
              <w:spacing w:after="0" w:line="240" w:lineRule="auto"/>
              <w:ind w:left="135" w:right="135" w:hanging="135"/>
              <w:jc w:val="both"/>
              <w:rPr>
                <w:rFonts w:ascii="TimesNewRoman" w:eastAsia="Calibri" w:hAnsi="TimesNewRoman" w:cs="TimesNewRoman"/>
                <w:sz w:val="28"/>
                <w:szCs w:val="28"/>
                <w:lang w:val="ro-RO"/>
              </w:rPr>
            </w:pPr>
            <w:r>
              <w:rPr>
                <w:rFonts w:ascii="TimesNewRoman" w:eastAsia="Calibri" w:hAnsi="TimesNewRoman" w:cs="TimesNewRoman"/>
                <w:sz w:val="24"/>
                <w:szCs w:val="24"/>
              </w:rPr>
              <w:t xml:space="preserve">      </w:t>
            </w:r>
            <w:r w:rsidRPr="00EC7329">
              <w:rPr>
                <w:rFonts w:ascii="Times New Roman" w:eastAsia="Calibri" w:hAnsi="Times New Roman" w:cs="Times New Roman"/>
                <w:sz w:val="28"/>
                <w:szCs w:val="28"/>
              </w:rPr>
              <w:t xml:space="preserve"> </w:t>
            </w:r>
            <w:r w:rsidR="00E338A0" w:rsidRPr="00E338A0">
              <w:rPr>
                <w:rFonts w:ascii="Times New Roman" w:eastAsia="Calibri" w:hAnsi="Times New Roman" w:cs="Times New Roman"/>
                <w:sz w:val="28"/>
                <w:szCs w:val="28"/>
                <w:lang w:val="ro-RO"/>
              </w:rPr>
              <w:t>Îmbună</w:t>
            </w:r>
            <w:r w:rsidR="00E338A0" w:rsidRPr="00E338A0">
              <w:rPr>
                <w:rFonts w:ascii="TimesNewRoman" w:eastAsia="Calibri" w:hAnsi="TimesNewRoman" w:cs="TimesNewRoman"/>
                <w:sz w:val="28"/>
                <w:szCs w:val="28"/>
                <w:lang w:val="ro-RO"/>
              </w:rPr>
              <w:t>tățirea</w:t>
            </w:r>
            <w:r w:rsidR="00E338A0" w:rsidRPr="00E338A0">
              <w:rPr>
                <w:rFonts w:ascii="Calibri" w:eastAsia="Calibri" w:hAnsi="Calibri" w:cs="TimesNewRoman"/>
                <w:sz w:val="28"/>
                <w:szCs w:val="28"/>
                <w:lang w:val="ro-RO"/>
              </w:rPr>
              <w:t xml:space="preserve"> </w:t>
            </w:r>
            <w:r w:rsidR="00E338A0" w:rsidRPr="00E338A0">
              <w:rPr>
                <w:rFonts w:ascii="TimesNewRoman" w:eastAsia="Calibri" w:hAnsi="TimesNewRoman" w:cs="TimesNewRoman"/>
                <w:sz w:val="28"/>
                <w:szCs w:val="28"/>
                <w:lang w:val="ro-RO"/>
              </w:rPr>
              <w:t>clarității juridice și a disponibilității datelor tehnice relevante pentru asigurarea cu produsele sigure și eficiente din punct de vedere energetic poate să aibă un ușor impact pozitiv asupra ocupării forței de muncă și realizării de obiectivelor din Strategia energetice a RM 2030 de creștere a eficienței energetice cu 20 % în conformitate obiectivele Strategiei Europa 2020.</w:t>
            </w:r>
          </w:p>
          <w:p w14:paraId="3349B253" w14:textId="1A0A5E7A" w:rsidR="00E338A0" w:rsidRPr="00E338A0" w:rsidRDefault="00E338A0" w:rsidP="00EC7329">
            <w:pPr>
              <w:spacing w:after="0" w:line="240" w:lineRule="auto"/>
              <w:ind w:left="135" w:right="135" w:firstLine="342"/>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Avînd în vedere că proiectul de act normativ nou păstrează cerința privind intervenția uni organism de evaluare a conformității a fost făcut un studiu de caz pentru evaluarea unui tip de produs – </w:t>
            </w:r>
            <w:r w:rsidR="00EC7329" w:rsidRPr="003D594C">
              <w:rPr>
                <w:rFonts w:ascii="Times New Roman" w:eastAsia="Calibri" w:hAnsi="Times New Roman" w:cs="Times New Roman"/>
                <w:sz w:val="28"/>
                <w:szCs w:val="28"/>
                <w:lang w:val="ro-RO"/>
              </w:rPr>
              <w:t xml:space="preserve">Modul B </w:t>
            </w:r>
            <w:r w:rsidR="00EC7329" w:rsidRPr="00B7005B">
              <w:rPr>
                <w:rFonts w:ascii="Times New Roman" w:eastAsia="Calibri" w:hAnsi="Times New Roman" w:cs="Times New Roman"/>
                <w:i/>
                <w:sz w:val="28"/>
                <w:szCs w:val="28"/>
                <w:lang w:val="ro-RO"/>
              </w:rPr>
              <w:t>E</w:t>
            </w:r>
            <w:r w:rsidRPr="00B7005B">
              <w:rPr>
                <w:rFonts w:ascii="Times New Roman" w:eastAsia="Calibri" w:hAnsi="Times New Roman" w:cs="Times New Roman"/>
                <w:i/>
                <w:sz w:val="28"/>
                <w:szCs w:val="28"/>
                <w:lang w:val="ro-RO"/>
              </w:rPr>
              <w:t>xaminarea de tip</w:t>
            </w:r>
            <w:r w:rsidRPr="00E338A0">
              <w:rPr>
                <w:rFonts w:ascii="Times New Roman" w:eastAsia="Calibri" w:hAnsi="Times New Roman" w:cs="Times New Roman"/>
                <w:sz w:val="28"/>
                <w:szCs w:val="28"/>
                <w:lang w:val="ro-RO"/>
              </w:rPr>
              <w:t>. Studiul a furnizat estimări privind costurile de evaluare a conformității, arătând că costurile pentru testarea și certificarea aparatului variază între 900 lei și 36 000 lei. În efectuarea studiului, a fost utilizat un cost mediu relativ ridicat pe testare - de 4500 lei pentru a estima costul anual total al testării și certificării aparatelor consumatoare de combustibili gazoși. Pe această bază, sa presupus că costurile totale de testare și certificare se ridică la 22 mii lei, ceea ce reprezenta aproximativ 0,1% din valoarea anuală a vânzărilor de 20-24 milioane lei (a s</w:t>
            </w:r>
            <w:r w:rsidR="00E53A29">
              <w:rPr>
                <w:rFonts w:ascii="Times New Roman" w:eastAsia="Calibri" w:hAnsi="Times New Roman" w:cs="Times New Roman"/>
                <w:sz w:val="28"/>
                <w:szCs w:val="28"/>
                <w:lang w:val="ro-RO"/>
              </w:rPr>
              <w:t>e vedea T</w:t>
            </w:r>
            <w:r w:rsidRPr="00E338A0">
              <w:rPr>
                <w:rFonts w:ascii="Times New Roman" w:eastAsia="Calibri" w:hAnsi="Times New Roman" w:cs="Times New Roman"/>
                <w:sz w:val="28"/>
                <w:szCs w:val="28"/>
                <w:lang w:val="ro-RO"/>
              </w:rPr>
              <w:t>abelul 1) de aparate consumatoare de combustibili gazoși.</w:t>
            </w:r>
          </w:p>
          <w:p w14:paraId="2D4AFB1C"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Statistici relevante privind accidentele legate de aparatele consumatoare de combustibili gazoși la nivelul național nu există. Dar cert este faptul că aparatele respective reprezintă o risc grav pentru siguranța consumatorilor.</w:t>
            </w:r>
          </w:p>
          <w:p w14:paraId="30903CA9" w14:textId="0239585B"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rPr>
            </w:pPr>
            <w:r w:rsidRPr="00E338A0">
              <w:rPr>
                <w:rFonts w:ascii="Times New Roman" w:eastAsia="Calibri" w:hAnsi="Times New Roman" w:cs="Times New Roman"/>
                <w:sz w:val="28"/>
                <w:szCs w:val="28"/>
                <w:lang w:val="ro-RO"/>
              </w:rPr>
              <w:t>Se presupune că clarificare cu privire la datele tehnice (date relevante privind siguranța și performanța aparatelor) și legale (dispoziții legale clare și stabile privind obligația de a pune la dispoziție datele tehnice)</w:t>
            </w:r>
            <w:r w:rsidRPr="00E338A0">
              <w:rPr>
                <w:rFonts w:ascii="Times New Roman" w:eastAsia="Calibri" w:hAnsi="Times New Roman" w:cs="Times New Roman"/>
                <w:sz w:val="28"/>
                <w:szCs w:val="28"/>
              </w:rPr>
              <w:t xml:space="preserve"> </w:t>
            </w:r>
            <w:r w:rsidRPr="00E338A0">
              <w:rPr>
                <w:rFonts w:ascii="Times New Roman" w:eastAsia="Calibri" w:hAnsi="Times New Roman" w:cs="Times New Roman"/>
                <w:sz w:val="28"/>
                <w:szCs w:val="28"/>
                <w:lang w:val="ro-RO"/>
              </w:rPr>
              <w:t>va duce la economii în viitor</w:t>
            </w:r>
            <w:r w:rsidR="00B7005B">
              <w:rPr>
                <w:rFonts w:ascii="Times New Roman" w:eastAsia="Calibri" w:hAnsi="Times New Roman" w:cs="Times New Roman"/>
                <w:sz w:val="28"/>
                <w:szCs w:val="28"/>
                <w:lang w:val="ro-RO"/>
              </w:rPr>
              <w:t>, deși dificil de cuantificat. Inițiativa</w:t>
            </w:r>
            <w:r w:rsidRPr="00E338A0">
              <w:rPr>
                <w:rFonts w:ascii="Times New Roman" w:eastAsia="Calibri" w:hAnsi="Times New Roman" w:cs="Times New Roman"/>
                <w:sz w:val="28"/>
                <w:szCs w:val="28"/>
              </w:rPr>
              <w:t xml:space="preserve"> nu are implicații pentru</w:t>
            </w:r>
            <w:r w:rsidR="00B7005B">
              <w:rPr>
                <w:rFonts w:ascii="Times New Roman" w:eastAsia="Calibri" w:hAnsi="Times New Roman" w:cs="Times New Roman"/>
                <w:sz w:val="28"/>
                <w:szCs w:val="28"/>
              </w:rPr>
              <w:t xml:space="preserve"> bugetul</w:t>
            </w:r>
            <w:r w:rsidRPr="00E338A0">
              <w:rPr>
                <w:rFonts w:ascii="Times New Roman" w:eastAsia="Calibri" w:hAnsi="Times New Roman" w:cs="Times New Roman"/>
                <w:sz w:val="28"/>
                <w:szCs w:val="28"/>
              </w:rPr>
              <w:t xml:space="preserve"> de stat.</w:t>
            </w:r>
          </w:p>
          <w:p w14:paraId="2873F0EB"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Astfel, soluții propuse prin proiectul nou de act normativ presupun următoarele costuri suplimentare:</w:t>
            </w:r>
          </w:p>
          <w:p w14:paraId="02EE32D4"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lastRenderedPageBreak/>
              <w:t>- terminologia și definițiile specifice sectorului și domeniul de aplicare nu implică costuri, dar clarificarea facilitează punerea în aplicare a proiectului, ceea ce duce la economii, și în teorie va asigura o concurență echitabilă pentru producători;</w:t>
            </w:r>
          </w:p>
          <w:p w14:paraId="07209F20"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 comunicările privind tipurile de gaz și presiunile de livrare corespunzătoare implică costuri legate de necesitatea frecventă de a actualiza orientările, costuri cauzate de dificultăți în obținerea de date adecvate. </w:t>
            </w:r>
          </w:p>
          <w:p w14:paraId="09853345"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Totodată, în raport de costuri /beneficii - economii de costuri deoarece sunt disponibile date fiabile; reducerea sarcinii administrative; mijloacele de verificare a compatibilității facilitează accesul pe piață al produselor;</w:t>
            </w:r>
          </w:p>
          <w:p w14:paraId="560CA1B7"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 xml:space="preserve">- utilizarea rațională a energiei implică costuri legate de elaborarea orientărilor/direcțiilor de dezvoltare a produselor, precum și costuri pentru producători datorită sarcinii administrative legate de identificarea legislației din sectorul energetic aplicabil. </w:t>
            </w:r>
          </w:p>
          <w:p w14:paraId="3DA4DB40" w14:textId="77777777" w:rsidR="00E338A0" w:rsidRPr="00E338A0" w:rsidRDefault="00E338A0" w:rsidP="00EC7329">
            <w:pPr>
              <w:spacing w:after="0" w:line="240" w:lineRule="auto"/>
              <w:ind w:left="135" w:right="135"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Totodată în raport costuri/beneficii - se reduce sarcina administrativă, identificarea legislației este facilitată, suprapunerea cerințelor este evitată, ceea ce presupune economii.</w:t>
            </w:r>
          </w:p>
          <w:p w14:paraId="787BFD2A" w14:textId="77777777" w:rsidR="00E338A0" w:rsidRPr="00E338A0" w:rsidRDefault="00E338A0" w:rsidP="00E338A0">
            <w:pPr>
              <w:spacing w:after="0" w:line="240" w:lineRule="auto"/>
              <w:ind w:firstLine="477"/>
              <w:jc w:val="both"/>
              <w:rPr>
                <w:rFonts w:ascii="Calibri" w:eastAsia="Times New Roman" w:hAnsi="Calibri" w:cs="Times New Roman"/>
                <w:lang w:val="ro-RO"/>
              </w:rPr>
            </w:pPr>
          </w:p>
        </w:tc>
      </w:tr>
      <w:tr w:rsidR="00E338A0" w:rsidRPr="00E338A0" w14:paraId="3702DC03"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32B07846"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lastRenderedPageBreak/>
              <w:t>b</w:t>
            </w:r>
            <w:r w:rsidRPr="00E338A0">
              <w:rPr>
                <w:rFonts w:ascii="Times New Roman" w:eastAsia="Times New Roman" w:hAnsi="Times New Roman" w:cs="Times New Roman"/>
                <w:b/>
                <w:bCs/>
                <w:sz w:val="28"/>
                <w:szCs w:val="28"/>
                <w:highlight w:val="green"/>
                <w:vertAlign w:val="superscript"/>
                <w:lang w:val="ro-RO"/>
              </w:rPr>
              <w:t>2</w:t>
            </w:r>
            <w:r w:rsidRPr="00E338A0">
              <w:rPr>
                <w:rFonts w:ascii="Times New Roman" w:eastAsia="Times New Roman" w:hAnsi="Times New Roman" w:cs="Times New Roman"/>
                <w:b/>
                <w:bCs/>
                <w:sz w:val="28"/>
                <w:szCs w:val="28"/>
                <w:highlight w:val="green"/>
                <w:lang w:val="ro-RO"/>
              </w:rPr>
              <w:t>) Pentru opțiunile alternative analizate, identificați impacturile completând tabelul din anexa la prezentul formular. Descrieți pe larg impacturile sub formă de costuri sau beneficii, inclusiv părțile interesate care ar putea fi afectate pozitiv și negativ de acestea</w:t>
            </w:r>
          </w:p>
        </w:tc>
      </w:tr>
      <w:tr w:rsidR="00E338A0" w:rsidRPr="00E338A0" w14:paraId="566C4BD6"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3BF3CFB"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Calibri" w:hAnsi="Times New Roman" w:cs="Times New Roman"/>
                <w:sz w:val="28"/>
                <w:szCs w:val="28"/>
                <w:lang w:val="ro-RO"/>
              </w:rPr>
              <w:t>Reieșind din prevederile legislației aplicabilă în vigoare, nu au fost analizate opțiuni alternative.</w:t>
            </w:r>
          </w:p>
          <w:p w14:paraId="5A930D2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A06F8ED"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13A63333"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c) Pentru opțiunile analizate, expuneți cele mai relevante/iminente riscuri care pot duce la eșecul intervenției și/sau schimba substanțial valoarea beneficiilor și costurilor estimate și prezentați presupuneri privind gradul de conformare cu prevederile proiectului a celor vizați în acesta</w:t>
            </w:r>
          </w:p>
        </w:tc>
      </w:tr>
      <w:tr w:rsidR="00E338A0" w:rsidRPr="00E338A0" w14:paraId="3F61928F" w14:textId="77777777" w:rsidTr="008C2C82">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8888E4A"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Toate prevederile noi din proiectul propus nu prezintă riscuri esențiale. Punere în aplicare a acestuia se raportează la elaborarea și implementarea de către ANRE a documentelor procedurale pentru publicarea informațiilor p</w:t>
            </w:r>
            <w:r w:rsidRPr="00E338A0">
              <w:rPr>
                <w:rFonts w:ascii="Times New Roman" w:eastAsia="Calibri" w:hAnsi="Times New Roman" w:cs="Times New Roman"/>
                <w:sz w:val="28"/>
                <w:szCs w:val="28"/>
                <w:lang w:val="ro-RO"/>
              </w:rPr>
              <w:t>rivind tipurile de gaz și presiunile de livrare corespunzătoare utilizate.</w:t>
            </w:r>
          </w:p>
          <w:p w14:paraId="19C77FD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rPr>
              <w:t xml:space="preserve">Prevederile proiectului nu implică </w:t>
            </w:r>
            <w:r w:rsidRPr="00E338A0">
              <w:rPr>
                <w:rFonts w:ascii="Times New Roman" w:eastAsia="Times New Roman" w:hAnsi="Times New Roman" w:cs="Times New Roman"/>
                <w:sz w:val="28"/>
                <w:szCs w:val="28"/>
                <w:lang w:val="ro-RO" w:eastAsia="en-GB"/>
              </w:rPr>
              <w:t xml:space="preserve">costuri majore pentru agenții economici. </w:t>
            </w:r>
          </w:p>
          <w:p w14:paraId="157FC4C8"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În scopul asigurării aplicării corespunzătoare a prevederilor proiectului organismul de evaluare a conformității OC CTSIC urmează să actualizeze documentele a sistemului de management intern, inclusiv procedurile de certificare în scopul ajustării definițiilor cu cele stabilite în proiectul de act normativ.</w:t>
            </w:r>
          </w:p>
          <w:p w14:paraId="61ACDB2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48017EE2"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1D4054CA"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bCs/>
                <w:sz w:val="28"/>
                <w:szCs w:val="28"/>
                <w:highlight w:val="green"/>
                <w:lang w:val="ro-RO"/>
              </w:rPr>
              <w:t>d</w:t>
            </w:r>
            <w:r w:rsidRPr="00E338A0">
              <w:rPr>
                <w:rFonts w:ascii="Times New Roman" w:eastAsia="Times New Roman" w:hAnsi="Times New Roman" w:cs="Times New Roman"/>
                <w:b/>
                <w:bCs/>
                <w:sz w:val="28"/>
                <w:szCs w:val="28"/>
                <w:highlight w:val="green"/>
                <w:lang w:val="ro-RO"/>
              </w:rPr>
              <w:t>) Dacă este cazul, pentru opțiunea recomandată expuneți costurile de conformare pentru întreprinderi, dacă există impact disproporționat care poate distorsiona concurența și ce impact are opțiunea asupra întreprinderilor mici și mijlocii. Se explică dacă sînt propuse măsuri de diminuare a acestor impacturi</w:t>
            </w:r>
          </w:p>
        </w:tc>
      </w:tr>
      <w:tr w:rsidR="00E338A0" w:rsidRPr="00E338A0" w14:paraId="5F3E7945"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C6D7219" w14:textId="77777777" w:rsidR="00E338A0" w:rsidRPr="00E338A0" w:rsidRDefault="00E338A0" w:rsidP="00E338A0">
            <w:pPr>
              <w:spacing w:after="0" w:line="240" w:lineRule="auto"/>
              <w:ind w:left="90" w:right="96" w:firstLine="477"/>
              <w:jc w:val="both"/>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În urma analizei opțiunii recomandate  nu au fost identificate riscuri majore care ar putea duce la eșecul intervenției sau la efecte negative în general.</w:t>
            </w:r>
          </w:p>
          <w:p w14:paraId="0DBF2CA9" w14:textId="77777777" w:rsidR="00E338A0" w:rsidRPr="00E338A0" w:rsidRDefault="00E338A0" w:rsidP="00E338A0">
            <w:pPr>
              <w:spacing w:after="0" w:line="240" w:lineRule="auto"/>
              <w:ind w:left="90" w:right="96" w:firstLine="477"/>
              <w:jc w:val="both"/>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lastRenderedPageBreak/>
              <w:t>Un risc relativ minor, care este posibil să apară este necesitatea timpului pentru adoptarea părților interesate la norme noi.</w:t>
            </w:r>
          </w:p>
          <w:p w14:paraId="7A21015E"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28CB604F"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ABF2B4C" w14:textId="77777777" w:rsidR="00E338A0" w:rsidRPr="00E338A0" w:rsidRDefault="00E338A0" w:rsidP="00E338A0">
            <w:pPr>
              <w:spacing w:after="0" w:line="240" w:lineRule="auto"/>
              <w:ind w:left="90" w:right="189" w:firstLine="477"/>
              <w:rPr>
                <w:rFonts w:ascii="Times New Roman" w:eastAsia="Times New Roman" w:hAnsi="Times New Roman" w:cs="Times New Roman"/>
                <w:b/>
                <w:bCs/>
                <w:sz w:val="28"/>
                <w:szCs w:val="28"/>
                <w:u w:val="single"/>
                <w:lang w:val="ro-RO"/>
              </w:rPr>
            </w:pPr>
            <w:r w:rsidRPr="00E338A0">
              <w:rPr>
                <w:rFonts w:ascii="Times New Roman" w:eastAsia="Times New Roman" w:hAnsi="Times New Roman" w:cs="Times New Roman"/>
                <w:b/>
                <w:bCs/>
                <w:sz w:val="28"/>
                <w:szCs w:val="28"/>
                <w:u w:val="single"/>
                <w:lang w:val="ro-RO"/>
              </w:rPr>
              <w:lastRenderedPageBreak/>
              <w:t>Concluzie</w:t>
            </w:r>
          </w:p>
          <w:p w14:paraId="12ECFDA5"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t>e) Argumentați selectarea unei opțiunii, în baza atingerii obiectivelor, beneficiilor și costurilor, precum și a asigurării celui mai mic impact negativ asupra celor afectați</w:t>
            </w:r>
            <w:r w:rsidRPr="00E338A0">
              <w:rPr>
                <w:rFonts w:ascii="Times New Roman" w:eastAsia="Times New Roman" w:hAnsi="Times New Roman" w:cs="Times New Roman"/>
                <w:b/>
                <w:bCs/>
                <w:sz w:val="28"/>
                <w:szCs w:val="28"/>
                <w:lang w:val="ro-RO"/>
              </w:rPr>
              <w:t xml:space="preserve"> </w:t>
            </w:r>
          </w:p>
        </w:tc>
      </w:tr>
      <w:tr w:rsidR="00E338A0" w:rsidRPr="00E338A0" w14:paraId="318609CA" w14:textId="77777777" w:rsidTr="008C2C82">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D3A8779" w14:textId="77777777" w:rsidR="00E338A0" w:rsidRPr="00E338A0" w:rsidRDefault="00E338A0" w:rsidP="00E338A0">
            <w:pPr>
              <w:ind w:left="97" w:right="97" w:firstLine="477"/>
              <w:jc w:val="both"/>
              <w:rPr>
                <w:rFonts w:ascii="Times New Roman" w:eastAsia="Calibri" w:hAnsi="Times New Roman" w:cs="Times New Roman"/>
                <w:sz w:val="28"/>
                <w:szCs w:val="28"/>
                <w:u w:val="single"/>
                <w:lang w:val="ro-RO"/>
              </w:rPr>
            </w:pPr>
            <w:r w:rsidRPr="00E338A0">
              <w:rPr>
                <w:rFonts w:ascii="Times New Roman" w:eastAsia="Calibri" w:hAnsi="Times New Roman" w:cs="Times New Roman"/>
                <w:b/>
                <w:sz w:val="28"/>
                <w:szCs w:val="28"/>
                <w:u w:val="single"/>
                <w:lang w:val="ro-RO"/>
              </w:rPr>
              <w:t>Impactul opțiunii recomandate</w:t>
            </w:r>
          </w:p>
          <w:p w14:paraId="696BFF73" w14:textId="77777777" w:rsidR="00E338A0" w:rsidRPr="00E338A0" w:rsidRDefault="00E338A0" w:rsidP="00E338A0">
            <w:pPr>
              <w:spacing w:after="0" w:line="240" w:lineRule="auto"/>
              <w:ind w:left="90" w:right="76"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După analiza costurilor și beneficiilor opțiunii recomandate se constată că domeniul de aplicare și dispozițiile rămân practic neschimbate, ceea ce înseamnă că proiectul propus implică impacturi minore sau deloc. Avînd în vedere că este dificil de generat date cantitative cu privire la oricare dintre impacturile specific, numai evaluarea calitativă a fost posibilă, care a demonstrat impacturi relativ mici ale opțiunii preferate.</w:t>
            </w:r>
          </w:p>
          <w:p w14:paraId="6F33DE74"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rPr>
            </w:pPr>
            <w:r w:rsidRPr="00E338A0">
              <w:rPr>
                <w:rFonts w:ascii="Times New Roman" w:eastAsia="Calibri" w:hAnsi="Times New Roman" w:cs="Times New Roman"/>
                <w:sz w:val="28"/>
                <w:szCs w:val="28"/>
                <w:lang w:val="ro-RO"/>
              </w:rPr>
              <w:t>Eliminarea limitei de temperatură 105</w:t>
            </w:r>
            <w:r w:rsidRPr="00E338A0">
              <w:rPr>
                <w:rFonts w:ascii="Times New Roman" w:eastAsia="Calibri" w:hAnsi="Times New Roman" w:cs="Times New Roman"/>
                <w:sz w:val="28"/>
                <w:szCs w:val="28"/>
                <w:vertAlign w:val="superscript"/>
                <w:lang w:val="ro-RO"/>
              </w:rPr>
              <w:t>o</w:t>
            </w:r>
            <w:r w:rsidRPr="00E338A0">
              <w:rPr>
                <w:rFonts w:ascii="Times New Roman" w:eastAsia="Calibri" w:hAnsi="Times New Roman" w:cs="Times New Roman"/>
                <w:sz w:val="28"/>
                <w:szCs w:val="28"/>
                <w:lang w:val="ro-RO"/>
              </w:rPr>
              <w:t xml:space="preserve">C va clarifica domeniul de aplicare fără impacturi specifice. Introducerea definițiilor pentru terminologia specifică sectorului, definirea expresă a conținutului comunicărilor ANRE și clarificarea relația dintre proiectul cu legislația specifică referitor la eficiența energetică vor facilita implementarea proiectului de act normativ și vor reduce ușor sarcina administrativă. </w:t>
            </w:r>
          </w:p>
          <w:p w14:paraId="33E9F5C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D24DCEC"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7E325CF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highlight w:val="green"/>
                <w:lang w:val="ro-RO"/>
              </w:rPr>
            </w:pPr>
            <w:r w:rsidRPr="00E338A0">
              <w:rPr>
                <w:rFonts w:ascii="Times New Roman" w:eastAsia="Times New Roman" w:hAnsi="Times New Roman" w:cs="Times New Roman"/>
                <w:b/>
                <w:bCs/>
                <w:sz w:val="28"/>
                <w:szCs w:val="28"/>
                <w:highlight w:val="green"/>
                <w:lang w:val="ro-RO"/>
              </w:rPr>
              <w:t>5. Implementarea şi monitorizarea</w:t>
            </w:r>
          </w:p>
        </w:tc>
      </w:tr>
      <w:tr w:rsidR="00E338A0" w:rsidRPr="00E338A0" w14:paraId="328934FE"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3A3C334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highlight w:val="green"/>
                <w:lang w:val="ro-RO"/>
              </w:rPr>
            </w:pPr>
            <w:r w:rsidRPr="00E338A0">
              <w:rPr>
                <w:rFonts w:ascii="Times New Roman" w:eastAsia="Times New Roman" w:hAnsi="Times New Roman" w:cs="Times New Roman"/>
                <w:b/>
                <w:bCs/>
                <w:sz w:val="28"/>
                <w:szCs w:val="28"/>
                <w:highlight w:val="green"/>
                <w:lang w:val="ro-RO"/>
              </w:rPr>
              <w:t xml:space="preserve">a) Descrieți cum va fi organizată implementarea opțiunii recomandate, ce cadru juridic necesită a fi modificat și/sau elaborat și aprobat, ce schimbări instituționale sînt necesare  </w:t>
            </w:r>
          </w:p>
        </w:tc>
      </w:tr>
      <w:tr w:rsidR="00E338A0" w:rsidRPr="00E338A0" w14:paraId="5DB2D022"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4C2BF33"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Tranziția de la Hotărîrea Guvernului nr. 1329/2016 la hotărîrea Guvernului nouă va avea loc în perioada de doi ani de la data publicării. Pentru a asigura tranziția fără probleme de la un act juridic la celălalt, prezentul proiect de act normativ cuprinde dispoziții finale și tranzitorii.</w:t>
            </w:r>
          </w:p>
          <w:p w14:paraId="4E2DF9F1"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În conformitate cu proiect va fi abrogată Hotărîrea Guvernului nr. 1329/2016.</w:t>
            </w:r>
          </w:p>
          <w:p w14:paraId="54DA7A67" w14:textId="77777777" w:rsidR="00E338A0" w:rsidRPr="00E338A0" w:rsidRDefault="00E338A0" w:rsidP="00E338A0">
            <w:pPr>
              <w:spacing w:after="0" w:line="240" w:lineRule="auto"/>
              <w:ind w:left="97" w:right="97"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Potrivit dispozițiilor finale și tranzitorii nu poate fi împiedicată punerea la dispoziție pe piață sau punerea în funcțiune a aparatelor și accesoriilor acoperite de Hotărîrea Guvernului nr. 1329/2016 care sunt în conformitate cu hotărîrea respectivă și care au fost plasate pe piață înainte de intrare în vigoare a actului normativ nou. </w:t>
            </w:r>
          </w:p>
          <w:p w14:paraId="5C9691D1"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Proiectul actului normativ prevede că evaluarea conformității a aparatelor consumatoarea de combustibili gazoși se va efectua în mod proporțional, evitînd sarcinile inutile pentru operatorii economici.</w:t>
            </w:r>
          </w:p>
          <w:p w14:paraId="1764D4F2"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La momentul întării în vigoare aparatele consumatoare de combustibili gazoși și accesoriile vor fi permise pentru introducerea pe piață numai în cazul corespunderii cerințelor din actul normativ nou. Aceasta înseamnă că aparatele și accesoriile respective trebuie să respecte cerințele esențiale, au fost supuse unei proceduri de evaluare a conformității în conformitate cu anexa nr. 3 la proiectul, cu implicarea unui organism de evaluarea a conformității, poartă marcajul CE și inscripțiile prevăzute în anexa nr. 4 la proiectul și să fie acoperite de o declarație de conformitate semnată de producător și care atestă că aparatul / accesoriu este conform cu actul nou.</w:t>
            </w:r>
          </w:p>
          <w:p w14:paraId="124A0F79" w14:textId="77777777" w:rsidR="00E338A0" w:rsidRPr="00E338A0" w:rsidRDefault="00E338A0" w:rsidP="00E338A0">
            <w:pPr>
              <w:spacing w:after="0" w:line="240" w:lineRule="auto"/>
              <w:ind w:left="91" w:right="96" w:firstLine="477"/>
              <w:jc w:val="both"/>
              <w:rPr>
                <w:rFonts w:ascii="Times New Roman" w:eastAsia="Times New Roman" w:hAnsi="Times New Roman" w:cs="Times New Roman"/>
                <w:sz w:val="28"/>
                <w:szCs w:val="28"/>
                <w:lang w:val="ro-RO" w:eastAsia="en-GB"/>
              </w:rPr>
            </w:pPr>
            <w:r w:rsidRPr="00E338A0">
              <w:rPr>
                <w:rFonts w:ascii="Times New Roman" w:eastAsia="Calibri" w:hAnsi="Times New Roman" w:cs="Times New Roman"/>
                <w:sz w:val="28"/>
                <w:szCs w:val="28"/>
                <w:lang w:val="ro-RO" w:eastAsia="ru-RU"/>
              </w:rPr>
              <w:lastRenderedPageBreak/>
              <w:t xml:space="preserve">Perioadă de 2 ani permite autorităților și părților interesate să fie pregătiți pentru o bună desfășurare pentru tranziția la noul act și cerințele legale în ceea ce privește aparatele și accesorii care urmează să fie introduse pe piață în temeiul noului act. </w:t>
            </w:r>
            <w:r w:rsidRPr="00E338A0">
              <w:rPr>
                <w:rFonts w:ascii="Times New Roman" w:eastAsia="Times New Roman" w:hAnsi="Times New Roman" w:cs="Times New Roman"/>
                <w:sz w:val="28"/>
                <w:szCs w:val="28"/>
                <w:lang w:val="ro-RO" w:eastAsia="en-GB"/>
              </w:rPr>
              <w:t xml:space="preserve">În urma aprobării </w:t>
            </w:r>
            <w:r w:rsidRPr="00E338A0">
              <w:rPr>
                <w:rFonts w:ascii="Times New Roman" w:eastAsia="Calibri" w:hAnsi="Times New Roman" w:cs="Times New Roman"/>
                <w:sz w:val="28"/>
                <w:szCs w:val="28"/>
                <w:lang w:val="ro-RO"/>
              </w:rPr>
              <w:t>proiectului nou Ministerul economiei și infrastructurii va elabora, va aproba și va publica lista standardelor europene armonizate adoptate ca standarde moldovenești. Periodic lista respectiva va fi actualizată.</w:t>
            </w:r>
          </w:p>
          <w:p w14:paraId="3E405A57"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Aparatele introduse pe piață până la data de intrare în vigoare a actului normativ nou, vor fi permise să fie disponibile pe piață (să fie comercializate de distribuitori) și puse în funcțiune după aceasta dată.</w:t>
            </w:r>
          </w:p>
          <w:p w14:paraId="45D69D16"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Iar accesorii introduse pe piață până la data de intrare în vigoare a proiectului nou vor fi permise să fie puse la dispoziție pe piață (în lanțul de distribuție) și încorporate în aparatele noi care vor fi ulterior introduse pe piață sub noul act normativ.</w:t>
            </w:r>
          </w:p>
          <w:p w14:paraId="55553AE5" w14:textId="77777777" w:rsidR="00E338A0" w:rsidRPr="00E338A0" w:rsidRDefault="00E338A0" w:rsidP="008C2C82">
            <w:pPr>
              <w:spacing w:after="0" w:line="240" w:lineRule="auto"/>
              <w:ind w:left="97" w:right="225"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În ceea ce privește evaluarea conformității, în perioada de tranziție părțile interesate (organismele de evaluare a conformității și producători) au timp util pentru a întreprinde măsuri necesare pentru a se asigura că începând cu data intrării în vigoare aparatele consumatoare de combustibili gazoși și accesoriile conforme cu proiectul nou sunt introduse pe piață după evaluare efectuată de către un organism conform prevederilor actului nou respectiv. Aceasta înseamnă că un organism de evaluare a conformității poate efectua în timp util toate testele și examinări prevăzute de procedurile de evaluare a conformității în conformitate cu anexa nr. 3 la proiect de act normativ astfel încât să certifice faptul că aparatul / accesoriul respectă prevederile acestui act normativ.</w:t>
            </w:r>
          </w:p>
          <w:p w14:paraId="41C13E3B" w14:textId="77777777" w:rsidR="00E338A0" w:rsidRPr="00E338A0" w:rsidRDefault="00E338A0" w:rsidP="008C2C82">
            <w:pPr>
              <w:spacing w:after="0" w:line="240" w:lineRule="auto"/>
              <w:ind w:left="97" w:right="225"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În perioada de tranziție, organismul de evaluare a conformității va evalua și va ține cont de relevanța rezultatelor testelor și certificatelor emise anterior sub Hotărîrea Guvernului nr. 1329/2016 pentru fiecare aparat/accesoriu și va analiza posibilitatea extinderii evaluărilor anterioare sau evaluării suplimentare necesare pentru examinările prevăzute de proiectul actului normativ.</w:t>
            </w:r>
          </w:p>
          <w:p w14:paraId="2D7D2B83" w14:textId="77777777" w:rsidR="00E338A0" w:rsidRPr="00E338A0" w:rsidRDefault="00E338A0" w:rsidP="008C2C82">
            <w:pPr>
              <w:spacing w:after="0" w:line="240" w:lineRule="auto"/>
              <w:ind w:right="225"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În plus, în perioada de tranziție pentru a se asigura că aparatele consumatoare cu combustibili gazoși și accesoriile sunt conforme cu actul normativ nou, producătorii, înainte de data de intrare în vigoare a acestuia, pot întreprinde măsurile și acțiuni pregătitoare care vor permite să aibă produsele finite în timp util pentru a fi introduse pe piață. </w:t>
            </w:r>
          </w:p>
          <w:p w14:paraId="35FAFE68" w14:textId="77777777" w:rsidR="00E338A0" w:rsidRPr="00E338A0" w:rsidRDefault="00E338A0" w:rsidP="00E338A0">
            <w:pPr>
              <w:spacing w:after="0" w:line="240" w:lineRule="auto"/>
              <w:ind w:left="91" w:right="141"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Aprobarea proiectului nou de hotărîre de Guvern nu atrage după sine reforme instituționale în cadrul autorităților publice.</w:t>
            </w:r>
          </w:p>
          <w:p w14:paraId="78FEAFFF"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5FBF605E"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FE783FD"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lastRenderedPageBreak/>
              <w:t>b) Indicați clar indicatorii de performanță în baza cărora se va efectua monitorizarea</w:t>
            </w:r>
          </w:p>
        </w:tc>
      </w:tr>
      <w:tr w:rsidR="00E338A0" w:rsidRPr="00E338A0" w14:paraId="7ECB344E" w14:textId="77777777" w:rsidTr="008C2C82">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CF3936D" w14:textId="77777777" w:rsidR="00E338A0" w:rsidRPr="00E338A0" w:rsidRDefault="00E338A0" w:rsidP="00E338A0">
            <w:pPr>
              <w:spacing w:after="0" w:line="240" w:lineRule="auto"/>
              <w:ind w:left="91" w:right="141"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Implementarea prezentului proiect va fi monitorizat de către Agenția pentru Protecția Consumatorilor și Supravegherea Pieței, indicatori de performanță fiind următoarele:</w:t>
            </w:r>
          </w:p>
          <w:p w14:paraId="776B808E" w14:textId="77777777" w:rsidR="00E338A0" w:rsidRPr="00E338A0" w:rsidRDefault="00E338A0" w:rsidP="00E338A0">
            <w:pPr>
              <w:numPr>
                <w:ilvl w:val="0"/>
                <w:numId w:val="5"/>
              </w:numPr>
              <w:spacing w:after="0" w:line="240" w:lineRule="auto"/>
              <w:ind w:left="97" w:right="141" w:firstLine="477"/>
              <w:contextualSpacing/>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 xml:space="preserve">numărul cazurilor de depistare a aparatelor/accesoriilor neconforme corelat cu numărul total de controale planificate/efectuate; </w:t>
            </w:r>
          </w:p>
          <w:p w14:paraId="722FBE1F" w14:textId="77777777" w:rsidR="00E338A0" w:rsidRPr="00E338A0" w:rsidRDefault="00E338A0" w:rsidP="00E338A0">
            <w:pPr>
              <w:numPr>
                <w:ilvl w:val="0"/>
                <w:numId w:val="5"/>
              </w:numPr>
              <w:spacing w:after="0" w:line="240" w:lineRule="auto"/>
              <w:ind w:left="97" w:right="141" w:firstLine="477"/>
              <w:contextualSpacing/>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numărul sesizărilor transmise de autorități și numărul petițiilor înregistrate de la consumatori corelat cu numărul petițiilor soluționate/ sau soluționate pe calea amiabilă;</w:t>
            </w:r>
          </w:p>
          <w:p w14:paraId="2C9D92E4" w14:textId="77777777" w:rsidR="00E338A0" w:rsidRPr="00E338A0" w:rsidRDefault="00E338A0" w:rsidP="00E338A0">
            <w:pPr>
              <w:numPr>
                <w:ilvl w:val="0"/>
                <w:numId w:val="5"/>
              </w:numPr>
              <w:spacing w:after="0" w:line="240" w:lineRule="auto"/>
              <w:ind w:left="97" w:right="141" w:firstLine="477"/>
              <w:contextualSpacing/>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lastRenderedPageBreak/>
              <w:t>numărul sancțiunilor și măsurilor restrictive aplicate de APCSP corelate cu numărul prescripțiilor privind interzicerea temporară a lotului, prescripțiilor privind înlăturarea neconformităților, prescripțiilor privind interzicerea punerii la dispoziție pe piață;</w:t>
            </w:r>
          </w:p>
          <w:p w14:paraId="3418F066" w14:textId="77777777" w:rsidR="00E338A0" w:rsidRPr="00E338A0" w:rsidRDefault="00E338A0" w:rsidP="00E338A0">
            <w:pPr>
              <w:numPr>
                <w:ilvl w:val="0"/>
                <w:numId w:val="5"/>
              </w:numPr>
              <w:spacing w:after="0" w:line="240" w:lineRule="auto"/>
              <w:ind w:left="90" w:right="189" w:firstLine="477"/>
              <w:contextualSpacing/>
              <w:jc w:val="both"/>
              <w:rPr>
                <w:rFonts w:ascii="Times New Roman" w:eastAsia="Times New Roman" w:hAnsi="Times New Roman" w:cs="Times New Roman"/>
                <w:i/>
                <w:strike/>
                <w:sz w:val="28"/>
                <w:szCs w:val="28"/>
                <w:lang w:val="ro-RO"/>
              </w:rPr>
            </w:pPr>
            <w:r w:rsidRPr="00E338A0">
              <w:rPr>
                <w:rFonts w:ascii="Times New Roman" w:eastAsia="Times New Roman" w:hAnsi="Times New Roman" w:cs="Times New Roman"/>
                <w:sz w:val="28"/>
                <w:szCs w:val="28"/>
                <w:lang w:val="ro-RO" w:eastAsia="en-GB"/>
              </w:rPr>
              <w:t>valoarea pagubelor achitate în urma cazurilor de depistare a aparatelor/accesoriilor neconforme.</w:t>
            </w:r>
          </w:p>
          <w:p w14:paraId="3BCB3C0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ABC343A"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54A28B05"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highlight w:val="green"/>
                <w:lang w:val="ro-RO"/>
              </w:rPr>
              <w:lastRenderedPageBreak/>
              <w:t>c) Identificați peste cît timp vor fi resimțite impacturile estimate și este necesară evaluarea performanței actului normativ propus. Explicați cum va fi monitorizată şi evaluată opţiunea</w:t>
            </w:r>
          </w:p>
        </w:tc>
      </w:tr>
      <w:tr w:rsidR="00E338A0" w:rsidRPr="00E338A0" w14:paraId="0E92736E" w14:textId="77777777" w:rsidTr="008C2C82">
        <w:trPr>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12C871D" w14:textId="77777777" w:rsidR="00E338A0" w:rsidRPr="00E338A0" w:rsidRDefault="00E338A0" w:rsidP="00E338A0">
            <w:pPr>
              <w:spacing w:after="0" w:line="240" w:lineRule="auto"/>
              <w:ind w:left="142" w:right="141" w:firstLine="477"/>
              <w:jc w:val="both"/>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Impacturile economice și sociale vor fi resimțite odată cu intrare în vigoare a actului normativ. Indicatorii de performanță vor fi prezentate la începutul fiecărui an urmare a publicării Rapoartelor anualele privind activitățile de supravegherea pieței, de către</w:t>
            </w:r>
            <w:r w:rsidRPr="00E338A0">
              <w:rPr>
                <w:rFonts w:ascii="Times New Roman" w:eastAsia="Times New Roman" w:hAnsi="Times New Roman" w:cs="Times New Roman"/>
                <w:sz w:val="28"/>
                <w:szCs w:val="28"/>
                <w:lang w:val="ro-RO"/>
              </w:rPr>
              <w:t xml:space="preserve"> Agenția </w:t>
            </w:r>
            <w:r w:rsidRPr="00E338A0">
              <w:rPr>
                <w:rFonts w:ascii="Times New Roman" w:eastAsia="Calibri" w:hAnsi="Times New Roman" w:cs="Times New Roman"/>
                <w:sz w:val="28"/>
                <w:szCs w:val="28"/>
                <w:lang w:val="ro-RO"/>
              </w:rPr>
              <w:t>pentru Protecția Consumatorilor și Supravegherea Pieței</w:t>
            </w:r>
            <w:r w:rsidRPr="00E338A0">
              <w:rPr>
                <w:rFonts w:ascii="Times New Roman" w:eastAsia="Times New Roman" w:hAnsi="Times New Roman" w:cs="Times New Roman"/>
                <w:sz w:val="28"/>
                <w:szCs w:val="28"/>
                <w:lang w:val="ro-RO" w:eastAsia="en-GB"/>
              </w:rPr>
              <w:t>.</w:t>
            </w:r>
          </w:p>
          <w:p w14:paraId="444828B2" w14:textId="77777777" w:rsidR="00E338A0" w:rsidRPr="00E338A0" w:rsidRDefault="00E338A0" w:rsidP="00E338A0">
            <w:pPr>
              <w:spacing w:after="0" w:line="240" w:lineRule="auto"/>
              <w:ind w:left="142" w:right="141"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eastAsia="en-GB"/>
              </w:rPr>
              <w:t>Monitorizarea performanței poate fi efectuată prin analiza indicatorilor de performanță specificate în Rapoartele APCSP și organizarea vizitelor de consultanță la agenții economici implicate/interesate.</w:t>
            </w:r>
          </w:p>
          <w:p w14:paraId="1F4E013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697D83B"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2362F684"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
                <w:bCs/>
                <w:sz w:val="28"/>
                <w:szCs w:val="28"/>
                <w:lang w:val="ro-RO"/>
              </w:rPr>
              <w:t>6. Consultarea</w:t>
            </w:r>
          </w:p>
        </w:tc>
      </w:tr>
      <w:tr w:rsidR="00E338A0" w:rsidRPr="00E338A0" w14:paraId="393FDBFE"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2A4F24B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highlight w:val="green"/>
                <w:lang w:val="ro-RO"/>
              </w:rPr>
              <w:t>a) Identificați principalele părţi (grupuri) interesate în intervenţia propusă</w:t>
            </w:r>
          </w:p>
        </w:tc>
      </w:tr>
      <w:tr w:rsidR="00E338A0" w:rsidRPr="00E338A0" w14:paraId="1C6952DC"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1E76781"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Luînd în considerare relaţii juridice reglementate de proiectul în cauză se poate determina mai multe grupuri de interese de bază:</w:t>
            </w:r>
          </w:p>
          <w:p w14:paraId="057A9D9A" w14:textId="77777777" w:rsidR="00E338A0" w:rsidRPr="00E338A0" w:rsidRDefault="00E338A0" w:rsidP="00E338A0">
            <w:pPr>
              <w:numPr>
                <w:ilvl w:val="0"/>
                <w:numId w:val="15"/>
              </w:num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Autorităţile de reglementare și care elaborează politici - ANRE, MADRM, MJ, MAEIE;</w:t>
            </w:r>
          </w:p>
          <w:p w14:paraId="4BFCD956" w14:textId="77777777" w:rsidR="00E338A0" w:rsidRPr="00E338A0" w:rsidRDefault="00E338A0" w:rsidP="00E338A0">
            <w:pPr>
              <w:numPr>
                <w:ilvl w:val="0"/>
                <w:numId w:val="15"/>
              </w:num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Autoritatea cu funcții de supravegherea a pieței – APCSP;</w:t>
            </w:r>
          </w:p>
          <w:p w14:paraId="3E2AA184" w14:textId="77777777" w:rsidR="00E338A0" w:rsidRPr="00E338A0" w:rsidRDefault="00E338A0" w:rsidP="00B7005B">
            <w:pPr>
              <w:spacing w:after="0" w:line="240" w:lineRule="auto"/>
              <w:ind w:left="225" w:right="96" w:firstLine="349"/>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3) instituțiile publice, care contribuie direct la implementarea prevederilor proiectului în cauză - MOLDAC, ISM, agenții economici, care fabrică, importă, comercializează, pun în funcțiune și repară aparatele consumatoare de combustibili gazoși. </w:t>
            </w:r>
          </w:p>
          <w:p w14:paraId="048326AA" w14:textId="77777777" w:rsidR="00E338A0" w:rsidRPr="00E338A0" w:rsidRDefault="00E338A0" w:rsidP="00B7005B">
            <w:pPr>
              <w:spacing w:after="0" w:line="240" w:lineRule="auto"/>
              <w:ind w:left="225" w:right="96" w:firstLine="349"/>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4) Organismul de evaluare a conformității din cadrul CTSIC, care desfășoară procedurile de evaluare a conformității aparatelor consumatoare de combustibili gazoși.</w:t>
            </w:r>
          </w:p>
          <w:p w14:paraId="366EF5D7" w14:textId="77777777" w:rsidR="00E338A0" w:rsidRPr="00E338A0" w:rsidRDefault="00E338A0" w:rsidP="00E338A0">
            <w:pPr>
              <w:spacing w:after="0" w:line="240" w:lineRule="auto"/>
              <w:ind w:left="574" w:right="96"/>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5) Consumatorii care utilizează aparatele consumatoare de combustibili gazoși.</w:t>
            </w:r>
          </w:p>
          <w:p w14:paraId="59DA07C7" w14:textId="77777777" w:rsidR="00E338A0" w:rsidRPr="00E338A0" w:rsidRDefault="00E338A0" w:rsidP="00E338A0">
            <w:pPr>
              <w:spacing w:after="0" w:line="240" w:lineRule="auto"/>
              <w:ind w:left="522" w:right="96" w:firstLine="477"/>
              <w:jc w:val="both"/>
              <w:rPr>
                <w:rFonts w:ascii="Times New Roman" w:eastAsia="Times New Roman" w:hAnsi="Times New Roman" w:cs="Times New Roman"/>
                <w:sz w:val="28"/>
                <w:szCs w:val="28"/>
                <w:lang w:val="ro-RO"/>
              </w:rPr>
            </w:pPr>
          </w:p>
        </w:tc>
      </w:tr>
      <w:tr w:rsidR="00E338A0" w:rsidRPr="00E338A0" w14:paraId="0047FC1E"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0F9C752D"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highlight w:val="green"/>
                <w:lang w:val="ro-RO"/>
              </w:rPr>
              <w:t>b) Explicați succint cum (prin ce metode) s-a asigurat consultarea adecvată a părţilor</w:t>
            </w:r>
          </w:p>
        </w:tc>
      </w:tr>
      <w:tr w:rsidR="00E338A0" w:rsidRPr="00E338A0" w14:paraId="0B6E2160" w14:textId="77777777" w:rsidTr="008C2C82">
        <w:trPr>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649FCA49" w14:textId="77777777" w:rsidR="00E338A0" w:rsidRPr="00E338A0" w:rsidRDefault="00E338A0" w:rsidP="00E338A0">
            <w:pPr>
              <w:spacing w:after="0" w:line="240" w:lineRule="auto"/>
              <w:ind w:left="142" w:right="141" w:firstLine="517"/>
              <w:jc w:val="both"/>
              <w:rPr>
                <w:rFonts w:ascii="Times New Roman" w:eastAsia="Calibri" w:hAnsi="Times New Roman" w:cs="Times New Roman"/>
                <w:sz w:val="28"/>
                <w:szCs w:val="28"/>
                <w:lang w:val="ro-RO" w:eastAsia="ru-RU"/>
              </w:rPr>
            </w:pPr>
            <w:r w:rsidRPr="00E338A0">
              <w:rPr>
                <w:rFonts w:ascii="Times New Roman" w:eastAsia="Times New Roman" w:hAnsi="Times New Roman" w:cs="Times New Roman"/>
                <w:sz w:val="28"/>
                <w:szCs w:val="28"/>
                <w:lang w:val="ro-RO" w:eastAsia="en-GB"/>
              </w:rPr>
              <w:t>Înainte de procesul de elaborare  a proiectului au fost examinate o serie  de petiții din partea utilizatorilor și instalatorilor aparatelor de combustibili gazoși. Au fost organizate ședințe și discuții separate cu Centrul Național de Acreditare MOLDAC și organisme de evaluare a conformității acreditate în domeniul, precum și reprezentanții APCSP privind activitatea de supraveghere a pieței în sector.</w:t>
            </w:r>
          </w:p>
          <w:p w14:paraId="612045FC"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Procesul de consultanţă se bazează pe cîteva metode:</w:t>
            </w:r>
          </w:p>
          <w:p w14:paraId="2E29B940" w14:textId="77777777" w:rsidR="00E338A0" w:rsidRPr="00E338A0" w:rsidRDefault="00E338A0" w:rsidP="00E338A0">
            <w:pPr>
              <w:numPr>
                <w:ilvl w:val="0"/>
                <w:numId w:val="5"/>
              </w:num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interacţiunea directă între autorii proiectului şi AIR cu reprezentanţii grupurilor de interese.</w:t>
            </w:r>
          </w:p>
          <w:p w14:paraId="11B4AAE3" w14:textId="77777777" w:rsidR="00E338A0" w:rsidRPr="00E338A0" w:rsidRDefault="00E338A0" w:rsidP="00E338A0">
            <w:pPr>
              <w:numPr>
                <w:ilvl w:val="0"/>
                <w:numId w:val="5"/>
              </w:num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lastRenderedPageBreak/>
              <w:t xml:space="preserve">cercetarea informaţiei din sursele media disponibile fiind prezentate pe paginile web oficiale ale ANRE, Serviciului Vamal, SA Moldovagaz, Comisiei Europene etc., precum și baze de date statistice; </w:t>
            </w:r>
          </w:p>
          <w:p w14:paraId="5B0C89C0" w14:textId="77777777" w:rsidR="00E338A0" w:rsidRPr="00E338A0" w:rsidRDefault="00E338A0" w:rsidP="00E338A0">
            <w:pPr>
              <w:numPr>
                <w:ilvl w:val="0"/>
                <w:numId w:val="5"/>
              </w:num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consultarea indirectă cu persoanele interesate prin publicarea proiectului şi a unei note succinte pe pagina web a Ministerului Economiei și Infrastructurii.</w:t>
            </w:r>
          </w:p>
          <w:p w14:paraId="0B0D68F0"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Proiectul analizei de impact au fost preliminar consultat cu Secretariatul Evaluării Impactului de Reglementare, propunerile de îmbunătățire fiind luate în considerare.</w:t>
            </w:r>
          </w:p>
          <w:p w14:paraId="1C7F7F07"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 xml:space="preserve">Prezentul AIR urmează a fi examinat în cadrul Grupului de lucru pentru reglementarea activității de întreprinzător, conform prevederilor stabilite în Hotărîrea de Guvern nr.23/2019. </w:t>
            </w:r>
          </w:p>
          <w:p w14:paraId="62390017"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Avînd în vedere că proiectul actului normativ este armonizat cu actul juridic european, acesta se transmite împreună cu AIR pentru examinare în cadrul ședinței Secretarilor Generali de Stat pentru înregistrare a proiectului la Cancelaria de Stat și, în cazul susținerii, lansării consultării publice oficiale.</w:t>
            </w:r>
          </w:p>
          <w:p w14:paraId="3FC5564F" w14:textId="77777777" w:rsidR="00E338A0" w:rsidRPr="00E338A0" w:rsidRDefault="00E338A0" w:rsidP="00E338A0">
            <w:pPr>
              <w:spacing w:after="0" w:line="240" w:lineRule="auto"/>
              <w:ind w:left="97" w:right="96" w:firstLine="477"/>
              <w:jc w:val="both"/>
              <w:rPr>
                <w:rFonts w:ascii="Times New Roman" w:eastAsia="Calibri" w:hAnsi="Times New Roman" w:cs="Times New Roman"/>
                <w:sz w:val="28"/>
                <w:szCs w:val="28"/>
                <w:lang w:val="ro-RO" w:eastAsia="ru-RU"/>
              </w:rPr>
            </w:pPr>
            <w:r w:rsidRPr="00E338A0">
              <w:rPr>
                <w:rFonts w:ascii="Times New Roman" w:eastAsia="Calibri" w:hAnsi="Times New Roman" w:cs="Times New Roman"/>
                <w:sz w:val="28"/>
                <w:szCs w:val="28"/>
                <w:lang w:val="ro-RO" w:eastAsia="ru-RU"/>
              </w:rPr>
              <w:t>Proiectul și AIR urmează a fi publicate pe pagina oficială a MEI și portalul particip.gov.md.</w:t>
            </w:r>
          </w:p>
          <w:p w14:paraId="108CFA61"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60213455" w14:textId="77777777" w:rsidTr="008C2C82">
        <w:trPr>
          <w:jc w:val="center"/>
        </w:trPr>
        <w:tc>
          <w:tcPr>
            <w:tcW w:w="5000" w:type="pct"/>
            <w:gridSpan w:val="5"/>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14:paraId="1B0313F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highlight w:val="green"/>
                <w:lang w:val="ro-RO"/>
              </w:rPr>
              <w:lastRenderedPageBreak/>
              <w:t>c) Expuneți succint poziţia fiecărei entităţi consultate față de documentul de analiză a impactului şi/sau intervenţia propusă (se expune poziția a cel puțin unui exponent din fiecare grup de interese identificat)</w:t>
            </w:r>
          </w:p>
        </w:tc>
      </w:tr>
      <w:tr w:rsidR="00E338A0" w:rsidRPr="00E338A0" w14:paraId="09EB6DFC" w14:textId="77777777" w:rsidTr="008C2C82">
        <w:trPr>
          <w:trHeight w:val="1375"/>
          <w:jc w:val="center"/>
        </w:trPr>
        <w:tc>
          <w:tcPr>
            <w:tcW w:w="5000" w:type="pct"/>
            <w:gridSpan w:val="5"/>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74E17FA9" w14:textId="77777777" w:rsidR="00E338A0" w:rsidRPr="00E338A0" w:rsidRDefault="00E338A0" w:rsidP="008C2C82">
            <w:pPr>
              <w:spacing w:after="0" w:line="240" w:lineRule="auto"/>
              <w:ind w:left="90" w:right="135" w:firstLine="477"/>
              <w:jc w:val="both"/>
              <w:rPr>
                <w:rFonts w:ascii="Times New Roman" w:eastAsia="Times New Roman" w:hAnsi="Times New Roman" w:cs="Times New Roman"/>
                <w:sz w:val="28"/>
                <w:szCs w:val="28"/>
                <w:lang w:val="ro-RO"/>
              </w:rPr>
            </w:pPr>
            <w:r w:rsidRPr="00E338A0">
              <w:rPr>
                <w:rFonts w:ascii="Times New Roman" w:eastAsia="Calibri" w:hAnsi="Times New Roman" w:cs="Times New Roman"/>
                <w:sz w:val="28"/>
                <w:szCs w:val="28"/>
                <w:lang w:val="ro-RO"/>
              </w:rPr>
              <w:t xml:space="preserve">La faza actuală toți reprezentanții a grupurilor de interese cu care s-au dus consultări/discuții susțin de principiu elaborarea proiectului de act normativ și atestă necesitatea schimbărilor propuse. </w:t>
            </w:r>
            <w:r w:rsidRPr="00E338A0">
              <w:rPr>
                <w:rFonts w:ascii="Times New Roman" w:eastAsia="Times New Roman" w:hAnsi="Times New Roman" w:cs="Times New Roman"/>
                <w:bCs/>
                <w:sz w:val="28"/>
                <w:szCs w:val="28"/>
                <w:lang w:val="ro-RO"/>
              </w:rPr>
              <w:t>Toate propunerile la etapa de avizare se vor fi luate in considerare.</w:t>
            </w:r>
          </w:p>
        </w:tc>
      </w:tr>
      <w:tr w:rsidR="00E338A0" w:rsidRPr="00E338A0" w14:paraId="6D410D45" w14:textId="77777777" w:rsidTr="008C2C82">
        <w:trPr>
          <w:trHeight w:val="245"/>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27E70C21" w14:textId="77777777" w:rsidR="00E338A0" w:rsidRPr="00E338A0" w:rsidRDefault="00E338A0" w:rsidP="00E338A0">
            <w:pPr>
              <w:spacing w:after="0" w:line="240" w:lineRule="auto"/>
              <w:ind w:left="90" w:right="189" w:firstLine="477"/>
              <w:jc w:val="right"/>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b/>
                <w:bCs/>
                <w:sz w:val="28"/>
                <w:szCs w:val="28"/>
                <w:lang w:val="ro-RO"/>
              </w:rPr>
              <w:t xml:space="preserve">Anexă </w:t>
            </w:r>
          </w:p>
          <w:p w14:paraId="65C90E93"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b/>
                <w:bCs/>
                <w:sz w:val="28"/>
                <w:szCs w:val="28"/>
                <w:lang w:val="ro-RO"/>
              </w:rPr>
              <w:t>Tabel pentru identificarea impacturilor</w:t>
            </w:r>
          </w:p>
        </w:tc>
      </w:tr>
      <w:tr w:rsidR="00E338A0" w:rsidRPr="00E338A0" w14:paraId="33589B80" w14:textId="77777777" w:rsidTr="008C2C82">
        <w:trPr>
          <w:trHeight w:val="263"/>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73A6F12C"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b/>
                <w:bCs/>
                <w:sz w:val="28"/>
                <w:szCs w:val="28"/>
                <w:lang w:val="ro-RO"/>
              </w:rPr>
              <w:t>Categorii de impact</w:t>
            </w:r>
          </w:p>
        </w:tc>
        <w:tc>
          <w:tcPr>
            <w:tcW w:w="2386" w:type="pct"/>
            <w:gridSpan w:val="3"/>
            <w:tcBorders>
              <w:top w:val="single" w:sz="4" w:space="0" w:color="auto"/>
              <w:left w:val="single" w:sz="6" w:space="0" w:color="000000"/>
              <w:bottom w:val="single" w:sz="6" w:space="0" w:color="000000"/>
              <w:right w:val="single" w:sz="6" w:space="0" w:color="000000"/>
            </w:tcBorders>
          </w:tcPr>
          <w:p w14:paraId="667F0E68" w14:textId="77777777" w:rsidR="00E338A0" w:rsidRPr="00E338A0" w:rsidRDefault="00E338A0" w:rsidP="00E338A0">
            <w:pPr>
              <w:spacing w:after="0" w:line="240" w:lineRule="auto"/>
              <w:ind w:left="90" w:right="189" w:firstLine="477"/>
              <w:jc w:val="center"/>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lang w:val="ro-RO"/>
              </w:rPr>
              <w:t>Punctaj atribuit</w:t>
            </w:r>
          </w:p>
        </w:tc>
      </w:tr>
      <w:tr w:rsidR="00E338A0" w:rsidRPr="00E338A0" w14:paraId="2E26BDE3" w14:textId="77777777" w:rsidTr="008C2C82">
        <w:trPr>
          <w:trHeight w:val="444"/>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95250AB" w14:textId="77777777" w:rsidR="00E338A0" w:rsidRPr="00E338A0" w:rsidRDefault="00E338A0" w:rsidP="00E338A0">
            <w:pPr>
              <w:spacing w:after="0" w:line="240" w:lineRule="auto"/>
              <w:ind w:left="90" w:right="189" w:firstLine="477"/>
              <w:rPr>
                <w:rFonts w:ascii="Times New Roman" w:eastAsia="Times New Roman" w:hAnsi="Times New Roman" w:cs="Times New Roman"/>
                <w:bCs/>
                <w:i/>
                <w:sz w:val="28"/>
                <w:szCs w:val="28"/>
                <w:lang w:val="ro-RO"/>
              </w:rPr>
            </w:pPr>
          </w:p>
        </w:tc>
        <w:tc>
          <w:tcPr>
            <w:tcW w:w="739" w:type="pct"/>
            <w:tcBorders>
              <w:top w:val="nil"/>
              <w:left w:val="single" w:sz="6" w:space="0" w:color="000000"/>
              <w:bottom w:val="single" w:sz="4" w:space="0" w:color="auto"/>
              <w:right w:val="single" w:sz="6" w:space="0" w:color="000000"/>
            </w:tcBorders>
          </w:tcPr>
          <w:p w14:paraId="15EDA1CA" w14:textId="77777777" w:rsidR="00E338A0" w:rsidRPr="00E338A0" w:rsidRDefault="00E338A0" w:rsidP="00E338A0">
            <w:pPr>
              <w:tabs>
                <w:tab w:val="left" w:pos="743"/>
              </w:tabs>
              <w:spacing w:after="0" w:line="240" w:lineRule="auto"/>
              <w:ind w:left="90" w:right="47" w:hanging="9"/>
              <w:jc w:val="both"/>
              <w:rPr>
                <w:rFonts w:ascii="Times New Roman" w:eastAsia="Times New Roman" w:hAnsi="Times New Roman" w:cs="Times New Roman"/>
                <w:i/>
                <w:sz w:val="28"/>
                <w:szCs w:val="28"/>
                <w:lang w:val="ro-RO"/>
              </w:rPr>
            </w:pPr>
            <w:r w:rsidRPr="00E338A0">
              <w:rPr>
                <w:rFonts w:ascii="Times New Roman" w:eastAsia="Times New Roman" w:hAnsi="Times New Roman" w:cs="Times New Roman"/>
                <w:i/>
                <w:sz w:val="28"/>
                <w:szCs w:val="28"/>
                <w:lang w:val="ro-RO"/>
              </w:rPr>
              <w:t>Opțiuneapropusă</w:t>
            </w:r>
          </w:p>
        </w:tc>
        <w:tc>
          <w:tcPr>
            <w:tcW w:w="821" w:type="pct"/>
            <w:tcBorders>
              <w:top w:val="nil"/>
              <w:left w:val="single" w:sz="6" w:space="0" w:color="000000"/>
              <w:bottom w:val="single" w:sz="4" w:space="0" w:color="auto"/>
              <w:right w:val="single" w:sz="6" w:space="0" w:color="000000"/>
            </w:tcBorders>
          </w:tcPr>
          <w:p w14:paraId="58648AEA" w14:textId="77777777" w:rsidR="00E338A0" w:rsidRPr="00E338A0" w:rsidRDefault="00E338A0" w:rsidP="00E338A0">
            <w:pPr>
              <w:spacing w:after="0" w:line="240" w:lineRule="auto"/>
              <w:ind w:right="71" w:firstLine="7"/>
              <w:jc w:val="both"/>
              <w:rPr>
                <w:rFonts w:ascii="Times New Roman" w:eastAsia="Times New Roman" w:hAnsi="Times New Roman" w:cs="Times New Roman"/>
                <w:bCs/>
                <w:i/>
                <w:sz w:val="28"/>
                <w:szCs w:val="28"/>
                <w:lang w:val="ro-RO"/>
              </w:rPr>
            </w:pPr>
            <w:r w:rsidRPr="00E338A0">
              <w:rPr>
                <w:rFonts w:ascii="Times New Roman" w:eastAsia="Times New Roman" w:hAnsi="Times New Roman" w:cs="Times New Roman"/>
                <w:bCs/>
                <w:i/>
                <w:sz w:val="28"/>
                <w:szCs w:val="28"/>
                <w:lang w:val="ro-RO"/>
              </w:rPr>
              <w:t>Opțiunea alterativă 1</w:t>
            </w:r>
          </w:p>
        </w:tc>
        <w:tc>
          <w:tcPr>
            <w:tcW w:w="826" w:type="pct"/>
            <w:tcBorders>
              <w:top w:val="nil"/>
              <w:left w:val="single" w:sz="6" w:space="0" w:color="000000"/>
              <w:bottom w:val="single" w:sz="4" w:space="0" w:color="auto"/>
              <w:right w:val="single" w:sz="6" w:space="0" w:color="000000"/>
            </w:tcBorders>
          </w:tcPr>
          <w:p w14:paraId="24320641" w14:textId="77777777" w:rsidR="00E338A0" w:rsidRPr="00E338A0" w:rsidRDefault="00E338A0" w:rsidP="00E338A0">
            <w:pPr>
              <w:tabs>
                <w:tab w:val="left" w:pos="1798"/>
              </w:tabs>
              <w:spacing w:after="0" w:line="240" w:lineRule="auto"/>
              <w:ind w:left="90" w:hanging="17"/>
              <w:jc w:val="both"/>
              <w:rPr>
                <w:rFonts w:ascii="Times New Roman" w:eastAsia="Times New Roman" w:hAnsi="Times New Roman" w:cs="Times New Roman"/>
                <w:bCs/>
                <w:i/>
                <w:sz w:val="28"/>
                <w:szCs w:val="28"/>
                <w:lang w:val="ro-RO"/>
              </w:rPr>
            </w:pPr>
            <w:r w:rsidRPr="00E338A0">
              <w:rPr>
                <w:rFonts w:ascii="Times New Roman" w:eastAsia="Times New Roman" w:hAnsi="Times New Roman" w:cs="Times New Roman"/>
                <w:bCs/>
                <w:i/>
                <w:sz w:val="28"/>
                <w:szCs w:val="28"/>
                <w:lang w:val="ro-RO"/>
              </w:rPr>
              <w:t>Opțiunea alterativă 2</w:t>
            </w:r>
          </w:p>
        </w:tc>
      </w:tr>
      <w:tr w:rsidR="00E338A0" w:rsidRPr="00E338A0" w14:paraId="45D071FF" w14:textId="77777777" w:rsidTr="008C2C82">
        <w:trPr>
          <w:trHeight w:val="237"/>
          <w:jc w:val="center"/>
        </w:trPr>
        <w:tc>
          <w:tcPr>
            <w:tcW w:w="5000" w:type="pct"/>
            <w:gridSpan w:val="5"/>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F4F71E0"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lang w:val="ro-RO"/>
              </w:rPr>
              <w:t>Economic</w:t>
            </w:r>
          </w:p>
        </w:tc>
      </w:tr>
      <w:tr w:rsidR="00E338A0" w:rsidRPr="00E338A0" w14:paraId="4ADDF2B0" w14:textId="77777777" w:rsidTr="008C2C82">
        <w:trPr>
          <w:trHeight w:val="219"/>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8B2126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Cs/>
                <w:sz w:val="28"/>
                <w:szCs w:val="28"/>
                <w:lang w:val="ro-RO"/>
              </w:rPr>
              <w:t>costurile desfășurării afacerilor</w:t>
            </w:r>
          </w:p>
        </w:tc>
        <w:tc>
          <w:tcPr>
            <w:tcW w:w="739" w:type="pct"/>
            <w:tcBorders>
              <w:top w:val="nil"/>
              <w:left w:val="single" w:sz="6" w:space="0" w:color="000000"/>
              <w:bottom w:val="single" w:sz="6" w:space="0" w:color="000000"/>
              <w:right w:val="single" w:sz="6" w:space="0" w:color="000000"/>
            </w:tcBorders>
          </w:tcPr>
          <w:p w14:paraId="1278362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8C18BD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41EC0F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D42F2E2" w14:textId="77777777" w:rsidTr="008C2C82">
        <w:trPr>
          <w:trHeight w:val="228"/>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FB428C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povara administrativă</w:t>
            </w:r>
          </w:p>
        </w:tc>
        <w:tc>
          <w:tcPr>
            <w:tcW w:w="739" w:type="pct"/>
            <w:tcBorders>
              <w:top w:val="nil"/>
              <w:left w:val="single" w:sz="6" w:space="0" w:color="000000"/>
              <w:bottom w:val="single" w:sz="6" w:space="0" w:color="000000"/>
              <w:right w:val="single" w:sz="6" w:space="0" w:color="000000"/>
            </w:tcBorders>
          </w:tcPr>
          <w:p w14:paraId="7D8DF24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499545CB"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7EA3641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3873FB5E" w14:textId="77777777" w:rsidTr="008C2C82">
        <w:trPr>
          <w:trHeight w:val="246"/>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C6CBB1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Cs/>
                <w:sz w:val="28"/>
                <w:szCs w:val="28"/>
                <w:lang w:val="ro-RO"/>
              </w:rPr>
              <w:t>fluxurile comerciale și investiționale</w:t>
            </w:r>
          </w:p>
        </w:tc>
        <w:tc>
          <w:tcPr>
            <w:tcW w:w="739" w:type="pct"/>
            <w:tcBorders>
              <w:top w:val="nil"/>
              <w:left w:val="single" w:sz="6" w:space="0" w:color="000000"/>
              <w:bottom w:val="single" w:sz="6" w:space="0" w:color="000000"/>
              <w:right w:val="single" w:sz="6" w:space="0" w:color="000000"/>
            </w:tcBorders>
          </w:tcPr>
          <w:p w14:paraId="225340C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highlight w:val="yellow"/>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6EE89B8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highlight w:val="yellow"/>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CA2B12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074961D" w14:textId="77777777" w:rsidTr="008C2C82">
        <w:trPr>
          <w:trHeight w:val="237"/>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47F0DE7"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Cs/>
                <w:sz w:val="28"/>
                <w:szCs w:val="28"/>
                <w:lang w:val="ro-RO"/>
              </w:rPr>
              <w:t>competitivitatea afacerilor</w:t>
            </w:r>
          </w:p>
        </w:tc>
        <w:tc>
          <w:tcPr>
            <w:tcW w:w="739" w:type="pct"/>
            <w:tcBorders>
              <w:top w:val="nil"/>
              <w:left w:val="single" w:sz="6" w:space="0" w:color="000000"/>
              <w:bottom w:val="single" w:sz="6" w:space="0" w:color="000000"/>
              <w:right w:val="single" w:sz="6" w:space="0" w:color="000000"/>
            </w:tcBorders>
          </w:tcPr>
          <w:p w14:paraId="29453F1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60915B7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436E105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90C3239" w14:textId="77777777" w:rsidTr="008C2C82">
        <w:trPr>
          <w:trHeight w:val="138"/>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AFDA8F" w14:textId="77777777" w:rsidR="00E338A0" w:rsidRPr="00E338A0" w:rsidRDefault="00E338A0" w:rsidP="00E338A0">
            <w:pPr>
              <w:spacing w:after="0" w:line="240" w:lineRule="auto"/>
              <w:ind w:left="90" w:right="12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activitatea diferitor categorii de întreprinderi mici și mijlocii</w:t>
            </w:r>
          </w:p>
        </w:tc>
        <w:tc>
          <w:tcPr>
            <w:tcW w:w="739" w:type="pct"/>
            <w:tcBorders>
              <w:top w:val="nil"/>
              <w:left w:val="single" w:sz="6" w:space="0" w:color="000000"/>
              <w:bottom w:val="single" w:sz="6" w:space="0" w:color="000000"/>
              <w:right w:val="single" w:sz="6" w:space="0" w:color="000000"/>
            </w:tcBorders>
          </w:tcPr>
          <w:p w14:paraId="4C607BE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C7D886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6E7E36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4DCEECD" w14:textId="77777777" w:rsidTr="008C2C82">
        <w:trPr>
          <w:trHeight w:val="66"/>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3EF90F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concurența pe piață</w:t>
            </w:r>
          </w:p>
        </w:tc>
        <w:tc>
          <w:tcPr>
            <w:tcW w:w="739" w:type="pct"/>
            <w:tcBorders>
              <w:top w:val="nil"/>
              <w:left w:val="single" w:sz="6" w:space="0" w:color="000000"/>
              <w:bottom w:val="single" w:sz="4" w:space="0" w:color="auto"/>
              <w:right w:val="single" w:sz="6" w:space="0" w:color="000000"/>
            </w:tcBorders>
          </w:tcPr>
          <w:p w14:paraId="68985E64"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4" w:space="0" w:color="auto"/>
              <w:right w:val="single" w:sz="6" w:space="0" w:color="000000"/>
            </w:tcBorders>
          </w:tcPr>
          <w:p w14:paraId="386A114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58266AD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7379E52" w14:textId="77777777" w:rsidTr="008C2C82">
        <w:trPr>
          <w:trHeight w:val="75"/>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AC2199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activitatea de inovare și cercetare</w:t>
            </w:r>
          </w:p>
        </w:tc>
        <w:tc>
          <w:tcPr>
            <w:tcW w:w="739" w:type="pct"/>
            <w:tcBorders>
              <w:top w:val="single" w:sz="4" w:space="0" w:color="auto"/>
              <w:left w:val="single" w:sz="6" w:space="0" w:color="000000"/>
              <w:bottom w:val="single" w:sz="6" w:space="0" w:color="000000"/>
              <w:right w:val="single" w:sz="6" w:space="0" w:color="000000"/>
            </w:tcBorders>
          </w:tcPr>
          <w:p w14:paraId="435DB8D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single" w:sz="4" w:space="0" w:color="auto"/>
              <w:left w:val="single" w:sz="6" w:space="0" w:color="000000"/>
              <w:bottom w:val="single" w:sz="6" w:space="0" w:color="000000"/>
              <w:right w:val="single" w:sz="6" w:space="0" w:color="000000"/>
            </w:tcBorders>
          </w:tcPr>
          <w:p w14:paraId="7D89B06D"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2642440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1EF7A878"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BC1A65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veniturile și cheltuielile publice</w:t>
            </w:r>
          </w:p>
        </w:tc>
        <w:tc>
          <w:tcPr>
            <w:tcW w:w="739" w:type="pct"/>
            <w:tcBorders>
              <w:top w:val="nil"/>
              <w:left w:val="single" w:sz="6" w:space="0" w:color="000000"/>
              <w:bottom w:val="single" w:sz="6" w:space="0" w:color="000000"/>
              <w:right w:val="single" w:sz="6" w:space="0" w:color="000000"/>
            </w:tcBorders>
          </w:tcPr>
          <w:p w14:paraId="1F16A5A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42DCE56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F59B16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6D82172" w14:textId="77777777" w:rsidTr="008C2C82">
        <w:trPr>
          <w:trHeight w:val="210"/>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E06B43A"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cadrul instituțional al autorităților publice</w:t>
            </w:r>
          </w:p>
        </w:tc>
        <w:tc>
          <w:tcPr>
            <w:tcW w:w="739" w:type="pct"/>
            <w:tcBorders>
              <w:top w:val="nil"/>
              <w:left w:val="single" w:sz="6" w:space="0" w:color="000000"/>
              <w:bottom w:val="single" w:sz="4" w:space="0" w:color="auto"/>
              <w:right w:val="single" w:sz="6" w:space="0" w:color="000000"/>
            </w:tcBorders>
          </w:tcPr>
          <w:p w14:paraId="023CC42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4" w:space="0" w:color="auto"/>
              <w:right w:val="single" w:sz="6" w:space="0" w:color="000000"/>
            </w:tcBorders>
          </w:tcPr>
          <w:p w14:paraId="703CDC2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69D6F73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49CC4D53" w14:textId="77777777" w:rsidTr="008C2C82">
        <w:trPr>
          <w:trHeight w:val="147"/>
          <w:jc w:val="center"/>
        </w:trPr>
        <w:tc>
          <w:tcPr>
            <w:tcW w:w="2614" w:type="pct"/>
            <w:gridSpan w:val="2"/>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14:paraId="5C881264"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alegerea, calitatea și prețurile pentru consumatori</w:t>
            </w:r>
          </w:p>
        </w:tc>
        <w:tc>
          <w:tcPr>
            <w:tcW w:w="739" w:type="pct"/>
            <w:tcBorders>
              <w:top w:val="single" w:sz="4" w:space="0" w:color="auto"/>
              <w:left w:val="single" w:sz="4" w:space="0" w:color="auto"/>
              <w:bottom w:val="single" w:sz="4" w:space="0" w:color="auto"/>
              <w:right w:val="single" w:sz="4" w:space="0" w:color="auto"/>
            </w:tcBorders>
          </w:tcPr>
          <w:p w14:paraId="6B366975"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single" w:sz="4" w:space="0" w:color="auto"/>
              <w:left w:val="single" w:sz="4" w:space="0" w:color="auto"/>
              <w:bottom w:val="single" w:sz="4" w:space="0" w:color="auto"/>
              <w:right w:val="single" w:sz="4" w:space="0" w:color="auto"/>
            </w:tcBorders>
          </w:tcPr>
          <w:p w14:paraId="21789342"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4" w:space="0" w:color="auto"/>
              <w:bottom w:val="single" w:sz="4" w:space="0" w:color="auto"/>
              <w:right w:val="single" w:sz="4" w:space="0" w:color="auto"/>
            </w:tcBorders>
          </w:tcPr>
          <w:p w14:paraId="29B6183B" w14:textId="77777777" w:rsidR="00E338A0" w:rsidRPr="00E338A0" w:rsidRDefault="00E338A0" w:rsidP="00E338A0">
            <w:pPr>
              <w:spacing w:after="0" w:line="240" w:lineRule="auto"/>
              <w:ind w:left="90" w:right="189" w:firstLine="477"/>
              <w:jc w:val="both"/>
              <w:rPr>
                <w:rFonts w:ascii="Times New Roman" w:eastAsia="Times New Roman" w:hAnsi="Times New Roman" w:cs="Times New Roman"/>
                <w:sz w:val="28"/>
                <w:szCs w:val="28"/>
                <w:lang w:val="ro-RO"/>
              </w:rPr>
            </w:pPr>
          </w:p>
        </w:tc>
      </w:tr>
      <w:tr w:rsidR="00E338A0" w:rsidRPr="00E338A0" w14:paraId="23803694" w14:textId="77777777" w:rsidTr="008C2C82">
        <w:trPr>
          <w:trHeight w:val="53"/>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3DBF445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lastRenderedPageBreak/>
              <w:t>bunăstarea gospodăriilor casnice și a cetățenilor</w:t>
            </w:r>
          </w:p>
        </w:tc>
        <w:tc>
          <w:tcPr>
            <w:tcW w:w="739" w:type="pct"/>
            <w:tcBorders>
              <w:top w:val="single" w:sz="4" w:space="0" w:color="auto"/>
              <w:left w:val="single" w:sz="6" w:space="0" w:color="000000"/>
              <w:bottom w:val="single" w:sz="6" w:space="0" w:color="000000"/>
              <w:right w:val="single" w:sz="6" w:space="0" w:color="000000"/>
            </w:tcBorders>
          </w:tcPr>
          <w:p w14:paraId="6DAD999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single" w:sz="4" w:space="0" w:color="auto"/>
              <w:left w:val="single" w:sz="6" w:space="0" w:color="000000"/>
              <w:bottom w:val="single" w:sz="6" w:space="0" w:color="000000"/>
              <w:right w:val="single" w:sz="6" w:space="0" w:color="000000"/>
            </w:tcBorders>
          </w:tcPr>
          <w:p w14:paraId="37EB1E5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51F79E4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123EDB5C" w14:textId="77777777" w:rsidTr="008C2C82">
        <w:trPr>
          <w:trHeight w:val="246"/>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8BAA05D"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situația social-economică în anumite regiuni</w:t>
            </w:r>
          </w:p>
        </w:tc>
        <w:tc>
          <w:tcPr>
            <w:tcW w:w="739" w:type="pct"/>
            <w:tcBorders>
              <w:top w:val="nil"/>
              <w:left w:val="single" w:sz="6" w:space="0" w:color="000000"/>
              <w:bottom w:val="single" w:sz="6" w:space="0" w:color="000000"/>
              <w:right w:val="single" w:sz="6" w:space="0" w:color="000000"/>
            </w:tcBorders>
          </w:tcPr>
          <w:p w14:paraId="7AA6C60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B080E3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F16A18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DDF5325" w14:textId="77777777" w:rsidTr="008C2C82">
        <w:trPr>
          <w:trHeight w:val="246"/>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07217D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situația macroeconomică</w:t>
            </w:r>
          </w:p>
        </w:tc>
        <w:tc>
          <w:tcPr>
            <w:tcW w:w="739" w:type="pct"/>
            <w:tcBorders>
              <w:top w:val="nil"/>
              <w:left w:val="single" w:sz="6" w:space="0" w:color="000000"/>
              <w:bottom w:val="single" w:sz="6" w:space="0" w:color="000000"/>
              <w:right w:val="single" w:sz="6" w:space="0" w:color="000000"/>
            </w:tcBorders>
          </w:tcPr>
          <w:p w14:paraId="040853A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E7E7713"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4AAF75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7C4B392" w14:textId="77777777" w:rsidTr="008C2C82">
        <w:trPr>
          <w:trHeight w:val="237"/>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B856F0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alte aspecte economice</w:t>
            </w:r>
          </w:p>
        </w:tc>
        <w:tc>
          <w:tcPr>
            <w:tcW w:w="739" w:type="pct"/>
            <w:tcBorders>
              <w:top w:val="nil"/>
              <w:left w:val="single" w:sz="6" w:space="0" w:color="000000"/>
              <w:bottom w:val="single" w:sz="6" w:space="0" w:color="000000"/>
              <w:right w:val="single" w:sz="6" w:space="0" w:color="000000"/>
            </w:tcBorders>
          </w:tcPr>
          <w:p w14:paraId="59026A44"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CB3880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1E7709E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4DA37F0A" w14:textId="77777777" w:rsidTr="008C2C82">
        <w:trPr>
          <w:trHeight w:val="53"/>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029C626"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lang w:val="ro-RO"/>
              </w:rPr>
            </w:pPr>
            <w:r w:rsidRPr="00E338A0">
              <w:rPr>
                <w:rFonts w:ascii="Times New Roman" w:eastAsia="Times New Roman" w:hAnsi="Times New Roman" w:cs="Times New Roman"/>
                <w:b/>
                <w:bCs/>
                <w:sz w:val="28"/>
                <w:szCs w:val="28"/>
                <w:lang w:val="ro-RO"/>
              </w:rPr>
              <w:t>Social</w:t>
            </w:r>
          </w:p>
        </w:tc>
      </w:tr>
      <w:tr w:rsidR="00E338A0" w:rsidRPr="00E338A0" w14:paraId="3AF19019" w14:textId="77777777" w:rsidTr="008C2C82">
        <w:trPr>
          <w:trHeight w:val="156"/>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44D774E"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gradul de ocupare a forței de muncă</w:t>
            </w:r>
          </w:p>
        </w:tc>
        <w:tc>
          <w:tcPr>
            <w:tcW w:w="739" w:type="pct"/>
            <w:tcBorders>
              <w:top w:val="nil"/>
              <w:left w:val="single" w:sz="6" w:space="0" w:color="000000"/>
              <w:bottom w:val="single" w:sz="6" w:space="0" w:color="000000"/>
              <w:right w:val="single" w:sz="6" w:space="0" w:color="000000"/>
            </w:tcBorders>
          </w:tcPr>
          <w:p w14:paraId="7AE6A88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7DDD126B"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51893F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CF719DC"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031E45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nivelul de salarizare</w:t>
            </w:r>
          </w:p>
        </w:tc>
        <w:tc>
          <w:tcPr>
            <w:tcW w:w="739" w:type="pct"/>
            <w:tcBorders>
              <w:top w:val="nil"/>
              <w:left w:val="single" w:sz="6" w:space="0" w:color="000000"/>
              <w:bottom w:val="single" w:sz="6" w:space="0" w:color="000000"/>
              <w:right w:val="single" w:sz="6" w:space="0" w:color="000000"/>
            </w:tcBorders>
          </w:tcPr>
          <w:p w14:paraId="75121F4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53476ED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76740BD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9CF25A7"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A7F65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condițiile și organizarea muncii</w:t>
            </w:r>
          </w:p>
        </w:tc>
        <w:tc>
          <w:tcPr>
            <w:tcW w:w="739" w:type="pct"/>
            <w:tcBorders>
              <w:top w:val="nil"/>
              <w:left w:val="single" w:sz="6" w:space="0" w:color="000000"/>
              <w:bottom w:val="single" w:sz="6" w:space="0" w:color="000000"/>
              <w:right w:val="single" w:sz="6" w:space="0" w:color="000000"/>
            </w:tcBorders>
          </w:tcPr>
          <w:p w14:paraId="5CA27D9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0B9BC3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50773F9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F9B56AA" w14:textId="77777777" w:rsidTr="008C2C82">
        <w:trPr>
          <w:trHeight w:val="53"/>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AE4281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sănătatea și securitatea muncii</w:t>
            </w:r>
          </w:p>
        </w:tc>
        <w:tc>
          <w:tcPr>
            <w:tcW w:w="739" w:type="pct"/>
            <w:tcBorders>
              <w:top w:val="nil"/>
              <w:left w:val="single" w:sz="6" w:space="0" w:color="000000"/>
              <w:bottom w:val="single" w:sz="4" w:space="0" w:color="auto"/>
              <w:right w:val="single" w:sz="6" w:space="0" w:color="000000"/>
            </w:tcBorders>
          </w:tcPr>
          <w:p w14:paraId="4DE2216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4" w:space="0" w:color="auto"/>
              <w:right w:val="single" w:sz="6" w:space="0" w:color="000000"/>
            </w:tcBorders>
          </w:tcPr>
          <w:p w14:paraId="7728C87B"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72A002E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34572BE" w14:textId="77777777" w:rsidTr="008C2C82">
        <w:trPr>
          <w:trHeight w:val="102"/>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0558AB6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formarea profesională</w:t>
            </w:r>
          </w:p>
        </w:tc>
        <w:tc>
          <w:tcPr>
            <w:tcW w:w="739" w:type="pct"/>
            <w:tcBorders>
              <w:top w:val="single" w:sz="4" w:space="0" w:color="auto"/>
              <w:left w:val="single" w:sz="6" w:space="0" w:color="000000"/>
              <w:bottom w:val="single" w:sz="6" w:space="0" w:color="000000"/>
              <w:right w:val="single" w:sz="6" w:space="0" w:color="000000"/>
            </w:tcBorders>
          </w:tcPr>
          <w:p w14:paraId="35B33FD7"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single" w:sz="4" w:space="0" w:color="auto"/>
              <w:left w:val="single" w:sz="6" w:space="0" w:color="000000"/>
              <w:bottom w:val="single" w:sz="6" w:space="0" w:color="000000"/>
              <w:right w:val="single" w:sz="6" w:space="0" w:color="000000"/>
            </w:tcBorders>
          </w:tcPr>
          <w:p w14:paraId="38A4FD43"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2C94CB3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A67C182" w14:textId="77777777" w:rsidTr="008C2C82">
        <w:trPr>
          <w:trHeight w:val="210"/>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4FDAD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inegalitatea și distribuția veniturilor</w:t>
            </w:r>
          </w:p>
        </w:tc>
        <w:tc>
          <w:tcPr>
            <w:tcW w:w="739" w:type="pct"/>
            <w:tcBorders>
              <w:top w:val="nil"/>
              <w:left w:val="single" w:sz="6" w:space="0" w:color="000000"/>
              <w:bottom w:val="single" w:sz="6" w:space="0" w:color="000000"/>
              <w:right w:val="single" w:sz="6" w:space="0" w:color="000000"/>
            </w:tcBorders>
          </w:tcPr>
          <w:p w14:paraId="648B083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4C773C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2B2A4C4"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5045C56" w14:textId="77777777" w:rsidTr="008C2C82">
        <w:trPr>
          <w:trHeight w:val="210"/>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977449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nivelul veniturilor populației</w:t>
            </w:r>
          </w:p>
        </w:tc>
        <w:tc>
          <w:tcPr>
            <w:tcW w:w="739" w:type="pct"/>
            <w:tcBorders>
              <w:top w:val="nil"/>
              <w:left w:val="single" w:sz="6" w:space="0" w:color="000000"/>
              <w:bottom w:val="single" w:sz="6" w:space="0" w:color="000000"/>
              <w:right w:val="single" w:sz="6" w:space="0" w:color="000000"/>
            </w:tcBorders>
          </w:tcPr>
          <w:p w14:paraId="7F8EF65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A8D959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14B0930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5A5CAB7" w14:textId="77777777" w:rsidTr="008C2C82">
        <w:trPr>
          <w:trHeight w:val="129"/>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3573A51"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nivelul sărăciei</w:t>
            </w:r>
          </w:p>
        </w:tc>
        <w:tc>
          <w:tcPr>
            <w:tcW w:w="739" w:type="pct"/>
            <w:tcBorders>
              <w:top w:val="nil"/>
              <w:left w:val="single" w:sz="6" w:space="0" w:color="000000"/>
              <w:bottom w:val="single" w:sz="6" w:space="0" w:color="000000"/>
              <w:right w:val="single" w:sz="6" w:space="0" w:color="000000"/>
            </w:tcBorders>
          </w:tcPr>
          <w:p w14:paraId="6464FE8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1186723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DD87FA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ED368CB" w14:textId="77777777" w:rsidTr="008C2C82">
        <w:trPr>
          <w:trHeight w:val="444"/>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45E860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la bunuri și servicii de bază, în special pentru persoanele social-vulnerabile</w:t>
            </w:r>
          </w:p>
        </w:tc>
        <w:tc>
          <w:tcPr>
            <w:tcW w:w="739" w:type="pct"/>
            <w:tcBorders>
              <w:top w:val="nil"/>
              <w:left w:val="single" w:sz="6" w:space="0" w:color="000000"/>
              <w:bottom w:val="single" w:sz="6" w:space="0" w:color="000000"/>
              <w:right w:val="single" w:sz="6" w:space="0" w:color="000000"/>
            </w:tcBorders>
          </w:tcPr>
          <w:p w14:paraId="19479EB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B9FCD5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C95185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C0B93F0"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F680D9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diversitatea culturală și lingvistică</w:t>
            </w:r>
          </w:p>
        </w:tc>
        <w:tc>
          <w:tcPr>
            <w:tcW w:w="739" w:type="pct"/>
            <w:tcBorders>
              <w:top w:val="nil"/>
              <w:left w:val="single" w:sz="6" w:space="0" w:color="000000"/>
              <w:bottom w:val="single" w:sz="6" w:space="0" w:color="000000"/>
              <w:right w:val="single" w:sz="6" w:space="0" w:color="000000"/>
            </w:tcBorders>
          </w:tcPr>
          <w:p w14:paraId="55DE052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178F5C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587A6F4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E0F60C3"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337514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partidele politice și organizațiile civice</w:t>
            </w:r>
          </w:p>
        </w:tc>
        <w:tc>
          <w:tcPr>
            <w:tcW w:w="739" w:type="pct"/>
            <w:tcBorders>
              <w:top w:val="nil"/>
              <w:left w:val="single" w:sz="6" w:space="0" w:color="000000"/>
              <w:bottom w:val="single" w:sz="6" w:space="0" w:color="000000"/>
              <w:right w:val="single" w:sz="6" w:space="0" w:color="000000"/>
            </w:tcBorders>
          </w:tcPr>
          <w:p w14:paraId="4C35EAA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B771A8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341601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D8A5483" w14:textId="77777777" w:rsidTr="008C2C82">
        <w:trPr>
          <w:trHeight w:val="120"/>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5F000AF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sănătatea publică, inclusiv mortalitatea și morbiditatea</w:t>
            </w:r>
          </w:p>
        </w:tc>
        <w:tc>
          <w:tcPr>
            <w:tcW w:w="739" w:type="pct"/>
            <w:tcBorders>
              <w:top w:val="nil"/>
              <w:left w:val="single" w:sz="6" w:space="0" w:color="000000"/>
              <w:bottom w:val="single" w:sz="6" w:space="0" w:color="000000"/>
              <w:right w:val="single" w:sz="6" w:space="0" w:color="000000"/>
            </w:tcBorders>
          </w:tcPr>
          <w:p w14:paraId="1FB1250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69E771E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F0AD49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31B4D378"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D8ED2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modul sănătos de viață al populației</w:t>
            </w:r>
          </w:p>
        </w:tc>
        <w:tc>
          <w:tcPr>
            <w:tcW w:w="739" w:type="pct"/>
            <w:tcBorders>
              <w:top w:val="nil"/>
              <w:left w:val="single" w:sz="6" w:space="0" w:color="000000"/>
              <w:bottom w:val="single" w:sz="6" w:space="0" w:color="000000"/>
              <w:right w:val="single" w:sz="6" w:space="0" w:color="000000"/>
            </w:tcBorders>
          </w:tcPr>
          <w:p w14:paraId="330E903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50BE62EB"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2E5B74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4322579" w14:textId="77777777" w:rsidTr="008C2C82">
        <w:trPr>
          <w:trHeight w:val="228"/>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12170A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nivelul criminalității și securității publice</w:t>
            </w:r>
          </w:p>
        </w:tc>
        <w:tc>
          <w:tcPr>
            <w:tcW w:w="739" w:type="pct"/>
            <w:tcBorders>
              <w:top w:val="nil"/>
              <w:left w:val="single" w:sz="6" w:space="0" w:color="000000"/>
              <w:bottom w:val="single" w:sz="6" w:space="0" w:color="000000"/>
              <w:right w:val="single" w:sz="6" w:space="0" w:color="000000"/>
            </w:tcBorders>
          </w:tcPr>
          <w:p w14:paraId="7AEC344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529F4231"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42BB3D7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D0E3007" w14:textId="77777777" w:rsidTr="008C2C82">
        <w:trPr>
          <w:trHeight w:val="57"/>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2D4569E"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și calitatea serviciilor de protecție socială</w:t>
            </w:r>
          </w:p>
        </w:tc>
        <w:tc>
          <w:tcPr>
            <w:tcW w:w="739" w:type="pct"/>
            <w:tcBorders>
              <w:top w:val="nil"/>
              <w:left w:val="single" w:sz="6" w:space="0" w:color="000000"/>
              <w:bottom w:val="single" w:sz="6" w:space="0" w:color="000000"/>
              <w:right w:val="single" w:sz="6" w:space="0" w:color="000000"/>
            </w:tcBorders>
          </w:tcPr>
          <w:p w14:paraId="170BC61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39BA256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539FF9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4A569CEB" w14:textId="77777777" w:rsidTr="008C2C82">
        <w:trPr>
          <w:trHeight w:val="165"/>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455218E"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și calitatea serviciilor educaționale</w:t>
            </w:r>
          </w:p>
        </w:tc>
        <w:tc>
          <w:tcPr>
            <w:tcW w:w="739" w:type="pct"/>
            <w:tcBorders>
              <w:top w:val="nil"/>
              <w:left w:val="single" w:sz="6" w:space="0" w:color="000000"/>
              <w:bottom w:val="single" w:sz="6" w:space="0" w:color="000000"/>
              <w:right w:val="single" w:sz="6" w:space="0" w:color="000000"/>
            </w:tcBorders>
          </w:tcPr>
          <w:p w14:paraId="00F53A74"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5AD01CFA"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7CF47C6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53614C1"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7CEC11A"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și calitatea serviciilor medicale</w:t>
            </w:r>
          </w:p>
        </w:tc>
        <w:tc>
          <w:tcPr>
            <w:tcW w:w="739" w:type="pct"/>
            <w:tcBorders>
              <w:top w:val="nil"/>
              <w:left w:val="single" w:sz="6" w:space="0" w:color="000000"/>
              <w:bottom w:val="single" w:sz="6" w:space="0" w:color="000000"/>
              <w:right w:val="single" w:sz="6" w:space="0" w:color="000000"/>
            </w:tcBorders>
          </w:tcPr>
          <w:p w14:paraId="51D30B9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86F7CBD"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581127F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CFFAA9C" w14:textId="77777777" w:rsidTr="008C2C82">
        <w:trPr>
          <w:trHeight w:val="84"/>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26C6FF8A"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și calitatea serviciilor publice administrative</w:t>
            </w:r>
          </w:p>
        </w:tc>
        <w:tc>
          <w:tcPr>
            <w:tcW w:w="739" w:type="pct"/>
            <w:tcBorders>
              <w:top w:val="nil"/>
              <w:left w:val="single" w:sz="6" w:space="0" w:color="000000"/>
              <w:bottom w:val="single" w:sz="4" w:space="0" w:color="auto"/>
              <w:right w:val="single" w:sz="6" w:space="0" w:color="000000"/>
            </w:tcBorders>
          </w:tcPr>
          <w:p w14:paraId="3B46194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4" w:space="0" w:color="auto"/>
              <w:right w:val="single" w:sz="6" w:space="0" w:color="000000"/>
            </w:tcBorders>
          </w:tcPr>
          <w:p w14:paraId="0B4502A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7183812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B5DEA9C" w14:textId="77777777" w:rsidTr="008C2C82">
        <w:trPr>
          <w:trHeight w:val="53"/>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574107E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nivelul și calitatea educației populației</w:t>
            </w:r>
          </w:p>
        </w:tc>
        <w:tc>
          <w:tcPr>
            <w:tcW w:w="739" w:type="pct"/>
            <w:tcBorders>
              <w:top w:val="single" w:sz="4" w:space="0" w:color="auto"/>
              <w:left w:val="single" w:sz="6" w:space="0" w:color="000000"/>
              <w:bottom w:val="single" w:sz="6" w:space="0" w:color="000000"/>
              <w:right w:val="single" w:sz="6" w:space="0" w:color="000000"/>
            </w:tcBorders>
          </w:tcPr>
          <w:p w14:paraId="74D8EB9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single" w:sz="4" w:space="0" w:color="auto"/>
              <w:left w:val="single" w:sz="6" w:space="0" w:color="000000"/>
              <w:bottom w:val="single" w:sz="6" w:space="0" w:color="000000"/>
              <w:right w:val="single" w:sz="6" w:space="0" w:color="000000"/>
            </w:tcBorders>
          </w:tcPr>
          <w:p w14:paraId="40D3661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0901210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B3E9110" w14:textId="77777777" w:rsidTr="008C2C82">
        <w:trPr>
          <w:trHeight w:val="111"/>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2CFE11F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conservarea patrimoniului cultural</w:t>
            </w:r>
          </w:p>
        </w:tc>
        <w:tc>
          <w:tcPr>
            <w:tcW w:w="739" w:type="pct"/>
            <w:tcBorders>
              <w:top w:val="nil"/>
              <w:left w:val="single" w:sz="6" w:space="0" w:color="000000"/>
              <w:bottom w:val="single" w:sz="6" w:space="0" w:color="000000"/>
              <w:right w:val="single" w:sz="6" w:space="0" w:color="000000"/>
            </w:tcBorders>
          </w:tcPr>
          <w:p w14:paraId="2A0388B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4A0D4D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0911CEF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1FA96480" w14:textId="77777777" w:rsidTr="008C2C82">
        <w:trPr>
          <w:trHeight w:val="444"/>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A4FBB6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populației la resurse culturale și participarea în manifestații culturale</w:t>
            </w:r>
          </w:p>
        </w:tc>
        <w:tc>
          <w:tcPr>
            <w:tcW w:w="739" w:type="pct"/>
            <w:tcBorders>
              <w:top w:val="nil"/>
              <w:left w:val="single" w:sz="6" w:space="0" w:color="000000"/>
              <w:bottom w:val="single" w:sz="6" w:space="0" w:color="000000"/>
              <w:right w:val="single" w:sz="6" w:space="0" w:color="000000"/>
            </w:tcBorders>
          </w:tcPr>
          <w:p w14:paraId="5FD6094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312FE4E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156D5D8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70CF2CB" w14:textId="77777777" w:rsidTr="008C2C82">
        <w:trPr>
          <w:trHeight w:val="174"/>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814A4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accesul și participarea populației în activități sportive</w:t>
            </w:r>
          </w:p>
        </w:tc>
        <w:tc>
          <w:tcPr>
            <w:tcW w:w="739" w:type="pct"/>
            <w:tcBorders>
              <w:top w:val="nil"/>
              <w:left w:val="single" w:sz="6" w:space="0" w:color="000000"/>
              <w:bottom w:val="single" w:sz="6" w:space="0" w:color="000000"/>
              <w:right w:val="single" w:sz="6" w:space="0" w:color="000000"/>
            </w:tcBorders>
          </w:tcPr>
          <w:p w14:paraId="3B0B867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431988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DB5806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579FBC8" w14:textId="77777777" w:rsidTr="008C2C82">
        <w:trPr>
          <w:trHeight w:val="27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6CB591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discriminarea</w:t>
            </w:r>
          </w:p>
        </w:tc>
        <w:tc>
          <w:tcPr>
            <w:tcW w:w="739" w:type="pct"/>
            <w:tcBorders>
              <w:top w:val="nil"/>
              <w:left w:val="single" w:sz="6" w:space="0" w:color="000000"/>
              <w:bottom w:val="single" w:sz="6" w:space="0" w:color="000000"/>
              <w:right w:val="single" w:sz="6" w:space="0" w:color="000000"/>
            </w:tcBorders>
          </w:tcPr>
          <w:p w14:paraId="0225D79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00CCAEF3"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476053C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E49FE5A" w14:textId="77777777" w:rsidTr="008C2C82">
        <w:trPr>
          <w:trHeight w:val="246"/>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3BD0B3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lastRenderedPageBreak/>
              <w:t>alte aspecte sociale</w:t>
            </w:r>
          </w:p>
        </w:tc>
        <w:tc>
          <w:tcPr>
            <w:tcW w:w="739" w:type="pct"/>
            <w:tcBorders>
              <w:top w:val="nil"/>
              <w:left w:val="single" w:sz="6" w:space="0" w:color="000000"/>
              <w:bottom w:val="single" w:sz="6" w:space="0" w:color="000000"/>
              <w:right w:val="single" w:sz="6" w:space="0" w:color="000000"/>
            </w:tcBorders>
          </w:tcPr>
          <w:p w14:paraId="4664E5F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7D8426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E77357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603F1BA" w14:textId="77777777" w:rsidTr="008C2C82">
        <w:trPr>
          <w:trHeight w:val="237"/>
          <w:jc w:val="center"/>
        </w:trPr>
        <w:tc>
          <w:tcPr>
            <w:tcW w:w="5000" w:type="pct"/>
            <w:gridSpan w:val="5"/>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7AF956A" w14:textId="77777777" w:rsidR="00E338A0" w:rsidRPr="00E338A0" w:rsidRDefault="00E338A0" w:rsidP="00E338A0">
            <w:pPr>
              <w:spacing w:after="0" w:line="240" w:lineRule="auto"/>
              <w:ind w:left="90" w:right="189" w:firstLine="477"/>
              <w:rPr>
                <w:rFonts w:ascii="Times New Roman" w:eastAsia="Times New Roman" w:hAnsi="Times New Roman" w:cs="Times New Roman"/>
                <w:b/>
                <w:sz w:val="28"/>
                <w:szCs w:val="28"/>
                <w:lang w:val="ro-RO"/>
              </w:rPr>
            </w:pPr>
            <w:r w:rsidRPr="00E338A0">
              <w:rPr>
                <w:rFonts w:ascii="Times New Roman" w:eastAsia="Times New Roman" w:hAnsi="Times New Roman" w:cs="Times New Roman"/>
                <w:b/>
                <w:sz w:val="28"/>
                <w:szCs w:val="28"/>
                <w:lang w:val="ro-RO"/>
              </w:rPr>
              <w:t>De mediu</w:t>
            </w:r>
          </w:p>
        </w:tc>
      </w:tr>
      <w:tr w:rsidR="00E338A0" w:rsidRPr="00E338A0" w14:paraId="3BE8BCD8" w14:textId="77777777" w:rsidTr="008C2C82">
        <w:trPr>
          <w:trHeight w:val="444"/>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705D4DD3"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clima, inclusiv emisiile gazelor cu efect de seră și celor care afectează stratul de ozon</w:t>
            </w:r>
          </w:p>
        </w:tc>
        <w:tc>
          <w:tcPr>
            <w:tcW w:w="739" w:type="pct"/>
            <w:tcBorders>
              <w:top w:val="nil"/>
              <w:left w:val="single" w:sz="6" w:space="0" w:color="000000"/>
              <w:bottom w:val="single" w:sz="6" w:space="0" w:color="000000"/>
              <w:right w:val="single" w:sz="6" w:space="0" w:color="000000"/>
            </w:tcBorders>
          </w:tcPr>
          <w:p w14:paraId="467F8F0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69E4D91"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212879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4CCACDEF"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6AA1702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calitatea aerului</w:t>
            </w:r>
          </w:p>
        </w:tc>
        <w:tc>
          <w:tcPr>
            <w:tcW w:w="739" w:type="pct"/>
            <w:tcBorders>
              <w:top w:val="nil"/>
              <w:left w:val="single" w:sz="6" w:space="0" w:color="000000"/>
              <w:bottom w:val="single" w:sz="6" w:space="0" w:color="000000"/>
              <w:right w:val="single" w:sz="6" w:space="0" w:color="000000"/>
            </w:tcBorders>
          </w:tcPr>
          <w:p w14:paraId="4E585F2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2F477D5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49F429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939FB5D" w14:textId="77777777" w:rsidTr="008C2C82">
        <w:trPr>
          <w:trHeight w:val="444"/>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B4B285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bCs/>
                <w:sz w:val="28"/>
                <w:szCs w:val="28"/>
                <w:lang w:val="ro-RO"/>
              </w:rPr>
              <w:t>calitatea și cantitatea apei și resurselor acvatice, inclusiv a apei potabile și de alt gen</w:t>
            </w:r>
          </w:p>
        </w:tc>
        <w:tc>
          <w:tcPr>
            <w:tcW w:w="739" w:type="pct"/>
            <w:tcBorders>
              <w:top w:val="nil"/>
              <w:left w:val="single" w:sz="6" w:space="0" w:color="000000"/>
              <w:bottom w:val="single" w:sz="6" w:space="0" w:color="000000"/>
              <w:right w:val="single" w:sz="6" w:space="0" w:color="000000"/>
            </w:tcBorders>
          </w:tcPr>
          <w:p w14:paraId="2D563A6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00BB49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C1B2A7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0053428" w14:textId="77777777" w:rsidTr="008C2C82">
        <w:trPr>
          <w:trHeight w:val="129"/>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6D059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biodiversitatea</w:t>
            </w:r>
          </w:p>
        </w:tc>
        <w:tc>
          <w:tcPr>
            <w:tcW w:w="739" w:type="pct"/>
            <w:tcBorders>
              <w:top w:val="nil"/>
              <w:left w:val="single" w:sz="6" w:space="0" w:color="000000"/>
              <w:bottom w:val="single" w:sz="6" w:space="0" w:color="000000"/>
              <w:right w:val="single" w:sz="6" w:space="0" w:color="000000"/>
            </w:tcBorders>
          </w:tcPr>
          <w:p w14:paraId="317C2D6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03E77196"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0FD49C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CA83953" w14:textId="77777777" w:rsidTr="008C2C82">
        <w:trPr>
          <w:trHeight w:val="228"/>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2AED7F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flora</w:t>
            </w:r>
          </w:p>
        </w:tc>
        <w:tc>
          <w:tcPr>
            <w:tcW w:w="739" w:type="pct"/>
            <w:tcBorders>
              <w:top w:val="nil"/>
              <w:left w:val="single" w:sz="6" w:space="0" w:color="000000"/>
              <w:bottom w:val="single" w:sz="6" w:space="0" w:color="000000"/>
              <w:right w:val="single" w:sz="6" w:space="0" w:color="000000"/>
            </w:tcBorders>
          </w:tcPr>
          <w:p w14:paraId="589F2AA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D34AE1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1907D5F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056CEB9"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3CAC01C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fauna</w:t>
            </w:r>
          </w:p>
        </w:tc>
        <w:tc>
          <w:tcPr>
            <w:tcW w:w="739" w:type="pct"/>
            <w:tcBorders>
              <w:top w:val="nil"/>
              <w:left w:val="single" w:sz="6" w:space="0" w:color="000000"/>
              <w:bottom w:val="single" w:sz="6" w:space="0" w:color="000000"/>
              <w:right w:val="single" w:sz="6" w:space="0" w:color="000000"/>
            </w:tcBorders>
          </w:tcPr>
          <w:p w14:paraId="2DCC8329"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19D09643"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72213E10"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127E9F4D" w14:textId="77777777" w:rsidTr="008C2C82">
        <w:trPr>
          <w:trHeight w:val="66"/>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1D4539B2"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peisajele naturale</w:t>
            </w:r>
          </w:p>
        </w:tc>
        <w:tc>
          <w:tcPr>
            <w:tcW w:w="739" w:type="pct"/>
            <w:tcBorders>
              <w:top w:val="nil"/>
              <w:left w:val="single" w:sz="6" w:space="0" w:color="000000"/>
              <w:bottom w:val="single" w:sz="4" w:space="0" w:color="auto"/>
              <w:right w:val="single" w:sz="6" w:space="0" w:color="000000"/>
            </w:tcBorders>
          </w:tcPr>
          <w:p w14:paraId="03C314C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4" w:space="0" w:color="auto"/>
              <w:right w:val="single" w:sz="6" w:space="0" w:color="000000"/>
            </w:tcBorders>
          </w:tcPr>
          <w:p w14:paraId="6E0086C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253F8FD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D06A44F" w14:textId="77777777" w:rsidTr="008C2C82">
        <w:trPr>
          <w:trHeight w:val="165"/>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1EB1FF2D"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starea și resursele solului</w:t>
            </w:r>
          </w:p>
        </w:tc>
        <w:tc>
          <w:tcPr>
            <w:tcW w:w="739" w:type="pct"/>
            <w:tcBorders>
              <w:top w:val="single" w:sz="4" w:space="0" w:color="auto"/>
              <w:left w:val="single" w:sz="6" w:space="0" w:color="000000"/>
              <w:bottom w:val="single" w:sz="6" w:space="0" w:color="000000"/>
              <w:right w:val="single" w:sz="6" w:space="0" w:color="000000"/>
            </w:tcBorders>
          </w:tcPr>
          <w:p w14:paraId="2D972FA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single" w:sz="4" w:space="0" w:color="auto"/>
              <w:left w:val="single" w:sz="6" w:space="0" w:color="000000"/>
              <w:bottom w:val="single" w:sz="6" w:space="0" w:color="000000"/>
              <w:right w:val="single" w:sz="6" w:space="0" w:color="000000"/>
            </w:tcBorders>
          </w:tcPr>
          <w:p w14:paraId="1C0BC60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0AB8C267"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73319105" w14:textId="77777777" w:rsidTr="008C2C82">
        <w:trPr>
          <w:trHeight w:val="53"/>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32DA6210"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producerea și reciclarea deșeurilor</w:t>
            </w:r>
          </w:p>
        </w:tc>
        <w:tc>
          <w:tcPr>
            <w:tcW w:w="739" w:type="pct"/>
            <w:tcBorders>
              <w:top w:val="nil"/>
              <w:left w:val="single" w:sz="6" w:space="0" w:color="000000"/>
              <w:bottom w:val="single" w:sz="4" w:space="0" w:color="auto"/>
              <w:right w:val="single" w:sz="6" w:space="0" w:color="000000"/>
            </w:tcBorders>
          </w:tcPr>
          <w:p w14:paraId="7EF0C0EC"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4" w:space="0" w:color="auto"/>
              <w:right w:val="single" w:sz="6" w:space="0" w:color="000000"/>
            </w:tcBorders>
          </w:tcPr>
          <w:p w14:paraId="7526180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51743C13"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4676387B" w14:textId="77777777" w:rsidTr="008C2C82">
        <w:trPr>
          <w:trHeight w:val="102"/>
          <w:jc w:val="center"/>
        </w:trPr>
        <w:tc>
          <w:tcPr>
            <w:tcW w:w="2614" w:type="pct"/>
            <w:gridSpan w:val="2"/>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14:paraId="4F957124"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utilizarea eficientă a resurselor regenerabile și neregenerabile</w:t>
            </w:r>
          </w:p>
        </w:tc>
        <w:tc>
          <w:tcPr>
            <w:tcW w:w="739" w:type="pct"/>
            <w:tcBorders>
              <w:top w:val="single" w:sz="4" w:space="0" w:color="auto"/>
              <w:left w:val="single" w:sz="6" w:space="0" w:color="000000"/>
              <w:bottom w:val="single" w:sz="6" w:space="0" w:color="000000"/>
              <w:right w:val="single" w:sz="6" w:space="0" w:color="000000"/>
            </w:tcBorders>
          </w:tcPr>
          <w:p w14:paraId="33224387"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single" w:sz="4" w:space="0" w:color="auto"/>
              <w:left w:val="single" w:sz="6" w:space="0" w:color="000000"/>
              <w:bottom w:val="single" w:sz="6" w:space="0" w:color="000000"/>
              <w:right w:val="single" w:sz="6" w:space="0" w:color="000000"/>
            </w:tcBorders>
          </w:tcPr>
          <w:p w14:paraId="4485568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single" w:sz="4" w:space="0" w:color="auto"/>
              <w:left w:val="single" w:sz="6" w:space="0" w:color="000000"/>
              <w:bottom w:val="single" w:sz="6" w:space="0" w:color="000000"/>
              <w:right w:val="single" w:sz="6" w:space="0" w:color="000000"/>
            </w:tcBorders>
          </w:tcPr>
          <w:p w14:paraId="4A5553A2"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37BC21BB" w14:textId="77777777" w:rsidTr="008C2C82">
        <w:trPr>
          <w:trHeight w:val="53"/>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0619D3A"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consumul și producția durabilă</w:t>
            </w:r>
          </w:p>
        </w:tc>
        <w:tc>
          <w:tcPr>
            <w:tcW w:w="739" w:type="pct"/>
            <w:tcBorders>
              <w:top w:val="nil"/>
              <w:left w:val="single" w:sz="6" w:space="0" w:color="000000"/>
              <w:bottom w:val="single" w:sz="6" w:space="0" w:color="000000"/>
              <w:right w:val="single" w:sz="6" w:space="0" w:color="000000"/>
            </w:tcBorders>
          </w:tcPr>
          <w:p w14:paraId="7BD98C0A"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63DE50E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2D2455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6A8E159" w14:textId="77777777" w:rsidTr="008C2C82">
        <w:trPr>
          <w:trHeight w:val="111"/>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4766E311"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intensitatea energetică</w:t>
            </w:r>
          </w:p>
        </w:tc>
        <w:tc>
          <w:tcPr>
            <w:tcW w:w="739" w:type="pct"/>
            <w:tcBorders>
              <w:top w:val="nil"/>
              <w:left w:val="single" w:sz="6" w:space="0" w:color="000000"/>
              <w:bottom w:val="single" w:sz="6" w:space="0" w:color="000000"/>
              <w:right w:val="single" w:sz="6" w:space="0" w:color="000000"/>
            </w:tcBorders>
          </w:tcPr>
          <w:p w14:paraId="5121DEBD"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1B6AD12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6BE68C7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102FA0AA" w14:textId="77777777" w:rsidTr="008C2C82">
        <w:trPr>
          <w:trHeight w:val="129"/>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D9B48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eficiența și performanța energetică</w:t>
            </w:r>
          </w:p>
        </w:tc>
        <w:tc>
          <w:tcPr>
            <w:tcW w:w="739" w:type="pct"/>
            <w:tcBorders>
              <w:top w:val="nil"/>
              <w:left w:val="single" w:sz="6" w:space="0" w:color="000000"/>
              <w:bottom w:val="single" w:sz="6" w:space="0" w:color="000000"/>
              <w:right w:val="single" w:sz="6" w:space="0" w:color="000000"/>
            </w:tcBorders>
          </w:tcPr>
          <w:p w14:paraId="15EF646E"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1BEC8B15"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5CA0642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31256BC0" w14:textId="77777777" w:rsidTr="008C2C82">
        <w:trPr>
          <w:trHeight w:val="192"/>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E334179"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bunăstarea animalelor</w:t>
            </w:r>
          </w:p>
        </w:tc>
        <w:tc>
          <w:tcPr>
            <w:tcW w:w="739" w:type="pct"/>
            <w:tcBorders>
              <w:top w:val="nil"/>
              <w:left w:val="single" w:sz="6" w:space="0" w:color="000000"/>
              <w:bottom w:val="single" w:sz="6" w:space="0" w:color="000000"/>
              <w:right w:val="single" w:sz="6" w:space="0" w:color="000000"/>
            </w:tcBorders>
          </w:tcPr>
          <w:p w14:paraId="5F637CC5"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06B68C2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242B6DF1"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2FCE4456" w14:textId="77777777" w:rsidTr="008C2C82">
        <w:trPr>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03A37D3F"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riscuri majore pentru mediu (incendii, explozii, accidente etc.)</w:t>
            </w:r>
          </w:p>
        </w:tc>
        <w:tc>
          <w:tcPr>
            <w:tcW w:w="739" w:type="pct"/>
            <w:tcBorders>
              <w:top w:val="nil"/>
              <w:left w:val="single" w:sz="6" w:space="0" w:color="000000"/>
              <w:bottom w:val="single" w:sz="6" w:space="0" w:color="000000"/>
              <w:right w:val="single" w:sz="6" w:space="0" w:color="000000"/>
            </w:tcBorders>
          </w:tcPr>
          <w:p w14:paraId="32087ADB"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+1</w:t>
            </w:r>
          </w:p>
        </w:tc>
        <w:tc>
          <w:tcPr>
            <w:tcW w:w="821" w:type="pct"/>
            <w:tcBorders>
              <w:top w:val="nil"/>
              <w:left w:val="single" w:sz="6" w:space="0" w:color="000000"/>
              <w:bottom w:val="single" w:sz="6" w:space="0" w:color="000000"/>
              <w:right w:val="single" w:sz="6" w:space="0" w:color="000000"/>
            </w:tcBorders>
          </w:tcPr>
          <w:p w14:paraId="0A5DFA67"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525C08E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03656BDA" w14:textId="77777777" w:rsidTr="008C2C82">
        <w:trPr>
          <w:jc w:val="center"/>
        </w:trPr>
        <w:tc>
          <w:tcPr>
            <w:tcW w:w="2614" w:type="pct"/>
            <w:gridSpan w:val="2"/>
            <w:tcBorders>
              <w:top w:val="nil"/>
              <w:left w:val="single" w:sz="6" w:space="0" w:color="000000"/>
              <w:bottom w:val="single" w:sz="6" w:space="0" w:color="000000"/>
              <w:right w:val="single" w:sz="6" w:space="0" w:color="000000"/>
            </w:tcBorders>
            <w:tcMar>
              <w:top w:w="15" w:type="dxa"/>
              <w:left w:w="45" w:type="dxa"/>
              <w:bottom w:w="15" w:type="dxa"/>
              <w:right w:w="45" w:type="dxa"/>
            </w:tcMar>
          </w:tcPr>
          <w:p w14:paraId="1720567C"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utilizarea terenurilor</w:t>
            </w:r>
          </w:p>
        </w:tc>
        <w:tc>
          <w:tcPr>
            <w:tcW w:w="739" w:type="pct"/>
            <w:tcBorders>
              <w:top w:val="nil"/>
              <w:left w:val="single" w:sz="6" w:space="0" w:color="000000"/>
              <w:bottom w:val="single" w:sz="6" w:space="0" w:color="000000"/>
              <w:right w:val="single" w:sz="6" w:space="0" w:color="000000"/>
            </w:tcBorders>
          </w:tcPr>
          <w:p w14:paraId="4EA2923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6" w:space="0" w:color="000000"/>
              <w:right w:val="single" w:sz="6" w:space="0" w:color="000000"/>
            </w:tcBorders>
          </w:tcPr>
          <w:p w14:paraId="4DD0002D"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6" w:space="0" w:color="000000"/>
              <w:right w:val="single" w:sz="6" w:space="0" w:color="000000"/>
            </w:tcBorders>
          </w:tcPr>
          <w:p w14:paraId="3FA3A107"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5AF47728" w14:textId="77777777" w:rsidTr="008C2C82">
        <w:trPr>
          <w:jc w:val="center"/>
        </w:trPr>
        <w:tc>
          <w:tcPr>
            <w:tcW w:w="2614" w:type="pct"/>
            <w:gridSpan w:val="2"/>
            <w:tcBorders>
              <w:top w:val="nil"/>
              <w:left w:val="single" w:sz="6" w:space="0" w:color="000000"/>
              <w:bottom w:val="single" w:sz="4" w:space="0" w:color="auto"/>
              <w:right w:val="single" w:sz="6" w:space="0" w:color="000000"/>
            </w:tcBorders>
            <w:tcMar>
              <w:top w:w="15" w:type="dxa"/>
              <w:left w:w="45" w:type="dxa"/>
              <w:bottom w:w="15" w:type="dxa"/>
              <w:right w:w="45" w:type="dxa"/>
            </w:tcMar>
          </w:tcPr>
          <w:p w14:paraId="64E749A8"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alte aspecte de mediu</w:t>
            </w:r>
          </w:p>
        </w:tc>
        <w:tc>
          <w:tcPr>
            <w:tcW w:w="739" w:type="pct"/>
            <w:tcBorders>
              <w:top w:val="nil"/>
              <w:left w:val="single" w:sz="6" w:space="0" w:color="000000"/>
              <w:bottom w:val="single" w:sz="4" w:space="0" w:color="auto"/>
              <w:right w:val="single" w:sz="6" w:space="0" w:color="000000"/>
            </w:tcBorders>
          </w:tcPr>
          <w:p w14:paraId="1801AC78"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r w:rsidRPr="00E338A0">
              <w:rPr>
                <w:rFonts w:ascii="Times New Roman" w:eastAsia="Times New Roman" w:hAnsi="Times New Roman" w:cs="Times New Roman"/>
                <w:sz w:val="28"/>
                <w:szCs w:val="28"/>
                <w:lang w:val="ro-RO"/>
              </w:rPr>
              <w:t>0</w:t>
            </w:r>
          </w:p>
        </w:tc>
        <w:tc>
          <w:tcPr>
            <w:tcW w:w="821" w:type="pct"/>
            <w:tcBorders>
              <w:top w:val="nil"/>
              <w:left w:val="single" w:sz="6" w:space="0" w:color="000000"/>
              <w:bottom w:val="single" w:sz="4" w:space="0" w:color="auto"/>
              <w:right w:val="single" w:sz="6" w:space="0" w:color="000000"/>
            </w:tcBorders>
          </w:tcPr>
          <w:p w14:paraId="1342236E" w14:textId="77777777" w:rsidR="00E338A0" w:rsidRPr="00E338A0" w:rsidRDefault="00E338A0" w:rsidP="00E338A0">
            <w:pPr>
              <w:spacing w:after="0" w:line="240" w:lineRule="auto"/>
              <w:ind w:left="90" w:right="189" w:firstLine="477"/>
              <w:rPr>
                <w:rFonts w:ascii="Times New Roman" w:eastAsia="Times New Roman" w:hAnsi="Times New Roman" w:cs="Times New Roman"/>
                <w:bCs/>
                <w:sz w:val="28"/>
                <w:szCs w:val="28"/>
                <w:lang w:val="ro-RO"/>
              </w:rPr>
            </w:pPr>
            <w:r w:rsidRPr="00E338A0">
              <w:rPr>
                <w:rFonts w:ascii="Times New Roman" w:eastAsia="Times New Roman" w:hAnsi="Times New Roman" w:cs="Times New Roman"/>
                <w:bCs/>
                <w:sz w:val="28"/>
                <w:szCs w:val="28"/>
                <w:lang w:val="ro-RO"/>
              </w:rPr>
              <w:t>-</w:t>
            </w:r>
          </w:p>
        </w:tc>
        <w:tc>
          <w:tcPr>
            <w:tcW w:w="826" w:type="pct"/>
            <w:tcBorders>
              <w:top w:val="nil"/>
              <w:left w:val="single" w:sz="6" w:space="0" w:color="000000"/>
              <w:bottom w:val="single" w:sz="4" w:space="0" w:color="auto"/>
              <w:right w:val="single" w:sz="6" w:space="0" w:color="000000"/>
            </w:tcBorders>
          </w:tcPr>
          <w:p w14:paraId="6B55F066"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rPr>
            </w:pPr>
          </w:p>
        </w:tc>
      </w:tr>
      <w:tr w:rsidR="00E338A0" w:rsidRPr="00E338A0" w14:paraId="6FDAC6A0" w14:textId="77777777" w:rsidTr="008C2C82">
        <w:trPr>
          <w:jc w:val="center"/>
        </w:trPr>
        <w:tc>
          <w:tcPr>
            <w:tcW w:w="5000" w:type="pct"/>
            <w:gridSpan w:val="5"/>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14:paraId="6F8C2E58" w14:textId="77777777" w:rsidR="00E338A0" w:rsidRPr="00FE7B99" w:rsidRDefault="00E338A0" w:rsidP="00E338A0">
            <w:pPr>
              <w:spacing w:after="0" w:line="240" w:lineRule="auto"/>
              <w:ind w:left="90" w:right="189" w:firstLine="477"/>
              <w:jc w:val="both"/>
              <w:rPr>
                <w:rFonts w:ascii="Times New Roman" w:eastAsia="Times New Roman" w:hAnsi="Times New Roman" w:cs="Times New Roman"/>
                <w:sz w:val="24"/>
                <w:szCs w:val="24"/>
                <w:lang w:val="ro-RO"/>
              </w:rPr>
            </w:pPr>
            <w:r w:rsidRPr="00FE7B99">
              <w:rPr>
                <w:rFonts w:ascii="Times New Roman" w:eastAsia="Times New Roman" w:hAnsi="Times New Roman" w:cs="Times New Roman"/>
                <w:bCs/>
                <w:i/>
                <w:iCs/>
                <w:sz w:val="24"/>
                <w:szCs w:val="24"/>
                <w:lang w:val="ro-RO"/>
              </w:rPr>
              <w:t>Tabelul se completează cu note de la -3 la +3,  în drept cu fiecare categorie de impact, pentru fiecare opțiune analizată, unde variația între -3 și -1 reprezintă impacturi negative (costuri), iar variația între 1 și 3 – impacturi pozitive (beneficii) pentru categoriile de impact analizate. Nota 0 reprezintă lipsa impacturilor. Valoarea acordată corespunde cu intensitatea impactului (1 – minor, 2 – mediu, 3 – major) față de situația din opțiunea „a nu face nimic”,  în comparație cu situația din alte opțiuni și alte categorii de impact. Impacturile identificate prin acest tabel se descriu pe larg, cu argumentarea punctajului acordat, inclusiv prin date cuantificate, în compartimentul 4 din Formular, lit. b</w:t>
            </w:r>
            <w:r w:rsidRPr="00FE7B99">
              <w:rPr>
                <w:rFonts w:ascii="Times New Roman" w:eastAsia="Times New Roman" w:hAnsi="Times New Roman" w:cs="Times New Roman"/>
                <w:bCs/>
                <w:i/>
                <w:iCs/>
                <w:sz w:val="24"/>
                <w:szCs w:val="24"/>
                <w:vertAlign w:val="superscript"/>
                <w:lang w:val="ro-RO"/>
              </w:rPr>
              <w:t>1</w:t>
            </w:r>
            <w:r w:rsidRPr="00FE7B99">
              <w:rPr>
                <w:rFonts w:ascii="Times New Roman" w:eastAsia="Times New Roman" w:hAnsi="Times New Roman" w:cs="Times New Roman"/>
                <w:bCs/>
                <w:i/>
                <w:iCs/>
                <w:sz w:val="24"/>
                <w:szCs w:val="24"/>
                <w:lang w:val="ro-RO"/>
              </w:rPr>
              <w:t>) și, după caz,  b</w:t>
            </w:r>
            <w:r w:rsidRPr="00FE7B99">
              <w:rPr>
                <w:rFonts w:ascii="Times New Roman" w:eastAsia="Times New Roman" w:hAnsi="Times New Roman" w:cs="Times New Roman"/>
                <w:bCs/>
                <w:i/>
                <w:iCs/>
                <w:sz w:val="24"/>
                <w:szCs w:val="24"/>
                <w:vertAlign w:val="superscript"/>
                <w:lang w:val="ro-RO"/>
              </w:rPr>
              <w:t>2</w:t>
            </w:r>
            <w:r w:rsidRPr="00FE7B99">
              <w:rPr>
                <w:rFonts w:ascii="Times New Roman" w:eastAsia="Times New Roman" w:hAnsi="Times New Roman" w:cs="Times New Roman"/>
                <w:bCs/>
                <w:i/>
                <w:iCs/>
                <w:sz w:val="24"/>
                <w:szCs w:val="24"/>
                <w:lang w:val="ro-RO"/>
              </w:rPr>
              <w:t>), privind analiza impacturilor opțiunilor.</w:t>
            </w:r>
          </w:p>
        </w:tc>
      </w:tr>
      <w:tr w:rsidR="00E338A0" w:rsidRPr="00E338A0" w14:paraId="01AF5D46"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702CE41" w14:textId="77777777" w:rsidR="00E338A0" w:rsidRPr="00E338A0" w:rsidRDefault="00E338A0" w:rsidP="00E338A0">
            <w:pPr>
              <w:spacing w:after="0" w:line="240" w:lineRule="auto"/>
              <w:ind w:left="90" w:right="189" w:firstLine="477"/>
              <w:jc w:val="right"/>
              <w:rPr>
                <w:rFonts w:ascii="Times New Roman" w:eastAsia="Times New Roman" w:hAnsi="Times New Roman" w:cs="Times New Roman"/>
                <w:b/>
                <w:bCs/>
                <w:sz w:val="28"/>
                <w:szCs w:val="28"/>
                <w:lang w:val="ro-RO"/>
              </w:rPr>
            </w:pPr>
            <w:r w:rsidRPr="00E338A0">
              <w:rPr>
                <w:rFonts w:ascii="Times New Roman" w:eastAsia="Times New Roman" w:hAnsi="Times New Roman" w:cs="Times New Roman"/>
                <w:b/>
                <w:bCs/>
                <w:sz w:val="28"/>
                <w:szCs w:val="28"/>
                <w:lang w:val="ro-RO"/>
              </w:rPr>
              <w:t>Anexe</w:t>
            </w:r>
          </w:p>
        </w:tc>
      </w:tr>
      <w:tr w:rsidR="00E338A0" w:rsidRPr="00E338A0" w14:paraId="4A556A12" w14:textId="77777777" w:rsidTr="008C2C82">
        <w:trPr>
          <w:jc w:val="center"/>
        </w:trPr>
        <w:tc>
          <w:tcPr>
            <w:tcW w:w="5000" w:type="pct"/>
            <w:gridSpan w:val="5"/>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14:paraId="3F99E8BF" w14:textId="77777777" w:rsidR="00E338A0" w:rsidRPr="00E338A0" w:rsidRDefault="00E338A0" w:rsidP="00E338A0">
            <w:pPr>
              <w:spacing w:after="0" w:line="240" w:lineRule="auto"/>
              <w:ind w:left="90" w:right="189" w:firstLine="477"/>
              <w:rPr>
                <w:rFonts w:ascii="Times New Roman" w:eastAsia="Times New Roman" w:hAnsi="Times New Roman" w:cs="Times New Roman"/>
                <w:sz w:val="28"/>
                <w:szCs w:val="28"/>
                <w:lang w:val="ro-RO" w:eastAsia="en-GB"/>
              </w:rPr>
            </w:pPr>
            <w:r w:rsidRPr="00E338A0">
              <w:rPr>
                <w:rFonts w:ascii="Times New Roman" w:eastAsia="Times New Roman" w:hAnsi="Times New Roman" w:cs="Times New Roman"/>
                <w:sz w:val="28"/>
                <w:szCs w:val="28"/>
                <w:lang w:val="ro-RO" w:eastAsia="en-GB"/>
              </w:rPr>
              <w:t>Proiectul preliminar de act normativ</w:t>
            </w:r>
          </w:p>
          <w:p w14:paraId="0E82C893" w14:textId="77777777" w:rsidR="00E338A0" w:rsidRPr="00E338A0" w:rsidRDefault="00E338A0" w:rsidP="00E338A0">
            <w:pPr>
              <w:spacing w:after="0" w:line="240" w:lineRule="auto"/>
              <w:ind w:left="90" w:right="189" w:firstLine="477"/>
              <w:rPr>
                <w:rFonts w:ascii="Times New Roman" w:eastAsia="Times New Roman" w:hAnsi="Times New Roman" w:cs="Times New Roman"/>
                <w:b/>
                <w:bCs/>
                <w:i/>
                <w:iCs/>
                <w:sz w:val="28"/>
                <w:szCs w:val="28"/>
                <w:lang w:val="ro-RO"/>
              </w:rPr>
            </w:pPr>
          </w:p>
        </w:tc>
      </w:tr>
    </w:tbl>
    <w:p w14:paraId="49D316FF" w14:textId="77777777" w:rsidR="00E338A0" w:rsidRPr="00E338A0" w:rsidRDefault="00E338A0" w:rsidP="00E338A0">
      <w:pPr>
        <w:ind w:left="90" w:right="189" w:firstLine="477"/>
        <w:rPr>
          <w:rFonts w:ascii="Calibri" w:eastAsia="Calibri" w:hAnsi="Calibri" w:cs="Times New Roman"/>
          <w:sz w:val="28"/>
          <w:szCs w:val="28"/>
          <w:lang w:val="ro-RO"/>
        </w:rPr>
      </w:pPr>
    </w:p>
    <w:p w14:paraId="47290576" w14:textId="77777777" w:rsidR="00E338A0" w:rsidRPr="00E338A0" w:rsidRDefault="00E338A0" w:rsidP="00E338A0">
      <w:pPr>
        <w:rPr>
          <w:rFonts w:ascii="Calibri" w:eastAsia="Calibri" w:hAnsi="Calibri" w:cs="Times New Roman"/>
          <w:lang w:val="ro-RO"/>
        </w:rPr>
      </w:pPr>
      <w:bookmarkStart w:id="0" w:name="_GoBack"/>
      <w:bookmarkEnd w:id="0"/>
    </w:p>
    <w:sectPr w:rsidR="00E338A0" w:rsidRPr="00E338A0" w:rsidSect="00C74BE2">
      <w:footerReference w:type="default" r:id="rId14"/>
      <w:pgSz w:w="11906" w:h="16838"/>
      <w:pgMar w:top="900" w:right="850" w:bottom="900"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8FA4" w14:textId="77777777" w:rsidR="003D0FE4" w:rsidRDefault="003D0FE4" w:rsidP="003D594C">
      <w:pPr>
        <w:spacing w:after="0" w:line="240" w:lineRule="auto"/>
      </w:pPr>
      <w:r>
        <w:separator/>
      </w:r>
    </w:p>
  </w:endnote>
  <w:endnote w:type="continuationSeparator" w:id="0">
    <w:p w14:paraId="0EEFF47C" w14:textId="77777777" w:rsidR="003D0FE4" w:rsidRDefault="003D0FE4" w:rsidP="003D5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669872"/>
      <w:docPartObj>
        <w:docPartGallery w:val="Page Numbers (Bottom of Page)"/>
        <w:docPartUnique/>
      </w:docPartObj>
    </w:sdtPr>
    <w:sdtEndPr>
      <w:rPr>
        <w:noProof/>
      </w:rPr>
    </w:sdtEndPr>
    <w:sdtContent>
      <w:p w14:paraId="30A6A419" w14:textId="7A39C7DB" w:rsidR="008C2C82" w:rsidRDefault="008C2C82">
        <w:pPr>
          <w:pStyle w:val="Footer"/>
          <w:jc w:val="center"/>
        </w:pPr>
        <w:r>
          <w:fldChar w:fldCharType="begin"/>
        </w:r>
        <w:r>
          <w:instrText xml:space="preserve"> PAGE   \* MERGEFORMAT </w:instrText>
        </w:r>
        <w:r>
          <w:fldChar w:fldCharType="separate"/>
        </w:r>
        <w:r w:rsidR="00CB730D">
          <w:rPr>
            <w:noProof/>
          </w:rPr>
          <w:t>23</w:t>
        </w:r>
        <w:r>
          <w:rPr>
            <w:noProof/>
          </w:rPr>
          <w:fldChar w:fldCharType="end"/>
        </w:r>
      </w:p>
    </w:sdtContent>
  </w:sdt>
  <w:p w14:paraId="6B4E7EEB" w14:textId="77777777" w:rsidR="008C2C82" w:rsidRDefault="008C2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B7AEC" w14:textId="77777777" w:rsidR="003D0FE4" w:rsidRDefault="003D0FE4" w:rsidP="003D594C">
      <w:pPr>
        <w:spacing w:after="0" w:line="240" w:lineRule="auto"/>
      </w:pPr>
      <w:r>
        <w:separator/>
      </w:r>
    </w:p>
  </w:footnote>
  <w:footnote w:type="continuationSeparator" w:id="0">
    <w:p w14:paraId="22921651" w14:textId="77777777" w:rsidR="003D0FE4" w:rsidRDefault="003D0FE4" w:rsidP="003D59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77F5"/>
    <w:multiLevelType w:val="hybridMultilevel"/>
    <w:tmpl w:val="F774A1FC"/>
    <w:lvl w:ilvl="0" w:tplc="714CC8E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A0E83"/>
    <w:multiLevelType w:val="hybridMultilevel"/>
    <w:tmpl w:val="2D80F3B8"/>
    <w:lvl w:ilvl="0" w:tplc="7DA805CE">
      <w:start w:val="1"/>
      <w:numFmt w:val="decimal"/>
      <w:lvlText w:val="%1."/>
      <w:lvlJc w:val="left"/>
      <w:pPr>
        <w:ind w:left="733" w:hanging="360"/>
      </w:pPr>
      <w:rPr>
        <w:rFonts w:hint="default"/>
      </w:rPr>
    </w:lvl>
    <w:lvl w:ilvl="1" w:tplc="08090019" w:tentative="1">
      <w:start w:val="1"/>
      <w:numFmt w:val="lowerLetter"/>
      <w:lvlText w:val="%2."/>
      <w:lvlJc w:val="left"/>
      <w:pPr>
        <w:ind w:left="1453" w:hanging="360"/>
      </w:pPr>
    </w:lvl>
    <w:lvl w:ilvl="2" w:tplc="0809001B" w:tentative="1">
      <w:start w:val="1"/>
      <w:numFmt w:val="lowerRoman"/>
      <w:lvlText w:val="%3."/>
      <w:lvlJc w:val="right"/>
      <w:pPr>
        <w:ind w:left="2173" w:hanging="180"/>
      </w:pPr>
    </w:lvl>
    <w:lvl w:ilvl="3" w:tplc="0809000F" w:tentative="1">
      <w:start w:val="1"/>
      <w:numFmt w:val="decimal"/>
      <w:lvlText w:val="%4."/>
      <w:lvlJc w:val="left"/>
      <w:pPr>
        <w:ind w:left="2893" w:hanging="360"/>
      </w:pPr>
    </w:lvl>
    <w:lvl w:ilvl="4" w:tplc="08090019" w:tentative="1">
      <w:start w:val="1"/>
      <w:numFmt w:val="lowerLetter"/>
      <w:lvlText w:val="%5."/>
      <w:lvlJc w:val="left"/>
      <w:pPr>
        <w:ind w:left="3613" w:hanging="360"/>
      </w:pPr>
    </w:lvl>
    <w:lvl w:ilvl="5" w:tplc="0809001B" w:tentative="1">
      <w:start w:val="1"/>
      <w:numFmt w:val="lowerRoman"/>
      <w:lvlText w:val="%6."/>
      <w:lvlJc w:val="right"/>
      <w:pPr>
        <w:ind w:left="4333" w:hanging="180"/>
      </w:pPr>
    </w:lvl>
    <w:lvl w:ilvl="6" w:tplc="0809000F" w:tentative="1">
      <w:start w:val="1"/>
      <w:numFmt w:val="decimal"/>
      <w:lvlText w:val="%7."/>
      <w:lvlJc w:val="left"/>
      <w:pPr>
        <w:ind w:left="5053" w:hanging="360"/>
      </w:pPr>
    </w:lvl>
    <w:lvl w:ilvl="7" w:tplc="08090019" w:tentative="1">
      <w:start w:val="1"/>
      <w:numFmt w:val="lowerLetter"/>
      <w:lvlText w:val="%8."/>
      <w:lvlJc w:val="left"/>
      <w:pPr>
        <w:ind w:left="5773" w:hanging="360"/>
      </w:pPr>
    </w:lvl>
    <w:lvl w:ilvl="8" w:tplc="0809001B" w:tentative="1">
      <w:start w:val="1"/>
      <w:numFmt w:val="lowerRoman"/>
      <w:lvlText w:val="%9."/>
      <w:lvlJc w:val="right"/>
      <w:pPr>
        <w:ind w:left="6493" w:hanging="180"/>
      </w:pPr>
    </w:lvl>
  </w:abstractNum>
  <w:abstractNum w:abstractNumId="2" w15:restartNumberingAfterBreak="0">
    <w:nsid w:val="11646A0D"/>
    <w:multiLevelType w:val="hybridMultilevel"/>
    <w:tmpl w:val="C62ACBF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120F6BB8"/>
    <w:multiLevelType w:val="hybridMultilevel"/>
    <w:tmpl w:val="AA9CAF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3746B"/>
    <w:multiLevelType w:val="hybridMultilevel"/>
    <w:tmpl w:val="634E2AC2"/>
    <w:lvl w:ilvl="0" w:tplc="E54E6CC6">
      <w:numFmt w:val="bullet"/>
      <w:lvlText w:val="-"/>
      <w:lvlJc w:val="left"/>
      <w:pPr>
        <w:ind w:left="457" w:hanging="360"/>
      </w:pPr>
      <w:rPr>
        <w:rFonts w:ascii="Times New Roman" w:eastAsiaTheme="minorHAnsi" w:hAnsi="Times New Roman" w:cs="Times New Roman" w:hint="default"/>
      </w:rPr>
    </w:lvl>
    <w:lvl w:ilvl="1" w:tplc="04190003" w:tentative="1">
      <w:start w:val="1"/>
      <w:numFmt w:val="bullet"/>
      <w:lvlText w:val="o"/>
      <w:lvlJc w:val="left"/>
      <w:pPr>
        <w:ind w:left="1177" w:hanging="360"/>
      </w:pPr>
      <w:rPr>
        <w:rFonts w:ascii="Courier New" w:hAnsi="Courier New" w:cs="Courier New" w:hint="default"/>
      </w:rPr>
    </w:lvl>
    <w:lvl w:ilvl="2" w:tplc="04190005" w:tentative="1">
      <w:start w:val="1"/>
      <w:numFmt w:val="bullet"/>
      <w:lvlText w:val=""/>
      <w:lvlJc w:val="left"/>
      <w:pPr>
        <w:ind w:left="1897" w:hanging="360"/>
      </w:pPr>
      <w:rPr>
        <w:rFonts w:ascii="Wingdings" w:hAnsi="Wingdings" w:hint="default"/>
      </w:rPr>
    </w:lvl>
    <w:lvl w:ilvl="3" w:tplc="04190001" w:tentative="1">
      <w:start w:val="1"/>
      <w:numFmt w:val="bullet"/>
      <w:lvlText w:val=""/>
      <w:lvlJc w:val="left"/>
      <w:pPr>
        <w:ind w:left="2617" w:hanging="360"/>
      </w:pPr>
      <w:rPr>
        <w:rFonts w:ascii="Symbol" w:hAnsi="Symbol" w:hint="default"/>
      </w:rPr>
    </w:lvl>
    <w:lvl w:ilvl="4" w:tplc="04190003" w:tentative="1">
      <w:start w:val="1"/>
      <w:numFmt w:val="bullet"/>
      <w:lvlText w:val="o"/>
      <w:lvlJc w:val="left"/>
      <w:pPr>
        <w:ind w:left="3337" w:hanging="360"/>
      </w:pPr>
      <w:rPr>
        <w:rFonts w:ascii="Courier New" w:hAnsi="Courier New" w:cs="Courier New" w:hint="default"/>
      </w:rPr>
    </w:lvl>
    <w:lvl w:ilvl="5" w:tplc="04190005" w:tentative="1">
      <w:start w:val="1"/>
      <w:numFmt w:val="bullet"/>
      <w:lvlText w:val=""/>
      <w:lvlJc w:val="left"/>
      <w:pPr>
        <w:ind w:left="4057" w:hanging="360"/>
      </w:pPr>
      <w:rPr>
        <w:rFonts w:ascii="Wingdings" w:hAnsi="Wingdings" w:hint="default"/>
      </w:rPr>
    </w:lvl>
    <w:lvl w:ilvl="6" w:tplc="04190001" w:tentative="1">
      <w:start w:val="1"/>
      <w:numFmt w:val="bullet"/>
      <w:lvlText w:val=""/>
      <w:lvlJc w:val="left"/>
      <w:pPr>
        <w:ind w:left="4777" w:hanging="360"/>
      </w:pPr>
      <w:rPr>
        <w:rFonts w:ascii="Symbol" w:hAnsi="Symbol" w:hint="default"/>
      </w:rPr>
    </w:lvl>
    <w:lvl w:ilvl="7" w:tplc="04190003" w:tentative="1">
      <w:start w:val="1"/>
      <w:numFmt w:val="bullet"/>
      <w:lvlText w:val="o"/>
      <w:lvlJc w:val="left"/>
      <w:pPr>
        <w:ind w:left="5497" w:hanging="360"/>
      </w:pPr>
      <w:rPr>
        <w:rFonts w:ascii="Courier New" w:hAnsi="Courier New" w:cs="Courier New" w:hint="default"/>
      </w:rPr>
    </w:lvl>
    <w:lvl w:ilvl="8" w:tplc="04190005" w:tentative="1">
      <w:start w:val="1"/>
      <w:numFmt w:val="bullet"/>
      <w:lvlText w:val=""/>
      <w:lvlJc w:val="left"/>
      <w:pPr>
        <w:ind w:left="6217" w:hanging="360"/>
      </w:pPr>
      <w:rPr>
        <w:rFonts w:ascii="Wingdings" w:hAnsi="Wingdings" w:hint="default"/>
      </w:rPr>
    </w:lvl>
  </w:abstractNum>
  <w:abstractNum w:abstractNumId="5" w15:restartNumberingAfterBreak="0">
    <w:nsid w:val="1BFA6ACC"/>
    <w:multiLevelType w:val="hybridMultilevel"/>
    <w:tmpl w:val="ECCABC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B90F51"/>
    <w:multiLevelType w:val="hybridMultilevel"/>
    <w:tmpl w:val="27F8B42C"/>
    <w:lvl w:ilvl="0" w:tplc="A2C008F0">
      <w:start w:val="4"/>
      <w:numFmt w:val="bullet"/>
      <w:lvlText w:val=""/>
      <w:lvlJc w:val="left"/>
      <w:pPr>
        <w:ind w:left="882" w:hanging="360"/>
      </w:pPr>
      <w:rPr>
        <w:rFonts w:ascii="Symbol" w:eastAsiaTheme="minorHAnsi" w:hAnsi="Symbol" w:cs="Times New Roman" w:hint="default"/>
      </w:rPr>
    </w:lvl>
    <w:lvl w:ilvl="1" w:tplc="04190003" w:tentative="1">
      <w:start w:val="1"/>
      <w:numFmt w:val="bullet"/>
      <w:lvlText w:val="o"/>
      <w:lvlJc w:val="left"/>
      <w:pPr>
        <w:ind w:left="1602" w:hanging="360"/>
      </w:pPr>
      <w:rPr>
        <w:rFonts w:ascii="Courier New" w:hAnsi="Courier New" w:cs="Courier New" w:hint="default"/>
      </w:rPr>
    </w:lvl>
    <w:lvl w:ilvl="2" w:tplc="04190005" w:tentative="1">
      <w:start w:val="1"/>
      <w:numFmt w:val="bullet"/>
      <w:lvlText w:val=""/>
      <w:lvlJc w:val="left"/>
      <w:pPr>
        <w:ind w:left="2322" w:hanging="360"/>
      </w:pPr>
      <w:rPr>
        <w:rFonts w:ascii="Wingdings" w:hAnsi="Wingdings" w:hint="default"/>
      </w:rPr>
    </w:lvl>
    <w:lvl w:ilvl="3" w:tplc="04190001" w:tentative="1">
      <w:start w:val="1"/>
      <w:numFmt w:val="bullet"/>
      <w:lvlText w:val=""/>
      <w:lvlJc w:val="left"/>
      <w:pPr>
        <w:ind w:left="3042" w:hanging="360"/>
      </w:pPr>
      <w:rPr>
        <w:rFonts w:ascii="Symbol" w:hAnsi="Symbol" w:hint="default"/>
      </w:rPr>
    </w:lvl>
    <w:lvl w:ilvl="4" w:tplc="04190003" w:tentative="1">
      <w:start w:val="1"/>
      <w:numFmt w:val="bullet"/>
      <w:lvlText w:val="o"/>
      <w:lvlJc w:val="left"/>
      <w:pPr>
        <w:ind w:left="3762" w:hanging="360"/>
      </w:pPr>
      <w:rPr>
        <w:rFonts w:ascii="Courier New" w:hAnsi="Courier New" w:cs="Courier New" w:hint="default"/>
      </w:rPr>
    </w:lvl>
    <w:lvl w:ilvl="5" w:tplc="04190005" w:tentative="1">
      <w:start w:val="1"/>
      <w:numFmt w:val="bullet"/>
      <w:lvlText w:val=""/>
      <w:lvlJc w:val="left"/>
      <w:pPr>
        <w:ind w:left="4482" w:hanging="360"/>
      </w:pPr>
      <w:rPr>
        <w:rFonts w:ascii="Wingdings" w:hAnsi="Wingdings" w:hint="default"/>
      </w:rPr>
    </w:lvl>
    <w:lvl w:ilvl="6" w:tplc="04190001" w:tentative="1">
      <w:start w:val="1"/>
      <w:numFmt w:val="bullet"/>
      <w:lvlText w:val=""/>
      <w:lvlJc w:val="left"/>
      <w:pPr>
        <w:ind w:left="5202" w:hanging="360"/>
      </w:pPr>
      <w:rPr>
        <w:rFonts w:ascii="Symbol" w:hAnsi="Symbol" w:hint="default"/>
      </w:rPr>
    </w:lvl>
    <w:lvl w:ilvl="7" w:tplc="04190003" w:tentative="1">
      <w:start w:val="1"/>
      <w:numFmt w:val="bullet"/>
      <w:lvlText w:val="o"/>
      <w:lvlJc w:val="left"/>
      <w:pPr>
        <w:ind w:left="5922" w:hanging="360"/>
      </w:pPr>
      <w:rPr>
        <w:rFonts w:ascii="Courier New" w:hAnsi="Courier New" w:cs="Courier New" w:hint="default"/>
      </w:rPr>
    </w:lvl>
    <w:lvl w:ilvl="8" w:tplc="04190005" w:tentative="1">
      <w:start w:val="1"/>
      <w:numFmt w:val="bullet"/>
      <w:lvlText w:val=""/>
      <w:lvlJc w:val="left"/>
      <w:pPr>
        <w:ind w:left="6642" w:hanging="360"/>
      </w:pPr>
      <w:rPr>
        <w:rFonts w:ascii="Wingdings" w:hAnsi="Wingdings" w:hint="default"/>
      </w:rPr>
    </w:lvl>
  </w:abstractNum>
  <w:abstractNum w:abstractNumId="7" w15:restartNumberingAfterBreak="0">
    <w:nsid w:val="22A55D75"/>
    <w:multiLevelType w:val="hybridMultilevel"/>
    <w:tmpl w:val="4E6E2A00"/>
    <w:lvl w:ilvl="0" w:tplc="8B26A41C">
      <w:start w:val="3"/>
      <w:numFmt w:val="bullet"/>
      <w:lvlText w:val="-"/>
      <w:lvlJc w:val="left"/>
      <w:pPr>
        <w:ind w:left="457" w:hanging="360"/>
      </w:pPr>
      <w:rPr>
        <w:rFonts w:ascii="Times New Roman" w:eastAsia="Times New Roman" w:hAnsi="Times New Roman" w:cs="Times New Roman" w:hint="default"/>
      </w:rPr>
    </w:lvl>
    <w:lvl w:ilvl="1" w:tplc="04190003" w:tentative="1">
      <w:start w:val="1"/>
      <w:numFmt w:val="bullet"/>
      <w:lvlText w:val="o"/>
      <w:lvlJc w:val="left"/>
      <w:pPr>
        <w:ind w:left="1177" w:hanging="360"/>
      </w:pPr>
      <w:rPr>
        <w:rFonts w:ascii="Courier New" w:hAnsi="Courier New" w:cs="Courier New" w:hint="default"/>
      </w:rPr>
    </w:lvl>
    <w:lvl w:ilvl="2" w:tplc="04190005" w:tentative="1">
      <w:start w:val="1"/>
      <w:numFmt w:val="bullet"/>
      <w:lvlText w:val=""/>
      <w:lvlJc w:val="left"/>
      <w:pPr>
        <w:ind w:left="1897" w:hanging="360"/>
      </w:pPr>
      <w:rPr>
        <w:rFonts w:ascii="Wingdings" w:hAnsi="Wingdings" w:hint="default"/>
      </w:rPr>
    </w:lvl>
    <w:lvl w:ilvl="3" w:tplc="04190001" w:tentative="1">
      <w:start w:val="1"/>
      <w:numFmt w:val="bullet"/>
      <w:lvlText w:val=""/>
      <w:lvlJc w:val="left"/>
      <w:pPr>
        <w:ind w:left="2617" w:hanging="360"/>
      </w:pPr>
      <w:rPr>
        <w:rFonts w:ascii="Symbol" w:hAnsi="Symbol" w:hint="default"/>
      </w:rPr>
    </w:lvl>
    <w:lvl w:ilvl="4" w:tplc="04190003" w:tentative="1">
      <w:start w:val="1"/>
      <w:numFmt w:val="bullet"/>
      <w:lvlText w:val="o"/>
      <w:lvlJc w:val="left"/>
      <w:pPr>
        <w:ind w:left="3337" w:hanging="360"/>
      </w:pPr>
      <w:rPr>
        <w:rFonts w:ascii="Courier New" w:hAnsi="Courier New" w:cs="Courier New" w:hint="default"/>
      </w:rPr>
    </w:lvl>
    <w:lvl w:ilvl="5" w:tplc="04190005" w:tentative="1">
      <w:start w:val="1"/>
      <w:numFmt w:val="bullet"/>
      <w:lvlText w:val=""/>
      <w:lvlJc w:val="left"/>
      <w:pPr>
        <w:ind w:left="4057" w:hanging="360"/>
      </w:pPr>
      <w:rPr>
        <w:rFonts w:ascii="Wingdings" w:hAnsi="Wingdings" w:hint="default"/>
      </w:rPr>
    </w:lvl>
    <w:lvl w:ilvl="6" w:tplc="04190001" w:tentative="1">
      <w:start w:val="1"/>
      <w:numFmt w:val="bullet"/>
      <w:lvlText w:val=""/>
      <w:lvlJc w:val="left"/>
      <w:pPr>
        <w:ind w:left="4777" w:hanging="360"/>
      </w:pPr>
      <w:rPr>
        <w:rFonts w:ascii="Symbol" w:hAnsi="Symbol" w:hint="default"/>
      </w:rPr>
    </w:lvl>
    <w:lvl w:ilvl="7" w:tplc="04190003" w:tentative="1">
      <w:start w:val="1"/>
      <w:numFmt w:val="bullet"/>
      <w:lvlText w:val="o"/>
      <w:lvlJc w:val="left"/>
      <w:pPr>
        <w:ind w:left="5497" w:hanging="360"/>
      </w:pPr>
      <w:rPr>
        <w:rFonts w:ascii="Courier New" w:hAnsi="Courier New" w:cs="Courier New" w:hint="default"/>
      </w:rPr>
    </w:lvl>
    <w:lvl w:ilvl="8" w:tplc="04190005" w:tentative="1">
      <w:start w:val="1"/>
      <w:numFmt w:val="bullet"/>
      <w:lvlText w:val=""/>
      <w:lvlJc w:val="left"/>
      <w:pPr>
        <w:ind w:left="6217" w:hanging="360"/>
      </w:pPr>
      <w:rPr>
        <w:rFonts w:ascii="Wingdings" w:hAnsi="Wingdings" w:hint="default"/>
      </w:rPr>
    </w:lvl>
  </w:abstractNum>
  <w:abstractNum w:abstractNumId="8" w15:restartNumberingAfterBreak="0">
    <w:nsid w:val="241C7404"/>
    <w:multiLevelType w:val="hybridMultilevel"/>
    <w:tmpl w:val="496062AE"/>
    <w:lvl w:ilvl="0" w:tplc="EAD8155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530D6F"/>
    <w:multiLevelType w:val="hybridMultilevel"/>
    <w:tmpl w:val="259C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94659F"/>
    <w:multiLevelType w:val="hybridMultilevel"/>
    <w:tmpl w:val="98185858"/>
    <w:lvl w:ilvl="0" w:tplc="88E2B184">
      <w:start w:val="1"/>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46F2B"/>
    <w:multiLevelType w:val="hybridMultilevel"/>
    <w:tmpl w:val="355EA000"/>
    <w:lvl w:ilvl="0" w:tplc="0E8EBA5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55420D6"/>
    <w:multiLevelType w:val="hybridMultilevel"/>
    <w:tmpl w:val="DCE60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E3396D"/>
    <w:multiLevelType w:val="hybridMultilevel"/>
    <w:tmpl w:val="C3948762"/>
    <w:lvl w:ilvl="0" w:tplc="0ABE64F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943BA"/>
    <w:multiLevelType w:val="hybridMultilevel"/>
    <w:tmpl w:val="36E4289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83C0A"/>
    <w:multiLevelType w:val="hybridMultilevel"/>
    <w:tmpl w:val="C54C66D0"/>
    <w:lvl w:ilvl="0" w:tplc="90E2BDB8">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5CFE3DE6"/>
    <w:multiLevelType w:val="hybridMultilevel"/>
    <w:tmpl w:val="B0543A40"/>
    <w:lvl w:ilvl="0" w:tplc="04190017">
      <w:start w:val="1"/>
      <w:numFmt w:val="lowerLett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7" w15:restartNumberingAfterBreak="0">
    <w:nsid w:val="6F7E0B74"/>
    <w:multiLevelType w:val="hybridMultilevel"/>
    <w:tmpl w:val="15ACBB2C"/>
    <w:lvl w:ilvl="0" w:tplc="0809000B">
      <w:start w:val="1"/>
      <w:numFmt w:val="bullet"/>
      <w:lvlText w:val=""/>
      <w:lvlJc w:val="left"/>
      <w:pPr>
        <w:ind w:left="643" w:hanging="360"/>
      </w:pPr>
      <w:rPr>
        <w:rFonts w:ascii="Wingdings" w:hAnsi="Wingdings"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18" w15:restartNumberingAfterBreak="0">
    <w:nsid w:val="70331912"/>
    <w:multiLevelType w:val="hybridMultilevel"/>
    <w:tmpl w:val="16A2AD7E"/>
    <w:lvl w:ilvl="0" w:tplc="5DE81E62">
      <w:start w:val="1"/>
      <w:numFmt w:val="decimal"/>
      <w:lvlText w:val="%1."/>
      <w:lvlJc w:val="left"/>
      <w:pPr>
        <w:ind w:left="64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8A06B80"/>
    <w:multiLevelType w:val="hybridMultilevel"/>
    <w:tmpl w:val="09BA7BDC"/>
    <w:lvl w:ilvl="0" w:tplc="8182F052">
      <w:start w:val="1"/>
      <w:numFmt w:val="decimal"/>
      <w:lvlText w:val="%1."/>
      <w:lvlJc w:val="left"/>
      <w:pPr>
        <w:ind w:left="457" w:hanging="360"/>
      </w:pPr>
      <w:rPr>
        <w:rFonts w:hint="default"/>
      </w:rPr>
    </w:lvl>
    <w:lvl w:ilvl="1" w:tplc="04190019" w:tentative="1">
      <w:start w:val="1"/>
      <w:numFmt w:val="lowerLetter"/>
      <w:lvlText w:val="%2."/>
      <w:lvlJc w:val="left"/>
      <w:pPr>
        <w:ind w:left="1177" w:hanging="360"/>
      </w:pPr>
    </w:lvl>
    <w:lvl w:ilvl="2" w:tplc="0419001B" w:tentative="1">
      <w:start w:val="1"/>
      <w:numFmt w:val="lowerRoman"/>
      <w:lvlText w:val="%3."/>
      <w:lvlJc w:val="right"/>
      <w:pPr>
        <w:ind w:left="1897" w:hanging="180"/>
      </w:pPr>
    </w:lvl>
    <w:lvl w:ilvl="3" w:tplc="0419000F" w:tentative="1">
      <w:start w:val="1"/>
      <w:numFmt w:val="decimal"/>
      <w:lvlText w:val="%4."/>
      <w:lvlJc w:val="left"/>
      <w:pPr>
        <w:ind w:left="2617" w:hanging="360"/>
      </w:pPr>
    </w:lvl>
    <w:lvl w:ilvl="4" w:tplc="04190019" w:tentative="1">
      <w:start w:val="1"/>
      <w:numFmt w:val="lowerLetter"/>
      <w:lvlText w:val="%5."/>
      <w:lvlJc w:val="left"/>
      <w:pPr>
        <w:ind w:left="3337" w:hanging="360"/>
      </w:pPr>
    </w:lvl>
    <w:lvl w:ilvl="5" w:tplc="0419001B" w:tentative="1">
      <w:start w:val="1"/>
      <w:numFmt w:val="lowerRoman"/>
      <w:lvlText w:val="%6."/>
      <w:lvlJc w:val="right"/>
      <w:pPr>
        <w:ind w:left="4057" w:hanging="180"/>
      </w:pPr>
    </w:lvl>
    <w:lvl w:ilvl="6" w:tplc="0419000F" w:tentative="1">
      <w:start w:val="1"/>
      <w:numFmt w:val="decimal"/>
      <w:lvlText w:val="%7."/>
      <w:lvlJc w:val="left"/>
      <w:pPr>
        <w:ind w:left="4777" w:hanging="360"/>
      </w:pPr>
    </w:lvl>
    <w:lvl w:ilvl="7" w:tplc="04190019" w:tentative="1">
      <w:start w:val="1"/>
      <w:numFmt w:val="lowerLetter"/>
      <w:lvlText w:val="%8."/>
      <w:lvlJc w:val="left"/>
      <w:pPr>
        <w:ind w:left="5497" w:hanging="360"/>
      </w:pPr>
    </w:lvl>
    <w:lvl w:ilvl="8" w:tplc="0419001B" w:tentative="1">
      <w:start w:val="1"/>
      <w:numFmt w:val="lowerRoman"/>
      <w:lvlText w:val="%9."/>
      <w:lvlJc w:val="right"/>
      <w:pPr>
        <w:ind w:left="6217" w:hanging="180"/>
      </w:pPr>
    </w:lvl>
  </w:abstractNum>
  <w:abstractNum w:abstractNumId="20" w15:restartNumberingAfterBreak="0">
    <w:nsid w:val="7E1B2239"/>
    <w:multiLevelType w:val="hybridMultilevel"/>
    <w:tmpl w:val="5192C4EA"/>
    <w:lvl w:ilvl="0" w:tplc="E4509544">
      <w:start w:val="19"/>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2"/>
  </w:num>
  <w:num w:numId="3">
    <w:abstractNumId w:val="9"/>
  </w:num>
  <w:num w:numId="4">
    <w:abstractNumId w:val="10"/>
  </w:num>
  <w:num w:numId="5">
    <w:abstractNumId w:val="20"/>
  </w:num>
  <w:num w:numId="6">
    <w:abstractNumId w:val="7"/>
  </w:num>
  <w:num w:numId="7">
    <w:abstractNumId w:val="18"/>
  </w:num>
  <w:num w:numId="8">
    <w:abstractNumId w:val="17"/>
  </w:num>
  <w:num w:numId="9">
    <w:abstractNumId w:val="1"/>
  </w:num>
  <w:num w:numId="10">
    <w:abstractNumId w:val="0"/>
  </w:num>
  <w:num w:numId="11">
    <w:abstractNumId w:val="2"/>
  </w:num>
  <w:num w:numId="12">
    <w:abstractNumId w:val="16"/>
  </w:num>
  <w:num w:numId="13">
    <w:abstractNumId w:val="11"/>
  </w:num>
  <w:num w:numId="14">
    <w:abstractNumId w:val="14"/>
  </w:num>
  <w:num w:numId="15">
    <w:abstractNumId w:val="5"/>
  </w:num>
  <w:num w:numId="16">
    <w:abstractNumId w:val="6"/>
  </w:num>
  <w:num w:numId="17">
    <w:abstractNumId w:val="19"/>
  </w:num>
  <w:num w:numId="18">
    <w:abstractNumId w:val="8"/>
  </w:num>
  <w:num w:numId="19">
    <w:abstractNumId w:val="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228"/>
    <w:rsid w:val="00260AEE"/>
    <w:rsid w:val="003D0FE4"/>
    <w:rsid w:val="003D594C"/>
    <w:rsid w:val="00450078"/>
    <w:rsid w:val="00854228"/>
    <w:rsid w:val="008952E3"/>
    <w:rsid w:val="008C2C82"/>
    <w:rsid w:val="00B7005B"/>
    <w:rsid w:val="00C15792"/>
    <w:rsid w:val="00C74BE2"/>
    <w:rsid w:val="00CB730D"/>
    <w:rsid w:val="00CF6202"/>
    <w:rsid w:val="00DE1308"/>
    <w:rsid w:val="00E2460C"/>
    <w:rsid w:val="00E338A0"/>
    <w:rsid w:val="00E53A29"/>
    <w:rsid w:val="00EC7329"/>
    <w:rsid w:val="00FE7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2044"/>
  <w15:chartTrackingRefBased/>
  <w15:docId w15:val="{399A4C90-2D8E-467E-B0C5-90BF69FB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338A0"/>
    <w:pPr>
      <w:keepNext/>
      <w:keepLines/>
      <w:spacing w:before="40" w:after="0"/>
      <w:outlineLvl w:val="1"/>
    </w:pPr>
    <w:rPr>
      <w:rFonts w:ascii="Calibri Light" w:eastAsia="Times New Roman" w:hAnsi="Calibri Light" w:cs="Times New Roman"/>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basedOn w:val="Normal"/>
    <w:next w:val="Normal"/>
    <w:uiPriority w:val="9"/>
    <w:unhideWhenUsed/>
    <w:qFormat/>
    <w:rsid w:val="00E338A0"/>
    <w:pPr>
      <w:keepNext/>
      <w:keepLines/>
      <w:spacing w:before="40" w:after="0"/>
      <w:outlineLvl w:val="1"/>
    </w:pPr>
    <w:rPr>
      <w:rFonts w:ascii="Calibri Light" w:eastAsia="Times New Roman" w:hAnsi="Calibri Light" w:cs="Times New Roman"/>
      <w:color w:val="2E74B5"/>
      <w:sz w:val="26"/>
      <w:szCs w:val="26"/>
      <w:lang w:val="ru-RU"/>
    </w:rPr>
  </w:style>
  <w:style w:type="numbering" w:customStyle="1" w:styleId="NoList1">
    <w:name w:val="No List1"/>
    <w:next w:val="NoList"/>
    <w:uiPriority w:val="99"/>
    <w:semiHidden/>
    <w:unhideWhenUsed/>
    <w:rsid w:val="00E338A0"/>
  </w:style>
  <w:style w:type="character" w:styleId="Strong">
    <w:name w:val="Strong"/>
    <w:basedOn w:val="DefaultParagraphFont"/>
    <w:uiPriority w:val="22"/>
    <w:qFormat/>
    <w:rsid w:val="00E338A0"/>
    <w:rPr>
      <w:b/>
      <w:bCs/>
    </w:rPr>
  </w:style>
  <w:style w:type="paragraph" w:styleId="ListParagraph">
    <w:name w:val="List Paragraph"/>
    <w:basedOn w:val="Normal"/>
    <w:uiPriority w:val="34"/>
    <w:qFormat/>
    <w:rsid w:val="00E338A0"/>
    <w:pPr>
      <w:ind w:left="720"/>
      <w:contextualSpacing/>
    </w:pPr>
    <w:rPr>
      <w:lang w:val="ru-RU"/>
    </w:rPr>
  </w:style>
  <w:style w:type="character" w:customStyle="1" w:styleId="1">
    <w:name w:val="Гиперссылка1"/>
    <w:basedOn w:val="DefaultParagraphFont"/>
    <w:uiPriority w:val="99"/>
    <w:unhideWhenUsed/>
    <w:rsid w:val="00E338A0"/>
    <w:rPr>
      <w:color w:val="0563C1"/>
      <w:u w:val="single"/>
    </w:rPr>
  </w:style>
  <w:style w:type="character" w:customStyle="1" w:styleId="Hyperlink1">
    <w:name w:val="Hyperlink1"/>
    <w:basedOn w:val="DefaultParagraphFont"/>
    <w:uiPriority w:val="99"/>
    <w:unhideWhenUsed/>
    <w:rsid w:val="00E338A0"/>
    <w:rPr>
      <w:color w:val="0563C1"/>
      <w:u w:val="single"/>
    </w:rPr>
  </w:style>
  <w:style w:type="paragraph" w:customStyle="1" w:styleId="tt">
    <w:name w:val="tt"/>
    <w:basedOn w:val="Normal"/>
    <w:rsid w:val="00E338A0"/>
    <w:pPr>
      <w:spacing w:after="0" w:line="240" w:lineRule="auto"/>
      <w:jc w:val="center"/>
    </w:pPr>
    <w:rPr>
      <w:rFonts w:ascii="Times New Roman" w:eastAsia="Times New Roman" w:hAnsi="Times New Roman" w:cs="Times New Roman"/>
      <w:b/>
      <w:bCs/>
      <w:sz w:val="24"/>
      <w:szCs w:val="24"/>
      <w:lang w:eastAsia="en-GB"/>
    </w:rPr>
  </w:style>
  <w:style w:type="paragraph" w:styleId="NoSpacing">
    <w:name w:val="No Spacing"/>
    <w:uiPriority w:val="1"/>
    <w:qFormat/>
    <w:rsid w:val="00E338A0"/>
    <w:pPr>
      <w:spacing w:after="0" w:line="240" w:lineRule="auto"/>
    </w:pPr>
  </w:style>
  <w:style w:type="paragraph" w:styleId="NormalWeb">
    <w:name w:val="Normal (Web)"/>
    <w:basedOn w:val="Normal"/>
    <w:uiPriority w:val="99"/>
    <w:unhideWhenUsed/>
    <w:rsid w:val="00E338A0"/>
    <w:pPr>
      <w:spacing w:after="0" w:line="240" w:lineRule="auto"/>
      <w:ind w:firstLine="567"/>
      <w:jc w:val="both"/>
    </w:pPr>
    <w:rPr>
      <w:rFonts w:ascii="Times New Roman" w:eastAsia="Times New Roman" w:hAnsi="Times New Roman" w:cs="Times New Roman"/>
      <w:sz w:val="24"/>
      <w:szCs w:val="24"/>
      <w:lang w:eastAsia="en-GB"/>
    </w:rPr>
  </w:style>
  <w:style w:type="table" w:styleId="TableGrid">
    <w:name w:val="Table Grid"/>
    <w:basedOn w:val="TableNormal"/>
    <w:uiPriority w:val="39"/>
    <w:rsid w:val="00E33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E338A0"/>
    <w:pPr>
      <w:spacing w:line="240" w:lineRule="auto"/>
    </w:pPr>
    <w:rPr>
      <w:sz w:val="20"/>
      <w:szCs w:val="20"/>
    </w:rPr>
  </w:style>
  <w:style w:type="character" w:customStyle="1" w:styleId="CommentTextChar">
    <w:name w:val="Comment Text Char"/>
    <w:basedOn w:val="DefaultParagraphFont"/>
    <w:link w:val="CommentText"/>
    <w:uiPriority w:val="99"/>
    <w:rsid w:val="00E338A0"/>
    <w:rPr>
      <w:sz w:val="20"/>
      <w:szCs w:val="20"/>
    </w:rPr>
  </w:style>
  <w:style w:type="paragraph" w:styleId="CommentSubject">
    <w:name w:val="annotation subject"/>
    <w:basedOn w:val="CommentText"/>
    <w:next w:val="CommentText"/>
    <w:link w:val="CommentSubjectChar"/>
    <w:uiPriority w:val="99"/>
    <w:semiHidden/>
    <w:unhideWhenUsed/>
    <w:rsid w:val="00E338A0"/>
    <w:rPr>
      <w:b/>
      <w:bCs/>
    </w:rPr>
  </w:style>
  <w:style w:type="character" w:customStyle="1" w:styleId="CommentSubjectChar">
    <w:name w:val="Comment Subject Char"/>
    <w:basedOn w:val="CommentTextChar"/>
    <w:link w:val="CommentSubject"/>
    <w:uiPriority w:val="99"/>
    <w:semiHidden/>
    <w:rsid w:val="00E338A0"/>
    <w:rPr>
      <w:b/>
      <w:bCs/>
      <w:sz w:val="20"/>
      <w:szCs w:val="20"/>
    </w:rPr>
  </w:style>
  <w:style w:type="paragraph" w:styleId="BalloonText">
    <w:name w:val="Balloon Text"/>
    <w:basedOn w:val="Normal"/>
    <w:link w:val="BalloonTextChar"/>
    <w:uiPriority w:val="99"/>
    <w:semiHidden/>
    <w:unhideWhenUsed/>
    <w:rsid w:val="00E338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8A0"/>
    <w:rPr>
      <w:rFonts w:ascii="Segoe UI" w:hAnsi="Segoe UI" w:cs="Segoe UI"/>
      <w:sz w:val="18"/>
      <w:szCs w:val="18"/>
    </w:rPr>
  </w:style>
  <w:style w:type="paragraph" w:styleId="Header">
    <w:name w:val="header"/>
    <w:basedOn w:val="Normal"/>
    <w:link w:val="HeaderChar"/>
    <w:uiPriority w:val="99"/>
    <w:unhideWhenUsed/>
    <w:rsid w:val="00E338A0"/>
    <w:pPr>
      <w:tabs>
        <w:tab w:val="center" w:pos="4677"/>
        <w:tab w:val="right" w:pos="9355"/>
      </w:tabs>
      <w:spacing w:after="0" w:line="240" w:lineRule="auto"/>
    </w:pPr>
  </w:style>
  <w:style w:type="character" w:customStyle="1" w:styleId="HeaderChar">
    <w:name w:val="Header Char"/>
    <w:basedOn w:val="DefaultParagraphFont"/>
    <w:link w:val="Header"/>
    <w:uiPriority w:val="99"/>
    <w:rsid w:val="00E338A0"/>
  </w:style>
  <w:style w:type="paragraph" w:styleId="Footer">
    <w:name w:val="footer"/>
    <w:basedOn w:val="Normal"/>
    <w:link w:val="FooterChar"/>
    <w:uiPriority w:val="99"/>
    <w:unhideWhenUsed/>
    <w:rsid w:val="00E338A0"/>
    <w:pPr>
      <w:tabs>
        <w:tab w:val="center" w:pos="4677"/>
        <w:tab w:val="right" w:pos="9355"/>
      </w:tabs>
      <w:spacing w:after="0" w:line="240" w:lineRule="auto"/>
    </w:pPr>
  </w:style>
  <w:style w:type="character" w:customStyle="1" w:styleId="FooterChar">
    <w:name w:val="Footer Char"/>
    <w:basedOn w:val="DefaultParagraphFont"/>
    <w:link w:val="Footer"/>
    <w:uiPriority w:val="99"/>
    <w:rsid w:val="00E338A0"/>
  </w:style>
  <w:style w:type="paragraph" w:customStyle="1" w:styleId="Default">
    <w:name w:val="Default"/>
    <w:rsid w:val="00E338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E338A0"/>
    <w:rPr>
      <w:rFonts w:ascii="Calibri Light" w:eastAsia="Times New Roman" w:hAnsi="Calibri Light" w:cs="Times New Roman"/>
      <w:color w:val="2E74B5"/>
      <w:sz w:val="26"/>
      <w:szCs w:val="26"/>
    </w:rPr>
  </w:style>
  <w:style w:type="character" w:styleId="CommentReference">
    <w:name w:val="annotation reference"/>
    <w:basedOn w:val="DefaultParagraphFont"/>
    <w:uiPriority w:val="99"/>
    <w:semiHidden/>
    <w:unhideWhenUsed/>
    <w:rsid w:val="00E338A0"/>
    <w:rPr>
      <w:sz w:val="16"/>
      <w:szCs w:val="16"/>
    </w:rPr>
  </w:style>
  <w:style w:type="paragraph" w:styleId="Revision">
    <w:name w:val="Revision"/>
    <w:hidden/>
    <w:uiPriority w:val="99"/>
    <w:semiHidden/>
    <w:rsid w:val="00E338A0"/>
    <w:pPr>
      <w:spacing w:after="0" w:line="240" w:lineRule="auto"/>
    </w:pPr>
    <w:rPr>
      <w:lang w:val="ru-RU"/>
    </w:rPr>
  </w:style>
  <w:style w:type="character" w:styleId="Hyperlink">
    <w:name w:val="Hyperlink"/>
    <w:basedOn w:val="DefaultParagraphFont"/>
    <w:uiPriority w:val="99"/>
    <w:semiHidden/>
    <w:unhideWhenUsed/>
    <w:rsid w:val="00E338A0"/>
    <w:rPr>
      <w:color w:val="0563C1" w:themeColor="hyperlink"/>
      <w:u w:val="single"/>
    </w:rPr>
  </w:style>
  <w:style w:type="character" w:customStyle="1" w:styleId="Heading2Char1">
    <w:name w:val="Heading 2 Char1"/>
    <w:basedOn w:val="DefaultParagraphFont"/>
    <w:uiPriority w:val="9"/>
    <w:semiHidden/>
    <w:rsid w:val="00E338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terprise/sectors/pressure-and-gas/files/gad/ia-study-rep_en.pdf" TargetMode="External"/><Relationship Id="rId13" Type="http://schemas.openxmlformats.org/officeDocument/2006/relationships/hyperlink" Target="https://acreditare.md/registre/" TargetMode="External"/><Relationship Id="rId3" Type="http://schemas.openxmlformats.org/officeDocument/2006/relationships/settings" Target="settings.xml"/><Relationship Id="rId7" Type="http://schemas.openxmlformats.org/officeDocument/2006/relationships/hyperlink" Target="mailto:lidia.jitari@mei.gov.md" TargetMode="External"/><Relationship Id="rId12" Type="http://schemas.openxmlformats.org/officeDocument/2006/relationships/hyperlink" Target="http://www.meteo.md/images/uploads/clima/2020_r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ldovagaz.md/pic/uploaded/docs/Volumul_de_gaze_naturale_furnizate_ro_v15_oct_2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oldovagaz.md/pic/uploaded/docs/Numarul_consumatorilor_finali_ro_v15_oct_2020.pdf" TargetMode="External"/><Relationship Id="rId4" Type="http://schemas.openxmlformats.org/officeDocument/2006/relationships/webSettings" Target="webSettings.xml"/><Relationship Id="rId9" Type="http://schemas.openxmlformats.org/officeDocument/2006/relationships/hyperlink" Target="https://www.infobase.md/ro/companies/1003611007449/srl-uzina-de-utilaj-electrotermi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25</Pages>
  <Words>10423</Words>
  <Characters>59413</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dc:creator>
  <cp:keywords/>
  <dc:description/>
  <cp:lastModifiedBy>Lidia</cp:lastModifiedBy>
  <cp:revision>11</cp:revision>
  <dcterms:created xsi:type="dcterms:W3CDTF">2021-07-26T08:19:00Z</dcterms:created>
  <dcterms:modified xsi:type="dcterms:W3CDTF">2021-07-27T06:54:00Z</dcterms:modified>
</cp:coreProperties>
</file>