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A6" w:rsidRDefault="002A041A" w:rsidP="00E06A19">
      <w:pPr>
        <w:spacing w:after="0"/>
        <w:ind w:left="284" w:right="56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4338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8E69BC" w:rsidRPr="00484F02" w:rsidRDefault="002A041A" w:rsidP="005831DB">
      <w:pPr>
        <w:tabs>
          <w:tab w:val="left" w:pos="9214"/>
        </w:tabs>
        <w:spacing w:after="0"/>
        <w:ind w:left="-284" w:right="708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AC37E2">
        <w:rPr>
          <w:rFonts w:ascii="Times New Roman" w:hAnsi="Times New Roman" w:cs="Times New Roman"/>
          <w:sz w:val="28"/>
          <w:szCs w:val="28"/>
          <w:lang w:val="ro-RO"/>
        </w:rPr>
        <w:t>privind necesitatea elaborării proiectul</w:t>
      </w:r>
      <w:r w:rsidR="00054CCE" w:rsidRPr="00AC37E2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AC37E2">
        <w:rPr>
          <w:rFonts w:ascii="Times New Roman" w:hAnsi="Times New Roman" w:cs="Times New Roman"/>
          <w:sz w:val="28"/>
          <w:szCs w:val="28"/>
          <w:lang w:val="ro-RO"/>
        </w:rPr>
        <w:t xml:space="preserve"> hotăr</w:t>
      </w:r>
      <w:r w:rsidR="0099032C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AC37E2">
        <w:rPr>
          <w:rFonts w:ascii="Times New Roman" w:hAnsi="Times New Roman" w:cs="Times New Roman"/>
          <w:sz w:val="28"/>
          <w:szCs w:val="28"/>
          <w:lang w:val="ro-RO"/>
        </w:rPr>
        <w:t>rii Guvernului</w:t>
      </w:r>
      <w:r w:rsidR="00FC74A6" w:rsidRPr="00AC37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C37E2" w:rsidRPr="00AC37E2">
        <w:rPr>
          <w:rFonts w:ascii="Times New Roman" w:hAnsi="Times New Roman" w:cs="Times New Roman"/>
          <w:iCs/>
          <w:color w:val="000000"/>
          <w:sz w:val="28"/>
          <w:szCs w:val="28"/>
          <w:lang w:val="ro-RO"/>
        </w:rPr>
        <w:t xml:space="preserve"> c</w:t>
      </w:r>
      <w:r w:rsidR="00AC37E2" w:rsidRPr="00372788">
        <w:rPr>
          <w:rFonts w:ascii="Times New Roman" w:hAnsi="Times New Roman" w:cs="Times New Roman"/>
          <w:iCs/>
          <w:color w:val="000000"/>
          <w:sz w:val="28"/>
          <w:szCs w:val="28"/>
          <w:lang w:val="ro-RO"/>
        </w:rPr>
        <w:t>u privire la modificarea</w:t>
      </w:r>
      <w:r w:rsidR="00AC37E2" w:rsidRPr="00AC37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nr. 3 </w:t>
      </w:r>
      <w:proofErr w:type="gram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Hotăr</w:t>
      </w:r>
      <w:r w:rsidR="0099032C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nr. 161/2019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listei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administrarea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Proprietăţii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FC74A6" w:rsidRPr="00AC37E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FE3AE1" w:rsidRPr="00791AC9" w:rsidTr="00F716E6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FE3AE1" w:rsidRPr="00FE3AE1" w:rsidRDefault="007137B4" w:rsidP="00E06A19">
            <w:pPr>
              <w:widowControl w:val="0"/>
              <w:autoSpaceDE w:val="0"/>
              <w:autoSpaceDN w:val="0"/>
              <w:adjustRightInd w:val="0"/>
              <w:spacing w:after="0"/>
              <w:ind w:left="459" w:right="3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  <w:proofErr w:type="spellEnd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autorului</w:t>
            </w:r>
            <w:proofErr w:type="spellEnd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după</w:t>
            </w:r>
            <w:proofErr w:type="spellEnd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caz</w:t>
            </w:r>
            <w:proofErr w:type="spellEnd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a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participanţilor</w:t>
            </w:r>
            <w:proofErr w:type="spellEnd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elaborarea</w:t>
            </w:r>
            <w:proofErr w:type="spellEnd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3AE1" w:rsidRPr="00FE3A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FE3AE1" w:rsidRPr="00791AC9" w:rsidTr="00F716E6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E1" w:rsidRDefault="00FE3AE1" w:rsidP="00E06A1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AE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elaborat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Finanțelor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Serviciul</w:t>
            </w:r>
            <w:proofErr w:type="spellEnd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3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7219" w:rsidRPr="00FE3AE1" w:rsidRDefault="00027219" w:rsidP="00E06A1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7137B4" w:rsidP="00E06A19">
            <w:pPr>
              <w:widowControl w:val="0"/>
              <w:autoSpaceDE w:val="0"/>
              <w:autoSpaceDN w:val="0"/>
              <w:adjustRightInd w:val="0"/>
              <w:spacing w:after="0"/>
              <w:ind w:left="459" w:right="34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2.  </w:t>
            </w:r>
            <w:r w:rsidR="002A041A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Condițiile ce au impus elaborarea proiectului de act normativ,</w:t>
            </w:r>
            <w:r w:rsidR="00F2239C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2A041A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finalităţile </w:t>
            </w:r>
            <w:r w:rsid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="002A041A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urmărite, descrierea gradului de compatibilitate a proiectului</w:t>
            </w: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C9" w:rsidRDefault="00664338" w:rsidP="00E06A1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C74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hotărârii Guvernului ”</w:t>
            </w:r>
            <w:r w:rsidR="00AC37E2" w:rsidRPr="00AC37E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o-RO"/>
              </w:rPr>
              <w:t>c</w:t>
            </w:r>
            <w:r w:rsidR="00AC37E2" w:rsidRPr="003727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o-RO"/>
              </w:rPr>
              <w:t>u privire la modificarea</w:t>
            </w:r>
            <w:r w:rsidR="00AC37E2" w:rsidRPr="0075690D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anexei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3 </w:t>
            </w:r>
            <w:proofErr w:type="gram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proofErr w:type="gram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</w:t>
            </w:r>
            <w:r w:rsidR="00990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</w:t>
            </w:r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Guvernului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161/2019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aprobarea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proprietate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statului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administrarea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Agenţiei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Proprietăţii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elaborat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temeiul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art.6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proofErr w:type="gram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.(</w:t>
            </w:r>
            <w:proofErr w:type="gram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lit.</w:t>
            </w:r>
            <w:r w:rsidR="00BD07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 w:rsidR="00FC74A6" w:rsidRPr="00FC74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</w:t>
            </w:r>
            <w:proofErr w:type="gram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6" w:history="1">
              <w:proofErr w:type="spellStart"/>
              <w:r w:rsidR="00FC74A6" w:rsidRPr="00FC74A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Legea</w:t>
              </w:r>
              <w:proofErr w:type="spellEnd"/>
              <w:r w:rsidR="00FC74A6" w:rsidRPr="00FC74A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nr.121/2007</w:t>
              </w:r>
            </w:hyperlink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administrarea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deetatizarea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proprietăţii</w:t>
            </w:r>
            <w:proofErr w:type="spellEnd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74A6"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="00FF22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E4F4A" w:rsidRPr="00597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art. 13 </w:t>
            </w:r>
            <w:r w:rsidR="007137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lit. f)</w:t>
            </w:r>
            <w:r w:rsidR="000E4F4A" w:rsidRPr="00597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0E4F4A" w:rsidRPr="00597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</w:t>
            </w:r>
            <w:proofErr w:type="gramEnd"/>
            <w:r w:rsidR="000E4F4A" w:rsidRPr="00597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history="1">
              <w:proofErr w:type="spellStart"/>
              <w:r w:rsidR="000E4F4A" w:rsidRPr="005976D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Legea</w:t>
              </w:r>
              <w:proofErr w:type="spellEnd"/>
              <w:r w:rsidR="000E4F4A" w:rsidRPr="005976D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nr.29/2018</w:t>
              </w:r>
            </w:hyperlink>
            <w:r w:rsidR="000E4F4A" w:rsidRPr="005976D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0E4F4A" w:rsidRPr="005976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privind</w:t>
            </w:r>
            <w:proofErr w:type="spellEnd"/>
            <w:r w:rsidR="000E4F4A" w:rsidRPr="005976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4F4A" w:rsidRPr="005976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delimitarea</w:t>
            </w:r>
            <w:proofErr w:type="spellEnd"/>
            <w:r w:rsidR="000E4F4A" w:rsidRPr="005976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4F4A" w:rsidRPr="005976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proprietăţii</w:t>
            </w:r>
            <w:proofErr w:type="spellEnd"/>
            <w:r w:rsidR="000E4F4A" w:rsidRPr="005976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E4F4A" w:rsidRPr="005976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publice</w:t>
            </w:r>
            <w:proofErr w:type="spellEnd"/>
            <w:r w:rsidR="000E4F4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791AC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romovarea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adoptarea hotărârii respective</w:t>
            </w:r>
            <w:r w:rsidR="00791AC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conformitate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prevederile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art.28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.(1)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lit.a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din </w:t>
            </w:r>
            <w:hyperlink r:id="rId8" w:history="1">
              <w:proofErr w:type="spellStart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Legea</w:t>
              </w:r>
              <w:proofErr w:type="spellEnd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cadastrului</w:t>
              </w:r>
              <w:proofErr w:type="spellEnd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bunurilor</w:t>
              </w:r>
              <w:proofErr w:type="spellEnd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imobile</w:t>
              </w:r>
              <w:proofErr w:type="spellEnd"/>
              <w:r w:rsidR="00791AC9" w:rsidRPr="002B09A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nr.1543/1998</w:t>
              </w:r>
            </w:hyperlink>
            <w:r w:rsidR="00791AC9">
              <w:rPr>
                <w:rFonts w:ascii="Times New Roman" w:hAnsi="Times New Roman" w:cs="Times New Roman"/>
                <w:lang w:val="ro-RO"/>
              </w:rPr>
              <w:t>,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temei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înregistrarea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terenurilor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respective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Registrul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imobile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</w:t>
            </w:r>
            <w:proofErr w:type="spellStart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proprietate</w:t>
            </w:r>
            <w:proofErr w:type="spellEnd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statului</w:t>
            </w:r>
            <w:proofErr w:type="spellEnd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domeniul</w:t>
            </w:r>
            <w:proofErr w:type="spellEnd"/>
            <w:r w:rsidR="00791AC9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public), din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administrarea</w:t>
            </w:r>
            <w:proofErr w:type="spellEnd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Serviciului</w:t>
            </w:r>
            <w:proofErr w:type="spellEnd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aducerea</w:t>
            </w:r>
            <w:proofErr w:type="spellEnd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concordanță</w:t>
            </w:r>
            <w:proofErr w:type="spellEnd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791A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prevederile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art. 10 </w:t>
            </w:r>
            <w:proofErr w:type="spellStart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alin</w:t>
            </w:r>
            <w:proofErr w:type="spellEnd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 (4) din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Codul</w:t>
            </w:r>
            <w:proofErr w:type="spellEnd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vamal</w:t>
            </w:r>
            <w:proofErr w:type="spellEnd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al </w:t>
            </w:r>
            <w:proofErr w:type="spellStart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Republicii</w:t>
            </w:r>
            <w:proofErr w:type="spellEnd"/>
            <w:r w:rsidR="00791AC9" w:rsidRPr="002B09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Moldova</w:t>
            </w:r>
            <w:proofErr w:type="gram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nr</w:t>
            </w:r>
            <w:proofErr w:type="gram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1149/2000 </w:t>
            </w:r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care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stipulează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bunurile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organelor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vamale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sînt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proprietate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stat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 pot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privatizate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Serviciul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administre</w:t>
            </w:r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aceste</w:t>
            </w:r>
            <w:proofErr w:type="spellEnd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respectiv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impune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intrarea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vigoare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</w:t>
            </w:r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</w:t>
            </w:r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rii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Guvern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data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publicării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acesteia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Monitoru</w:t>
            </w:r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Oficial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</w:t>
            </w:r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conform art. 56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alin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(3) </w:t>
            </w:r>
            <w:proofErr w:type="gram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</w:t>
            </w:r>
            <w:proofErr w:type="gram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Legea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100/2017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actele</w:t>
            </w:r>
            <w:proofErr w:type="spellEnd"/>
            <w:r w:rsidR="00791AC9" w:rsidRPr="00583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normative</w:t>
            </w:r>
            <w:r w:rsidR="00791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7219" w:rsidRPr="00730EC3" w:rsidRDefault="00027219" w:rsidP="00E06A1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0EC3" w:rsidRPr="00791AC9" w:rsidTr="0028353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30EC3" w:rsidRPr="00730EC3" w:rsidRDefault="007137B4" w:rsidP="00730EC3">
            <w:pPr>
              <w:widowControl w:val="0"/>
              <w:autoSpaceDE w:val="0"/>
              <w:autoSpaceDN w:val="0"/>
              <w:adjustRightInd w:val="0"/>
              <w:spacing w:after="0"/>
              <w:ind w:left="459" w:right="45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Descrierea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gradului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compatibilitate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proiectele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care au ca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armonizarea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legislaţiei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naţionale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legislaţia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Uniunii</w:t>
            </w:r>
            <w:proofErr w:type="spellEnd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Europene</w:t>
            </w:r>
            <w:proofErr w:type="spellEnd"/>
          </w:p>
        </w:tc>
      </w:tr>
      <w:tr w:rsidR="00730EC3" w:rsidRPr="00791AC9" w:rsidTr="0028353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3" w:rsidRDefault="00730EC3" w:rsidP="00EE1FE2">
            <w:pPr>
              <w:spacing w:after="0"/>
              <w:ind w:righ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</w:pPr>
            <w:r w:rsidRPr="00FC74A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hotărârii </w:t>
            </w:r>
            <w:r w:rsidR="00EE1FE2" w:rsidRPr="00797DF6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nu conține norme privind armonizarea legislației naționale cu legislaţia Uniunii Europene.</w:t>
            </w:r>
          </w:p>
          <w:p w:rsidR="0099032C" w:rsidRPr="00EE1FE2" w:rsidRDefault="0099032C" w:rsidP="00EE1FE2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7137B4" w:rsidP="00E06A1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4.   </w:t>
            </w:r>
            <w:r w:rsidR="002A041A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Principalele prevederi ale proiectului şi evidenţierea elementelor noi</w:t>
            </w:r>
          </w:p>
        </w:tc>
      </w:tr>
      <w:tr w:rsidR="002A041A" w:rsidRPr="00791AC9" w:rsidTr="00FE3AE1">
        <w:trPr>
          <w:trHeight w:val="83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D3" w:rsidRDefault="00394D7A" w:rsidP="00E914DD">
            <w:pPr>
              <w:spacing w:after="0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Conform</w:t>
            </w:r>
            <w:proofErr w:type="gram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Hotăr</w:t>
            </w:r>
            <w:r w:rsidR="009903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â</w:t>
            </w:r>
            <w:r w:rsidRPr="00394D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spellEnd"/>
            <w:r w:rsidRPr="00394D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Guvernului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496/1991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privire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înfiinţarea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punctelor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trecere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control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conformitate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hyperlink r:id="rId9" w:history="1">
              <w:proofErr w:type="spellStart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Declaraţia</w:t>
              </w:r>
              <w:proofErr w:type="spellEnd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de </w:t>
              </w:r>
              <w:proofErr w:type="spellStart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independenţă</w:t>
              </w:r>
              <w:proofErr w:type="spellEnd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a </w:t>
              </w:r>
              <w:proofErr w:type="spellStart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Republicii</w:t>
              </w:r>
              <w:proofErr w:type="spellEnd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Moldova, </w:t>
              </w:r>
              <w:proofErr w:type="spellStart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adoptată</w:t>
              </w:r>
              <w:proofErr w:type="spellEnd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de </w:t>
              </w:r>
              <w:proofErr w:type="spellStart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Parlamentul</w:t>
              </w:r>
              <w:proofErr w:type="spellEnd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Republicii</w:t>
              </w:r>
              <w:proofErr w:type="spellEnd"/>
              <w:r w:rsidRPr="00394D7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Moldova la 27 august 1991</w:t>
              </w:r>
            </w:hyperlink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scopul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protecţiei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pieţei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interne a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Serviciul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0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obligat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</w:t>
            </w:r>
            <w:proofErr w:type="spellEnd"/>
            <w:proofErr w:type="gram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creeze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28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trecere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control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inclusiv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posturile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vamale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Basarabeasca–Serpnevo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Ceadâr-Lunga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Maloiaroslaveţ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990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r-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nul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Taraclia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sat.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Valea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Perjei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la care au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amplasate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obiectivele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construcții</w:t>
            </w:r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infrastructura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necesară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înregistrarea</w:t>
            </w:r>
            <w:proofErr w:type="spellEnd"/>
            <w:r w:rsidR="00B4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ulterioară</w:t>
            </w:r>
            <w:proofErr w:type="spellEnd"/>
            <w:r w:rsidR="00B4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acestora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Registrul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imobile</w:t>
            </w:r>
            <w:proofErr w:type="spellEnd"/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proprietate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statului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din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administrarea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Serviciului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Vamal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iar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terenurile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respective</w:t>
            </w:r>
            <w:r w:rsidR="00B400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au </w:t>
            </w:r>
            <w:proofErr w:type="spellStart"/>
            <w:r w:rsidR="00B400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="00B400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00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înregistrate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după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Republica</w:t>
            </w:r>
            <w:proofErr w:type="spellEnd"/>
            <w:r w:rsidRPr="00394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Moldova.</w:t>
            </w:r>
            <w:r w:rsidRPr="00394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27219" w:rsidRPr="002B09A6" w:rsidRDefault="00027219" w:rsidP="00E914DD">
            <w:pPr>
              <w:spacing w:after="0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Astfel, p</w:t>
            </w:r>
            <w:r w:rsidRPr="00FC74A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roiectul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completarea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anexei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3 cu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poziţiile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2234</w:t>
            </w:r>
            <w:r w:rsidRPr="002B09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1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E91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2234</w:t>
            </w:r>
            <w:r w:rsidRPr="002B09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E914D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91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91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14DD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2234</w:t>
            </w:r>
            <w:r w:rsidR="00E914D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="00E91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esență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lista</w:t>
            </w:r>
            <w:proofErr w:type="spellEnd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terenurilor</w:t>
            </w:r>
            <w:proofErr w:type="spellEnd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proprietate</w:t>
            </w:r>
            <w:proofErr w:type="spellEnd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publică</w:t>
            </w:r>
            <w:proofErr w:type="spellEnd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statului</w:t>
            </w:r>
            <w:proofErr w:type="spellEnd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domeniul</w:t>
            </w:r>
            <w:proofErr w:type="spellEnd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public) </w:t>
            </w:r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 xml:space="preserve">delimitate 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C74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apartenenţă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completează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E91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trei</w:t>
            </w:r>
            <w:proofErr w:type="spellEnd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7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(nr. cadastral </w:t>
            </w:r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1201315369 cu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suprafața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0,2574 ha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amplasat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or.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Basarabeasca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str.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Alexandr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Matrosov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nr.33</w:t>
            </w:r>
            <w:proofErr w:type="gram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</w:t>
            </w:r>
            <w:proofErr w:type="gramEnd"/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cadastral</w:t>
            </w:r>
            <w:proofErr w:type="gramEnd"/>
            <w:r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8729403242 cu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suprafața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0,1005 ha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amplasat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r-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nul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Taraclia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sat.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Valea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Perjei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extravilan</w:t>
            </w:r>
            <w:proofErr w:type="spellEnd"/>
            <w:proofErr w:type="gram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ș</w:t>
            </w:r>
            <w:proofErr w:type="gramEnd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="00E914DD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</w:t>
            </w:r>
            <w:proofErr w:type="gramStart"/>
            <w:r w:rsidR="00E914DD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cadastral</w:t>
            </w:r>
            <w:proofErr w:type="gramEnd"/>
            <w:r w:rsidR="00E914DD" w:rsidRPr="002B0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0502313285</w:t>
            </w:r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suprafața</w:t>
            </w:r>
            <w:proofErr w:type="spellEnd"/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r w:rsidR="00E914DD"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</w:t>
            </w:r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2169 </w:t>
            </w:r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ha </w:t>
            </w:r>
            <w:proofErr w:type="spellStart"/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amplasat</w:t>
            </w:r>
            <w:proofErr w:type="spellEnd"/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r-</w:t>
            </w:r>
            <w:proofErr w:type="spellStart"/>
            <w:r w:rsidR="00E914DD"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nul</w:t>
            </w:r>
            <w:proofErr w:type="spellEnd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Anenii</w:t>
            </w:r>
            <w:proofErr w:type="spellEnd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Noi</w:t>
            </w:r>
            <w:proofErr w:type="spellEnd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sat. </w:t>
            </w:r>
            <w:proofErr w:type="spell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Varnița</w:t>
            </w:r>
            <w:proofErr w:type="spellEnd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str. </w:t>
            </w:r>
            <w:proofErr w:type="spell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Dragoș</w:t>
            </w:r>
            <w:proofErr w:type="spellEnd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914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Vodă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amplasate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bunuri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imobile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construcții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proprietate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publică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statului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din </w:t>
            </w:r>
            <w:proofErr w:type="spellStart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administrarea</w:t>
            </w:r>
            <w:proofErr w:type="spellEnd"/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B09A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Serviciul Vamal.</w:t>
            </w:r>
          </w:p>
          <w:p w:rsidR="00DB54E0" w:rsidRPr="006309C3" w:rsidRDefault="00DB54E0" w:rsidP="00791AC9">
            <w:pPr>
              <w:spacing w:after="0"/>
              <w:ind w:firstLine="42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2A041A" w:rsidRPr="007137B4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7137B4" w:rsidP="00E06A1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 xml:space="preserve">5.   </w:t>
            </w:r>
            <w:r w:rsidR="002A041A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Fundamentarea economico-financiară</w:t>
            </w: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19" w:rsidRDefault="002A041A" w:rsidP="00DB54E0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autoSpaceDE w:val="0"/>
              <w:autoSpaceDN w:val="0"/>
              <w:adjustRightInd w:val="0"/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proiectului respectiv nu necesită alocarea unor mijloace financiare suplimentare din bugetul de stat.</w:t>
            </w:r>
          </w:p>
          <w:p w:rsidR="00DB54E0" w:rsidRPr="008E69BC" w:rsidRDefault="00DB54E0" w:rsidP="00DB54E0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autoSpaceDE w:val="0"/>
              <w:autoSpaceDN w:val="0"/>
              <w:adjustRightInd w:val="0"/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7137B4" w:rsidP="00E06A1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6.   </w:t>
            </w:r>
            <w:r w:rsidR="002A041A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Modul de încorporare a actului în cadrul normativ în vigoare</w:t>
            </w: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19" w:rsidRDefault="002A041A" w:rsidP="00730E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4"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sv-SE"/>
              </w:rPr>
            </w:pPr>
            <w:r w:rsidRPr="008E69BC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sv-SE"/>
              </w:rPr>
              <w:t>Prezentul proiect este elaborat în conformitate cu legislația în vigoare și nu necesită elaborarea sau modificarea altor acte normative sau legislative.</w:t>
            </w:r>
            <w:r w:rsidR="00730EC3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sv-SE"/>
              </w:rPr>
              <w:t xml:space="preserve">  </w:t>
            </w:r>
          </w:p>
          <w:p w:rsidR="00DB54E0" w:rsidRPr="008E69BC" w:rsidRDefault="00DB54E0" w:rsidP="00730E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8E69BC" w:rsidRDefault="007137B4" w:rsidP="00E06A1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7.   </w:t>
            </w:r>
            <w:r w:rsidR="002A041A" w:rsidRPr="008E69BC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Avizarea şi consultarea publică a proiectului</w:t>
            </w:r>
          </w:p>
        </w:tc>
      </w:tr>
      <w:tr w:rsidR="002A041A" w:rsidRPr="00791AC9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5D" w:rsidRPr="008E69BC" w:rsidRDefault="0058125D" w:rsidP="00E06A1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</w:t>
            </w:r>
            <w:r w:rsidR="006309C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</w:t>
            </w:r>
            <w:r w:rsidR="0031336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</w:t>
            </w:r>
            <w:r w:rsidR="000C661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ost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avizat cu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Economiei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Infrastructurii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Agriculturii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</w:t>
            </w:r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rii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Regionale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Mediului</w:t>
            </w:r>
            <w:proofErr w:type="spellEnd"/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</w:t>
            </w:r>
            <w:r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="008E69BC"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</w:t>
            </w:r>
            <w:r w:rsidR="008E69BC"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spellEnd"/>
            <w:r w:rsidR="008E69BC"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Funciare</w:t>
            </w:r>
            <w:proofErr w:type="spellEnd"/>
            <w:r w:rsidR="008E69BC"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8E69BC" w:rsidRP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Cadastru</w:t>
            </w:r>
            <w:proofErr w:type="spellEnd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Agenția</w:t>
            </w:r>
            <w:proofErr w:type="spellEnd"/>
            <w:r w:rsid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Proprietății</w:t>
            </w:r>
            <w:proofErr w:type="spellEnd"/>
            <w:r w:rsid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6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Agenția</w:t>
            </w:r>
            <w:proofErr w:type="spellEnd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Servicii</w:t>
            </w:r>
            <w:proofErr w:type="spellEnd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="00A23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E69BC"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expertizat de către Ministerul Justiției</w:t>
            </w:r>
            <w:r w:rsidR="00E93F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E93F85"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 Centrul Național Anticorupție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2A041A" w:rsidRDefault="002A041A" w:rsidP="00E06A1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scopul respectării prevederilor Legii nr.239 din 13 noiembrie 2008 privind transparența în procesul decizional, proiectul hotărârii Guvernului  </w:t>
            </w:r>
            <w:r w:rsidR="009903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fost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plasat pe pagina web oficială a Ministerului Finanțelor </w:t>
            </w:r>
            <w:r w:rsidR="00037066" w:rsidRPr="00F751DC">
              <w:fldChar w:fldCharType="begin"/>
            </w:r>
            <w:r w:rsidR="004F006E" w:rsidRPr="00F751DC">
              <w:rPr>
                <w:lang w:val="en-US"/>
              </w:rPr>
              <w:instrText>HYPERLINK "http://www.mf.gov.md"</w:instrText>
            </w:r>
            <w:r w:rsidR="00037066" w:rsidRPr="00F751DC">
              <w:fldChar w:fldCharType="separate"/>
            </w:r>
            <w:r w:rsidRPr="00F751DC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ro-MO"/>
              </w:rPr>
              <w:t>www.mf.gov.md</w:t>
            </w:r>
            <w:r w:rsidR="00037066" w:rsidRPr="00F751DC">
              <w:fldChar w:fldCharType="end"/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compartimentul „Transparența decizională”, la rubrica „Procesul decizional”</w:t>
            </w:r>
            <w:r w:rsidR="00484F02" w:rsidRPr="008E69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027219" w:rsidRPr="008E69BC" w:rsidRDefault="00027219" w:rsidP="00E06A1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730EC3" w:rsidRPr="00730EC3" w:rsidTr="0028353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30EC3" w:rsidRPr="00EE1FE2" w:rsidRDefault="007137B4" w:rsidP="0028353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8.   </w:t>
            </w:r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Constatările expertizei anticorupţie</w:t>
            </w:r>
          </w:p>
        </w:tc>
      </w:tr>
      <w:tr w:rsidR="00730EC3" w:rsidRPr="00730EC3" w:rsidTr="00730EC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3" w:rsidRPr="00730EC3" w:rsidRDefault="00730EC3" w:rsidP="00730EC3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730EC3" w:rsidRPr="00791AC9" w:rsidTr="00730EC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3" w:rsidRDefault="00730EC3" w:rsidP="00EE1FE2">
            <w:pPr>
              <w:spacing w:after="0"/>
              <w:ind w:righ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</w:pPr>
            <w:r w:rsidRPr="00730EC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 </w:t>
            </w:r>
            <w:r w:rsidR="00EE1FE2" w:rsidRPr="00797DF6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Proiectul de </w:t>
            </w:r>
            <w:r w:rsidR="00EE1FE2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hotăr</w:t>
            </w:r>
            <w:r w:rsidR="0099032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â</w:t>
            </w:r>
            <w:r w:rsidR="00EE1FE2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re</w:t>
            </w:r>
            <w:r w:rsidR="00EE1FE2" w:rsidRPr="00797DF6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EE1FE2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a fost</w:t>
            </w:r>
            <w:r w:rsidR="00EE1FE2" w:rsidRPr="00797DF6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supus expertizei anticorupție</w:t>
            </w:r>
            <w:r w:rsidR="00791AC9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.</w:t>
            </w:r>
          </w:p>
          <w:p w:rsidR="00DB54E0" w:rsidRPr="00730EC3" w:rsidRDefault="00DB54E0" w:rsidP="00EE1FE2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730EC3" w:rsidRPr="00730EC3" w:rsidTr="0028353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30EC3" w:rsidRPr="00EE1FE2" w:rsidRDefault="007137B4" w:rsidP="0028353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9.   </w:t>
            </w:r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Constatările expertizei</w:t>
            </w:r>
            <w:r w:rsidR="00730EC3" w:rsidRPr="00EE1FE2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de compatibilitate</w:t>
            </w:r>
          </w:p>
        </w:tc>
      </w:tr>
      <w:tr w:rsidR="00730EC3" w:rsidRPr="00791AC9" w:rsidTr="00730EC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3" w:rsidRDefault="00730EC3" w:rsidP="00EE1FE2">
            <w:pPr>
              <w:spacing w:after="0" w:line="240" w:lineRule="auto"/>
              <w:ind w:left="167" w:right="144" w:firstLine="4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</w:pPr>
            <w:r w:rsidRPr="00730EC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 </w:t>
            </w:r>
            <w:r w:rsidR="00EE1FE2" w:rsidRPr="00797DF6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Proiectul de </w:t>
            </w:r>
            <w:r w:rsidR="00EE1FE2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hotăr</w:t>
            </w:r>
            <w:r w:rsidR="0099032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â</w:t>
            </w:r>
            <w:r w:rsidR="00EE1FE2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re</w:t>
            </w:r>
            <w:r w:rsidR="00EE1FE2" w:rsidRPr="00797DF6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nu conține norme privind armonizarea legislației naționale cu legislaţia Uniunii Europene.</w:t>
            </w:r>
          </w:p>
          <w:p w:rsidR="00DB54E0" w:rsidRPr="00730EC3" w:rsidRDefault="00DB54E0" w:rsidP="00EE1FE2">
            <w:pPr>
              <w:spacing w:after="0" w:line="240" w:lineRule="auto"/>
              <w:ind w:left="167" w:right="144" w:firstLine="47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30EC3" w:rsidRPr="00730EC3" w:rsidTr="0028353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30EC3" w:rsidRPr="00EE1FE2" w:rsidRDefault="007137B4" w:rsidP="0028353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10.   </w:t>
            </w:r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Constatările expertizei juridice</w:t>
            </w:r>
          </w:p>
        </w:tc>
      </w:tr>
      <w:tr w:rsidR="00730EC3" w:rsidRPr="00730EC3" w:rsidTr="00730EC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3" w:rsidRPr="00730EC3" w:rsidRDefault="00730EC3" w:rsidP="00730EC3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730EC3" w:rsidRPr="00791AC9" w:rsidTr="00730EC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E0" w:rsidRPr="00730EC3" w:rsidRDefault="00EE1FE2" w:rsidP="0099032C">
            <w:pPr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0C661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Proiectul de hotăr</w:t>
            </w:r>
            <w:r w:rsidR="0099032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â</w:t>
            </w:r>
            <w:r w:rsidRPr="000C661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re a fost supus expertizei</w:t>
            </w:r>
            <w:r w:rsidR="000C661C" w:rsidRPr="000C661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juridice,</w:t>
            </w:r>
            <w:r w:rsidR="002B7928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și redactat conform</w:t>
            </w:r>
            <w:r w:rsidR="000C661C" w:rsidRPr="000C661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avizul</w:t>
            </w:r>
            <w:r w:rsidR="002B7928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ui</w:t>
            </w:r>
            <w:r w:rsidR="000C661C" w:rsidRPr="000C661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Ministerului Justiției cu </w:t>
            </w:r>
            <w:r w:rsidR="000C661C" w:rsidRPr="000C6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 04/</w:t>
            </w:r>
            <w:r w:rsidR="000C661C" w:rsidRPr="000C66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3367 din 17</w:t>
            </w:r>
            <w:r w:rsidR="000C661C" w:rsidRPr="000C6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C661C" w:rsidRPr="000C66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</w:t>
            </w:r>
            <w:r w:rsidR="000C661C" w:rsidRPr="000C6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</w:t>
            </w:r>
            <w:r w:rsidR="000C661C" w:rsidRPr="000C66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0C6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730EC3" w:rsidRPr="00730EC3" w:rsidTr="00283539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30EC3" w:rsidRPr="00EE1FE2" w:rsidRDefault="007137B4" w:rsidP="00283539">
            <w:pPr>
              <w:widowControl w:val="0"/>
              <w:autoSpaceDE w:val="0"/>
              <w:autoSpaceDN w:val="0"/>
              <w:adjustRightInd w:val="0"/>
              <w:spacing w:after="0"/>
              <w:ind w:right="34" w:firstLine="459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11.   </w:t>
            </w:r>
            <w:r w:rsidR="00730EC3" w:rsidRPr="00730EC3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Constatările altor expertize</w:t>
            </w:r>
          </w:p>
        </w:tc>
      </w:tr>
      <w:tr w:rsidR="00730EC3" w:rsidRPr="00730EC3" w:rsidTr="00730EC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3" w:rsidRPr="00730EC3" w:rsidRDefault="00730EC3" w:rsidP="00730EC3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730EC3" w:rsidRPr="00791AC9" w:rsidTr="00730EC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3" w:rsidRPr="00695D31" w:rsidRDefault="00EE1FE2" w:rsidP="00283539">
            <w:pPr>
              <w:spacing w:after="0"/>
              <w:ind w:right="34"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</w:pPr>
            <w:r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Proiectul de hotăr</w:t>
            </w:r>
            <w:r w:rsidR="0099032C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â</w:t>
            </w:r>
            <w:r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re </w:t>
            </w:r>
            <w:r w:rsidR="00695D31"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695D31" w:rsidRPr="00695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nu  </w:t>
            </w:r>
            <w:proofErr w:type="spellStart"/>
            <w:r w:rsidR="00695D31" w:rsidRPr="00695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necesită</w:t>
            </w:r>
            <w:proofErr w:type="spellEnd"/>
            <w:r w:rsidR="00695D31" w:rsidRPr="00695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 </w:t>
            </w:r>
            <w:r w:rsidR="00695D31"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fi</w:t>
            </w:r>
            <w:r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supus </w:t>
            </w:r>
            <w:r w:rsidR="00695D31"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altor </w:t>
            </w:r>
            <w:r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expertize</w:t>
            </w:r>
            <w:r w:rsid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>.</w:t>
            </w:r>
            <w:r w:rsidRPr="00695D31">
              <w:rPr>
                <w:rFonts w:ascii="Times New Roman" w:eastAsia="Calibri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</w:p>
          <w:p w:rsidR="00DB54E0" w:rsidRPr="00730EC3" w:rsidRDefault="00DB54E0" w:rsidP="00283539">
            <w:pPr>
              <w:spacing w:after="0"/>
              <w:ind w:right="34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E06A19" w:rsidRDefault="00E06A19" w:rsidP="00E06A1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06A19" w:rsidRDefault="00E06A19" w:rsidP="00862D2E">
      <w:pPr>
        <w:tabs>
          <w:tab w:val="left" w:pos="2444"/>
        </w:tabs>
        <w:spacing w:after="0"/>
        <w:ind w:righ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EEE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Secretar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de stat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862D2E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</w:t>
      </w:r>
      <w:r w:rsidRPr="00E06A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EEE"/>
          <w:lang w:val="en-US"/>
        </w:rPr>
        <w:t>Tatiana 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EEE"/>
          <w:lang w:val="en-US"/>
        </w:rPr>
        <w:t>VANICICHINA</w:t>
      </w:r>
    </w:p>
    <w:sectPr w:rsidR="00E06A19" w:rsidSect="00695D3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DF7"/>
    <w:multiLevelType w:val="hybridMultilevel"/>
    <w:tmpl w:val="B6C0731E"/>
    <w:lvl w:ilvl="0" w:tplc="F6BAC94A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F6E4B"/>
    <w:multiLevelType w:val="hybridMultilevel"/>
    <w:tmpl w:val="9F481E5A"/>
    <w:lvl w:ilvl="0" w:tplc="CCF2FC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EC7C91"/>
    <w:multiLevelType w:val="hybridMultilevel"/>
    <w:tmpl w:val="1402DC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90F25"/>
    <w:rsid w:val="00027219"/>
    <w:rsid w:val="00037066"/>
    <w:rsid w:val="00054CCE"/>
    <w:rsid w:val="00075236"/>
    <w:rsid w:val="000909D7"/>
    <w:rsid w:val="000A03D2"/>
    <w:rsid w:val="000A0C3B"/>
    <w:rsid w:val="000C661C"/>
    <w:rsid w:val="000C6E56"/>
    <w:rsid w:val="000E4F4A"/>
    <w:rsid w:val="00102BE9"/>
    <w:rsid w:val="00104054"/>
    <w:rsid w:val="0015394A"/>
    <w:rsid w:val="00185899"/>
    <w:rsid w:val="001A7167"/>
    <w:rsid w:val="001B5ACC"/>
    <w:rsid w:val="001C7EE6"/>
    <w:rsid w:val="001D5B66"/>
    <w:rsid w:val="001E1A21"/>
    <w:rsid w:val="001F71D8"/>
    <w:rsid w:val="00252C87"/>
    <w:rsid w:val="00296DD7"/>
    <w:rsid w:val="002A041A"/>
    <w:rsid w:val="002B09A6"/>
    <w:rsid w:val="002B7928"/>
    <w:rsid w:val="002D44FC"/>
    <w:rsid w:val="002D7815"/>
    <w:rsid w:val="002E6A0F"/>
    <w:rsid w:val="003057B9"/>
    <w:rsid w:val="00313366"/>
    <w:rsid w:val="00370654"/>
    <w:rsid w:val="00383B05"/>
    <w:rsid w:val="00394D7A"/>
    <w:rsid w:val="00407DDE"/>
    <w:rsid w:val="004542A2"/>
    <w:rsid w:val="00470C96"/>
    <w:rsid w:val="00472129"/>
    <w:rsid w:val="00483BF1"/>
    <w:rsid w:val="00484F02"/>
    <w:rsid w:val="004A218D"/>
    <w:rsid w:val="004B1880"/>
    <w:rsid w:val="004F006E"/>
    <w:rsid w:val="0054337D"/>
    <w:rsid w:val="0056176A"/>
    <w:rsid w:val="00573A7B"/>
    <w:rsid w:val="0058125D"/>
    <w:rsid w:val="005831DB"/>
    <w:rsid w:val="00590F25"/>
    <w:rsid w:val="005C679D"/>
    <w:rsid w:val="005F0AAF"/>
    <w:rsid w:val="006309C3"/>
    <w:rsid w:val="00644E23"/>
    <w:rsid w:val="00664338"/>
    <w:rsid w:val="00695D31"/>
    <w:rsid w:val="006F6C7C"/>
    <w:rsid w:val="007137B4"/>
    <w:rsid w:val="00730EC3"/>
    <w:rsid w:val="00753D04"/>
    <w:rsid w:val="00785291"/>
    <w:rsid w:val="00791AC9"/>
    <w:rsid w:val="007C24A9"/>
    <w:rsid w:val="00824847"/>
    <w:rsid w:val="00856D3C"/>
    <w:rsid w:val="00862D2E"/>
    <w:rsid w:val="008B1989"/>
    <w:rsid w:val="008E69BC"/>
    <w:rsid w:val="00905EAA"/>
    <w:rsid w:val="009332A1"/>
    <w:rsid w:val="009358FF"/>
    <w:rsid w:val="009635FA"/>
    <w:rsid w:val="00965C8B"/>
    <w:rsid w:val="0099032C"/>
    <w:rsid w:val="009C533F"/>
    <w:rsid w:val="009E0CB7"/>
    <w:rsid w:val="009F01E1"/>
    <w:rsid w:val="00A05983"/>
    <w:rsid w:val="00A17C48"/>
    <w:rsid w:val="00A2380A"/>
    <w:rsid w:val="00A52E53"/>
    <w:rsid w:val="00A609C0"/>
    <w:rsid w:val="00A763D3"/>
    <w:rsid w:val="00A838C2"/>
    <w:rsid w:val="00AA0198"/>
    <w:rsid w:val="00AC37E2"/>
    <w:rsid w:val="00AD31A8"/>
    <w:rsid w:val="00AF46E6"/>
    <w:rsid w:val="00B06FC9"/>
    <w:rsid w:val="00B14108"/>
    <w:rsid w:val="00B27CF6"/>
    <w:rsid w:val="00B400C7"/>
    <w:rsid w:val="00B9347B"/>
    <w:rsid w:val="00BB5958"/>
    <w:rsid w:val="00BD074A"/>
    <w:rsid w:val="00BE0C69"/>
    <w:rsid w:val="00C00B86"/>
    <w:rsid w:val="00C14C58"/>
    <w:rsid w:val="00C32982"/>
    <w:rsid w:val="00C46232"/>
    <w:rsid w:val="00C62AA0"/>
    <w:rsid w:val="00C84842"/>
    <w:rsid w:val="00CC18A6"/>
    <w:rsid w:val="00CF63A3"/>
    <w:rsid w:val="00D32AA8"/>
    <w:rsid w:val="00D71C58"/>
    <w:rsid w:val="00D73824"/>
    <w:rsid w:val="00DB54E0"/>
    <w:rsid w:val="00DC5804"/>
    <w:rsid w:val="00DE09A4"/>
    <w:rsid w:val="00DF4634"/>
    <w:rsid w:val="00E06A19"/>
    <w:rsid w:val="00E37CA2"/>
    <w:rsid w:val="00E5597E"/>
    <w:rsid w:val="00E64C00"/>
    <w:rsid w:val="00E8155E"/>
    <w:rsid w:val="00E914DD"/>
    <w:rsid w:val="00E92E16"/>
    <w:rsid w:val="00E93F85"/>
    <w:rsid w:val="00EE1FE2"/>
    <w:rsid w:val="00EF4B27"/>
    <w:rsid w:val="00EF6F3B"/>
    <w:rsid w:val="00F0527B"/>
    <w:rsid w:val="00F2239C"/>
    <w:rsid w:val="00F70E03"/>
    <w:rsid w:val="00F751DC"/>
    <w:rsid w:val="00FB4977"/>
    <w:rsid w:val="00FC74A6"/>
    <w:rsid w:val="00FE3AE1"/>
    <w:rsid w:val="00FF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296DD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01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198"/>
    <w:pPr>
      <w:spacing w:line="240" w:lineRule="auto"/>
      <w:ind w:left="720"/>
      <w:contextualSpacing/>
      <w:jc w:val="both"/>
    </w:pPr>
  </w:style>
  <w:style w:type="paragraph" w:customStyle="1" w:styleId="md">
    <w:name w:val="md"/>
    <w:basedOn w:val="a"/>
    <w:rsid w:val="000A0C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A0C3B"/>
    <w:rPr>
      <w:color w:val="0000FF"/>
      <w:u w:val="single"/>
    </w:rPr>
  </w:style>
  <w:style w:type="character" w:styleId="a6">
    <w:name w:val="Subtle Emphasis"/>
    <w:uiPriority w:val="19"/>
    <w:qFormat/>
    <w:rsid w:val="001A7167"/>
    <w:rPr>
      <w:i/>
      <w:iCs/>
      <w:color w:val="808080"/>
    </w:rPr>
  </w:style>
  <w:style w:type="character" w:styleId="a7">
    <w:name w:val="Strong"/>
    <w:basedOn w:val="a0"/>
    <w:uiPriority w:val="22"/>
    <w:qFormat/>
    <w:rsid w:val="001A7167"/>
    <w:rPr>
      <w:b/>
      <w:bCs/>
    </w:rPr>
  </w:style>
  <w:style w:type="paragraph" w:customStyle="1" w:styleId="tt">
    <w:name w:val="tt"/>
    <w:basedOn w:val="a"/>
    <w:rsid w:val="006643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AF46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AF46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383B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802251543" TargetMode="External"/><Relationship Id="rId3" Type="http://schemas.openxmlformats.org/officeDocument/2006/relationships/styles" Target="styles.xml"/><Relationship Id="rId7" Type="http://schemas.openxmlformats.org/officeDocument/2006/relationships/hyperlink" Target="lex:LPLP200705041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705041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lex:HPHP19910827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7520B-FB38-4D64-8593-C37B54E8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37</cp:revision>
  <cp:lastPrinted>2021-05-17T05:29:00Z</cp:lastPrinted>
  <dcterms:created xsi:type="dcterms:W3CDTF">2021-04-13T12:19:00Z</dcterms:created>
  <dcterms:modified xsi:type="dcterms:W3CDTF">2021-05-19T05:25:00Z</dcterms:modified>
</cp:coreProperties>
</file>