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1B8" w:rsidRPr="006B039D" w:rsidRDefault="00362E4C" w:rsidP="00A01A03">
      <w:pPr>
        <w:jc w:val="center"/>
        <w:rPr>
          <w:b/>
          <w:lang w:val="ro-MD"/>
        </w:rPr>
      </w:pPr>
      <w:bookmarkStart w:id="0" w:name="_GoBack"/>
      <w:bookmarkEnd w:id="0"/>
      <w:r w:rsidRPr="006B039D">
        <w:rPr>
          <w:b/>
          <w:lang w:val="ro-MD"/>
        </w:rPr>
        <w:t>Nota informativă</w:t>
      </w:r>
    </w:p>
    <w:p w:rsidR="00E72CC3" w:rsidRPr="006B039D" w:rsidRDefault="0005506C" w:rsidP="00E72CC3">
      <w:pPr>
        <w:jc w:val="center"/>
        <w:rPr>
          <w:b/>
          <w:bCs/>
          <w:lang w:val="ro-RO"/>
        </w:rPr>
      </w:pPr>
      <w:r w:rsidRPr="006B039D">
        <w:rPr>
          <w:b/>
          <w:lang w:val="ro-MD"/>
        </w:rPr>
        <w:t>la proiectul Hotăr</w:t>
      </w:r>
      <w:r w:rsidR="005B57A5" w:rsidRPr="006B039D">
        <w:rPr>
          <w:b/>
          <w:lang w:val="ro-MD"/>
        </w:rPr>
        <w:t>î</w:t>
      </w:r>
      <w:r w:rsidR="004C21B8" w:rsidRPr="006B039D">
        <w:rPr>
          <w:b/>
          <w:lang w:val="ro-MD"/>
        </w:rPr>
        <w:t xml:space="preserve">rii Guvernului </w:t>
      </w:r>
      <w:r w:rsidR="00E72CC3" w:rsidRPr="006B039D">
        <w:rPr>
          <w:b/>
          <w:bCs/>
          <w:lang w:val="ro-RO"/>
        </w:rPr>
        <w:t>privind modul şi condiţiile de acordare a permisiunii de folosirea denumirii oficiale sau istorice a statului în marcă,</w:t>
      </w:r>
    </w:p>
    <w:p w:rsidR="00E72CC3" w:rsidRPr="006B039D" w:rsidRDefault="00E72CC3" w:rsidP="00DC465B">
      <w:pPr>
        <w:jc w:val="center"/>
        <w:rPr>
          <w:b/>
          <w:bCs/>
          <w:lang w:val="ro-MD"/>
        </w:rPr>
      </w:pPr>
      <w:r w:rsidRPr="006B039D">
        <w:rPr>
          <w:b/>
          <w:bCs/>
          <w:lang w:val="ro-RO"/>
        </w:rPr>
        <w:t>desen sau model industrial</w:t>
      </w:r>
    </w:p>
    <w:p w:rsidR="006E59F2" w:rsidRPr="006B039D" w:rsidRDefault="006E59F2" w:rsidP="00DC465B">
      <w:pPr>
        <w:jc w:val="center"/>
        <w:rPr>
          <w:b/>
          <w:lang w:val="ro-MD"/>
        </w:rPr>
      </w:pPr>
    </w:p>
    <w:tbl>
      <w:tblPr>
        <w:tblW w:w="5384" w:type="pct"/>
        <w:jc w:val="center"/>
        <w:tblCellMar>
          <w:top w:w="15" w:type="dxa"/>
          <w:left w:w="15" w:type="dxa"/>
          <w:bottom w:w="15" w:type="dxa"/>
          <w:right w:w="15" w:type="dxa"/>
        </w:tblCellMar>
        <w:tblLook w:val="04A0" w:firstRow="1" w:lastRow="0" w:firstColumn="1" w:lastColumn="0" w:noHBand="0" w:noVBand="1"/>
      </w:tblPr>
      <w:tblGrid>
        <w:gridCol w:w="2268"/>
        <w:gridCol w:w="7482"/>
        <w:gridCol w:w="306"/>
      </w:tblGrid>
      <w:tr w:rsidR="007F159A" w:rsidRPr="006B039D" w:rsidTr="006B039D">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F159A" w:rsidRPr="006B039D" w:rsidRDefault="007F159A" w:rsidP="004D5DB6">
            <w:pPr>
              <w:ind w:firstLine="94"/>
              <w:rPr>
                <w:b/>
                <w:lang w:val="ro-RO"/>
              </w:rPr>
            </w:pPr>
            <w:r w:rsidRPr="006B039D">
              <w:rPr>
                <w:b/>
                <w:lang w:val="ro-RO"/>
              </w:rPr>
              <w:t xml:space="preserve">1. Denumirea autorului şi, după caz, a participanţilor la elaborarea proiectului </w:t>
            </w:r>
          </w:p>
        </w:tc>
      </w:tr>
      <w:tr w:rsidR="007F159A" w:rsidRPr="006B039D" w:rsidTr="006B039D">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F159A" w:rsidRPr="006B039D" w:rsidRDefault="007F159A">
            <w:pPr>
              <w:rPr>
                <w:lang w:val="ro-RO"/>
              </w:rPr>
            </w:pPr>
            <w:r w:rsidRPr="006B039D">
              <w:rPr>
                <w:lang w:val="ro-RO"/>
              </w:rPr>
              <w:t> </w:t>
            </w:r>
            <w:r w:rsidR="00580EFC" w:rsidRPr="006B039D">
              <w:rPr>
                <w:lang w:val="ro-RO"/>
              </w:rPr>
              <w:t>Agenția de Stat pentru Proprietatea Intelectuală</w:t>
            </w:r>
            <w:r w:rsidR="00BA0F09" w:rsidRPr="006B039D">
              <w:rPr>
                <w:lang w:val="ro-RO"/>
              </w:rPr>
              <w:t xml:space="preserve"> </w:t>
            </w:r>
          </w:p>
          <w:p w:rsidR="00580EFC" w:rsidRPr="006B039D" w:rsidRDefault="00580EFC">
            <w:pPr>
              <w:rPr>
                <w:lang w:val="ro-RO"/>
              </w:rPr>
            </w:pPr>
          </w:p>
        </w:tc>
      </w:tr>
      <w:tr w:rsidR="007F159A" w:rsidRPr="006B039D" w:rsidTr="006B039D">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F159A" w:rsidRPr="006B039D" w:rsidRDefault="007F159A" w:rsidP="004D5DB6">
            <w:pPr>
              <w:ind w:firstLine="94"/>
              <w:jc w:val="both"/>
              <w:rPr>
                <w:b/>
                <w:lang w:val="ro-RO"/>
              </w:rPr>
            </w:pPr>
            <w:r w:rsidRPr="006B039D">
              <w:rPr>
                <w:b/>
                <w:lang w:val="ro-RO"/>
              </w:rPr>
              <w:t xml:space="preserve">2. Condiţiile ce au impus elaborarea proiectului de act normativ şi finalităţile urmărite </w:t>
            </w:r>
          </w:p>
        </w:tc>
      </w:tr>
      <w:tr w:rsidR="007F159A" w:rsidRPr="006B039D" w:rsidTr="006B039D">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0654" w:rsidRPr="006B039D" w:rsidRDefault="00520654" w:rsidP="008D0059">
            <w:pPr>
              <w:ind w:left="87" w:right="92" w:firstLine="480"/>
              <w:jc w:val="both"/>
              <w:rPr>
                <w:lang w:val="ro-RO"/>
              </w:rPr>
            </w:pPr>
            <w:r w:rsidRPr="006B039D">
              <w:rPr>
                <w:lang w:val="ro-RO"/>
              </w:rPr>
              <w:t xml:space="preserve">Proprietatea intelectuală, constituită din cele două componente ale sale – proprietatea industrială, pe de o parte şi drepturile de autor şi drepturile conexe, pe de altă parte, reprezintă una din pârghiile de bază ale dezvoltării economice, sociale şi culturale ale unei ţări. Produsele intelectuale sunt forţa motrice a creşterii economice şi determină competitivitatea economiei naţionale. Astfel, reieşind din importanţa domeniului de referinţă şi a soluţiilor pe care le oferă societăţii un sistem integru, echilibrat, funcţional şi dinamic al proprietăţii intelectuale, se impune gestionarea eficientă a acestor valori şi identificarea mecanismelor care să asigure buna lor valorificare. În acest sens, este necesară analiza problemelor existente, identificarea și definirea instrumentelor de soluţionare a acestor probleme. </w:t>
            </w:r>
          </w:p>
          <w:p w:rsidR="00520654" w:rsidRPr="006B039D" w:rsidRDefault="00520654" w:rsidP="008D0059">
            <w:pPr>
              <w:ind w:left="87" w:right="92" w:firstLine="480"/>
              <w:jc w:val="both"/>
              <w:rPr>
                <w:lang w:val="ro-RO"/>
              </w:rPr>
            </w:pPr>
            <w:r w:rsidRPr="006B039D">
              <w:rPr>
                <w:lang w:val="ro-RO"/>
              </w:rPr>
              <w:t>Perfecționarea continuă a cadrului normativ din domeniul proprietății intelectuale constituie și un obiectiv ce derivă din Strategia națională în domeniul proprietății intelectuale până în anul 2020, aprobată prin Hotăr</w:t>
            </w:r>
            <w:r w:rsidR="00B12685" w:rsidRPr="006B039D">
              <w:rPr>
                <w:lang w:val="ro-RO"/>
              </w:rPr>
              <w:t>î</w:t>
            </w:r>
            <w:r w:rsidRPr="006B039D">
              <w:rPr>
                <w:lang w:val="ro-RO"/>
              </w:rPr>
              <w:t>rea Guvernului nr. 880</w:t>
            </w:r>
            <w:r w:rsidR="001618A9" w:rsidRPr="006B039D">
              <w:rPr>
                <w:lang w:val="ro-RO"/>
              </w:rPr>
              <w:t>/</w:t>
            </w:r>
            <w:r w:rsidRPr="006B039D">
              <w:rPr>
                <w:lang w:val="ro-RO"/>
              </w:rPr>
              <w:t>2012.</w:t>
            </w:r>
          </w:p>
          <w:p w:rsidR="005A5C28" w:rsidRPr="006B039D" w:rsidRDefault="00521EE5" w:rsidP="008D0059">
            <w:pPr>
              <w:ind w:left="87" w:right="92" w:firstLine="480"/>
              <w:jc w:val="both"/>
              <w:rPr>
                <w:lang w:val="ro-RO" w:eastAsia="ro-RO"/>
              </w:rPr>
            </w:pPr>
            <w:r w:rsidRPr="006B039D">
              <w:rPr>
                <w:lang w:val="ro-RO"/>
              </w:rPr>
              <w:t xml:space="preserve">În conformitate cu prevederile art. 7 alin. (1) lit. i) și alin. (3) din Legea nr. 38/2008 privind protecția mărcilor și art. 36 din Legea nr. 161/2007 privind protecția desenelor și modelelor industriale, denumirea oficială sau istorică a statului poate fi inclusă în componența mărcilor/desenelor </w:t>
            </w:r>
            <w:r w:rsidR="00174158" w:rsidRPr="006B039D">
              <w:rPr>
                <w:lang w:val="ro-RO"/>
              </w:rPr>
              <w:t>sau</w:t>
            </w:r>
            <w:r w:rsidRPr="006B039D">
              <w:rPr>
                <w:lang w:val="ro-RO"/>
              </w:rPr>
              <w:t xml:space="preserve"> modelelor industriale, dacă există decizia Guvernului privind acordarea permisiunii de folosire a acestei denumiri. </w:t>
            </w:r>
            <w:r w:rsidR="005A5C28" w:rsidRPr="006B039D">
              <w:rPr>
                <w:lang w:val="ro-RO"/>
              </w:rPr>
              <w:t xml:space="preserve">Mecanismul de acordare a acestei permisiuni este reglementat de </w:t>
            </w:r>
            <w:r w:rsidR="005A5C28" w:rsidRPr="006B039D">
              <w:rPr>
                <w:lang w:val="ro-MD"/>
              </w:rPr>
              <w:t xml:space="preserve">Hotărârea Guvernului nr. 1425/2003, care stabilește cadrul normativ aplicabil </w:t>
            </w:r>
            <w:r w:rsidR="005A5C28" w:rsidRPr="006B039D">
              <w:rPr>
                <w:lang w:val="ro-RO" w:eastAsia="ro-RO"/>
              </w:rPr>
              <w:t xml:space="preserve">folosirii denumirii oficiale sau istorice a statului în marca de produs şi/sau de serviciu, precum şi în desenul sau modelul industrial și vizează aprobarea Regulamentului privind modul şi condiţiile de acordare a permisiunii de folosire a denumirii oficiale sau istorice a statului în marca de produs şi/sau de serviciu, precum şi în desenul sau modelul industrial, a Regulamentului de activitate al Comisiei responsabile de acordarea permisiunilor, și a componenței nominale a acesteia. În componența nominală a Comisiei vizate sunt desemnați reprezentanți </w:t>
            </w:r>
            <w:r w:rsidR="00EF1ECA" w:rsidRPr="006B039D">
              <w:rPr>
                <w:lang w:val="ro-MD"/>
              </w:rPr>
              <w:t xml:space="preserve">ai organelor centrale de specialitate ale administraţiei publice, atribuțiile de președinte al </w:t>
            </w:r>
            <w:r w:rsidR="00A62D7A" w:rsidRPr="006B039D">
              <w:rPr>
                <w:lang w:val="ro-MD"/>
              </w:rPr>
              <w:t>acesteia</w:t>
            </w:r>
            <w:r w:rsidR="00EF1ECA" w:rsidRPr="006B039D">
              <w:rPr>
                <w:lang w:val="ro-MD"/>
              </w:rPr>
              <w:t xml:space="preserve"> fiind exercitate de ministrul economiei și infrastructurii. </w:t>
            </w:r>
          </w:p>
          <w:p w:rsidR="00956172" w:rsidRPr="006B039D" w:rsidRDefault="00EF1ECA" w:rsidP="008D0059">
            <w:pPr>
              <w:ind w:left="87" w:right="92" w:firstLine="480"/>
              <w:jc w:val="both"/>
              <w:rPr>
                <w:lang w:val="ro-MD"/>
              </w:rPr>
            </w:pPr>
            <w:r w:rsidRPr="006B039D">
              <w:rPr>
                <w:lang w:val="ro-RO" w:eastAsia="ro-RO"/>
              </w:rPr>
              <w:t xml:space="preserve">În contextul reformei administrației publice centrale și a modificărilor operate în acest sens în temeiul </w:t>
            </w:r>
            <w:r w:rsidRPr="006B039D">
              <w:rPr>
                <w:lang w:val="ro-RO" w:eastAsia="en-US"/>
              </w:rPr>
              <w:t xml:space="preserve">Legii nr. 136/2017 cu privire la Guvern și a Hotărârii Parlamentului nr. 189/2017 pentru aprobarea listei ministerelor, prin care a avut loc </w:t>
            </w:r>
            <w:r w:rsidRPr="006B039D">
              <w:rPr>
                <w:lang w:val="ro-MD"/>
              </w:rPr>
              <w:t>reorganizarea instituţională a Guvernului</w:t>
            </w:r>
            <w:r w:rsidR="00777AD6" w:rsidRPr="006B039D">
              <w:rPr>
                <w:lang w:val="ro-MD"/>
              </w:rPr>
              <w:t>.</w:t>
            </w:r>
            <w:r w:rsidR="00A62D7A" w:rsidRPr="006B039D">
              <w:rPr>
                <w:lang w:val="ro-MD"/>
              </w:rPr>
              <w:t xml:space="preserve"> În această conjunctură </w:t>
            </w:r>
            <w:r w:rsidRPr="006B039D">
              <w:rPr>
                <w:lang w:val="ro-MD"/>
              </w:rPr>
              <w:t xml:space="preserve">componența nominală a </w:t>
            </w:r>
            <w:r w:rsidR="00777AD6" w:rsidRPr="006B039D">
              <w:rPr>
                <w:lang w:val="ro-MD"/>
              </w:rPr>
              <w:t xml:space="preserve">Comisiei pentru examinarea cererilor privind acordarea permisiunii de folosire a denumirii oficiale sau istorice a statului în marca de produs şi/sau de serviciu, precum şi în desenul sau modelul industrial </w:t>
            </w:r>
            <w:r w:rsidR="00956172" w:rsidRPr="006B039D">
              <w:rPr>
                <w:lang w:val="ro-MD"/>
              </w:rPr>
              <w:t xml:space="preserve">(în continuare - Comisie) </w:t>
            </w:r>
            <w:r w:rsidR="00A62D7A" w:rsidRPr="006B039D">
              <w:rPr>
                <w:lang w:val="ro-MD"/>
              </w:rPr>
              <w:t>și-a pierdut actualitatea, devenind astfel inaplicabile prevederile pct.2 din Hotărârea nr. 1425/2003, conform cărora în caz de eliberare a membrilor Comisiei din funcțiile publice, atribuțiile lor în cadrul Comisiei vor fi exercitate de persoanele confirmate în aceste funcții, fără a fi emisă o altă hotărâre de Guvern, ceea ce</w:t>
            </w:r>
            <w:r w:rsidR="00174158" w:rsidRPr="006B039D">
              <w:rPr>
                <w:lang w:val="ro-MD"/>
              </w:rPr>
              <w:t>, la moment,</w:t>
            </w:r>
            <w:r w:rsidR="00A62D7A" w:rsidRPr="006B039D">
              <w:rPr>
                <w:lang w:val="ro-MD"/>
              </w:rPr>
              <w:t xml:space="preserve"> constituie un impediment al convocării Comisiei în vederea examinării cererilor pentru acordarea permisiunilor corespunzătoare</w:t>
            </w:r>
            <w:r w:rsidR="00174158" w:rsidRPr="006B039D">
              <w:rPr>
                <w:lang w:val="ro-MD"/>
              </w:rPr>
              <w:t xml:space="preserve"> depuse</w:t>
            </w:r>
            <w:r w:rsidR="00A62D7A" w:rsidRPr="006B039D">
              <w:rPr>
                <w:lang w:val="ro-MD"/>
              </w:rPr>
              <w:t xml:space="preserve"> de către solicitanții cererilor de înregistrare a mărcilor sau desenelor/modelelor industriale/titularii de drepturi. </w:t>
            </w:r>
          </w:p>
          <w:p w:rsidR="00956172" w:rsidRPr="006B039D" w:rsidRDefault="00174158" w:rsidP="008D0059">
            <w:pPr>
              <w:ind w:left="107" w:right="92" w:firstLine="425"/>
              <w:jc w:val="both"/>
              <w:rPr>
                <w:lang w:val="ro-MD"/>
              </w:rPr>
            </w:pPr>
            <w:r w:rsidRPr="006B039D">
              <w:rPr>
                <w:lang w:val="ro-MD"/>
              </w:rPr>
              <w:t>Mai mult ca atât</w:t>
            </w:r>
            <w:r w:rsidR="00956172" w:rsidRPr="006B039D">
              <w:rPr>
                <w:lang w:val="ro-MD"/>
              </w:rPr>
              <w:t>, pe parcursul activității Comisiei au fost sesizate o serie de neconcordanțe, cum ar fi:</w:t>
            </w:r>
          </w:p>
          <w:p w:rsidR="00956172" w:rsidRPr="006B039D" w:rsidRDefault="00956172" w:rsidP="008D0059">
            <w:pPr>
              <w:pStyle w:val="ListParagraph"/>
              <w:numPr>
                <w:ilvl w:val="0"/>
                <w:numId w:val="4"/>
              </w:numPr>
              <w:spacing w:after="0" w:line="240" w:lineRule="auto"/>
              <w:ind w:left="107" w:right="92" w:firstLine="425"/>
              <w:jc w:val="both"/>
              <w:rPr>
                <w:rFonts w:ascii="Times New Roman" w:eastAsia="Times New Roman" w:hAnsi="Times New Roman"/>
                <w:bCs/>
                <w:sz w:val="24"/>
                <w:szCs w:val="24"/>
                <w:lang w:val="ro-MD" w:eastAsia="ru-RU"/>
              </w:rPr>
            </w:pPr>
            <w:r w:rsidRPr="006B039D">
              <w:rPr>
                <w:rFonts w:ascii="Times New Roman" w:eastAsia="Times New Roman" w:hAnsi="Times New Roman"/>
                <w:bCs/>
                <w:sz w:val="24"/>
                <w:szCs w:val="24"/>
                <w:lang w:val="ro-MD" w:eastAsia="ru-RU"/>
              </w:rPr>
              <w:t>Termenele - s-a constatat necesitatea revizuirii și corelării termenilor de acordare/neacordare și retragere a permisiunii de folosire a denumirii oficiale sau istorice a statului;</w:t>
            </w:r>
          </w:p>
          <w:p w:rsidR="00956172" w:rsidRPr="006B039D" w:rsidRDefault="00956172" w:rsidP="008D0059">
            <w:pPr>
              <w:pStyle w:val="ListParagraph"/>
              <w:numPr>
                <w:ilvl w:val="0"/>
                <w:numId w:val="4"/>
              </w:numPr>
              <w:spacing w:after="0" w:line="240" w:lineRule="auto"/>
              <w:ind w:left="107" w:right="92" w:firstLine="425"/>
              <w:jc w:val="both"/>
              <w:rPr>
                <w:rFonts w:ascii="Times New Roman" w:eastAsia="Times New Roman" w:hAnsi="Times New Roman"/>
                <w:bCs/>
                <w:sz w:val="24"/>
                <w:szCs w:val="24"/>
                <w:lang w:val="ro-MD" w:eastAsia="ru-RU"/>
              </w:rPr>
            </w:pPr>
            <w:r w:rsidRPr="006B039D">
              <w:rPr>
                <w:rFonts w:ascii="Times New Roman" w:eastAsia="Times New Roman" w:hAnsi="Times New Roman"/>
                <w:bCs/>
                <w:sz w:val="24"/>
                <w:szCs w:val="24"/>
                <w:lang w:val="ro-MD" w:eastAsia="ru-RU"/>
              </w:rPr>
              <w:t xml:space="preserve">Secretariatul - s-a constatat că organizarea activității Comisiei și intermedierea dintre membrii acesteia și solicitanți va fi mai ușor efectuată dacă secretariatul va fi asigurat de către AGEPI, având în vedere că și dosarele de bază se află în cadrul acestei autorități; </w:t>
            </w:r>
          </w:p>
          <w:p w:rsidR="00956172" w:rsidRPr="006B039D" w:rsidRDefault="00956172" w:rsidP="008D0059">
            <w:pPr>
              <w:pStyle w:val="ListParagraph"/>
              <w:numPr>
                <w:ilvl w:val="0"/>
                <w:numId w:val="4"/>
              </w:numPr>
              <w:spacing w:after="0" w:line="240" w:lineRule="auto"/>
              <w:ind w:left="107" w:right="92" w:firstLine="425"/>
              <w:jc w:val="both"/>
              <w:rPr>
                <w:rFonts w:ascii="Times New Roman" w:eastAsia="Times New Roman" w:hAnsi="Times New Roman"/>
                <w:bCs/>
                <w:sz w:val="24"/>
                <w:szCs w:val="24"/>
                <w:lang w:val="ro-MD" w:eastAsia="ru-RU"/>
              </w:rPr>
            </w:pPr>
            <w:r w:rsidRPr="006B039D">
              <w:rPr>
                <w:rFonts w:ascii="Times New Roman" w:eastAsia="Times New Roman" w:hAnsi="Times New Roman"/>
                <w:bCs/>
                <w:sz w:val="24"/>
                <w:szCs w:val="24"/>
                <w:lang w:val="ro-MD" w:eastAsia="ru-RU"/>
              </w:rPr>
              <w:t xml:space="preserve">Permisiune cesiune – s-a constatat existența riscului ca urmare a </w:t>
            </w:r>
            <w:r w:rsidR="00832943" w:rsidRPr="006B039D">
              <w:rPr>
                <w:rFonts w:ascii="Times New Roman" w:eastAsia="Times New Roman" w:hAnsi="Times New Roman"/>
                <w:bCs/>
                <w:sz w:val="24"/>
                <w:szCs w:val="24"/>
                <w:lang w:val="ro-MD" w:eastAsia="ru-RU"/>
              </w:rPr>
              <w:t>cesiunii, marca sau desenul/modelul industrial</w:t>
            </w:r>
            <w:r w:rsidRPr="006B039D">
              <w:rPr>
                <w:rFonts w:ascii="Times New Roman" w:eastAsia="Times New Roman" w:hAnsi="Times New Roman"/>
                <w:bCs/>
                <w:sz w:val="24"/>
                <w:szCs w:val="24"/>
                <w:lang w:val="ro-MD" w:eastAsia="ru-RU"/>
              </w:rPr>
              <w:t xml:space="preserve"> care conțin denumiri istorice sau oficiale ale statului să fie plasate pe </w:t>
            </w:r>
            <w:r w:rsidRPr="006B039D">
              <w:rPr>
                <w:rFonts w:ascii="Times New Roman" w:eastAsia="Times New Roman" w:hAnsi="Times New Roman"/>
                <w:bCs/>
                <w:sz w:val="24"/>
                <w:szCs w:val="24"/>
                <w:lang w:val="ro-MD" w:eastAsia="ru-RU"/>
              </w:rPr>
              <w:lastRenderedPageBreak/>
              <w:t>produse necorespunzătoare, care sunt de natură să prejudicieze interesele statului, respectiv să aducă atingere și să denigreze simbolurile naționale, în acest caz – denumirea statului;</w:t>
            </w:r>
          </w:p>
          <w:p w:rsidR="00956172" w:rsidRPr="006B039D" w:rsidRDefault="00C802F4" w:rsidP="009B672D">
            <w:pPr>
              <w:pStyle w:val="ListParagraph"/>
              <w:numPr>
                <w:ilvl w:val="0"/>
                <w:numId w:val="4"/>
              </w:numPr>
              <w:ind w:left="107" w:right="92" w:firstLine="405"/>
              <w:jc w:val="both"/>
              <w:rPr>
                <w:rFonts w:ascii="Times New Roman" w:hAnsi="Times New Roman" w:cs="Times New Roman"/>
                <w:sz w:val="24"/>
                <w:szCs w:val="24"/>
                <w:lang w:val="ro-MD"/>
              </w:rPr>
            </w:pPr>
            <w:r w:rsidRPr="006B039D">
              <w:rPr>
                <w:rFonts w:ascii="Times New Roman" w:hAnsi="Times New Roman" w:cs="Times New Roman"/>
                <w:sz w:val="24"/>
                <w:szCs w:val="24"/>
                <w:lang w:val="ro-MD"/>
              </w:rPr>
              <w:t>Procedura de refuz;</w:t>
            </w:r>
          </w:p>
          <w:p w:rsidR="00C802F4" w:rsidRPr="006B039D" w:rsidRDefault="00C802F4" w:rsidP="009B672D">
            <w:pPr>
              <w:pStyle w:val="ListParagraph"/>
              <w:numPr>
                <w:ilvl w:val="0"/>
                <w:numId w:val="4"/>
              </w:numPr>
              <w:ind w:left="107" w:right="92" w:firstLine="405"/>
              <w:jc w:val="both"/>
              <w:rPr>
                <w:rFonts w:ascii="Times New Roman" w:hAnsi="Times New Roman" w:cs="Times New Roman"/>
                <w:sz w:val="24"/>
                <w:szCs w:val="24"/>
                <w:lang w:val="ro-MD"/>
              </w:rPr>
            </w:pPr>
            <w:r w:rsidRPr="006B039D">
              <w:rPr>
                <w:rFonts w:ascii="Times New Roman" w:hAnsi="Times New Roman" w:cs="Times New Roman"/>
                <w:sz w:val="24"/>
                <w:szCs w:val="24"/>
                <w:lang w:val="ro-MD"/>
              </w:rPr>
              <w:t>Procedura de notificare a solicitantului;</w:t>
            </w:r>
          </w:p>
          <w:p w:rsidR="00C802F4" w:rsidRPr="006B039D" w:rsidRDefault="00C802F4" w:rsidP="009B672D">
            <w:pPr>
              <w:pStyle w:val="ListParagraph"/>
              <w:numPr>
                <w:ilvl w:val="0"/>
                <w:numId w:val="4"/>
              </w:numPr>
              <w:ind w:left="107" w:right="92" w:firstLine="405"/>
              <w:jc w:val="both"/>
              <w:rPr>
                <w:rFonts w:ascii="Times New Roman" w:hAnsi="Times New Roman" w:cs="Times New Roman"/>
                <w:sz w:val="24"/>
                <w:szCs w:val="24"/>
                <w:lang w:val="ro-MD"/>
              </w:rPr>
            </w:pPr>
            <w:r w:rsidRPr="006B039D">
              <w:rPr>
                <w:rFonts w:ascii="Times New Roman" w:hAnsi="Times New Roman" w:cs="Times New Roman"/>
                <w:sz w:val="24"/>
                <w:szCs w:val="24"/>
                <w:lang w:val="ro-MD"/>
              </w:rPr>
              <w:t>Procedura de votare în caz de paritate.</w:t>
            </w:r>
          </w:p>
          <w:p w:rsidR="005A5C28" w:rsidRPr="006B039D" w:rsidRDefault="00956172" w:rsidP="008D0059">
            <w:pPr>
              <w:ind w:left="87" w:right="92" w:firstLine="480"/>
              <w:jc w:val="both"/>
              <w:rPr>
                <w:lang w:val="ro-RO" w:eastAsia="ro-RO"/>
              </w:rPr>
            </w:pPr>
            <w:r w:rsidRPr="006B039D">
              <w:rPr>
                <w:rFonts w:cstheme="minorBidi"/>
                <w:bCs/>
                <w:lang w:val="ro-MD"/>
              </w:rPr>
              <w:t>Precizăm că a</w:t>
            </w:r>
            <w:r w:rsidR="00A62D7A" w:rsidRPr="006B039D">
              <w:rPr>
                <w:rFonts w:cstheme="minorBidi"/>
                <w:bCs/>
                <w:lang w:val="ro-MD"/>
              </w:rPr>
              <w:t>ceste neconcordanțe</w:t>
            </w:r>
            <w:r w:rsidRPr="006B039D">
              <w:rPr>
                <w:rFonts w:cstheme="minorBidi"/>
                <w:bCs/>
                <w:lang w:val="ro-MD"/>
              </w:rPr>
              <w:t>, de asemenea,</w:t>
            </w:r>
            <w:r w:rsidR="00A62D7A" w:rsidRPr="006B039D">
              <w:rPr>
                <w:rFonts w:cstheme="minorBidi"/>
                <w:bCs/>
                <w:lang w:val="ro-MD"/>
              </w:rPr>
              <w:t xml:space="preserve"> au fost expres semnalate de Ministerul </w:t>
            </w:r>
            <w:r w:rsidRPr="006B039D">
              <w:rPr>
                <w:rFonts w:cstheme="minorBidi"/>
                <w:bCs/>
                <w:lang w:val="ro-MD"/>
              </w:rPr>
              <w:t>Economiei și Infrastructurii, care s-a pronunțat în vederea operării modificărilor corespunzătoare și ajustării cadrului normativ vizat</w:t>
            </w:r>
            <w:r w:rsidR="00832943" w:rsidRPr="006B039D">
              <w:rPr>
                <w:lang w:val="ro-MD"/>
              </w:rPr>
              <w:t xml:space="preserve"> (demersul nr. </w:t>
            </w:r>
            <w:r w:rsidR="00B55216" w:rsidRPr="006B039D">
              <w:rPr>
                <w:lang w:val="ro-MD"/>
              </w:rPr>
              <w:t>05/2-3237</w:t>
            </w:r>
            <w:r w:rsidR="00832943" w:rsidRPr="006B039D">
              <w:rPr>
                <w:lang w:val="ro-MD"/>
              </w:rPr>
              <w:t xml:space="preserve"> din </w:t>
            </w:r>
            <w:r w:rsidR="00B55216" w:rsidRPr="006B039D">
              <w:rPr>
                <w:lang w:val="ro-MD"/>
              </w:rPr>
              <w:t>29.05.2020</w:t>
            </w:r>
            <w:r w:rsidR="00832943" w:rsidRPr="006B039D">
              <w:rPr>
                <w:lang w:val="ro-MD"/>
              </w:rPr>
              <w:t>)</w:t>
            </w:r>
            <w:r w:rsidRPr="006B039D">
              <w:rPr>
                <w:lang w:val="ro-MD"/>
              </w:rPr>
              <w:t xml:space="preserve">. </w:t>
            </w:r>
            <w:r w:rsidR="00832943" w:rsidRPr="006B039D">
              <w:rPr>
                <w:lang w:val="ro-MD"/>
              </w:rPr>
              <w:t xml:space="preserve">Mai mult ca atât, despre necesitatea modificării Hotărârii Guvernului nr. 1425/2003 s-a expus și Cancelaria de Stat prin solicitările cu </w:t>
            </w:r>
            <w:r w:rsidR="002B1427" w:rsidRPr="006B039D">
              <w:rPr>
                <w:lang w:val="ro-MD"/>
              </w:rPr>
              <w:t>21-06-8334 din 10.09.2020</w:t>
            </w:r>
            <w:r w:rsidR="00832943" w:rsidRPr="006B039D">
              <w:rPr>
                <w:lang w:val="ro-MD"/>
              </w:rPr>
              <w:t xml:space="preserve">. </w:t>
            </w:r>
            <w:r w:rsidR="002B1427" w:rsidRPr="006B039D">
              <w:rPr>
                <w:lang w:val="ro-MD"/>
              </w:rPr>
              <w:t xml:space="preserve"> </w:t>
            </w:r>
          </w:p>
          <w:p w:rsidR="008D0059" w:rsidRPr="006B039D" w:rsidRDefault="008D0059" w:rsidP="008D0059">
            <w:pPr>
              <w:ind w:left="87" w:right="92" w:firstLine="480"/>
              <w:jc w:val="both"/>
              <w:rPr>
                <w:lang w:val="ro-RO"/>
              </w:rPr>
            </w:pPr>
            <w:r w:rsidRPr="006B039D">
              <w:rPr>
                <w:lang w:val="ro-MD"/>
              </w:rPr>
              <w:t xml:space="preserve">În aceste condiții, actualizarea componenței nominale a Comisiei, reglementarea eficientă a mecanismului de acordare a permisiunii </w:t>
            </w:r>
            <w:r w:rsidRPr="006B039D">
              <w:rPr>
                <w:lang w:val="ro-RO"/>
              </w:rPr>
              <w:t>permisiunii de folosire a denumirii oficiale sau istorice a statului atât în marcă, cât și în desen/model industrial, cu eliminarea tuturor lacunelor de procedură</w:t>
            </w:r>
            <w:r w:rsidR="00174158" w:rsidRPr="006B039D">
              <w:rPr>
                <w:lang w:val="ro-RO"/>
              </w:rPr>
              <w:t xml:space="preserve">, </w:t>
            </w:r>
            <w:r w:rsidRPr="006B039D">
              <w:rPr>
                <w:lang w:val="ro-RO"/>
              </w:rPr>
              <w:t xml:space="preserve"> este imperios necesară, în acest sens fiind elaborat și propus spre examinare p</w:t>
            </w:r>
            <w:r w:rsidR="00521EE5" w:rsidRPr="006B039D">
              <w:rPr>
                <w:lang w:val="ro-MD"/>
              </w:rPr>
              <w:t xml:space="preserve">roiectul Hotărîrii Guvernului </w:t>
            </w:r>
            <w:r w:rsidR="00521EE5" w:rsidRPr="006B039D">
              <w:rPr>
                <w:bCs/>
                <w:lang w:val="ro-RO"/>
              </w:rPr>
              <w:t xml:space="preserve">privind modul şi condiţiile de acordare a permisiunii de folosirea denumirii oficiale sau istorice a statului în marcă, desen sau model industrial </w:t>
            </w:r>
            <w:r w:rsidR="00F433EA" w:rsidRPr="006B039D">
              <w:rPr>
                <w:lang w:val="ro-RO"/>
              </w:rPr>
              <w:t xml:space="preserve">(în continuare - </w:t>
            </w:r>
            <w:r w:rsidRPr="006B039D">
              <w:rPr>
                <w:lang w:val="ro-RO"/>
              </w:rPr>
              <w:t>p</w:t>
            </w:r>
            <w:r w:rsidR="00F433EA" w:rsidRPr="006B039D">
              <w:rPr>
                <w:lang w:val="ro-RO"/>
              </w:rPr>
              <w:t>roiectul Hotărîrii Guvernului)</w:t>
            </w:r>
            <w:r w:rsidRPr="006B039D">
              <w:rPr>
                <w:lang w:val="ro-RO"/>
              </w:rPr>
              <w:t xml:space="preserve">. </w:t>
            </w:r>
            <w:r w:rsidR="00F433EA" w:rsidRPr="006B039D">
              <w:rPr>
                <w:lang w:val="ro-RO"/>
              </w:rPr>
              <w:t xml:space="preserve"> </w:t>
            </w:r>
          </w:p>
          <w:p w:rsidR="00E871B7" w:rsidRPr="006B039D" w:rsidRDefault="009B672D" w:rsidP="009B672D">
            <w:pPr>
              <w:ind w:left="87" w:right="92" w:firstLine="480"/>
              <w:jc w:val="both"/>
              <w:rPr>
                <w:bCs/>
                <w:lang w:val="ro-MD"/>
              </w:rPr>
            </w:pPr>
            <w:r w:rsidRPr="006B039D">
              <w:rPr>
                <w:lang w:val="ro-MD"/>
              </w:rPr>
              <w:t>Principalii beneficiari ai i</w:t>
            </w:r>
            <w:r w:rsidR="008D0059" w:rsidRPr="006B039D">
              <w:rPr>
                <w:bCs/>
                <w:lang w:val="ro-MD"/>
              </w:rPr>
              <w:t>nițiativ</w:t>
            </w:r>
            <w:r w:rsidRPr="006B039D">
              <w:rPr>
                <w:bCs/>
                <w:lang w:val="ro-MD"/>
              </w:rPr>
              <w:t>ei</w:t>
            </w:r>
            <w:r w:rsidR="008D0059" w:rsidRPr="006B039D">
              <w:rPr>
                <w:bCs/>
                <w:lang w:val="ro-MD"/>
              </w:rPr>
              <w:t xml:space="preserve"> în cauză </w:t>
            </w:r>
            <w:r w:rsidRPr="006B039D">
              <w:rPr>
                <w:bCs/>
                <w:lang w:val="ro-MD"/>
              </w:rPr>
              <w:t>sunt</w:t>
            </w:r>
            <w:r w:rsidR="008D0059" w:rsidRPr="006B039D">
              <w:rPr>
                <w:bCs/>
                <w:lang w:val="ro-MD"/>
              </w:rPr>
              <w:t xml:space="preserve"> persoanele fizice și juridice, care doresc să își înregistreze marca</w:t>
            </w:r>
            <w:r w:rsidRPr="006B039D">
              <w:rPr>
                <w:bCs/>
                <w:lang w:val="ro-MD"/>
              </w:rPr>
              <w:t xml:space="preserve"> sau </w:t>
            </w:r>
            <w:r w:rsidR="008D0059" w:rsidRPr="006B039D">
              <w:rPr>
                <w:bCs/>
                <w:lang w:val="ro-MD"/>
              </w:rPr>
              <w:t>desenul</w:t>
            </w:r>
            <w:r w:rsidRPr="006B039D">
              <w:rPr>
                <w:bCs/>
                <w:lang w:val="ro-MD"/>
              </w:rPr>
              <w:t>/</w:t>
            </w:r>
            <w:r w:rsidR="008D0059" w:rsidRPr="006B039D">
              <w:rPr>
                <w:bCs/>
                <w:lang w:val="ro-MD"/>
              </w:rPr>
              <w:t>modelul industrial pe</w:t>
            </w:r>
            <w:r w:rsidRPr="006B039D">
              <w:rPr>
                <w:bCs/>
                <w:lang w:val="ro-MD"/>
              </w:rPr>
              <w:t xml:space="preserve"> teritoriul Republicii Moldova</w:t>
            </w:r>
            <w:r w:rsidR="00174158" w:rsidRPr="006B039D">
              <w:rPr>
                <w:bCs/>
                <w:lang w:val="ro-MD"/>
              </w:rPr>
              <w:t>,</w:t>
            </w:r>
            <w:r w:rsidRPr="006B039D">
              <w:rPr>
                <w:bCs/>
                <w:lang w:val="ro-MD"/>
              </w:rPr>
              <w:t xml:space="preserve"> ce încorporează denumirea oficială sau istorică a statului, în vederea obținerii </w:t>
            </w:r>
            <w:r w:rsidR="008D0059" w:rsidRPr="006B039D">
              <w:rPr>
                <w:bCs/>
                <w:lang w:val="ro-MD"/>
              </w:rPr>
              <w:t>drepturi</w:t>
            </w:r>
            <w:r w:rsidRPr="006B039D">
              <w:rPr>
                <w:bCs/>
                <w:lang w:val="ro-MD"/>
              </w:rPr>
              <w:t>lor</w:t>
            </w:r>
            <w:r w:rsidR="008D0059" w:rsidRPr="006B039D">
              <w:rPr>
                <w:bCs/>
                <w:lang w:val="ro-MD"/>
              </w:rPr>
              <w:t xml:space="preserve"> exclusive și </w:t>
            </w:r>
            <w:r w:rsidRPr="006B039D">
              <w:rPr>
                <w:bCs/>
                <w:lang w:val="ro-MD"/>
              </w:rPr>
              <w:t xml:space="preserve">beneficierii </w:t>
            </w:r>
            <w:r w:rsidR="008D0059" w:rsidRPr="006B039D">
              <w:rPr>
                <w:bCs/>
                <w:lang w:val="ro-MD"/>
              </w:rPr>
              <w:t xml:space="preserve">de avantajele acestui sistem de protecție, precum și reprezentanții/mandatarii autorizați în proprietatea intelectuală care reprezintă aceste persoane în fața AGEPI. </w:t>
            </w:r>
          </w:p>
          <w:p w:rsidR="003A7855" w:rsidRPr="006B039D" w:rsidRDefault="003A7855" w:rsidP="009B672D">
            <w:pPr>
              <w:ind w:left="87" w:right="92" w:firstLine="480"/>
              <w:jc w:val="both"/>
              <w:rPr>
                <w:lang w:val="ro-RO"/>
              </w:rPr>
            </w:pPr>
          </w:p>
        </w:tc>
      </w:tr>
      <w:tr w:rsidR="007F159A" w:rsidRPr="006B039D" w:rsidTr="006B039D">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F159A" w:rsidRPr="006B039D" w:rsidRDefault="007F159A" w:rsidP="004D5DB6">
            <w:pPr>
              <w:ind w:left="94" w:right="97"/>
              <w:jc w:val="both"/>
              <w:rPr>
                <w:b/>
                <w:lang w:val="ro-RO"/>
              </w:rPr>
            </w:pPr>
            <w:r w:rsidRPr="006B039D">
              <w:rPr>
                <w:b/>
                <w:lang w:val="ro-RO"/>
              </w:rPr>
              <w:lastRenderedPageBreak/>
              <w:t xml:space="preserve">3. Descrierea gradului de compatibilitate pentru proiectele care au ca scop armonizarea legislaţiei naţionale cu legislaţia Uniunii Europene </w:t>
            </w:r>
          </w:p>
        </w:tc>
      </w:tr>
      <w:tr w:rsidR="007F159A" w:rsidRPr="006B039D" w:rsidTr="006B039D">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E7446" w:rsidRPr="006B039D" w:rsidRDefault="007F159A" w:rsidP="003A7855">
            <w:pPr>
              <w:ind w:firstLine="94"/>
              <w:jc w:val="both"/>
              <w:rPr>
                <w:lang w:val="ro-RO"/>
              </w:rPr>
            </w:pPr>
            <w:r w:rsidRPr="006B039D">
              <w:rPr>
                <w:lang w:val="ro-RO"/>
              </w:rPr>
              <w:t> </w:t>
            </w:r>
            <w:r w:rsidR="00752ED0" w:rsidRPr="006B039D">
              <w:rPr>
                <w:lang w:val="ro-RO"/>
              </w:rPr>
              <w:t xml:space="preserve">Proiectul </w:t>
            </w:r>
            <w:r w:rsidR="00F52AF7" w:rsidRPr="006B039D">
              <w:rPr>
                <w:lang w:val="ro-RO"/>
              </w:rPr>
              <w:t>Hotăr</w:t>
            </w:r>
            <w:r w:rsidR="00B12685" w:rsidRPr="006B039D">
              <w:rPr>
                <w:lang w:val="ro-RO"/>
              </w:rPr>
              <w:t>î</w:t>
            </w:r>
            <w:r w:rsidR="00F52AF7" w:rsidRPr="006B039D">
              <w:rPr>
                <w:lang w:val="ro-RO"/>
              </w:rPr>
              <w:t xml:space="preserve">rii Guvernului </w:t>
            </w:r>
            <w:r w:rsidR="00752ED0" w:rsidRPr="006B039D">
              <w:rPr>
                <w:lang w:val="ro-RO"/>
              </w:rPr>
              <w:t>nu vizează armonizarea legislaţiei naţionale cu legislaţia UE.</w:t>
            </w:r>
          </w:p>
          <w:p w:rsidR="003A7855" w:rsidRPr="006B039D" w:rsidRDefault="003A7855" w:rsidP="003A7855">
            <w:pPr>
              <w:ind w:firstLine="94"/>
              <w:jc w:val="both"/>
              <w:rPr>
                <w:lang w:val="ro-RO"/>
              </w:rPr>
            </w:pPr>
          </w:p>
        </w:tc>
      </w:tr>
      <w:tr w:rsidR="007F159A" w:rsidRPr="006B039D" w:rsidTr="006B039D">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F159A" w:rsidRPr="006B039D" w:rsidRDefault="007F159A" w:rsidP="004D5DB6">
            <w:pPr>
              <w:ind w:left="94"/>
              <w:rPr>
                <w:lang w:val="ro-RO"/>
              </w:rPr>
            </w:pPr>
            <w:r w:rsidRPr="006B039D">
              <w:rPr>
                <w:b/>
                <w:lang w:val="ro-RO"/>
              </w:rPr>
              <w:t>4. Principalele prevederi ale proiectului şi evidenţierea elementelor noi</w:t>
            </w:r>
            <w:r w:rsidRPr="006B039D">
              <w:rPr>
                <w:lang w:val="ro-RO"/>
              </w:rPr>
              <w:t xml:space="preserve"> </w:t>
            </w:r>
          </w:p>
        </w:tc>
      </w:tr>
      <w:tr w:rsidR="007F159A" w:rsidRPr="006B039D" w:rsidTr="006B039D">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74158" w:rsidRPr="006B039D" w:rsidRDefault="00AA5FB5" w:rsidP="00476203">
            <w:pPr>
              <w:pStyle w:val="tt"/>
              <w:ind w:left="94" w:right="97" w:firstLine="425"/>
              <w:jc w:val="both"/>
              <w:rPr>
                <w:b w:val="0"/>
                <w:lang w:val="ro-RO"/>
              </w:rPr>
            </w:pPr>
            <w:r w:rsidRPr="006B039D">
              <w:rPr>
                <w:b w:val="0"/>
                <w:lang w:val="ro-RO"/>
              </w:rPr>
              <w:t xml:space="preserve">Dat fiind faptul că inițiativa </w:t>
            </w:r>
            <w:r w:rsidR="00614FC4" w:rsidRPr="006B039D">
              <w:rPr>
                <w:b w:val="0"/>
                <w:lang w:val="ro-RO"/>
              </w:rPr>
              <w:t>nominalizată</w:t>
            </w:r>
            <w:r w:rsidRPr="006B039D">
              <w:rPr>
                <w:b w:val="0"/>
                <w:lang w:val="ro-RO"/>
              </w:rPr>
              <w:t xml:space="preserve"> are drept scop revizuirea în ansamblu a cadrului juridic reglementat de Hotărârea Guvernului nr. 1425/2003 și îmbunătățirea considerabilă atât a mecanismului de acordare a permisiunilor de folosire a denumirii oficiale sau istorice a statului, cât și a Regulamentului de activitate al Comisiei, inclusiv actualizarea componenței nominale a acesteia, prin proiectul Hotărârii Guvernului s-a propus abrogarea Hotărârii Guvernului nr. 1425/2003 și aprobarea de către Guvern a unui nou act normativ</w:t>
            </w:r>
            <w:r w:rsidR="00476203" w:rsidRPr="006B039D">
              <w:rPr>
                <w:b w:val="0"/>
                <w:lang w:val="ro-RO"/>
              </w:rPr>
              <w:t>, care să</w:t>
            </w:r>
            <w:r w:rsidR="00614FC4" w:rsidRPr="006B039D">
              <w:rPr>
                <w:b w:val="0"/>
                <w:lang w:val="ro-RO"/>
              </w:rPr>
              <w:t xml:space="preserve"> reglementeze eficient procedurile regulatorii și să elimine toate lacunele normative existente la moment. </w:t>
            </w:r>
          </w:p>
          <w:p w:rsidR="00174158" w:rsidRPr="006B039D" w:rsidRDefault="00476203" w:rsidP="00476203">
            <w:pPr>
              <w:pStyle w:val="tt"/>
              <w:ind w:left="94" w:right="97" w:firstLine="473"/>
              <w:jc w:val="both"/>
              <w:rPr>
                <w:b w:val="0"/>
                <w:lang w:val="ro-RO"/>
              </w:rPr>
            </w:pPr>
            <w:r w:rsidRPr="006B039D">
              <w:rPr>
                <w:b w:val="0"/>
                <w:lang w:val="ro-RO"/>
              </w:rPr>
              <w:t>Astfel, proiectul Hotărârii Guvernului  vizează aprobarea:</w:t>
            </w:r>
          </w:p>
          <w:p w:rsidR="00476203" w:rsidRPr="006B039D" w:rsidRDefault="00476203" w:rsidP="00476203">
            <w:pPr>
              <w:ind w:left="94" w:right="97" w:firstLine="473"/>
              <w:jc w:val="both"/>
              <w:rPr>
                <w:lang w:val="ro-RO"/>
              </w:rPr>
            </w:pPr>
            <w:r w:rsidRPr="006B039D">
              <w:rPr>
                <w:lang w:val="ro-RO"/>
              </w:rPr>
              <w:t>a)</w:t>
            </w:r>
            <w:r w:rsidRPr="006B039D">
              <w:rPr>
                <w:b/>
                <w:lang w:val="ro-RO"/>
              </w:rPr>
              <w:t xml:space="preserve"> </w:t>
            </w:r>
            <w:r w:rsidRPr="006B039D">
              <w:rPr>
                <w:lang w:val="ro-RO"/>
              </w:rPr>
              <w:t xml:space="preserve">Regulamentului privind modul şi condiţiile de acordare a permisiunii de folosire a denumirii oficiale sau istorice a statului în marcă, desen sau model industrial, conform anexei nr. 1; </w:t>
            </w:r>
          </w:p>
          <w:p w:rsidR="00476203" w:rsidRPr="006B039D" w:rsidRDefault="00476203" w:rsidP="00476203">
            <w:pPr>
              <w:ind w:left="94" w:right="97" w:firstLine="473"/>
              <w:jc w:val="both"/>
              <w:rPr>
                <w:lang w:val="ro-RO"/>
              </w:rPr>
            </w:pPr>
            <w:r w:rsidRPr="006B039D">
              <w:rPr>
                <w:lang w:val="ro-RO"/>
              </w:rPr>
              <w:t xml:space="preserve">b) Componenţei nominale a Comisiei pentru examinarea cererilor privind acordarea permisiunii de folosire a denumirii oficiale sau istorice a statului în marcă, desen sau model industrial, conform anexei nr. 2; </w:t>
            </w:r>
          </w:p>
          <w:p w:rsidR="00476203" w:rsidRPr="006B039D" w:rsidRDefault="00476203" w:rsidP="00CB60BB">
            <w:pPr>
              <w:ind w:left="94" w:right="97" w:firstLine="473"/>
              <w:jc w:val="both"/>
              <w:rPr>
                <w:lang w:val="ro-RO"/>
              </w:rPr>
            </w:pPr>
            <w:r w:rsidRPr="006B039D">
              <w:rPr>
                <w:lang w:val="ro-RO"/>
              </w:rPr>
              <w:t xml:space="preserve">c) Regulamentului Comisiei pentru examinarea cererilor privind acordarea permisiunii de folosire a denumirii oficiale sau istorice a statului în marcă, desen sau model industrial, conform anexei nr. 3. </w:t>
            </w:r>
          </w:p>
          <w:p w:rsidR="008E529F" w:rsidRPr="006B039D" w:rsidRDefault="008E529F" w:rsidP="00CB60BB">
            <w:pPr>
              <w:pStyle w:val="tt"/>
              <w:ind w:right="97" w:firstLine="567"/>
              <w:jc w:val="both"/>
              <w:rPr>
                <w:b w:val="0"/>
                <w:lang w:val="ro-RO"/>
              </w:rPr>
            </w:pPr>
            <w:r w:rsidRPr="006B039D">
              <w:rPr>
                <w:b w:val="0"/>
                <w:lang w:val="ro-RO"/>
              </w:rPr>
              <w:t>În această ordine de idei, precizăm că în vederea</w:t>
            </w:r>
            <w:r w:rsidR="00A61C6B" w:rsidRPr="006B039D">
              <w:rPr>
                <w:b w:val="0"/>
                <w:lang w:val="ro-RO"/>
              </w:rPr>
              <w:t xml:space="preserve"> stabilirii</w:t>
            </w:r>
            <w:r w:rsidRPr="006B039D">
              <w:rPr>
                <w:b w:val="0"/>
                <w:lang w:val="ro-RO"/>
              </w:rPr>
              <w:t>:</w:t>
            </w:r>
          </w:p>
          <w:p w:rsidR="00A61C6B" w:rsidRPr="006B039D" w:rsidRDefault="008E529F" w:rsidP="00CB60BB">
            <w:pPr>
              <w:pStyle w:val="tt"/>
              <w:numPr>
                <w:ilvl w:val="0"/>
                <w:numId w:val="5"/>
              </w:numPr>
              <w:ind w:left="94" w:right="97" w:firstLine="284"/>
              <w:jc w:val="both"/>
              <w:rPr>
                <w:b w:val="0"/>
                <w:lang w:val="ro-RO"/>
              </w:rPr>
            </w:pPr>
            <w:r w:rsidRPr="006B039D">
              <w:rPr>
                <w:lang w:val="ro-RO"/>
              </w:rPr>
              <w:t>modul</w:t>
            </w:r>
            <w:r w:rsidR="00257E31" w:rsidRPr="006B039D">
              <w:rPr>
                <w:lang w:val="ro-RO"/>
              </w:rPr>
              <w:t>ui</w:t>
            </w:r>
            <w:r w:rsidRPr="006B039D">
              <w:rPr>
                <w:lang w:val="ro-RO"/>
              </w:rPr>
              <w:t xml:space="preserve"> de depunere și examinare a cererilor pentru </w:t>
            </w:r>
            <w:r w:rsidR="00A61C6B" w:rsidRPr="006B039D">
              <w:rPr>
                <w:lang w:val="ro-RO"/>
              </w:rPr>
              <w:t>obținerea</w:t>
            </w:r>
            <w:r w:rsidRPr="006B039D">
              <w:rPr>
                <w:lang w:val="ro-RO"/>
              </w:rPr>
              <w:t xml:space="preserve"> permisiunii de folosire a denumirii oficiale sau istorice a statului în marcă, desen sau model industrial</w:t>
            </w:r>
            <w:r w:rsidR="00257E31" w:rsidRPr="006B039D">
              <w:rPr>
                <w:b w:val="0"/>
                <w:lang w:val="ro-RO"/>
              </w:rPr>
              <w:t xml:space="preserve"> </w:t>
            </w:r>
            <w:r w:rsidR="00A61C6B" w:rsidRPr="006B039D">
              <w:rPr>
                <w:b w:val="0"/>
                <w:lang w:val="ro-RO"/>
              </w:rPr>
              <w:t>- proiectul conține norme cu referire la cerințele de depunere a cerer</w:t>
            </w:r>
            <w:r w:rsidR="000777B9" w:rsidRPr="006B039D">
              <w:rPr>
                <w:b w:val="0"/>
                <w:lang w:val="ro-RO"/>
              </w:rPr>
              <w:t>ilor pentru acordarea permisiunilor</w:t>
            </w:r>
            <w:r w:rsidR="00A61C6B" w:rsidRPr="006B039D">
              <w:rPr>
                <w:b w:val="0"/>
                <w:lang w:val="ro-RO"/>
              </w:rPr>
              <w:t xml:space="preserve"> și a documentelor anexate </w:t>
            </w:r>
            <w:r w:rsidR="00614FC4" w:rsidRPr="006B039D">
              <w:rPr>
                <w:b w:val="0"/>
                <w:lang w:val="ro-RO"/>
              </w:rPr>
              <w:t>acestor</w:t>
            </w:r>
            <w:r w:rsidR="000777B9" w:rsidRPr="006B039D">
              <w:rPr>
                <w:b w:val="0"/>
                <w:lang w:val="ro-RO"/>
              </w:rPr>
              <w:t>a</w:t>
            </w:r>
            <w:r w:rsidR="00A61C6B" w:rsidRPr="006B039D">
              <w:rPr>
                <w:b w:val="0"/>
                <w:lang w:val="ro-RO"/>
              </w:rPr>
              <w:t xml:space="preserve">, de reprezentare a solicitanților permisiunilor,  de notificare a solicitanților permisiunilor în vederea remedierii iregularităților constatate în actele depuse, precum și norme ce stabilesc termenele de realizare a procedurilor reglementate; </w:t>
            </w:r>
          </w:p>
          <w:p w:rsidR="00A61C6B" w:rsidRPr="006B039D" w:rsidRDefault="008E529F" w:rsidP="00CB60BB">
            <w:pPr>
              <w:pStyle w:val="tt"/>
              <w:numPr>
                <w:ilvl w:val="0"/>
                <w:numId w:val="5"/>
              </w:numPr>
              <w:ind w:left="94" w:right="97" w:firstLine="284"/>
              <w:jc w:val="both"/>
              <w:rPr>
                <w:b w:val="0"/>
                <w:lang w:val="ro-RO"/>
              </w:rPr>
            </w:pPr>
            <w:r w:rsidRPr="006B039D">
              <w:rPr>
                <w:lang w:val="ro-RO"/>
              </w:rPr>
              <w:t>modul</w:t>
            </w:r>
            <w:r w:rsidR="00A61C6B" w:rsidRPr="006B039D">
              <w:rPr>
                <w:lang w:val="ro-RO"/>
              </w:rPr>
              <w:t xml:space="preserve">ui </w:t>
            </w:r>
            <w:r w:rsidRPr="006B039D">
              <w:rPr>
                <w:lang w:val="ro-RO"/>
              </w:rPr>
              <w:t xml:space="preserve"> de acordare</w:t>
            </w:r>
            <w:r w:rsidR="00A61C6B" w:rsidRPr="006B039D">
              <w:rPr>
                <w:lang w:val="ro-RO"/>
              </w:rPr>
              <w:t xml:space="preserve"> sau retragere a permisiunii</w:t>
            </w:r>
            <w:r w:rsidR="00A61C6B" w:rsidRPr="006B039D">
              <w:rPr>
                <w:b w:val="0"/>
                <w:lang w:val="ro-RO"/>
              </w:rPr>
              <w:t xml:space="preserve"> - proiectul conține norme cu referire la deciziile emise de Comisie urmare examinării cererilor de acordare a permisiunilor, dar și în situațiile de </w:t>
            </w:r>
            <w:r w:rsidR="000777B9" w:rsidRPr="006B039D">
              <w:rPr>
                <w:b w:val="0"/>
                <w:lang w:val="ro-RO"/>
              </w:rPr>
              <w:t xml:space="preserve">utilizare necorespunzătoare a denumirii oficiale sau istorice a statului în mărci sau desene/modele </w:t>
            </w:r>
            <w:r w:rsidR="000777B9" w:rsidRPr="006B039D">
              <w:rPr>
                <w:b w:val="0"/>
                <w:lang w:val="ro-RO"/>
              </w:rPr>
              <w:lastRenderedPageBreak/>
              <w:t>industriale</w:t>
            </w:r>
            <w:r w:rsidR="00AF5066" w:rsidRPr="006B039D">
              <w:rPr>
                <w:b w:val="0"/>
                <w:lang w:val="ro-RO"/>
              </w:rPr>
              <w:t>, c</w:t>
            </w:r>
            <w:r w:rsidR="000777B9" w:rsidRPr="006B039D">
              <w:rPr>
                <w:b w:val="0"/>
                <w:lang w:val="ro-RO"/>
              </w:rPr>
              <w:t>ondițiile de acordare/neacordare/retragere a permisiunilor</w:t>
            </w:r>
            <w:r w:rsidR="00AF5066" w:rsidRPr="006B039D">
              <w:rPr>
                <w:b w:val="0"/>
                <w:lang w:val="ro-RO"/>
              </w:rPr>
              <w:t xml:space="preserve"> în cauză</w:t>
            </w:r>
            <w:r w:rsidR="000777B9" w:rsidRPr="006B039D">
              <w:rPr>
                <w:b w:val="0"/>
                <w:lang w:val="ro-RO"/>
              </w:rPr>
              <w:t>, instrumentele juridice de contestare și revocare a deciziilor Comisiei;</w:t>
            </w:r>
          </w:p>
          <w:p w:rsidR="008E529F" w:rsidRPr="006B039D" w:rsidRDefault="00A61C6B" w:rsidP="00CB60BB">
            <w:pPr>
              <w:pStyle w:val="tt"/>
              <w:numPr>
                <w:ilvl w:val="0"/>
                <w:numId w:val="5"/>
              </w:numPr>
              <w:ind w:left="94" w:right="97" w:firstLine="284"/>
              <w:jc w:val="both"/>
              <w:rPr>
                <w:b w:val="0"/>
                <w:lang w:val="ro-RO"/>
              </w:rPr>
            </w:pPr>
            <w:r w:rsidRPr="006B039D">
              <w:rPr>
                <w:lang w:val="ro-RO"/>
              </w:rPr>
              <w:t xml:space="preserve">restricțiilor </w:t>
            </w:r>
            <w:r w:rsidR="008E529F" w:rsidRPr="006B039D">
              <w:rPr>
                <w:lang w:val="ro-RO"/>
              </w:rPr>
              <w:t xml:space="preserve"> de utilizare a denumirii o</w:t>
            </w:r>
            <w:r w:rsidRPr="006B039D">
              <w:rPr>
                <w:lang w:val="ro-RO"/>
              </w:rPr>
              <w:t>ficiale sau istorice a statului</w:t>
            </w:r>
            <w:r w:rsidRPr="006B039D">
              <w:rPr>
                <w:b w:val="0"/>
                <w:lang w:val="ro-RO"/>
              </w:rPr>
              <w:t xml:space="preserve"> - proiectul conține norme cu referire la</w:t>
            </w:r>
            <w:r w:rsidR="00FD351D" w:rsidRPr="006B039D">
              <w:rPr>
                <w:b w:val="0"/>
                <w:lang w:val="ro-RO"/>
              </w:rPr>
              <w:t xml:space="preserve"> limitele de folosire a denumirii oficiale sau istorice a statului în mărci sau desene/modele industriale, perioada de valabilitate a permisiunilor eliberate, </w:t>
            </w:r>
            <w:r w:rsidR="00BD083F" w:rsidRPr="006B039D">
              <w:rPr>
                <w:b w:val="0"/>
                <w:lang w:val="ro-RO"/>
              </w:rPr>
              <w:t>precum și particularități normative ce vizează înregistrarea contractelor de transmitere a drepturilor asupra mărcilor sau desenelor/modelelor industriale ce încorporează această denumire;</w:t>
            </w:r>
          </w:p>
          <w:p w:rsidR="00BD083F" w:rsidRPr="006B039D" w:rsidRDefault="00BD083F" w:rsidP="00CB60BB">
            <w:pPr>
              <w:pStyle w:val="tt"/>
              <w:numPr>
                <w:ilvl w:val="0"/>
                <w:numId w:val="5"/>
              </w:numPr>
              <w:ind w:left="94" w:right="97" w:firstLine="284"/>
              <w:jc w:val="both"/>
              <w:rPr>
                <w:b w:val="0"/>
                <w:lang w:val="ro-RO"/>
              </w:rPr>
            </w:pPr>
            <w:r w:rsidRPr="006B039D">
              <w:rPr>
                <w:lang w:val="ro-RO"/>
              </w:rPr>
              <w:t xml:space="preserve">modului de organizare şi funcţionare a Comisiei </w:t>
            </w:r>
            <w:r w:rsidR="000F5324" w:rsidRPr="006B039D">
              <w:rPr>
                <w:lang w:val="ro-RO"/>
              </w:rPr>
              <w:t xml:space="preserve">- </w:t>
            </w:r>
            <w:r w:rsidRPr="006B039D">
              <w:rPr>
                <w:b w:val="0"/>
                <w:lang w:val="ro-RO"/>
              </w:rPr>
              <w:t>proiectul conține norme cu referire la</w:t>
            </w:r>
            <w:r w:rsidR="000F5324" w:rsidRPr="006B039D">
              <w:rPr>
                <w:b w:val="0"/>
                <w:lang w:val="ro-RO"/>
              </w:rPr>
              <w:t xml:space="preserve"> componența și atribuțiile Comisiei, ale președintelui, membrilor, dar și norme care stabilesc responsabilitatea efectuării lucrărilor de secretariat de către Agenția de Stat pentru Proprietatea Intelectuală (după caz, Ministerul Economiei și Infrastructurii). Totodată, proiectul reglementează </w:t>
            </w:r>
            <w:r w:rsidR="00CB60BB" w:rsidRPr="006B039D">
              <w:rPr>
                <w:b w:val="0"/>
                <w:lang w:val="ro-RO"/>
              </w:rPr>
              <w:t xml:space="preserve">aspectele ce vizează modul de convocare a ședințelor, de adoptare a deciziilor, perfectarea proceselor-verbale, precum și incompatibilitățile membrilor de participare la examinarea cererilor.  </w:t>
            </w:r>
          </w:p>
          <w:p w:rsidR="002E7446" w:rsidRPr="006B039D" w:rsidRDefault="00CB60BB" w:rsidP="00614FC4">
            <w:pPr>
              <w:pStyle w:val="tt"/>
              <w:ind w:left="94" w:right="97" w:firstLine="473"/>
              <w:jc w:val="both"/>
              <w:rPr>
                <w:b w:val="0"/>
                <w:lang w:val="ro-RO"/>
              </w:rPr>
            </w:pPr>
            <w:r w:rsidRPr="006B039D">
              <w:rPr>
                <w:b w:val="0"/>
                <w:lang w:val="ro-RO"/>
              </w:rPr>
              <w:t>Cât privește</w:t>
            </w:r>
            <w:r w:rsidRPr="006B039D">
              <w:rPr>
                <w:lang w:val="ro-RO"/>
              </w:rPr>
              <w:t xml:space="preserve"> componența nominală a Comisiei</w:t>
            </w:r>
            <w:r w:rsidRPr="006B039D">
              <w:rPr>
                <w:b w:val="0"/>
                <w:lang w:val="ro-RO"/>
              </w:rPr>
              <w:t>, precizăm că ace</w:t>
            </w:r>
            <w:r w:rsidR="007575FD">
              <w:rPr>
                <w:b w:val="0"/>
                <w:lang w:val="ro-RO"/>
              </w:rPr>
              <w:t>a</w:t>
            </w:r>
            <w:r w:rsidRPr="006B039D">
              <w:rPr>
                <w:b w:val="0"/>
                <w:lang w:val="ro-RO"/>
              </w:rPr>
              <w:t xml:space="preserve">sta </w:t>
            </w:r>
            <w:r w:rsidR="00614FC4" w:rsidRPr="006B039D">
              <w:rPr>
                <w:b w:val="0"/>
                <w:lang w:val="ro-RO"/>
              </w:rPr>
              <w:t>este constituită din reprezentanții autorităților investite cu atribuții și responsabilități în domeniul protecției proprietății intelectuale, lista membrilor fiind</w:t>
            </w:r>
            <w:r w:rsidRPr="006B039D">
              <w:rPr>
                <w:b w:val="0"/>
                <w:lang w:val="ro-RO"/>
              </w:rPr>
              <w:t xml:space="preserve"> stabilită urmare coordonării </w:t>
            </w:r>
            <w:r w:rsidR="00614FC4" w:rsidRPr="006B039D">
              <w:rPr>
                <w:b w:val="0"/>
                <w:lang w:val="ro-RO"/>
              </w:rPr>
              <w:t xml:space="preserve">prealabile </w:t>
            </w:r>
            <w:r w:rsidRPr="006B039D">
              <w:rPr>
                <w:b w:val="0"/>
                <w:lang w:val="ro-RO"/>
              </w:rPr>
              <w:t xml:space="preserve">cu </w:t>
            </w:r>
            <w:r w:rsidR="00614FC4" w:rsidRPr="006B039D">
              <w:rPr>
                <w:b w:val="0"/>
                <w:lang w:val="ro-RO"/>
              </w:rPr>
              <w:t>instituțiile vizate.</w:t>
            </w:r>
          </w:p>
          <w:p w:rsidR="00614FC4" w:rsidRPr="006B039D" w:rsidRDefault="00614FC4" w:rsidP="00614FC4">
            <w:pPr>
              <w:pStyle w:val="tt"/>
              <w:ind w:left="94" w:right="97" w:firstLine="473"/>
              <w:jc w:val="both"/>
              <w:rPr>
                <w:lang w:val="ro-MD"/>
              </w:rPr>
            </w:pPr>
          </w:p>
        </w:tc>
      </w:tr>
      <w:tr w:rsidR="007F159A" w:rsidRPr="006B039D" w:rsidTr="006B039D">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F159A" w:rsidRPr="006B039D" w:rsidRDefault="007F159A" w:rsidP="004D5DB6">
            <w:pPr>
              <w:ind w:firstLine="94"/>
              <w:rPr>
                <w:b/>
                <w:lang w:val="ro-RO"/>
              </w:rPr>
            </w:pPr>
            <w:r w:rsidRPr="006B039D">
              <w:rPr>
                <w:b/>
                <w:lang w:val="ro-RO"/>
              </w:rPr>
              <w:lastRenderedPageBreak/>
              <w:t xml:space="preserve">5. Fundamentarea economico-financiară </w:t>
            </w:r>
          </w:p>
        </w:tc>
      </w:tr>
      <w:tr w:rsidR="007F159A" w:rsidRPr="006B039D" w:rsidTr="006B039D">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65028" w:rsidRPr="006B039D" w:rsidRDefault="00174158" w:rsidP="00BD3036">
            <w:pPr>
              <w:ind w:firstLine="94"/>
              <w:jc w:val="both"/>
              <w:rPr>
                <w:lang w:val="ro-MD"/>
              </w:rPr>
            </w:pPr>
            <w:r w:rsidRPr="006B039D">
              <w:rPr>
                <w:lang w:val="ro-RO"/>
              </w:rPr>
              <w:t>Proiectul Hotărârii Guvernului</w:t>
            </w:r>
            <w:r w:rsidR="003F78C2" w:rsidRPr="006B039D">
              <w:rPr>
                <w:lang w:val="ro-RO"/>
              </w:rPr>
              <w:t xml:space="preserve"> nu implică cheltuieli financiare </w:t>
            </w:r>
            <w:r w:rsidR="003F78C2" w:rsidRPr="006B039D">
              <w:rPr>
                <w:lang w:val="ro-MD"/>
              </w:rPr>
              <w:t xml:space="preserve">din partea statului. </w:t>
            </w:r>
          </w:p>
          <w:p w:rsidR="003A7855" w:rsidRPr="006B039D" w:rsidRDefault="003A7855" w:rsidP="00BD3036">
            <w:pPr>
              <w:ind w:firstLine="94"/>
              <w:jc w:val="both"/>
              <w:rPr>
                <w:lang w:val="ro-MD"/>
              </w:rPr>
            </w:pPr>
          </w:p>
        </w:tc>
      </w:tr>
      <w:tr w:rsidR="007F159A" w:rsidRPr="006B039D" w:rsidTr="006B039D">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7F159A" w:rsidRPr="006B039D" w:rsidRDefault="007F159A" w:rsidP="004D5DB6">
            <w:pPr>
              <w:ind w:firstLine="94"/>
              <w:rPr>
                <w:b/>
                <w:lang w:val="ro-RO"/>
              </w:rPr>
            </w:pPr>
            <w:r w:rsidRPr="006B039D">
              <w:rPr>
                <w:b/>
                <w:lang w:val="ro-RO"/>
              </w:rPr>
              <w:t xml:space="preserve">6. Modul de încorporare a actului în cadrul normativ în vigoare </w:t>
            </w:r>
          </w:p>
        </w:tc>
      </w:tr>
      <w:tr w:rsidR="007F159A" w:rsidRPr="006B039D" w:rsidTr="006B039D">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65028" w:rsidRPr="006B039D" w:rsidRDefault="00174158" w:rsidP="00174158">
            <w:pPr>
              <w:ind w:left="94" w:right="97"/>
              <w:jc w:val="both"/>
              <w:rPr>
                <w:lang w:val="ro-MD"/>
              </w:rPr>
            </w:pPr>
            <w:r w:rsidRPr="006B039D">
              <w:rPr>
                <w:lang w:val="ro-MD"/>
              </w:rPr>
              <w:t>Prezentul proiect se încadrează perfect în cadrul normativ în vigoare și nu există necesitatea de modificare a cadrului legal conex.</w:t>
            </w:r>
          </w:p>
          <w:p w:rsidR="003A7855" w:rsidRPr="006B039D" w:rsidRDefault="003A7855" w:rsidP="00174158">
            <w:pPr>
              <w:ind w:left="94" w:right="97"/>
              <w:jc w:val="both"/>
              <w:rPr>
                <w:b/>
                <w:bCs/>
                <w:lang w:val="ro-RO"/>
              </w:rPr>
            </w:pPr>
          </w:p>
        </w:tc>
      </w:tr>
      <w:tr w:rsidR="00174158" w:rsidRPr="006B039D" w:rsidTr="006B039D">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4158" w:rsidRPr="006B039D" w:rsidRDefault="00174158" w:rsidP="004D5DB6">
            <w:pPr>
              <w:tabs>
                <w:tab w:val="left" w:pos="884"/>
                <w:tab w:val="left" w:pos="1196"/>
              </w:tabs>
              <w:ind w:firstLine="94"/>
              <w:jc w:val="both"/>
              <w:rPr>
                <w:b/>
                <w:lang w:val="ro-MD"/>
              </w:rPr>
            </w:pPr>
            <w:r w:rsidRPr="006B039D">
              <w:rPr>
                <w:b/>
                <w:lang w:val="ro-MD"/>
              </w:rPr>
              <w:t>7. Avizarea şi consultarea publică a proiectului</w:t>
            </w:r>
          </w:p>
        </w:tc>
      </w:tr>
      <w:tr w:rsidR="00174158" w:rsidRPr="006B039D" w:rsidTr="006B039D">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4158" w:rsidRPr="006B039D" w:rsidRDefault="00174158" w:rsidP="004D5DB6">
            <w:pPr>
              <w:tabs>
                <w:tab w:val="left" w:pos="884"/>
                <w:tab w:val="left" w:pos="1196"/>
              </w:tabs>
              <w:ind w:left="94" w:right="97"/>
              <w:jc w:val="both"/>
              <w:rPr>
                <w:lang w:val="ro-RO"/>
              </w:rPr>
            </w:pPr>
            <w:r w:rsidRPr="006B039D">
              <w:rPr>
                <w:lang w:val="ro-MD"/>
              </w:rPr>
              <w:t>Avizarea și consultarea publică a proiectului urmează a fi efectuată în conformitate cu prevederile Legii nr. 239/2008 privind transparenţa în procesul decizional și ale Legii nr. 100/2017 cu privire la actele normative</w:t>
            </w:r>
            <w:r w:rsidR="004D5DB6" w:rsidRPr="006B039D">
              <w:rPr>
                <w:lang w:val="ro-MD"/>
              </w:rPr>
              <w:t xml:space="preserve">, </w:t>
            </w:r>
            <w:r w:rsidR="004D5DB6" w:rsidRPr="006B039D">
              <w:rPr>
                <w:lang w:val="ro-RO"/>
              </w:rPr>
              <w:t xml:space="preserve">proiectul fiind plasat pe pagina web a AGEPI www.agepi.gov.md, în rubrica: Transparența, secțiunea: Proiecte de acte normative (Proprietatea Industrială) și pe </w:t>
            </w:r>
            <w:hyperlink r:id="rId6" w:history="1">
              <w:r w:rsidR="004D5DB6" w:rsidRPr="006B039D">
                <w:rPr>
                  <w:i/>
                  <w:u w:val="single"/>
                  <w:lang w:val="ro-RO"/>
                </w:rPr>
                <w:t>www.particip.gov.md</w:t>
              </w:r>
            </w:hyperlink>
            <w:r w:rsidR="004D5DB6" w:rsidRPr="006B039D">
              <w:rPr>
                <w:i/>
                <w:lang w:val="ro-RO"/>
              </w:rPr>
              <w:t xml:space="preserve">. </w:t>
            </w:r>
            <w:r w:rsidR="004D5DB6" w:rsidRPr="006B039D">
              <w:rPr>
                <w:lang w:val="ro-RO"/>
              </w:rPr>
              <w:t xml:space="preserve">  </w:t>
            </w:r>
          </w:p>
          <w:p w:rsidR="003A7855" w:rsidRPr="006B039D" w:rsidRDefault="003A7855" w:rsidP="004D5DB6">
            <w:pPr>
              <w:tabs>
                <w:tab w:val="left" w:pos="884"/>
                <w:tab w:val="left" w:pos="1196"/>
              </w:tabs>
              <w:ind w:left="94" w:right="97"/>
              <w:jc w:val="both"/>
              <w:rPr>
                <w:lang w:val="ro-MD"/>
              </w:rPr>
            </w:pPr>
          </w:p>
        </w:tc>
      </w:tr>
      <w:tr w:rsidR="00174158" w:rsidRPr="006B039D" w:rsidTr="006B039D">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4158" w:rsidRPr="006B039D" w:rsidRDefault="00174158" w:rsidP="004D5DB6">
            <w:pPr>
              <w:tabs>
                <w:tab w:val="left" w:pos="884"/>
                <w:tab w:val="left" w:pos="1196"/>
              </w:tabs>
              <w:ind w:firstLine="94"/>
              <w:jc w:val="both"/>
              <w:rPr>
                <w:b/>
                <w:lang w:val="ro-MD"/>
              </w:rPr>
            </w:pPr>
            <w:r w:rsidRPr="006B039D">
              <w:rPr>
                <w:b/>
                <w:lang w:val="ro-MD"/>
              </w:rPr>
              <w:t>8. Constatările expertizei anticorupție</w:t>
            </w:r>
          </w:p>
        </w:tc>
      </w:tr>
      <w:tr w:rsidR="00174158" w:rsidRPr="006B039D" w:rsidTr="006B039D">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4158" w:rsidRPr="006B039D" w:rsidRDefault="00174158" w:rsidP="004D5DB6">
            <w:pPr>
              <w:tabs>
                <w:tab w:val="left" w:pos="884"/>
                <w:tab w:val="left" w:pos="1196"/>
              </w:tabs>
              <w:ind w:left="94" w:right="97"/>
              <w:jc w:val="both"/>
              <w:rPr>
                <w:lang w:val="ro-MD"/>
              </w:rPr>
            </w:pPr>
            <w:r w:rsidRPr="006B039D">
              <w:rPr>
                <w:lang w:val="ro-MD"/>
              </w:rPr>
              <w:t>Proiectul urmează a fi supus expertizei anticorupție în conformitate cu prevederile Legii nr. 100/2017 cu privire la actele normative.</w:t>
            </w:r>
          </w:p>
          <w:p w:rsidR="003A7855" w:rsidRPr="006B039D" w:rsidRDefault="003A7855" w:rsidP="004D5DB6">
            <w:pPr>
              <w:tabs>
                <w:tab w:val="left" w:pos="884"/>
                <w:tab w:val="left" w:pos="1196"/>
              </w:tabs>
              <w:ind w:left="94" w:right="97"/>
              <w:jc w:val="both"/>
              <w:rPr>
                <w:lang w:val="ro-MD"/>
              </w:rPr>
            </w:pPr>
          </w:p>
        </w:tc>
      </w:tr>
      <w:tr w:rsidR="00174158" w:rsidRPr="006B039D" w:rsidTr="006B039D">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4158" w:rsidRPr="006B039D" w:rsidRDefault="00174158" w:rsidP="004D5DB6">
            <w:pPr>
              <w:tabs>
                <w:tab w:val="left" w:pos="884"/>
                <w:tab w:val="left" w:pos="1196"/>
              </w:tabs>
              <w:ind w:firstLine="94"/>
              <w:jc w:val="both"/>
              <w:rPr>
                <w:b/>
                <w:lang w:val="ro-MD"/>
              </w:rPr>
            </w:pPr>
            <w:r w:rsidRPr="006B039D">
              <w:rPr>
                <w:b/>
                <w:lang w:val="ro-MD"/>
              </w:rPr>
              <w:t>9. Constatările expertizei juridice</w:t>
            </w:r>
          </w:p>
        </w:tc>
      </w:tr>
      <w:tr w:rsidR="00174158" w:rsidRPr="006B039D" w:rsidTr="006B039D">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4158" w:rsidRPr="006B039D" w:rsidRDefault="00174158" w:rsidP="004D5DB6">
            <w:pPr>
              <w:tabs>
                <w:tab w:val="left" w:pos="884"/>
                <w:tab w:val="left" w:pos="1196"/>
              </w:tabs>
              <w:ind w:left="94" w:right="97"/>
              <w:jc w:val="both"/>
              <w:rPr>
                <w:lang w:val="ro-MD"/>
              </w:rPr>
            </w:pPr>
            <w:r w:rsidRPr="006B039D">
              <w:rPr>
                <w:lang w:val="ro-MD"/>
              </w:rPr>
              <w:t>Proiectul urmează a fi supus expertizei juridice în conformitate cu prevederile Legii nr. 100/2017 cu privire la actele normative.</w:t>
            </w:r>
          </w:p>
        </w:tc>
      </w:tr>
      <w:tr w:rsidR="007F159A" w:rsidRPr="006B039D" w:rsidTr="006B039D">
        <w:trPr>
          <w:gridBefore w:val="1"/>
          <w:gridAfter w:val="1"/>
          <w:wBefore w:w="1128" w:type="pct"/>
          <w:wAfter w:w="152" w:type="pct"/>
          <w:jc w:val="center"/>
        </w:trPr>
        <w:tc>
          <w:tcPr>
            <w:tcW w:w="0" w:type="auto"/>
            <w:tcBorders>
              <w:top w:val="nil"/>
              <w:left w:val="nil"/>
              <w:bottom w:val="nil"/>
              <w:right w:val="nil"/>
            </w:tcBorders>
            <w:tcMar>
              <w:top w:w="15" w:type="dxa"/>
              <w:left w:w="45" w:type="dxa"/>
              <w:bottom w:w="15" w:type="dxa"/>
              <w:right w:w="45" w:type="dxa"/>
            </w:tcMar>
            <w:hideMark/>
          </w:tcPr>
          <w:p w:rsidR="007F159A" w:rsidRPr="006B039D" w:rsidRDefault="007F159A">
            <w:pPr>
              <w:pStyle w:val="NormalWeb"/>
              <w:rPr>
                <w:lang w:val="ro-RO"/>
              </w:rPr>
            </w:pPr>
            <w:r w:rsidRPr="006B039D">
              <w:rPr>
                <w:lang w:val="ro-RO"/>
              </w:rPr>
              <w:t> </w:t>
            </w:r>
          </w:p>
        </w:tc>
      </w:tr>
    </w:tbl>
    <w:p w:rsidR="00EC1B92" w:rsidRPr="006B039D" w:rsidRDefault="00EC1B92" w:rsidP="00675C19">
      <w:pPr>
        <w:jc w:val="right"/>
        <w:rPr>
          <w:b/>
          <w:lang w:val="ro-MD"/>
        </w:rPr>
      </w:pPr>
    </w:p>
    <w:p w:rsidR="00BD2BBF" w:rsidRPr="006B039D" w:rsidRDefault="003D29A9" w:rsidP="00E2156F">
      <w:pPr>
        <w:ind w:right="-284"/>
        <w:jc w:val="right"/>
        <w:rPr>
          <w:lang w:val="ro-MD"/>
        </w:rPr>
      </w:pPr>
      <w:r w:rsidRPr="006B039D">
        <w:rPr>
          <w:b/>
          <w:lang w:val="ro-MD"/>
        </w:rPr>
        <w:t>V</w:t>
      </w:r>
      <w:r w:rsidR="00CD3DE0" w:rsidRPr="006B039D">
        <w:rPr>
          <w:b/>
          <w:lang w:val="ro-MD"/>
        </w:rPr>
        <w:t>i</w:t>
      </w:r>
      <w:r w:rsidRPr="006B039D">
        <w:rPr>
          <w:b/>
          <w:lang w:val="ro-MD"/>
        </w:rPr>
        <w:t>orel</w:t>
      </w:r>
      <w:r w:rsidR="00DF293D" w:rsidRPr="006B039D">
        <w:rPr>
          <w:b/>
          <w:lang w:val="ro-MD"/>
        </w:rPr>
        <w:t xml:space="preserve"> </w:t>
      </w:r>
      <w:r w:rsidRPr="006B039D">
        <w:rPr>
          <w:b/>
          <w:lang w:val="ro-MD"/>
        </w:rPr>
        <w:t>IUSTIN</w:t>
      </w:r>
      <w:r w:rsidR="00BD2BBF" w:rsidRPr="006B039D">
        <w:rPr>
          <w:b/>
          <w:lang w:val="ro-MD"/>
        </w:rPr>
        <w:t>,</w:t>
      </w:r>
    </w:p>
    <w:p w:rsidR="00CD3DE0" w:rsidRPr="006B039D" w:rsidRDefault="00BD2BBF" w:rsidP="00E2156F">
      <w:pPr>
        <w:pStyle w:val="Default"/>
        <w:ind w:left="4962" w:right="-284"/>
        <w:jc w:val="right"/>
        <w:rPr>
          <w:b/>
          <w:color w:val="auto"/>
          <w:lang w:val="ro-MD"/>
        </w:rPr>
      </w:pPr>
      <w:r w:rsidRPr="006B039D">
        <w:rPr>
          <w:b/>
          <w:color w:val="auto"/>
          <w:lang w:val="ro-MD"/>
        </w:rPr>
        <w:t xml:space="preserve">Director General </w:t>
      </w:r>
    </w:p>
    <w:p w:rsidR="00E2156F" w:rsidRPr="006B039D" w:rsidRDefault="001C0082" w:rsidP="00E2156F">
      <w:pPr>
        <w:pStyle w:val="Default"/>
        <w:ind w:left="4962" w:right="-284"/>
        <w:jc w:val="right"/>
        <w:rPr>
          <w:b/>
          <w:lang w:val="ro-MD"/>
        </w:rPr>
      </w:pPr>
      <w:r w:rsidRPr="006B039D">
        <w:rPr>
          <w:b/>
          <w:color w:val="auto"/>
          <w:lang w:val="ro-MD"/>
        </w:rPr>
        <w:t>al Agenţiei de Stat</w:t>
      </w:r>
      <w:r w:rsidR="00CD3DE0" w:rsidRPr="006B039D">
        <w:rPr>
          <w:b/>
          <w:color w:val="auto"/>
          <w:lang w:val="ro-MD"/>
        </w:rPr>
        <w:t xml:space="preserve"> </w:t>
      </w:r>
      <w:r w:rsidRPr="006B039D">
        <w:rPr>
          <w:b/>
          <w:lang w:val="ro-MD"/>
        </w:rPr>
        <w:t xml:space="preserve">pentru </w:t>
      </w:r>
    </w:p>
    <w:p w:rsidR="00CD29C6" w:rsidRPr="006B039D" w:rsidRDefault="001C0082" w:rsidP="00ED51AB">
      <w:pPr>
        <w:pStyle w:val="Default"/>
        <w:ind w:left="4962" w:right="-284"/>
        <w:jc w:val="right"/>
        <w:rPr>
          <w:lang w:val="ro-MD"/>
        </w:rPr>
      </w:pPr>
      <w:r w:rsidRPr="006B039D">
        <w:rPr>
          <w:b/>
          <w:lang w:val="ro-MD"/>
        </w:rPr>
        <w:t>Proprietatea Intelectuală</w:t>
      </w:r>
    </w:p>
    <w:sectPr w:rsidR="00CD29C6" w:rsidRPr="006B039D" w:rsidSect="00073553">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EF8"/>
    <w:multiLevelType w:val="hybridMultilevel"/>
    <w:tmpl w:val="56A08C6A"/>
    <w:lvl w:ilvl="0" w:tplc="4CD28DE6">
      <w:start w:val="6"/>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1A490B5D"/>
    <w:multiLevelType w:val="hybridMultilevel"/>
    <w:tmpl w:val="63ECD32E"/>
    <w:lvl w:ilvl="0" w:tplc="0418000B">
      <w:start w:val="1"/>
      <w:numFmt w:val="bullet"/>
      <w:lvlText w:val=""/>
      <w:lvlJc w:val="left"/>
      <w:pPr>
        <w:ind w:left="1344" w:hanging="360"/>
      </w:pPr>
      <w:rPr>
        <w:rFonts w:ascii="Wingdings" w:hAnsi="Wingdings" w:hint="default"/>
      </w:rPr>
    </w:lvl>
    <w:lvl w:ilvl="1" w:tplc="04180003" w:tentative="1">
      <w:start w:val="1"/>
      <w:numFmt w:val="bullet"/>
      <w:lvlText w:val="o"/>
      <w:lvlJc w:val="left"/>
      <w:pPr>
        <w:ind w:left="2064" w:hanging="360"/>
      </w:pPr>
      <w:rPr>
        <w:rFonts w:ascii="Courier New" w:hAnsi="Courier New" w:cs="Courier New" w:hint="default"/>
      </w:rPr>
    </w:lvl>
    <w:lvl w:ilvl="2" w:tplc="04180005" w:tentative="1">
      <w:start w:val="1"/>
      <w:numFmt w:val="bullet"/>
      <w:lvlText w:val=""/>
      <w:lvlJc w:val="left"/>
      <w:pPr>
        <w:ind w:left="2784" w:hanging="360"/>
      </w:pPr>
      <w:rPr>
        <w:rFonts w:ascii="Wingdings" w:hAnsi="Wingdings" w:hint="default"/>
      </w:rPr>
    </w:lvl>
    <w:lvl w:ilvl="3" w:tplc="04180001" w:tentative="1">
      <w:start w:val="1"/>
      <w:numFmt w:val="bullet"/>
      <w:lvlText w:val=""/>
      <w:lvlJc w:val="left"/>
      <w:pPr>
        <w:ind w:left="3504" w:hanging="360"/>
      </w:pPr>
      <w:rPr>
        <w:rFonts w:ascii="Symbol" w:hAnsi="Symbol" w:hint="default"/>
      </w:rPr>
    </w:lvl>
    <w:lvl w:ilvl="4" w:tplc="04180003" w:tentative="1">
      <w:start w:val="1"/>
      <w:numFmt w:val="bullet"/>
      <w:lvlText w:val="o"/>
      <w:lvlJc w:val="left"/>
      <w:pPr>
        <w:ind w:left="4224" w:hanging="360"/>
      </w:pPr>
      <w:rPr>
        <w:rFonts w:ascii="Courier New" w:hAnsi="Courier New" w:cs="Courier New" w:hint="default"/>
      </w:rPr>
    </w:lvl>
    <w:lvl w:ilvl="5" w:tplc="04180005" w:tentative="1">
      <w:start w:val="1"/>
      <w:numFmt w:val="bullet"/>
      <w:lvlText w:val=""/>
      <w:lvlJc w:val="left"/>
      <w:pPr>
        <w:ind w:left="4944" w:hanging="360"/>
      </w:pPr>
      <w:rPr>
        <w:rFonts w:ascii="Wingdings" w:hAnsi="Wingdings" w:hint="default"/>
      </w:rPr>
    </w:lvl>
    <w:lvl w:ilvl="6" w:tplc="04180001" w:tentative="1">
      <w:start w:val="1"/>
      <w:numFmt w:val="bullet"/>
      <w:lvlText w:val=""/>
      <w:lvlJc w:val="left"/>
      <w:pPr>
        <w:ind w:left="5664" w:hanging="360"/>
      </w:pPr>
      <w:rPr>
        <w:rFonts w:ascii="Symbol" w:hAnsi="Symbol" w:hint="default"/>
      </w:rPr>
    </w:lvl>
    <w:lvl w:ilvl="7" w:tplc="04180003" w:tentative="1">
      <w:start w:val="1"/>
      <w:numFmt w:val="bullet"/>
      <w:lvlText w:val="o"/>
      <w:lvlJc w:val="left"/>
      <w:pPr>
        <w:ind w:left="6384" w:hanging="360"/>
      </w:pPr>
      <w:rPr>
        <w:rFonts w:ascii="Courier New" w:hAnsi="Courier New" w:cs="Courier New" w:hint="default"/>
      </w:rPr>
    </w:lvl>
    <w:lvl w:ilvl="8" w:tplc="04180005" w:tentative="1">
      <w:start w:val="1"/>
      <w:numFmt w:val="bullet"/>
      <w:lvlText w:val=""/>
      <w:lvlJc w:val="left"/>
      <w:pPr>
        <w:ind w:left="7104" w:hanging="360"/>
      </w:pPr>
      <w:rPr>
        <w:rFonts w:ascii="Wingdings" w:hAnsi="Wingdings" w:hint="default"/>
      </w:rPr>
    </w:lvl>
  </w:abstractNum>
  <w:abstractNum w:abstractNumId="2" w15:restartNumberingAfterBreak="0">
    <w:nsid w:val="3BEA36BA"/>
    <w:multiLevelType w:val="hybridMultilevel"/>
    <w:tmpl w:val="8084D2C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2174046"/>
    <w:multiLevelType w:val="hybridMultilevel"/>
    <w:tmpl w:val="352C63EA"/>
    <w:lvl w:ilvl="0" w:tplc="A0D2350A">
      <w:numFmt w:val="bullet"/>
      <w:lvlText w:val="-"/>
      <w:lvlJc w:val="left"/>
      <w:pPr>
        <w:ind w:left="892" w:hanging="360"/>
      </w:pPr>
      <w:rPr>
        <w:rFonts w:ascii="Times New Roman" w:eastAsia="Times New Roman" w:hAnsi="Times New Roman" w:cs="Times New Roman" w:hint="default"/>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4" w15:restartNumberingAfterBreak="0">
    <w:nsid w:val="5A652027"/>
    <w:multiLevelType w:val="hybridMultilevel"/>
    <w:tmpl w:val="DF94E8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B8"/>
    <w:rsid w:val="00011E8B"/>
    <w:rsid w:val="00015659"/>
    <w:rsid w:val="0002502C"/>
    <w:rsid w:val="000258B5"/>
    <w:rsid w:val="00026ABB"/>
    <w:rsid w:val="0003322B"/>
    <w:rsid w:val="00036674"/>
    <w:rsid w:val="00040FCC"/>
    <w:rsid w:val="00051967"/>
    <w:rsid w:val="0005506C"/>
    <w:rsid w:val="000668E1"/>
    <w:rsid w:val="00073553"/>
    <w:rsid w:val="00074457"/>
    <w:rsid w:val="000764D8"/>
    <w:rsid w:val="000777B9"/>
    <w:rsid w:val="000879AF"/>
    <w:rsid w:val="0009250D"/>
    <w:rsid w:val="000A19AD"/>
    <w:rsid w:val="000A640B"/>
    <w:rsid w:val="000D2DED"/>
    <w:rsid w:val="000E0EF9"/>
    <w:rsid w:val="000E2FB1"/>
    <w:rsid w:val="000F3A0D"/>
    <w:rsid w:val="000F5324"/>
    <w:rsid w:val="0010022C"/>
    <w:rsid w:val="00101337"/>
    <w:rsid w:val="00101D69"/>
    <w:rsid w:val="0011129A"/>
    <w:rsid w:val="0012271C"/>
    <w:rsid w:val="00133F39"/>
    <w:rsid w:val="00140694"/>
    <w:rsid w:val="00141F82"/>
    <w:rsid w:val="00142E5A"/>
    <w:rsid w:val="00146298"/>
    <w:rsid w:val="00155E99"/>
    <w:rsid w:val="001618A9"/>
    <w:rsid w:val="00162582"/>
    <w:rsid w:val="00165A69"/>
    <w:rsid w:val="00172221"/>
    <w:rsid w:val="00174158"/>
    <w:rsid w:val="00190D61"/>
    <w:rsid w:val="00197A33"/>
    <w:rsid w:val="001A33CB"/>
    <w:rsid w:val="001B5398"/>
    <w:rsid w:val="001C0082"/>
    <w:rsid w:val="001E217B"/>
    <w:rsid w:val="001E3F02"/>
    <w:rsid w:val="001E69A7"/>
    <w:rsid w:val="001F15D2"/>
    <w:rsid w:val="002000F3"/>
    <w:rsid w:val="0020040B"/>
    <w:rsid w:val="002149B0"/>
    <w:rsid w:val="00223F8B"/>
    <w:rsid w:val="0023179B"/>
    <w:rsid w:val="002436A5"/>
    <w:rsid w:val="00250C9A"/>
    <w:rsid w:val="00257E31"/>
    <w:rsid w:val="00264C3F"/>
    <w:rsid w:val="00271A31"/>
    <w:rsid w:val="00272EB0"/>
    <w:rsid w:val="002814D4"/>
    <w:rsid w:val="002833E4"/>
    <w:rsid w:val="002A2581"/>
    <w:rsid w:val="002A6699"/>
    <w:rsid w:val="002B08B0"/>
    <w:rsid w:val="002B1427"/>
    <w:rsid w:val="002B2B5A"/>
    <w:rsid w:val="002B4267"/>
    <w:rsid w:val="002B4DDC"/>
    <w:rsid w:val="002C06BB"/>
    <w:rsid w:val="002C4295"/>
    <w:rsid w:val="002C4FD2"/>
    <w:rsid w:val="002C78ED"/>
    <w:rsid w:val="002D57BF"/>
    <w:rsid w:val="002E2418"/>
    <w:rsid w:val="002E522B"/>
    <w:rsid w:val="002E7446"/>
    <w:rsid w:val="00304D8B"/>
    <w:rsid w:val="00311B2A"/>
    <w:rsid w:val="00312872"/>
    <w:rsid w:val="00314420"/>
    <w:rsid w:val="00315F2D"/>
    <w:rsid w:val="003228EF"/>
    <w:rsid w:val="00326C5A"/>
    <w:rsid w:val="00331223"/>
    <w:rsid w:val="00332F4F"/>
    <w:rsid w:val="00346D1F"/>
    <w:rsid w:val="0035045E"/>
    <w:rsid w:val="003614AB"/>
    <w:rsid w:val="00362E4C"/>
    <w:rsid w:val="003740E6"/>
    <w:rsid w:val="0038655D"/>
    <w:rsid w:val="003A1FEF"/>
    <w:rsid w:val="003A4BA4"/>
    <w:rsid w:val="003A7855"/>
    <w:rsid w:val="003B720F"/>
    <w:rsid w:val="003D073A"/>
    <w:rsid w:val="003D0DC0"/>
    <w:rsid w:val="003D29A9"/>
    <w:rsid w:val="003D7ECB"/>
    <w:rsid w:val="003E71A8"/>
    <w:rsid w:val="003E7B07"/>
    <w:rsid w:val="003F78C2"/>
    <w:rsid w:val="003F7E4E"/>
    <w:rsid w:val="00414531"/>
    <w:rsid w:val="00416E90"/>
    <w:rsid w:val="004259B5"/>
    <w:rsid w:val="00435489"/>
    <w:rsid w:val="004375DB"/>
    <w:rsid w:val="0044242C"/>
    <w:rsid w:val="004434DD"/>
    <w:rsid w:val="00447FED"/>
    <w:rsid w:val="004513F3"/>
    <w:rsid w:val="004515AC"/>
    <w:rsid w:val="00451D16"/>
    <w:rsid w:val="00464926"/>
    <w:rsid w:val="004673D5"/>
    <w:rsid w:val="00476203"/>
    <w:rsid w:val="00486ABF"/>
    <w:rsid w:val="0049292E"/>
    <w:rsid w:val="004B02DC"/>
    <w:rsid w:val="004B3250"/>
    <w:rsid w:val="004B37DB"/>
    <w:rsid w:val="004B7082"/>
    <w:rsid w:val="004C21B8"/>
    <w:rsid w:val="004C23E4"/>
    <w:rsid w:val="004C29D6"/>
    <w:rsid w:val="004C5447"/>
    <w:rsid w:val="004D2268"/>
    <w:rsid w:val="004D5DB6"/>
    <w:rsid w:val="004E4A52"/>
    <w:rsid w:val="004F181F"/>
    <w:rsid w:val="00502E55"/>
    <w:rsid w:val="005151F8"/>
    <w:rsid w:val="00520654"/>
    <w:rsid w:val="00520DF8"/>
    <w:rsid w:val="00521EE5"/>
    <w:rsid w:val="00525978"/>
    <w:rsid w:val="005367D6"/>
    <w:rsid w:val="00541361"/>
    <w:rsid w:val="00544B71"/>
    <w:rsid w:val="00551F7A"/>
    <w:rsid w:val="00554771"/>
    <w:rsid w:val="00554FC6"/>
    <w:rsid w:val="00557B87"/>
    <w:rsid w:val="005601FA"/>
    <w:rsid w:val="0056561C"/>
    <w:rsid w:val="005744F7"/>
    <w:rsid w:val="005753D6"/>
    <w:rsid w:val="00580EFC"/>
    <w:rsid w:val="00585A68"/>
    <w:rsid w:val="00594DB8"/>
    <w:rsid w:val="00594E8A"/>
    <w:rsid w:val="005A2328"/>
    <w:rsid w:val="005A5C28"/>
    <w:rsid w:val="005B57A5"/>
    <w:rsid w:val="005C13A8"/>
    <w:rsid w:val="005D222D"/>
    <w:rsid w:val="005D22D2"/>
    <w:rsid w:val="005D2D25"/>
    <w:rsid w:val="005E0C4A"/>
    <w:rsid w:val="005E758F"/>
    <w:rsid w:val="005F5CAF"/>
    <w:rsid w:val="00602785"/>
    <w:rsid w:val="00604420"/>
    <w:rsid w:val="0060604E"/>
    <w:rsid w:val="0061151B"/>
    <w:rsid w:val="00614FC4"/>
    <w:rsid w:val="00632AC9"/>
    <w:rsid w:val="00646493"/>
    <w:rsid w:val="0065145A"/>
    <w:rsid w:val="0065238B"/>
    <w:rsid w:val="006703DB"/>
    <w:rsid w:val="00675C19"/>
    <w:rsid w:val="006A2995"/>
    <w:rsid w:val="006A32E7"/>
    <w:rsid w:val="006A3C0C"/>
    <w:rsid w:val="006A451F"/>
    <w:rsid w:val="006B039D"/>
    <w:rsid w:val="006B62EA"/>
    <w:rsid w:val="006C2367"/>
    <w:rsid w:val="006D143E"/>
    <w:rsid w:val="006D7CF3"/>
    <w:rsid w:val="006E2A3E"/>
    <w:rsid w:val="006E59F2"/>
    <w:rsid w:val="006F434F"/>
    <w:rsid w:val="0070668A"/>
    <w:rsid w:val="00711467"/>
    <w:rsid w:val="00716935"/>
    <w:rsid w:val="00717F3E"/>
    <w:rsid w:val="00722A23"/>
    <w:rsid w:val="00747117"/>
    <w:rsid w:val="0075178F"/>
    <w:rsid w:val="00752ED0"/>
    <w:rsid w:val="0075442C"/>
    <w:rsid w:val="007554FC"/>
    <w:rsid w:val="007575FD"/>
    <w:rsid w:val="00763C0A"/>
    <w:rsid w:val="00763F72"/>
    <w:rsid w:val="00764D22"/>
    <w:rsid w:val="00772CA9"/>
    <w:rsid w:val="00773CAA"/>
    <w:rsid w:val="00776607"/>
    <w:rsid w:val="00777AD6"/>
    <w:rsid w:val="007924DF"/>
    <w:rsid w:val="00792DB5"/>
    <w:rsid w:val="00797DDA"/>
    <w:rsid w:val="007A474D"/>
    <w:rsid w:val="007B3DB6"/>
    <w:rsid w:val="007C1151"/>
    <w:rsid w:val="007D5A10"/>
    <w:rsid w:val="007F159A"/>
    <w:rsid w:val="007F6FA7"/>
    <w:rsid w:val="00804CFC"/>
    <w:rsid w:val="00812D66"/>
    <w:rsid w:val="00814139"/>
    <w:rsid w:val="00815E3F"/>
    <w:rsid w:val="00827DDD"/>
    <w:rsid w:val="00832943"/>
    <w:rsid w:val="008421CA"/>
    <w:rsid w:val="008536E7"/>
    <w:rsid w:val="00854F17"/>
    <w:rsid w:val="00883F5C"/>
    <w:rsid w:val="00892459"/>
    <w:rsid w:val="00896725"/>
    <w:rsid w:val="008A2F5D"/>
    <w:rsid w:val="008A7E97"/>
    <w:rsid w:val="008D0059"/>
    <w:rsid w:val="008D27C4"/>
    <w:rsid w:val="008D3FC9"/>
    <w:rsid w:val="008D4FEF"/>
    <w:rsid w:val="008D5709"/>
    <w:rsid w:val="008E529F"/>
    <w:rsid w:val="00901836"/>
    <w:rsid w:val="00910537"/>
    <w:rsid w:val="0091208A"/>
    <w:rsid w:val="00916F99"/>
    <w:rsid w:val="009202A3"/>
    <w:rsid w:val="0092236A"/>
    <w:rsid w:val="00934177"/>
    <w:rsid w:val="00951E78"/>
    <w:rsid w:val="00956172"/>
    <w:rsid w:val="0096679B"/>
    <w:rsid w:val="00974556"/>
    <w:rsid w:val="00984FE1"/>
    <w:rsid w:val="00997AF6"/>
    <w:rsid w:val="009B672D"/>
    <w:rsid w:val="009C493E"/>
    <w:rsid w:val="009E3D7D"/>
    <w:rsid w:val="009F1B32"/>
    <w:rsid w:val="00A01A03"/>
    <w:rsid w:val="00A15D23"/>
    <w:rsid w:val="00A22879"/>
    <w:rsid w:val="00A34053"/>
    <w:rsid w:val="00A343A5"/>
    <w:rsid w:val="00A35E49"/>
    <w:rsid w:val="00A4103A"/>
    <w:rsid w:val="00A45C58"/>
    <w:rsid w:val="00A61C6B"/>
    <w:rsid w:val="00A62D7A"/>
    <w:rsid w:val="00A655F6"/>
    <w:rsid w:val="00A771A8"/>
    <w:rsid w:val="00A77B4A"/>
    <w:rsid w:val="00A8330A"/>
    <w:rsid w:val="00A9040D"/>
    <w:rsid w:val="00A92A00"/>
    <w:rsid w:val="00A958B9"/>
    <w:rsid w:val="00AA5FB5"/>
    <w:rsid w:val="00AB113B"/>
    <w:rsid w:val="00AD0395"/>
    <w:rsid w:val="00AD22CD"/>
    <w:rsid w:val="00AD24E7"/>
    <w:rsid w:val="00AD5234"/>
    <w:rsid w:val="00AF1832"/>
    <w:rsid w:val="00AF5066"/>
    <w:rsid w:val="00B00DB1"/>
    <w:rsid w:val="00B04376"/>
    <w:rsid w:val="00B12685"/>
    <w:rsid w:val="00B14AC0"/>
    <w:rsid w:val="00B14DD1"/>
    <w:rsid w:val="00B16885"/>
    <w:rsid w:val="00B22E77"/>
    <w:rsid w:val="00B23CBF"/>
    <w:rsid w:val="00B2483E"/>
    <w:rsid w:val="00B30298"/>
    <w:rsid w:val="00B32814"/>
    <w:rsid w:val="00B40A75"/>
    <w:rsid w:val="00B542BC"/>
    <w:rsid w:val="00B55216"/>
    <w:rsid w:val="00B575A6"/>
    <w:rsid w:val="00B7334E"/>
    <w:rsid w:val="00B82DBF"/>
    <w:rsid w:val="00B8589E"/>
    <w:rsid w:val="00B87D91"/>
    <w:rsid w:val="00B92B4E"/>
    <w:rsid w:val="00B96871"/>
    <w:rsid w:val="00BA0F09"/>
    <w:rsid w:val="00BA2B64"/>
    <w:rsid w:val="00BA2DEF"/>
    <w:rsid w:val="00BB1BFF"/>
    <w:rsid w:val="00BB20AA"/>
    <w:rsid w:val="00BB2F7B"/>
    <w:rsid w:val="00BC52B9"/>
    <w:rsid w:val="00BD083F"/>
    <w:rsid w:val="00BD2BBF"/>
    <w:rsid w:val="00BD3036"/>
    <w:rsid w:val="00BE2625"/>
    <w:rsid w:val="00BF4271"/>
    <w:rsid w:val="00BF4E65"/>
    <w:rsid w:val="00BF520B"/>
    <w:rsid w:val="00C0174F"/>
    <w:rsid w:val="00C11C2E"/>
    <w:rsid w:val="00C14F03"/>
    <w:rsid w:val="00C16A85"/>
    <w:rsid w:val="00C20BB7"/>
    <w:rsid w:val="00C247D1"/>
    <w:rsid w:val="00C25022"/>
    <w:rsid w:val="00C41922"/>
    <w:rsid w:val="00C46848"/>
    <w:rsid w:val="00C46A25"/>
    <w:rsid w:val="00C628EE"/>
    <w:rsid w:val="00C63C6E"/>
    <w:rsid w:val="00C70A1E"/>
    <w:rsid w:val="00C72649"/>
    <w:rsid w:val="00C773D9"/>
    <w:rsid w:val="00C802F4"/>
    <w:rsid w:val="00C813B5"/>
    <w:rsid w:val="00C8269A"/>
    <w:rsid w:val="00C847D3"/>
    <w:rsid w:val="00C86254"/>
    <w:rsid w:val="00C872DB"/>
    <w:rsid w:val="00C92A67"/>
    <w:rsid w:val="00CA7361"/>
    <w:rsid w:val="00CB2361"/>
    <w:rsid w:val="00CB36E5"/>
    <w:rsid w:val="00CB60BB"/>
    <w:rsid w:val="00CD29C6"/>
    <w:rsid w:val="00CD3DE0"/>
    <w:rsid w:val="00CD7055"/>
    <w:rsid w:val="00CE5C1F"/>
    <w:rsid w:val="00CF3114"/>
    <w:rsid w:val="00CF334C"/>
    <w:rsid w:val="00D01861"/>
    <w:rsid w:val="00D041E8"/>
    <w:rsid w:val="00D06220"/>
    <w:rsid w:val="00D10660"/>
    <w:rsid w:val="00D118F3"/>
    <w:rsid w:val="00D20783"/>
    <w:rsid w:val="00D307FB"/>
    <w:rsid w:val="00D34943"/>
    <w:rsid w:val="00D47401"/>
    <w:rsid w:val="00D5575A"/>
    <w:rsid w:val="00D6108E"/>
    <w:rsid w:val="00D65028"/>
    <w:rsid w:val="00D70C0A"/>
    <w:rsid w:val="00D81587"/>
    <w:rsid w:val="00D92C21"/>
    <w:rsid w:val="00DA3F6B"/>
    <w:rsid w:val="00DA7CC3"/>
    <w:rsid w:val="00DB6F4A"/>
    <w:rsid w:val="00DC0AFB"/>
    <w:rsid w:val="00DC10C6"/>
    <w:rsid w:val="00DC465B"/>
    <w:rsid w:val="00DD559E"/>
    <w:rsid w:val="00DE6320"/>
    <w:rsid w:val="00DE7D28"/>
    <w:rsid w:val="00DF293D"/>
    <w:rsid w:val="00E0157E"/>
    <w:rsid w:val="00E02910"/>
    <w:rsid w:val="00E03E0E"/>
    <w:rsid w:val="00E1715C"/>
    <w:rsid w:val="00E2156F"/>
    <w:rsid w:val="00E21635"/>
    <w:rsid w:val="00E43C6B"/>
    <w:rsid w:val="00E46D40"/>
    <w:rsid w:val="00E479C1"/>
    <w:rsid w:val="00E505D0"/>
    <w:rsid w:val="00E622B4"/>
    <w:rsid w:val="00E72CC3"/>
    <w:rsid w:val="00E76A6C"/>
    <w:rsid w:val="00E82CB9"/>
    <w:rsid w:val="00E871B7"/>
    <w:rsid w:val="00E93F63"/>
    <w:rsid w:val="00EA27B5"/>
    <w:rsid w:val="00EA6A14"/>
    <w:rsid w:val="00EC063F"/>
    <w:rsid w:val="00EC0AA0"/>
    <w:rsid w:val="00EC1B92"/>
    <w:rsid w:val="00ED07B9"/>
    <w:rsid w:val="00ED15F0"/>
    <w:rsid w:val="00ED26B7"/>
    <w:rsid w:val="00ED51AB"/>
    <w:rsid w:val="00ED5FC0"/>
    <w:rsid w:val="00EE50C1"/>
    <w:rsid w:val="00EE5A42"/>
    <w:rsid w:val="00EF0366"/>
    <w:rsid w:val="00EF1ECA"/>
    <w:rsid w:val="00EF555A"/>
    <w:rsid w:val="00EF5FB1"/>
    <w:rsid w:val="00EF7814"/>
    <w:rsid w:val="00F0317D"/>
    <w:rsid w:val="00F124F5"/>
    <w:rsid w:val="00F14D1A"/>
    <w:rsid w:val="00F25BBC"/>
    <w:rsid w:val="00F2627E"/>
    <w:rsid w:val="00F2636E"/>
    <w:rsid w:val="00F30947"/>
    <w:rsid w:val="00F42DA6"/>
    <w:rsid w:val="00F433EA"/>
    <w:rsid w:val="00F444A4"/>
    <w:rsid w:val="00F503C6"/>
    <w:rsid w:val="00F50C49"/>
    <w:rsid w:val="00F52AF7"/>
    <w:rsid w:val="00F538D1"/>
    <w:rsid w:val="00F64976"/>
    <w:rsid w:val="00F649C2"/>
    <w:rsid w:val="00F725BF"/>
    <w:rsid w:val="00F75A2E"/>
    <w:rsid w:val="00F75F0F"/>
    <w:rsid w:val="00F812A2"/>
    <w:rsid w:val="00F83E3C"/>
    <w:rsid w:val="00F855DB"/>
    <w:rsid w:val="00F953A3"/>
    <w:rsid w:val="00F95FD0"/>
    <w:rsid w:val="00FB5313"/>
    <w:rsid w:val="00FC27C1"/>
    <w:rsid w:val="00FD351D"/>
    <w:rsid w:val="00FD4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19F436-3E6A-4AC2-9087-3EE3129D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1B8"/>
    <w:rPr>
      <w:sz w:val="24"/>
      <w:szCs w:val="24"/>
    </w:rPr>
  </w:style>
  <w:style w:type="paragraph" w:styleId="Heading2">
    <w:name w:val="heading 2"/>
    <w:basedOn w:val="Normal"/>
    <w:next w:val="Normal"/>
    <w:link w:val="Heading2Char"/>
    <w:unhideWhenUsed/>
    <w:qFormat/>
    <w:rsid w:val="002B426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36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F725BF"/>
    <w:rPr>
      <w:rFonts w:ascii="Tahoma" w:hAnsi="Tahoma" w:cs="Tahoma"/>
      <w:sz w:val="16"/>
      <w:szCs w:val="16"/>
    </w:rPr>
  </w:style>
  <w:style w:type="paragraph" w:styleId="NormalWeb">
    <w:name w:val="Normal (Web)"/>
    <w:basedOn w:val="Normal"/>
    <w:uiPriority w:val="99"/>
    <w:rsid w:val="00142E5A"/>
    <w:pPr>
      <w:ind w:firstLine="567"/>
      <w:jc w:val="both"/>
    </w:pPr>
  </w:style>
  <w:style w:type="paragraph" w:customStyle="1" w:styleId="tt">
    <w:name w:val="tt"/>
    <w:basedOn w:val="Normal"/>
    <w:rsid w:val="00DE6320"/>
    <w:pPr>
      <w:jc w:val="center"/>
    </w:pPr>
    <w:rPr>
      <w:b/>
      <w:bCs/>
    </w:rPr>
  </w:style>
  <w:style w:type="paragraph" w:customStyle="1" w:styleId="Default">
    <w:name w:val="Default"/>
    <w:rsid w:val="00675C19"/>
    <w:pPr>
      <w:autoSpaceDE w:val="0"/>
      <w:autoSpaceDN w:val="0"/>
      <w:adjustRightInd w:val="0"/>
    </w:pPr>
    <w:rPr>
      <w:color w:val="000000"/>
      <w:sz w:val="24"/>
      <w:szCs w:val="24"/>
    </w:rPr>
  </w:style>
  <w:style w:type="character" w:customStyle="1" w:styleId="HTMLPreformattedChar">
    <w:name w:val="HTML Preformatted Char"/>
    <w:link w:val="HTMLPreformatted"/>
    <w:uiPriority w:val="99"/>
    <w:rsid w:val="000668E1"/>
    <w:rPr>
      <w:rFonts w:ascii="Courier New" w:hAnsi="Courier New" w:cs="Courier New"/>
    </w:rPr>
  </w:style>
  <w:style w:type="paragraph" w:styleId="ListParagraph">
    <w:name w:val="List Paragraph"/>
    <w:basedOn w:val="Normal"/>
    <w:link w:val="ListParagraphChar"/>
    <w:uiPriority w:val="34"/>
    <w:qFormat/>
    <w:rsid w:val="00F538D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n">
    <w:name w:val="cn"/>
    <w:basedOn w:val="Normal"/>
    <w:rsid w:val="00AD0395"/>
    <w:pPr>
      <w:jc w:val="center"/>
    </w:pPr>
  </w:style>
  <w:style w:type="paragraph" w:customStyle="1" w:styleId="cp">
    <w:name w:val="cp"/>
    <w:basedOn w:val="Normal"/>
    <w:rsid w:val="007F159A"/>
    <w:pPr>
      <w:jc w:val="center"/>
    </w:pPr>
    <w:rPr>
      <w:b/>
      <w:bCs/>
    </w:rPr>
  </w:style>
  <w:style w:type="paragraph" w:customStyle="1" w:styleId="rg">
    <w:name w:val="rg"/>
    <w:basedOn w:val="Normal"/>
    <w:rsid w:val="007F159A"/>
    <w:pPr>
      <w:jc w:val="right"/>
    </w:pPr>
  </w:style>
  <w:style w:type="character" w:customStyle="1" w:styleId="Heading2Char">
    <w:name w:val="Heading 2 Char"/>
    <w:basedOn w:val="DefaultParagraphFont"/>
    <w:link w:val="Heading2"/>
    <w:rsid w:val="002B4267"/>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4B7082"/>
    <w:rPr>
      <w:color w:val="0000FF" w:themeColor="hyperlink"/>
      <w:u w:val="single"/>
    </w:rPr>
  </w:style>
  <w:style w:type="character" w:customStyle="1" w:styleId="ListParagraphChar">
    <w:name w:val="List Paragraph Char"/>
    <w:link w:val="ListParagraph"/>
    <w:uiPriority w:val="34"/>
    <w:locked/>
    <w:rsid w:val="00EF1EC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78735">
      <w:bodyDiv w:val="1"/>
      <w:marLeft w:val="0"/>
      <w:marRight w:val="0"/>
      <w:marTop w:val="0"/>
      <w:marBottom w:val="0"/>
      <w:divBdr>
        <w:top w:val="none" w:sz="0" w:space="0" w:color="auto"/>
        <w:left w:val="none" w:sz="0" w:space="0" w:color="auto"/>
        <w:bottom w:val="none" w:sz="0" w:space="0" w:color="auto"/>
        <w:right w:val="none" w:sz="0" w:space="0" w:color="auto"/>
      </w:divBdr>
    </w:div>
    <w:div w:id="459541799">
      <w:bodyDiv w:val="1"/>
      <w:marLeft w:val="0"/>
      <w:marRight w:val="0"/>
      <w:marTop w:val="0"/>
      <w:marBottom w:val="0"/>
      <w:divBdr>
        <w:top w:val="none" w:sz="0" w:space="0" w:color="auto"/>
        <w:left w:val="none" w:sz="0" w:space="0" w:color="auto"/>
        <w:bottom w:val="none" w:sz="0" w:space="0" w:color="auto"/>
        <w:right w:val="none" w:sz="0" w:space="0" w:color="auto"/>
      </w:divBdr>
    </w:div>
    <w:div w:id="473568963">
      <w:bodyDiv w:val="1"/>
      <w:marLeft w:val="0"/>
      <w:marRight w:val="0"/>
      <w:marTop w:val="0"/>
      <w:marBottom w:val="0"/>
      <w:divBdr>
        <w:top w:val="none" w:sz="0" w:space="0" w:color="auto"/>
        <w:left w:val="none" w:sz="0" w:space="0" w:color="auto"/>
        <w:bottom w:val="none" w:sz="0" w:space="0" w:color="auto"/>
        <w:right w:val="none" w:sz="0" w:space="0" w:color="auto"/>
      </w:divBdr>
    </w:div>
    <w:div w:id="1001203905">
      <w:bodyDiv w:val="1"/>
      <w:marLeft w:val="0"/>
      <w:marRight w:val="0"/>
      <w:marTop w:val="0"/>
      <w:marBottom w:val="0"/>
      <w:divBdr>
        <w:top w:val="none" w:sz="0" w:space="0" w:color="auto"/>
        <w:left w:val="none" w:sz="0" w:space="0" w:color="auto"/>
        <w:bottom w:val="none" w:sz="0" w:space="0" w:color="auto"/>
        <w:right w:val="none" w:sz="0" w:space="0" w:color="auto"/>
      </w:divBdr>
    </w:div>
    <w:div w:id="1272467702">
      <w:bodyDiv w:val="1"/>
      <w:marLeft w:val="0"/>
      <w:marRight w:val="0"/>
      <w:marTop w:val="0"/>
      <w:marBottom w:val="0"/>
      <w:divBdr>
        <w:top w:val="none" w:sz="0" w:space="0" w:color="auto"/>
        <w:left w:val="none" w:sz="0" w:space="0" w:color="auto"/>
        <w:bottom w:val="none" w:sz="0" w:space="0" w:color="auto"/>
        <w:right w:val="none" w:sz="0" w:space="0" w:color="auto"/>
      </w:divBdr>
    </w:div>
    <w:div w:id="1888255765">
      <w:bodyDiv w:val="1"/>
      <w:marLeft w:val="0"/>
      <w:marRight w:val="0"/>
      <w:marTop w:val="0"/>
      <w:marBottom w:val="0"/>
      <w:divBdr>
        <w:top w:val="none" w:sz="0" w:space="0" w:color="auto"/>
        <w:left w:val="none" w:sz="0" w:space="0" w:color="auto"/>
        <w:bottom w:val="none" w:sz="0" w:space="0" w:color="auto"/>
        <w:right w:val="none" w:sz="0" w:space="0" w:color="auto"/>
      </w:divBdr>
    </w:div>
    <w:div w:id="19013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rticip.gov.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00B74-95A9-4EA8-8BB7-892F265B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Nota informativă</vt:lpstr>
    </vt:vector>
  </TitlesOfParts>
  <Company>AGEPI</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informativă</dc:title>
  <dc:creator>corina</dc:creator>
  <cp:lastModifiedBy>Morari Daniela</cp:lastModifiedBy>
  <cp:revision>2</cp:revision>
  <cp:lastPrinted>2019-02-14T12:17:00Z</cp:lastPrinted>
  <dcterms:created xsi:type="dcterms:W3CDTF">2020-10-23T15:54:00Z</dcterms:created>
  <dcterms:modified xsi:type="dcterms:W3CDTF">2020-10-23T15:54:00Z</dcterms:modified>
</cp:coreProperties>
</file>