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9F7" w:rsidRPr="002359F7" w:rsidRDefault="002359F7" w:rsidP="002359F7">
      <w:pPr>
        <w:spacing w:after="200" w:line="276" w:lineRule="auto"/>
        <w:rPr>
          <w:rFonts w:ascii="Times New Roman" w:eastAsia="Calibri" w:hAnsi="Times New Roman" w:cs="Times New Roman"/>
        </w:rPr>
      </w:pPr>
      <w:bookmarkStart w:id="0" w:name="_GoBack"/>
      <w:bookmarkEnd w:id="0"/>
    </w:p>
    <w:p w:rsidR="002359F7" w:rsidRPr="002359F7" w:rsidRDefault="002359F7" w:rsidP="002359F7">
      <w:pPr>
        <w:spacing w:after="200" w:line="276" w:lineRule="auto"/>
        <w:jc w:val="right"/>
        <w:rPr>
          <w:rFonts w:ascii="Times New Roman" w:eastAsia="Calibri" w:hAnsi="Times New Roman" w:cs="Times New Roman"/>
          <w:sz w:val="24"/>
          <w:szCs w:val="24"/>
        </w:rPr>
      </w:pPr>
      <w:r w:rsidRPr="002359F7">
        <w:rPr>
          <w:rFonts w:ascii="Times New Roman" w:eastAsia="Calibri" w:hAnsi="Times New Roman" w:cs="Times New Roman"/>
          <w:sz w:val="24"/>
          <w:szCs w:val="24"/>
        </w:rPr>
        <w:t>Proiect</w:t>
      </w:r>
    </w:p>
    <w:p w:rsidR="002359F7" w:rsidRPr="002359F7" w:rsidRDefault="002359F7" w:rsidP="002359F7">
      <w:pPr>
        <w:jc w:val="center"/>
        <w:rPr>
          <w:rFonts w:ascii="Times New Roman" w:eastAsia="Calibri" w:hAnsi="Times New Roman" w:cs="Times New Roman"/>
          <w:b/>
          <w:sz w:val="26"/>
          <w:szCs w:val="26"/>
        </w:rPr>
      </w:pPr>
      <w:r w:rsidRPr="002359F7">
        <w:rPr>
          <w:rFonts w:ascii="Times New Roman" w:eastAsia="Calibri" w:hAnsi="Times New Roman" w:cs="Times New Roman"/>
          <w:b/>
          <w:sz w:val="26"/>
          <w:szCs w:val="26"/>
        </w:rPr>
        <w:t>PARLAMENTUL REPUBLICII MOLDOVA</w:t>
      </w:r>
    </w:p>
    <w:p w:rsidR="002359F7" w:rsidRPr="002359F7" w:rsidRDefault="002359F7" w:rsidP="002359F7">
      <w:pPr>
        <w:jc w:val="center"/>
        <w:rPr>
          <w:rFonts w:ascii="Times New Roman" w:eastAsia="Calibri" w:hAnsi="Times New Roman" w:cs="Times New Roman"/>
          <w:b/>
          <w:sz w:val="26"/>
          <w:szCs w:val="26"/>
        </w:rPr>
      </w:pPr>
      <w:r w:rsidRPr="002359F7">
        <w:rPr>
          <w:rFonts w:ascii="Times New Roman" w:eastAsia="Calibri" w:hAnsi="Times New Roman" w:cs="Times New Roman"/>
          <w:b/>
          <w:sz w:val="26"/>
          <w:szCs w:val="26"/>
        </w:rPr>
        <w:t>LEGE</w:t>
      </w:r>
    </w:p>
    <w:p w:rsidR="002359F7" w:rsidRPr="002359F7" w:rsidRDefault="002359F7" w:rsidP="002359F7">
      <w:pPr>
        <w:jc w:val="center"/>
        <w:rPr>
          <w:rFonts w:ascii="Times New Roman" w:eastAsia="Calibri" w:hAnsi="Times New Roman" w:cs="Times New Roman"/>
          <w:b/>
          <w:sz w:val="26"/>
          <w:szCs w:val="26"/>
        </w:rPr>
      </w:pPr>
      <w:r w:rsidRPr="002359F7">
        <w:rPr>
          <w:rFonts w:ascii="Times New Roman" w:eastAsia="Calibri" w:hAnsi="Times New Roman" w:cs="Times New Roman"/>
          <w:b/>
          <w:sz w:val="26"/>
          <w:szCs w:val="26"/>
        </w:rPr>
        <w:t>nr._______ din ________________2020</w:t>
      </w:r>
    </w:p>
    <w:p w:rsidR="002359F7" w:rsidRPr="002359F7" w:rsidRDefault="002359F7" w:rsidP="002359F7">
      <w:pPr>
        <w:spacing w:after="0"/>
        <w:jc w:val="center"/>
        <w:rPr>
          <w:rFonts w:ascii="Times New Roman" w:eastAsia="Calibri" w:hAnsi="Times New Roman" w:cs="Times New Roman"/>
          <w:b/>
          <w:sz w:val="26"/>
          <w:szCs w:val="26"/>
        </w:rPr>
      </w:pPr>
      <w:r w:rsidRPr="002359F7">
        <w:rPr>
          <w:rFonts w:ascii="Times New Roman" w:eastAsia="Calibri" w:hAnsi="Times New Roman" w:cs="Times New Roman"/>
          <w:b/>
          <w:sz w:val="26"/>
          <w:szCs w:val="26"/>
        </w:rPr>
        <w:t xml:space="preserve">pentru modificarea Legii nr.77/2016 </w:t>
      </w:r>
    </w:p>
    <w:p w:rsidR="002359F7" w:rsidRPr="002359F7" w:rsidRDefault="002359F7" w:rsidP="002359F7">
      <w:pPr>
        <w:jc w:val="center"/>
        <w:rPr>
          <w:rFonts w:ascii="Times New Roman" w:eastAsia="Calibri" w:hAnsi="Times New Roman" w:cs="Times New Roman"/>
          <w:sz w:val="26"/>
          <w:szCs w:val="26"/>
        </w:rPr>
      </w:pPr>
      <w:r w:rsidRPr="002359F7">
        <w:rPr>
          <w:rFonts w:ascii="Times New Roman" w:eastAsia="Calibri" w:hAnsi="Times New Roman" w:cs="Times New Roman"/>
          <w:b/>
          <w:sz w:val="26"/>
          <w:szCs w:val="26"/>
        </w:rPr>
        <w:t>cu privire la parcurile pentru tehnologia informației</w:t>
      </w:r>
    </w:p>
    <w:p w:rsidR="002359F7" w:rsidRPr="002359F7" w:rsidRDefault="002359F7" w:rsidP="002359F7">
      <w:pPr>
        <w:rPr>
          <w:rFonts w:ascii="Times New Roman" w:eastAsia="Calibri" w:hAnsi="Times New Roman" w:cs="Times New Roman"/>
          <w:sz w:val="26"/>
          <w:szCs w:val="26"/>
        </w:rPr>
      </w:pPr>
      <w:r w:rsidRPr="002359F7">
        <w:rPr>
          <w:rFonts w:ascii="Times New Roman" w:eastAsia="Calibri" w:hAnsi="Times New Roman" w:cs="Times New Roman"/>
          <w:sz w:val="26"/>
          <w:szCs w:val="26"/>
        </w:rPr>
        <w:t>Parlamentul adoptă prezenta lege organică.</w:t>
      </w:r>
    </w:p>
    <w:p w:rsidR="002359F7" w:rsidRPr="002359F7" w:rsidRDefault="002359F7" w:rsidP="002359F7">
      <w:pPr>
        <w:jc w:val="both"/>
        <w:rPr>
          <w:rFonts w:ascii="Times New Roman" w:eastAsia="Calibri" w:hAnsi="Times New Roman" w:cs="Times New Roman"/>
          <w:sz w:val="26"/>
          <w:szCs w:val="26"/>
        </w:rPr>
      </w:pPr>
      <w:r w:rsidRPr="002359F7">
        <w:rPr>
          <w:rFonts w:ascii="Times New Roman" w:eastAsia="Calibri" w:hAnsi="Times New Roman" w:cs="Times New Roman"/>
          <w:b/>
          <w:sz w:val="26"/>
          <w:szCs w:val="26"/>
        </w:rPr>
        <w:t>Articolul I.</w:t>
      </w:r>
      <w:r w:rsidRPr="002359F7">
        <w:rPr>
          <w:rFonts w:ascii="Times New Roman" w:eastAsia="Calibri" w:hAnsi="Times New Roman" w:cs="Times New Roman"/>
          <w:sz w:val="26"/>
          <w:szCs w:val="26"/>
        </w:rPr>
        <w:t xml:space="preserve"> </w:t>
      </w:r>
      <w:r w:rsidRPr="002359F7">
        <w:rPr>
          <w:rFonts w:ascii="Times New Roman" w:eastAsia="Calibri" w:hAnsi="Times New Roman" w:cs="Times New Roman"/>
          <w:b/>
          <w:sz w:val="26"/>
          <w:szCs w:val="26"/>
        </w:rPr>
        <w:t>-</w:t>
      </w:r>
      <w:r w:rsidRPr="002359F7">
        <w:rPr>
          <w:rFonts w:ascii="Times New Roman" w:eastAsia="Calibri" w:hAnsi="Times New Roman" w:cs="Times New Roman"/>
          <w:sz w:val="26"/>
          <w:szCs w:val="26"/>
        </w:rPr>
        <w:t xml:space="preserve"> Legea nr.77/2016 cu privire la parcurile pentru tehnologia informației (Monitorul Oficial al Republicii Moldova, </w:t>
      </w:r>
      <w:r w:rsidRPr="002359F7">
        <w:rPr>
          <w:rFonts w:ascii="Times New Roman" w:eastAsia="Times New Roman" w:hAnsi="Times New Roman" w:cs="Times New Roman"/>
          <w:sz w:val="26"/>
          <w:szCs w:val="26"/>
          <w:lang w:val="en-US" w:eastAsia="ru-RU"/>
        </w:rPr>
        <w:t xml:space="preserve">2016, nr.157-162, art.318), cu </w:t>
      </w:r>
      <w:r w:rsidRPr="002359F7">
        <w:rPr>
          <w:rFonts w:ascii="Times New Roman" w:eastAsia="Times New Roman" w:hAnsi="Times New Roman" w:cs="Times New Roman"/>
          <w:sz w:val="26"/>
          <w:szCs w:val="26"/>
          <w:lang w:eastAsia="ru-RU"/>
        </w:rPr>
        <w:t>modificările ulterioare, se modifică după cum urmează:</w:t>
      </w:r>
    </w:p>
    <w:p w:rsidR="002359F7" w:rsidRPr="002359F7" w:rsidRDefault="002359F7" w:rsidP="002359F7">
      <w:pPr>
        <w:numPr>
          <w:ilvl w:val="0"/>
          <w:numId w:val="1"/>
        </w:numPr>
        <w:spacing w:after="240"/>
        <w:contextualSpacing/>
        <w:jc w:val="both"/>
        <w:rPr>
          <w:rFonts w:ascii="Times New Roman" w:eastAsia="Calibri" w:hAnsi="Times New Roman" w:cs="Times New Roman"/>
          <w:sz w:val="26"/>
          <w:szCs w:val="26"/>
        </w:rPr>
      </w:pPr>
      <w:r w:rsidRPr="002359F7">
        <w:rPr>
          <w:rFonts w:ascii="Times New Roman" w:eastAsia="Calibri" w:hAnsi="Times New Roman" w:cs="Times New Roman"/>
          <w:sz w:val="26"/>
          <w:szCs w:val="26"/>
        </w:rPr>
        <w:t xml:space="preserve">La articolul 6, alineatul (3) prima propoziție se substituie prin următorul text: „Sursele de venit ale </w:t>
      </w:r>
      <w:r w:rsidR="004C3B5C" w:rsidRPr="002359F7">
        <w:rPr>
          <w:rFonts w:ascii="Times New Roman" w:eastAsia="Calibri" w:hAnsi="Times New Roman" w:cs="Times New Roman"/>
          <w:sz w:val="26"/>
          <w:szCs w:val="26"/>
        </w:rPr>
        <w:t>Administrației</w:t>
      </w:r>
      <w:r w:rsidRPr="002359F7">
        <w:rPr>
          <w:rFonts w:ascii="Times New Roman" w:eastAsia="Calibri" w:hAnsi="Times New Roman" w:cs="Times New Roman"/>
          <w:sz w:val="26"/>
          <w:szCs w:val="26"/>
        </w:rPr>
        <w:t xml:space="preserve"> parcului se constituie din cotizațiile obligatorii ale rezidenților parcului, precum și alte venituri legale. Mărimea cotizațiilor obligatorii ale rezidenților parcului este stabilită de Administrație în conformitate cu regulamentul acesteia, în funcție de numărul rezidenților parcului și venitul din vînzări al acestora.”</w:t>
      </w:r>
    </w:p>
    <w:p w:rsidR="002359F7" w:rsidRPr="002359F7" w:rsidRDefault="002359F7" w:rsidP="002359F7">
      <w:pPr>
        <w:numPr>
          <w:ilvl w:val="0"/>
          <w:numId w:val="1"/>
        </w:numPr>
        <w:spacing w:after="240"/>
        <w:contextualSpacing/>
        <w:jc w:val="both"/>
        <w:rPr>
          <w:rFonts w:ascii="Times New Roman" w:eastAsia="Calibri" w:hAnsi="Times New Roman" w:cs="Times New Roman"/>
          <w:sz w:val="26"/>
          <w:szCs w:val="26"/>
        </w:rPr>
      </w:pPr>
      <w:r w:rsidRPr="002359F7">
        <w:rPr>
          <w:rFonts w:ascii="Times New Roman" w:eastAsia="Calibri" w:hAnsi="Times New Roman" w:cs="Times New Roman"/>
          <w:sz w:val="26"/>
          <w:szCs w:val="26"/>
        </w:rPr>
        <w:t xml:space="preserve">Articolul 8 se completează cu litera o), cu următorul conținut: </w:t>
      </w:r>
    </w:p>
    <w:p w:rsidR="002359F7" w:rsidRPr="002359F7" w:rsidRDefault="002359F7" w:rsidP="002359F7">
      <w:pPr>
        <w:spacing w:after="240"/>
        <w:ind w:left="720"/>
        <w:contextualSpacing/>
        <w:jc w:val="both"/>
        <w:rPr>
          <w:rFonts w:ascii="Times New Roman" w:eastAsia="Calibri" w:hAnsi="Times New Roman" w:cs="Times New Roman"/>
          <w:sz w:val="26"/>
          <w:szCs w:val="26"/>
        </w:rPr>
      </w:pPr>
      <w:r w:rsidRPr="002359F7">
        <w:rPr>
          <w:rFonts w:ascii="Times New Roman" w:eastAsia="Calibri" w:hAnsi="Times New Roman" w:cs="Times New Roman"/>
          <w:sz w:val="26"/>
          <w:szCs w:val="26"/>
        </w:rPr>
        <w:t>„Litera o) Servicii ale centrelor de intermediere telefonică (call centre), limitate la  export (82.20).”</w:t>
      </w:r>
    </w:p>
    <w:p w:rsidR="002359F7" w:rsidRPr="002359F7" w:rsidRDefault="002359F7" w:rsidP="002359F7">
      <w:pPr>
        <w:numPr>
          <w:ilvl w:val="0"/>
          <w:numId w:val="1"/>
        </w:numPr>
        <w:spacing w:after="0"/>
        <w:contextualSpacing/>
        <w:jc w:val="both"/>
        <w:rPr>
          <w:rFonts w:ascii="Times New Roman" w:eastAsia="Calibri" w:hAnsi="Times New Roman" w:cs="Times New Roman"/>
          <w:sz w:val="26"/>
          <w:szCs w:val="26"/>
        </w:rPr>
      </w:pPr>
      <w:r w:rsidRPr="002359F7">
        <w:rPr>
          <w:rFonts w:ascii="Times New Roman" w:eastAsia="Calibri" w:hAnsi="Times New Roman" w:cs="Times New Roman"/>
          <w:sz w:val="26"/>
          <w:szCs w:val="26"/>
        </w:rPr>
        <w:t>Articolul 15 alineatul (1), litera c) se substituie textul „fondurile de risc, create cu implicarea Guvernului” cu textul „Fondul de susținere a inovațiilor digitale și startup-urilor tehnologice, care funcționează în baza Regulamentului aprobat de Guvern”</w:t>
      </w:r>
    </w:p>
    <w:p w:rsidR="002359F7" w:rsidRPr="002359F7" w:rsidRDefault="002359F7" w:rsidP="002359F7">
      <w:pPr>
        <w:numPr>
          <w:ilvl w:val="0"/>
          <w:numId w:val="1"/>
        </w:numPr>
        <w:spacing w:after="240"/>
        <w:contextualSpacing/>
        <w:jc w:val="both"/>
        <w:rPr>
          <w:rFonts w:ascii="Times New Roman" w:eastAsia="Calibri" w:hAnsi="Times New Roman" w:cs="Times New Roman"/>
          <w:sz w:val="28"/>
          <w:szCs w:val="28"/>
        </w:rPr>
      </w:pPr>
      <w:r w:rsidRPr="002359F7">
        <w:rPr>
          <w:rFonts w:ascii="Times New Roman" w:eastAsia="Times New Roman" w:hAnsi="Times New Roman" w:cs="Times New Roman"/>
          <w:sz w:val="26"/>
          <w:szCs w:val="26"/>
          <w:lang w:eastAsia="ro-RO"/>
        </w:rPr>
        <w:t>La articolul 16 alineatul (1)</w:t>
      </w:r>
      <w:r w:rsidRPr="002359F7">
        <w:rPr>
          <w:rFonts w:ascii="Times New Roman" w:eastAsia="Times New Roman" w:hAnsi="Times New Roman" w:cs="Times New Roman"/>
          <w:b/>
          <w:sz w:val="26"/>
          <w:szCs w:val="26"/>
          <w:lang w:eastAsia="ro-RO"/>
        </w:rPr>
        <w:t xml:space="preserve"> </w:t>
      </w:r>
      <w:r w:rsidRPr="002359F7">
        <w:rPr>
          <w:rFonts w:ascii="Times New Roman" w:eastAsia="Times New Roman" w:hAnsi="Times New Roman" w:cs="Times New Roman"/>
          <w:sz w:val="26"/>
          <w:szCs w:val="26"/>
          <w:lang w:eastAsia="ro-RO"/>
        </w:rPr>
        <w:t>cifra „60%” se substituie cu cifra „85%”.</w:t>
      </w:r>
    </w:p>
    <w:p w:rsidR="00CE0DB2" w:rsidRDefault="00CE0DB2" w:rsidP="002359F7">
      <w:pPr>
        <w:numPr>
          <w:ilvl w:val="0"/>
          <w:numId w:val="1"/>
        </w:numPr>
        <w:spacing w:after="240"/>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La articolul 19,</w:t>
      </w:r>
      <w:r w:rsidR="00504262" w:rsidRPr="00504262">
        <w:rPr>
          <w:rFonts w:ascii="Times New Roman" w:eastAsia="Calibri" w:hAnsi="Times New Roman" w:cs="Times New Roman"/>
          <w:sz w:val="26"/>
          <w:szCs w:val="26"/>
        </w:rPr>
        <w:t xml:space="preserve"> </w:t>
      </w:r>
      <w:r w:rsidR="00504262" w:rsidRPr="002359F7">
        <w:rPr>
          <w:rFonts w:ascii="Times New Roman" w:eastAsia="Calibri" w:hAnsi="Times New Roman" w:cs="Times New Roman"/>
          <w:sz w:val="26"/>
          <w:szCs w:val="26"/>
        </w:rPr>
        <w:t>alineatul (1)</w:t>
      </w:r>
    </w:p>
    <w:p w:rsidR="002359F7" w:rsidRPr="002359F7" w:rsidRDefault="002359F7" w:rsidP="00CE0DB2">
      <w:pPr>
        <w:spacing w:after="240"/>
        <w:ind w:left="720"/>
        <w:contextualSpacing/>
        <w:jc w:val="both"/>
        <w:rPr>
          <w:rFonts w:ascii="Times New Roman" w:eastAsia="Calibri" w:hAnsi="Times New Roman" w:cs="Times New Roman"/>
          <w:sz w:val="26"/>
          <w:szCs w:val="26"/>
        </w:rPr>
      </w:pPr>
      <w:r w:rsidRPr="002359F7">
        <w:rPr>
          <w:rFonts w:ascii="Times New Roman" w:eastAsia="Calibri" w:hAnsi="Times New Roman" w:cs="Times New Roman"/>
          <w:sz w:val="26"/>
          <w:szCs w:val="26"/>
        </w:rPr>
        <w:t>cuvîntul „rezilierea” se substituie cu cuvîntul „rezoluțiunea”.</w:t>
      </w:r>
    </w:p>
    <w:p w:rsidR="002359F7" w:rsidRPr="002359F7" w:rsidRDefault="002359F7" w:rsidP="002359F7">
      <w:pPr>
        <w:spacing w:after="0"/>
        <w:ind w:left="720"/>
        <w:jc w:val="both"/>
        <w:rPr>
          <w:rFonts w:ascii="Times New Roman" w:eastAsia="Calibri" w:hAnsi="Times New Roman" w:cs="Times New Roman"/>
          <w:sz w:val="26"/>
          <w:szCs w:val="26"/>
        </w:rPr>
      </w:pPr>
      <w:r w:rsidRPr="002359F7">
        <w:rPr>
          <w:rFonts w:ascii="Times New Roman" w:eastAsia="Calibri" w:hAnsi="Times New Roman" w:cs="Times New Roman"/>
          <w:sz w:val="26"/>
          <w:szCs w:val="26"/>
        </w:rPr>
        <w:t>litera a) sintagma „3 luni” se substituie cu sintagma „30 zile calendaristice”.</w:t>
      </w:r>
    </w:p>
    <w:p w:rsidR="002359F7" w:rsidRPr="002359F7" w:rsidRDefault="002359F7" w:rsidP="002359F7">
      <w:pPr>
        <w:spacing w:after="0"/>
        <w:ind w:left="720"/>
        <w:jc w:val="both"/>
        <w:rPr>
          <w:rFonts w:ascii="Times New Roman" w:eastAsia="Calibri" w:hAnsi="Times New Roman" w:cs="Times New Roman"/>
          <w:sz w:val="26"/>
          <w:szCs w:val="26"/>
        </w:rPr>
      </w:pPr>
      <w:r w:rsidRPr="002359F7">
        <w:rPr>
          <w:rFonts w:ascii="Times New Roman" w:eastAsia="Calibri" w:hAnsi="Times New Roman" w:cs="Times New Roman"/>
          <w:sz w:val="26"/>
          <w:szCs w:val="26"/>
        </w:rPr>
        <w:t>litera b) sintagma „3 luni” se substituie cu sintagma „30 zile calendaristice”.</w:t>
      </w:r>
    </w:p>
    <w:p w:rsidR="002359F7" w:rsidRPr="002359F7" w:rsidRDefault="002359F7" w:rsidP="002359F7">
      <w:pPr>
        <w:spacing w:after="0"/>
        <w:ind w:firstLine="720"/>
        <w:jc w:val="both"/>
        <w:rPr>
          <w:rFonts w:ascii="Times New Roman" w:eastAsia="Calibri" w:hAnsi="Times New Roman" w:cs="Times New Roman"/>
          <w:sz w:val="26"/>
          <w:szCs w:val="26"/>
        </w:rPr>
      </w:pPr>
      <w:r w:rsidRPr="002359F7">
        <w:rPr>
          <w:rFonts w:ascii="Times New Roman" w:eastAsia="Calibri" w:hAnsi="Times New Roman" w:cs="Times New Roman"/>
          <w:sz w:val="26"/>
          <w:szCs w:val="26"/>
        </w:rPr>
        <w:t>se completează cu litera e) cu următorul conținut:</w:t>
      </w:r>
    </w:p>
    <w:p w:rsidR="002359F7" w:rsidRPr="002359F7" w:rsidRDefault="002359F7" w:rsidP="002359F7">
      <w:pPr>
        <w:spacing w:after="0"/>
        <w:ind w:left="720"/>
        <w:jc w:val="both"/>
        <w:rPr>
          <w:rFonts w:ascii="Times New Roman" w:eastAsia="Calibri" w:hAnsi="Times New Roman" w:cs="Times New Roman"/>
          <w:sz w:val="26"/>
          <w:szCs w:val="26"/>
        </w:rPr>
      </w:pPr>
      <w:r w:rsidRPr="002359F7">
        <w:rPr>
          <w:rFonts w:ascii="Times New Roman" w:eastAsia="Calibri" w:hAnsi="Times New Roman" w:cs="Times New Roman"/>
          <w:sz w:val="26"/>
          <w:szCs w:val="26"/>
        </w:rPr>
        <w:t>„Litera e) la inițiativa Administrației parcului, în cazul neîndeplinirii indicatorilor necesari pentru dobândirea și menținerea statutului de rezident al parcului pentru tehnologia informației, în baza rezultatelor verificării efectuate anual de către entitatea de audit.”</w:t>
      </w:r>
    </w:p>
    <w:p w:rsidR="002359F7" w:rsidRPr="002359F7" w:rsidRDefault="00504262" w:rsidP="002359F7">
      <w:pPr>
        <w:spacing w:after="120"/>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La articolul 19, </w:t>
      </w:r>
      <w:r w:rsidR="002359F7" w:rsidRPr="002359F7">
        <w:rPr>
          <w:rFonts w:ascii="Times New Roman" w:eastAsia="Calibri" w:hAnsi="Times New Roman" w:cs="Times New Roman"/>
          <w:sz w:val="26"/>
          <w:szCs w:val="26"/>
        </w:rPr>
        <w:t>alineatul (2) după sintagma „lit. a) şi b)” se completează cu litera „e)”.</w:t>
      </w:r>
    </w:p>
    <w:p w:rsidR="002359F7" w:rsidRPr="002359F7" w:rsidRDefault="002359F7" w:rsidP="002359F7">
      <w:pPr>
        <w:spacing w:after="120"/>
        <w:jc w:val="both"/>
        <w:rPr>
          <w:rFonts w:ascii="Times New Roman" w:eastAsia="Calibri" w:hAnsi="Times New Roman" w:cs="Times New Roman"/>
          <w:sz w:val="26"/>
          <w:szCs w:val="26"/>
        </w:rPr>
      </w:pPr>
      <w:r w:rsidRPr="002359F7">
        <w:rPr>
          <w:rFonts w:ascii="Times New Roman" w:eastAsia="Calibri" w:hAnsi="Times New Roman" w:cs="Times New Roman"/>
          <w:b/>
          <w:sz w:val="26"/>
          <w:szCs w:val="26"/>
        </w:rPr>
        <w:t>Articolul II.</w:t>
      </w:r>
      <w:r w:rsidRPr="002359F7">
        <w:rPr>
          <w:rFonts w:ascii="Times New Roman" w:eastAsia="Calibri" w:hAnsi="Times New Roman" w:cs="Times New Roman"/>
          <w:sz w:val="26"/>
          <w:szCs w:val="26"/>
        </w:rPr>
        <w:t xml:space="preserve"> – (1) Prezenta lege intră în vigoare la data publicării în Monitorul Oficial al Republicii Moldova, cu excepția art. I pct. 4, care intră în vigoare la </w:t>
      </w:r>
      <w:r w:rsidRPr="002359F7">
        <w:rPr>
          <w:rFonts w:ascii="Times New Roman" w:eastAsia="Calibri" w:hAnsi="Times New Roman" w:cs="Times New Roman"/>
          <w:color w:val="FF0000"/>
          <w:sz w:val="26"/>
          <w:szCs w:val="26"/>
        </w:rPr>
        <w:t>1 iu</w:t>
      </w:r>
      <w:r w:rsidR="00AD3186" w:rsidRPr="00AD3186">
        <w:rPr>
          <w:rFonts w:ascii="Times New Roman" w:eastAsia="Calibri" w:hAnsi="Times New Roman" w:cs="Times New Roman"/>
          <w:color w:val="FF0000"/>
          <w:sz w:val="26"/>
          <w:szCs w:val="26"/>
        </w:rPr>
        <w:t>lie</w:t>
      </w:r>
      <w:r w:rsidRPr="002359F7">
        <w:rPr>
          <w:rFonts w:ascii="Times New Roman" w:eastAsia="Calibri" w:hAnsi="Times New Roman" w:cs="Times New Roman"/>
          <w:sz w:val="26"/>
          <w:szCs w:val="26"/>
        </w:rPr>
        <w:t xml:space="preserve"> 2020.</w:t>
      </w:r>
    </w:p>
    <w:p w:rsidR="002359F7" w:rsidRPr="002359F7" w:rsidRDefault="002359F7" w:rsidP="002359F7">
      <w:pPr>
        <w:spacing w:after="0"/>
        <w:jc w:val="both"/>
        <w:rPr>
          <w:rFonts w:ascii="Times New Roman" w:eastAsia="Calibri" w:hAnsi="Times New Roman" w:cs="Times New Roman"/>
          <w:sz w:val="26"/>
          <w:szCs w:val="26"/>
        </w:rPr>
      </w:pPr>
      <w:r w:rsidRPr="002359F7">
        <w:rPr>
          <w:rFonts w:ascii="Times New Roman" w:eastAsia="Calibri" w:hAnsi="Times New Roman" w:cs="Times New Roman"/>
          <w:sz w:val="26"/>
          <w:szCs w:val="26"/>
        </w:rPr>
        <w:t>(2) Guvernul, în termen de 3 luni de la data publicării prezentei legi, va aduce actele sale normative în concordanţă cu aceasta.</w:t>
      </w:r>
    </w:p>
    <w:p w:rsidR="002359F7" w:rsidRPr="002359F7" w:rsidRDefault="002359F7" w:rsidP="002359F7">
      <w:pPr>
        <w:rPr>
          <w:rFonts w:ascii="Times New Roman" w:eastAsia="Calibri" w:hAnsi="Times New Roman" w:cs="Times New Roman"/>
          <w:b/>
          <w:sz w:val="26"/>
          <w:szCs w:val="26"/>
        </w:rPr>
      </w:pPr>
    </w:p>
    <w:p w:rsidR="002359F7" w:rsidRPr="002359F7" w:rsidRDefault="002359F7" w:rsidP="002359F7">
      <w:pPr>
        <w:ind w:firstLine="720"/>
        <w:rPr>
          <w:rFonts w:ascii="Times New Roman" w:eastAsia="Calibri" w:hAnsi="Times New Roman" w:cs="Times New Roman"/>
          <w:b/>
          <w:sz w:val="26"/>
          <w:szCs w:val="26"/>
        </w:rPr>
      </w:pPr>
      <w:r w:rsidRPr="002359F7">
        <w:rPr>
          <w:rFonts w:ascii="Times New Roman" w:eastAsia="Calibri" w:hAnsi="Times New Roman" w:cs="Times New Roman"/>
          <w:b/>
          <w:sz w:val="26"/>
          <w:szCs w:val="26"/>
        </w:rPr>
        <w:t xml:space="preserve">Președintele Parlamentului </w:t>
      </w:r>
      <w:r w:rsidRPr="002359F7">
        <w:rPr>
          <w:rFonts w:ascii="Times New Roman" w:eastAsia="Calibri" w:hAnsi="Times New Roman" w:cs="Times New Roman"/>
          <w:b/>
          <w:sz w:val="26"/>
          <w:szCs w:val="26"/>
        </w:rPr>
        <w:tab/>
      </w:r>
      <w:r w:rsidRPr="002359F7">
        <w:rPr>
          <w:rFonts w:ascii="Times New Roman" w:eastAsia="Calibri" w:hAnsi="Times New Roman" w:cs="Times New Roman"/>
          <w:b/>
          <w:sz w:val="26"/>
          <w:szCs w:val="26"/>
        </w:rPr>
        <w:tab/>
      </w:r>
      <w:r w:rsidRPr="002359F7">
        <w:rPr>
          <w:rFonts w:ascii="Times New Roman" w:eastAsia="Calibri" w:hAnsi="Times New Roman" w:cs="Times New Roman"/>
          <w:b/>
          <w:sz w:val="26"/>
          <w:szCs w:val="26"/>
        </w:rPr>
        <w:tab/>
      </w:r>
      <w:r w:rsidRPr="002359F7">
        <w:rPr>
          <w:rFonts w:ascii="Times New Roman" w:eastAsia="Calibri" w:hAnsi="Times New Roman" w:cs="Times New Roman"/>
          <w:b/>
          <w:sz w:val="26"/>
          <w:szCs w:val="26"/>
        </w:rPr>
        <w:tab/>
        <w:t>Zinaida GRECEANÎI</w:t>
      </w:r>
    </w:p>
    <w:p w:rsidR="002234C0" w:rsidRDefault="002234C0" w:rsidP="003674EA">
      <w:pPr>
        <w:rPr>
          <w:rFonts w:ascii="Times New Roman" w:hAnsi="Times New Roman" w:cs="Times New Roman"/>
          <w:b/>
          <w:sz w:val="28"/>
          <w:szCs w:val="28"/>
        </w:rPr>
      </w:pPr>
    </w:p>
    <w:p w:rsidR="002234C0" w:rsidRDefault="002234C0" w:rsidP="003674EA">
      <w:pPr>
        <w:rPr>
          <w:rFonts w:ascii="Times New Roman" w:hAnsi="Times New Roman" w:cs="Times New Roman"/>
          <w:b/>
          <w:sz w:val="28"/>
          <w:szCs w:val="28"/>
        </w:rPr>
      </w:pPr>
    </w:p>
    <w:tbl>
      <w:tblPr>
        <w:tblW w:w="5300" w:type="pct"/>
        <w:tblInd w:w="-432"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10334"/>
      </w:tblGrid>
      <w:tr w:rsidR="00A32F79" w:rsidRPr="003E6C59" w:rsidTr="005416D7">
        <w:tc>
          <w:tcPr>
            <w:tcW w:w="5000" w:type="pct"/>
            <w:tcBorders>
              <w:bottom w:val="single" w:sz="12" w:space="0" w:color="666666"/>
            </w:tcBorders>
            <w:shd w:val="clear" w:color="auto" w:fill="auto"/>
          </w:tcPr>
          <w:p w:rsidR="00A32F79" w:rsidRPr="003E6C59" w:rsidRDefault="00A32F79" w:rsidP="00A32F79">
            <w:pPr>
              <w:spacing w:after="0" w:line="240" w:lineRule="auto"/>
              <w:ind w:firstLine="540"/>
              <w:jc w:val="center"/>
              <w:rPr>
                <w:rFonts w:ascii="Times New Roman" w:eastAsia="Times New Roman" w:hAnsi="Times New Roman" w:cs="Times New Roman"/>
                <w:b/>
                <w:bCs/>
                <w:color w:val="000000"/>
                <w:sz w:val="26"/>
                <w:szCs w:val="26"/>
                <w:lang w:val="ro-MD" w:eastAsia="ru-RU"/>
              </w:rPr>
            </w:pPr>
            <w:r w:rsidRPr="003E6C59">
              <w:rPr>
                <w:rFonts w:ascii="Times New Roman" w:eastAsia="Times New Roman" w:hAnsi="Times New Roman" w:cs="Times New Roman"/>
                <w:b/>
                <w:bCs/>
                <w:color w:val="000000"/>
                <w:sz w:val="26"/>
                <w:szCs w:val="26"/>
                <w:lang w:val="ro-MD" w:eastAsia="ru-RU"/>
              </w:rPr>
              <w:t>Notă informativă</w:t>
            </w:r>
          </w:p>
          <w:p w:rsidR="00A32F79" w:rsidRPr="003E6C59" w:rsidRDefault="00A32F79" w:rsidP="00A32F79">
            <w:pPr>
              <w:spacing w:after="0" w:line="240" w:lineRule="auto"/>
              <w:jc w:val="center"/>
              <w:rPr>
                <w:rFonts w:ascii="Times New Roman" w:eastAsia="Times New Roman" w:hAnsi="Times New Roman" w:cs="Times New Roman"/>
                <w:b/>
                <w:bCs/>
                <w:color w:val="000000"/>
                <w:sz w:val="26"/>
                <w:szCs w:val="26"/>
                <w:lang w:val="ro-MD" w:eastAsia="ru-RU"/>
              </w:rPr>
            </w:pPr>
            <w:r w:rsidRPr="003E6C59">
              <w:rPr>
                <w:rFonts w:ascii="Times New Roman" w:eastAsia="Times New Roman" w:hAnsi="Times New Roman" w:cs="Times New Roman"/>
                <w:b/>
                <w:bCs/>
                <w:color w:val="000000"/>
                <w:sz w:val="26"/>
                <w:szCs w:val="26"/>
                <w:lang w:val="ro-MD" w:eastAsia="ru-RU"/>
              </w:rPr>
              <w:t xml:space="preserve">la proiectul de lege pentru modificarea Legii nr.77/2016 </w:t>
            </w:r>
          </w:p>
          <w:p w:rsidR="00A32F79" w:rsidRPr="003E6C59" w:rsidRDefault="00A32F79" w:rsidP="00A32F79">
            <w:pPr>
              <w:spacing w:after="120" w:line="240" w:lineRule="auto"/>
              <w:jc w:val="center"/>
              <w:rPr>
                <w:rFonts w:ascii="Times New Roman" w:eastAsia="Times New Roman" w:hAnsi="Times New Roman" w:cs="Times New Roman"/>
                <w:b/>
                <w:bCs/>
                <w:color w:val="000000"/>
                <w:sz w:val="26"/>
                <w:szCs w:val="26"/>
                <w:lang w:val="ro-MD" w:eastAsia="ru-RU"/>
              </w:rPr>
            </w:pPr>
            <w:r w:rsidRPr="003E6C59">
              <w:rPr>
                <w:rFonts w:ascii="Times New Roman" w:eastAsia="Times New Roman" w:hAnsi="Times New Roman" w:cs="Times New Roman"/>
                <w:b/>
                <w:bCs/>
                <w:color w:val="000000"/>
                <w:sz w:val="26"/>
                <w:szCs w:val="26"/>
                <w:lang w:val="ro-MD" w:eastAsia="ru-RU"/>
              </w:rPr>
              <w:t>cu privire la parcurile pentru tehnologia informației</w:t>
            </w:r>
          </w:p>
        </w:tc>
      </w:tr>
      <w:tr w:rsidR="00A32F79" w:rsidRPr="003E6C59" w:rsidTr="005416D7">
        <w:tc>
          <w:tcPr>
            <w:tcW w:w="5000" w:type="pct"/>
            <w:shd w:val="clear" w:color="auto" w:fill="CCCCCC"/>
          </w:tcPr>
          <w:p w:rsidR="00A32F79" w:rsidRPr="003E6C59" w:rsidRDefault="00A32F79" w:rsidP="00A32F79">
            <w:pPr>
              <w:spacing w:before="120" w:after="120" w:line="240" w:lineRule="auto"/>
              <w:jc w:val="both"/>
              <w:rPr>
                <w:rFonts w:ascii="Times New Roman" w:eastAsia="Times New Roman" w:hAnsi="Times New Roman" w:cs="Candara"/>
                <w:b/>
                <w:bCs/>
                <w:i/>
                <w:color w:val="000000"/>
                <w:sz w:val="26"/>
                <w:szCs w:val="26"/>
                <w:lang w:val="ro-MD" w:eastAsia="ru-RU"/>
              </w:rPr>
            </w:pPr>
            <w:r w:rsidRPr="003E6C59">
              <w:rPr>
                <w:rFonts w:ascii="Times New Roman" w:eastAsia="Calibri" w:hAnsi="Times New Roman" w:cs="Times New Roman"/>
                <w:b/>
                <w:bCs/>
                <w:color w:val="000000"/>
                <w:sz w:val="26"/>
                <w:szCs w:val="26"/>
              </w:rPr>
              <w:t>I. Denumirea autorului şi, după caz, a participanților la elaborarea proiectului</w:t>
            </w:r>
          </w:p>
        </w:tc>
      </w:tr>
      <w:tr w:rsidR="00A32F79" w:rsidRPr="003E6C59" w:rsidTr="005416D7">
        <w:tc>
          <w:tcPr>
            <w:tcW w:w="5000" w:type="pct"/>
            <w:shd w:val="clear" w:color="auto" w:fill="auto"/>
          </w:tcPr>
          <w:p w:rsidR="00A32F79" w:rsidRPr="003E6C59" w:rsidRDefault="00A32F79" w:rsidP="00A32F79">
            <w:pPr>
              <w:spacing w:after="0" w:line="240" w:lineRule="auto"/>
              <w:jc w:val="both"/>
              <w:rPr>
                <w:rFonts w:ascii="Times New Roman" w:eastAsia="Calibri" w:hAnsi="Times New Roman" w:cs="Times New Roman"/>
                <w:bCs/>
                <w:color w:val="000000"/>
                <w:sz w:val="26"/>
                <w:szCs w:val="26"/>
              </w:rPr>
            </w:pPr>
            <w:r w:rsidRPr="003E6C59">
              <w:rPr>
                <w:rFonts w:ascii="Times New Roman" w:eastAsia="Times New Roman" w:hAnsi="Times New Roman" w:cs="Candara"/>
                <w:bCs/>
                <w:color w:val="000000"/>
                <w:sz w:val="26"/>
                <w:szCs w:val="26"/>
                <w:lang w:val="ro-MD" w:eastAsia="ru-RU"/>
              </w:rPr>
              <w:t>Proiectul a fost elaborat de către Ministerul Economiei și Infrastructurii.</w:t>
            </w:r>
            <w:r w:rsidRPr="003E6C59">
              <w:rPr>
                <w:rFonts w:ascii="Times New Roman" w:eastAsia="Calibri" w:hAnsi="Times New Roman" w:cs="Times New Roman"/>
                <w:bCs/>
                <w:color w:val="000000"/>
                <w:sz w:val="26"/>
                <w:szCs w:val="26"/>
              </w:rPr>
              <w:t xml:space="preserve"> </w:t>
            </w:r>
          </w:p>
        </w:tc>
      </w:tr>
      <w:tr w:rsidR="00A32F79" w:rsidRPr="003E6C59" w:rsidTr="005416D7">
        <w:trPr>
          <w:trHeight w:val="609"/>
        </w:trPr>
        <w:tc>
          <w:tcPr>
            <w:tcW w:w="5000" w:type="pct"/>
            <w:shd w:val="clear" w:color="auto" w:fill="CCCCCC"/>
          </w:tcPr>
          <w:p w:rsidR="00A32F79" w:rsidRPr="003E6C59" w:rsidRDefault="00A32F79" w:rsidP="00A32F79">
            <w:pPr>
              <w:spacing w:before="120" w:after="120" w:line="240" w:lineRule="auto"/>
              <w:jc w:val="both"/>
              <w:rPr>
                <w:rFonts w:ascii="Times New Roman" w:eastAsia="Times New Roman" w:hAnsi="Times New Roman" w:cs="Candara"/>
                <w:b/>
                <w:bCs/>
                <w:color w:val="000000"/>
                <w:sz w:val="26"/>
                <w:szCs w:val="26"/>
                <w:lang w:val="ro-MD" w:eastAsia="ru-RU"/>
              </w:rPr>
            </w:pPr>
            <w:r w:rsidRPr="003E6C59">
              <w:rPr>
                <w:rFonts w:ascii="Times New Roman" w:eastAsia="Times New Roman" w:hAnsi="Times New Roman" w:cs="Candara"/>
                <w:b/>
                <w:bCs/>
                <w:color w:val="000000"/>
                <w:sz w:val="26"/>
                <w:szCs w:val="26"/>
                <w:lang w:val="ro-MD" w:eastAsia="ru-RU"/>
              </w:rPr>
              <w:t xml:space="preserve">II. Condițiile ce au impus elaborarea proiectului </w:t>
            </w:r>
            <w:r w:rsidRPr="003E6C59">
              <w:rPr>
                <w:rFonts w:ascii="Times New Roman" w:eastAsia="Times New Roman" w:hAnsi="Times New Roman" w:cs="Candara"/>
                <w:b/>
                <w:bCs/>
                <w:color w:val="000000"/>
                <w:sz w:val="26"/>
                <w:szCs w:val="26"/>
                <w:lang w:val="en-US" w:eastAsia="ru-RU"/>
              </w:rPr>
              <w:t xml:space="preserve">de act </w:t>
            </w:r>
            <w:r w:rsidRPr="003E6C59">
              <w:rPr>
                <w:rFonts w:ascii="Times New Roman" w:eastAsia="Times New Roman" w:hAnsi="Times New Roman" w:cs="Candara"/>
                <w:b/>
                <w:bCs/>
                <w:color w:val="000000"/>
                <w:sz w:val="26"/>
                <w:szCs w:val="26"/>
                <w:lang w:eastAsia="ru-RU"/>
              </w:rPr>
              <w:t>normativ şi finalitățile urmărite</w:t>
            </w:r>
          </w:p>
        </w:tc>
      </w:tr>
      <w:tr w:rsidR="00A32F79" w:rsidRPr="003E6C59" w:rsidTr="002359F7">
        <w:trPr>
          <w:trHeight w:val="711"/>
        </w:trPr>
        <w:tc>
          <w:tcPr>
            <w:tcW w:w="5000" w:type="pct"/>
            <w:shd w:val="clear" w:color="auto" w:fill="auto"/>
            <w:hideMark/>
          </w:tcPr>
          <w:p w:rsidR="00A32F79" w:rsidRPr="003E6C59" w:rsidRDefault="00A32F79" w:rsidP="00A32F79">
            <w:pPr>
              <w:spacing w:after="120" w:line="240" w:lineRule="auto"/>
              <w:jc w:val="both"/>
              <w:rPr>
                <w:rFonts w:ascii="Times New Roman" w:eastAsia="Times New Roman" w:hAnsi="Times New Roman" w:cs="Candara"/>
                <w:bCs/>
                <w:color w:val="000000"/>
                <w:sz w:val="26"/>
                <w:szCs w:val="26"/>
                <w:lang w:eastAsia="ru-RU"/>
              </w:rPr>
            </w:pPr>
            <w:r w:rsidRPr="003E6C59">
              <w:rPr>
                <w:rFonts w:ascii="Times New Roman" w:eastAsia="Times New Roman" w:hAnsi="Times New Roman" w:cs="Candara"/>
                <w:bCs/>
                <w:color w:val="000000"/>
                <w:sz w:val="26"/>
                <w:szCs w:val="26"/>
                <w:lang w:val="ro-MD" w:eastAsia="ru-RU"/>
              </w:rPr>
              <w:t xml:space="preserve">Proiectul a fost elaborat în vederea modificării </w:t>
            </w:r>
            <w:r w:rsidRPr="003E6C59">
              <w:rPr>
                <w:rFonts w:ascii="Times New Roman" w:eastAsia="Times New Roman" w:hAnsi="Times New Roman" w:cs="Candara"/>
                <w:bCs/>
                <w:color w:val="000000"/>
                <w:sz w:val="26"/>
                <w:szCs w:val="26"/>
                <w:lang w:eastAsia="ru-RU"/>
              </w:rPr>
              <w:t>Legii nr.77/2016 cu privire la parcurile pentru tehnologia informației. Scopul proiectului constă în crearea mecanismului de finanțare a proiectelor de dezvoltare a inovațiilor și afacerilor pentru startup-uri IT, completarea legii cu o nouă activitate principală, precum şi revederea venitului asigurat al rezidenţilor parcului IT.</w:t>
            </w:r>
          </w:p>
          <w:p w:rsidR="00A32F79" w:rsidRPr="003E6C59" w:rsidRDefault="00A32F79" w:rsidP="00A32F79">
            <w:pPr>
              <w:spacing w:after="120" w:line="240" w:lineRule="auto"/>
              <w:jc w:val="both"/>
              <w:rPr>
                <w:rFonts w:ascii="Times New Roman" w:eastAsia="Calibri" w:hAnsi="Times New Roman" w:cs="Times New Roman"/>
                <w:sz w:val="26"/>
                <w:szCs w:val="26"/>
              </w:rPr>
            </w:pPr>
            <w:r w:rsidRPr="003E6C59">
              <w:rPr>
                <w:rFonts w:ascii="Times New Roman" w:eastAsia="Calibri" w:hAnsi="Times New Roman" w:cs="Times New Roman"/>
                <w:sz w:val="26"/>
                <w:szCs w:val="26"/>
              </w:rPr>
              <w:t>Sectorul TIC rămâne a fi unul dintre principalele domenii strategice ale economiei naționale, cu o contribuție de 7% la Produsul Intern Brut al țării.</w:t>
            </w:r>
          </w:p>
          <w:p w:rsidR="00A32F79" w:rsidRPr="003E6C59" w:rsidRDefault="00A32F79" w:rsidP="00A32F79">
            <w:pPr>
              <w:spacing w:after="120" w:line="240" w:lineRule="auto"/>
              <w:jc w:val="both"/>
              <w:rPr>
                <w:rFonts w:ascii="Times New Roman" w:eastAsia="Calibri" w:hAnsi="Times New Roman" w:cs="Times New Roman"/>
                <w:sz w:val="26"/>
                <w:szCs w:val="26"/>
              </w:rPr>
            </w:pPr>
            <w:r w:rsidRPr="003E6C59">
              <w:rPr>
                <w:rFonts w:ascii="Times New Roman" w:eastAsia="Calibri" w:hAnsi="Times New Roman" w:cs="Times New Roman"/>
                <w:sz w:val="26"/>
                <w:szCs w:val="26"/>
              </w:rPr>
              <w:t>Totodată, luând în considerare condiţiile actuale, consecinţele pandemiei se răsfrâng şi asupra industriei IT, fiind identificate următoarele provocări pentru sector: reducerea veniturilor, optimizarea cheltuielilor administrative, reducerea cheltuielilor pentru angajaţi. Mai mult ca atât, cel mai mult vor avea de suferit companiile mici şi startup-urile IT.</w:t>
            </w:r>
          </w:p>
          <w:p w:rsidR="00A32F79" w:rsidRPr="003E6C59" w:rsidRDefault="00A32F79" w:rsidP="00A32F79">
            <w:pPr>
              <w:spacing w:after="120" w:line="240" w:lineRule="auto"/>
              <w:jc w:val="both"/>
              <w:rPr>
                <w:rFonts w:ascii="Times New Roman" w:eastAsia="Calibri" w:hAnsi="Times New Roman" w:cs="Times New Roman"/>
                <w:sz w:val="26"/>
                <w:szCs w:val="26"/>
              </w:rPr>
            </w:pPr>
            <w:r w:rsidRPr="003E6C59">
              <w:rPr>
                <w:rFonts w:ascii="Times New Roman" w:eastAsia="Calibri" w:hAnsi="Times New Roman" w:cs="Times New Roman"/>
                <w:sz w:val="26"/>
                <w:szCs w:val="26"/>
              </w:rPr>
              <w:t>Pentru a susţine industria IT, inclusiv startup-urile tehnologice se propun crearea unui Fondul de susținere a inovațiilor digitale.</w:t>
            </w:r>
          </w:p>
          <w:p w:rsidR="00A32F79" w:rsidRPr="003E6C59" w:rsidRDefault="00A32F79" w:rsidP="00A32F79">
            <w:pPr>
              <w:spacing w:after="120" w:line="240" w:lineRule="auto"/>
              <w:jc w:val="both"/>
              <w:rPr>
                <w:rFonts w:ascii="Times New Roman" w:eastAsia="Calibri" w:hAnsi="Times New Roman" w:cs="Times New Roman"/>
                <w:sz w:val="26"/>
                <w:szCs w:val="26"/>
              </w:rPr>
            </w:pPr>
            <w:r w:rsidRPr="003E6C59">
              <w:rPr>
                <w:rFonts w:ascii="Times New Roman" w:eastAsia="Calibri" w:hAnsi="Times New Roman" w:cs="Times New Roman"/>
                <w:sz w:val="26"/>
                <w:szCs w:val="26"/>
              </w:rPr>
              <w:t xml:space="preserve">Propunerea privind introducerea în prevederile Legii nr.77/2016 a normei privind Fondul de susținere a inovațiilor digitale și startup-urilor tehnologice reiese din prevederile Strategiei de dezvoltare a industriei tehnologiei informației și a ecosistemului pentru inovare digitală pe anii 2018-2023, aprobată prin Hotărârea Guvernului nr. 904 din 24.09.2018. Unul din obiectivele specifice ale </w:t>
            </w:r>
            <w:r w:rsidRPr="003E6C59">
              <w:rPr>
                <w:rFonts w:ascii="Times New Roman" w:eastAsia="Calibri" w:hAnsi="Times New Roman" w:cs="Times New Roman"/>
                <w:iCs/>
                <w:sz w:val="26"/>
                <w:szCs w:val="26"/>
              </w:rPr>
              <w:t>Secțiunii a 3-a „Inovații bazate pe TIC”</w:t>
            </w:r>
            <w:r w:rsidRPr="003E6C59">
              <w:rPr>
                <w:rFonts w:ascii="Times New Roman" w:eastAsia="Calibri" w:hAnsi="Times New Roman" w:cs="Times New Roman"/>
                <w:sz w:val="26"/>
                <w:szCs w:val="26"/>
              </w:rPr>
              <w:t xml:space="preserve"> din Strategie este crearea fondurilor de accelerare și investiții în inovații bazate pe TIC, cu intervenție planificată în sensul creării mecanismelor de finanțare a proiectelor de dezvoltare a inovațiilor și afacerilor bazate pe TIC.</w:t>
            </w:r>
          </w:p>
          <w:p w:rsidR="00A32F79" w:rsidRPr="003E6C59" w:rsidRDefault="00A32F79" w:rsidP="00A32F79">
            <w:pPr>
              <w:spacing w:after="120" w:line="240" w:lineRule="auto"/>
              <w:jc w:val="both"/>
              <w:rPr>
                <w:rFonts w:ascii="Times New Roman" w:eastAsia="Calibri" w:hAnsi="Times New Roman" w:cs="Times New Roman"/>
                <w:sz w:val="26"/>
                <w:szCs w:val="26"/>
              </w:rPr>
            </w:pPr>
            <w:r w:rsidRPr="003E6C59">
              <w:rPr>
                <w:rFonts w:ascii="Times New Roman" w:eastAsia="Calibri" w:hAnsi="Times New Roman" w:cs="Times New Roman"/>
                <w:sz w:val="26"/>
                <w:szCs w:val="26"/>
              </w:rPr>
              <w:t xml:space="preserve">Dezvoltarea inovației digitale și susținerea startup-urilor tehnologice prin diferite mecanisme stimulatorii, în special finanțarea nerambursabilă prin intermediul unor fonduri specializate, este pe larg răspândită în țările dezvoltate, care pun accentul pe tehnologizarea economiilor naționale și inovații bazate pe TIC, care duc la sporirea productivității în diferite sectoare, reducerea emisiilor de carbon, soluționarea problemelor societale etc. </w:t>
            </w:r>
          </w:p>
          <w:p w:rsidR="00A32F79" w:rsidRPr="003E6C59" w:rsidRDefault="00A32F79" w:rsidP="00A32F79">
            <w:pPr>
              <w:spacing w:after="120" w:line="240" w:lineRule="auto"/>
              <w:jc w:val="both"/>
              <w:rPr>
                <w:rFonts w:ascii="Times New Roman" w:eastAsia="Calibri" w:hAnsi="Times New Roman" w:cs="Times New Roman"/>
                <w:sz w:val="26"/>
                <w:szCs w:val="26"/>
              </w:rPr>
            </w:pPr>
            <w:r w:rsidRPr="003E6C59">
              <w:rPr>
                <w:rFonts w:ascii="Times New Roman" w:eastAsia="Calibri" w:hAnsi="Times New Roman" w:cs="Times New Roman"/>
                <w:sz w:val="26"/>
                <w:szCs w:val="26"/>
              </w:rPr>
              <w:t>Până în prezent, startup-urile IT din Republica Moldova nu au acces la finanțare în condiții speciale, pe când multe idei inovative în cazul existenței fondurilor specializate disponibile pot fi transformate în afaceri de succes, vor aduce faima țării, locuri de muncă bine plătite și venituri din vânzări importante care vor avea impact benefic direct și indirect asupra veniturilor bugetului de stat.</w:t>
            </w:r>
          </w:p>
          <w:p w:rsidR="00A32F79" w:rsidRPr="003E6C59" w:rsidRDefault="00A32F79" w:rsidP="00A32F79">
            <w:pPr>
              <w:spacing w:after="0" w:line="240" w:lineRule="auto"/>
              <w:jc w:val="both"/>
              <w:rPr>
                <w:rFonts w:ascii="Times New Roman" w:eastAsia="Calibri" w:hAnsi="Times New Roman" w:cs="Times New Roman"/>
                <w:sz w:val="26"/>
                <w:szCs w:val="26"/>
              </w:rPr>
            </w:pPr>
            <w:r w:rsidRPr="003E6C59">
              <w:rPr>
                <w:rFonts w:ascii="Times New Roman" w:eastAsia="Calibri" w:hAnsi="Times New Roman" w:cs="Times New Roman"/>
                <w:sz w:val="26"/>
                <w:szCs w:val="26"/>
              </w:rPr>
              <w:t xml:space="preserve">În doi ani de activitate, Moldova IT park a demonstrat capacitatea de a  impulsiona și dezvolta atât industria IT, cât şi alte industrii conexe. </w:t>
            </w:r>
          </w:p>
          <w:p w:rsidR="00A32F79" w:rsidRPr="003E6C59" w:rsidRDefault="00A32F79" w:rsidP="00A32F79">
            <w:pPr>
              <w:spacing w:after="0" w:line="240" w:lineRule="auto"/>
              <w:jc w:val="both"/>
              <w:rPr>
                <w:rFonts w:ascii="Times New Roman" w:eastAsia="Calibri" w:hAnsi="Times New Roman" w:cs="Times New Roman"/>
                <w:sz w:val="26"/>
                <w:szCs w:val="26"/>
              </w:rPr>
            </w:pPr>
            <w:r w:rsidRPr="003E6C59">
              <w:rPr>
                <w:rFonts w:ascii="Times New Roman" w:eastAsia="Calibri" w:hAnsi="Times New Roman" w:cs="Times New Roman"/>
                <w:sz w:val="26"/>
                <w:szCs w:val="26"/>
              </w:rPr>
              <w:t>În acest sens, ajustările propuse prin proiect vor îmbunătăți condiţiile atât pentru angajaţii companiilor IT, cât şi pentru companiile mici aflate la etapa iniţială de creştere a afacerii.</w:t>
            </w:r>
          </w:p>
        </w:tc>
      </w:tr>
      <w:tr w:rsidR="00A32F79" w:rsidRPr="003E6C59" w:rsidTr="005416D7">
        <w:trPr>
          <w:trHeight w:val="672"/>
        </w:trPr>
        <w:tc>
          <w:tcPr>
            <w:tcW w:w="5000" w:type="pct"/>
            <w:shd w:val="clear" w:color="auto" w:fill="CCCCCC"/>
          </w:tcPr>
          <w:p w:rsidR="00A32F79" w:rsidRPr="003E6C59" w:rsidRDefault="00A32F79" w:rsidP="00A32F79">
            <w:pPr>
              <w:spacing w:before="120" w:after="120" w:line="240" w:lineRule="auto"/>
              <w:jc w:val="both"/>
              <w:rPr>
                <w:rFonts w:ascii="Times New Roman" w:eastAsia="Calibri" w:hAnsi="Times New Roman" w:cs="Times New Roman"/>
                <w:b/>
                <w:bCs/>
                <w:color w:val="000000"/>
                <w:sz w:val="26"/>
                <w:szCs w:val="26"/>
              </w:rPr>
            </w:pPr>
            <w:r w:rsidRPr="003E6C59">
              <w:rPr>
                <w:rFonts w:ascii="Times New Roman" w:eastAsia="Calibri" w:hAnsi="Times New Roman" w:cs="Times New Roman"/>
                <w:b/>
                <w:bCs/>
                <w:color w:val="000000"/>
                <w:sz w:val="26"/>
                <w:szCs w:val="26"/>
                <w:lang w:val="ro-MD"/>
              </w:rPr>
              <w:t xml:space="preserve">III. </w:t>
            </w:r>
            <w:r w:rsidRPr="003E6C59">
              <w:rPr>
                <w:rFonts w:ascii="Times New Roman" w:eastAsia="Calibri" w:hAnsi="Times New Roman" w:cs="Times New Roman"/>
                <w:b/>
                <w:bCs/>
                <w:color w:val="000000"/>
                <w:sz w:val="26"/>
                <w:szCs w:val="26"/>
              </w:rPr>
              <w:t>Descrierea gradului de compatibilitate pentru proiectele care au ca scop armonizarea legislației naționale cu legislația Uniunii Europene</w:t>
            </w:r>
          </w:p>
        </w:tc>
      </w:tr>
      <w:tr w:rsidR="00A32F79" w:rsidRPr="003E6C59" w:rsidTr="00CA6160">
        <w:trPr>
          <w:trHeight w:val="365"/>
        </w:trPr>
        <w:tc>
          <w:tcPr>
            <w:tcW w:w="5000" w:type="pct"/>
            <w:shd w:val="clear" w:color="auto" w:fill="auto"/>
          </w:tcPr>
          <w:p w:rsidR="00A32F79" w:rsidRPr="003E6C59" w:rsidRDefault="00A32F79" w:rsidP="00A32F79">
            <w:pPr>
              <w:spacing w:after="0" w:line="240" w:lineRule="auto"/>
              <w:jc w:val="both"/>
              <w:rPr>
                <w:rFonts w:ascii="Times New Roman" w:eastAsia="Calibri" w:hAnsi="Times New Roman" w:cs="Times New Roman"/>
                <w:bCs/>
                <w:color w:val="000000"/>
                <w:sz w:val="26"/>
                <w:szCs w:val="26"/>
              </w:rPr>
            </w:pPr>
            <w:r w:rsidRPr="003E6C59">
              <w:rPr>
                <w:rFonts w:ascii="Times New Roman" w:eastAsia="Calibri" w:hAnsi="Times New Roman" w:cs="Times New Roman"/>
                <w:bCs/>
                <w:color w:val="000000"/>
                <w:sz w:val="26"/>
                <w:szCs w:val="26"/>
              </w:rPr>
              <w:t>Proiectul nu are drept scop armonizarea legislației naționale cu legislația Uniunii Europene.</w:t>
            </w:r>
          </w:p>
        </w:tc>
      </w:tr>
      <w:tr w:rsidR="00A32F79" w:rsidRPr="003E6C59" w:rsidTr="005416D7">
        <w:tc>
          <w:tcPr>
            <w:tcW w:w="5000" w:type="pct"/>
            <w:shd w:val="clear" w:color="auto" w:fill="CCCCCC"/>
          </w:tcPr>
          <w:p w:rsidR="00A32F79" w:rsidRPr="003E6C59" w:rsidRDefault="00A32F79" w:rsidP="00A32F79">
            <w:pPr>
              <w:spacing w:before="120" w:after="120" w:line="240" w:lineRule="auto"/>
              <w:jc w:val="both"/>
              <w:rPr>
                <w:rFonts w:ascii="Times New Roman" w:eastAsia="Calibri" w:hAnsi="Times New Roman" w:cs="Times New Roman"/>
                <w:b/>
                <w:bCs/>
                <w:color w:val="000000"/>
                <w:sz w:val="26"/>
                <w:szCs w:val="26"/>
              </w:rPr>
            </w:pPr>
            <w:r w:rsidRPr="003E6C59">
              <w:rPr>
                <w:rFonts w:ascii="Times New Roman" w:eastAsia="Calibri" w:hAnsi="Times New Roman" w:cs="Times New Roman"/>
                <w:b/>
                <w:bCs/>
                <w:color w:val="000000"/>
                <w:sz w:val="26"/>
                <w:szCs w:val="26"/>
              </w:rPr>
              <w:lastRenderedPageBreak/>
              <w:t>IV. Principalele prevederi ale proiectului și evidențierea elementelor noi</w:t>
            </w:r>
          </w:p>
        </w:tc>
      </w:tr>
      <w:tr w:rsidR="00A32F79" w:rsidRPr="003E6C59" w:rsidTr="008D592D">
        <w:trPr>
          <w:trHeight w:val="3121"/>
        </w:trPr>
        <w:tc>
          <w:tcPr>
            <w:tcW w:w="5000" w:type="pct"/>
            <w:shd w:val="clear" w:color="auto" w:fill="auto"/>
          </w:tcPr>
          <w:p w:rsidR="00A32F79" w:rsidRPr="003E6C59" w:rsidRDefault="00A32F79" w:rsidP="00A32F79">
            <w:pPr>
              <w:jc w:val="both"/>
              <w:rPr>
                <w:rFonts w:ascii="Times New Roman" w:eastAsia="Calibri" w:hAnsi="Times New Roman" w:cs="Times New Roman"/>
                <w:sz w:val="26"/>
                <w:szCs w:val="26"/>
              </w:rPr>
            </w:pPr>
            <w:r w:rsidRPr="003E6C59">
              <w:rPr>
                <w:rFonts w:ascii="Times New Roman" w:eastAsia="Calibri" w:hAnsi="Times New Roman" w:cs="Times New Roman"/>
                <w:sz w:val="26"/>
                <w:szCs w:val="26"/>
              </w:rPr>
              <w:t>Principalele prevederi ale proiectului se referă la:</w:t>
            </w:r>
          </w:p>
          <w:p w:rsidR="00A32F79" w:rsidRPr="003E6C59" w:rsidRDefault="00A32F79" w:rsidP="00A32F79">
            <w:pPr>
              <w:spacing w:after="120" w:line="240" w:lineRule="auto"/>
              <w:jc w:val="both"/>
              <w:rPr>
                <w:rFonts w:ascii="Times New Roman" w:eastAsia="Calibri" w:hAnsi="Times New Roman" w:cs="Times New Roman"/>
                <w:sz w:val="26"/>
                <w:szCs w:val="26"/>
              </w:rPr>
            </w:pPr>
            <w:r w:rsidRPr="003E6C59">
              <w:rPr>
                <w:rFonts w:ascii="Times New Roman" w:eastAsia="Calibri" w:hAnsi="Times New Roman" w:cs="Times New Roman"/>
                <w:sz w:val="26"/>
                <w:szCs w:val="26"/>
              </w:rPr>
              <w:t xml:space="preserve">La </w:t>
            </w:r>
            <w:r w:rsidRPr="003E6C59">
              <w:rPr>
                <w:rFonts w:ascii="Times New Roman" w:eastAsia="Calibri" w:hAnsi="Times New Roman" w:cs="Times New Roman"/>
                <w:b/>
                <w:sz w:val="26"/>
                <w:szCs w:val="26"/>
              </w:rPr>
              <w:t>articolul 6, alineatul (3)</w:t>
            </w:r>
            <w:r w:rsidRPr="003E6C59">
              <w:rPr>
                <w:rFonts w:ascii="Times New Roman" w:eastAsia="Calibri" w:hAnsi="Times New Roman" w:cs="Times New Roman"/>
                <w:sz w:val="26"/>
                <w:szCs w:val="26"/>
              </w:rPr>
              <w:t xml:space="preserve"> prima propoziție se substituie prin următorul text: „Sursele de venit ale Administraţiei parcului se constituie din cotizațiile obligatorii ale rezidenților parcului, precum și alte venituri legale. Mărimea cotizațiilor obligatorii ale rezidenților parcului este stabilită de Administrație în conformitate cu regulamentul acesteia, în funcție de numărul rezidenților parcului și venitul din vânzări al acestora.”</w:t>
            </w:r>
          </w:p>
          <w:p w:rsidR="00A32F79" w:rsidRPr="003E6C59" w:rsidRDefault="00A32F79" w:rsidP="00A32F79">
            <w:pPr>
              <w:spacing w:after="120" w:line="240" w:lineRule="auto"/>
              <w:jc w:val="both"/>
              <w:rPr>
                <w:rFonts w:ascii="Times New Roman" w:eastAsia="Calibri" w:hAnsi="Times New Roman" w:cs="Times New Roman"/>
                <w:sz w:val="26"/>
                <w:szCs w:val="26"/>
              </w:rPr>
            </w:pPr>
            <w:r w:rsidRPr="003E6C59">
              <w:rPr>
                <w:rFonts w:ascii="Times New Roman" w:eastAsia="Calibri" w:hAnsi="Times New Roman" w:cs="Times New Roman"/>
                <w:sz w:val="26"/>
                <w:szCs w:val="26"/>
              </w:rPr>
              <w:t>Această modificare este una redacțională, având menirea de a corela sursele de venit ale Administrației parcului cu atribuțiile acesteia potrivit art. 13 al Legii 77/2016 (în special, lit. h)). Astfel, alte venituri legale ale Administrației se referă la onorariile pentru serviciile de consultanță care ar putea fi prestate rezidenților pe bază de contract, precum și veniturile rezultate din implementarea proiectelor / programelor privind dezvoltarea industriei tehnologiei informației și ecosistemului pentru inovare digitală.</w:t>
            </w:r>
          </w:p>
          <w:p w:rsidR="00A32F79" w:rsidRPr="003E6C59" w:rsidRDefault="00A32F79" w:rsidP="00A32F79">
            <w:pPr>
              <w:spacing w:after="120" w:line="240" w:lineRule="auto"/>
              <w:jc w:val="both"/>
              <w:rPr>
                <w:rFonts w:ascii="Times New Roman" w:eastAsia="Calibri" w:hAnsi="Times New Roman" w:cs="Times New Roman"/>
                <w:sz w:val="26"/>
                <w:szCs w:val="26"/>
              </w:rPr>
            </w:pPr>
            <w:r w:rsidRPr="003E6C59">
              <w:rPr>
                <w:rFonts w:ascii="Times New Roman" w:eastAsia="Calibri" w:hAnsi="Times New Roman" w:cs="Times New Roman"/>
                <w:b/>
                <w:sz w:val="26"/>
                <w:szCs w:val="26"/>
              </w:rPr>
              <w:t>Articolul 15 alineatul (1), litera c) Substituirea „fondurile de risc, create cu implicarea Guvernului” cu textul „Fondul de susținere a inovațiilor digitale și startup-urilor tehnologice, care funcționează în baza Regulamentului aprobat de Guvern”.</w:t>
            </w:r>
          </w:p>
          <w:p w:rsidR="00A32F79" w:rsidRPr="003E6C59" w:rsidRDefault="00A32F79" w:rsidP="00A32F79">
            <w:pPr>
              <w:spacing w:after="120" w:line="240" w:lineRule="auto"/>
              <w:jc w:val="both"/>
              <w:rPr>
                <w:rFonts w:ascii="Times New Roman" w:eastAsia="Calibri" w:hAnsi="Times New Roman" w:cs="Times New Roman"/>
                <w:sz w:val="26"/>
                <w:szCs w:val="26"/>
              </w:rPr>
            </w:pPr>
            <w:r w:rsidRPr="003E6C59">
              <w:rPr>
                <w:rFonts w:ascii="Times New Roman" w:eastAsia="Calibri" w:hAnsi="Times New Roman" w:cs="Times New Roman"/>
                <w:sz w:val="26"/>
                <w:szCs w:val="26"/>
              </w:rPr>
              <w:t xml:space="preserve">Redacția în vigoare a art. 15 alin (1) lit. c) din Legea 77/2016 cu privire la parcurile pentru tehnologia informației, prevede posibilitatea rezidenților parcului IT de a beneficia de mijloacele  „fondurilor de risc, create cu implicarea Guvernului”, însă, pînă în prezent asemenea fonduri nu au fost create în lipsa cadrului normativ, totodată, mijloacele din fondurile de risc nu ar reprezenta cea mai eficientă și accesibilă soluție în cazul finanțării startup-urilor IT. </w:t>
            </w:r>
          </w:p>
          <w:p w:rsidR="00A32F79" w:rsidRPr="003E6C59" w:rsidRDefault="00A32F79" w:rsidP="00A32F79">
            <w:pPr>
              <w:spacing w:after="120" w:line="240" w:lineRule="auto"/>
              <w:jc w:val="both"/>
              <w:rPr>
                <w:rFonts w:ascii="Times New Roman" w:eastAsia="Calibri" w:hAnsi="Times New Roman" w:cs="Times New Roman"/>
                <w:sz w:val="26"/>
                <w:szCs w:val="26"/>
              </w:rPr>
            </w:pPr>
            <w:r w:rsidRPr="003E6C59">
              <w:rPr>
                <w:rFonts w:ascii="Times New Roman" w:eastAsia="Calibri" w:hAnsi="Times New Roman" w:cs="Times New Roman"/>
                <w:sz w:val="26"/>
                <w:szCs w:val="26"/>
              </w:rPr>
              <w:t>Astfel, se propune substituirea acestei prevederi prin „Fondul de susținere a inovațiilor digitale și startup-urilor tehnologice”, care va funcționa în baza unui Regulament aprobat de Guvern. Modul de finanțare a startup-urilor va fi stipulat în Regulament, dar cea mai eficientă soluție la prima etapă ar fi finanțarea nerambursabilă pe baza granturilor.</w:t>
            </w:r>
          </w:p>
          <w:p w:rsidR="00A32F79" w:rsidRPr="003E6C59" w:rsidRDefault="00A32F79" w:rsidP="00A32F79">
            <w:pPr>
              <w:spacing w:after="120" w:line="240" w:lineRule="auto"/>
              <w:jc w:val="both"/>
              <w:rPr>
                <w:rFonts w:ascii="Times New Roman" w:eastAsia="Calibri" w:hAnsi="Times New Roman" w:cs="Times New Roman"/>
                <w:sz w:val="26"/>
                <w:szCs w:val="26"/>
              </w:rPr>
            </w:pPr>
            <w:r w:rsidRPr="003E6C59">
              <w:rPr>
                <w:rFonts w:ascii="Times New Roman" w:eastAsia="Calibri" w:hAnsi="Times New Roman" w:cs="Times New Roman"/>
                <w:sz w:val="26"/>
                <w:szCs w:val="26"/>
              </w:rPr>
              <w:t>Acest Fond ar putea activa pe platforma instituțională ODIMM, beneficiind de finanțare mixtă, atât din bugetul de stat, cât și din mijloacele partenerilor de dezvoltare, iar utilizarea mijloacelor Fondului să fie administrată și monitorizată de către un Consiliu de coordonare, cu participarea reprezentanților sectorului asociativ și partenerilor de dezvoltare.</w:t>
            </w:r>
          </w:p>
          <w:p w:rsidR="00A32F79" w:rsidRPr="003E6C59" w:rsidRDefault="00A32F79" w:rsidP="00A32F79">
            <w:pPr>
              <w:spacing w:after="120" w:line="240" w:lineRule="auto"/>
              <w:jc w:val="both"/>
              <w:rPr>
                <w:rFonts w:ascii="Times New Roman" w:eastAsia="Calibri" w:hAnsi="Times New Roman" w:cs="Times New Roman"/>
                <w:sz w:val="26"/>
                <w:szCs w:val="26"/>
              </w:rPr>
            </w:pPr>
            <w:r w:rsidRPr="003E6C59">
              <w:rPr>
                <w:rFonts w:ascii="Times New Roman" w:eastAsia="Calibri" w:hAnsi="Times New Roman" w:cs="Times New Roman"/>
                <w:sz w:val="26"/>
                <w:szCs w:val="26"/>
              </w:rPr>
              <w:t>În acest sens, este de menționat deschiderea partenerilor de dezvoltare de a finanța idei de afaceri inovaționale IT și startup-uri tehnologice, însă, până în prezent lipsește platforma organizațională, activitatea căreia să fie reglementată și care să beneficieze de suportul Guvernului. În acest sens, cu suportul partenerilor de dezvoltare, ATIC și Centrul de excelență TEKWILL au elaborat Conceptul Programului Startup Moldova care prevede consiliere și suport pentru startup-uri tehnologice în vederea lansării și creșterii afacerilor. Astfel, prin crearea Fondului specializat vom asigura sinergia eforturilor Guvernului și sectorului asociativ în domeniul TIC, partenerilor de dezvoltare, în vederea creării și asigurării funcționării mecanismelor de suport pentru afaceri noi inovative.</w:t>
            </w:r>
          </w:p>
          <w:p w:rsidR="00091458" w:rsidRPr="003E6C59" w:rsidRDefault="00A32F79" w:rsidP="002359F7">
            <w:pPr>
              <w:spacing w:after="120" w:line="240" w:lineRule="auto"/>
              <w:jc w:val="both"/>
              <w:rPr>
                <w:rFonts w:ascii="Times New Roman" w:eastAsia="Calibri" w:hAnsi="Times New Roman" w:cs="Times New Roman"/>
                <w:sz w:val="26"/>
                <w:szCs w:val="26"/>
              </w:rPr>
            </w:pPr>
            <w:r w:rsidRPr="003E6C59">
              <w:rPr>
                <w:rFonts w:ascii="Times New Roman" w:eastAsia="Calibri" w:hAnsi="Times New Roman" w:cs="Times New Roman"/>
                <w:sz w:val="26"/>
                <w:szCs w:val="26"/>
              </w:rPr>
              <w:t>Ulterior aprobării modificărilor la lege, Guvernul va aproba Regulamentul care va prevedea principiile, misiunea, obiectivele Fondului, precum și modul de formare și utilizare a mijloacelor Fondului, prin intermediul ODIMM, cu participarea în Consiliul de Coordonare al Fondului a reprezentanților ministere</w:t>
            </w:r>
            <w:r w:rsidR="00401BCB" w:rsidRPr="003E6C59">
              <w:rPr>
                <w:rFonts w:ascii="Times New Roman" w:eastAsia="Calibri" w:hAnsi="Times New Roman" w:cs="Times New Roman"/>
                <w:sz w:val="26"/>
                <w:szCs w:val="26"/>
              </w:rPr>
              <w:t>lor, Administrației Moldova IT p</w:t>
            </w:r>
            <w:r w:rsidRPr="003E6C59">
              <w:rPr>
                <w:rFonts w:ascii="Times New Roman" w:eastAsia="Calibri" w:hAnsi="Times New Roman" w:cs="Times New Roman"/>
                <w:sz w:val="26"/>
                <w:szCs w:val="26"/>
              </w:rPr>
              <w:t xml:space="preserve">ark, ATIC, Tekwill și a partenerilor de dezvoltare.  </w:t>
            </w:r>
          </w:p>
          <w:p w:rsidR="002359F7" w:rsidRPr="003E6C59" w:rsidRDefault="002359F7" w:rsidP="002359F7">
            <w:pPr>
              <w:spacing w:after="120" w:line="240" w:lineRule="auto"/>
              <w:jc w:val="both"/>
              <w:rPr>
                <w:rFonts w:ascii="Times New Roman" w:eastAsia="Calibri" w:hAnsi="Times New Roman" w:cs="Times New Roman"/>
                <w:b/>
                <w:sz w:val="26"/>
                <w:szCs w:val="26"/>
              </w:rPr>
            </w:pPr>
            <w:r w:rsidRPr="003E6C59">
              <w:rPr>
                <w:rFonts w:ascii="Times New Roman" w:eastAsia="Calibri" w:hAnsi="Times New Roman" w:cs="Times New Roman"/>
                <w:b/>
                <w:sz w:val="26"/>
                <w:szCs w:val="26"/>
              </w:rPr>
              <w:t>La articolul 16 alineatul (1) cifra „60%” se substituie cu cifra „85 %”.</w:t>
            </w:r>
          </w:p>
          <w:p w:rsidR="002359F7" w:rsidRPr="003E6C59" w:rsidRDefault="002359F7" w:rsidP="002359F7">
            <w:pPr>
              <w:spacing w:after="120" w:line="240" w:lineRule="auto"/>
              <w:jc w:val="both"/>
              <w:rPr>
                <w:rFonts w:ascii="Times New Roman" w:eastAsia="Calibri" w:hAnsi="Times New Roman" w:cs="Times New Roman"/>
                <w:sz w:val="26"/>
                <w:szCs w:val="26"/>
              </w:rPr>
            </w:pPr>
            <w:r w:rsidRPr="003E6C59">
              <w:rPr>
                <w:rFonts w:ascii="Times New Roman" w:eastAsia="Calibri" w:hAnsi="Times New Roman" w:cs="Times New Roman"/>
                <w:sz w:val="26"/>
                <w:szCs w:val="26"/>
              </w:rPr>
              <w:t xml:space="preserve">Conform art. 16 alin. (1) al Legii nr.77/2016, în prezent, salariații rezidenților parcului beneficiază de toate tipurile de prestații de asigurări sociale de stat din bugetul asigurărilor sociale de stat, </w:t>
            </w:r>
            <w:r w:rsidRPr="003E6C59">
              <w:rPr>
                <w:rFonts w:ascii="Times New Roman" w:eastAsia="Calibri" w:hAnsi="Times New Roman" w:cs="Times New Roman"/>
                <w:sz w:val="26"/>
                <w:szCs w:val="26"/>
              </w:rPr>
              <w:lastRenderedPageBreak/>
              <w:t>conform legislației în vigoare. Totodată, venitul lunar asigurat al acestor salariați constituie 60% din cuantumul salariului mediu lunar pe economie, prognozat pentru anul respectiv.</w:t>
            </w:r>
          </w:p>
          <w:p w:rsidR="002359F7" w:rsidRPr="003E6C59" w:rsidRDefault="002359F7" w:rsidP="002359F7">
            <w:pPr>
              <w:spacing w:after="120" w:line="240" w:lineRule="auto"/>
              <w:jc w:val="both"/>
              <w:rPr>
                <w:rFonts w:ascii="Times New Roman" w:eastAsia="Calibri" w:hAnsi="Times New Roman" w:cs="Times New Roman"/>
                <w:sz w:val="26"/>
                <w:szCs w:val="26"/>
              </w:rPr>
            </w:pPr>
            <w:r w:rsidRPr="003E6C59">
              <w:rPr>
                <w:rFonts w:ascii="Times New Roman" w:eastAsia="Calibri" w:hAnsi="Times New Roman" w:cs="Times New Roman"/>
                <w:sz w:val="26"/>
                <w:szCs w:val="26"/>
              </w:rPr>
              <w:t xml:space="preserve">Actualmente, în Republica Moldova </w:t>
            </w:r>
            <w:r w:rsidR="00724D63" w:rsidRPr="003E6C59">
              <w:rPr>
                <w:rFonts w:ascii="Times New Roman" w:eastAsia="Calibri" w:hAnsi="Times New Roman" w:cs="Times New Roman"/>
                <w:sz w:val="26"/>
                <w:szCs w:val="26"/>
              </w:rPr>
              <w:t>lipsește</w:t>
            </w:r>
            <w:r w:rsidRPr="003E6C59">
              <w:rPr>
                <w:rFonts w:ascii="Times New Roman" w:eastAsia="Calibri" w:hAnsi="Times New Roman" w:cs="Times New Roman"/>
                <w:sz w:val="26"/>
                <w:szCs w:val="26"/>
              </w:rPr>
              <w:t xml:space="preserve"> o alternativă de asigurare socială de stat, care ar oferi posibilitatea </w:t>
            </w:r>
            <w:r w:rsidR="00724D63" w:rsidRPr="003E6C59">
              <w:rPr>
                <w:rFonts w:ascii="Times New Roman" w:eastAsia="Calibri" w:hAnsi="Times New Roman" w:cs="Times New Roman"/>
                <w:sz w:val="26"/>
                <w:szCs w:val="26"/>
              </w:rPr>
              <w:t>angajaților</w:t>
            </w:r>
            <w:r w:rsidRPr="003E6C59">
              <w:rPr>
                <w:rFonts w:ascii="Times New Roman" w:eastAsia="Calibri" w:hAnsi="Times New Roman" w:cs="Times New Roman"/>
                <w:sz w:val="26"/>
                <w:szCs w:val="26"/>
              </w:rPr>
              <w:t xml:space="preserve"> </w:t>
            </w:r>
            <w:r w:rsidR="00724D63" w:rsidRPr="003E6C59">
              <w:rPr>
                <w:rFonts w:ascii="Times New Roman" w:eastAsia="Calibri" w:hAnsi="Times New Roman" w:cs="Times New Roman"/>
                <w:sz w:val="26"/>
                <w:szCs w:val="26"/>
              </w:rPr>
              <w:t>rezidenților</w:t>
            </w:r>
            <w:r w:rsidRPr="003E6C59">
              <w:rPr>
                <w:rFonts w:ascii="Times New Roman" w:eastAsia="Calibri" w:hAnsi="Times New Roman" w:cs="Times New Roman"/>
                <w:sz w:val="26"/>
                <w:szCs w:val="26"/>
              </w:rPr>
              <w:t xml:space="preserve"> Moldova IT park (MITP), să contribuie suplimentar la bugetul de asigurări sociale de stat în schimbul unei acoperiri mai mari de riscuri sociale (în special, ne referim la venitul asigurat considerat pentru calcularea </w:t>
            </w:r>
            <w:r w:rsidR="00724D63" w:rsidRPr="003E6C59">
              <w:rPr>
                <w:rFonts w:ascii="Times New Roman" w:eastAsia="Calibri" w:hAnsi="Times New Roman" w:cs="Times New Roman"/>
                <w:sz w:val="26"/>
                <w:szCs w:val="26"/>
              </w:rPr>
              <w:t>prestațiilor</w:t>
            </w:r>
            <w:r w:rsidRPr="003E6C59">
              <w:rPr>
                <w:rFonts w:ascii="Times New Roman" w:eastAsia="Calibri" w:hAnsi="Times New Roman" w:cs="Times New Roman"/>
                <w:sz w:val="26"/>
                <w:szCs w:val="26"/>
              </w:rPr>
              <w:t xml:space="preserve"> sociale).</w:t>
            </w:r>
          </w:p>
          <w:p w:rsidR="002359F7" w:rsidRPr="003E6C59" w:rsidRDefault="002359F7" w:rsidP="002359F7">
            <w:pPr>
              <w:spacing w:after="120" w:line="240" w:lineRule="auto"/>
              <w:jc w:val="both"/>
              <w:rPr>
                <w:rFonts w:ascii="Times New Roman" w:eastAsia="Calibri" w:hAnsi="Times New Roman" w:cs="Times New Roman"/>
                <w:sz w:val="26"/>
                <w:szCs w:val="26"/>
              </w:rPr>
            </w:pPr>
            <w:r w:rsidRPr="003E6C59">
              <w:rPr>
                <w:rFonts w:ascii="Times New Roman" w:eastAsia="Calibri" w:hAnsi="Times New Roman" w:cs="Times New Roman"/>
                <w:sz w:val="26"/>
                <w:szCs w:val="26"/>
              </w:rPr>
              <w:t>Totodată, unul dintre principiile organizării și funcționării sistemului public de asigurări sociale este principiul contribuitivității, potrivit căruia drepturile de asigurări sociale se cuvin pe temeiul contribuțiilor de asigurări sociale plătite. De asemenea, ar putea fi invocat și principiul egalității, care asigură tuturor participanților la sistemul public un tratament nediscriminatoriu în ceea ce privește drepturile și obligațiile prevăzute de lege.</w:t>
            </w:r>
          </w:p>
          <w:p w:rsidR="002359F7" w:rsidRPr="003E6C59" w:rsidRDefault="002359F7" w:rsidP="002359F7">
            <w:pPr>
              <w:spacing w:after="120" w:line="240" w:lineRule="auto"/>
              <w:jc w:val="both"/>
              <w:rPr>
                <w:rFonts w:ascii="Times New Roman" w:eastAsia="Calibri" w:hAnsi="Times New Roman" w:cs="Times New Roman"/>
                <w:sz w:val="26"/>
                <w:szCs w:val="26"/>
              </w:rPr>
            </w:pPr>
            <w:r w:rsidRPr="003E6C59">
              <w:rPr>
                <w:rFonts w:ascii="Times New Roman" w:eastAsia="Calibri" w:hAnsi="Times New Roman" w:cs="Times New Roman"/>
                <w:sz w:val="26"/>
                <w:szCs w:val="26"/>
              </w:rPr>
              <w:t xml:space="preserve">În vederea creării unor </w:t>
            </w:r>
            <w:r w:rsidR="00724D63" w:rsidRPr="003E6C59">
              <w:rPr>
                <w:rFonts w:ascii="Times New Roman" w:eastAsia="Calibri" w:hAnsi="Times New Roman" w:cs="Times New Roman"/>
                <w:sz w:val="26"/>
                <w:szCs w:val="26"/>
              </w:rPr>
              <w:t>condiții</w:t>
            </w:r>
            <w:r w:rsidRPr="003E6C59">
              <w:rPr>
                <w:rFonts w:ascii="Times New Roman" w:eastAsia="Calibri" w:hAnsi="Times New Roman" w:cs="Times New Roman"/>
                <w:sz w:val="26"/>
                <w:szCs w:val="26"/>
              </w:rPr>
              <w:t xml:space="preserve"> echitabile pentru </w:t>
            </w:r>
            <w:r w:rsidR="00724D63" w:rsidRPr="003E6C59">
              <w:rPr>
                <w:rFonts w:ascii="Times New Roman" w:eastAsia="Calibri" w:hAnsi="Times New Roman" w:cs="Times New Roman"/>
                <w:sz w:val="26"/>
                <w:szCs w:val="26"/>
              </w:rPr>
              <w:t>rezidenții</w:t>
            </w:r>
            <w:r w:rsidRPr="003E6C59">
              <w:rPr>
                <w:rFonts w:ascii="Times New Roman" w:eastAsia="Calibri" w:hAnsi="Times New Roman" w:cs="Times New Roman"/>
                <w:sz w:val="26"/>
                <w:szCs w:val="26"/>
              </w:rPr>
              <w:t xml:space="preserve"> MITP, se propune </w:t>
            </w:r>
            <w:r w:rsidR="00724D63" w:rsidRPr="003E6C59">
              <w:rPr>
                <w:rFonts w:ascii="Times New Roman" w:eastAsia="Calibri" w:hAnsi="Times New Roman" w:cs="Times New Roman"/>
                <w:sz w:val="26"/>
                <w:szCs w:val="26"/>
              </w:rPr>
              <w:t>creșterea</w:t>
            </w:r>
            <w:r w:rsidRPr="003E6C59">
              <w:rPr>
                <w:rFonts w:ascii="Times New Roman" w:eastAsia="Calibri" w:hAnsi="Times New Roman" w:cs="Times New Roman"/>
                <w:sz w:val="26"/>
                <w:szCs w:val="26"/>
              </w:rPr>
              <w:t xml:space="preserve"> venitului lunar asigurat al acestor salariați de la 60% la 85%. </w:t>
            </w:r>
          </w:p>
          <w:p w:rsidR="002359F7" w:rsidRPr="003E6C59" w:rsidRDefault="002359F7" w:rsidP="002359F7">
            <w:pPr>
              <w:spacing w:after="120" w:line="240" w:lineRule="auto"/>
              <w:jc w:val="both"/>
              <w:rPr>
                <w:rFonts w:ascii="Times New Roman" w:eastAsia="Calibri" w:hAnsi="Times New Roman" w:cs="Times New Roman"/>
                <w:sz w:val="26"/>
                <w:szCs w:val="26"/>
              </w:rPr>
            </w:pPr>
            <w:r w:rsidRPr="003E6C59">
              <w:rPr>
                <w:rFonts w:ascii="Times New Roman" w:eastAsia="Calibri" w:hAnsi="Times New Roman" w:cs="Times New Roman"/>
                <w:sz w:val="26"/>
                <w:szCs w:val="26"/>
              </w:rPr>
              <w:t>În acest sens, sunt aduse următoarele argumente:</w:t>
            </w:r>
          </w:p>
          <w:p w:rsidR="002359F7" w:rsidRPr="003E6C59" w:rsidRDefault="002359F7" w:rsidP="002359F7">
            <w:pPr>
              <w:spacing w:after="120" w:line="240" w:lineRule="auto"/>
              <w:jc w:val="both"/>
              <w:rPr>
                <w:rFonts w:ascii="Times New Roman" w:eastAsia="Calibri" w:hAnsi="Times New Roman" w:cs="Times New Roman"/>
                <w:sz w:val="26"/>
                <w:szCs w:val="26"/>
              </w:rPr>
            </w:pPr>
            <w:r w:rsidRPr="003E6C59">
              <w:rPr>
                <w:rFonts w:ascii="Times New Roman" w:eastAsia="Calibri" w:hAnsi="Times New Roman" w:cs="Times New Roman"/>
                <w:sz w:val="26"/>
                <w:szCs w:val="26"/>
              </w:rPr>
              <w:t>Analiza evoluției încasărilor din impozitul unic achitat de rezidenții parcurilor IT după 2 ani de activitate a MITP denotă că, de fapt, veniturile bugetului de asigurări sociale de stat (BASS) rezultate din distribuția impozitului unic raportate la numărul lor de angajați excede nivelul actual al venitului lunar asigurat al angajaților rezidenților parcurilor IT în vederea stabilirii prestațiilor de asigurări sociale.</w:t>
            </w:r>
          </w:p>
          <w:p w:rsidR="002359F7" w:rsidRPr="003E6C59" w:rsidRDefault="002359F7" w:rsidP="002359F7">
            <w:pPr>
              <w:spacing w:after="120" w:line="240" w:lineRule="auto"/>
              <w:jc w:val="both"/>
              <w:rPr>
                <w:rFonts w:ascii="Times New Roman" w:eastAsia="Calibri" w:hAnsi="Times New Roman" w:cs="Times New Roman"/>
                <w:sz w:val="26"/>
                <w:szCs w:val="26"/>
              </w:rPr>
            </w:pPr>
            <w:r w:rsidRPr="003E6C59">
              <w:rPr>
                <w:rFonts w:ascii="Times New Roman" w:eastAsia="Calibri" w:hAnsi="Times New Roman" w:cs="Times New Roman"/>
                <w:sz w:val="26"/>
                <w:szCs w:val="26"/>
              </w:rPr>
              <w:t>Astfel, în anul 2018, rezidenții MITP au avut în mediu 4528 angajați, iar suma medie lunară încasată la BASS per fiecare angajat a fost de 1458 lei. Reieșind din cotele CAS aplicabile, venitul lunar asigurat al acestora ar fi constituit 5254 lei, comparativ cu 3690 lei (i.e. 60% din 6150 lei), ceea ce reprezintă 85% din salariul mediu prognozat pe economie pentru anul 2018.</w:t>
            </w:r>
          </w:p>
          <w:p w:rsidR="002359F7" w:rsidRPr="003E6C59" w:rsidRDefault="002359F7" w:rsidP="002359F7">
            <w:pPr>
              <w:spacing w:after="120" w:line="240" w:lineRule="auto"/>
              <w:jc w:val="both"/>
              <w:rPr>
                <w:rFonts w:ascii="Times New Roman" w:eastAsia="Calibri" w:hAnsi="Times New Roman" w:cs="Times New Roman"/>
                <w:sz w:val="26"/>
                <w:szCs w:val="26"/>
              </w:rPr>
            </w:pPr>
            <w:r w:rsidRPr="003E6C59">
              <w:rPr>
                <w:rFonts w:ascii="Times New Roman" w:eastAsia="Calibri" w:hAnsi="Times New Roman" w:cs="Times New Roman"/>
                <w:sz w:val="26"/>
                <w:szCs w:val="26"/>
              </w:rPr>
              <w:t>Un decalaj semnificativ mai mare s-a produs în anul 2019, când rezidenții MITP au declarat spre plată 285 mln. lei în formă de impozit unic, din care 156 mln. lei au ajuns la BASS pentru asigurarea socială a unui număr mediu de 8450 angajați (i.e. 1539 lei lunar per angajat). Respectiv, în condițiile cotelor standard de CAS de 6% la nivelul angajaților și 18% la nivelul angajatorilor, venitul lunar asigurat al unui angajat pentru care se achită CAS în valoare de 1539 lei pe lună ar fi de 6411 lei, adică 92% din salariul mediu prognozat pe economie pentru anul 2019.</w:t>
            </w:r>
          </w:p>
          <w:p w:rsidR="002359F7" w:rsidRPr="003E6C59" w:rsidRDefault="002359F7" w:rsidP="002359F7">
            <w:pPr>
              <w:spacing w:after="120" w:line="240" w:lineRule="auto"/>
              <w:jc w:val="both"/>
              <w:rPr>
                <w:rFonts w:ascii="Times New Roman" w:eastAsia="Calibri" w:hAnsi="Times New Roman" w:cs="Times New Roman"/>
                <w:sz w:val="26"/>
                <w:szCs w:val="26"/>
              </w:rPr>
            </w:pPr>
            <w:r w:rsidRPr="003E6C59">
              <w:rPr>
                <w:rFonts w:ascii="Times New Roman" w:eastAsia="Calibri" w:hAnsi="Times New Roman" w:cs="Times New Roman"/>
                <w:sz w:val="26"/>
                <w:szCs w:val="26"/>
              </w:rPr>
              <w:t xml:space="preserve">În viitor cel mai probabil acest decalaj se va amplifica și mai mult, iar acest lucru se va datora inclusiv specificului industriei IT de a genera produse și servicii cu valoare adăugată sporită. Astfel, ritmul de creștere a încasărilor din impozitul unic de la aceste companii este și va fi mai mare decât ritmul de creștere a numărului de angajați antrenați în activitățile lor. </w:t>
            </w:r>
          </w:p>
          <w:p w:rsidR="002359F7" w:rsidRPr="003E6C59" w:rsidRDefault="002359F7" w:rsidP="002359F7">
            <w:pPr>
              <w:spacing w:after="120" w:line="240" w:lineRule="auto"/>
              <w:jc w:val="both"/>
              <w:rPr>
                <w:rFonts w:ascii="Times New Roman" w:eastAsia="Calibri" w:hAnsi="Times New Roman" w:cs="Times New Roman"/>
                <w:sz w:val="26"/>
                <w:szCs w:val="26"/>
              </w:rPr>
            </w:pPr>
            <w:r w:rsidRPr="003E6C59">
              <w:rPr>
                <w:rFonts w:ascii="Times New Roman" w:eastAsia="Calibri" w:hAnsi="Times New Roman" w:cs="Times New Roman"/>
                <w:sz w:val="26"/>
                <w:szCs w:val="26"/>
              </w:rPr>
              <w:t>Respectiv, încasările din impozitul unic (inclusiv distribuția la BASS), vor crește mai mult decât asigurarea socială garantată angajaților, reprezentând o sumă fixă.</w:t>
            </w:r>
          </w:p>
          <w:p w:rsidR="002359F7" w:rsidRPr="003E6C59" w:rsidRDefault="002359F7" w:rsidP="002359F7">
            <w:pPr>
              <w:spacing w:after="120" w:line="240" w:lineRule="auto"/>
              <w:jc w:val="both"/>
              <w:rPr>
                <w:rFonts w:ascii="Times New Roman" w:eastAsia="Calibri" w:hAnsi="Times New Roman" w:cs="Times New Roman"/>
                <w:sz w:val="26"/>
                <w:szCs w:val="26"/>
              </w:rPr>
            </w:pPr>
            <w:r w:rsidRPr="003E6C59">
              <w:rPr>
                <w:rFonts w:ascii="Times New Roman" w:eastAsia="Calibri" w:hAnsi="Times New Roman" w:cs="Times New Roman"/>
                <w:sz w:val="26"/>
                <w:szCs w:val="26"/>
              </w:rPr>
              <w:t>De exemplu, în 2019 impozitul unit datorat de companiile rezidente MITP a crescut cu +97% față de anul 2018, iar numărul angajaților în aceeași perioadă a crescut doar cu +87%. Pentru anul 2020 cei 556 rezidenți actuali ai MITP au prognozat venituri în valoare de 4 miliarde de lei. Merită a fi menționat faptul că, în anii precedenți veniturile realizate au depășit veniturile prognozate cu 23%-28%. Respectiv, veniturile pe care le vor realiza cele 550 companii ar putea depăși 5 miliarde lei.</w:t>
            </w:r>
          </w:p>
          <w:p w:rsidR="002359F7" w:rsidRPr="003E6C59" w:rsidRDefault="002359F7" w:rsidP="002359F7">
            <w:pPr>
              <w:spacing w:after="120" w:line="240" w:lineRule="auto"/>
              <w:jc w:val="both"/>
              <w:rPr>
                <w:rFonts w:ascii="Times New Roman" w:eastAsia="Calibri" w:hAnsi="Times New Roman" w:cs="Times New Roman"/>
                <w:sz w:val="26"/>
                <w:szCs w:val="26"/>
              </w:rPr>
            </w:pPr>
            <w:r w:rsidRPr="003E6C59">
              <w:rPr>
                <w:rFonts w:ascii="Times New Roman" w:eastAsia="Calibri" w:hAnsi="Times New Roman" w:cs="Times New Roman"/>
                <w:sz w:val="26"/>
                <w:szCs w:val="26"/>
              </w:rPr>
              <w:t>Este, de asemenea, importantă analiza corelării contribuției rezidenților parcului IT la BASS comparativ cu prestațiile sociale de care beneficiază angajații acestora.</w:t>
            </w:r>
          </w:p>
          <w:p w:rsidR="002359F7" w:rsidRPr="003E6C59" w:rsidRDefault="002359F7" w:rsidP="002359F7">
            <w:pPr>
              <w:spacing w:after="120" w:line="240" w:lineRule="auto"/>
              <w:jc w:val="both"/>
              <w:rPr>
                <w:rFonts w:ascii="Times New Roman" w:eastAsia="Calibri" w:hAnsi="Times New Roman" w:cs="Times New Roman"/>
                <w:sz w:val="26"/>
                <w:szCs w:val="26"/>
              </w:rPr>
            </w:pPr>
            <w:r w:rsidRPr="003E6C59">
              <w:rPr>
                <w:rFonts w:ascii="Times New Roman" w:eastAsia="Calibri" w:hAnsi="Times New Roman" w:cs="Times New Roman"/>
                <w:sz w:val="26"/>
                <w:szCs w:val="26"/>
              </w:rPr>
              <w:t xml:space="preserve">Astfel, potrivit datelor furnizate de Casa Națională de Asigurări Sociale în anul 2018 doar 168 angajați (din 4528) ai rezidenților MITP au beneficiat de prestații de asigurări sociale în mărime totală de 6115 mii lei, ceea ce reprezintă 7.7% din încasările la BASS din contul impozitului unic achitat de rezidenții MITP. În anul 2019 numărul beneficiarilor de prestații sociale a crescut la 582 </w:t>
            </w:r>
            <w:r w:rsidRPr="003E6C59">
              <w:rPr>
                <w:rFonts w:ascii="Times New Roman" w:eastAsia="Calibri" w:hAnsi="Times New Roman" w:cs="Times New Roman"/>
                <w:sz w:val="26"/>
                <w:szCs w:val="26"/>
              </w:rPr>
              <w:lastRenderedPageBreak/>
              <w:t>angajați, însă suma prestațiilor de asigurări sociale pe care le-au accesat a fost de doar 5,520 mii lei comparativ cu 156,027 mii lei transferați pentru asigurarea lor socială către BASS, generând o rată a contraprestațiilor de doar 3.5%. Bineînțeles, acești angajați urmează să beneficieze ulterior și de pensii în cadrul sistemului public de asigurări sociale, însă potrivit datelor publice privind executarea BASS cca. 85% din volumul prestațiilor se consumă pe pensii. Or, pentru 2018-2019, contraprestația BASS către angajații rezidenților MITP a fost în medie de 4.9%. Respectiv, 95.1% ar urma să fie utilizate pentru asigurarea pensiilor.</w:t>
            </w:r>
          </w:p>
          <w:p w:rsidR="002359F7" w:rsidRPr="003E6C59" w:rsidRDefault="002359F7" w:rsidP="002359F7">
            <w:pPr>
              <w:spacing w:after="120" w:line="240" w:lineRule="auto"/>
              <w:jc w:val="both"/>
              <w:rPr>
                <w:rFonts w:ascii="Times New Roman" w:eastAsia="Calibri" w:hAnsi="Times New Roman" w:cs="Times New Roman"/>
                <w:sz w:val="26"/>
                <w:szCs w:val="26"/>
              </w:rPr>
            </w:pPr>
            <w:r w:rsidRPr="003E6C59">
              <w:rPr>
                <w:rFonts w:ascii="Times New Roman" w:eastAsia="Calibri" w:hAnsi="Times New Roman" w:cs="Times New Roman"/>
                <w:sz w:val="26"/>
                <w:szCs w:val="26"/>
              </w:rPr>
              <w:t>La nivel macroeconomic, venitul asigurat pentru angajații rezidenților parcurilor IT ar putea fi revizuit anual. Astfel, în cazul în care se constată că veniturile BASS din repartizarea impozitului unic achitat de rezidenții parcurilor IT ar depăși venitul asigurat reieșind din aplicarea cotelor CAS standard, suma venitului lunar asigurat prevăzut în art. 16 alin. (1) al Legii 77/2016 ar trebui să crească corespunzător.</w:t>
            </w:r>
          </w:p>
          <w:p w:rsidR="002359F7" w:rsidRPr="003E6C59" w:rsidRDefault="002359F7" w:rsidP="002359F7">
            <w:pPr>
              <w:spacing w:after="120" w:line="240" w:lineRule="auto"/>
              <w:jc w:val="both"/>
              <w:rPr>
                <w:rFonts w:ascii="Times New Roman" w:eastAsia="Calibri" w:hAnsi="Times New Roman" w:cs="Times New Roman"/>
                <w:b/>
                <w:sz w:val="26"/>
                <w:szCs w:val="26"/>
              </w:rPr>
            </w:pPr>
            <w:r w:rsidRPr="003E6C59">
              <w:rPr>
                <w:rFonts w:ascii="Times New Roman" w:eastAsia="Calibri" w:hAnsi="Times New Roman" w:cs="Times New Roman"/>
                <w:b/>
                <w:sz w:val="26"/>
                <w:szCs w:val="26"/>
              </w:rPr>
              <w:t>La articolul 19 alineatul (1) literele a) și b) se propune reducerea de la 3 luni la 30 zile calendaristice a termenului pentru rezoluțiunea contractului încheiat între rezident și Administrația parcului în cazul nerespectării angajamentelor contractuale asumate.</w:t>
            </w:r>
          </w:p>
          <w:p w:rsidR="002359F7" w:rsidRPr="003E6C59" w:rsidRDefault="002359F7" w:rsidP="002359F7">
            <w:pPr>
              <w:spacing w:after="120" w:line="240" w:lineRule="auto"/>
              <w:jc w:val="both"/>
              <w:rPr>
                <w:rFonts w:ascii="Times New Roman" w:eastAsia="Calibri" w:hAnsi="Times New Roman" w:cs="Times New Roman"/>
                <w:bCs/>
                <w:sz w:val="26"/>
                <w:szCs w:val="26"/>
              </w:rPr>
            </w:pPr>
            <w:r w:rsidRPr="003E6C59">
              <w:rPr>
                <w:rFonts w:ascii="Times New Roman" w:eastAsia="Calibri" w:hAnsi="Times New Roman" w:cs="Times New Roman"/>
                <w:bCs/>
                <w:sz w:val="26"/>
                <w:szCs w:val="26"/>
              </w:rPr>
              <w:t>Această modificare legislativă va oferi o mai mare libertate ambelor părți contractante să rezilieze contractul în cazul nerespectării prevederilor acestuia de către cealaltă parte contractantă. Din practica primilor doi ani de activitate a Moldova IT Park, cererile rezidenților de reziliere a contractului fac trimitere la posibilitatea rezilierii de comun acord a contractului în cel mai scurt timp, maxim 30 zile. Astfel, Administrația parcului nu ar trebui să restrângă acest drept al rezidentului, dar în același timp ar trebui să dispună de un instrument echivalent.</w:t>
            </w:r>
          </w:p>
          <w:p w:rsidR="002359F7" w:rsidRPr="003E6C59" w:rsidRDefault="002359F7" w:rsidP="002359F7">
            <w:pPr>
              <w:spacing w:after="120" w:line="240" w:lineRule="auto"/>
              <w:jc w:val="both"/>
              <w:rPr>
                <w:rFonts w:ascii="Times New Roman" w:eastAsia="Calibri" w:hAnsi="Times New Roman" w:cs="Times New Roman"/>
                <w:bCs/>
                <w:sz w:val="26"/>
                <w:szCs w:val="26"/>
              </w:rPr>
            </w:pPr>
            <w:r w:rsidRPr="003E6C59">
              <w:rPr>
                <w:rFonts w:ascii="Times New Roman" w:eastAsia="Calibri" w:hAnsi="Times New Roman" w:cs="Times New Roman"/>
                <w:b/>
                <w:sz w:val="26"/>
                <w:szCs w:val="26"/>
              </w:rPr>
              <w:t xml:space="preserve">La articolul 19 alineatul (1) se propune completarea cu litera e), care prevede modalitatea de rezoluțiune a contractului la inițiativa Administrației parcului, </w:t>
            </w:r>
            <w:r w:rsidRPr="00CB78EB">
              <w:rPr>
                <w:rFonts w:ascii="Times New Roman" w:eastAsia="Calibri" w:hAnsi="Times New Roman" w:cs="Times New Roman"/>
                <w:sz w:val="26"/>
                <w:szCs w:val="26"/>
              </w:rPr>
              <w:t>în cazul neîndeplinirii indicatorilor necesari</w:t>
            </w:r>
            <w:r w:rsidRPr="00CB78EB">
              <w:rPr>
                <w:rFonts w:ascii="Times New Roman" w:eastAsia="Calibri" w:hAnsi="Times New Roman" w:cs="Times New Roman"/>
                <w:bCs/>
                <w:sz w:val="26"/>
                <w:szCs w:val="26"/>
              </w:rPr>
              <w:t xml:space="preserve"> pentru dobândirea și menținerea statutului de r</w:t>
            </w:r>
            <w:r w:rsidRPr="003E6C59">
              <w:rPr>
                <w:rFonts w:ascii="Times New Roman" w:eastAsia="Calibri" w:hAnsi="Times New Roman" w:cs="Times New Roman"/>
                <w:bCs/>
                <w:sz w:val="26"/>
                <w:szCs w:val="26"/>
              </w:rPr>
              <w:t xml:space="preserve">ezident al parcului pentru tehnologia informației, în baza rezultatelor verificării efectuate anual de către entitatea de audit. </w:t>
            </w:r>
          </w:p>
          <w:p w:rsidR="002359F7" w:rsidRPr="003E6C59" w:rsidRDefault="002359F7" w:rsidP="002359F7">
            <w:pPr>
              <w:spacing w:after="120" w:line="240" w:lineRule="auto"/>
              <w:jc w:val="both"/>
              <w:rPr>
                <w:rFonts w:ascii="Times New Roman" w:eastAsia="Calibri" w:hAnsi="Times New Roman" w:cs="Times New Roman"/>
                <w:sz w:val="26"/>
                <w:szCs w:val="26"/>
              </w:rPr>
            </w:pPr>
            <w:r w:rsidRPr="003E6C59">
              <w:rPr>
                <w:rFonts w:ascii="Times New Roman" w:eastAsia="Calibri" w:hAnsi="Times New Roman" w:cs="Times New Roman"/>
                <w:sz w:val="26"/>
                <w:szCs w:val="26"/>
              </w:rPr>
              <w:t>Astfel, dacă rezidentul prezintă raportul verificării anuale efectuate de către entitatea de audit, care confirmă nerespectarea condițiilor prevăzute de Legea 77/2016, acesta ar trebui să piardă statutul de rezident și, respectiv, să fie privat de posibilitatea aplicării facilităților acordate. Această situație nu este în prezent reglementată de articolul 19 al Legii 77/2016. Astfel, la recepționarea de către Administrația parcului a raportului verificării anuale întocmit de entitatea de audit contractată de rezident, în care se specifică încălcarea anumitor indicatori prevăzuți de lege (de exemplu, cota venitului din vânzări realizate din activitățile principale desfășurate în parc), Administrația parcului nu îi poate retrage titlul de rezident în baza niciunui temei prevăzut actualmente la articolul 19 al Legii 77/2016. Este important să menționăm faptul că alineatul (1) litera b) a acestui articol nu poate fi aplicată în acest caz, întrucât rezidentul nu poate respecta retroactiv sau înlătura nerespectarea indicatorilor pentru anul precedent.</w:t>
            </w:r>
          </w:p>
          <w:p w:rsidR="002359F7" w:rsidRPr="003E6C59" w:rsidRDefault="002359F7" w:rsidP="002359F7">
            <w:pPr>
              <w:spacing w:after="120" w:line="240" w:lineRule="auto"/>
              <w:jc w:val="both"/>
              <w:rPr>
                <w:rFonts w:ascii="Times New Roman" w:eastAsia="Calibri" w:hAnsi="Times New Roman" w:cs="Times New Roman"/>
                <w:sz w:val="26"/>
                <w:szCs w:val="26"/>
              </w:rPr>
            </w:pPr>
            <w:r w:rsidRPr="003E6C59">
              <w:rPr>
                <w:rFonts w:ascii="Times New Roman" w:eastAsia="Calibri" w:hAnsi="Times New Roman" w:cs="Times New Roman"/>
                <w:sz w:val="26"/>
                <w:szCs w:val="26"/>
              </w:rPr>
              <w:t xml:space="preserve">Pentru anul 2019, </w:t>
            </w:r>
            <w:r w:rsidR="00290591" w:rsidRPr="003E6C59">
              <w:rPr>
                <w:rFonts w:ascii="Times New Roman" w:eastAsia="Calibri" w:hAnsi="Times New Roman" w:cs="Times New Roman"/>
                <w:sz w:val="26"/>
                <w:szCs w:val="26"/>
              </w:rPr>
              <w:t xml:space="preserve">nu au prezentat raportul de audit </w:t>
            </w:r>
            <w:r w:rsidRPr="003E6C59">
              <w:rPr>
                <w:rFonts w:ascii="Times New Roman" w:eastAsia="Calibri" w:hAnsi="Times New Roman" w:cs="Times New Roman"/>
                <w:sz w:val="26"/>
                <w:szCs w:val="26"/>
              </w:rPr>
              <w:t>17 rezidenţi, cu toate că termenul a fost extins în legătură cu criza pandemică din ţară. Un rezident, în urma verificării auditului, nu întruneşte condiţiile de 70% privind activitate principală.</w:t>
            </w:r>
          </w:p>
          <w:p w:rsidR="00A32F79" w:rsidRPr="003E6C59" w:rsidRDefault="00A32F79" w:rsidP="00525571">
            <w:pPr>
              <w:spacing w:after="120"/>
              <w:jc w:val="both"/>
              <w:rPr>
                <w:rFonts w:ascii="Times New Roman" w:eastAsia="Calibri" w:hAnsi="Times New Roman" w:cs="Times New Roman"/>
                <w:b/>
                <w:sz w:val="26"/>
                <w:szCs w:val="26"/>
              </w:rPr>
            </w:pPr>
            <w:r w:rsidRPr="003E6C59">
              <w:rPr>
                <w:rFonts w:ascii="Times New Roman" w:eastAsia="Calibri" w:hAnsi="Times New Roman" w:cs="Times New Roman"/>
                <w:b/>
                <w:sz w:val="26"/>
                <w:szCs w:val="26"/>
              </w:rPr>
              <w:t>Completarea Art.8, cu lit.o) Servicii ale centrelor de intermediere telefonică (call centre), limitate la export (82.20):</w:t>
            </w:r>
          </w:p>
          <w:p w:rsidR="00A32F79" w:rsidRPr="003E6C59" w:rsidRDefault="00A32F79" w:rsidP="00525571">
            <w:pPr>
              <w:spacing w:after="120" w:line="240" w:lineRule="auto"/>
              <w:jc w:val="both"/>
              <w:rPr>
                <w:rFonts w:ascii="Times New Roman" w:eastAsia="Calibri" w:hAnsi="Times New Roman" w:cs="Times New Roman"/>
                <w:sz w:val="26"/>
                <w:szCs w:val="26"/>
              </w:rPr>
            </w:pPr>
            <w:r w:rsidRPr="003E6C59">
              <w:rPr>
                <w:rFonts w:ascii="Times New Roman" w:eastAsia="Calibri" w:hAnsi="Times New Roman" w:cs="Times New Roman"/>
                <w:sz w:val="26"/>
                <w:szCs w:val="26"/>
              </w:rPr>
              <w:t xml:space="preserve">Având în vedere impactul pozitiv al Moldova IT Park asupra dezvoltării domeniilor eligibile, dar și necesitatea valorificării activităților IT conexe precum cele de suport tehnic, se propune completarea Art. 8 al Legii 77/2016 cu o nouă activitate principală: Activități ale centrelor de intermediere telefonică (call center) – clasa 82.20 conform CAEM rev.2. Această prevedere va asigura eligibilitatea centrelor de contact privind suportul tehnic în cadrul Moldova IT Park. </w:t>
            </w:r>
          </w:p>
          <w:p w:rsidR="00A32F79" w:rsidRPr="003E6C59" w:rsidRDefault="00A32F79" w:rsidP="00525571">
            <w:pPr>
              <w:spacing w:after="120" w:line="240" w:lineRule="auto"/>
              <w:jc w:val="both"/>
              <w:rPr>
                <w:rFonts w:ascii="Times New Roman" w:eastAsia="Calibri" w:hAnsi="Times New Roman" w:cs="Times New Roman"/>
                <w:sz w:val="26"/>
                <w:szCs w:val="26"/>
              </w:rPr>
            </w:pPr>
            <w:r w:rsidRPr="003E6C59">
              <w:rPr>
                <w:rFonts w:ascii="Times New Roman" w:eastAsia="Calibri" w:hAnsi="Times New Roman" w:cs="Times New Roman"/>
                <w:sz w:val="26"/>
                <w:szCs w:val="26"/>
              </w:rPr>
              <w:lastRenderedPageBreak/>
              <w:t>Totodată, aceasta va duce la transparentizarea și stimularea unui sector preponderent tenebru, dar care are potențial enorm de creștere și creare a locurilor de muncă formale în special pentru tinerii care posedă cel puțin o limbă străină. În același timp, se propune ca activitățile incluse în acest cod să fie eligibile doar în cazurile în care acestea sunt orientate exclusiv spre export. Acest fapt va elimina orice impact fiscal negativ asigurând, în schimb, un sector transparent și competitiv pe plan internațional.</w:t>
            </w:r>
          </w:p>
          <w:p w:rsidR="00A32F79" w:rsidRPr="003E6C59" w:rsidRDefault="00A32F79" w:rsidP="008D592D">
            <w:pPr>
              <w:spacing w:after="120" w:line="240" w:lineRule="auto"/>
              <w:jc w:val="both"/>
              <w:rPr>
                <w:rFonts w:ascii="Times New Roman" w:eastAsia="Calibri" w:hAnsi="Times New Roman" w:cs="Times New Roman"/>
                <w:sz w:val="26"/>
                <w:szCs w:val="26"/>
              </w:rPr>
            </w:pPr>
            <w:r w:rsidRPr="003E6C59">
              <w:rPr>
                <w:rFonts w:ascii="Times New Roman" w:eastAsia="Calibri" w:hAnsi="Times New Roman" w:cs="Times New Roman"/>
                <w:sz w:val="26"/>
                <w:szCs w:val="26"/>
              </w:rPr>
              <w:t>Calculele arată că suma tuturor contribuțiilor aferente unui salariu depășește 55% peste venitul net al angajatului. Acest nivel reduce considerabil competitivitatea Republicii Moldova și încurajează puternic evaziunea și salariile în plic. De cealaltă parte, regimul de impozitare din Moldova IT Park reduce povara procentuală efectivă o dată cu creșterea salariilor (începând cu 5,500 lei) și tinde spre 7% (în cazul salariilor de peste 30 mii lei). Acest fapt transparentizată și stimulează domeniile cu o valoare adăugată ridicată, precum și contribuie la reținerea acasă a forței de muncă înalt calificate. Totodată, nivelul contribuțiilor minime per angajat și plafonarea beneficiilor individuale asigură echitatea raportului dintre contribuții și beneficii din perspectiva statului, dar și stimulează dezvoltarea sectoarelor de asigurări sociale și medicale facultative.</w:t>
            </w:r>
          </w:p>
        </w:tc>
      </w:tr>
      <w:tr w:rsidR="00A32F79" w:rsidRPr="003E6C59" w:rsidTr="005416D7">
        <w:tc>
          <w:tcPr>
            <w:tcW w:w="5000" w:type="pct"/>
            <w:shd w:val="clear" w:color="auto" w:fill="CCCCCC"/>
          </w:tcPr>
          <w:p w:rsidR="00A32F79" w:rsidRPr="003E6C59" w:rsidRDefault="00A32F79" w:rsidP="00A32F79">
            <w:pPr>
              <w:spacing w:before="120" w:after="120" w:line="240" w:lineRule="auto"/>
              <w:jc w:val="both"/>
              <w:rPr>
                <w:rFonts w:ascii="Times New Roman" w:eastAsia="Times New Roman" w:hAnsi="Times New Roman" w:cs="Times New Roman"/>
                <w:b/>
                <w:bCs/>
                <w:color w:val="000000"/>
                <w:sz w:val="26"/>
                <w:szCs w:val="26"/>
                <w:lang w:val="ro-MD" w:eastAsia="ru-RU"/>
              </w:rPr>
            </w:pPr>
            <w:r w:rsidRPr="003E6C59">
              <w:rPr>
                <w:rFonts w:ascii="Times New Roman" w:eastAsia="Calibri" w:hAnsi="Times New Roman" w:cs="Times New Roman"/>
                <w:b/>
                <w:bCs/>
                <w:color w:val="000000"/>
                <w:sz w:val="26"/>
                <w:szCs w:val="26"/>
              </w:rPr>
              <w:lastRenderedPageBreak/>
              <w:t>V. Fundamentarea economico-financiară</w:t>
            </w:r>
          </w:p>
        </w:tc>
      </w:tr>
      <w:tr w:rsidR="00A32F79" w:rsidRPr="003E6C59" w:rsidTr="005416D7">
        <w:tc>
          <w:tcPr>
            <w:tcW w:w="5000" w:type="pct"/>
            <w:shd w:val="clear" w:color="auto" w:fill="auto"/>
            <w:hideMark/>
          </w:tcPr>
          <w:p w:rsidR="00A32F79" w:rsidRPr="003E6C59" w:rsidRDefault="00A32F79" w:rsidP="00A32F79">
            <w:pPr>
              <w:spacing w:after="0" w:line="240" w:lineRule="auto"/>
              <w:jc w:val="both"/>
              <w:rPr>
                <w:rFonts w:ascii="Times New Roman" w:eastAsia="Times New Roman" w:hAnsi="Times New Roman" w:cs="Times New Roman"/>
                <w:bCs/>
                <w:color w:val="000000"/>
                <w:sz w:val="26"/>
                <w:szCs w:val="26"/>
                <w:lang w:val="ro-MD" w:eastAsia="ru-RU"/>
              </w:rPr>
            </w:pPr>
            <w:r w:rsidRPr="003E6C59">
              <w:rPr>
                <w:rFonts w:ascii="Times New Roman" w:eastAsia="Times New Roman" w:hAnsi="Times New Roman" w:cs="Times New Roman"/>
                <w:bCs/>
                <w:color w:val="000000"/>
                <w:sz w:val="26"/>
                <w:szCs w:val="26"/>
                <w:lang w:val="ro-MD" w:eastAsia="ru-RU"/>
              </w:rPr>
              <w:t>Aplicarea reglementărilor propuse nu va avea impact financiar asupra bugetului de stat.</w:t>
            </w:r>
          </w:p>
        </w:tc>
      </w:tr>
      <w:tr w:rsidR="00A32F79" w:rsidRPr="003E6C59" w:rsidTr="005416D7">
        <w:tc>
          <w:tcPr>
            <w:tcW w:w="5000" w:type="pct"/>
            <w:shd w:val="clear" w:color="auto" w:fill="CCCCCC"/>
          </w:tcPr>
          <w:p w:rsidR="00A32F79" w:rsidRPr="003E6C59" w:rsidRDefault="00A32F79" w:rsidP="00A32F79">
            <w:pPr>
              <w:spacing w:before="120" w:after="120" w:line="240" w:lineRule="auto"/>
              <w:jc w:val="both"/>
              <w:rPr>
                <w:rFonts w:ascii="Times New Roman" w:eastAsia="Times New Roman" w:hAnsi="Times New Roman" w:cs="Times New Roman"/>
                <w:b/>
                <w:bCs/>
                <w:color w:val="000000"/>
                <w:sz w:val="26"/>
                <w:szCs w:val="26"/>
                <w:lang w:eastAsia="ru-RU"/>
              </w:rPr>
            </w:pPr>
            <w:r w:rsidRPr="003E6C59">
              <w:rPr>
                <w:rFonts w:ascii="Times New Roman" w:eastAsia="Times New Roman" w:hAnsi="Times New Roman" w:cs="Times New Roman"/>
                <w:b/>
                <w:bCs/>
                <w:color w:val="000000"/>
                <w:sz w:val="26"/>
                <w:szCs w:val="26"/>
                <w:lang w:eastAsia="ru-RU"/>
              </w:rPr>
              <w:t>VI. Modul de încorporare a actului în cadrul normativ în vigoare</w:t>
            </w:r>
          </w:p>
        </w:tc>
      </w:tr>
      <w:tr w:rsidR="00A32F79" w:rsidRPr="003E6C59" w:rsidTr="005416D7">
        <w:tc>
          <w:tcPr>
            <w:tcW w:w="5000" w:type="pct"/>
            <w:shd w:val="clear" w:color="auto" w:fill="auto"/>
          </w:tcPr>
          <w:p w:rsidR="00A32F79" w:rsidRPr="003E6C59" w:rsidRDefault="00A32F79" w:rsidP="00A32F79">
            <w:pPr>
              <w:spacing w:after="0" w:line="240" w:lineRule="auto"/>
              <w:jc w:val="both"/>
              <w:rPr>
                <w:rFonts w:ascii="Times New Roman" w:eastAsia="Calibri" w:hAnsi="Times New Roman" w:cs="Times New Roman"/>
                <w:bCs/>
                <w:color w:val="000000"/>
                <w:sz w:val="26"/>
                <w:szCs w:val="26"/>
              </w:rPr>
            </w:pPr>
            <w:r w:rsidRPr="003E6C59">
              <w:rPr>
                <w:rFonts w:ascii="Times New Roman" w:eastAsia="Calibri" w:hAnsi="Times New Roman" w:cs="Times New Roman"/>
                <w:bCs/>
                <w:color w:val="000000"/>
                <w:sz w:val="26"/>
                <w:szCs w:val="26"/>
              </w:rPr>
              <w:t>Proiectul de lege prevede modificarea altor acte normative aferente funcționării parcului IT (HG 1144/2017), pentru aducerea în corespundere cu prevederile prezentului proiect de lege.</w:t>
            </w:r>
          </w:p>
        </w:tc>
      </w:tr>
      <w:tr w:rsidR="00A32F79" w:rsidRPr="003E6C59" w:rsidTr="005416D7">
        <w:tc>
          <w:tcPr>
            <w:tcW w:w="5000" w:type="pct"/>
            <w:shd w:val="clear" w:color="auto" w:fill="CCCCCC"/>
          </w:tcPr>
          <w:p w:rsidR="00A32F79" w:rsidRPr="003E6C59" w:rsidRDefault="00A32F79" w:rsidP="00A32F79">
            <w:pPr>
              <w:spacing w:before="120" w:after="120" w:line="240" w:lineRule="auto"/>
              <w:jc w:val="both"/>
              <w:rPr>
                <w:rFonts w:ascii="Times New Roman" w:eastAsia="Calibri" w:hAnsi="Times New Roman" w:cs="Times New Roman"/>
                <w:b/>
                <w:bCs/>
                <w:color w:val="000000"/>
                <w:sz w:val="26"/>
                <w:szCs w:val="26"/>
              </w:rPr>
            </w:pPr>
            <w:r w:rsidRPr="003E6C59">
              <w:rPr>
                <w:rFonts w:ascii="Times New Roman" w:eastAsia="Calibri" w:hAnsi="Times New Roman" w:cs="Times New Roman"/>
                <w:b/>
                <w:bCs/>
                <w:color w:val="000000"/>
                <w:sz w:val="26"/>
                <w:szCs w:val="26"/>
              </w:rPr>
              <w:t>VII. Avizarea și consultarea publică a proiectului</w:t>
            </w:r>
          </w:p>
        </w:tc>
      </w:tr>
      <w:tr w:rsidR="00A32F79" w:rsidRPr="003E6C59" w:rsidTr="005416D7">
        <w:tc>
          <w:tcPr>
            <w:tcW w:w="5000" w:type="pct"/>
            <w:shd w:val="clear" w:color="auto" w:fill="auto"/>
            <w:hideMark/>
          </w:tcPr>
          <w:p w:rsidR="00A32F79" w:rsidRPr="003E6C59" w:rsidRDefault="00A32F79" w:rsidP="00A32F79">
            <w:pPr>
              <w:spacing w:after="0" w:line="240" w:lineRule="auto"/>
              <w:jc w:val="both"/>
              <w:rPr>
                <w:rFonts w:ascii="Times New Roman" w:eastAsia="Times New Roman" w:hAnsi="Times New Roman" w:cs="Times New Roman"/>
                <w:bCs/>
                <w:color w:val="000000"/>
                <w:sz w:val="26"/>
                <w:szCs w:val="26"/>
                <w:lang w:val="ro-MD" w:eastAsia="ru-RU"/>
              </w:rPr>
            </w:pPr>
            <w:r w:rsidRPr="003E6C59">
              <w:rPr>
                <w:rFonts w:ascii="Times New Roman" w:eastAsia="Times New Roman" w:hAnsi="Times New Roman" w:cs="Times New Roman"/>
                <w:bCs/>
                <w:color w:val="000000"/>
                <w:sz w:val="26"/>
                <w:szCs w:val="26"/>
                <w:lang w:val="ro-MD" w:eastAsia="ru-RU"/>
              </w:rPr>
              <w:t>De menționat că, în conformitate cu procedurile stabilite pentru transparența în procesul decizional şi în vederea elaborării actelor normative, proiectul va fi plasat pe pagina web oficială a Ministerului Economiei şi Infrastructurii pentru consultările publice.</w:t>
            </w:r>
          </w:p>
        </w:tc>
      </w:tr>
      <w:tr w:rsidR="00A32F79" w:rsidRPr="003E6C59" w:rsidTr="005416D7">
        <w:tc>
          <w:tcPr>
            <w:tcW w:w="5000" w:type="pct"/>
            <w:shd w:val="clear" w:color="auto" w:fill="CCCCCC"/>
            <w:hideMark/>
          </w:tcPr>
          <w:p w:rsidR="00A32F79" w:rsidRPr="003E6C59" w:rsidRDefault="00A32F79" w:rsidP="00A32F79">
            <w:pPr>
              <w:spacing w:before="120" w:after="120" w:line="240" w:lineRule="auto"/>
              <w:rPr>
                <w:rFonts w:ascii="Times New Roman" w:eastAsia="Calibri" w:hAnsi="Times New Roman" w:cs="Times New Roman"/>
                <w:b/>
                <w:bCs/>
                <w:color w:val="000000"/>
                <w:sz w:val="26"/>
                <w:szCs w:val="26"/>
                <w:highlight w:val="lightGray"/>
              </w:rPr>
            </w:pPr>
            <w:r w:rsidRPr="003E6C59">
              <w:rPr>
                <w:rFonts w:ascii="Times New Roman" w:eastAsia="Calibri" w:hAnsi="Times New Roman" w:cs="Times New Roman"/>
                <w:b/>
                <w:bCs/>
                <w:color w:val="000000"/>
                <w:sz w:val="26"/>
                <w:szCs w:val="26"/>
                <w:highlight w:val="lightGray"/>
              </w:rPr>
              <w:t>VIII. Constatările expertizei anticorupție</w:t>
            </w:r>
          </w:p>
        </w:tc>
      </w:tr>
      <w:tr w:rsidR="00A32F79" w:rsidRPr="003E6C59" w:rsidTr="005416D7">
        <w:trPr>
          <w:trHeight w:val="384"/>
        </w:trPr>
        <w:tc>
          <w:tcPr>
            <w:tcW w:w="5000" w:type="pct"/>
            <w:shd w:val="clear" w:color="auto" w:fill="auto"/>
            <w:hideMark/>
          </w:tcPr>
          <w:p w:rsidR="00A32F79" w:rsidRPr="003E6C59" w:rsidRDefault="00A32F79" w:rsidP="00A32F79">
            <w:pPr>
              <w:tabs>
                <w:tab w:val="left" w:pos="317"/>
              </w:tabs>
              <w:spacing w:after="0" w:line="240" w:lineRule="auto"/>
              <w:contextualSpacing/>
              <w:jc w:val="both"/>
              <w:rPr>
                <w:rFonts w:ascii="Times New Roman" w:eastAsia="Times New Roman" w:hAnsi="Times New Roman" w:cs="Times New Roman"/>
                <w:bCs/>
                <w:color w:val="000000"/>
                <w:sz w:val="26"/>
                <w:szCs w:val="26"/>
                <w:lang w:val="ro-MD"/>
              </w:rPr>
            </w:pPr>
            <w:r w:rsidRPr="003E6C59">
              <w:rPr>
                <w:rFonts w:ascii="Times New Roman" w:eastAsia="Times New Roman" w:hAnsi="Times New Roman" w:cs="Times New Roman"/>
                <w:bCs/>
                <w:color w:val="000000"/>
                <w:sz w:val="26"/>
                <w:szCs w:val="26"/>
                <w:lang w:val="ro-MD"/>
              </w:rPr>
              <w:t>Proiectul de hotărâre va fi expediat pentru expertizare Centrului Național Anticorupție.</w:t>
            </w:r>
          </w:p>
        </w:tc>
      </w:tr>
      <w:tr w:rsidR="002941FF" w:rsidRPr="003E6C59" w:rsidTr="005416D7">
        <w:tc>
          <w:tcPr>
            <w:tcW w:w="5000" w:type="pct"/>
            <w:shd w:val="clear" w:color="auto" w:fill="CCCCCC"/>
            <w:hideMark/>
          </w:tcPr>
          <w:p w:rsidR="002941FF" w:rsidRPr="003E6C59" w:rsidRDefault="002941FF" w:rsidP="002941FF">
            <w:pPr>
              <w:spacing w:before="120" w:after="120" w:line="240" w:lineRule="auto"/>
              <w:rPr>
                <w:rFonts w:ascii="Times New Roman" w:eastAsia="Calibri" w:hAnsi="Times New Roman" w:cs="Times New Roman"/>
                <w:b/>
                <w:bCs/>
                <w:color w:val="000000"/>
                <w:sz w:val="26"/>
                <w:szCs w:val="26"/>
                <w:highlight w:val="lightGray"/>
              </w:rPr>
            </w:pPr>
            <w:r>
              <w:rPr>
                <w:rFonts w:ascii="Times New Roman" w:eastAsia="Calibri" w:hAnsi="Times New Roman" w:cs="Times New Roman"/>
                <w:b/>
                <w:bCs/>
                <w:color w:val="000000"/>
                <w:sz w:val="26"/>
                <w:szCs w:val="26"/>
                <w:highlight w:val="lightGray"/>
              </w:rPr>
              <w:t>IX</w:t>
            </w:r>
            <w:r w:rsidRPr="003E6C59">
              <w:rPr>
                <w:rFonts w:ascii="Times New Roman" w:eastAsia="Calibri" w:hAnsi="Times New Roman" w:cs="Times New Roman"/>
                <w:b/>
                <w:bCs/>
                <w:color w:val="000000"/>
                <w:sz w:val="26"/>
                <w:szCs w:val="26"/>
                <w:highlight w:val="lightGray"/>
              </w:rPr>
              <w:t xml:space="preserve">. Constatările expertizei </w:t>
            </w:r>
            <w:r>
              <w:rPr>
                <w:rFonts w:ascii="Times New Roman" w:eastAsia="Calibri" w:hAnsi="Times New Roman" w:cs="Times New Roman"/>
                <w:b/>
                <w:bCs/>
                <w:color w:val="000000"/>
                <w:sz w:val="26"/>
                <w:szCs w:val="26"/>
                <w:highlight w:val="lightGray"/>
              </w:rPr>
              <w:t>juridice</w:t>
            </w:r>
          </w:p>
        </w:tc>
      </w:tr>
      <w:tr w:rsidR="002941FF" w:rsidRPr="003E6C59" w:rsidTr="005416D7">
        <w:trPr>
          <w:trHeight w:val="384"/>
        </w:trPr>
        <w:tc>
          <w:tcPr>
            <w:tcW w:w="5000" w:type="pct"/>
            <w:shd w:val="clear" w:color="auto" w:fill="auto"/>
            <w:hideMark/>
          </w:tcPr>
          <w:p w:rsidR="002941FF" w:rsidRPr="003E6C59" w:rsidRDefault="002941FF" w:rsidP="000C1299">
            <w:pPr>
              <w:tabs>
                <w:tab w:val="left" w:pos="317"/>
              </w:tabs>
              <w:spacing w:after="0" w:line="240" w:lineRule="auto"/>
              <w:contextualSpacing/>
              <w:jc w:val="both"/>
              <w:rPr>
                <w:rFonts w:ascii="Times New Roman" w:eastAsia="Times New Roman" w:hAnsi="Times New Roman" w:cs="Times New Roman"/>
                <w:bCs/>
                <w:color w:val="000000"/>
                <w:sz w:val="26"/>
                <w:szCs w:val="26"/>
                <w:lang w:val="ro-MD"/>
              </w:rPr>
            </w:pPr>
            <w:r w:rsidRPr="003E6C59">
              <w:rPr>
                <w:rFonts w:ascii="Times New Roman" w:eastAsia="Times New Roman" w:hAnsi="Times New Roman" w:cs="Times New Roman"/>
                <w:bCs/>
                <w:color w:val="000000"/>
                <w:sz w:val="26"/>
                <w:szCs w:val="26"/>
                <w:lang w:val="ro-MD"/>
              </w:rPr>
              <w:t xml:space="preserve">Proiectul de hotărâre va fi expediat pentru expertizare </w:t>
            </w:r>
            <w:r w:rsidR="000C1299">
              <w:rPr>
                <w:rFonts w:ascii="Times New Roman" w:eastAsia="Times New Roman" w:hAnsi="Times New Roman" w:cs="Times New Roman"/>
                <w:bCs/>
                <w:color w:val="000000"/>
                <w:sz w:val="26"/>
                <w:szCs w:val="26"/>
                <w:lang w:val="ro-MD"/>
              </w:rPr>
              <w:t>Ministerului Justiției</w:t>
            </w:r>
            <w:r w:rsidRPr="003E6C59">
              <w:rPr>
                <w:rFonts w:ascii="Times New Roman" w:eastAsia="Times New Roman" w:hAnsi="Times New Roman" w:cs="Times New Roman"/>
                <w:bCs/>
                <w:color w:val="000000"/>
                <w:sz w:val="26"/>
                <w:szCs w:val="26"/>
                <w:lang w:val="ro-MD"/>
              </w:rPr>
              <w:t>.</w:t>
            </w:r>
          </w:p>
        </w:tc>
      </w:tr>
      <w:tr w:rsidR="005416D7" w:rsidRPr="003E6C59" w:rsidTr="005416D7">
        <w:tc>
          <w:tcPr>
            <w:tcW w:w="5000" w:type="pct"/>
            <w:shd w:val="clear" w:color="auto" w:fill="CCCCCC"/>
            <w:hideMark/>
          </w:tcPr>
          <w:p w:rsidR="005416D7" w:rsidRPr="003E6C59" w:rsidRDefault="005416D7" w:rsidP="00E4063B">
            <w:pPr>
              <w:spacing w:before="120" w:after="120" w:line="240" w:lineRule="auto"/>
              <w:rPr>
                <w:rFonts w:ascii="Times New Roman" w:eastAsia="Calibri" w:hAnsi="Times New Roman" w:cs="Times New Roman"/>
                <w:b/>
                <w:bCs/>
                <w:color w:val="000000"/>
                <w:sz w:val="26"/>
                <w:szCs w:val="26"/>
                <w:highlight w:val="lightGray"/>
              </w:rPr>
            </w:pPr>
            <w:r>
              <w:rPr>
                <w:rFonts w:ascii="Times New Roman" w:eastAsia="Calibri" w:hAnsi="Times New Roman" w:cs="Times New Roman"/>
                <w:b/>
                <w:bCs/>
                <w:color w:val="000000"/>
                <w:sz w:val="26"/>
                <w:szCs w:val="26"/>
                <w:highlight w:val="lightGray"/>
              </w:rPr>
              <w:t>X</w:t>
            </w:r>
            <w:r w:rsidRPr="003E6C59">
              <w:rPr>
                <w:rFonts w:ascii="Times New Roman" w:eastAsia="Calibri" w:hAnsi="Times New Roman" w:cs="Times New Roman"/>
                <w:b/>
                <w:bCs/>
                <w:color w:val="000000"/>
                <w:sz w:val="26"/>
                <w:szCs w:val="26"/>
                <w:highlight w:val="lightGray"/>
              </w:rPr>
              <w:t xml:space="preserve">. Constatările </w:t>
            </w:r>
            <w:r w:rsidR="00E4063B">
              <w:rPr>
                <w:rFonts w:ascii="Times New Roman" w:eastAsia="Calibri" w:hAnsi="Times New Roman" w:cs="Times New Roman"/>
                <w:b/>
                <w:bCs/>
                <w:color w:val="000000"/>
                <w:sz w:val="26"/>
                <w:szCs w:val="26"/>
                <w:highlight w:val="lightGray"/>
              </w:rPr>
              <w:t>altor expertize</w:t>
            </w:r>
          </w:p>
        </w:tc>
      </w:tr>
      <w:tr w:rsidR="005416D7" w:rsidRPr="003E6C59" w:rsidTr="005416D7">
        <w:trPr>
          <w:trHeight w:val="384"/>
        </w:trPr>
        <w:tc>
          <w:tcPr>
            <w:tcW w:w="5000" w:type="pct"/>
            <w:shd w:val="clear" w:color="auto" w:fill="auto"/>
            <w:hideMark/>
          </w:tcPr>
          <w:p w:rsidR="005416D7" w:rsidRPr="00BF3507" w:rsidRDefault="00E4063B" w:rsidP="00BF3507">
            <w:pPr>
              <w:tabs>
                <w:tab w:val="left" w:pos="317"/>
              </w:tabs>
              <w:spacing w:after="0" w:line="240" w:lineRule="auto"/>
              <w:contextualSpacing/>
              <w:jc w:val="both"/>
              <w:rPr>
                <w:rFonts w:ascii="Times New Roman" w:eastAsia="Times New Roman" w:hAnsi="Times New Roman" w:cs="Times New Roman"/>
                <w:bCs/>
                <w:color w:val="000000"/>
                <w:sz w:val="26"/>
                <w:szCs w:val="26"/>
              </w:rPr>
            </w:pPr>
            <w:r w:rsidRPr="00BF3507">
              <w:rPr>
                <w:rFonts w:ascii="Times New Roman" w:eastAsia="Times New Roman" w:hAnsi="Times New Roman" w:cs="Times New Roman"/>
                <w:bCs/>
                <w:color w:val="000000"/>
                <w:sz w:val="26"/>
                <w:szCs w:val="26"/>
              </w:rPr>
              <w:t xml:space="preserve">Analiza de impact la proiectul în cauză a fost examinată în ședința din 26 mai 2020 a Grupului de lucru pentru reglementarea activității de întreprinzător, a fost susținută cu condiția luării în considerație a obiecțiilor și recomandărilor SEIR. </w:t>
            </w:r>
          </w:p>
        </w:tc>
      </w:tr>
    </w:tbl>
    <w:p w:rsidR="00172CAE" w:rsidRPr="002941FF" w:rsidRDefault="00172CAE" w:rsidP="00172CAE">
      <w:pPr>
        <w:autoSpaceDE w:val="0"/>
        <w:autoSpaceDN w:val="0"/>
        <w:adjustRightInd w:val="0"/>
        <w:spacing w:after="0" w:line="240" w:lineRule="auto"/>
        <w:ind w:firstLine="708"/>
        <w:rPr>
          <w:rFonts w:ascii="Times New Roman" w:eastAsia="Times New Roman" w:hAnsi="Times New Roman" w:cs="Times New Roman"/>
          <w:b/>
          <w:color w:val="000000"/>
          <w:sz w:val="28"/>
          <w:szCs w:val="28"/>
          <w:lang w:eastAsia="ru-RU"/>
        </w:rPr>
      </w:pPr>
    </w:p>
    <w:p w:rsidR="00172CAE" w:rsidRDefault="00172CAE" w:rsidP="00172CAE">
      <w:pPr>
        <w:autoSpaceDE w:val="0"/>
        <w:autoSpaceDN w:val="0"/>
        <w:adjustRightInd w:val="0"/>
        <w:spacing w:after="0" w:line="240" w:lineRule="auto"/>
        <w:ind w:firstLine="708"/>
        <w:rPr>
          <w:rFonts w:ascii="Times New Roman" w:eastAsia="Times New Roman" w:hAnsi="Times New Roman" w:cs="Times New Roman"/>
          <w:b/>
          <w:color w:val="000000"/>
          <w:sz w:val="28"/>
          <w:szCs w:val="28"/>
          <w:lang w:val="ro-MD" w:eastAsia="ru-RU"/>
        </w:rPr>
      </w:pPr>
    </w:p>
    <w:p w:rsidR="00172CAE" w:rsidRDefault="00172CAE" w:rsidP="00172CAE">
      <w:pPr>
        <w:autoSpaceDE w:val="0"/>
        <w:autoSpaceDN w:val="0"/>
        <w:adjustRightInd w:val="0"/>
        <w:spacing w:after="0" w:line="240" w:lineRule="auto"/>
        <w:ind w:firstLine="708"/>
        <w:rPr>
          <w:rFonts w:ascii="Times New Roman" w:eastAsia="Times New Roman" w:hAnsi="Times New Roman" w:cs="Times New Roman"/>
          <w:b/>
          <w:color w:val="000000"/>
          <w:sz w:val="28"/>
          <w:szCs w:val="28"/>
          <w:lang w:val="ro-MD" w:eastAsia="ru-RU"/>
        </w:rPr>
      </w:pPr>
    </w:p>
    <w:p w:rsidR="00172CAE" w:rsidRDefault="00172CAE" w:rsidP="00172CAE">
      <w:pPr>
        <w:autoSpaceDE w:val="0"/>
        <w:autoSpaceDN w:val="0"/>
        <w:adjustRightInd w:val="0"/>
        <w:spacing w:after="0" w:line="240" w:lineRule="auto"/>
        <w:ind w:firstLine="708"/>
        <w:rPr>
          <w:rFonts w:ascii="Times New Roman" w:eastAsia="Times New Roman" w:hAnsi="Times New Roman" w:cs="Times New Roman"/>
          <w:b/>
          <w:color w:val="000000"/>
          <w:sz w:val="28"/>
          <w:szCs w:val="28"/>
          <w:lang w:val="ro-MD" w:eastAsia="ru-RU"/>
        </w:rPr>
      </w:pPr>
    </w:p>
    <w:p w:rsidR="00172CAE" w:rsidRDefault="00172CAE" w:rsidP="00172CAE">
      <w:pPr>
        <w:autoSpaceDE w:val="0"/>
        <w:autoSpaceDN w:val="0"/>
        <w:adjustRightInd w:val="0"/>
        <w:spacing w:after="0" w:line="240" w:lineRule="auto"/>
        <w:ind w:firstLine="708"/>
        <w:rPr>
          <w:rFonts w:ascii="Times New Roman" w:eastAsia="Times New Roman" w:hAnsi="Times New Roman" w:cs="Times New Roman"/>
          <w:b/>
          <w:bCs/>
          <w:sz w:val="28"/>
          <w:szCs w:val="28"/>
          <w:lang w:val="ro-MD" w:eastAsia="ru-RU"/>
        </w:rPr>
      </w:pPr>
      <w:r w:rsidRPr="00172CAE">
        <w:rPr>
          <w:rFonts w:ascii="Times New Roman" w:eastAsia="Times New Roman" w:hAnsi="Times New Roman" w:cs="Times New Roman"/>
          <w:b/>
          <w:color w:val="000000"/>
          <w:sz w:val="28"/>
          <w:szCs w:val="28"/>
          <w:lang w:val="ro-MD" w:eastAsia="ru-RU"/>
        </w:rPr>
        <w:t>Ministru</w:t>
      </w:r>
      <w:r w:rsidRPr="00172CAE">
        <w:rPr>
          <w:rFonts w:ascii="Times New Roman" w:eastAsia="Times New Roman" w:hAnsi="Times New Roman" w:cs="Times New Roman"/>
          <w:b/>
          <w:color w:val="000000"/>
          <w:sz w:val="28"/>
          <w:szCs w:val="28"/>
          <w:lang w:val="ro-MD" w:eastAsia="ru-RU"/>
        </w:rPr>
        <w:tab/>
      </w:r>
      <w:r w:rsidRPr="00172CAE">
        <w:rPr>
          <w:rFonts w:ascii="Times New Roman" w:eastAsia="Times New Roman" w:hAnsi="Times New Roman" w:cs="Times New Roman"/>
          <w:b/>
          <w:color w:val="000000"/>
          <w:sz w:val="28"/>
          <w:szCs w:val="28"/>
          <w:lang w:val="ro-MD" w:eastAsia="ru-RU"/>
        </w:rPr>
        <w:tab/>
      </w:r>
      <w:r w:rsidRPr="00172CAE">
        <w:rPr>
          <w:rFonts w:ascii="Times New Roman" w:eastAsia="Times New Roman" w:hAnsi="Times New Roman" w:cs="Times New Roman"/>
          <w:b/>
          <w:color w:val="000000"/>
          <w:sz w:val="28"/>
          <w:szCs w:val="28"/>
          <w:lang w:val="ro-MD" w:eastAsia="ru-RU"/>
        </w:rPr>
        <w:tab/>
      </w:r>
      <w:r w:rsidRPr="00172CAE">
        <w:rPr>
          <w:rFonts w:ascii="Times New Roman" w:eastAsia="Times New Roman" w:hAnsi="Times New Roman" w:cs="Times New Roman"/>
          <w:b/>
          <w:color w:val="000000"/>
          <w:sz w:val="28"/>
          <w:szCs w:val="28"/>
          <w:lang w:val="ro-MD" w:eastAsia="ru-RU"/>
        </w:rPr>
        <w:tab/>
      </w:r>
      <w:r w:rsidRPr="00172CAE">
        <w:rPr>
          <w:rFonts w:ascii="Times New Roman" w:eastAsia="Times New Roman" w:hAnsi="Times New Roman" w:cs="Times New Roman"/>
          <w:b/>
          <w:color w:val="000000"/>
          <w:sz w:val="28"/>
          <w:szCs w:val="28"/>
          <w:lang w:val="ro-MD" w:eastAsia="ru-RU"/>
        </w:rPr>
        <w:tab/>
      </w:r>
      <w:r w:rsidRPr="00172CAE">
        <w:rPr>
          <w:rFonts w:ascii="Times New Roman" w:eastAsia="Times New Roman" w:hAnsi="Times New Roman" w:cs="Times New Roman"/>
          <w:b/>
          <w:color w:val="000000"/>
          <w:sz w:val="28"/>
          <w:szCs w:val="28"/>
          <w:lang w:val="ro-MD" w:eastAsia="ru-RU"/>
        </w:rPr>
        <w:tab/>
      </w:r>
      <w:r w:rsidRPr="00172CAE">
        <w:rPr>
          <w:rFonts w:ascii="Times New Roman" w:eastAsia="Times New Roman" w:hAnsi="Times New Roman" w:cs="Times New Roman"/>
          <w:b/>
          <w:bCs/>
          <w:sz w:val="28"/>
          <w:szCs w:val="28"/>
          <w:lang w:val="ro-MD" w:eastAsia="ru-RU"/>
        </w:rPr>
        <w:t>Serghei RAILEAN</w:t>
      </w:r>
    </w:p>
    <w:p w:rsidR="00BF3507" w:rsidRDefault="00BF3507" w:rsidP="00172CAE">
      <w:pPr>
        <w:autoSpaceDE w:val="0"/>
        <w:autoSpaceDN w:val="0"/>
        <w:adjustRightInd w:val="0"/>
        <w:spacing w:after="0" w:line="240" w:lineRule="auto"/>
        <w:ind w:firstLine="708"/>
        <w:rPr>
          <w:rFonts w:ascii="Times New Roman" w:eastAsia="Times New Roman" w:hAnsi="Times New Roman" w:cs="Times New Roman"/>
          <w:b/>
          <w:bCs/>
          <w:sz w:val="28"/>
          <w:szCs w:val="28"/>
          <w:lang w:val="ro-MD" w:eastAsia="ru-RU"/>
        </w:rPr>
      </w:pPr>
    </w:p>
    <w:p w:rsidR="00BF3507" w:rsidRPr="00172CAE" w:rsidRDefault="00BF3507" w:rsidP="00172CAE">
      <w:pPr>
        <w:autoSpaceDE w:val="0"/>
        <w:autoSpaceDN w:val="0"/>
        <w:adjustRightInd w:val="0"/>
        <w:spacing w:after="0" w:line="240" w:lineRule="auto"/>
        <w:ind w:firstLine="708"/>
        <w:rPr>
          <w:rFonts w:ascii="Times New Roman" w:eastAsia="Times New Roman" w:hAnsi="Times New Roman" w:cs="Times New Roman"/>
          <w:b/>
          <w:color w:val="000000"/>
          <w:sz w:val="28"/>
          <w:szCs w:val="28"/>
          <w:lang w:val="ro-MD" w:eastAsia="ru-RU"/>
        </w:rPr>
      </w:pPr>
    </w:p>
    <w:p w:rsidR="00A32F79" w:rsidRDefault="00A32F79" w:rsidP="003674EA">
      <w:pPr>
        <w:rPr>
          <w:rFonts w:ascii="Times New Roman" w:hAnsi="Times New Roman" w:cs="Times New Roman"/>
          <w:b/>
          <w:sz w:val="28"/>
          <w:szCs w:val="28"/>
          <w:lang w:val="ro-MD"/>
        </w:rPr>
      </w:pPr>
    </w:p>
    <w:p w:rsidR="00D23412" w:rsidRDefault="00D23412" w:rsidP="003674EA">
      <w:pPr>
        <w:rPr>
          <w:rFonts w:ascii="Times New Roman" w:hAnsi="Times New Roman" w:cs="Times New Roman"/>
          <w:b/>
          <w:sz w:val="28"/>
          <w:szCs w:val="28"/>
          <w:lang w:val="ro-MD"/>
        </w:rPr>
      </w:pPr>
    </w:p>
    <w:p w:rsidR="00D23412" w:rsidRDefault="00D23412" w:rsidP="003674EA">
      <w:pPr>
        <w:rPr>
          <w:rFonts w:ascii="Times New Roman" w:hAnsi="Times New Roman" w:cs="Times New Roman"/>
          <w:b/>
          <w:sz w:val="28"/>
          <w:szCs w:val="28"/>
          <w:lang w:val="ro-MD"/>
        </w:rPr>
      </w:pPr>
    </w:p>
    <w:sectPr w:rsidR="00D23412" w:rsidSect="00F632C6">
      <w:pgSz w:w="12240" w:h="15840"/>
      <w:pgMar w:top="270" w:right="1041" w:bottom="2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FCB" w:rsidRDefault="00601FCB" w:rsidP="00C10A50">
      <w:pPr>
        <w:spacing w:after="0" w:line="240" w:lineRule="auto"/>
      </w:pPr>
      <w:r>
        <w:separator/>
      </w:r>
    </w:p>
  </w:endnote>
  <w:endnote w:type="continuationSeparator" w:id="0">
    <w:p w:rsidR="00601FCB" w:rsidRDefault="00601FCB" w:rsidP="00C10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FCB" w:rsidRDefault="00601FCB" w:rsidP="00C10A50">
      <w:pPr>
        <w:spacing w:after="0" w:line="240" w:lineRule="auto"/>
      </w:pPr>
      <w:r>
        <w:separator/>
      </w:r>
    </w:p>
  </w:footnote>
  <w:footnote w:type="continuationSeparator" w:id="0">
    <w:p w:rsidR="00601FCB" w:rsidRDefault="00601FCB" w:rsidP="00C10A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B7F1C"/>
    <w:multiLevelType w:val="hybridMultilevel"/>
    <w:tmpl w:val="3F8C6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FD393F"/>
    <w:multiLevelType w:val="hybridMultilevel"/>
    <w:tmpl w:val="EB4A3B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D56EB1"/>
    <w:multiLevelType w:val="hybridMultilevel"/>
    <w:tmpl w:val="791C9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095A3C"/>
    <w:multiLevelType w:val="hybridMultilevel"/>
    <w:tmpl w:val="26027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1E538F"/>
    <w:multiLevelType w:val="hybridMultilevel"/>
    <w:tmpl w:val="1DA47F00"/>
    <w:lvl w:ilvl="0" w:tplc="CA8AC21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393E67"/>
    <w:multiLevelType w:val="hybridMultilevel"/>
    <w:tmpl w:val="8CAAD6E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44E70853"/>
    <w:multiLevelType w:val="hybridMultilevel"/>
    <w:tmpl w:val="2BF0FE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94D"/>
    <w:rsid w:val="00004212"/>
    <w:rsid w:val="00020EBC"/>
    <w:rsid w:val="000228B3"/>
    <w:rsid w:val="0003594D"/>
    <w:rsid w:val="00052176"/>
    <w:rsid w:val="00061270"/>
    <w:rsid w:val="00084F8D"/>
    <w:rsid w:val="000858CE"/>
    <w:rsid w:val="00091458"/>
    <w:rsid w:val="000C1299"/>
    <w:rsid w:val="000F4296"/>
    <w:rsid w:val="00107292"/>
    <w:rsid w:val="0011224A"/>
    <w:rsid w:val="001220A3"/>
    <w:rsid w:val="00146AE5"/>
    <w:rsid w:val="001515C6"/>
    <w:rsid w:val="00170375"/>
    <w:rsid w:val="00172CAE"/>
    <w:rsid w:val="00174DCC"/>
    <w:rsid w:val="0018107F"/>
    <w:rsid w:val="00182928"/>
    <w:rsid w:val="00192398"/>
    <w:rsid w:val="001C4100"/>
    <w:rsid w:val="001D1284"/>
    <w:rsid w:val="002234C0"/>
    <w:rsid w:val="00223718"/>
    <w:rsid w:val="002359F7"/>
    <w:rsid w:val="002429EC"/>
    <w:rsid w:val="00245A9E"/>
    <w:rsid w:val="002604DD"/>
    <w:rsid w:val="0026099E"/>
    <w:rsid w:val="002637A2"/>
    <w:rsid w:val="00263C4E"/>
    <w:rsid w:val="002660C3"/>
    <w:rsid w:val="002660EC"/>
    <w:rsid w:val="00290591"/>
    <w:rsid w:val="002941FF"/>
    <w:rsid w:val="002B05DC"/>
    <w:rsid w:val="002F2412"/>
    <w:rsid w:val="00316CB0"/>
    <w:rsid w:val="00330FA7"/>
    <w:rsid w:val="003661C3"/>
    <w:rsid w:val="003674EA"/>
    <w:rsid w:val="003748E5"/>
    <w:rsid w:val="003D3A7E"/>
    <w:rsid w:val="003E6C59"/>
    <w:rsid w:val="00401BCB"/>
    <w:rsid w:val="00493A48"/>
    <w:rsid w:val="00495E5C"/>
    <w:rsid w:val="004C3B5C"/>
    <w:rsid w:val="004E603A"/>
    <w:rsid w:val="004F3BF0"/>
    <w:rsid w:val="004F496B"/>
    <w:rsid w:val="004F641F"/>
    <w:rsid w:val="00504262"/>
    <w:rsid w:val="00511FF1"/>
    <w:rsid w:val="00520FA9"/>
    <w:rsid w:val="00521002"/>
    <w:rsid w:val="00525571"/>
    <w:rsid w:val="005416D7"/>
    <w:rsid w:val="00567C1B"/>
    <w:rsid w:val="005D7B80"/>
    <w:rsid w:val="00601FCB"/>
    <w:rsid w:val="00602511"/>
    <w:rsid w:val="006116EF"/>
    <w:rsid w:val="006133BE"/>
    <w:rsid w:val="00614015"/>
    <w:rsid w:val="00644C1C"/>
    <w:rsid w:val="00644E22"/>
    <w:rsid w:val="00650BA2"/>
    <w:rsid w:val="00665C82"/>
    <w:rsid w:val="0068104E"/>
    <w:rsid w:val="00684FAE"/>
    <w:rsid w:val="00685A91"/>
    <w:rsid w:val="00695AFC"/>
    <w:rsid w:val="006A742E"/>
    <w:rsid w:val="006C3F83"/>
    <w:rsid w:val="006E5E74"/>
    <w:rsid w:val="006F6B94"/>
    <w:rsid w:val="006F72A0"/>
    <w:rsid w:val="00704E9B"/>
    <w:rsid w:val="007202E1"/>
    <w:rsid w:val="00724D63"/>
    <w:rsid w:val="00772459"/>
    <w:rsid w:val="007768D7"/>
    <w:rsid w:val="00791C3A"/>
    <w:rsid w:val="007A6B06"/>
    <w:rsid w:val="007C3A9C"/>
    <w:rsid w:val="007C6BED"/>
    <w:rsid w:val="00804F50"/>
    <w:rsid w:val="008332B9"/>
    <w:rsid w:val="0084244F"/>
    <w:rsid w:val="0084497E"/>
    <w:rsid w:val="00871384"/>
    <w:rsid w:val="0089315D"/>
    <w:rsid w:val="008B1F40"/>
    <w:rsid w:val="008B33D5"/>
    <w:rsid w:val="008D592D"/>
    <w:rsid w:val="009010FD"/>
    <w:rsid w:val="00994025"/>
    <w:rsid w:val="009A779A"/>
    <w:rsid w:val="009B0248"/>
    <w:rsid w:val="009E0103"/>
    <w:rsid w:val="00A04FC1"/>
    <w:rsid w:val="00A32F79"/>
    <w:rsid w:val="00A454F5"/>
    <w:rsid w:val="00A548B2"/>
    <w:rsid w:val="00A74A39"/>
    <w:rsid w:val="00A85A52"/>
    <w:rsid w:val="00A93F5B"/>
    <w:rsid w:val="00AB1C2E"/>
    <w:rsid w:val="00AC3CA3"/>
    <w:rsid w:val="00AD3186"/>
    <w:rsid w:val="00AD4784"/>
    <w:rsid w:val="00AF1B6E"/>
    <w:rsid w:val="00B04DCC"/>
    <w:rsid w:val="00B853A2"/>
    <w:rsid w:val="00B979A2"/>
    <w:rsid w:val="00BA27D1"/>
    <w:rsid w:val="00BF3507"/>
    <w:rsid w:val="00BF6F7A"/>
    <w:rsid w:val="00C10A50"/>
    <w:rsid w:val="00C41403"/>
    <w:rsid w:val="00C72565"/>
    <w:rsid w:val="00CA6160"/>
    <w:rsid w:val="00CB78EB"/>
    <w:rsid w:val="00CE0DB2"/>
    <w:rsid w:val="00D23412"/>
    <w:rsid w:val="00D84D71"/>
    <w:rsid w:val="00DA2137"/>
    <w:rsid w:val="00DA3595"/>
    <w:rsid w:val="00DC3157"/>
    <w:rsid w:val="00DC7F16"/>
    <w:rsid w:val="00DE0600"/>
    <w:rsid w:val="00E4063B"/>
    <w:rsid w:val="00E85017"/>
    <w:rsid w:val="00E97BDB"/>
    <w:rsid w:val="00EA4B07"/>
    <w:rsid w:val="00EA6326"/>
    <w:rsid w:val="00EB3F7B"/>
    <w:rsid w:val="00ED5C41"/>
    <w:rsid w:val="00EE60BC"/>
    <w:rsid w:val="00EF6496"/>
    <w:rsid w:val="00F632C6"/>
    <w:rsid w:val="00F74663"/>
    <w:rsid w:val="00FA0A1A"/>
    <w:rsid w:val="00FA0C24"/>
    <w:rsid w:val="00FC0A03"/>
    <w:rsid w:val="00FE0B5E"/>
    <w:rsid w:val="00FE3A5D"/>
    <w:rsid w:val="00FE6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06F2A0-753B-4AFE-B763-A06B3D380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248"/>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4A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A39"/>
    <w:rPr>
      <w:rFonts w:ascii="Segoe UI" w:hAnsi="Segoe UI" w:cs="Segoe UI"/>
      <w:sz w:val="18"/>
      <w:szCs w:val="18"/>
      <w:lang w:val="ro-RO"/>
    </w:rPr>
  </w:style>
  <w:style w:type="paragraph" w:styleId="Header">
    <w:name w:val="header"/>
    <w:basedOn w:val="Normal"/>
    <w:link w:val="HeaderChar"/>
    <w:uiPriority w:val="99"/>
    <w:unhideWhenUsed/>
    <w:rsid w:val="00C10A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A50"/>
    <w:rPr>
      <w:lang w:val="ro-RO"/>
    </w:rPr>
  </w:style>
  <w:style w:type="paragraph" w:styleId="Footer">
    <w:name w:val="footer"/>
    <w:basedOn w:val="Normal"/>
    <w:link w:val="FooterChar"/>
    <w:uiPriority w:val="99"/>
    <w:unhideWhenUsed/>
    <w:rsid w:val="00C10A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A50"/>
    <w:rPr>
      <w:lang w:val="ro-RO"/>
    </w:rPr>
  </w:style>
  <w:style w:type="paragraph" w:styleId="ListParagraph">
    <w:name w:val="List Paragraph"/>
    <w:basedOn w:val="Normal"/>
    <w:uiPriority w:val="34"/>
    <w:qFormat/>
    <w:rsid w:val="009B0248"/>
    <w:pPr>
      <w:ind w:left="720"/>
      <w:contextualSpacing/>
    </w:pPr>
  </w:style>
  <w:style w:type="paragraph" w:customStyle="1" w:styleId="tt">
    <w:name w:val="tt"/>
    <w:basedOn w:val="Normal"/>
    <w:uiPriority w:val="99"/>
    <w:semiHidden/>
    <w:rsid w:val="00A04FC1"/>
    <w:pPr>
      <w:spacing w:after="0" w:line="240" w:lineRule="auto"/>
      <w:jc w:val="center"/>
    </w:pPr>
    <w:rPr>
      <w:rFonts w:ascii="Times New Roman" w:eastAsia="Times New Roman" w:hAnsi="Times New Roman" w:cs="Times New Roman"/>
      <w:b/>
      <w:bCs/>
      <w:sz w:val="24"/>
      <w:szCs w:val="24"/>
      <w:lang w:val="en-US"/>
    </w:rPr>
  </w:style>
  <w:style w:type="character" w:styleId="Hyperlink">
    <w:name w:val="Hyperlink"/>
    <w:rsid w:val="009E01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44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995ED-808D-43BA-A436-796E5ADFE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3137</Words>
  <Characters>17883</Characters>
  <Application>Microsoft Office Word</Application>
  <DocSecurity>0</DocSecurity>
  <Lines>149</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20979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Oxana</dc:creator>
  <cp:lastModifiedBy>Oxana</cp:lastModifiedBy>
  <cp:revision>5</cp:revision>
  <cp:lastPrinted>2020-05-27T10:51:00Z</cp:lastPrinted>
  <dcterms:created xsi:type="dcterms:W3CDTF">2020-06-05T06:14:00Z</dcterms:created>
  <dcterms:modified xsi:type="dcterms:W3CDTF">2020-06-05T06:18:00Z</dcterms:modified>
</cp:coreProperties>
</file>