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63" w:rsidRDefault="00820063" w:rsidP="00820063">
      <w:pPr>
        <w:spacing w:after="0" w:line="240" w:lineRule="auto"/>
        <w:jc w:val="center"/>
        <w:rPr>
          <w:rFonts w:ascii="Times New Roman" w:hAnsi="Times New Roman"/>
          <w:b/>
          <w:sz w:val="28"/>
          <w:szCs w:val="28"/>
          <w:lang w:val="it-IT"/>
        </w:rPr>
      </w:pPr>
      <w:bookmarkStart w:id="0" w:name="_GoBack"/>
      <w:bookmarkEnd w:id="0"/>
      <w:r>
        <w:rPr>
          <w:rFonts w:ascii="Times New Roman" w:hAnsi="Times New Roman"/>
          <w:b/>
          <w:sz w:val="28"/>
          <w:szCs w:val="28"/>
          <w:lang w:val="it-IT"/>
        </w:rPr>
        <w:t>NOTĂ INFORMATIVĂ</w:t>
      </w:r>
    </w:p>
    <w:p w:rsidR="00820063" w:rsidRDefault="00820063" w:rsidP="00820063">
      <w:pPr>
        <w:spacing w:after="0" w:line="240" w:lineRule="auto"/>
        <w:jc w:val="center"/>
        <w:rPr>
          <w:rFonts w:ascii="Times New Roman" w:hAnsi="Times New Roman"/>
          <w:b/>
          <w:sz w:val="28"/>
          <w:szCs w:val="28"/>
          <w:lang w:val="it-IT"/>
        </w:rPr>
      </w:pPr>
      <w:r>
        <w:rPr>
          <w:rFonts w:ascii="Times New Roman" w:hAnsi="Times New Roman"/>
          <w:b/>
          <w:sz w:val="28"/>
          <w:szCs w:val="28"/>
          <w:lang w:val="it-IT"/>
        </w:rPr>
        <w:t>la proiectul Legii pentru modificarea unor acte legislative</w:t>
      </w:r>
    </w:p>
    <w:p w:rsidR="00820063" w:rsidRDefault="00820063" w:rsidP="00820063">
      <w:pPr>
        <w:spacing w:after="0" w:line="240" w:lineRule="auto"/>
        <w:ind w:left="-709" w:firstLine="720"/>
        <w:jc w:val="both"/>
        <w:rPr>
          <w:rFonts w:ascii="Times New Roman" w:hAnsi="Times New Roman" w:cs="Times New Roman"/>
          <w:sz w:val="28"/>
          <w:szCs w:val="28"/>
          <w:lang w:val="it-IT"/>
        </w:rPr>
      </w:pPr>
    </w:p>
    <w:tbl>
      <w:tblPr>
        <w:tblStyle w:val="a3"/>
        <w:tblW w:w="10315" w:type="dxa"/>
        <w:tblInd w:w="-709" w:type="dxa"/>
        <w:tblLook w:val="04A0" w:firstRow="1" w:lastRow="0" w:firstColumn="1" w:lastColumn="0" w:noHBand="0" w:noVBand="1"/>
      </w:tblPr>
      <w:tblGrid>
        <w:gridCol w:w="10315"/>
      </w:tblGrid>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DE25CD">
              <w:rPr>
                <w:rFonts w:ascii="Times New Roman" w:hAnsi="Times New Roman" w:cs="Times New Roman"/>
                <w:b/>
                <w:sz w:val="28"/>
                <w:szCs w:val="28"/>
                <w:lang w:val="it-IT"/>
              </w:rPr>
              <w:t>Denumirea autorului și, după caz, a participanților la elaborarea proiectului</w:t>
            </w:r>
          </w:p>
          <w:p w:rsidR="00820063" w:rsidRPr="006E1E91" w:rsidRDefault="00820063" w:rsidP="00B21F4A">
            <w:pPr>
              <w:tabs>
                <w:tab w:val="left" w:pos="229"/>
                <w:tab w:val="left" w:pos="469"/>
              </w:tabs>
              <w:ind w:left="142" w:firstLine="425"/>
              <w:jc w:val="both"/>
              <w:rPr>
                <w:rFonts w:ascii="Times New Roman" w:hAnsi="Times New Roman"/>
                <w:sz w:val="28"/>
                <w:szCs w:val="28"/>
                <w:lang w:val="it-IT"/>
              </w:rPr>
            </w:pPr>
            <w:r>
              <w:rPr>
                <w:rFonts w:ascii="Times New Roman" w:hAnsi="Times New Roman"/>
                <w:sz w:val="28"/>
                <w:szCs w:val="28"/>
                <w:lang w:val="it-IT"/>
              </w:rPr>
              <w:t>P</w:t>
            </w:r>
            <w:r w:rsidRPr="006E1E91">
              <w:rPr>
                <w:rFonts w:ascii="Times New Roman" w:hAnsi="Times New Roman"/>
                <w:sz w:val="28"/>
                <w:szCs w:val="28"/>
                <w:lang w:val="it-IT"/>
              </w:rPr>
              <w:t>roiectul Legii pentru modificarea unor acte legislative</w:t>
            </w:r>
            <w:r>
              <w:rPr>
                <w:rFonts w:ascii="Times New Roman" w:hAnsi="Times New Roman"/>
                <w:sz w:val="28"/>
                <w:szCs w:val="28"/>
                <w:lang w:val="it-IT"/>
              </w:rPr>
              <w:t xml:space="preserve"> elaborat de către Ministerul Sănătății, Muncii și Protecției Sociale</w:t>
            </w:r>
          </w:p>
          <w:p w:rsidR="00820063" w:rsidRPr="00DE25CD" w:rsidRDefault="00820063" w:rsidP="00B21F4A">
            <w:pPr>
              <w:pStyle w:val="a4"/>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Condițiile ce au impus elaborarea proiectului actului normativ și finațitățile urmărite</w:t>
            </w:r>
          </w:p>
          <w:p w:rsidR="00820063" w:rsidRDefault="00820063" w:rsidP="00B21F4A">
            <w:pPr>
              <w:pStyle w:val="a4"/>
              <w:ind w:left="425"/>
              <w:jc w:val="both"/>
              <w:rPr>
                <w:rFonts w:ascii="Times New Roman" w:hAnsi="Times New Roman" w:cs="Times New Roman"/>
                <w:sz w:val="28"/>
                <w:szCs w:val="28"/>
                <w:lang w:val="it-IT"/>
              </w:rPr>
            </w:pPr>
            <w:r>
              <w:rPr>
                <w:rFonts w:ascii="Times New Roman" w:hAnsi="Times New Roman"/>
                <w:sz w:val="28"/>
                <w:szCs w:val="28"/>
                <w:lang w:val="ro-MO"/>
              </w:rPr>
              <w:t>Proiectul Legii pentru modificarea unor acte legislative este</w:t>
            </w:r>
            <w:r>
              <w:rPr>
                <w:rFonts w:ascii="Times New Roman" w:hAnsi="Times New Roman" w:cs="Times New Roman"/>
                <w:sz w:val="28"/>
                <w:szCs w:val="28"/>
                <w:lang w:val="it-IT"/>
              </w:rPr>
              <w:t xml:space="preserve"> elaborat întru executarea  hotărîrilor Curții Constituționale nr.34 din 8 decembrie 2017 și nr.3 din 4 februarie 2020.</w:t>
            </w:r>
          </w:p>
          <w:p w:rsidR="00820063" w:rsidRPr="006E1E91" w:rsidRDefault="00820063" w:rsidP="00B21F4A">
            <w:pPr>
              <w:pStyle w:val="a4"/>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Descrierea gradului de compatibilitate pentru proiectele care au ca scop armonizarea legislației naționale cu legislația Uniunii Europene</w:t>
            </w:r>
          </w:p>
          <w:p w:rsidR="00820063" w:rsidRPr="006E1E91" w:rsidRDefault="00820063" w:rsidP="00B21F4A">
            <w:pPr>
              <w:pStyle w:val="a4"/>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Principalele prevederi ale proiectului și evidențierea elementelor noi</w:t>
            </w:r>
          </w:p>
          <w:p w:rsidR="00820063" w:rsidRDefault="00820063" w:rsidP="00B21F4A">
            <w:pPr>
              <w:ind w:left="142" w:firstLine="283"/>
              <w:jc w:val="both"/>
              <w:rPr>
                <w:rFonts w:ascii="Times New Roman" w:hAnsi="Times New Roman" w:cs="Times New Roman"/>
                <w:sz w:val="28"/>
                <w:szCs w:val="28"/>
                <w:lang w:val="ro-MO"/>
              </w:rPr>
            </w:pPr>
            <w:r>
              <w:rPr>
                <w:rFonts w:ascii="Times New Roman" w:hAnsi="Times New Roman" w:cs="Times New Roman"/>
                <w:sz w:val="28"/>
                <w:szCs w:val="28"/>
                <w:lang w:val="ro-MO"/>
              </w:rPr>
              <w:t>Proiectul are drept scop excluderea dreptului de veto al organelor sindicale în procedura de concediere a salariaților aleși în organele sindicale și neeliberați de la locul de muncă de bază.</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La 8 decembrie 2017 Curtea Constituțională a pronunțat Hotărîrea nr.34 privind excepția de neconstituționalitate a unor prevederi din articolul 87 alin. (1) din Codul muncii, în redacția anterioară Legii nr.188 din 21 septembrie 2017.</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Prin această hotărîre, Curtea a declarat neconstituțională prevederea art.87 alin.(1) din Codul muncii, în redacția de pînă la 20 octombrie 2017 (data punerii în aplicare a Legii nr.188), care prevedea că, concedierea salariaților membri de sindicat în cazurile stipulate la art.86 alin. (1) lit. c), e) și g) poate avea loc </w:t>
            </w:r>
            <w:r w:rsidRPr="00644A26">
              <w:rPr>
                <w:rFonts w:ascii="Times New Roman" w:hAnsi="Times New Roman" w:cs="Times New Roman"/>
                <w:sz w:val="28"/>
                <w:szCs w:val="28"/>
                <w:lang w:val="it-IT"/>
              </w:rPr>
              <w:t>doar cu acordul</w:t>
            </w:r>
            <w:r>
              <w:rPr>
                <w:rFonts w:ascii="Times New Roman" w:hAnsi="Times New Roman" w:cs="Times New Roman"/>
                <w:sz w:val="28"/>
                <w:szCs w:val="28"/>
                <w:lang w:val="it-IT"/>
              </w:rPr>
              <w:t xml:space="preserve"> preliminar scris al organului sindical din unitate.</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Curtea a constatat că dreptul de veto al organelor sindicale la luarea deciziilor de concediere a salariaților încalcă prevederile articolelor 9, 46 și 126 din Constituție, care consfințesc libera inițiativă economică, libera activitate de întreprinzător și dreptul de proprietate al angajatorului.</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Curtea a luat act de faptul că, prin Legea nr.188 din 21 septembrie 2017, Parlamentul a modificat prevederile articolul 87 alin. (1) din Cod și actualmente concedierea salariaților membri de sindicat se admite cu consultarea prealabilă a organului sindical din unitate.</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Totodată, Curtea a observat că obligativitarea acordului organului sindical la concediere este prevăzut și de alte articole din Codul muncii, precum și de articolul 33 din Legea sindicatelor.</w:t>
            </w:r>
          </w:p>
          <w:p w:rsidR="00820063" w:rsidRDefault="00820063" w:rsidP="00B21F4A">
            <w:pPr>
              <w:ind w:left="142" w:firstLine="283"/>
              <w:jc w:val="both"/>
              <w:rPr>
                <w:rFonts w:ascii="Times New Roman" w:hAnsi="Times New Roman" w:cs="Times New Roman"/>
                <w:sz w:val="28"/>
                <w:szCs w:val="28"/>
                <w:lang w:val="it-IT"/>
              </w:rPr>
            </w:pPr>
            <w:r>
              <w:rPr>
                <w:rFonts w:ascii="Times New Roman" w:hAnsi="Times New Roman" w:cs="Times New Roman"/>
                <w:sz w:val="28"/>
                <w:szCs w:val="28"/>
                <w:lang w:val="it-IT"/>
              </w:rPr>
              <w:t>Ținînd cont de raționamentele expuse în Hotărîrea nr.34 din 8 decembrie 2017, Curtea Constituțională a subliniat necesitatea revizuirii tuturor prevederilor din Codul muncii și legile conexe care consacră o soluție legislativă similară privind dreptul de veto al organelor sindicale în procedura de concediere a salariaților.</w:t>
            </w:r>
          </w:p>
          <w:p w:rsidR="00820063" w:rsidRDefault="00820063" w:rsidP="00B21F4A">
            <w:pPr>
              <w:spacing w:before="120"/>
              <w:ind w:firstLine="425"/>
              <w:jc w:val="both"/>
              <w:rPr>
                <w:rFonts w:ascii="Times New Roman" w:hAnsi="Times New Roman" w:cs="Times New Roman"/>
                <w:spacing w:val="-4"/>
                <w:sz w:val="28"/>
                <w:szCs w:val="28"/>
                <w:lang w:val="ro-RO"/>
              </w:rPr>
            </w:pPr>
            <w:r>
              <w:rPr>
                <w:rFonts w:ascii="Times New Roman" w:hAnsi="Times New Roman" w:cs="Times New Roman"/>
                <w:spacing w:val="-4"/>
                <w:sz w:val="28"/>
                <w:szCs w:val="28"/>
                <w:lang w:val="ro-RO"/>
              </w:rPr>
              <w:t>În acest sens</w:t>
            </w:r>
            <w:r w:rsidRPr="00145015">
              <w:rPr>
                <w:rFonts w:ascii="Times New Roman" w:hAnsi="Times New Roman" w:cs="Times New Roman"/>
                <w:spacing w:val="-4"/>
                <w:sz w:val="28"/>
                <w:szCs w:val="28"/>
                <w:lang w:val="ro-RO"/>
              </w:rPr>
              <w:t xml:space="preserve"> precizăm că</w:t>
            </w:r>
            <w:r>
              <w:rPr>
                <w:rFonts w:ascii="Times New Roman" w:hAnsi="Times New Roman" w:cs="Times New Roman"/>
                <w:spacing w:val="-4"/>
                <w:sz w:val="28"/>
                <w:szCs w:val="28"/>
                <w:lang w:val="ro-RO"/>
              </w:rPr>
              <w:t xml:space="preserve">, întru executarea </w:t>
            </w:r>
            <w:proofErr w:type="spellStart"/>
            <w:r>
              <w:rPr>
                <w:rFonts w:ascii="Times New Roman" w:hAnsi="Times New Roman" w:cs="Times New Roman"/>
                <w:spacing w:val="-4"/>
                <w:sz w:val="28"/>
                <w:szCs w:val="28"/>
                <w:lang w:val="ro-RO"/>
              </w:rPr>
              <w:t>hotărîrii</w:t>
            </w:r>
            <w:proofErr w:type="spellEnd"/>
            <w:r>
              <w:rPr>
                <w:rFonts w:ascii="Times New Roman" w:hAnsi="Times New Roman" w:cs="Times New Roman"/>
                <w:spacing w:val="-4"/>
                <w:sz w:val="28"/>
                <w:szCs w:val="28"/>
                <w:lang w:val="ro-RO"/>
              </w:rPr>
              <w:t xml:space="preserve"> Curții Constituționale,</w:t>
            </w:r>
            <w:r w:rsidRPr="00145015">
              <w:rPr>
                <w:rFonts w:ascii="Times New Roman" w:hAnsi="Times New Roman" w:cs="Times New Roman"/>
                <w:spacing w:val="-4"/>
                <w:sz w:val="28"/>
                <w:szCs w:val="28"/>
                <w:lang w:val="ro-RO"/>
              </w:rPr>
              <w:t xml:space="preserve"> Ministerul Sănătății</w:t>
            </w:r>
            <w:r>
              <w:rPr>
                <w:rFonts w:ascii="Times New Roman" w:hAnsi="Times New Roman" w:cs="Times New Roman"/>
                <w:spacing w:val="-4"/>
                <w:sz w:val="28"/>
                <w:szCs w:val="28"/>
                <w:lang w:val="ro-RO"/>
              </w:rPr>
              <w:t xml:space="preserve">, Muncii și Protecției Sociale </w:t>
            </w:r>
            <w:r w:rsidRPr="00145015">
              <w:rPr>
                <w:rFonts w:ascii="Times New Roman" w:hAnsi="Times New Roman" w:cs="Times New Roman"/>
                <w:spacing w:val="-4"/>
                <w:sz w:val="28"/>
                <w:szCs w:val="28"/>
                <w:lang w:val="ro-RO"/>
              </w:rPr>
              <w:t xml:space="preserve">a elaborat un proiect de act normativ prin care </w:t>
            </w:r>
            <w:r>
              <w:rPr>
                <w:rFonts w:ascii="Times New Roman" w:hAnsi="Times New Roman" w:cs="Times New Roman"/>
                <w:spacing w:val="-4"/>
                <w:sz w:val="28"/>
                <w:szCs w:val="28"/>
                <w:lang w:val="ro-RO"/>
              </w:rPr>
              <w:t xml:space="preserve">au fost propuse </w:t>
            </w:r>
            <w:r w:rsidRPr="00145015">
              <w:rPr>
                <w:rFonts w:ascii="Times New Roman" w:hAnsi="Times New Roman" w:cs="Times New Roman"/>
                <w:spacing w:val="-4"/>
                <w:sz w:val="28"/>
                <w:szCs w:val="28"/>
                <w:lang w:val="ro-RO"/>
              </w:rPr>
              <w:t>modific</w:t>
            </w:r>
            <w:r>
              <w:rPr>
                <w:rFonts w:ascii="Times New Roman" w:hAnsi="Times New Roman" w:cs="Times New Roman"/>
                <w:spacing w:val="-4"/>
                <w:sz w:val="28"/>
                <w:szCs w:val="28"/>
                <w:lang w:val="ro-RO"/>
              </w:rPr>
              <w:t>ările</w:t>
            </w:r>
            <w:r w:rsidRPr="00145015">
              <w:rPr>
                <w:rFonts w:ascii="Times New Roman" w:hAnsi="Times New Roman" w:cs="Times New Roman"/>
                <w:spacing w:val="-4"/>
                <w:sz w:val="28"/>
                <w:szCs w:val="28"/>
                <w:lang w:val="ro-RO"/>
              </w:rPr>
              <w:t xml:space="preserve"> corespunzăto</w:t>
            </w:r>
            <w:r>
              <w:rPr>
                <w:rFonts w:ascii="Times New Roman" w:hAnsi="Times New Roman" w:cs="Times New Roman"/>
                <w:spacing w:val="-4"/>
                <w:sz w:val="28"/>
                <w:szCs w:val="28"/>
                <w:lang w:val="ro-RO"/>
              </w:rPr>
              <w:t>a</w:t>
            </w:r>
            <w:r w:rsidRPr="00145015">
              <w:rPr>
                <w:rFonts w:ascii="Times New Roman" w:hAnsi="Times New Roman" w:cs="Times New Roman"/>
                <w:spacing w:val="-4"/>
                <w:sz w:val="28"/>
                <w:szCs w:val="28"/>
                <w:lang w:val="ro-RO"/>
              </w:rPr>
              <w:t>r</w:t>
            </w:r>
            <w:r>
              <w:rPr>
                <w:rFonts w:ascii="Times New Roman" w:hAnsi="Times New Roman" w:cs="Times New Roman"/>
                <w:spacing w:val="-4"/>
                <w:sz w:val="28"/>
                <w:szCs w:val="28"/>
                <w:lang w:val="ro-RO"/>
              </w:rPr>
              <w:t>e.</w:t>
            </w:r>
            <w:r w:rsidRPr="00145015">
              <w:rPr>
                <w:rFonts w:ascii="Times New Roman" w:hAnsi="Times New Roman" w:cs="Times New Roman"/>
                <w:spacing w:val="-4"/>
                <w:sz w:val="28"/>
                <w:szCs w:val="28"/>
                <w:lang w:val="ro-RO"/>
              </w:rPr>
              <w:t xml:space="preserve"> </w:t>
            </w:r>
          </w:p>
          <w:p w:rsidR="00820063" w:rsidRDefault="00820063" w:rsidP="00B21F4A">
            <w:pPr>
              <w:spacing w:before="120"/>
              <w:ind w:firstLine="425"/>
              <w:jc w:val="both"/>
              <w:rPr>
                <w:rFonts w:ascii="Times New Roman" w:hAnsi="Times New Roman" w:cs="Times New Roman"/>
                <w:spacing w:val="-4"/>
                <w:sz w:val="28"/>
                <w:szCs w:val="28"/>
                <w:lang w:val="ro-RO"/>
              </w:rPr>
            </w:pPr>
            <w:r>
              <w:rPr>
                <w:rFonts w:ascii="Times New Roman" w:hAnsi="Times New Roman" w:cs="Times New Roman"/>
                <w:spacing w:val="-4"/>
                <w:sz w:val="28"/>
                <w:szCs w:val="28"/>
                <w:lang w:val="ro-RO"/>
              </w:rPr>
              <w:lastRenderedPageBreak/>
              <w:t>Proiectul a fost aprobat de Guvern</w:t>
            </w:r>
            <w:r w:rsidRPr="00145015">
              <w:rPr>
                <w:rFonts w:ascii="Times New Roman" w:hAnsi="Times New Roman" w:cs="Times New Roman"/>
                <w:spacing w:val="-4"/>
                <w:sz w:val="28"/>
                <w:szCs w:val="28"/>
                <w:lang w:val="ro-RO"/>
              </w:rPr>
              <w:t xml:space="preserve"> </w:t>
            </w:r>
            <w:r>
              <w:rPr>
                <w:rFonts w:ascii="Times New Roman" w:hAnsi="Times New Roman" w:cs="Times New Roman"/>
                <w:spacing w:val="-4"/>
                <w:sz w:val="28"/>
                <w:szCs w:val="28"/>
                <w:lang w:val="ro-RO"/>
              </w:rPr>
              <w:t>și</w:t>
            </w:r>
            <w:r w:rsidRPr="00145015">
              <w:rPr>
                <w:rFonts w:ascii="Times New Roman" w:hAnsi="Times New Roman" w:cs="Times New Roman"/>
                <w:spacing w:val="-4"/>
                <w:sz w:val="28"/>
                <w:szCs w:val="28"/>
                <w:lang w:val="ro-RO"/>
              </w:rPr>
              <w:t xml:space="preserve"> remis Parlament</w:t>
            </w:r>
            <w:r>
              <w:rPr>
                <w:rFonts w:ascii="Times New Roman" w:hAnsi="Times New Roman" w:cs="Times New Roman"/>
                <w:spacing w:val="-4"/>
                <w:sz w:val="28"/>
                <w:szCs w:val="28"/>
                <w:lang w:val="ro-RO"/>
              </w:rPr>
              <w:t>ului,</w:t>
            </w:r>
            <w:r w:rsidRPr="00145015">
              <w:rPr>
                <w:rFonts w:ascii="Times New Roman" w:hAnsi="Times New Roman" w:cs="Times New Roman"/>
                <w:spacing w:val="-4"/>
                <w:sz w:val="28"/>
                <w:szCs w:val="28"/>
                <w:lang w:val="ro-RO"/>
              </w:rPr>
              <w:t xml:space="preserve"> dar nu a fost </w:t>
            </w:r>
            <w:r>
              <w:rPr>
                <w:rFonts w:ascii="Times New Roman" w:hAnsi="Times New Roman" w:cs="Times New Roman"/>
                <w:spacing w:val="-4"/>
                <w:sz w:val="28"/>
                <w:szCs w:val="28"/>
                <w:lang w:val="ro-RO"/>
              </w:rPr>
              <w:t>examinat,</w:t>
            </w:r>
            <w:r w:rsidRPr="00145015">
              <w:rPr>
                <w:rFonts w:ascii="Times New Roman" w:hAnsi="Times New Roman" w:cs="Times New Roman"/>
                <w:spacing w:val="-4"/>
                <w:sz w:val="28"/>
                <w:szCs w:val="28"/>
                <w:lang w:val="ro-RO"/>
              </w:rPr>
              <w:t xml:space="preserve"> devenind nul și fiind exclus din procedură legislativă.</w:t>
            </w:r>
          </w:p>
          <w:p w:rsidR="00820063" w:rsidRDefault="00820063" w:rsidP="00B21F4A">
            <w:pPr>
              <w:ind w:left="142" w:firstLine="283"/>
              <w:jc w:val="both"/>
              <w:rPr>
                <w:rFonts w:ascii="Times New Roman" w:hAnsi="Times New Roman" w:cs="Times New Roman"/>
                <w:sz w:val="28"/>
                <w:szCs w:val="28"/>
                <w:lang w:val="ro-RO"/>
              </w:rPr>
            </w:pPr>
            <w:r>
              <w:rPr>
                <w:rFonts w:ascii="Times New Roman" w:hAnsi="Times New Roman" w:cs="Times New Roman"/>
                <w:sz w:val="28"/>
                <w:szCs w:val="28"/>
                <w:lang w:val="ro-RO"/>
              </w:rPr>
              <w:t>Recent, Curtea Constituțională a admis excepția de neconstituționalitate a articolului 87 alin. (2) și (3) din Codul muncii (</w:t>
            </w:r>
            <w:r w:rsidRPr="00137A00">
              <w:rPr>
                <w:rFonts w:ascii="Times New Roman" w:hAnsi="Times New Roman" w:cs="Times New Roman"/>
                <w:i/>
                <w:sz w:val="28"/>
                <w:szCs w:val="28"/>
                <w:lang w:val="ro-RO"/>
              </w:rPr>
              <w:t>obligativitatea acordului organului sindical la concediere</w:t>
            </w:r>
            <w:r>
              <w:rPr>
                <w:rFonts w:ascii="Times New Roman" w:hAnsi="Times New Roman" w:cs="Times New Roman"/>
                <w:sz w:val="28"/>
                <w:szCs w:val="28"/>
                <w:lang w:val="ro-RO"/>
              </w:rPr>
              <w:t xml:space="preserve">) ridicată de administratorul S.A. „Servicii Comunale Florești” și drept urmare, 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nr.3 din 4 februarie 2020, a declarat neconstituționale articolul 87 alin. (2) și alin. (3) din Codul muncii și articolul 33 alin. (3) din Legea sindicatelor nr.1129/2000.</w:t>
            </w:r>
          </w:p>
          <w:p w:rsidR="005A3371" w:rsidRDefault="00820063" w:rsidP="00B21F4A">
            <w:pPr>
              <w:ind w:left="142" w:firstLine="283"/>
              <w:jc w:val="both"/>
              <w:rPr>
                <w:rFonts w:ascii="Times New Roman" w:hAnsi="Times New Roman"/>
                <w:sz w:val="28"/>
                <w:szCs w:val="28"/>
                <w:lang w:val="ro-MO"/>
              </w:rPr>
            </w:pPr>
            <w:r>
              <w:rPr>
                <w:rFonts w:ascii="Times New Roman" w:hAnsi="Times New Roman" w:cs="Times New Roman"/>
                <w:sz w:val="28"/>
                <w:szCs w:val="28"/>
                <w:lang w:val="it-IT"/>
              </w:rPr>
              <w:t xml:space="preserve">Astfel, întru executarea hotărîrilor Curții Constituționale nr.34 din 8 decembrie 2017 și </w:t>
            </w:r>
            <w:r>
              <w:rPr>
                <w:rFonts w:ascii="Times New Roman" w:hAnsi="Times New Roman" w:cs="Times New Roman"/>
                <w:sz w:val="28"/>
                <w:szCs w:val="28"/>
                <w:lang w:val="ro-RO"/>
              </w:rPr>
              <w:t>nr.3 din 4 februarie 2020,</w:t>
            </w:r>
            <w:r>
              <w:rPr>
                <w:rFonts w:ascii="Times New Roman" w:hAnsi="Times New Roman" w:cs="Times New Roman"/>
                <w:sz w:val="28"/>
                <w:szCs w:val="28"/>
                <w:lang w:val="it-IT"/>
              </w:rPr>
              <w:t xml:space="preserve"> prin proiectul de lege </w:t>
            </w:r>
            <w:r>
              <w:rPr>
                <w:rFonts w:ascii="Times New Roman" w:hAnsi="Times New Roman"/>
                <w:sz w:val="28"/>
                <w:szCs w:val="28"/>
                <w:lang w:val="ro-MO"/>
              </w:rPr>
              <w:t>pentru modificarea unor acte legislative, se propun modificări la articolul 33 din Legea sindicatelor și la unele articole din Codul muncii</w:t>
            </w:r>
            <w:r w:rsidR="00A94044">
              <w:rPr>
                <w:rFonts w:ascii="Times New Roman" w:hAnsi="Times New Roman"/>
                <w:sz w:val="28"/>
                <w:szCs w:val="28"/>
                <w:lang w:val="ro-MO"/>
              </w:rPr>
              <w:t xml:space="preserve">. </w:t>
            </w:r>
          </w:p>
          <w:p w:rsidR="00820063" w:rsidRDefault="00A94044" w:rsidP="00B21F4A">
            <w:pPr>
              <w:ind w:left="142" w:firstLine="283"/>
              <w:jc w:val="both"/>
              <w:rPr>
                <w:rFonts w:ascii="Times New Roman" w:hAnsi="Times New Roman"/>
                <w:sz w:val="28"/>
                <w:szCs w:val="28"/>
                <w:lang w:val="ro-MO"/>
              </w:rPr>
            </w:pPr>
            <w:r>
              <w:rPr>
                <w:rFonts w:ascii="Times New Roman" w:hAnsi="Times New Roman"/>
                <w:sz w:val="28"/>
                <w:szCs w:val="28"/>
                <w:lang w:val="ro-MO"/>
              </w:rPr>
              <w:t xml:space="preserve">Proiectul </w:t>
            </w:r>
            <w:r w:rsidR="00820063">
              <w:rPr>
                <w:rFonts w:ascii="Times New Roman" w:hAnsi="Times New Roman"/>
                <w:sz w:val="28"/>
                <w:szCs w:val="28"/>
                <w:lang w:val="ro-MO"/>
              </w:rPr>
              <w:t>prev</w:t>
            </w:r>
            <w:r>
              <w:rPr>
                <w:rFonts w:ascii="Times New Roman" w:hAnsi="Times New Roman"/>
                <w:sz w:val="28"/>
                <w:szCs w:val="28"/>
                <w:lang w:val="ro-MO"/>
              </w:rPr>
              <w:t>ede</w:t>
            </w:r>
            <w:r w:rsidR="00820063">
              <w:rPr>
                <w:rFonts w:ascii="Times New Roman" w:hAnsi="Times New Roman"/>
                <w:sz w:val="28"/>
                <w:szCs w:val="28"/>
                <w:lang w:val="ro-MO"/>
              </w:rPr>
              <w:t xml:space="preserve"> că, tragerea la răspundere disciplinară, transferul la o altă muncă sau concedierea salariaților membrilor de sindicat, a salariaților aleși în componența organelor sindicale și neeliberați de la locul de muncă de bază sau a conducătorilor organizațiilor sindicale primare neeliberați de la locul de muncă de bază se va efectua cu consultarea organelor sindicale respective.</w:t>
            </w:r>
          </w:p>
          <w:p w:rsidR="00626069" w:rsidRDefault="00626069" w:rsidP="00B21F4A">
            <w:pPr>
              <w:ind w:left="142" w:firstLine="283"/>
              <w:jc w:val="both"/>
              <w:rPr>
                <w:rFonts w:ascii="Times New Roman" w:hAnsi="Times New Roman"/>
                <w:sz w:val="28"/>
                <w:szCs w:val="28"/>
                <w:lang w:val="ro-MO"/>
              </w:rPr>
            </w:pPr>
            <w:proofErr w:type="spellStart"/>
            <w:r>
              <w:rPr>
                <w:rFonts w:ascii="Times New Roman" w:hAnsi="Times New Roman"/>
                <w:sz w:val="28"/>
                <w:szCs w:val="28"/>
                <w:lang w:val="ro-MO"/>
              </w:rPr>
              <w:t>Excluzînd</w:t>
            </w:r>
            <w:proofErr w:type="spellEnd"/>
            <w:r>
              <w:rPr>
                <w:rFonts w:ascii="Times New Roman" w:hAnsi="Times New Roman"/>
                <w:sz w:val="28"/>
                <w:szCs w:val="28"/>
                <w:lang w:val="ro-MO"/>
              </w:rPr>
              <w:t xml:space="preserve"> </w:t>
            </w:r>
            <w:proofErr w:type="spellStart"/>
            <w:r>
              <w:rPr>
                <w:rFonts w:ascii="Times New Roman" w:hAnsi="Times New Roman" w:cs="Times New Roman"/>
                <w:sz w:val="28"/>
                <w:szCs w:val="28"/>
                <w:lang w:val="it-IT"/>
              </w:rPr>
              <w:t>obligativitarea</w:t>
            </w:r>
            <w:proofErr w:type="spellEnd"/>
            <w:r>
              <w:rPr>
                <w:rFonts w:ascii="Times New Roman" w:hAnsi="Times New Roman" w:cs="Times New Roman"/>
                <w:sz w:val="28"/>
                <w:szCs w:val="28"/>
                <w:lang w:val="it-IT"/>
              </w:rPr>
              <w:t xml:space="preserve"> </w:t>
            </w:r>
            <w:proofErr w:type="spellStart"/>
            <w:r>
              <w:rPr>
                <w:rFonts w:ascii="Times New Roman" w:hAnsi="Times New Roman" w:cs="Times New Roman"/>
                <w:sz w:val="28"/>
                <w:szCs w:val="28"/>
                <w:lang w:val="it-IT"/>
              </w:rPr>
              <w:t>acordului</w:t>
            </w:r>
            <w:proofErr w:type="spellEnd"/>
            <w:r>
              <w:rPr>
                <w:rFonts w:ascii="Times New Roman" w:hAnsi="Times New Roman" w:cs="Times New Roman"/>
                <w:sz w:val="28"/>
                <w:szCs w:val="28"/>
                <w:lang w:val="it-IT"/>
              </w:rPr>
              <w:t xml:space="preserve"> </w:t>
            </w:r>
            <w:proofErr w:type="spellStart"/>
            <w:r>
              <w:rPr>
                <w:rFonts w:ascii="Times New Roman" w:hAnsi="Times New Roman" w:cs="Times New Roman"/>
                <w:sz w:val="28"/>
                <w:szCs w:val="28"/>
                <w:lang w:val="it-IT"/>
              </w:rPr>
              <w:t>organului</w:t>
            </w:r>
            <w:proofErr w:type="spellEnd"/>
            <w:r>
              <w:rPr>
                <w:rFonts w:ascii="Times New Roman" w:hAnsi="Times New Roman" w:cs="Times New Roman"/>
                <w:sz w:val="28"/>
                <w:szCs w:val="28"/>
                <w:lang w:val="it-IT"/>
              </w:rPr>
              <w:t xml:space="preserve"> </w:t>
            </w:r>
            <w:proofErr w:type="spellStart"/>
            <w:r>
              <w:rPr>
                <w:rFonts w:ascii="Times New Roman" w:hAnsi="Times New Roman" w:cs="Times New Roman"/>
                <w:sz w:val="28"/>
                <w:szCs w:val="28"/>
                <w:lang w:val="it-IT"/>
              </w:rPr>
              <w:t>sindical</w:t>
            </w:r>
            <w:proofErr w:type="spellEnd"/>
            <w:r>
              <w:rPr>
                <w:rFonts w:ascii="Times New Roman" w:hAnsi="Times New Roman" w:cs="Times New Roman"/>
                <w:sz w:val="28"/>
                <w:szCs w:val="28"/>
                <w:lang w:val="it-IT"/>
              </w:rPr>
              <w:t xml:space="preserve"> la </w:t>
            </w:r>
            <w:proofErr w:type="spellStart"/>
            <w:r>
              <w:rPr>
                <w:rFonts w:ascii="Times New Roman" w:hAnsi="Times New Roman" w:cs="Times New Roman"/>
                <w:sz w:val="28"/>
                <w:szCs w:val="28"/>
                <w:lang w:val="it-IT"/>
              </w:rPr>
              <w:t>concediere</w:t>
            </w:r>
            <w:proofErr w:type="spellEnd"/>
            <w:r>
              <w:rPr>
                <w:rFonts w:ascii="Times New Roman" w:hAnsi="Times New Roman" w:cs="Times New Roman"/>
                <w:sz w:val="28"/>
                <w:szCs w:val="28"/>
                <w:lang w:val="it-IT"/>
              </w:rPr>
              <w:t xml:space="preserve"> a</w:t>
            </w:r>
            <w:r>
              <w:rPr>
                <w:rFonts w:ascii="Times New Roman" w:hAnsi="Times New Roman"/>
                <w:sz w:val="28"/>
                <w:szCs w:val="28"/>
                <w:lang w:val="ro-MO"/>
              </w:rPr>
              <w:t xml:space="preserve"> salariaților membrilor de sindicat, a salariaților aleși în componența organelor sindicale</w:t>
            </w:r>
            <w:r>
              <w:rPr>
                <w:rFonts w:ascii="Times New Roman" w:hAnsi="Times New Roman" w:cs="Times New Roman"/>
                <w:sz w:val="28"/>
                <w:szCs w:val="28"/>
                <w:lang w:val="it-IT"/>
              </w:rPr>
              <w:t xml:space="preserve"> </w:t>
            </w:r>
            <w:r>
              <w:rPr>
                <w:rFonts w:ascii="Times New Roman" w:hAnsi="Times New Roman"/>
                <w:sz w:val="28"/>
                <w:szCs w:val="28"/>
                <w:lang w:val="ro-MO"/>
              </w:rPr>
              <w:t>bază sau a conducătorilor organizațiilor sindicale primare neeliberați de la locul de muncă de bază, li se păstrează, în continuare, suficiente garanții legale care le vor asigura protecția drepturilor și intereselor. În acest sens, Codul muncii prevede că concedierea salariaților membri de sindicat se admite cu consultarea prealabilă a</w:t>
            </w:r>
            <w:r w:rsidR="0012136B">
              <w:rPr>
                <w:rFonts w:ascii="Times New Roman" w:hAnsi="Times New Roman"/>
                <w:sz w:val="28"/>
                <w:szCs w:val="28"/>
                <w:lang w:val="ro-MO"/>
              </w:rPr>
              <w:t xml:space="preserve"> organului sindical din unitate. De asemenea, </w:t>
            </w:r>
            <w:r>
              <w:rPr>
                <w:rFonts w:ascii="Times New Roman" w:hAnsi="Times New Roman"/>
                <w:sz w:val="28"/>
                <w:szCs w:val="28"/>
                <w:lang w:val="ro-MO"/>
              </w:rPr>
              <w:t xml:space="preserve"> activitățile funcționarilor sindicali care își îndeplinesc obligațiile </w:t>
            </w:r>
            <w:r w:rsidR="000F6FF0">
              <w:rPr>
                <w:rFonts w:ascii="Times New Roman" w:hAnsi="Times New Roman"/>
                <w:sz w:val="28"/>
                <w:szCs w:val="28"/>
                <w:lang w:val="ro-MO"/>
              </w:rPr>
              <w:t>orientate spre apărarea drepturilor și intereselor de muncă, profesionale, economice și sociale ale angajaților membri de sindicat, nu pot servi pentru angajator drept temei de concediere a acestora ori de aplicare a altor sancțiuni ce le-ar afecta drepturile și interesele ce decurg din raporturile de muncă. Funcționarii sindicali beneficiază de dreptul de acces în justiție, pentru a-și apăra drepturile lor în eventualitatea unor abuzuri care au stat la originea concedierii lor, iar la examinarea litigiului individual de muncă de către instanța de judecată, angajatorul este obligat să demonstreze legalitatea și să indice temeiurile eliberării din serviciu</w:t>
            </w:r>
            <w:r w:rsidR="00F9748E">
              <w:rPr>
                <w:rFonts w:ascii="Times New Roman" w:hAnsi="Times New Roman"/>
                <w:sz w:val="28"/>
                <w:szCs w:val="28"/>
                <w:lang w:val="ro-MO"/>
              </w:rPr>
              <w:t xml:space="preserve"> a salariatului. Prin urmare, în Codul muncii sunt instituite garanții împotriva concedierii abuzive de către angajator de care pot beneficia salariații funcționari sindicali.</w:t>
            </w:r>
          </w:p>
          <w:p w:rsidR="00820063" w:rsidRDefault="00F9748E" w:rsidP="00B21F4A">
            <w:pPr>
              <w:ind w:left="142" w:firstLine="283"/>
              <w:jc w:val="both"/>
              <w:rPr>
                <w:rFonts w:ascii="Times New Roman" w:hAnsi="Times New Roman"/>
                <w:sz w:val="28"/>
                <w:szCs w:val="28"/>
                <w:lang w:val="ro-MO"/>
              </w:rPr>
            </w:pPr>
            <w:r>
              <w:rPr>
                <w:rFonts w:ascii="Times New Roman" w:hAnsi="Times New Roman"/>
                <w:sz w:val="28"/>
                <w:szCs w:val="28"/>
                <w:lang w:val="ro-MO"/>
              </w:rPr>
              <w:t>Prin proiectul de lege dat se propune și</w:t>
            </w:r>
            <w:r w:rsidR="00820063" w:rsidRPr="00B0652A">
              <w:rPr>
                <w:rFonts w:ascii="Times New Roman" w:hAnsi="Times New Roman"/>
                <w:sz w:val="28"/>
                <w:szCs w:val="28"/>
                <w:lang w:val="ro-MO"/>
              </w:rPr>
              <w:t xml:space="preserve"> exclude</w:t>
            </w:r>
            <w:r>
              <w:rPr>
                <w:rFonts w:ascii="Times New Roman" w:hAnsi="Times New Roman"/>
                <w:sz w:val="28"/>
                <w:szCs w:val="28"/>
                <w:lang w:val="ro-MO"/>
              </w:rPr>
              <w:t>rea</w:t>
            </w:r>
            <w:r w:rsidR="00820063" w:rsidRPr="00B0652A">
              <w:rPr>
                <w:rFonts w:ascii="Times New Roman" w:hAnsi="Times New Roman"/>
                <w:sz w:val="28"/>
                <w:szCs w:val="28"/>
                <w:lang w:val="ro-MO"/>
              </w:rPr>
              <w:t xml:space="preserve"> norm</w:t>
            </w:r>
            <w:r>
              <w:rPr>
                <w:rFonts w:ascii="Times New Roman" w:hAnsi="Times New Roman"/>
                <w:sz w:val="28"/>
                <w:szCs w:val="28"/>
                <w:lang w:val="ro-MO"/>
              </w:rPr>
              <w:t>ei</w:t>
            </w:r>
            <w:r w:rsidR="00820063" w:rsidRPr="00B0652A">
              <w:rPr>
                <w:rFonts w:ascii="Times New Roman" w:hAnsi="Times New Roman"/>
                <w:sz w:val="28"/>
                <w:szCs w:val="28"/>
                <w:lang w:val="ro-MO"/>
              </w:rPr>
              <w:t xml:space="preserve"> juridic</w:t>
            </w:r>
            <w:r>
              <w:rPr>
                <w:rFonts w:ascii="Times New Roman" w:hAnsi="Times New Roman"/>
                <w:sz w:val="28"/>
                <w:szCs w:val="28"/>
                <w:lang w:val="ro-MO"/>
              </w:rPr>
              <w:t>e</w:t>
            </w:r>
            <w:r w:rsidR="00820063" w:rsidRPr="00B0652A">
              <w:rPr>
                <w:rFonts w:ascii="Times New Roman" w:hAnsi="Times New Roman"/>
                <w:sz w:val="28"/>
                <w:szCs w:val="28"/>
                <w:lang w:val="ro-MO"/>
              </w:rPr>
              <w:t xml:space="preserve"> prin care, actualmente, nu se admite concedierea salariaților care au fost aleși în organele sindicale timp de 2 ani după expirarea mandatului.</w:t>
            </w:r>
          </w:p>
          <w:p w:rsidR="00820063" w:rsidRPr="00B0652A" w:rsidRDefault="00820063" w:rsidP="00B21F4A">
            <w:pPr>
              <w:ind w:left="142" w:firstLine="283"/>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lastRenderedPageBreak/>
              <w:t>Fundamentarea economico-financiară</w:t>
            </w:r>
          </w:p>
          <w:p w:rsidR="00820063" w:rsidRPr="006E1E91" w:rsidRDefault="00820063" w:rsidP="00B21F4A">
            <w:pPr>
              <w:pStyle w:val="a4"/>
              <w:ind w:left="142" w:firstLine="283"/>
              <w:jc w:val="both"/>
              <w:rPr>
                <w:rFonts w:ascii="Times New Roman" w:hAnsi="Times New Roman" w:cs="Times New Roman"/>
                <w:sz w:val="28"/>
                <w:szCs w:val="28"/>
                <w:lang w:val="it-IT"/>
              </w:rPr>
            </w:pPr>
            <w:r w:rsidRPr="006E1E91">
              <w:rPr>
                <w:rFonts w:ascii="Times New Roman" w:hAnsi="Times New Roman" w:cs="Times New Roman"/>
                <w:sz w:val="28"/>
                <w:szCs w:val="28"/>
                <w:lang w:val="it-IT"/>
              </w:rPr>
              <w:t>Implementarea prevederilor proiectului nu necesită mijloace financiare suplimentare</w:t>
            </w:r>
          </w:p>
          <w:p w:rsidR="00820063" w:rsidRPr="006E1E91" w:rsidRDefault="00820063" w:rsidP="00B21F4A">
            <w:pPr>
              <w:pStyle w:val="a4"/>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Modul de încorporare a actului în cadrul normativ în vigoare</w:t>
            </w:r>
          </w:p>
          <w:p w:rsidR="00820063" w:rsidRDefault="00820063" w:rsidP="00B21F4A">
            <w:pPr>
              <w:pStyle w:val="a4"/>
              <w:ind w:left="425"/>
              <w:jc w:val="both"/>
              <w:rPr>
                <w:rFonts w:ascii="Times New Roman" w:hAnsi="Times New Roman" w:cs="Times New Roman"/>
                <w:sz w:val="28"/>
                <w:szCs w:val="28"/>
                <w:lang w:val="it-IT"/>
              </w:rPr>
            </w:pPr>
            <w:r w:rsidRPr="006E1E91">
              <w:rPr>
                <w:rFonts w:ascii="Times New Roman" w:hAnsi="Times New Roman" w:cs="Times New Roman"/>
                <w:sz w:val="28"/>
                <w:szCs w:val="28"/>
                <w:lang w:val="it-IT"/>
              </w:rPr>
              <w:t>Implementarea prevederilor proiectului nu necesită</w:t>
            </w:r>
            <w:r>
              <w:rPr>
                <w:rFonts w:ascii="Times New Roman" w:hAnsi="Times New Roman" w:cs="Times New Roman"/>
                <w:sz w:val="28"/>
                <w:szCs w:val="28"/>
                <w:lang w:val="it-IT"/>
              </w:rPr>
              <w:t xml:space="preserve"> elaborarea altor acte normative</w:t>
            </w:r>
          </w:p>
          <w:p w:rsidR="00820063" w:rsidRPr="006E1E91" w:rsidRDefault="00820063" w:rsidP="00B21F4A">
            <w:pPr>
              <w:pStyle w:val="a4"/>
              <w:ind w:left="425"/>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w:t>
            </w: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Avizarea și consultarea publică a proiectului</w:t>
            </w:r>
          </w:p>
          <w:p w:rsidR="00820063" w:rsidRPr="006E1E91" w:rsidRDefault="00820063" w:rsidP="00B21F4A">
            <w:pPr>
              <w:pStyle w:val="a4"/>
              <w:ind w:left="425"/>
              <w:jc w:val="both"/>
              <w:rPr>
                <w:rFonts w:ascii="Times New Roman" w:hAnsi="Times New Roman" w:cs="Times New Roman"/>
                <w:b/>
                <w:sz w:val="28"/>
                <w:szCs w:val="28"/>
                <w:lang w:val="it-IT"/>
              </w:rPr>
            </w:pP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lastRenderedPageBreak/>
              <w:t>Constatările expertizei anticorupție</w:t>
            </w:r>
          </w:p>
          <w:p w:rsidR="00820063" w:rsidRPr="00070F77" w:rsidRDefault="00820063" w:rsidP="00B21F4A">
            <w:pPr>
              <w:pStyle w:val="a4"/>
              <w:ind w:left="425"/>
              <w:jc w:val="both"/>
              <w:rPr>
                <w:rFonts w:ascii="Times New Roman" w:hAnsi="Times New Roman" w:cs="Times New Roman"/>
                <w:sz w:val="28"/>
                <w:szCs w:val="28"/>
                <w:lang w:val="it-IT"/>
              </w:rPr>
            </w:pPr>
            <w:r w:rsidRPr="00070F77">
              <w:rPr>
                <w:rFonts w:ascii="Times New Roman" w:hAnsi="Times New Roman" w:cs="Times New Roman"/>
                <w:sz w:val="28"/>
                <w:szCs w:val="28"/>
                <w:lang w:val="it-IT"/>
              </w:rPr>
              <w:t xml:space="preserve">Informația </w:t>
            </w:r>
            <w:r>
              <w:rPr>
                <w:rFonts w:ascii="Times New Roman" w:hAnsi="Times New Roman" w:cs="Times New Roman"/>
                <w:sz w:val="28"/>
                <w:szCs w:val="28"/>
                <w:lang w:val="it-IT"/>
              </w:rPr>
              <w:t>privind rezultatele expertizei anticorupție va fi inclusă în sinteză după recepționarea raportului de expertiză anticorupție</w:t>
            </w: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Constatările expertizei de compatibilitate</w:t>
            </w:r>
          </w:p>
          <w:p w:rsidR="00820063" w:rsidRPr="00070F77" w:rsidRDefault="00820063" w:rsidP="00B21F4A">
            <w:pPr>
              <w:pStyle w:val="a4"/>
              <w:ind w:left="425"/>
              <w:jc w:val="both"/>
              <w:rPr>
                <w:rFonts w:ascii="Times New Roman" w:hAnsi="Times New Roman" w:cs="Times New Roman"/>
                <w:sz w:val="28"/>
                <w:szCs w:val="28"/>
                <w:lang w:val="it-IT"/>
              </w:rPr>
            </w:pPr>
            <w:r w:rsidRPr="00070F77">
              <w:rPr>
                <w:rFonts w:ascii="Times New Roman" w:hAnsi="Times New Roman" w:cs="Times New Roman"/>
                <w:sz w:val="28"/>
                <w:szCs w:val="28"/>
                <w:lang w:val="it-IT"/>
              </w:rPr>
              <w:t>Proiectul de lege nu conține norme privind armonizarea legislației naționale cu legislația Uniunii Europene, precum și norme incompatibile cu prevederile legislației naționale și ale legislației Uniunii Europene.</w:t>
            </w:r>
          </w:p>
        </w:tc>
      </w:tr>
      <w:tr w:rsidR="00820063" w:rsidRPr="00644A26"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 xml:space="preserve"> Constatările expertizei juridice</w:t>
            </w:r>
          </w:p>
          <w:p w:rsidR="00820063" w:rsidRPr="00070F77" w:rsidRDefault="00820063" w:rsidP="00B21F4A">
            <w:pPr>
              <w:pStyle w:val="a4"/>
              <w:ind w:left="425"/>
              <w:jc w:val="both"/>
              <w:rPr>
                <w:rFonts w:ascii="Times New Roman" w:hAnsi="Times New Roman" w:cs="Times New Roman"/>
                <w:sz w:val="28"/>
                <w:szCs w:val="28"/>
                <w:lang w:val="it-IT"/>
              </w:rPr>
            </w:pPr>
            <w:r w:rsidRPr="00070F77">
              <w:rPr>
                <w:rFonts w:ascii="Times New Roman" w:hAnsi="Times New Roman" w:cs="Times New Roman"/>
                <w:sz w:val="28"/>
                <w:szCs w:val="28"/>
                <w:lang w:val="it-IT"/>
              </w:rPr>
              <w:t>Informația referitoare la concluziile expertizei juridice va fi inclusă în sinteză după recepționarea avizului respectiv din partea Ministerului Justiției</w:t>
            </w:r>
          </w:p>
        </w:tc>
      </w:tr>
      <w:tr w:rsidR="00820063" w:rsidTr="00B21F4A">
        <w:tc>
          <w:tcPr>
            <w:tcW w:w="10315" w:type="dxa"/>
          </w:tcPr>
          <w:p w:rsidR="00820063" w:rsidRDefault="00820063" w:rsidP="00B21F4A">
            <w:pPr>
              <w:pStyle w:val="a4"/>
              <w:numPr>
                <w:ilvl w:val="0"/>
                <w:numId w:val="1"/>
              </w:numPr>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 xml:space="preserve"> Constatările altor expertize</w:t>
            </w:r>
          </w:p>
          <w:p w:rsidR="00820063" w:rsidRPr="006E1E91" w:rsidRDefault="00820063" w:rsidP="00B21F4A">
            <w:pPr>
              <w:pStyle w:val="a4"/>
              <w:jc w:val="both"/>
              <w:rPr>
                <w:rFonts w:ascii="Times New Roman" w:hAnsi="Times New Roman" w:cs="Times New Roman"/>
                <w:b/>
                <w:sz w:val="28"/>
                <w:szCs w:val="28"/>
                <w:lang w:val="it-IT"/>
              </w:rPr>
            </w:pPr>
          </w:p>
        </w:tc>
      </w:tr>
    </w:tbl>
    <w:p w:rsidR="00820063" w:rsidRDefault="00820063" w:rsidP="00820063">
      <w:pPr>
        <w:spacing w:after="0" w:line="240" w:lineRule="auto"/>
        <w:ind w:left="-709" w:firstLine="720"/>
        <w:jc w:val="both"/>
        <w:rPr>
          <w:rFonts w:ascii="Times New Roman" w:hAnsi="Times New Roman" w:cs="Times New Roman"/>
          <w:sz w:val="28"/>
          <w:szCs w:val="28"/>
          <w:lang w:val="it-IT"/>
        </w:rPr>
      </w:pPr>
    </w:p>
    <w:p w:rsidR="00820063" w:rsidRDefault="00820063" w:rsidP="00820063">
      <w:pPr>
        <w:spacing w:after="0" w:line="240" w:lineRule="auto"/>
        <w:ind w:left="-709" w:firstLine="709"/>
        <w:jc w:val="both"/>
        <w:rPr>
          <w:rFonts w:ascii="Times New Roman" w:hAnsi="Times New Roman"/>
          <w:sz w:val="28"/>
          <w:szCs w:val="28"/>
          <w:lang w:val="ro-MO"/>
        </w:rPr>
      </w:pPr>
    </w:p>
    <w:sectPr w:rsidR="00820063" w:rsidSect="00525FC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A1C68"/>
    <w:multiLevelType w:val="hybridMultilevel"/>
    <w:tmpl w:val="B45266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63"/>
    <w:rsid w:val="000035AF"/>
    <w:rsid w:val="000F6FF0"/>
    <w:rsid w:val="0012136B"/>
    <w:rsid w:val="00432733"/>
    <w:rsid w:val="00497A03"/>
    <w:rsid w:val="005A3371"/>
    <w:rsid w:val="00626069"/>
    <w:rsid w:val="00644A26"/>
    <w:rsid w:val="006F56FE"/>
    <w:rsid w:val="00761884"/>
    <w:rsid w:val="00820063"/>
    <w:rsid w:val="00A94044"/>
    <w:rsid w:val="00A9667E"/>
    <w:rsid w:val="00F974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200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20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5789</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vrevenco</dc:creator>
  <cp:lastModifiedBy>Ana Bucur</cp:lastModifiedBy>
  <cp:revision>2</cp:revision>
  <cp:lastPrinted>2020-03-16T08:35:00Z</cp:lastPrinted>
  <dcterms:created xsi:type="dcterms:W3CDTF">2020-05-04T11:29:00Z</dcterms:created>
  <dcterms:modified xsi:type="dcterms:W3CDTF">2020-05-04T11:29:00Z</dcterms:modified>
</cp:coreProperties>
</file>