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
        <w:tblW w:w="16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8"/>
        <w:gridCol w:w="5605"/>
        <w:gridCol w:w="1418"/>
        <w:gridCol w:w="1275"/>
        <w:gridCol w:w="1276"/>
        <w:gridCol w:w="1067"/>
      </w:tblGrid>
      <w:tr w:rsidR="004F290A" w:rsidRPr="009E6EEA" w:rsidTr="004F290A">
        <w:trPr>
          <w:trHeight w:val="257"/>
        </w:trPr>
        <w:tc>
          <w:tcPr>
            <w:tcW w:w="16059" w:type="dxa"/>
            <w:gridSpan w:val="6"/>
            <w:shd w:val="clear" w:color="auto" w:fill="auto"/>
          </w:tcPr>
          <w:p w:rsidR="004F290A" w:rsidRPr="009E6EEA" w:rsidRDefault="004F290A" w:rsidP="004F290A">
            <w:pPr>
              <w:shd w:val="clear" w:color="auto" w:fill="FFFFFF"/>
              <w:tabs>
                <w:tab w:val="left" w:pos="14601"/>
              </w:tabs>
              <w:spacing w:after="0" w:line="240" w:lineRule="auto"/>
              <w:jc w:val="center"/>
              <w:rPr>
                <w:rFonts w:ascii="Times New Roman" w:eastAsia="Calibri" w:hAnsi="Times New Roman" w:cs="Times New Roman"/>
                <w:b/>
                <w:bCs/>
                <w:sz w:val="18"/>
                <w:szCs w:val="18"/>
                <w:lang w:val="ro-RO"/>
              </w:rPr>
            </w:pPr>
            <w:r w:rsidRPr="009E6EEA">
              <w:rPr>
                <w:rFonts w:ascii="Times New Roman" w:eastAsia="Calibri" w:hAnsi="Times New Roman" w:cs="Times New Roman"/>
                <w:b/>
                <w:bCs/>
                <w:sz w:val="18"/>
                <w:szCs w:val="18"/>
                <w:lang w:val="ro-MD"/>
              </w:rPr>
              <w:t xml:space="preserve">TABEL DE CONCORDANȚĂ </w:t>
            </w:r>
          </w:p>
          <w:p w:rsidR="004F290A" w:rsidRPr="009E6EEA" w:rsidRDefault="004F290A" w:rsidP="004F290A">
            <w:pPr>
              <w:shd w:val="clear" w:color="auto" w:fill="FFFFFF"/>
              <w:tabs>
                <w:tab w:val="left" w:pos="9355"/>
              </w:tabs>
              <w:spacing w:after="0" w:line="240" w:lineRule="auto"/>
              <w:ind w:right="-1"/>
              <w:jc w:val="both"/>
              <w:rPr>
                <w:rFonts w:ascii="Times New Roman" w:eastAsia="Calibri" w:hAnsi="Times New Roman" w:cs="Times New Roman"/>
                <w:sz w:val="18"/>
                <w:szCs w:val="18"/>
                <w:lang w:val="ro-MD" w:eastAsia="ru-RU"/>
              </w:rPr>
            </w:pPr>
          </w:p>
        </w:tc>
      </w:tr>
      <w:tr w:rsidR="004F290A" w:rsidRPr="009E6EEA" w:rsidTr="004F290A">
        <w:trPr>
          <w:trHeight w:val="257"/>
        </w:trPr>
        <w:tc>
          <w:tcPr>
            <w:tcW w:w="16059" w:type="dxa"/>
            <w:gridSpan w:val="6"/>
            <w:shd w:val="clear" w:color="auto" w:fill="auto"/>
          </w:tcPr>
          <w:p w:rsidR="004F290A" w:rsidRPr="009E6EEA" w:rsidRDefault="004F290A" w:rsidP="004F290A">
            <w:pPr>
              <w:shd w:val="clear" w:color="auto" w:fill="FFFFFF"/>
              <w:spacing w:after="0" w:line="240" w:lineRule="auto"/>
              <w:rPr>
                <w:rFonts w:ascii="Times New Roman" w:eastAsia="Times New Roman" w:hAnsi="Times New Roman" w:cs="Times New Roman"/>
                <w:b/>
                <w:bCs/>
                <w:color w:val="000000"/>
                <w:sz w:val="18"/>
                <w:szCs w:val="18"/>
              </w:rPr>
            </w:pPr>
            <w:r w:rsidRPr="009E6EEA">
              <w:rPr>
                <w:rFonts w:ascii="Times New Roman" w:eastAsia="Times New Roman" w:hAnsi="Times New Roman" w:cs="Times New Roman"/>
                <w:b/>
                <w:bCs/>
                <w:color w:val="000000"/>
                <w:sz w:val="18"/>
                <w:szCs w:val="18"/>
              </w:rPr>
              <w:t>Directiva 2009/103/CE a Parlamentului European și a Consiliului din 16 septembrie 2009 privind asigurarea de răspundere civilă auto și controlul obligației de asigurare a acestei răspunderi</w:t>
            </w:r>
          </w:p>
          <w:p w:rsidR="004F290A" w:rsidRPr="009E6EEA" w:rsidRDefault="004F290A" w:rsidP="004F290A">
            <w:pPr>
              <w:shd w:val="clear" w:color="auto" w:fill="FFFFFF"/>
              <w:spacing w:after="0" w:line="240" w:lineRule="auto"/>
              <w:rPr>
                <w:rFonts w:ascii="Times New Roman" w:eastAsia="Times New Roman" w:hAnsi="Times New Roman" w:cs="Times New Roman"/>
                <w:b/>
                <w:bCs/>
                <w:color w:val="000000"/>
                <w:sz w:val="18"/>
                <w:szCs w:val="18"/>
              </w:rPr>
            </w:pPr>
            <w:r w:rsidRPr="009E6EEA">
              <w:rPr>
                <w:rFonts w:ascii="Times New Roman" w:eastAsia="Times New Roman" w:hAnsi="Times New Roman" w:cs="Times New Roman"/>
                <w:color w:val="000000"/>
                <w:sz w:val="18"/>
                <w:szCs w:val="18"/>
                <w:shd w:val="clear" w:color="auto" w:fill="FFFFFF"/>
              </w:rPr>
              <w:t>Jurnalul Oficial al Uniunii Europene    L 263 din  07.10.2009 </w:t>
            </w:r>
          </w:p>
        </w:tc>
      </w:tr>
      <w:tr w:rsidR="004F290A" w:rsidRPr="009E6EEA" w:rsidTr="004F290A">
        <w:trPr>
          <w:trHeight w:val="308"/>
        </w:trPr>
        <w:tc>
          <w:tcPr>
            <w:tcW w:w="16059" w:type="dxa"/>
            <w:gridSpan w:val="6"/>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Proiectul de Lege </w:t>
            </w:r>
            <w:r w:rsidRPr="009E6EEA">
              <w:rPr>
                <w:rFonts w:ascii="Calibri" w:eastAsia="Calibri" w:hAnsi="Calibri" w:cs="Times New Roman"/>
                <w:sz w:val="18"/>
                <w:szCs w:val="18"/>
              </w:rPr>
              <w:t xml:space="preserve"> </w:t>
            </w:r>
            <w:r w:rsidRPr="009E6EEA">
              <w:rPr>
                <w:rFonts w:ascii="Times New Roman" w:eastAsia="Calibri" w:hAnsi="Times New Roman" w:cs="Times New Roman"/>
                <w:b/>
                <w:sz w:val="18"/>
                <w:szCs w:val="18"/>
                <w:lang w:val="ro-MD"/>
              </w:rPr>
              <w:t xml:space="preserve">privind asigurarea obligatorie de răspundere civilă auto pentru prejudicii produse de vehicule  </w:t>
            </w:r>
          </w:p>
        </w:tc>
      </w:tr>
      <w:tr w:rsidR="004F290A" w:rsidRPr="009E6EEA" w:rsidTr="004F290A">
        <w:trPr>
          <w:trHeight w:val="227"/>
        </w:trPr>
        <w:tc>
          <w:tcPr>
            <w:tcW w:w="16059" w:type="dxa"/>
            <w:gridSpan w:val="6"/>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bCs/>
                <w:color w:val="FF0000"/>
                <w:sz w:val="18"/>
                <w:szCs w:val="18"/>
                <w:lang w:val="ro-MD"/>
              </w:rPr>
            </w:pPr>
            <w:r w:rsidRPr="009E6EEA">
              <w:rPr>
                <w:rFonts w:ascii="Times New Roman" w:eastAsia="Calibri" w:hAnsi="Times New Roman" w:cs="Times New Roman"/>
                <w:b/>
                <w:bCs/>
                <w:color w:val="FF0000"/>
                <w:sz w:val="18"/>
                <w:szCs w:val="18"/>
                <w:lang w:val="ro-MD"/>
              </w:rPr>
              <w:t>Compatibil</w:t>
            </w:r>
          </w:p>
        </w:tc>
      </w:tr>
      <w:tr w:rsidR="004F290A" w:rsidRPr="009E6EEA" w:rsidTr="004F290A">
        <w:trPr>
          <w:trHeight w:val="983"/>
        </w:trPr>
        <w:tc>
          <w:tcPr>
            <w:tcW w:w="5418" w:type="dxa"/>
            <w:shd w:val="clear" w:color="auto" w:fill="auto"/>
          </w:tcPr>
          <w:p w:rsidR="004F290A" w:rsidRPr="009E6EEA" w:rsidRDefault="004F290A" w:rsidP="004F290A">
            <w:pPr>
              <w:shd w:val="clear" w:color="auto" w:fill="FFFFFF"/>
              <w:spacing w:after="0" w:line="240" w:lineRule="auto"/>
              <w:rPr>
                <w:rFonts w:ascii="Times New Roman" w:eastAsia="Times New Roman" w:hAnsi="Times New Roman" w:cs="Times New Roman"/>
                <w:b/>
                <w:bCs/>
                <w:color w:val="000000"/>
                <w:sz w:val="18"/>
                <w:szCs w:val="18"/>
              </w:rPr>
            </w:pPr>
            <w:r w:rsidRPr="009E6EEA">
              <w:rPr>
                <w:rFonts w:ascii="Times New Roman" w:eastAsia="Times New Roman" w:hAnsi="Times New Roman" w:cs="Times New Roman"/>
                <w:b/>
                <w:bCs/>
                <w:color w:val="000000"/>
                <w:sz w:val="18"/>
                <w:szCs w:val="18"/>
              </w:rPr>
              <w:t>Directiva 2009/103/CE a Parlamentului European și a Consiliului din 16 septembrie 2009 privind asigurarea de răspundere civilă auto și controlul obligației de asigurare a acestei răspunderi</w:t>
            </w:r>
          </w:p>
        </w:tc>
        <w:tc>
          <w:tcPr>
            <w:tcW w:w="5605" w:type="dxa"/>
            <w:shd w:val="clear" w:color="auto" w:fill="auto"/>
          </w:tcPr>
          <w:p w:rsidR="004F290A" w:rsidRPr="009E6EEA" w:rsidRDefault="004F290A" w:rsidP="004F290A">
            <w:pPr>
              <w:shd w:val="clear" w:color="auto" w:fill="FFFFFF"/>
              <w:spacing w:after="0" w:line="240" w:lineRule="auto"/>
              <w:jc w:val="center"/>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Proiectul de Lege </w:t>
            </w:r>
            <w:r w:rsidRPr="009E6EEA">
              <w:rPr>
                <w:rFonts w:ascii="Calibri" w:eastAsia="Calibri" w:hAnsi="Calibri" w:cs="Times New Roman"/>
                <w:sz w:val="18"/>
                <w:szCs w:val="18"/>
              </w:rPr>
              <w:t xml:space="preserve"> </w:t>
            </w:r>
            <w:r w:rsidRPr="009E6EEA">
              <w:rPr>
                <w:rFonts w:ascii="Times New Roman" w:eastAsia="Calibri" w:hAnsi="Times New Roman" w:cs="Times New Roman"/>
                <w:b/>
                <w:sz w:val="18"/>
                <w:szCs w:val="18"/>
                <w:lang w:val="ro-MD"/>
              </w:rPr>
              <w:t xml:space="preserve">privind asigurarea obligatorie de răspundere civilă auto pentru prejudicii produse de vehicule  </w:t>
            </w:r>
          </w:p>
        </w:tc>
        <w:tc>
          <w:tcPr>
            <w:tcW w:w="1418" w:type="dxa"/>
            <w:shd w:val="clear" w:color="auto" w:fill="auto"/>
          </w:tcPr>
          <w:p w:rsidR="004F290A" w:rsidRPr="009E6EEA" w:rsidRDefault="004F290A" w:rsidP="004F290A">
            <w:pPr>
              <w:shd w:val="clear" w:color="auto" w:fill="FFFFFF"/>
              <w:spacing w:after="0" w:line="240" w:lineRule="auto"/>
              <w:jc w:val="center"/>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Gradul de compatibilitate</w:t>
            </w:r>
          </w:p>
        </w:tc>
        <w:tc>
          <w:tcPr>
            <w:tcW w:w="1275" w:type="dxa"/>
            <w:shd w:val="clear" w:color="auto" w:fill="auto"/>
          </w:tcPr>
          <w:p w:rsidR="004F290A" w:rsidRPr="009E6EEA" w:rsidRDefault="004F290A" w:rsidP="004F290A">
            <w:pPr>
              <w:shd w:val="clear" w:color="auto" w:fill="FFFFFF"/>
              <w:spacing w:after="0" w:line="240" w:lineRule="auto"/>
              <w:jc w:val="center"/>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Diferențele</w:t>
            </w:r>
          </w:p>
        </w:tc>
        <w:tc>
          <w:tcPr>
            <w:tcW w:w="1276" w:type="dxa"/>
            <w:shd w:val="clear" w:color="auto" w:fill="auto"/>
          </w:tcPr>
          <w:p w:rsidR="004F290A" w:rsidRPr="009E6EEA" w:rsidRDefault="004F290A" w:rsidP="004F290A">
            <w:pPr>
              <w:shd w:val="clear" w:color="auto" w:fill="FFFFFF"/>
              <w:spacing w:after="0" w:line="240" w:lineRule="auto"/>
              <w:jc w:val="center"/>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Observațiile</w:t>
            </w:r>
          </w:p>
        </w:tc>
        <w:tc>
          <w:tcPr>
            <w:tcW w:w="1067" w:type="dxa"/>
            <w:shd w:val="clear" w:color="auto" w:fill="auto"/>
          </w:tcPr>
          <w:p w:rsidR="004F290A" w:rsidRPr="009E6EEA" w:rsidRDefault="004F290A" w:rsidP="004F290A">
            <w:pPr>
              <w:shd w:val="clear" w:color="auto" w:fill="FFFFFF"/>
              <w:spacing w:after="0" w:line="240" w:lineRule="auto"/>
              <w:jc w:val="center"/>
              <w:rPr>
                <w:rFonts w:ascii="Times New Roman" w:eastAsia="Calibri" w:hAnsi="Times New Roman" w:cs="Times New Roman"/>
                <w:b/>
                <w:sz w:val="16"/>
                <w:szCs w:val="16"/>
                <w:lang w:val="ro-MD"/>
              </w:rPr>
            </w:pPr>
            <w:r w:rsidRPr="009E6EEA">
              <w:rPr>
                <w:rFonts w:ascii="Times New Roman" w:eastAsia="Calibri" w:hAnsi="Times New Roman" w:cs="Times New Roman"/>
                <w:b/>
                <w:sz w:val="16"/>
                <w:szCs w:val="16"/>
                <w:lang w:val="ro-MD"/>
              </w:rPr>
              <w:t>Autoritatea responsabilă</w:t>
            </w:r>
          </w:p>
        </w:tc>
      </w:tr>
      <w:tr w:rsidR="004F290A" w:rsidRPr="009E6EEA" w:rsidTr="004F290A">
        <w:trPr>
          <w:trHeight w:val="1141"/>
        </w:trPr>
        <w:tc>
          <w:tcPr>
            <w:tcW w:w="5418" w:type="dxa"/>
            <w:shd w:val="clear" w:color="auto" w:fill="auto"/>
          </w:tcPr>
          <w:p w:rsidR="004F290A" w:rsidRPr="009E6EEA" w:rsidRDefault="004F290A" w:rsidP="004F290A">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CAPITOLUL 1 </w:t>
            </w:r>
          </w:p>
          <w:p w:rsidR="004F290A" w:rsidRPr="009E6EEA" w:rsidRDefault="004F290A" w:rsidP="004F290A">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DISPOZIȚII GENERALE </w:t>
            </w:r>
          </w:p>
          <w:p w:rsidR="004F290A" w:rsidRPr="009E6EEA" w:rsidRDefault="004F290A" w:rsidP="004F290A">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t xml:space="preserve">Articolul 1 </w:t>
            </w:r>
          </w:p>
          <w:p w:rsidR="004F290A" w:rsidRPr="009E6EEA" w:rsidRDefault="004F290A" w:rsidP="004F290A">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Definiții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rPr>
            </w:pPr>
            <w:r w:rsidRPr="009E6EEA">
              <w:rPr>
                <w:rFonts w:ascii="Times New Roman" w:eastAsia="Calibri" w:hAnsi="Times New Roman" w:cs="Times New Roman"/>
                <w:color w:val="000000"/>
                <w:sz w:val="18"/>
                <w:szCs w:val="18"/>
                <w:lang w:eastAsia="ru-RU"/>
              </w:rPr>
              <w:t>În sensul prezentei directive se înțelege prin:</w:t>
            </w:r>
          </w:p>
        </w:tc>
        <w:tc>
          <w:tcPr>
            <w:tcW w:w="5605" w:type="dxa"/>
            <w:shd w:val="clear" w:color="auto" w:fill="auto"/>
          </w:tcPr>
          <w:p w:rsidR="004F290A" w:rsidRPr="009E6EEA" w:rsidRDefault="004F290A" w:rsidP="004F290A">
            <w:pPr>
              <w:widowControl w:val="0"/>
              <w:tabs>
                <w:tab w:val="left" w:pos="720"/>
              </w:tabs>
              <w:spacing w:after="0" w:line="240" w:lineRule="auto"/>
              <w:ind w:left="720"/>
              <w:contextualSpacing/>
              <w:jc w:val="both"/>
              <w:rPr>
                <w:rFonts w:ascii="Times New Roman" w:eastAsia="Calibri" w:hAnsi="Times New Roman" w:cs="Times New Roman"/>
                <w:b/>
                <w:sz w:val="18"/>
                <w:szCs w:val="18"/>
                <w:lang w:val="ro-RO"/>
              </w:rPr>
            </w:pPr>
            <w:r w:rsidRPr="009E6EEA">
              <w:rPr>
                <w:rFonts w:ascii="Times New Roman" w:eastAsia="Calibri" w:hAnsi="Times New Roman" w:cs="Times New Roman"/>
                <w:b/>
                <w:sz w:val="18"/>
                <w:szCs w:val="18"/>
                <w:lang w:val="ro-RO"/>
              </w:rPr>
              <w:t>Articolul 3. Definiții</w:t>
            </w:r>
          </w:p>
          <w:p w:rsidR="004F290A" w:rsidRPr="009E6EEA" w:rsidRDefault="004F290A" w:rsidP="004F290A">
            <w:pPr>
              <w:widowControl w:val="0"/>
              <w:tabs>
                <w:tab w:val="left" w:pos="720"/>
              </w:tabs>
              <w:spacing w:after="0" w:line="240" w:lineRule="auto"/>
              <w:contextualSpacing/>
              <w:jc w:val="both"/>
              <w:rPr>
                <w:rFonts w:ascii="Times New Roman" w:eastAsia="Calibri" w:hAnsi="Times New Roman" w:cs="Times New Roman"/>
                <w:sz w:val="18"/>
                <w:szCs w:val="18"/>
                <w:lang w:val="ro-RO"/>
              </w:rPr>
            </w:pPr>
            <w:r w:rsidRPr="009E6EEA">
              <w:rPr>
                <w:rFonts w:ascii="Times New Roman" w:eastAsia="Calibri" w:hAnsi="Times New Roman" w:cs="Times New Roman"/>
                <w:sz w:val="18"/>
                <w:szCs w:val="18"/>
                <w:lang w:val="ro-RO"/>
              </w:rPr>
              <w:t>Termenii și expresiile utilizați în prezenta lege au următoarele semnificații:</w:t>
            </w:r>
          </w:p>
        </w:tc>
        <w:tc>
          <w:tcPr>
            <w:tcW w:w="1418"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Compatibil </w:t>
            </w:r>
          </w:p>
        </w:tc>
        <w:tc>
          <w:tcPr>
            <w:tcW w:w="127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Comisia Națională a Pieței Financiare (CNPF) </w:t>
            </w:r>
          </w:p>
        </w:tc>
      </w:tr>
      <w:tr w:rsidR="004F290A" w:rsidRPr="009E6EEA" w:rsidTr="004F290A">
        <w:trPr>
          <w:trHeight w:val="704"/>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rPr>
            </w:pPr>
            <w:r w:rsidRPr="009E6EEA">
              <w:rPr>
                <w:rFonts w:ascii="Times New Roman" w:eastAsia="Calibri" w:hAnsi="Times New Roman" w:cs="Times New Roman"/>
                <w:sz w:val="18"/>
                <w:szCs w:val="18"/>
              </w:rPr>
              <w:t>1. „vehicul”: orice vehicul cu motor destinat transportului pe</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rPr>
            </w:pPr>
            <w:r w:rsidRPr="009E6EEA">
              <w:rPr>
                <w:rFonts w:ascii="Times New Roman" w:eastAsia="Calibri" w:hAnsi="Times New Roman" w:cs="Times New Roman"/>
                <w:sz w:val="18"/>
                <w:szCs w:val="18"/>
              </w:rPr>
              <w:t>uscat și acționat în mod mecanic, dar care nu se deplasează</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rPr>
            </w:pPr>
            <w:r w:rsidRPr="009E6EEA">
              <w:rPr>
                <w:rFonts w:ascii="Times New Roman" w:eastAsia="Calibri" w:hAnsi="Times New Roman" w:cs="Times New Roman"/>
                <w:sz w:val="18"/>
                <w:szCs w:val="18"/>
              </w:rPr>
              <w:t>pe șine, inclusiv remorci, chiar și necuplate;</w:t>
            </w:r>
          </w:p>
        </w:tc>
        <w:tc>
          <w:tcPr>
            <w:tcW w:w="5605" w:type="dxa"/>
            <w:shd w:val="clear" w:color="auto" w:fill="auto"/>
          </w:tcPr>
          <w:p w:rsidR="004F290A" w:rsidRPr="009E6EEA" w:rsidRDefault="004F290A" w:rsidP="004F290A">
            <w:pPr>
              <w:widowControl w:val="0"/>
              <w:tabs>
                <w:tab w:val="left" w:pos="720"/>
              </w:tabs>
              <w:spacing w:after="0" w:line="240" w:lineRule="auto"/>
              <w:contextualSpacing/>
              <w:jc w:val="both"/>
              <w:rPr>
                <w:rFonts w:ascii="Times New Roman" w:eastAsia="Calibri" w:hAnsi="Times New Roman" w:cs="Times New Roman"/>
                <w:sz w:val="18"/>
                <w:szCs w:val="18"/>
                <w:lang w:val="ro-RO"/>
              </w:rPr>
            </w:pPr>
            <w:r w:rsidRPr="009E6EEA">
              <w:rPr>
                <w:rFonts w:ascii="Times New Roman" w:eastAsia="Calibri" w:hAnsi="Times New Roman" w:cs="Times New Roman"/>
                <w:sz w:val="18"/>
                <w:szCs w:val="18"/>
                <w:lang w:val="ro-RO"/>
              </w:rPr>
              <w:t>28.</w:t>
            </w:r>
            <w:r w:rsidRPr="009E6EEA">
              <w:rPr>
                <w:rFonts w:ascii="Times New Roman" w:eastAsia="Calibri" w:hAnsi="Times New Roman" w:cs="Times New Roman"/>
                <w:sz w:val="18"/>
                <w:szCs w:val="18"/>
                <w:lang w:val="ro-RO"/>
              </w:rPr>
              <w:tab/>
            </w:r>
            <w:r w:rsidRPr="009E6EEA">
              <w:rPr>
                <w:rFonts w:ascii="Times New Roman" w:eastAsia="Calibri" w:hAnsi="Times New Roman" w:cs="Times New Roman"/>
                <w:i/>
                <w:sz w:val="18"/>
                <w:szCs w:val="18"/>
                <w:lang w:val="ro-RO"/>
              </w:rPr>
              <w:t>vehicul</w:t>
            </w:r>
            <w:r w:rsidRPr="009E6EEA">
              <w:rPr>
                <w:rFonts w:ascii="Times New Roman" w:eastAsia="Calibri" w:hAnsi="Times New Roman" w:cs="Times New Roman"/>
                <w:sz w:val="18"/>
                <w:szCs w:val="18"/>
                <w:lang w:val="ro-RO"/>
              </w:rPr>
              <w:t xml:space="preserve"> - orice vehicul cu motor/electric destinat deplasării pe uscat și acționat în mod mecanic, dar care nu se deplasează pe șine, inclusiv orice tip de remorcă, indiferent dacă este cuplată sau nu, pentru care există în Republica Moldova obligația legală de înregistrare;</w:t>
            </w:r>
          </w:p>
        </w:tc>
        <w:tc>
          <w:tcPr>
            <w:tcW w:w="1418"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Compatibil</w:t>
            </w:r>
          </w:p>
        </w:tc>
        <w:tc>
          <w:tcPr>
            <w:tcW w:w="127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RO"/>
              </w:rPr>
            </w:pPr>
          </w:p>
        </w:tc>
        <w:tc>
          <w:tcPr>
            <w:tcW w:w="1067"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CNPF </w:t>
            </w:r>
          </w:p>
        </w:tc>
      </w:tr>
      <w:tr w:rsidR="004F290A" w:rsidRPr="009E6EEA" w:rsidTr="004F290A">
        <w:trPr>
          <w:trHeight w:val="686"/>
        </w:trPr>
        <w:tc>
          <w:tcPr>
            <w:tcW w:w="5418" w:type="dxa"/>
            <w:shd w:val="clear" w:color="auto" w:fill="auto"/>
          </w:tcPr>
          <w:p w:rsidR="004F290A" w:rsidRPr="009E6EEA" w:rsidRDefault="004F290A" w:rsidP="004F290A">
            <w:pPr>
              <w:shd w:val="clear" w:color="auto" w:fill="FFFFFF"/>
              <w:spacing w:after="0" w:line="240" w:lineRule="auto"/>
              <w:jc w:val="both"/>
              <w:rPr>
                <w:rFonts w:ascii="Times New Roman" w:eastAsia="Times New Roman" w:hAnsi="Times New Roman" w:cs="Times New Roman"/>
                <w:color w:val="000000"/>
                <w:sz w:val="18"/>
                <w:szCs w:val="18"/>
              </w:rPr>
            </w:pPr>
            <w:r w:rsidRPr="009E6EEA">
              <w:rPr>
                <w:rFonts w:ascii="Times New Roman" w:eastAsia="Times New Roman" w:hAnsi="Times New Roman" w:cs="EUAlbertina"/>
                <w:color w:val="000000"/>
                <w:sz w:val="18"/>
                <w:szCs w:val="18"/>
              </w:rPr>
              <w:t>2. „persoană vătămată”: orice persoană îndreptățită să primească despăgubire pentru un prejudiciu provocat de vehicule;</w:t>
            </w:r>
          </w:p>
        </w:tc>
        <w:tc>
          <w:tcPr>
            <w:tcW w:w="5605" w:type="dxa"/>
            <w:shd w:val="clear" w:color="auto" w:fill="auto"/>
          </w:tcPr>
          <w:p w:rsidR="004F290A" w:rsidRPr="009E6EEA" w:rsidRDefault="004F290A" w:rsidP="004F290A">
            <w:pPr>
              <w:widowControl w:val="0"/>
              <w:tabs>
                <w:tab w:val="left" w:pos="720"/>
              </w:tabs>
              <w:spacing w:after="0" w:line="240" w:lineRule="auto"/>
              <w:contextualSpacing/>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20.</w:t>
            </w:r>
            <w:r w:rsidRPr="009E6EEA">
              <w:rPr>
                <w:rFonts w:ascii="Times New Roman" w:eastAsia="Calibri" w:hAnsi="Times New Roman" w:cs="Times New Roman"/>
                <w:sz w:val="18"/>
                <w:szCs w:val="18"/>
                <w:lang w:val="ro-MD"/>
              </w:rPr>
              <w:tab/>
            </w:r>
            <w:r w:rsidRPr="009E6EEA">
              <w:rPr>
                <w:rFonts w:ascii="Times New Roman" w:eastAsia="Calibri" w:hAnsi="Times New Roman" w:cs="Times New Roman"/>
                <w:i/>
                <w:sz w:val="18"/>
                <w:szCs w:val="18"/>
                <w:lang w:val="ro-MD"/>
              </w:rPr>
              <w:t>persoană vătămată (păgubită)</w:t>
            </w:r>
            <w:r w:rsidRPr="009E6EEA">
              <w:rPr>
                <w:rFonts w:ascii="Times New Roman" w:eastAsia="Calibri" w:hAnsi="Times New Roman" w:cs="Times New Roman"/>
                <w:sz w:val="18"/>
                <w:szCs w:val="18"/>
                <w:lang w:val="ro-MD"/>
              </w:rPr>
              <w:t xml:space="preserve"> - orice persoană îndreptățită să primească despăgubiri pentru o pagubă sau un prejudiciu suferit ca urmare a producerii unui risc acoperit printr-un contract RCA;</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Compatibil </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57"/>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rPr>
            </w:pPr>
            <w:r w:rsidRPr="009E6EEA">
              <w:rPr>
                <w:rFonts w:ascii="Times New Roman" w:eastAsia="Calibri" w:hAnsi="Times New Roman" w:cs="Times New Roman"/>
                <w:color w:val="000000"/>
                <w:sz w:val="18"/>
                <w:szCs w:val="18"/>
              </w:rPr>
              <w:t>3. „birou național al asigurătorilor”: o organizație profesională constituită în conformitate cu Recomandarea nr. 5 din 25 ianuarie 1949 de Subcomitetul pentru transport rutier al Comitetului pentru transport pe uscat din cadrul Comisiei Economice pentru Europa a Organizației Națiunilor Unite și care reunește întreprinderile de asigurare care sunt autorizate într-un stat să practice activitatea de asigurare de răspundere civilă pentru pagube produse de vehicule cu motor;</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8.</w:t>
            </w:r>
            <w:r w:rsidRPr="009E6EEA">
              <w:rPr>
                <w:rFonts w:ascii="Times New Roman" w:eastAsia="Calibri" w:hAnsi="Times New Roman" w:cs="Times New Roman"/>
                <w:sz w:val="18"/>
                <w:szCs w:val="18"/>
                <w:lang w:val="ro-MD"/>
              </w:rPr>
              <w:tab/>
            </w:r>
            <w:r w:rsidRPr="009E6EEA">
              <w:rPr>
                <w:rFonts w:ascii="Times New Roman" w:eastAsia="Calibri" w:hAnsi="Times New Roman" w:cs="Times New Roman"/>
                <w:i/>
                <w:sz w:val="18"/>
                <w:szCs w:val="18"/>
                <w:lang w:val="ro-MD"/>
              </w:rPr>
              <w:t>Biroul Național al Asigurătorilor de Autovehicule (în continuare - Biroul Național)</w:t>
            </w:r>
            <w:r w:rsidRPr="009E6EEA">
              <w:rPr>
                <w:rFonts w:ascii="Times New Roman" w:eastAsia="Calibri" w:hAnsi="Times New Roman" w:cs="Times New Roman"/>
                <w:sz w:val="18"/>
                <w:szCs w:val="18"/>
                <w:lang w:val="ro-MD"/>
              </w:rPr>
              <w:t xml:space="preserve"> – o asociație profesională independentă și autonomă a tuturor societăților de asigurare, care sunt autorizate în baza legii, să practice în Republica Moldova activitatea de asigurare obligatorie de răspundere civilă auto pentru prejudicii produse terților prin accidente de vehicule şi care îndeplinește atribuțiile de birou național al asigurătorilor auto, de organism de plată a despăgubirilor, de organism de compensare, precum şi alte atribuții conferite prin lege;</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Compatibil </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bookmarkStart w:id="0" w:name="_GoBack"/>
        <w:bookmarkEnd w:id="0"/>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4. „teritoriul în care staționează în mod obișnuit vehiculul”: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teritoriul statului de unde vehiculul are o plăcuță de înmatriculare, fie că aceasta este permanentă sau temporară; sau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(b) în cazurile în care nu există înmatriculare pentru un anumit tip de vehicul, dar vehiculul are un tichet de asigurare sau un semn distinctiv similar plăcuței de înmatriculare, teritoriul statului în care s-a eliberat tichetul de asigurare sau semnul respectiv; sau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 în cazurile în care pentru anumite tipuri de vehicule nu există placă de înmatriculare, tichet de asigurare și nici vreun semn distinctiv, teritoriul statului în care deținătorul vehiculului este rezident permanent; sau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rPr>
            </w:pPr>
            <w:r w:rsidRPr="009E6EEA">
              <w:rPr>
                <w:rFonts w:ascii="Times New Roman" w:eastAsia="Calibri" w:hAnsi="Times New Roman" w:cs="Times New Roman"/>
                <w:color w:val="000000"/>
                <w:sz w:val="18"/>
                <w:szCs w:val="18"/>
                <w:lang w:eastAsia="ru-RU"/>
              </w:rPr>
              <w:t>(d) în cazul în care vehiculul nu are plăcuță de înmatriculare sau are o plăcuță care nu corespunde sau nu mai corespunde cu vehiculul și a fost implicat într-un accident, teritoriul statului în care a avut loc accidentul, cu scopul de a soluționa cererea de despăgubire în conformitate cu articolul 2 litera (a) sau cu articolul 10;</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19.</w:t>
            </w:r>
            <w:r w:rsidRPr="009E6EEA">
              <w:rPr>
                <w:rFonts w:ascii="Times New Roman" w:eastAsia="Calibri" w:hAnsi="Times New Roman" w:cs="Times New Roman"/>
                <w:sz w:val="18"/>
                <w:szCs w:val="18"/>
                <w:lang w:val="ro-MD"/>
              </w:rPr>
              <w:tab/>
            </w:r>
            <w:r w:rsidRPr="009E6EEA">
              <w:rPr>
                <w:rFonts w:ascii="Times New Roman" w:eastAsia="Calibri" w:hAnsi="Times New Roman" w:cs="Times New Roman"/>
                <w:i/>
                <w:sz w:val="18"/>
                <w:szCs w:val="18"/>
                <w:lang w:val="ro-MD"/>
              </w:rPr>
              <w:t>limitele teritoriale</w:t>
            </w:r>
            <w:r w:rsidRPr="009E6EEA">
              <w:rPr>
                <w:rFonts w:ascii="Times New Roman" w:eastAsia="Calibri" w:hAnsi="Times New Roman" w:cs="Times New Roman"/>
                <w:sz w:val="18"/>
                <w:szCs w:val="18"/>
                <w:lang w:val="ro-MD"/>
              </w:rPr>
              <w:t xml:space="preserve"> de aplicare ale asigurării de răspundere civilă pentru prejudicii produse prin accidente de vehicule: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teritoriul Republicii Moldova în care vehiculul deține plăcuță de înmatriculare/înregistrare, indiferent dacă o astfel de plăcuță este permanentă sau temporară – asigurarea internă;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teritoriile statelor în care sunt competente birourile naţionale auto care au semnat Acordul multilateral – asigurarea externă;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în cazul în care nu există înmatriculare/înregistrare pentru un anumit tip de vehicul, dar vehiculul are un contract de asigurare sau un semn distinctiv similar plăcuței de înmatriculare, teritoriul statului în care a fost eliberat contractul de asigurare sau semnul respectiv;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d)</w:t>
            </w:r>
            <w:r w:rsidRPr="009E6EEA">
              <w:rPr>
                <w:rFonts w:ascii="Times New Roman" w:eastAsia="Calibri" w:hAnsi="Times New Roman" w:cs="Times New Roman"/>
                <w:sz w:val="18"/>
                <w:szCs w:val="18"/>
                <w:lang w:val="ro-MD"/>
              </w:rPr>
              <w:tab/>
              <w:t>în cazul în care pentru anumite tipuri de vehicule nu există plăcuță de înmatriculare/înregistrare, contract de asigurare și nici vreun semn distinctiv, teritoriul statului în care proprietarul vehiculului este rezident permanent;</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Compatibil </w:t>
            </w:r>
            <w:r w:rsidRPr="009E6EEA">
              <w:rPr>
                <w:rFonts w:ascii="Times New Roman" w:eastAsia="Calibri" w:hAnsi="Times New Roman" w:cs="Times New Roman"/>
                <w:b/>
                <w:sz w:val="18"/>
                <w:szCs w:val="18"/>
                <w:lang w:val="ro-MD"/>
              </w:rPr>
              <w:tab/>
            </w:r>
            <w:r w:rsidRPr="009E6EEA">
              <w:rPr>
                <w:rFonts w:ascii="Times New Roman" w:eastAsia="Calibri" w:hAnsi="Times New Roman" w:cs="Times New Roman"/>
                <w:b/>
                <w:sz w:val="18"/>
                <w:szCs w:val="18"/>
                <w:lang w:val="ro-MD"/>
              </w:rPr>
              <w:tab/>
            </w:r>
            <w:r w:rsidRPr="009E6EEA">
              <w:rPr>
                <w:rFonts w:ascii="Times New Roman" w:eastAsia="Calibri" w:hAnsi="Times New Roman" w:cs="Times New Roman"/>
                <w:b/>
                <w:sz w:val="18"/>
                <w:szCs w:val="18"/>
                <w:lang w:val="ro-MD"/>
              </w:rPr>
              <w:tab/>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shd w:val="clear" w:color="auto" w:fill="FFFFFF"/>
              <w:spacing w:after="0" w:line="240" w:lineRule="auto"/>
              <w:rPr>
                <w:rFonts w:ascii="Times New Roman" w:eastAsia="Times New Roman" w:hAnsi="Times New Roman" w:cs="Times New Roman"/>
                <w:color w:val="000000"/>
                <w:sz w:val="18"/>
                <w:szCs w:val="18"/>
              </w:rPr>
            </w:pPr>
            <w:r w:rsidRPr="009E6EEA">
              <w:rPr>
                <w:rFonts w:ascii="Times New Roman" w:eastAsia="Times New Roman" w:hAnsi="Times New Roman" w:cs="Times New Roman"/>
                <w:color w:val="000000"/>
                <w:sz w:val="18"/>
                <w:szCs w:val="18"/>
              </w:rPr>
              <w:lastRenderedPageBreak/>
              <w:t>5. „carte verde”: certificat internațional de asigurare eliberat în numele unui birou național în conformitate cu Recomandarea nr. 5 din 25 ianuarie 1949 de Subcomitetul pentru transport rutier al Comitetului pentru transport pe uscat din cadrul Comisiei Economice pentru Europa a Organizației Națiunilor Unite;</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10.</w:t>
            </w:r>
            <w:r w:rsidRPr="009E6EEA">
              <w:rPr>
                <w:rFonts w:ascii="Times New Roman" w:eastAsia="Calibri" w:hAnsi="Times New Roman" w:cs="Times New Roman"/>
                <w:sz w:val="18"/>
                <w:szCs w:val="18"/>
                <w:lang w:val="ro-MD"/>
              </w:rPr>
              <w:tab/>
            </w:r>
            <w:r w:rsidRPr="009E6EEA">
              <w:rPr>
                <w:rFonts w:ascii="Times New Roman" w:eastAsia="Calibri" w:hAnsi="Times New Roman" w:cs="Times New Roman"/>
                <w:i/>
                <w:sz w:val="18"/>
                <w:szCs w:val="18"/>
                <w:lang w:val="ro-MD"/>
              </w:rPr>
              <w:t>Carte Verde</w:t>
            </w:r>
            <w:r w:rsidRPr="009E6EEA">
              <w:rPr>
                <w:rFonts w:ascii="Times New Roman" w:eastAsia="Calibri" w:hAnsi="Times New Roman" w:cs="Times New Roman"/>
                <w:sz w:val="18"/>
                <w:szCs w:val="18"/>
                <w:lang w:val="ro-MD"/>
              </w:rPr>
              <w:t xml:space="preserve"> – certificat internațional de asigurare emis în numele biroului național auto, în conformitate cu Recomandarea nr.5 din 25 ianuarie 1949, adoptată de Subcomitetul de transporturi pe uscat din cadrul Comisiei Economice pentru Europa Organizației Națiunilor Unite;</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Compatibil </w:t>
            </w:r>
            <w:r w:rsidRPr="009E6EEA">
              <w:rPr>
                <w:rFonts w:ascii="Times New Roman" w:eastAsia="Calibri" w:hAnsi="Times New Roman" w:cs="Times New Roman"/>
                <w:b/>
                <w:sz w:val="18"/>
                <w:szCs w:val="18"/>
                <w:lang w:val="ro-MD"/>
              </w:rPr>
              <w:tab/>
            </w:r>
            <w:r w:rsidRPr="009E6EEA">
              <w:rPr>
                <w:rFonts w:ascii="Times New Roman" w:eastAsia="Calibri" w:hAnsi="Times New Roman" w:cs="Times New Roman"/>
                <w:b/>
                <w:sz w:val="18"/>
                <w:szCs w:val="18"/>
                <w:lang w:val="ro-MD"/>
              </w:rPr>
              <w:tab/>
            </w:r>
            <w:r w:rsidRPr="009E6EEA">
              <w:rPr>
                <w:rFonts w:ascii="Times New Roman" w:eastAsia="Calibri" w:hAnsi="Times New Roman" w:cs="Times New Roman"/>
                <w:b/>
                <w:sz w:val="18"/>
                <w:szCs w:val="18"/>
                <w:lang w:val="ro-MD"/>
              </w:rPr>
              <w:tab/>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shd w:val="clear" w:color="auto" w:fill="FFFFFF"/>
              <w:spacing w:after="0" w:line="240" w:lineRule="auto"/>
              <w:jc w:val="both"/>
              <w:rPr>
                <w:rFonts w:ascii="Times New Roman" w:eastAsia="Times New Roman" w:hAnsi="Times New Roman" w:cs="Times New Roman"/>
                <w:i/>
                <w:iCs/>
                <w:color w:val="000000"/>
                <w:sz w:val="18"/>
                <w:szCs w:val="18"/>
              </w:rPr>
            </w:pPr>
            <w:r w:rsidRPr="009E6EEA">
              <w:rPr>
                <w:rFonts w:ascii="Times New Roman" w:eastAsia="Calibri" w:hAnsi="Times New Roman" w:cs="Times New Roman"/>
                <w:color w:val="000000"/>
                <w:sz w:val="18"/>
                <w:szCs w:val="18"/>
              </w:rPr>
              <w:t>6. „întreprindere de asigurare”: o întreprindere care a primit autorizația administrativă în conformitate cu articolul 6 sau cu articolul 23 alineatul (2) din Directiva 73/239/CEE;</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r>
            <w:r w:rsidRPr="009E6EEA">
              <w:rPr>
                <w:rFonts w:ascii="Times New Roman" w:eastAsia="Calibri" w:hAnsi="Times New Roman" w:cs="Times New Roman"/>
                <w:i/>
                <w:sz w:val="18"/>
                <w:szCs w:val="18"/>
                <w:lang w:val="ro-MD"/>
              </w:rPr>
              <w:t>asigurător RCA</w:t>
            </w:r>
            <w:r w:rsidRPr="009E6EEA">
              <w:rPr>
                <w:rFonts w:ascii="Times New Roman" w:eastAsia="Calibri" w:hAnsi="Times New Roman" w:cs="Times New Roman"/>
                <w:sz w:val="18"/>
                <w:szCs w:val="18"/>
                <w:lang w:val="ro-MD"/>
              </w:rPr>
              <w:t xml:space="preserve"> (societatea de asigurare) – un asigurător licențiat să desfășoare activitate de asigurare obligatorie de RCA;</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Pr>
                <w:rFonts w:ascii="Times New Roman" w:eastAsia="Calibri" w:hAnsi="Times New Roman" w:cs="Times New Roman"/>
                <w:b/>
                <w:sz w:val="18"/>
                <w:szCs w:val="18"/>
                <w:lang w:val="ro-MD"/>
              </w:rPr>
              <w:t xml:space="preserve">Compatibil </w:t>
            </w:r>
            <w:r>
              <w:rPr>
                <w:rFonts w:ascii="Times New Roman" w:eastAsia="Calibri" w:hAnsi="Times New Roman" w:cs="Times New Roman"/>
                <w:b/>
                <w:sz w:val="18"/>
                <w:szCs w:val="18"/>
                <w:lang w:val="ro-MD"/>
              </w:rPr>
              <w:tab/>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shd w:val="clear" w:color="auto" w:fill="FFFFFF"/>
              <w:spacing w:after="0" w:line="240" w:lineRule="auto"/>
              <w:jc w:val="both"/>
              <w:rPr>
                <w:rFonts w:ascii="Times New Roman" w:eastAsia="Times New Roman" w:hAnsi="Times New Roman" w:cs="Times New Roman"/>
                <w:i/>
                <w:iCs/>
                <w:color w:val="000000"/>
                <w:sz w:val="18"/>
                <w:szCs w:val="18"/>
              </w:rPr>
            </w:pPr>
            <w:r w:rsidRPr="009E6EEA">
              <w:rPr>
                <w:rFonts w:ascii="Times New Roman" w:eastAsia="Calibri" w:hAnsi="Times New Roman" w:cs="Times New Roman"/>
                <w:color w:val="000000"/>
                <w:sz w:val="18"/>
                <w:szCs w:val="18"/>
              </w:rPr>
              <w:t>7. „unitate”: sediul social, agenția sau sucursala unei întreprinderi de asigurare, în conformitate cu definiția de la articolul 2 litera (c) din a doua Directivă 88/357/CEE a Consiliului din 22 iunie 1988 de coordonare a actelor cu putere de lege și actelor administrative privind asigurarea generală directă, de stabilire a dispozițiilor destinate să faciliteze exercitarea efectivă a libertății de a presta servicii ( 1 ).</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25.</w:t>
            </w:r>
            <w:r w:rsidRPr="009E6EEA">
              <w:rPr>
                <w:rFonts w:ascii="Times New Roman" w:eastAsia="Calibri" w:hAnsi="Times New Roman" w:cs="Times New Roman"/>
                <w:sz w:val="18"/>
                <w:szCs w:val="18"/>
                <w:lang w:val="ro-MD"/>
              </w:rPr>
              <w:tab/>
            </w:r>
            <w:r w:rsidRPr="009E6EEA">
              <w:rPr>
                <w:rFonts w:ascii="Times New Roman" w:eastAsia="Calibri" w:hAnsi="Times New Roman" w:cs="Times New Roman"/>
                <w:i/>
                <w:sz w:val="18"/>
                <w:szCs w:val="18"/>
                <w:lang w:val="ro-MD"/>
              </w:rPr>
              <w:t>sediu</w:t>
            </w:r>
            <w:r w:rsidRPr="009E6EEA">
              <w:rPr>
                <w:rFonts w:ascii="Times New Roman" w:eastAsia="Calibri" w:hAnsi="Times New Roman" w:cs="Times New Roman"/>
                <w:sz w:val="18"/>
                <w:szCs w:val="18"/>
                <w:lang w:val="ro-MD"/>
              </w:rPr>
              <w:t xml:space="preserve"> – oficiu de bază, subdiviziune sau sucursala unei societăți de asigurare, după cum este definit în Legea  cu privire la activitatea de asigurare și reasigurare;</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Prevedere cu specificul național</w:t>
            </w: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t xml:space="preserve">Articolul 2 </w:t>
            </w:r>
          </w:p>
          <w:p w:rsidR="004F290A" w:rsidRPr="009E6EEA" w:rsidRDefault="004F290A" w:rsidP="004F290A">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Domeniul de aplicare </w:t>
            </w:r>
          </w:p>
          <w:p w:rsidR="004F290A" w:rsidRPr="009E6EEA" w:rsidRDefault="004F290A" w:rsidP="004F290A">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Dispozițiile articolelor 4, 6, 7 și 8 se aplică vehiculelor care staționează în mod obișnuit pe teritoriul statelor membre: </w:t>
            </w:r>
          </w:p>
          <w:p w:rsidR="004F290A" w:rsidRPr="009E6EEA" w:rsidRDefault="004F290A" w:rsidP="004F290A">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după încheierea unei convenții între birourile naționale ale asigurătorilor prin care fiecare birou național garantează, în concordanță cu prevederile legislației sale interne în domeniul asigurărilor obligatorii, soluționarea cererilor de despăgubire rezultate în urma accidentelor provocate pe teritoriul său de vehicule care staționează în mod obișnuit pe teritoriul altui stat membru, indiferent dacă aceste vehicule sunt asigurate sau nu; </w:t>
            </w:r>
          </w:p>
          <w:p w:rsidR="004F290A" w:rsidRPr="009E6EEA" w:rsidRDefault="004F290A" w:rsidP="004F290A">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(b) de la data stabilită de către Comisie după ce aceasta, în strânsă cooperare cu statele membre, s-a asigurat că o asemenea convenție a fost încheiată;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r w:rsidRPr="009E6EEA">
              <w:rPr>
                <w:rFonts w:ascii="Times New Roman" w:eastAsia="Calibri" w:hAnsi="Times New Roman" w:cs="Times New Roman"/>
                <w:color w:val="000000"/>
                <w:sz w:val="18"/>
                <w:szCs w:val="18"/>
                <w:lang w:eastAsia="ru-RU"/>
              </w:rPr>
              <w:t>(c) pe durata acestei convenții.</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2.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Domeniul de aplicare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Prezenta lege reglementează domeniul de aplicare a asigurării obligatorii de răspundere civilă auto, respectiv persoanele care au obligația de a încheia contracte și excepțiile de la această obligație, limitele teritoriale de aplicare, limitele de răspundere, obligațiile persoanei asigurate, obligațiile asigurătorului, riscurile acoperite și excluderile, elementele privind stabilirea și plata despăgubirilor, verificarea asigurării, facilitățile și penalitățile aplicabile persoanelor asigurate și asigurătorilor, precum și instituțiile responsabile pentru gestionarea informațiilor despre daune/prejudicii și daune/prejudicii în sine.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Dispozițiile articolelor 4, 6, 7 și 8 se aplică vehiculelor care staționează în mod obișnuit pe teritoriul Republicii Moldova: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după încheierea unui acord multilateral între birourile naționale ale asigurătorilor prin care fiecare birou național garantează, în concordanță cu prevederile legislației sale interne în domeniul asigurărilor obligatorii, soluționarea cererilor de despăgubire rezultate în urma accidentelor provocate pe teritoriul său de vehicule care staționează în mod obișnuit pe teritoriul altui stat membru, indiferent dacă aceste vehicule sunt asigurate sau nu;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pe durata acordului.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Prevederile legii date nu se aplică vehiculelor utilizate de forțele armate din Republica Moldova.</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Compatibil </w:t>
            </w:r>
            <w:r w:rsidRPr="009E6EEA">
              <w:rPr>
                <w:rFonts w:ascii="Times New Roman" w:eastAsia="Calibri" w:hAnsi="Times New Roman" w:cs="Times New Roman"/>
                <w:b/>
                <w:sz w:val="18"/>
                <w:szCs w:val="18"/>
                <w:lang w:val="ro-MD"/>
              </w:rPr>
              <w:tab/>
            </w:r>
            <w:r w:rsidRPr="009E6EEA">
              <w:rPr>
                <w:rFonts w:ascii="Times New Roman" w:eastAsia="Calibri" w:hAnsi="Times New Roman" w:cs="Times New Roman"/>
                <w:b/>
                <w:sz w:val="18"/>
                <w:szCs w:val="18"/>
                <w:lang w:val="ro-MD"/>
              </w:rPr>
              <w:tab/>
            </w:r>
            <w:r w:rsidRPr="009E6EEA">
              <w:rPr>
                <w:rFonts w:ascii="Times New Roman" w:eastAsia="Calibri" w:hAnsi="Times New Roman" w:cs="Times New Roman"/>
                <w:b/>
                <w:sz w:val="18"/>
                <w:szCs w:val="18"/>
                <w:lang w:val="ro-MD"/>
              </w:rPr>
              <w:tab/>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t xml:space="preserve">Articolul 3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Obligația de asigurare a vehiculelor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În conformitate cu dispozițiile articolului 5, fiecare stat membru ia toate măsurile necesare pentru a se asigura că răspunderea civilă pentru pagubele produse de vehiculele care staționează în mod obișnuit pe teritoriul lor este acoperită prin asigurare.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Măsurile menționate la primul paragraf stabilesc prejudiciile acoperite de asigurare, precum și termenii și condițiile asigurării.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Fiecare stat membru ia toate măsurile necesare pentru a se asigura că prin contractul de asigurare sunt acoperite și următoarele: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prejudiciile cauzate pe teritoriul altor state membre, în conformitate cu legislația în vigoare în acele state;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lastRenderedPageBreak/>
              <w:t xml:space="preserve">(b) prejudiciile suferite de resortisanții statelor membre în timpul unei călătorii ce leagă direct două teritorii în care se aplică tratatul, în cazul în care nu există un birou național al asigurătorilor pentru teritoriul traversat; în acest caz, paguba sau vătămarea se despăgubește în conformitate cu legislația internă privind asigurarea obligatorie în vigoare în statul membru pe teritoriul căruia staționează în mod obișnuit vehiculul. Asigurarea prevăzută la primul paragraf acoperă în mod obligatoriu prejudiciile materiale și vătămările corporale. </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4.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Obligația de asigurare de răspundere civilă auto</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 (1)</w:t>
            </w:r>
            <w:r w:rsidRPr="009E6EEA">
              <w:rPr>
                <w:rFonts w:ascii="Times New Roman" w:eastAsia="Calibri" w:hAnsi="Times New Roman" w:cs="Times New Roman"/>
                <w:sz w:val="18"/>
                <w:szCs w:val="18"/>
                <w:lang w:val="ro-MD"/>
              </w:rPr>
              <w:tab/>
              <w:t xml:space="preserve">Persoanele fizice și juridice care posedă vehicule înregistrate în Republica Moldova sunt obligate să încheie contracte de asigurare pentru orice cazuri de răspundere civilă pentru pagubele produse de accidentele de vehicule. Contractul de asigurare acoperă în mod obligatoriu atât prejudiciile materiale, cât și vătămările corporale.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 xml:space="preserve">Prin contractul de asigurare este acoperită de asemenea orice pierdere sau prejudiciu cauzate în cadrul limitelor teritoriale ale contractului,  în conformitate cu legislația în vigoare din alte state.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 xml:space="preserve">Nu sînt obligate să încheie un contract de asigurare de răspundere civilă auto persoanele fizice şi juridice care posedă vehicule </w:t>
            </w:r>
            <w:r w:rsidRPr="009E6EEA">
              <w:rPr>
                <w:rFonts w:ascii="Times New Roman" w:eastAsia="Calibri" w:hAnsi="Times New Roman" w:cs="Times New Roman"/>
                <w:sz w:val="18"/>
                <w:szCs w:val="18"/>
                <w:lang w:val="ro-MD"/>
              </w:rPr>
              <w:lastRenderedPageBreak/>
              <w:t>retro (de colecție de interes istoric sau etnografic) care nu circulă pe drumurile publice și/sau utilizează vehicule exclusiv în scopul antrenamentelor, curselor, întrecerilor sau raliurilor, organizate legal; pentru riscurile ce derivă din aceste activități, proprietarii de vehicule sau organizatorii competiției se pot asigura facultativ.</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Persoanele care intră pe teritoriul Republicii Moldova conducînd vehicule înregistrate în alte state se consideră asigurate dacă:</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sînt asigurate în conformitate cu  prezenta Lege;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 xml:space="preserve">posedă documente de asigurare internațională în vigoare pe teritoriul Republicii Moldova.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1.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Obiectul și scopul legii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Prezenta lege reglementează:</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raporturile juridice dintre asigurători, asigurați şi persoane terțe ce derivă din contractul de asigurare obligatorie de răspundere civilă pentru pagube produse de autovehicule, precum şi modul de realizare a acestui tip de asigurare;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modul de organizare și funcționare a Biroului Național al Asigurătorilor de Autovehicule, denumit în continuare Biroul Național.</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Obiect al asigurării obligatorii de răspundere civilă auto îl constituie răspunderea civilă a proprietarului şi/sau utilizatorului de</w:t>
            </w:r>
            <w:r w:rsidRPr="009E6EEA">
              <w:rPr>
                <w:rFonts w:ascii="Times New Roman" w:eastAsia="Calibri" w:hAnsi="Times New Roman" w:cs="Times New Roman"/>
                <w:b/>
                <w:sz w:val="18"/>
                <w:szCs w:val="18"/>
                <w:lang w:val="ro-MD"/>
              </w:rPr>
              <w:t xml:space="preserve"> </w:t>
            </w:r>
            <w:r w:rsidRPr="009E6EEA">
              <w:rPr>
                <w:rFonts w:ascii="Times New Roman" w:eastAsia="Calibri" w:hAnsi="Times New Roman" w:cs="Times New Roman"/>
                <w:sz w:val="18"/>
                <w:szCs w:val="18"/>
                <w:lang w:val="ro-MD"/>
              </w:rPr>
              <w:t>autovehicul pentru orice pagubă sau vătămare corporală produsă prin accident de autovehicul în limitele teritoriale de acoperire ale contractului de asigurare. Teritoriul pe care vehiculul staționează în mod obișnuit se referă la teritoriul Republicii Moldova în care vehiculul deține plăcuță de înmatriculare, indiferent dacă o astfel de plăcuță este permanentă sau temporară,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în cazul în care nu există înmatriculare/înregistrare pentru un anumit tip de vehicul, dar vehiculul are un contract de asigurare sau un semn distinctiv similar plăcuței de înmatriculare, teritoriul statului în care a fost eliberat contractul de asigurare sau semnul respectiv;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în cazul în care pentru anumite tipuri de vehicule nu există plăcuță de înmatriculare/înregistrare, contract de asigurare și nici vreun semn distinctiv, teritoriul statului în care proprietarul vehiculului este rezident permanent ; sau</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în cazul în care vehiculul nu are plăcuță de înmatriculare/înregistrare sau are o plăcuță care nu corespunde sau nu mai corespunde cu vehiculul și a fost implicat într-un accident, teritoriul statului în care a avut loc accidentul, cu scopul de a soluționa cererea de despăgubire în conformitate cu prezenta lege.</w:t>
            </w:r>
            <w:r w:rsidRPr="009E6EEA">
              <w:rPr>
                <w:rFonts w:ascii="Times New Roman" w:eastAsia="Calibri" w:hAnsi="Times New Roman" w:cs="Times New Roman"/>
                <w:b/>
                <w:sz w:val="18"/>
                <w:szCs w:val="18"/>
                <w:lang w:val="ro-MD"/>
              </w:rPr>
              <w:t xml:space="preserve">   </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Compatibil </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4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Controale privind asigurarea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r w:rsidRPr="009E6EEA">
              <w:rPr>
                <w:rFonts w:ascii="Times New Roman" w:eastAsia="Calibri" w:hAnsi="Times New Roman" w:cs="Times New Roman"/>
                <w:color w:val="000000"/>
                <w:sz w:val="18"/>
                <w:szCs w:val="18"/>
                <w:lang w:eastAsia="ru-RU"/>
              </w:rPr>
              <w:t xml:space="preserve">Nici un stat membru nu va controla asigurarea de răspundere civilă a vehiculelor care staționează în mod obișnuit pe teritoriul unui alt stat membru sau care staționează în mod obișnuit pe teritoriul unei țări terțe și intră pe teritoriul său de pe teritoriul unui alt stat membru. Cu toate acestea, un stat membru poate efectua controale nesistematice ale acestei asigurări, cu condiția să nu fie discriminatorii și să aibă loc în </w:t>
            </w:r>
            <w:r w:rsidRPr="009E6EEA">
              <w:rPr>
                <w:rFonts w:ascii="Times New Roman" w:eastAsia="Calibri" w:hAnsi="Times New Roman" w:cs="Times New Roman"/>
                <w:color w:val="000000"/>
                <w:sz w:val="18"/>
                <w:szCs w:val="18"/>
                <w:lang w:eastAsia="ru-RU"/>
              </w:rPr>
              <w:lastRenderedPageBreak/>
              <w:t>cadrul controalelor care nu urmăresc exclusiv verificarea asigurării menționate anterior.</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5.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Controale privind asigurarea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Sunt supuse procedurii de control documentele de asigurare obligatorie de răspundere civilă auto pentru vehiculele care staționează în mod obișnuit pe teritoriul altor state, pe teritoriul statelor aflate în competența birourilor naționale care au semnat Acordul Multilateral, și pentru acele vehicule care staționează în mod obișnuit pe teritoriul unor țări terțe și intră pe teritoriul Republicii Moldova de pe teritoriul unui alt </w:t>
            </w:r>
            <w:r w:rsidRPr="009E6EEA">
              <w:rPr>
                <w:rFonts w:ascii="Times New Roman" w:eastAsia="Calibri" w:hAnsi="Times New Roman" w:cs="Times New Roman"/>
                <w:sz w:val="18"/>
                <w:szCs w:val="18"/>
                <w:lang w:val="ro-MD"/>
              </w:rPr>
              <w:lastRenderedPageBreak/>
              <w:t>stat.</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Controalele sînt permise dacă acestea au un caracter nediscriminatoriu și se desfășoară în cadrul controalelor care nu urmăresc exclusiv verificarea asigurării.</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Persoanele care nu corespund cerințelor stabilite la art.4 alin (4) sau persoanele care la control nu pot face dovada existenței unei asigurări RCA valabile sînt obligate să încheie asigurarea la intrarea pe teritoriul Republicii Moldova.</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5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Derogare de la obligația de asigurare a vehiculelor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lang w:eastAsia="ru-RU"/>
              </w:rPr>
            </w:pPr>
            <w:r w:rsidRPr="009E6EEA">
              <w:rPr>
                <w:rFonts w:ascii="Times New Roman" w:eastAsia="Calibri" w:hAnsi="Times New Roman" w:cs="Times New Roman"/>
                <w:sz w:val="18"/>
                <w:szCs w:val="18"/>
                <w:lang w:eastAsia="ru-RU"/>
              </w:rPr>
              <w:t xml:space="preserve">(1) Un stat membru poate deroga de la dispozițiile articolului 3 cu privire la anumite persoane fizice sau juridice, de drept public sau de drept privat, a căror listă se întocmește de către statul interesat și se comunică celorlalte state membre și Comisiei.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lang w:eastAsia="ru-RU"/>
              </w:rPr>
            </w:pPr>
            <w:r w:rsidRPr="009E6EEA">
              <w:rPr>
                <w:rFonts w:ascii="Times New Roman" w:eastAsia="Calibri" w:hAnsi="Times New Roman" w:cs="Times New Roman"/>
                <w:sz w:val="18"/>
                <w:szCs w:val="18"/>
                <w:lang w:eastAsia="ru-RU"/>
              </w:rPr>
              <w:t>În acest caz, statul membru care prevede această derogare ia măsurile corespunzătoare pentru a asigura plata despăgubirii pentru prejudiciile cauzate pe teritoriul său și pe teritoriul altor state membre de vehiculele care aparțin acestor persoane.</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sz w:val="18"/>
                <w:szCs w:val="18"/>
                <w:lang w:eastAsia="ru-RU"/>
              </w:rPr>
              <w:t>Acesta desemnează, în special, autoritatea sau organismul din țara în care s-a produs prejudiciul, însărcinat cu despăgubirea părților vătămate, în conformitate cu legislația statului respectiv, în cazurile în</w:t>
            </w:r>
            <w:r w:rsidRPr="009E6EEA">
              <w:rPr>
                <w:rFonts w:ascii="Times New Roman" w:eastAsia="Calibri" w:hAnsi="Times New Roman" w:cs="Times New Roman"/>
                <w:color w:val="000000"/>
                <w:sz w:val="18"/>
                <w:szCs w:val="18"/>
                <w:lang w:eastAsia="ru-RU"/>
              </w:rPr>
              <w:t xml:space="preserve"> care articolul 2 litera (a) nu este aplicabil.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Comisiei îi este comunicată de către statul membru lista cu persoanele exonerate de obligația de asigurare și cu autoritățile sau organismele însărcinate cu despăgubirea.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Comisia publică această listă.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(2) Fiecare stat membru poate deroga de la prevederile articolului 3, în ceea ce privește anumite tipuri de vehicule sau anumite vehicule care au o plăcuță specială; lista acestor tipuri de vehicule sau a acestor vehicule se alcătuiește de către statul în cauză și se comunică celorlalte state membre și Comisiei. În acest caz, fiecare stat membru se asigură că vehiculele menționate la primul paragraf sunt tratate în același mod ca vehiculele pentru care nu a fost îndeplinită obligația de asigurare prevăzută la articolul 3. Fondul de garantare din statul membru în care a avut loc accidentul poate invoca, pe cale de consecință, un drept față de fondul de garantare din statul membru în care staționează vehiculul în mod obișnuit.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De la 11 iunie 2010, statele membre transmit Comisiei un raport privind aplicarea și asigurarea respectării prezentului alineat. După examinarea acestor rapoarte, Comisia prezintă, dacă este cazul, propuneri de înlocuire sau de abrogare a acestei derogări. </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2.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Domeniul de aplicare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Prevederile legii date nu se aplică vehiculelor utilizate de forțele armate din Republica Moldova.</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4.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Obligația de asigurare de răspundere civilă auto</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Nu sînt obligate să încheie un contract de asigurare de răspundere civilă auto persoanele fizice şi juridice care posedă vehicule retro care nu circulă pe drumurile publice și/sau utilizează vehicule exclusiv în scopul antrenamentelor, curselor, întrecerilor sau raliurilor, organizate legal; pentru riscurile ce derivă din aceste activități, proprietarii de vehicule sau organizatorii competiției se pot asigura facultativ.</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38.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Competențele Biroului Național în calitate de organism de plată a despăgubirilor</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Biroul Național, în calitate de organism de plată a despăgubirilor, garantează, fără a avea beneficiu de discuție, despăgubirea persoanelor prejudiciate, care au fost vătămate în urma accidentelor de vehicule.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39.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Fondul de protecție a victimelor străzii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Fondul de protecție a victimelor străzii se instituie în vederea protejării persoanelor păgubite prin accidente produse de vehicule ai căror proprietari sau utilizatori nu au încheiat contracte de asigurare obligatorie de răspundere civilă auto, dețin vehicule neidentificate şi/sau obținute pe cale ilicită.</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lang w:eastAsia="ru-RU"/>
              </w:rPr>
            </w:pPr>
            <w:r w:rsidRPr="009E6EEA">
              <w:rPr>
                <w:rFonts w:ascii="Times New Roman" w:eastAsia="Calibri" w:hAnsi="Times New Roman" w:cs="Times New Roman"/>
                <w:i/>
                <w:iCs/>
                <w:sz w:val="18"/>
                <w:szCs w:val="18"/>
                <w:lang w:eastAsia="ru-RU"/>
              </w:rPr>
              <w:t xml:space="preserve">Articolul 6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lang w:eastAsia="ru-RU"/>
              </w:rPr>
            </w:pPr>
            <w:r w:rsidRPr="009E6EEA">
              <w:rPr>
                <w:rFonts w:ascii="Times New Roman" w:eastAsia="Calibri" w:hAnsi="Times New Roman" w:cs="Times New Roman"/>
                <w:b/>
                <w:bCs/>
                <w:sz w:val="18"/>
                <w:szCs w:val="18"/>
                <w:lang w:eastAsia="ru-RU"/>
              </w:rPr>
              <w:t xml:space="preserve">Birourile naționale ale asigurătorilor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lang w:eastAsia="ru-RU"/>
              </w:rPr>
            </w:pPr>
            <w:r w:rsidRPr="009E6EEA">
              <w:rPr>
                <w:rFonts w:ascii="Times New Roman" w:eastAsia="Calibri" w:hAnsi="Times New Roman" w:cs="Times New Roman"/>
                <w:sz w:val="18"/>
                <w:szCs w:val="18"/>
                <w:lang w:eastAsia="ru-RU"/>
              </w:rPr>
              <w:t xml:space="preserve">Fiecare stat membru se asigură că, în cazul producerii pe teritoriul său a unui accident de către un vehicul care staționează în mod obișnuit pe teritoriul altui stat membru, fără a aduce atingere obligațiilor menționate la articolul 2 litera (a), biroul național al asigurătorilor obține informații: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lang w:eastAsia="ru-RU"/>
              </w:rPr>
            </w:pPr>
            <w:r w:rsidRPr="009E6EEA">
              <w:rPr>
                <w:rFonts w:ascii="Times New Roman" w:eastAsia="Calibri" w:hAnsi="Times New Roman" w:cs="Times New Roman"/>
                <w:sz w:val="18"/>
                <w:szCs w:val="18"/>
                <w:lang w:eastAsia="ru-RU"/>
              </w:rPr>
              <w:t xml:space="preserve">(a) cu privire la teritoriul în care staționează în mod obișnuit vehiculul </w:t>
            </w:r>
            <w:r w:rsidRPr="009E6EEA">
              <w:rPr>
                <w:rFonts w:ascii="Times New Roman" w:eastAsia="Calibri" w:hAnsi="Times New Roman" w:cs="Times New Roman"/>
                <w:sz w:val="18"/>
                <w:szCs w:val="18"/>
                <w:lang w:eastAsia="ru-RU"/>
              </w:rPr>
              <w:lastRenderedPageBreak/>
              <w:t xml:space="preserve">și la numărul de înmatriculare al acestuia, dacă există;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lang w:eastAsia="ru-RU"/>
              </w:rPr>
            </w:pPr>
            <w:r w:rsidRPr="009E6EEA">
              <w:rPr>
                <w:rFonts w:ascii="Times New Roman" w:eastAsia="Calibri" w:hAnsi="Times New Roman" w:cs="Times New Roman"/>
                <w:sz w:val="18"/>
                <w:szCs w:val="18"/>
                <w:lang w:eastAsia="ru-RU"/>
              </w:rPr>
              <w:t xml:space="preserve">(b) în măsura posibilului, cu privire la detaliile asigurării vehiculului, înscrise în cartea verde care este în posesia deținătorului vehiculului, în măsura în care aceste detalii sunt solicitate de statul membru pe teritoriul căruia staționează în mod obișnuit vehiculul.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sz w:val="18"/>
                <w:szCs w:val="18"/>
                <w:lang w:eastAsia="ru-RU"/>
              </w:rPr>
            </w:pPr>
            <w:r w:rsidRPr="009E6EEA">
              <w:rPr>
                <w:rFonts w:ascii="Times New Roman" w:eastAsia="Calibri" w:hAnsi="Times New Roman" w:cs="Times New Roman"/>
                <w:sz w:val="18"/>
                <w:szCs w:val="18"/>
                <w:lang w:eastAsia="ru-RU"/>
              </w:rPr>
              <w:t xml:space="preserve">De asemenea, fiecare stat membru se asigură că biroul comunică informațiile menționate la literele (a) și (b) biroului național al asigurătorilor din statul pe teritoriul căruia staționează în mod obișnuit vehiculul menționat la primul paragraf. </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41.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Competențele Biroului Național în calitate de centru de informare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Biroul Național, în calitate de centru de informare, are următoarele atribuții și obligații: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 xml:space="preserve">furnizează, la solicitarea persoanelor păgubite sau a centrelor de informare din celelalte state semnatare ale Acordului cu privire la schimbul de informații între centrele de informare, date privind: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w:t>
            </w:r>
            <w:r w:rsidRPr="009E6EEA">
              <w:rPr>
                <w:rFonts w:ascii="Times New Roman" w:eastAsia="Calibri" w:hAnsi="Times New Roman" w:cs="Times New Roman"/>
                <w:sz w:val="18"/>
                <w:szCs w:val="18"/>
                <w:lang w:val="ro-MD"/>
              </w:rPr>
              <w:tab/>
              <w:t xml:space="preserve">numele şi adresa asigurătorului RCA pentru vehiculul condus de </w:t>
            </w:r>
            <w:r w:rsidRPr="009E6EEA">
              <w:rPr>
                <w:rFonts w:ascii="Times New Roman" w:eastAsia="Calibri" w:hAnsi="Times New Roman" w:cs="Times New Roman"/>
                <w:sz w:val="18"/>
                <w:szCs w:val="18"/>
                <w:lang w:val="ro-MD"/>
              </w:rPr>
              <w:lastRenderedPageBreak/>
              <w:t xml:space="preserve">persoana responsabilă de producerea accidentului;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(ii)</w:t>
            </w:r>
            <w:r w:rsidRPr="009E6EEA">
              <w:rPr>
                <w:rFonts w:ascii="Times New Roman" w:eastAsia="Calibri" w:hAnsi="Times New Roman" w:cs="Times New Roman"/>
                <w:sz w:val="18"/>
                <w:szCs w:val="18"/>
                <w:lang w:val="ro-MD"/>
              </w:rPr>
              <w:tab/>
              <w:t>numele şi adresa reprezentantului de despăgubiri al asigurătorului RCA, emitent al contractului RCA pentru vehiculul condus de către conducătorul auto vinovat de producerea accidentului, în statul de reședință al persoanei prejudiciate;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(iii)</w:t>
            </w:r>
            <w:r w:rsidRPr="009E6EEA">
              <w:rPr>
                <w:rFonts w:ascii="Times New Roman" w:eastAsia="Calibri" w:hAnsi="Times New Roman" w:cs="Times New Roman"/>
                <w:sz w:val="18"/>
                <w:szCs w:val="18"/>
                <w:lang w:val="ro-MD"/>
              </w:rPr>
              <w:tab/>
              <w:t xml:space="preserve"> numărul contractului RCA;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(iv)</w:t>
            </w:r>
            <w:r w:rsidRPr="009E6EEA">
              <w:rPr>
                <w:rFonts w:ascii="Times New Roman" w:eastAsia="Calibri" w:hAnsi="Times New Roman" w:cs="Times New Roman"/>
                <w:sz w:val="18"/>
                <w:szCs w:val="18"/>
                <w:lang w:val="ro-MD"/>
              </w:rPr>
              <w:tab/>
              <w:t xml:space="preserve">numele şi adresa organului autorizat să primească şi să soluționeze cererile de despăgubire în statul de reședință al persoanei prejudiciate, pentru vehiculul condus de către conducătorul auto vinovat de producerea accidentului sau pentru cazul în care proprietarul vehiculului respectiv beneficiază de derogare de la obligativitatea încheierii contractului RCA;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furnizează, la solicitarea persoanelor prejudiciate care prezintă un interes legitim, numele şi adresa proprietarului, ale conducătorului auto obișnuit sau ale utilizatorului vehiculului condus de către conducătorul auto vinovat de producerea accidentului; această informație poate fi solicitată de către persoana prejudiciată în mod direct sau prin intermediul centrului de informare din statul său de reședință; dovada existenței interesului legitim este în sarcina persoanei care face solicitarea; furnizarea acestei informații se face în conformitate cu prevederile legislației privind prelucrarea datelor cu caracter personal şi libera circulație a acestor date.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păstrează evidența datelor menționate la lit. (a) și (b) pentru o perioadă de 7 ani după ce înmatricularea vehiculului sau contractul de asigurare a luat sfîrșit.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În scopul îndeplinirii atribuțiilor prevăzute la alin. (1) lit. b), Biroul Național are drept de acces și pentru consultarea evidențelor cu vehiculele înmatriculate în Republica Moldova, administrate de autoritățile publice, în condiții stabilite de către autoritatea de supraveghere.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Solicitarea prevăzută la alin. (1) lit. b) se poate face de către persoana prejudiciată, în mod direct sau prin intermediul centrului de informare din statul de reședință.</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Furnizarea de date cu caracter personal potrivit alin. (1) lit. b) se face în conformitate cu prevederile Legii privind protecția datelor cu caracter personal, cu modificările şi completările ulterioare, ce se referă la prelucrarea şi libera circulație a acestor date.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 xml:space="preserve">Biroul Național nu poate prelucra datele cu caracter personal la care are acces potrivit alin. (2) în alte scopuri decât cele prevăzute de prezenta lege.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Prin protocolul prevăzut la alin. (2) se stabilesc inclusiv măsurile de natură organizatorică şi tehnică pentru asigurarea securității prelucrării datelor cu caracter personal efectuate, în condițiile legislației privind protecția datelor cu caracter personal.</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lastRenderedPageBreak/>
              <w:t xml:space="preserve">CAPITOLUL 2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DISPOZIȚII PRIVIND VEHICULELE CARE ÎN MOD OBIȘNUIT STAȚIONEAZĂ PE TERITORIUL UNEI ȚĂRI TERȚE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7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Măsurile naționale privind vehiculele care în mod obișnuit staționează pe teritoriul unei țări terțe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r w:rsidRPr="009E6EEA">
              <w:rPr>
                <w:rFonts w:ascii="Times New Roman" w:eastAsia="Calibri" w:hAnsi="Times New Roman" w:cs="Times New Roman"/>
                <w:color w:val="000000"/>
                <w:sz w:val="18"/>
                <w:szCs w:val="18"/>
                <w:lang w:eastAsia="ru-RU"/>
              </w:rPr>
              <w:t>Fiecare stat membru adoptă toate măsurile necesare pentru ca nici un vehicul care în mod obișnuit staționează pe teritoriul unei țări terțe și care intră pe teritoriul în care se aplică tratatul să nu fie pus în circulație pe teritoriul său cu excepția cazului în care prejudiciile provocate de acel vehicul sunt asigurate pe întreg teritoriul pe care se aplică tratatul, în conformitate cu cerințele fiecărei legislații interne a statelor membre cu privire la asigurarea obligatorie de răspundere civilă pentru pagubele produse de vehicule.</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1.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Obiectul și scopul legii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b/>
                <w:sz w:val="18"/>
                <w:szCs w:val="18"/>
                <w:lang w:val="ro-MD"/>
              </w:rPr>
              <w:t xml:space="preserve"> </w:t>
            </w: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 xml:space="preserve">Obiect al asigurării obligatorii de răspundere civilă auto îl constituie răspunderea civilă a proprietarului şi/sau utilizatorului de </w:t>
            </w:r>
            <w:r w:rsidRPr="009E6EEA">
              <w:rPr>
                <w:rFonts w:ascii="Times New Roman" w:eastAsia="Calibri" w:hAnsi="Times New Roman" w:cs="Times New Roman"/>
                <w:sz w:val="18"/>
                <w:szCs w:val="18"/>
                <w:lang w:val="ro-MD"/>
              </w:rPr>
              <w:lastRenderedPageBreak/>
              <w:t>autovehicul pentru orice pagubă sau vătămare corporală produsă prin accident de autovehicul în limitele teritoriale de acoperire ale contractului de asigurare. Teritoriul pe care vehiculul staționează în mod obișnuit se referă la teritoriul Republicii Moldova în care vehiculul deține plăcuță de înmatriculare, indiferent dacă o astfel de plăcuță este permanentă sau temporară,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în cazul în care nu există înmatriculare/înregistrare pentru un anumit tip de vehicul, dar vehiculul are un contract de asigurare sau un semn distinctiv similar plăcuței de înmatriculare, teritoriul statului în care a fost eliberat contractul de asigurare sau semnul respectiv;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în cazul în care pentru anumite tipuri de vehicule nu există plăcuță de înmatriculare/înregistrare, contract de asigurare și nici vreun semn distinctiv, teritoriul statului în care proprietarul vehiculului este rezident permanent ; sau</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în cazul în care vehiculul nu are plăcuță de înmatriculare/înregistrare sau are o plăcuță care nu corespunde sau nu mai corespunde cu vehiculul și a fost implicat într-un accident, teritoriul statului în care a avut loc accidentul, cu scopul de a soluționa cererea de despăgubire în conformitate cu prezenta lege.</w:t>
            </w:r>
            <w:r w:rsidRPr="009E6EEA">
              <w:rPr>
                <w:rFonts w:ascii="Times New Roman" w:eastAsia="Calibri" w:hAnsi="Times New Roman" w:cs="Times New Roman"/>
                <w:b/>
                <w:sz w:val="18"/>
                <w:szCs w:val="18"/>
                <w:lang w:val="ro-MD"/>
              </w:rPr>
              <w:t xml:space="preserve">   </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8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Documentația privind vehiculele care în mod obișnuit staționează pe teritoriul unei țări terțe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(1) Orice vehicul care provine în mod obișnuit de pe teritoriul unei țări terțe, înainte de a intra pe teritoriul în care se aplică tratatul, trebuie să prezinte fie o carte verde valabilă, fie un certificat de asigurare încheiat la trecerea frontierei, care să probeze faptul că vehiculul este asigurat în conformitate cu articolul 7.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Cu toate acestea, vehiculele care staționează în mod obișnuit pe teritoriul unor țări terțe sunt considerate ca vehicule care provin în mod obișnuit din Comunitate, în cazul în care birourile naționale ale tuturor statelor membre garantează individual, fiecare în conformitate cu propriile dispoziții legale privind asigurarea obligatorie, plata despăgubirilor prejudiciilor produse în accidentele provocate pe teritoriul lor de astfel de vehicule.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(2) După ce se asigură, în strânsă cooperare cu statele membre, că obligațiile din alineatul (1) al doilea paragraf au fost îndeplinite, Comisia stabilește data de la care statele membre nu vor mai solicita elaborarea documentelor menționate la alineatul (1) primul paragraf, precum și tipurile de vehicule care beneficiază de acest regim.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4.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Obligația de asigurare de răspundere civilă auto</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Persoanele care intră pe teritoriul Republicii Moldova conducînd vehicule înregistrate în alte state se consideră asigurate dacă:</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sînt asigurate în conformitate cu  prezenta Lege;</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posedă documente de asigurare internațională în vigoare pe teritoriul Republicii Moldova.</w:t>
            </w:r>
            <w:r w:rsidRPr="009E6EEA">
              <w:rPr>
                <w:rFonts w:ascii="Times New Roman" w:eastAsia="Calibri" w:hAnsi="Times New Roman" w:cs="Times New Roman"/>
                <w:b/>
                <w:sz w:val="18"/>
                <w:szCs w:val="18"/>
                <w:lang w:val="ro-MD"/>
              </w:rPr>
              <w:t xml:space="preserve">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Articolul 9. Contractul de asigurare obligatorie de răspundere civilă auto. Termen de acțiune. Limitele teritoriale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b/>
                <w:sz w:val="18"/>
                <w:szCs w:val="18"/>
                <w:lang w:val="ro-MD"/>
              </w:rPr>
              <w:t>(</w:t>
            </w: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Persoana care folosește pe teritoriul Republicii Moldova un vehicul înmatriculat/înregistrat în mod normal în alte țări, fie acesta neasigurat, sau al cărui termen de asigurare expiră în timpul aflării pe teritoriul Republicii Moldova încheie un contract de asigurare obligatorie de răspundere civilă auto la intrarea vehiculului pe teritoriul Republicii Moldova sau cel tîrziu în ultima zi de valabilitate a contractului de asigurare, în oficiul autorizat al asigurătorului.</w:t>
            </w:r>
            <w:r w:rsidRPr="009E6EEA">
              <w:rPr>
                <w:rFonts w:ascii="Times New Roman" w:eastAsia="Calibri" w:hAnsi="Times New Roman" w:cs="Times New Roman"/>
                <w:b/>
                <w:sz w:val="18"/>
                <w:szCs w:val="18"/>
                <w:lang w:val="ro-MD"/>
              </w:rPr>
              <w:t xml:space="preserve"> </w:t>
            </w:r>
            <w:r w:rsidRPr="009E6EEA">
              <w:rPr>
                <w:rFonts w:ascii="Times New Roman" w:eastAsia="Calibri" w:hAnsi="Times New Roman" w:cs="Times New Roman"/>
                <w:sz w:val="18"/>
                <w:szCs w:val="18"/>
                <w:lang w:val="ro-MD"/>
              </w:rPr>
              <w:t xml:space="preserve">Contractul de asigurare se încheie pe toată perioada aflării pe teritoriul Republicii Moldova, dar pe un termen nu mai mic de 30 zile.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19.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Drepturile şi obligațiile persoanei păgubite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Drepturile persoanei păgubite prin accident produs pe teritoriul Republicii Moldova de vehiculul aflat în proprietatea sau utilizarea unei persoane asigurate în străinătate se exercită față de asigurătorul acestei persoane prin intermediul Biroului Național al Asigurătorilor de Autovehicule dacă sunt îndeplinite condițiile prevăzute la art.4 alin.(4) lit.b).</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44.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Asigurarea de frontieră</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lastRenderedPageBreak/>
              <w:t>(1)</w:t>
            </w:r>
            <w:r w:rsidRPr="009E6EEA">
              <w:rPr>
                <w:rFonts w:ascii="Times New Roman" w:eastAsia="Calibri" w:hAnsi="Times New Roman" w:cs="Times New Roman"/>
                <w:sz w:val="18"/>
                <w:szCs w:val="18"/>
                <w:lang w:val="ro-MD"/>
              </w:rPr>
              <w:tab/>
              <w:t>Asigurarea de frontieră are ca scop acoperirea riscurilor de răspundere civilă pentru vehiculele care sunt înmatriculate într-un stat terț care intră pe teritoriul Republicii Moldova fără a avea un contract RCA valabil sau al căror contract RCA expiră pe perioada șederii în Republica Moldova.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 xml:space="preserve">Conducătorul auto al unui vehicul care este înmatriculat într-un alt stat, cu excepția aceluia care deține un certificat Carte Verde valabil, emis sub autoritatea unui birou național al asigurătorilor competent, încheie un contract de asigurare de frontieră.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 xml:space="preserve">Asigurarea de frontieră se încheie de la data intrării vehiculului pe teritoriul Republicii Moldova sau cel târziu la data expirării documentului internațional de asigurare pentru prejudicii produse prin accidente de vehicule valabile în Republica Moldova, pentru o perioadă de 30 de zile.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 xml:space="preserve">Pentru vehiculele care staționează în mod obișnuit în alte state decît cele aflate în aria de competență a unui birou național, asigurarea de frontieră se poate prelungi pe noi perioade de câte 30 de zile.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La încheierea asigurării de frontieră, în baza unei prime de asigurare, se emite conducătorului auto al vehiculului un document denumit Asigurare de frontieră de răspundere civilă pentru vehicule.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Cerințele privind forma certificatului de asigurare de frontieră sunt prevăzute prin actele normative ale autorității de supraveghere.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(7)</w:t>
            </w:r>
            <w:r w:rsidRPr="009E6EEA">
              <w:rPr>
                <w:rFonts w:ascii="Times New Roman" w:eastAsia="Calibri" w:hAnsi="Times New Roman" w:cs="Times New Roman"/>
                <w:sz w:val="18"/>
                <w:szCs w:val="18"/>
                <w:lang w:val="ro-MD"/>
              </w:rPr>
              <w:tab/>
              <w:t xml:space="preserve"> Asigurarea de frontieră acoperă prejudiciile suferite în urma unor evenimente produse în limitele teritoriale de aplicare pe perioada de valabilitate prevăzută în certificatul de asigurare de frontieră.</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(8)</w:t>
            </w:r>
            <w:r w:rsidRPr="009E6EEA">
              <w:rPr>
                <w:rFonts w:ascii="Times New Roman" w:eastAsia="Calibri" w:hAnsi="Times New Roman" w:cs="Times New Roman"/>
                <w:sz w:val="18"/>
                <w:szCs w:val="18"/>
                <w:lang w:val="ro-MD"/>
              </w:rPr>
              <w:tab/>
              <w:t>Doar asigurătorii licențiați pentru asigurarea de răspundere civilă auto externă au dreptul de încheiere  a asigurării de frontieră.</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(9)</w:t>
            </w:r>
            <w:r w:rsidRPr="009E6EEA">
              <w:rPr>
                <w:rFonts w:ascii="Times New Roman" w:eastAsia="Calibri" w:hAnsi="Times New Roman" w:cs="Times New Roman"/>
                <w:sz w:val="18"/>
                <w:szCs w:val="18"/>
                <w:lang w:val="ro-MD"/>
              </w:rPr>
              <w:tab/>
              <w:t>Conducătorul vehiculului a cărui utilizare pe teritoriul Republicii Moldova este condiționată de încheierea asigurării de frontieră prezintă certificatul de asigurare de frontieră pentru întreaga durată de deplasare a vehiculului pe teritoriul Republicii Moldova, după ce a expirat valabilitatea documentului internațional de asigurare pentru prejudicii produse prin accidente de vehicule, până la ieșirea vehiculului de pe teritoriul Republicii Moldova.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(10)</w:t>
            </w:r>
            <w:r w:rsidRPr="009E6EEA">
              <w:rPr>
                <w:rFonts w:ascii="Times New Roman" w:eastAsia="Calibri" w:hAnsi="Times New Roman" w:cs="Times New Roman"/>
                <w:sz w:val="18"/>
                <w:szCs w:val="18"/>
                <w:lang w:val="ro-MD"/>
              </w:rPr>
              <w:tab/>
              <w:t xml:space="preserve"> Conducătorii vehiculelor care nu își îndeplinesc obligaţia de a încheia asigurarea de frontieră sînt sancționați în conformitate cu prevederile legislației aplicabile în Republica Moldova.</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lastRenderedPageBreak/>
              <w:t xml:space="preserve">CAPITOLUL 3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SUMELE MINIME ACOPERITE DE ASIGURAREA OBLIGATORIE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t xml:space="preserve">Articolul 9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Sumele minime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(1) Fără a aduce atingere garanțiilor de o valoare mai mare eventual stabilite de statele membre, fiecare stat membru solicită ca sumele pentru care asigurarea menționată la articolul 3 este obligatorie să fie de minimum: </w:t>
            </w:r>
          </w:p>
          <w:p w:rsidR="004F290A" w:rsidRPr="009E6EEA" w:rsidRDefault="004F290A" w:rsidP="004F290A">
            <w:pPr>
              <w:pageBreakBefore/>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în cazul vătămărilor corporale, suma minimă asigurată de 1 000 000 EUR pentru o victimă sau de 5 000 000 EUR pentru o cerere de despăgubire, indiferent de numărul victimelor;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lastRenderedPageBreak/>
              <w:t xml:space="preserve">(b) în cazul pagubelor materiale, 1 000 000 EUR pentru o cerere de despăgubire, indiferent de numărul victimelor.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După caz, statele membre pot stabili o perioadă tranzitorie până cel târziu 11 iunie 2012, în decursul căreia sumele minime asigurate sunt adaptate sumelor prevăzute la primul paragraf.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Statele membre care stabilesc o astfel de perioadă de tranziție informează Comisia cu privire la aceasta și indică durata acestei perioade.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Totuși, până la 11 decembrie 2009 statele membre majorează sumele de garanție pentru a atinge cel puțin jumătate din nivelurile prevăzute la primul paragraf.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(2) Din cinci în cinci ani începând cu 11 iunie 2005 sau de la termenul perioadei de tranziție prevăzute la alineatul (1) al doilea paragraf, sumele prevăzute la alineatul respectiv sunt revizuite, în funcție de evoluția indicelui european al prețurilor de consum (IEPC) stabilit în conformitate cu Regulamentul (CE) nr. 2494/95.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Sumele sunt adaptate în mod automat. Acestea sunt majorate cu procentul de variație a IEPC pe perioada de referință, adică în cei cinci ani imediat anteriori revizuirii menționate la primul paragraf și apoi rotunjite în sus la un multiplu de 10 000 EUR.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Comisia transmite sumele adaptate Parlamentului European și Consiliului și se asigură că sunt publicate în </w:t>
            </w:r>
            <w:r w:rsidRPr="009E6EEA">
              <w:rPr>
                <w:rFonts w:ascii="Times New Roman" w:eastAsia="Calibri" w:hAnsi="Times New Roman" w:cs="Times New Roman"/>
                <w:i/>
                <w:iCs/>
                <w:color w:val="000000"/>
                <w:sz w:val="18"/>
                <w:szCs w:val="18"/>
                <w:lang w:eastAsia="ru-RU"/>
              </w:rPr>
              <w:t>Jurnalul Oficial al Uniunii Europene</w:t>
            </w:r>
            <w:r w:rsidRPr="009E6EEA">
              <w:rPr>
                <w:rFonts w:ascii="Times New Roman" w:eastAsia="Calibri" w:hAnsi="Times New Roman" w:cs="Times New Roman"/>
                <w:color w:val="000000"/>
                <w:sz w:val="18"/>
                <w:szCs w:val="18"/>
                <w:lang w:eastAsia="ru-RU"/>
              </w:rPr>
              <w:t xml:space="preserve">. </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13.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Suma minimă acoperită</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Limitele minime de răspundere acoperite de asigurarea RCA sunt următoarele: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pentru prejudicii materiale produse în unul și același accident, indiferent de numărul părților vătămate, limita despăgubirii se stabilește la un nivel de 100.000 euro, echivalent în lei  la cursul oficial  de schimb al leului moldovenesc comunicat de Banca Națională a Moldovei pentru /data producerii accidentului;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 xml:space="preserve">pentru vătămări corporale și decese, inclusiv pentru prejudicii fără caracter patrimonial produse în unul și același accident, limita de despăgubire se stabilește, pentru accidente la un nivel de 100.000 euro - </w:t>
            </w:r>
            <w:r w:rsidRPr="009E6EEA">
              <w:rPr>
                <w:rFonts w:ascii="Times New Roman" w:eastAsia="Calibri" w:hAnsi="Times New Roman" w:cs="Times New Roman"/>
                <w:sz w:val="18"/>
                <w:szCs w:val="18"/>
                <w:lang w:val="ro-MD"/>
              </w:rPr>
              <w:lastRenderedPageBreak/>
              <w:t>pentru o parte vătămată sau la un nivel de 500.000 euro - indiferent de numărul părților vătămate, echivalent în lei la cursul oficial de schimb al leului moldovenesc , comunicat de Banca Națională a Moldovei pentru  data producerii accidentului;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pentru prejudicii materiale produse pe baza procedurii de constatare amiabilă a accidentului de vehicul – valoarea maximă a despăgubirilor este stabilită prin actele normative ale autorității de supraveghere.</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Sumele minime sunt revizuite automat cel puțin o dată la cinci ani din data intrării în vigoare a prezentei legi în conformitate cu indicele prețurilor de consum. Autoritatea de supraveghere informează Parlamentul cu privire la sumele rectificare și asigură publicarea acestora în Monitorul Oficial.</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Parțial 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Limitele sumei minime asigurate au fost stabilite în valori mai mici (cu revizuirea automată cel puțin odată la cinci ani), reieșind  din valorile </w:t>
            </w:r>
            <w:r w:rsidRPr="009E6EEA">
              <w:rPr>
                <w:rFonts w:ascii="Times New Roman" w:eastAsia="Calibri" w:hAnsi="Times New Roman" w:cs="Times New Roman"/>
                <w:sz w:val="18"/>
                <w:szCs w:val="18"/>
                <w:lang w:val="ro-MD"/>
              </w:rPr>
              <w:lastRenderedPageBreak/>
              <w:t xml:space="preserve">/categoriile parcului de autovehicule deținut de cetățeni și situația economico-financiară </w:t>
            </w: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lastRenderedPageBreak/>
              <w:t>Sumele minime vor fi revizuite automat cel puțin o dată la cinci ani</w:t>
            </w: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lastRenderedPageBreak/>
              <w:t xml:space="preserve">CAPITOLUL 4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DESPĂGUBIREA PREJUDICIILOR CAUZATE DE UN VEHICUL NEIDENTIFICAT SAU DE UN VEHICUL PENTRU CARE NU A FOST ÎNDEPLINITĂ OBLIGAȚIA DE ASIGURARE PREVĂZUTĂ LA ARTICOLUL 3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t xml:space="preserve">Articolul 10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Organismul responsabil cu despăgubirea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(1) Fiecare stat membru instituie sau autorizează un organism responsabil cu despăgubirea, cel puțin în limitele obligației de asigurare, a pagubelor materiale sau a vătămărilor corporale cauzate de un vehicul neidentificat sau de un vehicul pentru care nu a fost îndeplinită obligația de asigurare prevăzută la articolul 3.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Primul paragraf nu aduce atingere dreptului statelor membre de a acorda intervenției acestui organism un caracter subsidiar sau nu și nici dreptului acestora de a reglementa regresul acestui organism față de persoana sau persoanele responsabile de accident și alți asigurători sau organisme de asigurări sociale obligați să despăgubească victima pentru același accident.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Cu toate acestea, statele membre nu pot autoriza organismul să condiționeze plata despăgubirii de dovedirea de către victimă, într-un fel sau altul, a incapacității sau refuzului persoanei responsabile de a plăti.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(2) Victima poate, în orice caz, să se adreseze direct organismului care, pe baza informațiilor furnizate la cererea sa de către victimă, este obligat să îi dea un răspuns motivat cu privire la intervenția sa.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Cu toate acestea, statele membre pot exclude intervenția acestui </w:t>
            </w:r>
            <w:r w:rsidRPr="009E6EEA">
              <w:rPr>
                <w:rFonts w:ascii="Times New Roman" w:eastAsia="Calibri" w:hAnsi="Times New Roman" w:cs="Times New Roman"/>
                <w:color w:val="000000"/>
                <w:sz w:val="18"/>
                <w:szCs w:val="18"/>
                <w:lang w:eastAsia="ru-RU"/>
              </w:rPr>
              <w:lastRenderedPageBreak/>
              <w:t xml:space="preserve">organism în ceea ce privește persoanele care au intrat de bună voie în vehiculul care a cauzat prejudiciul, atunci când organismul poate dovedi că acestea știau că vehiculul nu este asigurat.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(3) Statele membre pot limita sau exclude plata despăgubirii de către organism în cazul unor pagube materiale cauzate de un vehicul neidentificat.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Cu toate acestea, atunci când organismul a plătit o despăgubire pentru vătămări corporale semnificative pentru toate victimele aceluiași accident în care au fost cauzate pagube materiale de un vehicul neidentificat, statele membre nu pot exclude plata despăgubirii daunelor materiale pe motivul că vehiculul nu este identificat.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Cu toate acestea, statele membre pot prevedea o franșiză de cel mult 500 EUR care poate fi impusă victimei unor astfel de daune materiale. Condițiile în care vătămările corporale sunt considerate semnificative se stabilesc în conformitate cu actele cu putere de lege și actele administrative ale statului membru în care a avut loc accidentul. În acest scop, statele membre pot ține seama, între altele, de situația în care vătămările au necesitat îngrijiri spitalicești.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(4) Fiecare stat membru aplică, pentru plata despăgubirii de către organism, actele sale cu putere de lege și actele administrative, fără a aduce atingere oricărei alte practici mai favorabile victimelor. </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38.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Competențele Biroului Național în calitate de organism de plată a despăgubirilor</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Biroul Național, în calitate de organism de plată a despăgubirilor, garantează, fără a avea beneficiu de discuție, despăgubirea persoanelor prejudiciate, care au fost vătămate în urma accidentelor de vehicule.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39.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Fondul de protecție a victimelor străzii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Fondul de protecție a victimelor străzii se instituie în vederea protejării persoanelor păgubite prin accidente produse de vehicule ai căror proprietari sau utilizatori nu au încheiat contracte de asigurare obligatorie de răspundere civilă auto, dețin vehicule neidentificate şi/sau obținute pe cale ilicită.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 xml:space="preserve">Asigurătorii licențiați pentru asigurarea obligatorie de răspundere civilă auto sînt obligați să contribuie la constituirea fondului prevăzut la alin.(1), proporțional volumului primelor de asigurare încasate pentru această clasă de asigurare. Cuantumul cotizației de înscriere și cotizației anuale a asigurătorilor la acest fond se stabilește prin actele normative ale autorității de supraveghere.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Fondul de protecție a victimelor străzii este destinat plății despăgubirilor în următoarele condiții: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 xml:space="preserve">dacă vehiculul a fost identificat, dar nu a respectat obligaţia de încheiere a contractului de asigurare obligatorie de răspundere civilă auto, despăgubirea se plătește pentru distrugerea de bunuri și vătămări corporale </w:t>
            </w:r>
            <w:r w:rsidRPr="009E6EEA">
              <w:rPr>
                <w:rFonts w:ascii="Times New Roman" w:eastAsia="Calibri" w:hAnsi="Times New Roman" w:cs="Times New Roman"/>
                <w:sz w:val="18"/>
                <w:szCs w:val="18"/>
                <w:lang w:val="ro-MD"/>
              </w:rPr>
              <w:lastRenderedPageBreak/>
              <w:t>sau de sănătate sau deces;</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dacă vehiculul a rămas neidentificat, despăgubirea se plătește numai pentru vătămări corporale sau de sănătate, sau deces; dacă un astfel de accident a provocat deces sau vătămare corporală sau de sănătate care a necesitat tratament medical pentru mai mult de 60 de zile, atunci se plătește o despăgubire pentru prejudiciul material adus persoanei vătămate ca echivalentul în lei a sumei ce depășește 500 EUR calculat cu aplicarea cursului oficial al leului moldovenesc comunicat de Banca Națională a Moldovei pentru ziua producerii accidentului; accidentul cauzat de un vehicul care a rămas neidentificat este accidentul în care vehiculul a intrat în coliziune directă cu partea vătămată sau cu bunurile deteriorate de acesta, după care vehiculul a părăsit locul accidentului;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în caz dacă accidentul are loc în perioada suspendării contractului RCA pentru vehicul, indiferent de persoana care l-a cauzat.</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 xml:space="preserve">Fondul de protecție a victimelor străzii se administrează şi se utilizează de către Biroul Național, potrivit actelor normative ale autorității de supraveghere și reglementările interne, emise în acest sens. Cheltuielile de constituire, administrare şi utilizare a mijloacelor fondului se vor acoperi din disponibilitățile lui.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Despăgubirile de asigurare plătite din Fondul de protecție a victimelor străzii nu vor depăși limitele stabilite la art.13.</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 xml:space="preserve">Biroul Național are obligaţia de a ține o evidență contabilă distinctă a contribuțiilor în Fondul de protecție a victimelor străzii şi a cheltuielilor lui, de a păstra disponibilitățile acestuia în instrumente financiare purtătoare de dobîndă, la instituții financiare, în instrumente ale pieței monetare sau în valori mobiliare emise de stat.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(7)</w:t>
            </w:r>
            <w:r w:rsidRPr="009E6EEA">
              <w:rPr>
                <w:rFonts w:ascii="Times New Roman" w:eastAsia="Calibri" w:hAnsi="Times New Roman" w:cs="Times New Roman"/>
                <w:sz w:val="18"/>
                <w:szCs w:val="18"/>
                <w:lang w:val="ro-MD"/>
              </w:rPr>
              <w:tab/>
              <w:t>În caz de deficit al Fondului de protecție a victimelor străzii, autoritatea de supraveghere poate majora în cursul anului, pentru acoperirea obligațiilor fondului, contribuția stabilită prin actele sale normative.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(8)</w:t>
            </w:r>
            <w:r w:rsidRPr="009E6EEA">
              <w:rPr>
                <w:rFonts w:ascii="Times New Roman" w:eastAsia="Calibri" w:hAnsi="Times New Roman" w:cs="Times New Roman"/>
                <w:sz w:val="18"/>
                <w:szCs w:val="18"/>
                <w:lang w:val="ro-MD"/>
              </w:rPr>
              <w:tab/>
              <w:t>În vederea recuperării sumelor cheltuite din Fondul de protecție a victimelor străzii, Biroul Național poate înainta, în limitele despăgubirii de asigurare achitate, acțiune de regres față de persoanele răspunzătoare de prejudiciu.</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val="ro-MD" w:eastAsia="ru-RU"/>
              </w:rPr>
            </w:pPr>
            <w:r w:rsidRPr="009E6EEA">
              <w:rPr>
                <w:rFonts w:ascii="Times New Roman" w:eastAsia="Calibri" w:hAnsi="Times New Roman" w:cs="Times New Roman"/>
                <w:i/>
                <w:iCs/>
                <w:color w:val="000000"/>
                <w:sz w:val="18"/>
                <w:szCs w:val="18"/>
                <w:lang w:val="ro-MD" w:eastAsia="ru-RU"/>
              </w:rPr>
              <w:lastRenderedPageBreak/>
              <w:t xml:space="preserve">Articolul 11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val="ro-MD" w:eastAsia="ru-RU"/>
              </w:rPr>
            </w:pPr>
            <w:r w:rsidRPr="009E6EEA">
              <w:rPr>
                <w:rFonts w:ascii="Times New Roman" w:eastAsia="Calibri" w:hAnsi="Times New Roman" w:cs="Times New Roman"/>
                <w:b/>
                <w:bCs/>
                <w:color w:val="000000"/>
                <w:sz w:val="18"/>
                <w:szCs w:val="18"/>
                <w:lang w:val="ro-MD" w:eastAsia="ru-RU"/>
              </w:rPr>
              <w:t xml:space="preserve">Litigiile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val="ro-MD" w:eastAsia="ru-RU"/>
              </w:rPr>
            </w:pPr>
            <w:r w:rsidRPr="009E6EEA">
              <w:rPr>
                <w:rFonts w:ascii="Times New Roman" w:eastAsia="Calibri" w:hAnsi="Times New Roman" w:cs="Times New Roman"/>
                <w:color w:val="000000"/>
                <w:sz w:val="18"/>
                <w:szCs w:val="18"/>
                <w:lang w:val="ro-MD" w:eastAsia="ru-RU"/>
              </w:rPr>
              <w:t xml:space="preserve">În cazul unui litigiu între organismul menționat la articolul 10 alineatul (1) și asigurătorul de răspundere civilă, referitor la persoana care trebuie să despăgubească victima, statele membre adoptă măsurile necesare, pentru desemnarea părții care este obligată în faza incipientă să despăgubească, fără întârziere, victima.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lang w:val="ro-MD"/>
              </w:rPr>
            </w:pPr>
            <w:r w:rsidRPr="009E6EEA">
              <w:rPr>
                <w:rFonts w:ascii="Times New Roman" w:eastAsia="Calibri" w:hAnsi="Times New Roman" w:cs="Times New Roman"/>
                <w:color w:val="000000"/>
                <w:sz w:val="18"/>
                <w:szCs w:val="18"/>
                <w:lang w:val="ro-MD" w:eastAsia="ru-RU"/>
              </w:rPr>
              <w:t>În cazul în care, în ultimă instanță, se decide că cealaltă parte ar fi trebuit să plătească integral sau parțial despăgubirea, această parte va rambursa în consecință partea care a făcut plata.</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19.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Drepturile şi obligațiile persoanei păgubite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 (2)</w:t>
            </w:r>
            <w:r w:rsidRPr="009E6EEA">
              <w:rPr>
                <w:rFonts w:ascii="Times New Roman" w:eastAsia="Calibri" w:hAnsi="Times New Roman" w:cs="Times New Roman"/>
                <w:sz w:val="18"/>
                <w:szCs w:val="18"/>
                <w:lang w:val="ro-MD"/>
              </w:rPr>
              <w:tab/>
              <w:t xml:space="preserve">Drepturile persoanei păgubite prin accidentul produs pe teritoriul Republicii Moldova de vehiculul aflat în proprietatea sau utilizarea asiguratului se exercită față de asigurătorul de răspundere civilă auto fie direct, la sediul acestuia, fie prin reprezentantul său de despăgubiri, în limitele răspunderii asigurătorului prevăzute în prezenta lege.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 xml:space="preserve">Drepturile persoanei păgubite prin accident produs pe teritoriul Republicii Moldova de vehiculul aflat în proprietatea sau utilizarea unei persoane asigurate în străinătate se exercită față de asigurătorul acestei persoane prin intermediul Biroului Național al Asigurătorilor de Autovehicule dacă sunt îndeplinite condițiile prevăzute la art.4 alin.(4) lit.b).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 xml:space="preserve">Persoana păgubită poate să adreseze cerere de despăgubire direct </w:t>
            </w:r>
            <w:r w:rsidRPr="009E6EEA">
              <w:rPr>
                <w:rFonts w:ascii="Times New Roman" w:eastAsia="Calibri" w:hAnsi="Times New Roman" w:cs="Times New Roman"/>
                <w:sz w:val="18"/>
                <w:szCs w:val="18"/>
                <w:lang w:val="ro-MD"/>
              </w:rPr>
              <w:lastRenderedPageBreak/>
              <w:t>asigurătorului de răspundere civilă auto sau reprezentantului de despăgubiri desemnat de acesta, indiferent dacă asiguratul a executat sau nu obligaţia de înștiințare prevăzută la art.18 alin.(1) lit.d).</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 xml:space="preserve">Asigurătorul nu este în drept să refuze examinarea şi soluționarea cererii de despăgubire depuse în condițiile alin.(4).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Drepturile persoanei păgubite într-un accident cu implicarea unui vehicul sau conducătorul vehiculului neidentificați sau persoana vinovată nu are o asigurare obligatorie de răspundere civilă auto valabilă se exercită față de Biroul Național al Asigurătorilor de Autovehicule, iar despăgubirile se achită în conformitate cu art.13. În acest caz, drepturile şi obligațiile privind dosarul de daune, constatarea pagubelor, stabilirea şi plata despăgubirilor, prevăzute de prezenta lege pentru asigurător, se vor atribui şi Biroului Național al Asigurătorilor de Autovehicule.</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lastRenderedPageBreak/>
              <w:t xml:space="preserve">CAPITOLUL 5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CATEGORII SPECIFICE DE VICTIME, CLAUZĂ CONTRACTUALĂ DE EXCLUDERE, PRIMA UNICĂ, VEHICULE EXPEDIATE DINTR-UN STAT MEMBRU ÎN ALTUL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t xml:space="preserve">Articolul 12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Categorii specifice de victime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(1) Fără a aduce atingere celui de-al doilea paragraf de la articolul 13 alineatul (1), asigurarea menționată la articolul 3 acoperă răspunderea ce rezultă ca urmare a utilizării unui vehicul pentru vătămarea corporală a tuturor pasagerilor, alții decât conducătorul auto.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(2) Membrii familiei asiguratului, conducătorului auto sau oricărei alte persoane a cărei răspundere civilă este angajată într-un accident și acoperită de asigurarea prevăzută la articolul 3 nu sunt excluși, datorită acestei legături de rudenie, de la beneficiul asigurării pentru vătămările lor corporale.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(3) Asigurarea prevăzută la articolul 3 acoperă vătămările corporale și pagubele materiale suferite de pietoni, cicliști și alți utilizatori nemotorizați ai drumurilor, care, în urma unui accident care a implicat un autovehicul, au dreptul la o despăgubire în conformitate cu dreptul civil intern. Prezentul articol nu aduce atingere răspunderii civile ori valorii despăgubirii.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Articolul 15.</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Categorii specifice de victime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Asigurarea RCA acoperă răspunderea pentru vătămări corporale a tuturor pasagerilor, alții decât conducătorul auto, care provine din utilizarea vehiculului.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 xml:space="preserve">Membrii familiei asiguratului, conducătorului auto sau oricărei alte persoane a cărei răspundere civilă este angajată într-un accident rutier și este acoperită de asigurarea RCA nu trebuie exclusă de la beneficiul asigurării pentru vătămările lor corporale.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Asigurarea RCA acoperă vătămările corporale și pagubele materiale suferite de pietoni, cicliști și alți utilizatori nemotorizați ai drumurilor, care, în urma unui accident care a implicat un autovehicul, au dreptul la o despăgubire în conformitate cu dreptul civil intern. Prezentul articol nu aduce atingere răspunderii civile ori valorii despăgubirii.</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t xml:space="preserve">Articolul 13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Clauză contractuală de excludere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(1) Fiecare stat membru adoptă toate măsurile necesare pentru ca, în scopul aplicării articolului 3, orice dispoziție legală sau clauză contractuală conținută într-o poliță de asigurare eliberată în conformitate cu articolul 3 să fie lipsită de efect în ceea ce privește pretențiile terților victime ale accidentului, dacă aceasta exclude de la asigurare cazurile în care vehiculele sunt utilizate sau conduse de către: (a) persoane care nu sunt autorizate în mod explicit sau implicit;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(b) persoane care nu sunt titularele unui permis care să le dea dreptul să conducă vehiculul respectiv;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 persoane care nu respectă obligațiile legale de ordin tehnic cu privire la starea și siguranța vehiculului respectiv.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lastRenderedPageBreak/>
              <w:t xml:space="preserve">Cu toate acestea, dispoziția sau clauza prevăzută la primul paragraf litera (a) poate fi invocată împotriva unor persoane care s-au îmbarcat voluntar în vehiculul care a provocat dauna, în cazul în care asigurătorul poate dovedi că acestea știau că vehiculul este furat.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Statele membre au posibilitatea, pentru accidentele survenite pe teritoriul lor, să nu aplice dispoziția de la primul paragraf, în cazul și în măsura în care victima poate obține despăgubirea prejudiciului său de la un organism de asigurări sociale.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(2) În cazul unor vehicule furate sau obținute prin violență, statele membre pot decide că organismul prevăzut la articolul 10 alineatul (1) va interveni în locul asigurătorului, în condițiile definite la alineatul (1) din prezentul articol; în cazul în care vehiculul staționează de obicei pe teritoriul unui alt stat membru, organismul în cauză nu poate avea niciun fel de pretenții față de alt organism din statul membru respectiv. Statele membre care, în cazul vehiculelor furate sau obținute prin violență, prevăd intervenția organismului menționat la articolul 10 alineatul (1), pot stabili pentru pagubele materiale o franșiză de maximum 250 EUR, care să fie suportată de către victimă. </w:t>
            </w:r>
          </w:p>
          <w:p w:rsidR="004F290A" w:rsidRPr="009E6EEA" w:rsidRDefault="004F290A" w:rsidP="004F290A">
            <w:pPr>
              <w:autoSpaceDE w:val="0"/>
              <w:autoSpaceDN w:val="0"/>
              <w:adjustRightInd w:val="0"/>
              <w:spacing w:after="0" w:line="240" w:lineRule="auto"/>
              <w:jc w:val="both"/>
              <w:rPr>
                <w:rFonts w:ascii="EUAlbertina" w:eastAsia="Calibri" w:hAnsi="EUAlbertina" w:cs="EUAlbertina"/>
                <w:color w:val="000000"/>
                <w:sz w:val="19"/>
                <w:szCs w:val="19"/>
                <w:lang w:eastAsia="ru-RU"/>
              </w:rPr>
            </w:pPr>
            <w:r w:rsidRPr="009E6EEA">
              <w:rPr>
                <w:rFonts w:ascii="Times New Roman" w:eastAsia="Calibri" w:hAnsi="Times New Roman" w:cs="Times New Roman"/>
                <w:color w:val="000000"/>
                <w:sz w:val="18"/>
                <w:szCs w:val="18"/>
                <w:lang w:eastAsia="ru-RU"/>
              </w:rPr>
              <w:t>(3) Statele membre iau măsurile necesare pentru ca orice dispoziție legală sau orice clauză contractuală dintr-o poliță de asigurare, care exclude un pasager de la acoperirea asigurării pe motiv că știa sau ar fi trebuit să știe că șoferul vehiculului era sub influența alcoolului sau a unui drog în momentul accidentului, să fie considerată nulă în ceea ce privește cererile de despăgubire ale acestui pasager.</w:t>
            </w:r>
            <w:r w:rsidRPr="009E6EEA">
              <w:rPr>
                <w:rFonts w:ascii="EUAlbertina" w:eastAsia="Calibri" w:hAnsi="EUAlbertina" w:cs="EUAlbertina"/>
                <w:color w:val="000000"/>
                <w:sz w:val="19"/>
                <w:szCs w:val="19"/>
                <w:lang w:eastAsia="ru-RU"/>
              </w:rPr>
              <w:t xml:space="preserve">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16.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Clauze de excludere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Asigurătorul RCA nu acordă despăgubiri pentru: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 xml:space="preserve">cazurile în care proprietarul, utilizatorul sau conducătorul vehiculului nu este vinovat pentru accidentul produs într-un caz de forță majoră;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(i) din culpa exclusivă a persoanei vătămate;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(ii) din culpa exclusivă a unei terțe persoane, cu excepția situațiilor prevăzute la art. 14  alin. (3) lit. d);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 xml:space="preserve">prejudiciile produse bunurilor ce aparțin conducătorului vehiculului responsabil de producerea accidentului sau vehiculului implicat în accident, precum şi despăgubirile ce rezultă ca urmare a vătămării corporale sau decesului acestuia, indiferent cine solicită aceste </w:t>
            </w:r>
            <w:r w:rsidRPr="009E6EEA">
              <w:rPr>
                <w:rFonts w:ascii="Times New Roman" w:eastAsia="Calibri" w:hAnsi="Times New Roman" w:cs="Times New Roman"/>
                <w:sz w:val="18"/>
                <w:szCs w:val="18"/>
                <w:lang w:val="ro-MD"/>
              </w:rPr>
              <w:lastRenderedPageBreak/>
              <w:t xml:space="preserve">despăgubiri;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în următoarele situații: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(i) prejudiciile au fost produse bunurilor aparținând persoanelor fizice sau persoanelor juridice, dacă au fost provocate de un vehicul asigurat RCA, aflat în proprietatea ori utilizat de aceeaşi persoană fizică sau juridică şi care este condus de un  prepus al aceleiași persoane juridice ori de o altă persoană pentru care răspunde persoana fizică sau persoana juridică;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(ii) bunul avariat este utilizat de proprietarul vehiculului asigurat, care a produs dauna;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(iii)  bunul avariat şi vehiculul asigurat fac parte din patrimoniul comun al soţilor;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d)</w:t>
            </w:r>
            <w:r w:rsidRPr="009E6EEA">
              <w:rPr>
                <w:rFonts w:ascii="Times New Roman" w:eastAsia="Calibri" w:hAnsi="Times New Roman" w:cs="Times New Roman"/>
                <w:sz w:val="18"/>
                <w:szCs w:val="18"/>
                <w:lang w:val="ro-MD"/>
              </w:rPr>
              <w:tab/>
              <w:t xml:space="preserve">partea din prejudiciu care depășește limitele de răspundere stabilite prin contractul RCA, produs în unul şi același accident, indiferent de numărul persoanelor vătămate şi de numărul persoanelor responsabile de producerea accidentului;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e)</w:t>
            </w:r>
            <w:r w:rsidRPr="009E6EEA">
              <w:rPr>
                <w:rFonts w:ascii="Times New Roman" w:eastAsia="Calibri" w:hAnsi="Times New Roman" w:cs="Times New Roman"/>
                <w:sz w:val="18"/>
                <w:szCs w:val="18"/>
                <w:lang w:val="ro-MD"/>
              </w:rPr>
              <w:tab/>
              <w:t>amenzile de orice fel şi cheltuielile penale pe care ar fi obligat să le achite proprietarul, utilizatorul sau conducătorul vehiculului asigurat, responsabil de producerea accidentului;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f)</w:t>
            </w:r>
            <w:r w:rsidRPr="009E6EEA">
              <w:rPr>
                <w:rFonts w:ascii="Times New Roman" w:eastAsia="Calibri" w:hAnsi="Times New Roman" w:cs="Times New Roman"/>
                <w:sz w:val="18"/>
                <w:szCs w:val="18"/>
                <w:lang w:val="ro-MD"/>
              </w:rPr>
              <w:tab/>
              <w:t xml:space="preserve">cheltuielile suportate în cadrul procesului penal de către proprietarul, utilizatorul sau conducătorul vehiculului asigurat, responsabil de producerea prejudiciului, chiar dacă în cadrul procesului penal s-a soluționat şi latura civilă;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g)</w:t>
            </w:r>
            <w:r w:rsidRPr="009E6EEA">
              <w:rPr>
                <w:rFonts w:ascii="Times New Roman" w:eastAsia="Calibri" w:hAnsi="Times New Roman" w:cs="Times New Roman"/>
                <w:sz w:val="18"/>
                <w:szCs w:val="18"/>
                <w:lang w:val="ro-MD"/>
              </w:rPr>
              <w:tab/>
              <w:t xml:space="preserve">sumele pe care conducătorul vehiculului responsabil de producerea prejudiciului este obligat să le plătească proprietarului sau utilizatorului care i-a încredințat vehiculul asigurat, pentru avarierea ori distrugerea acestui vehicul;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h)</w:t>
            </w:r>
            <w:r w:rsidRPr="009E6EEA">
              <w:rPr>
                <w:rFonts w:ascii="Times New Roman" w:eastAsia="Calibri" w:hAnsi="Times New Roman" w:cs="Times New Roman"/>
                <w:sz w:val="18"/>
                <w:szCs w:val="18"/>
                <w:lang w:val="ro-MD"/>
              </w:rPr>
              <w:tab/>
              <w:t>prejudiciile produse bunurilor transportate, dacă între proprietarul sau utilizatorul vehiculului care a produs accidentul ori conducătorul auto răspunzător şi persoanele vătămate a existat un raport contractual la data producerii accidentului;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w:t>
            </w:r>
            <w:r w:rsidRPr="009E6EEA">
              <w:rPr>
                <w:rFonts w:ascii="Times New Roman" w:eastAsia="Calibri" w:hAnsi="Times New Roman" w:cs="Times New Roman"/>
                <w:sz w:val="18"/>
                <w:szCs w:val="18"/>
                <w:lang w:val="ro-MD"/>
              </w:rPr>
              <w:tab/>
              <w:t>prejudiciile produse persoanelor sau bunurilor aflate în vehiculul cu care s-a produs accidentul, dacă asigurătorul RCA poate dovedi că persoanele păgubite cunoșteau că vehiculul respectiv era furat;</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j)</w:t>
            </w:r>
            <w:r w:rsidRPr="009E6EEA">
              <w:rPr>
                <w:rFonts w:ascii="Times New Roman" w:eastAsia="Calibri" w:hAnsi="Times New Roman" w:cs="Times New Roman"/>
                <w:sz w:val="18"/>
                <w:szCs w:val="18"/>
                <w:lang w:val="ro-MD"/>
              </w:rPr>
              <w:tab/>
              <w:t xml:space="preserve">prejudiciile produse de dispozitivele sau de instalațiile montate pe vehicule, atunci când acestea sunt utilizate ca instalații de lucru ori utilaje, acestea constituind riscuri ale activității profesionale;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k)</w:t>
            </w:r>
            <w:r w:rsidRPr="009E6EEA">
              <w:rPr>
                <w:rFonts w:ascii="Times New Roman" w:eastAsia="Calibri" w:hAnsi="Times New Roman" w:cs="Times New Roman"/>
                <w:sz w:val="18"/>
                <w:szCs w:val="18"/>
                <w:lang w:val="ro-MD"/>
              </w:rPr>
              <w:tab/>
              <w:t>prejudiciile produse prin accidente survenite în timpul operațiunilor de încărcare şi de descărcare, acestea constituind riscuri ale activității profesionale;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l)</w:t>
            </w:r>
            <w:r w:rsidRPr="009E6EEA">
              <w:rPr>
                <w:rFonts w:ascii="Times New Roman" w:eastAsia="Calibri" w:hAnsi="Times New Roman" w:cs="Times New Roman"/>
                <w:sz w:val="18"/>
                <w:szCs w:val="18"/>
                <w:lang w:val="ro-MD"/>
              </w:rPr>
              <w:tab/>
              <w:t xml:space="preserve">prejudiciile produse ca urmare a transportului de produse periculoase: radioactive, ionizante, inflamabile, explozive, corozive, combustibili, care au determinat sau au agravat prejudiciul;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m)</w:t>
            </w:r>
            <w:r w:rsidRPr="009E6EEA">
              <w:rPr>
                <w:rFonts w:ascii="Times New Roman" w:eastAsia="Calibri" w:hAnsi="Times New Roman" w:cs="Times New Roman"/>
                <w:sz w:val="18"/>
                <w:szCs w:val="18"/>
                <w:lang w:val="ro-MD"/>
              </w:rPr>
              <w:tab/>
              <w:t xml:space="preserve">prejudiciile cauzate prin utilizarea unui vehicul în timpul unui atac terorist sau război, dacă evenimentul are directă legătură cu respectivul atac ori război.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Partea vătămată este în drept să intenteze în instanța de judecată acțiune civilă împotriva persoanei vinovate de producerea cazului asigurat pentru recuperarea daunelor excluse din asigurarea obligatorie de răspundere civilă auto conform alin. (1).</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lastRenderedPageBreak/>
              <w:t>(3)</w:t>
            </w:r>
            <w:r w:rsidRPr="009E6EEA">
              <w:rPr>
                <w:rFonts w:ascii="Times New Roman" w:eastAsia="Calibri" w:hAnsi="Times New Roman" w:cs="Times New Roman"/>
                <w:sz w:val="18"/>
                <w:szCs w:val="18"/>
                <w:lang w:val="ro-MD"/>
              </w:rPr>
              <w:tab/>
              <w:t xml:space="preserve"> Nu pot beneficia de despăgubiri persoanele care la data producerii accidentului au posibilitatea să îşi recupereze prejudiciile suferite în baza unei asigurări facultative sau obligatorii ori în baza legii şi nici cele care au urcat de bunăvoie în vehiculul condus de către persoana vinovată pentru producerea accidentului, dacă se dovedeşte că acestea ştiau că pentru vehiculul respectiv nu era în vigoare un contract RCA.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30.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Dreptul asiguratorului de recuperare a sumelor plătite</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ab/>
              <w:t xml:space="preserve">Asigurătorul RCA are dreptul să înainteze acțiune de regres persoanei răspunzătoare de producerea pagubelor atunci cînd: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accidentul a fost produs cu intenție;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accidentul a fost produs în timpul comiterii unor fapte incriminate de dispozițiile legale privind circulația pe drumurile publice ca infracțiune săvîrșită cu intenție, sau chiar dacă acestea nu au fost săvîrșite pe drumuri publice, sau în cazul săvârșii altor infracțiuni cu intenție;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accidentul a fost produs în timpul când autorul infracțiunii săvârșite a încercat să evadeze de la forțele de ordine;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d)</w:t>
            </w:r>
            <w:r w:rsidRPr="009E6EEA">
              <w:rPr>
                <w:rFonts w:ascii="Times New Roman" w:eastAsia="Calibri" w:hAnsi="Times New Roman" w:cs="Times New Roman"/>
                <w:sz w:val="18"/>
                <w:szCs w:val="18"/>
                <w:lang w:val="ro-MD"/>
              </w:rPr>
              <w:tab/>
              <w:t>persoana responsabilă de producerea accidentului conducea vehiculul fără permisiunea persoanei asigurate;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e)</w:t>
            </w:r>
            <w:r w:rsidRPr="009E6EEA">
              <w:rPr>
                <w:rFonts w:ascii="Times New Roman" w:eastAsia="Calibri" w:hAnsi="Times New Roman" w:cs="Times New Roman"/>
                <w:sz w:val="18"/>
                <w:szCs w:val="18"/>
                <w:lang w:val="ro-MD"/>
              </w:rPr>
              <w:tab/>
              <w:t>la momentul producerii accidentului, vehiculul era condus de o persoană care se afla sub influența alcoolului sau drogurilor sau conducătorul vehiculului a refuzat testarea alcoolscopică sau narcologică sau, după caz, examinarea medicală cu recoltarea probelor biologice, cu excepția celor prevăzute în art.21 alin. (7);</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f)</w:t>
            </w:r>
            <w:r w:rsidRPr="009E6EEA">
              <w:rPr>
                <w:rFonts w:ascii="Times New Roman" w:eastAsia="Calibri" w:hAnsi="Times New Roman" w:cs="Times New Roman"/>
                <w:sz w:val="18"/>
                <w:szCs w:val="18"/>
                <w:lang w:val="ro-MD"/>
              </w:rPr>
              <w:tab/>
              <w:t>persoana responsabilă de producerea accidentului conducea vehiculul fără permis de conducere, cu încălcarea regulilor privind permisul de conducere, sau în decursul termenului de aplicare a măsurii de siguranță privind suspendarea provizorie a permisului de conducere;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g)</w:t>
            </w:r>
            <w:r w:rsidRPr="009E6EEA">
              <w:rPr>
                <w:rFonts w:ascii="Times New Roman" w:eastAsia="Calibri" w:hAnsi="Times New Roman" w:cs="Times New Roman"/>
                <w:sz w:val="18"/>
                <w:szCs w:val="18"/>
                <w:lang w:val="ro-MD"/>
              </w:rPr>
              <w:tab/>
              <w:t xml:space="preserve">persoana responsabilă de producerea accidentului nu este inclusă în contractul de asigurare încheiat între proprietarul vehiculului şi asigurătorul de răspundere civilă auto, cu excepția situației prevăzute la art.8 alin.(3) lit.b);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h)</w:t>
            </w:r>
            <w:r w:rsidRPr="009E6EEA">
              <w:rPr>
                <w:rFonts w:ascii="Times New Roman" w:eastAsia="Calibri" w:hAnsi="Times New Roman" w:cs="Times New Roman"/>
                <w:sz w:val="18"/>
                <w:szCs w:val="18"/>
                <w:lang w:val="ro-MD"/>
              </w:rPr>
              <w:tab/>
              <w:t>persoana responsabilă de producerea pagubelor a părăsit locul accidentului de vehicul, contrar prevederilor legale care reglementează circulația rutieră pe drumurile naționale şi cele locale;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w:t>
            </w:r>
            <w:r w:rsidRPr="009E6EEA">
              <w:rPr>
                <w:rFonts w:ascii="Times New Roman" w:eastAsia="Calibri" w:hAnsi="Times New Roman" w:cs="Times New Roman"/>
                <w:sz w:val="18"/>
                <w:szCs w:val="18"/>
                <w:lang w:val="ro-MD"/>
              </w:rPr>
              <w:tab/>
              <w:t xml:space="preserve">utilizatorul vehiculului nu dispune de certificat de revizie tehnică la momentul producerii accidentului;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j)</w:t>
            </w:r>
            <w:r w:rsidRPr="009E6EEA">
              <w:rPr>
                <w:rFonts w:ascii="Times New Roman" w:eastAsia="Calibri" w:hAnsi="Times New Roman" w:cs="Times New Roman"/>
                <w:sz w:val="18"/>
                <w:szCs w:val="18"/>
                <w:lang w:val="ro-MD"/>
              </w:rPr>
              <w:tab/>
              <w:t>asiguratul sau utilizatorul vehiculului nu respectă prevederile art.18 alin.(1) lit.d), e) şi g), pentru cheltuielile suplimentare aferente neîndeplinirii prevederilor menționate.</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14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Prima unică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Statele membre adoptă măsurile necesare pentru a garanta că toate polițele de asigurare obligatorie de răspundere civilă pentru pagubele produse de circulația vehiculelor: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acoperă, pe baza unei prime unice și pe toată durata contractului, întregul teritoriu al Comunității, inclusiv orice perioadă în care vehiculul rămâne în alte state membre pe durata contractului; și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r w:rsidRPr="009E6EEA">
              <w:rPr>
                <w:rFonts w:ascii="Times New Roman" w:eastAsia="Calibri" w:hAnsi="Times New Roman" w:cs="Times New Roman"/>
                <w:color w:val="000000"/>
                <w:sz w:val="18"/>
                <w:szCs w:val="18"/>
                <w:lang w:eastAsia="ru-RU"/>
              </w:rPr>
              <w:lastRenderedPageBreak/>
              <w:t>(b) garantează, pe baza aceleiași prime unice, în fiecare stat membru, acoperirea impusă de legislația acestuia sau acoperirea impusă de legislația statului membru în care se află de regulă vehiculul, în cazul în care aceasta din urmă este mai mare.</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12.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Primele de asigurare. Sistemul bonus/malus</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Asigurătorul calculează prima de asigurare astfel încât să se acopere toate obligațiile ce decurg din contractul de asigurare RCA.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9.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Contractul de asigurare obligatorie de răspundere civilă auto. Termen de acțiune. Limitele teritoriale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lastRenderedPageBreak/>
              <w:t>(1)</w:t>
            </w:r>
            <w:r w:rsidRPr="009E6EEA">
              <w:rPr>
                <w:rFonts w:ascii="Times New Roman" w:eastAsia="Calibri" w:hAnsi="Times New Roman" w:cs="Times New Roman"/>
                <w:sz w:val="18"/>
                <w:szCs w:val="18"/>
                <w:lang w:val="ro-MD"/>
              </w:rPr>
              <w:tab/>
              <w:t>Contractul de asigurare obligatorie de răspundere civilă auto se încheie pe un termen de 12 luni, cu excepția cazurilor prevăzute la alin.(2)-(4). Asigurarea este considerată valabilă dacă asiguratul a plătit prima de asigurare pentru perioada valabilității contractului de asigurare.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4.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Obligația de asigurare de răspundere civilă auto</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 (2)</w:t>
            </w:r>
            <w:r w:rsidRPr="009E6EEA">
              <w:rPr>
                <w:rFonts w:ascii="Times New Roman" w:eastAsia="Calibri" w:hAnsi="Times New Roman" w:cs="Times New Roman"/>
                <w:sz w:val="18"/>
                <w:szCs w:val="18"/>
                <w:lang w:val="ro-MD"/>
              </w:rPr>
              <w:tab/>
              <w:t>Prin contractul de asigurare este acoperită de asemenea orice pierdere sau prejudiciu cauzate în cadrul limitelor teritoriale ale contractului,  în conformitate cu legislația în vigoare din alte state.</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Compatibil </w:t>
            </w:r>
          </w:p>
        </w:tc>
        <w:tc>
          <w:tcPr>
            <w:tcW w:w="1275" w:type="dxa"/>
            <w:shd w:val="clear" w:color="auto" w:fill="auto"/>
          </w:tcPr>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15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Vehicule expediate dintr-un stat membru în altul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(1) Prin derogare de la articolul 2 litera (d) a doua liniuță din Directiva 88/357/CEE, atunci când un vehicul este expediat dintr-un stat membru în altul, statul în care se situează riscul este considerat statul membru de destinație, de îndată ce este acceptată livrarea de către cumpărător, pe o perioadă de treizeci de zile, chiar dacă vehiculul nu a fost înmatriculat în mod oficial în statul membru de destinație</w:t>
            </w:r>
          </w:p>
          <w:p w:rsidR="004F290A" w:rsidRPr="009E6EEA" w:rsidRDefault="004F290A" w:rsidP="004F290A">
            <w:pPr>
              <w:autoSpaceDE w:val="0"/>
              <w:autoSpaceDN w:val="0"/>
              <w:adjustRightInd w:val="0"/>
              <w:spacing w:after="0" w:line="240" w:lineRule="auto"/>
              <w:jc w:val="both"/>
              <w:rPr>
                <w:rFonts w:ascii="Times New Roman" w:eastAsia="Times New Roman" w:hAnsi="Times New Roman" w:cs="Times New Roman"/>
                <w:iCs/>
                <w:color w:val="000000"/>
                <w:sz w:val="18"/>
                <w:szCs w:val="18"/>
              </w:rPr>
            </w:pPr>
            <w:r w:rsidRPr="009E6EEA">
              <w:rPr>
                <w:rFonts w:ascii="Times New Roman" w:eastAsia="Calibri" w:hAnsi="Times New Roman" w:cs="Times New Roman"/>
                <w:color w:val="000000"/>
                <w:sz w:val="18"/>
                <w:szCs w:val="18"/>
                <w:lang w:eastAsia="ru-RU"/>
              </w:rPr>
              <w:t xml:space="preserve"> (2) În cazul în care vehiculul este implicat într-un accident în perioada menționată la alineatul (1) din acest articol și nu este asigurat, organismul prevăzut la articolul 10 alineatul (1) din statul membru de destinație este responsabil cu despăgubirea prevăzută la articolul 9.</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Articolul 3. Definiții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Termenii și expresiile utilizați în prezenta lege au următoarele semnificații: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b/>
                <w:sz w:val="18"/>
                <w:szCs w:val="18"/>
                <w:lang w:val="ro-MD"/>
              </w:rPr>
              <w:t>19.</w:t>
            </w:r>
            <w:r w:rsidRPr="009E6EEA">
              <w:rPr>
                <w:rFonts w:ascii="Times New Roman" w:eastAsia="Calibri" w:hAnsi="Times New Roman" w:cs="Times New Roman"/>
                <w:sz w:val="18"/>
                <w:szCs w:val="18"/>
                <w:lang w:val="ro-MD"/>
              </w:rPr>
              <w:tab/>
            </w:r>
            <w:r w:rsidRPr="009E6EEA">
              <w:rPr>
                <w:rFonts w:ascii="Times New Roman" w:eastAsia="Calibri" w:hAnsi="Times New Roman" w:cs="Times New Roman"/>
                <w:i/>
                <w:sz w:val="18"/>
                <w:szCs w:val="18"/>
                <w:lang w:val="ro-MD"/>
              </w:rPr>
              <w:t>limitele teritoriale de aplicare ale asigurării de răspundere civilă pentru prejudicii produse prin accidente de vehicule</w:t>
            </w:r>
            <w:r w:rsidRPr="009E6EEA">
              <w:rPr>
                <w:rFonts w:ascii="Times New Roman" w:eastAsia="Calibri" w:hAnsi="Times New Roman" w:cs="Times New Roman"/>
                <w:sz w:val="18"/>
                <w:szCs w:val="18"/>
                <w:lang w:val="ro-MD"/>
              </w:rPr>
              <w:t>:</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teritoriul Republicii Moldova în care vehiculul deține plăcuță de înmatriculare/înregistrare, indiferent dacă o astfel de plăcuță este permanentă sau temporară – asigurarea internă;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teritoriile statelor în care sunt competente birourile naţionale auto care au semnat Acordul multilateral – asigurarea externă;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în cazul în care nu există înmatriculare/înregistrare pentru un anumit tip de vehicul, dar vehiculul are un contract de asigurare sau un semn distinctiv similar plăcuței de înmatriculare, teritoriul statului în care a fost eliberat contractul de asigurare sau semnul respectiv;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d)</w:t>
            </w:r>
            <w:r w:rsidRPr="009E6EEA">
              <w:rPr>
                <w:rFonts w:ascii="Times New Roman" w:eastAsia="Calibri" w:hAnsi="Times New Roman" w:cs="Times New Roman"/>
                <w:sz w:val="18"/>
                <w:szCs w:val="18"/>
                <w:lang w:val="ro-MD"/>
              </w:rPr>
              <w:tab/>
              <w:t>în cazul în care pentru anumite tipuri de vehicule nu există plăcuță de înmatriculare/înregistrare, contract de asigurare și nici vreun semn distinctiv, teritoriul statului în care proprietarul vehiculului este rezident permanent;</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Parțial compartibil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Având în</w:t>
            </w:r>
          </w:p>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vedere lipsa</w:t>
            </w:r>
          </w:p>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calității de stat</w:t>
            </w:r>
          </w:p>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membru UE al</w:t>
            </w:r>
          </w:p>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Republicii</w:t>
            </w:r>
          </w:p>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Moldova.</w:t>
            </w: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Comparativ cu statele-membre UE, in RM sunt 2 tipuri de asigurari RCA: internă și externă (Carte Verde). </w:t>
            </w:r>
            <w:r w:rsidRPr="009E6EEA">
              <w:rPr>
                <w:rFonts w:ascii="Times New Roman" w:eastAsia="Calibri" w:hAnsi="Times New Roman" w:cs="Times New Roman"/>
                <w:color w:val="000000"/>
                <w:sz w:val="18"/>
                <w:szCs w:val="18"/>
                <w:lang w:eastAsia="ru-RU"/>
              </w:rPr>
              <w:t xml:space="preserve"> Atunci când un vehicul este expediat dintr-un stat membru în altul se aplică limitele teritoriale de aplicare ale asigurării RCA specificate în Lege.</w:t>
            </w: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CAPITOLUL 6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ATESTARE, FRANȘIZE, ACȚIUNEA DIRECTĂ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t xml:space="preserve">Articolul 16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Atestarea privind acțiunile de răspundere civilă ale terților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Statele membre se asigură că asiguratul are dreptul de a solicita în orice moment o atestare privind acțiunile de răspundere civilă intentate de terți și care implică vehiculul sau vehiculele care fac obiectul contractului de asigurare în cel puțin ultimii cinci ani ai relației contractuale sau privind absența unor astfel de acțiuni.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r w:rsidRPr="009E6EEA">
              <w:rPr>
                <w:rFonts w:ascii="Times New Roman" w:eastAsia="Calibri" w:hAnsi="Times New Roman" w:cs="Times New Roman"/>
                <w:color w:val="000000"/>
                <w:sz w:val="18"/>
                <w:szCs w:val="18"/>
                <w:lang w:eastAsia="ru-RU"/>
              </w:rPr>
              <w:t>Întreprinderea de asigurare sau un organism eventual desemnat de un stat membru pentru furnizarea de servicii de asigurări obligatorii sau pentru eliberarea unor astfel de atestări furnizează această atestare asiguratului în termen de cincisprezece zile de la depunerea cererii.</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12.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Primele de asigurare. Sistemul bonus/malus</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(13)</w:t>
            </w:r>
            <w:r w:rsidRPr="009E6EEA">
              <w:rPr>
                <w:rFonts w:ascii="Times New Roman" w:eastAsia="Calibri" w:hAnsi="Times New Roman" w:cs="Times New Roman"/>
                <w:sz w:val="18"/>
                <w:szCs w:val="18"/>
                <w:lang w:val="ro-MD"/>
              </w:rPr>
              <w:tab/>
              <w:t>Criteriile de aplicare pentru sistemul bonus / malus sunt cele prevăzute în actul normativ al autorității de supraveghere. Clasa bonus / malus poate lua în calcul istoricul conducătorului auto. Informațiile privind istoricul  conducătorului auto sunt cele înregistrate în baza de date aferentă asigurărilor obligatorii de răspundere civilă auto încheiate pe teritoriul Republicii Moldova, împreună cu cele din baza de date deținută de către direcția specializată a Ministerului Afacerilor Interne.</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(14)</w:t>
            </w:r>
            <w:r w:rsidRPr="009E6EEA">
              <w:rPr>
                <w:rFonts w:ascii="Times New Roman" w:eastAsia="Calibri" w:hAnsi="Times New Roman" w:cs="Times New Roman"/>
                <w:sz w:val="18"/>
                <w:szCs w:val="18"/>
                <w:lang w:val="ro-MD"/>
              </w:rPr>
              <w:tab/>
              <w:t>Asigurătorul RCA eliberează persoanei asigurate / utilizatorului, în termen de 15 zile de la înregistrarea solicitării acestuia, un certificat privind daunele înregistrate, pe parcursul ultimilor 5 ani de relații contractuale, sau absența acestor daune.</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t xml:space="preserve">Articolul 17 </w:t>
            </w:r>
          </w:p>
          <w:p w:rsidR="004F290A" w:rsidRPr="009E6EEA" w:rsidRDefault="004F290A" w:rsidP="004F290A">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Franșize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r w:rsidRPr="009E6EEA">
              <w:rPr>
                <w:rFonts w:ascii="Times New Roman" w:eastAsia="Calibri" w:hAnsi="Times New Roman" w:cs="Times New Roman"/>
                <w:color w:val="000000"/>
                <w:sz w:val="18"/>
                <w:szCs w:val="18"/>
                <w:lang w:eastAsia="ru-RU"/>
              </w:rPr>
              <w:t xml:space="preserve">Întreprinderile de asigurare nu pun franșize în sarcina părților vătămate </w:t>
            </w:r>
            <w:r w:rsidRPr="009E6EEA">
              <w:rPr>
                <w:rFonts w:ascii="Times New Roman" w:eastAsia="Calibri" w:hAnsi="Times New Roman" w:cs="Times New Roman"/>
                <w:color w:val="000000"/>
                <w:sz w:val="18"/>
                <w:szCs w:val="18"/>
                <w:lang w:eastAsia="ru-RU"/>
              </w:rPr>
              <w:lastRenderedPageBreak/>
              <w:t>în urma unui accident, în ceea ce privește asigurarea menționată la articolul 3.</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14.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Riscuri acoperite de către  asigurător</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 xml:space="preserve">Indiferent de locul în care s-a produs accidentul de vehicul - pe </w:t>
            </w:r>
            <w:r w:rsidRPr="009E6EEA">
              <w:rPr>
                <w:rFonts w:ascii="Times New Roman" w:eastAsia="Calibri" w:hAnsi="Times New Roman" w:cs="Times New Roman"/>
                <w:sz w:val="18"/>
                <w:szCs w:val="18"/>
                <w:lang w:val="ro-MD"/>
              </w:rPr>
              <w:lastRenderedPageBreak/>
              <w:t>drumuri publice, pe drumuri care nu sunt deschise circulației publice, în incinte şi în orice alte locuri, atât în timpul deplasării, cât şi în timpul staționării vehiculului asigurat, asigurătorul RCA acordă despăgubiri până la limita de răspundere prevăzută în contractul</w:t>
            </w:r>
            <w:r w:rsidRPr="009E6EEA">
              <w:rPr>
                <w:rFonts w:ascii="Times New Roman" w:eastAsia="Calibri" w:hAnsi="Times New Roman" w:cs="Times New Roman"/>
                <w:b/>
                <w:sz w:val="18"/>
                <w:szCs w:val="18"/>
                <w:lang w:val="ro-MD"/>
              </w:rPr>
              <w:t xml:space="preserve"> </w:t>
            </w:r>
            <w:r w:rsidRPr="009E6EEA">
              <w:rPr>
                <w:rFonts w:ascii="Times New Roman" w:eastAsia="Calibri" w:hAnsi="Times New Roman" w:cs="Times New Roman"/>
                <w:sz w:val="18"/>
                <w:szCs w:val="18"/>
                <w:lang w:val="ro-MD"/>
              </w:rPr>
              <w:t>RCA</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13.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Suma minimă acoperită</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Limitele minime de răspundere acoperite de asigurarea RCA sunt următoarele: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pentru prejudicii materiale produse în unul și același accident, indiferent de numărul părților vătămate, limita despăgubirii se stabilește la un nivel de 100.000 euro, echivalent în lei  la cursul oficial  de schimb al leului moldovenesc comunicat de Banca Națională a Moldovei pentru /data producerii accidentului;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pentru vătămări corporale și decese, inclusiv pentru prejudicii fără caracter patrimonial produse în unul și același accident, limita de despăgubire se stabilește, pentru accidente la un nivel de 100.000 euro - pentru o parte vătămată sau la un nivel de 500.000 euro - indiferent de numărul părților vătămate, echivalent în lei la cursul oficial de schimb al leului moldovenesc , comunicat de Banca Națională a Moldovei pentru  data producerii accidentului;</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pentru prejudicii materiale produse pe baza procedurii de constatare amiabilă a accidentului de vehicul – valoarea maximă a despăgubirilor este stabilită prin actele normative ale autorității de supraveghere.</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Legea nu prevede </w:t>
            </w:r>
            <w:r w:rsidRPr="009E6EEA">
              <w:rPr>
                <w:rFonts w:ascii="Calibri" w:eastAsia="Calibri" w:hAnsi="Calibri" w:cs="Times New Roman"/>
              </w:rPr>
              <w:t xml:space="preserve"> </w:t>
            </w:r>
            <w:r w:rsidRPr="009E6EEA">
              <w:rPr>
                <w:rFonts w:ascii="Times New Roman" w:eastAsia="Calibri" w:hAnsi="Times New Roman" w:cs="Times New Roman"/>
                <w:b/>
                <w:sz w:val="18"/>
                <w:szCs w:val="18"/>
                <w:lang w:val="ro-MD"/>
              </w:rPr>
              <w:t xml:space="preserve">franșize în </w:t>
            </w:r>
            <w:r w:rsidRPr="009E6EEA">
              <w:rPr>
                <w:rFonts w:ascii="Times New Roman" w:eastAsia="Calibri" w:hAnsi="Times New Roman" w:cs="Times New Roman"/>
                <w:b/>
                <w:sz w:val="18"/>
                <w:szCs w:val="18"/>
                <w:lang w:val="ro-MD"/>
              </w:rPr>
              <w:lastRenderedPageBreak/>
              <w:t>sarcina părților vătămate în urma unui accident, fiind valabile limitele minime de acoperire stabilite prin art.13</w:t>
            </w: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18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Dreptul de acțiune directă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r w:rsidRPr="009E6EEA">
              <w:rPr>
                <w:rFonts w:ascii="Times New Roman" w:eastAsia="Calibri" w:hAnsi="Times New Roman" w:cs="Times New Roman"/>
                <w:color w:val="000000"/>
                <w:sz w:val="18"/>
                <w:szCs w:val="18"/>
                <w:lang w:eastAsia="ru-RU"/>
              </w:rPr>
              <w:t>Statele membre se asigură că persoanele vătămate în urma unui accident cauzat de un vehicul acoperit de asigurarea menționată la articolul 3 dispun de un drept de acțiune directă împotriva întreprinderii de asigurare care acoperă răspunderea civilă a persoanei responsabile.</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19.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Drepturile şi obligațiile persoanei păgubite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Asiguratul transmite părții prejudiciate, la cererea acesteia, informațiile necesare pentru formularea pretențiilor de despăgubire, în special: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 xml:space="preserve">numele, prenumele şi adresa persoanei care a condus vehiculul asigurat în momentul producerii accidentului;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 xml:space="preserve">numele, prenumele şi adresa sau denumirea, sediul persoanei juridice posesoare a vehiculului asigurat;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denumirea, adresa asigurătorului care a emis contractul de asigurare RCA, seria şi numărul contractului de asigurare RCA, precum şi numărul de înmatriculare/înregistrare al vehiculului asigurat ori numărul de identificare al acestuia.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r>
            <w:r w:rsidRPr="009E6EEA">
              <w:rPr>
                <w:rFonts w:ascii="Times New Roman" w:eastAsia="Calibri" w:hAnsi="Times New Roman" w:cs="Times New Roman"/>
                <w:b/>
                <w:sz w:val="18"/>
                <w:szCs w:val="18"/>
                <w:lang w:val="ro-MD"/>
              </w:rPr>
              <w:t>Drepturile persoanei păgubite prin accidentul produs pe teritoriul Republicii Moldova de vehiculul aflat în proprietatea sau utilizarea asiguratului se exercită față de asigurătorul de răspundere civilă auto fie direct, la sediul acestuia, fie prin reprezentantul său de despăgubiri, în limitele răspunderii asigurătorului prevăzute în prezenta lege.</w:t>
            </w:r>
            <w:r w:rsidRPr="009E6EEA">
              <w:rPr>
                <w:rFonts w:ascii="Times New Roman" w:eastAsia="Calibri" w:hAnsi="Times New Roman" w:cs="Times New Roman"/>
                <w:sz w:val="18"/>
                <w:szCs w:val="18"/>
                <w:lang w:val="ro-MD"/>
              </w:rPr>
              <w:t xml:space="preserv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 xml:space="preserve">Drepturile persoanei păgubite prin accident produs pe teritoriul Republicii Moldova de vehiculul aflat în proprietatea sau utilizarea unei persoane asigurate în străinătate se exercită față de asigurătorul acestei persoane prin intermediul Biroului Național al Asigurătorilor de Autovehicule dacă sunt îndeplinite condițiile prevăzute la art.4 alin.(4) lit.b).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lastRenderedPageBreak/>
              <w:t>(4)</w:t>
            </w:r>
            <w:r w:rsidRPr="009E6EEA">
              <w:rPr>
                <w:rFonts w:ascii="Times New Roman" w:eastAsia="Calibri" w:hAnsi="Times New Roman" w:cs="Times New Roman"/>
                <w:sz w:val="18"/>
                <w:szCs w:val="18"/>
                <w:lang w:val="ro-MD"/>
              </w:rPr>
              <w:tab/>
              <w:t>Persoana păgubită poate să adreseze cerere de despăgubire direct asigurătorului de răspundere civilă auto sau reprezentantului de despăgubiri desemnat de acesta, indiferent dacă asiguratul a executat sau nu obligaţia de înștiințare prevăzută la art.18 alin.(1) lit.d).</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Asigurătorul nu este în drept să refuze examinarea şi soluționarea cererii de despăgubire depuse în condițiile alin.(4).</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31.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Decontarea directă între asigurătorii RCA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Asigurătorul poate oferi, în mod voluntar, decontare directă asiguratului. Decontarea directă între asiguratorii RCA este aplicabilă la îndeplinirea cumulativă a următoarelor condiții: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accidentele de vehicul se produc pe teritoriul Republicii Moldova;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vehiculele implicate în accidentele auto sînt înmatriculate/înregistrate în Republica Moldova;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prejudiciile sînt produse exclusiv vehiculelor;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d)</w:t>
            </w:r>
            <w:r w:rsidRPr="009E6EEA">
              <w:rPr>
                <w:rFonts w:ascii="Times New Roman" w:eastAsia="Calibri" w:hAnsi="Times New Roman" w:cs="Times New Roman"/>
                <w:sz w:val="18"/>
                <w:szCs w:val="18"/>
                <w:lang w:val="ro-MD"/>
              </w:rPr>
              <w:tab/>
              <w:t xml:space="preserve">ambele vehicule implicate în accidentul auto au asigurare RCA valabilă la data cazului asigurat;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e)</w:t>
            </w:r>
            <w:r w:rsidRPr="009E6EEA">
              <w:rPr>
                <w:rFonts w:ascii="Times New Roman" w:eastAsia="Calibri" w:hAnsi="Times New Roman" w:cs="Times New Roman"/>
                <w:sz w:val="18"/>
                <w:szCs w:val="18"/>
                <w:lang w:val="ro-MD"/>
              </w:rPr>
              <w:tab/>
              <w:t xml:space="preserve">prejudiciile exclud vătămările corporale.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Procedura de decontare directă se stabilește prin actele normative ale autorității de supraveghere</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lastRenderedPageBreak/>
              <w:t xml:space="preserve">CAPITOLUL 7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DESPĂGUBIREA PREJUDICIILOR REZULTATE ÎN URMA ORICĂRUI ACCIDENT CAUZAT DE UN VEHICUL ACOPERIT DE ASIGURAREA MENȚIONATĂ LA ARTICOLUL 3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t xml:space="preserve">Articolul 19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Procedura de despăgubire a prejudiciului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Statele membre stabilesc procedura menționată la articolul 22 pentru despăgubirea prejudiciilor rezultate în urma oricărui accident cauzat de un vehicul acoperit de asigurarea menționată la articolul 3.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În cazul cererilor de despăgubire care pot fi soluționate de sistemul birourilor naționale de asigurare, prevăzut la articolul 2, statele membre stabilesc aceeași procedură ca cea menționată la articolul 22.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r w:rsidRPr="009E6EEA">
              <w:rPr>
                <w:rFonts w:ascii="Times New Roman" w:eastAsia="Calibri" w:hAnsi="Times New Roman" w:cs="Times New Roman"/>
                <w:color w:val="000000"/>
                <w:sz w:val="18"/>
                <w:szCs w:val="18"/>
                <w:lang w:eastAsia="ru-RU"/>
              </w:rPr>
              <w:t>În vederea aplicării acestei proceduri, orice trimitere la o întreprindere de asigurare este considerată ca fiind o trimitere la birourile naționale de asigurare.</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22.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Dosarul de daune. Determinarea prejudiciilor</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Persoana vătămată este în drept să depună cererea de despăgubire la asigurătorul RCA sau la asigurătorul său în cazul compensării directe, în cazul producerii unui risc acoperit prin asigurarea RCA sau la Biroul Național al Asigurătorilor de Autovehicule dacă cazul asigurat conform prezentei legi survine.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Persoana vătămată are dreptul, direct sau prin reprezentanți, să depună cererea de compensare asiguratorului RCA sau asiguratorului propriu RCA în caz de decontare directă, în cazul producerii unui eveniment acoperit de asigurarea RCA sau la Biroul Național în cazul apariției unui risc acoperit de acesta în condițiile prevăzute de prezenta lege.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Cererea de despăgubire poate fi de asemenea completată electronic.</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Odată cu deschiderea dosarului de daune, asigurătorul sau, după caz, Biroul Național al Asigurătorilor de Autovehicule eliberează persoanei păgubite sau reprezentantului acesteia, în scris, lista documentelor necesare a fi prezentate pentru închiderea dosarului de daună şi plata despăgubirii, dar nu mai multe decît cele care urmează a fi prezentate de persoana păgubită conform alin.(5).</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t xml:space="preserve">Articolul 20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Dispoziții speciale privind despăgubirea persoanelor vătămate în urma unui accident produs într-un alt stat membru decât statul lor de reședință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(1) Articolele 20-26 au ca obiect stabilirea unor dispoziții speciale aplicabile persoanelor vătămate care au dreptul la despăgubire pentru </w:t>
            </w:r>
            <w:r w:rsidRPr="009E6EEA">
              <w:rPr>
                <w:rFonts w:ascii="Times New Roman" w:eastAsia="Calibri" w:hAnsi="Times New Roman" w:cs="Times New Roman"/>
                <w:color w:val="000000"/>
                <w:sz w:val="18"/>
                <w:szCs w:val="18"/>
                <w:lang w:eastAsia="ru-RU"/>
              </w:rPr>
              <w:lastRenderedPageBreak/>
              <w:t xml:space="preserve">orice prejudiciu rezultat în urma unor accidente produse într-un stat membru diferit de statul de reședință al persoanei vătămate și provocate de circulația unor vehicule asigurate într-un stat membru și care staționează în mod obișnuit în acest stat membru.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Fără a aduce atingere legislațiilor țărilor terțe în materie de răspundere civilă și de drept internațional privat, aceste dispoziții se aplică în egală măsură persoanelor vătămate rezidente într-un stat membru și având drept la despăgubire pentru orice prejudiciu rezultat în urma accidentelor produse într-o țară terță al cărei birou național de asigurare a aderat la sistemul cărții verzi, în cazul în care accidentele în cauză sunt provocate de circulația unor vehicule asigurate și care staționează în mod obișnuit într-un stat membru.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(2) Articolele 21 și 24 nu se aplică decât accidentelor provocate de circulația unui vehicul: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asigurat la o instituție situată într-un stat membru diferit de statul de reședință al persoanei vătămate; și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r w:rsidRPr="009E6EEA">
              <w:rPr>
                <w:rFonts w:ascii="Times New Roman" w:eastAsia="Calibri" w:hAnsi="Times New Roman" w:cs="Times New Roman"/>
                <w:color w:val="000000"/>
                <w:sz w:val="18"/>
                <w:szCs w:val="18"/>
                <w:lang w:eastAsia="ru-RU"/>
              </w:rPr>
              <w:t>(b) care staționează, în mod obișnuit, într-un stat membru diferit de statul de reședință al persoanei vătămate.</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38.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Competențele Biroului Național în calitate de organism de plată a despăgubirilor</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Biroul Național, în calitate de organism de plată a despăgubirilor, garantează, fără a avea beneficiu de discuție, despăgubirea persoanelor prejudiciate, care au fost vătămate în urma accidentelor de </w:t>
            </w:r>
            <w:r w:rsidRPr="009E6EEA">
              <w:rPr>
                <w:rFonts w:ascii="Times New Roman" w:eastAsia="Calibri" w:hAnsi="Times New Roman" w:cs="Times New Roman"/>
                <w:sz w:val="18"/>
                <w:szCs w:val="18"/>
                <w:lang w:val="ro-MD"/>
              </w:rPr>
              <w:lastRenderedPageBreak/>
              <w:t>vehicule.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 xml:space="preserve">Nicio entitate care a compensat în orice fel persoanele prejudiciate sau a oferit acestora servicii în legătură cu prejudiciile suferite, inclusiv servicii medicale, în baza unor contracte încheiate ori în baza legii, nu are dreptul să solicite de la Biroul Național recuperarea cheltuielilor efectuate.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Biroul Național nu poate plăti despăgubiri pentru prejudiciile cauzate într-un singur accident care să depășească limitele de răspundere ale asigurătorului RCA prevăzute de legislația în vigoare la momentul producerii accidentului în Republica Moldova sau de legislația altor state pe teritoriul cărora s-a produs accidentul.</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1.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Obiectul și scopul legii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 (2)</w:t>
            </w:r>
            <w:r w:rsidRPr="009E6EEA">
              <w:rPr>
                <w:rFonts w:ascii="Times New Roman" w:eastAsia="Calibri" w:hAnsi="Times New Roman" w:cs="Times New Roman"/>
                <w:sz w:val="18"/>
                <w:szCs w:val="18"/>
                <w:lang w:val="ro-MD"/>
              </w:rPr>
              <w:tab/>
              <w:t>Obiect al asigurării obligatorii de răspundere civilă auto îl constituie răspunderea civilă a proprietarului şi/sau utilizatorului de autovehicul pentru orice pagubă sau vătămare corporală produsă prin accident de autovehicul în limitele teritoriale de acoperire ale contractului de asigurare. Teritoriul pe care vehiculul staționează în mod obișnuit se referă la teritoriul Republicii Moldova în care vehiculul deține plăcuță de înmatriculare, indiferent dacă o astfel de plăcuță este permanentă sau temporară,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în cazul în care nu există înmatriculare/înregistrare pentru un anumit tip de vehicul, dar vehiculul are un contract de asigurare sau un semn distinctiv similar plăcuței de înmatriculare, teritoriul statului în care a fost eliberat contractul de asigurare sau semnul respectiv;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în cazul în care pentru anumite tipuri de vehicule nu există plăcuță de înmatriculare/înregistrare, contract de asigurare și nici vreun semn distinctiv, teritoriul statului în care proprietarul vehiculului este rezident permanent ; sau</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în cazul în care vehiculul nu are plăcuță de înmatriculare/înregistrare sau are o plăcuță care nu corespunde sau nu mai corespunde cu vehiculul și a fost implicat într-un accident, teritoriul statului în care a avut loc accidentul, cu scopul de a soluționa cererea de despăgubire în conformitate cu prezenta lege.  </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21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Reprezentantul însărcinat cu soluționarea cererilor de despăgubire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(1) Fiecare stat membru adoptă măsurile necesare pentru ca toate întreprinderile de asigurare care acoperă riscurile clasificate în clasa de asigurare 10 de la punctul A din anexa la Directiva 73/239/CEE, cu excepția răspunderii civile a transportatorului, să desemneze în fiecare stat membru diferit de cel în care au primit autorizația administrativă un reprezentant însărcinat cu soluționarea cererilor de despăgubire. </w:t>
            </w:r>
          </w:p>
          <w:p w:rsidR="004F290A" w:rsidRPr="009E6EEA" w:rsidRDefault="004F290A" w:rsidP="004F290A">
            <w:pPr>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Acesta are misiunea de a trata și soluționa cererile de despăgubire rezultate în urma unui accident în cazurile prevăzute la articolul 20 alineatul (1). </w:t>
            </w:r>
          </w:p>
          <w:p w:rsidR="004F290A" w:rsidRPr="009E6EEA" w:rsidRDefault="004F290A" w:rsidP="004F290A">
            <w:pPr>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Reprezentantul însărcinat cu soluționarea cererilor de despăgubire are reședința sau este stabilit în statul membru în care este desemnat. </w:t>
            </w:r>
          </w:p>
          <w:p w:rsidR="004F290A" w:rsidRPr="009E6EEA" w:rsidRDefault="004F290A" w:rsidP="004F290A">
            <w:pPr>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(2) Alegerea reprezentantului însărcinat cu soluționarea cererilor de </w:t>
            </w:r>
            <w:r w:rsidRPr="009E6EEA">
              <w:rPr>
                <w:rFonts w:ascii="Times New Roman" w:eastAsia="Calibri" w:hAnsi="Times New Roman" w:cs="Times New Roman"/>
                <w:color w:val="000000"/>
                <w:sz w:val="18"/>
                <w:szCs w:val="18"/>
                <w:lang w:eastAsia="ru-RU"/>
              </w:rPr>
              <w:lastRenderedPageBreak/>
              <w:t xml:space="preserve">despăgubire este lăsată la aprecierea întreprinderii de asigurare. Statele membre nu pot îngrădi această libertate de alegere.  </w:t>
            </w:r>
          </w:p>
          <w:p w:rsidR="004F290A" w:rsidRPr="009E6EEA" w:rsidRDefault="004F290A" w:rsidP="004F290A">
            <w:pPr>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(3) Reprezentantul însărcinat cu soluționarea cererilor de despăgubire poate acționa în contul uneia sau mai multor întreprinderi de asigurare. (4) Reprezentantul însărcinat cu soluționarea cererilor de despăgubire strânge, cu privire la aceste cereri, toate informațiile necesare în legătură cu soluționarea cererilor de despăgubire și ia măsurile necesare pentru a negocia soluționarea cererilor de despăgubire. </w:t>
            </w:r>
          </w:p>
          <w:p w:rsidR="004F290A" w:rsidRPr="009E6EEA" w:rsidRDefault="004F290A" w:rsidP="004F290A">
            <w:pPr>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Obligația de a desemna un reprezentant nu exclude dreptul persoanei vătămate sau al întreprinderii sale de asigurare de a iniția proceduri directe împotriva persoanei care a provocat accidentul sau a întreprinderii sale de asigurare. </w:t>
            </w:r>
          </w:p>
          <w:p w:rsidR="004F290A" w:rsidRPr="009E6EEA" w:rsidRDefault="004F290A" w:rsidP="004F290A">
            <w:pPr>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(5) Reprezentantul însărcinat cu soluționarea cererilor de despăgubire dispune de competențe suficiente pentru a reprezenta întreprinderea de asigurare pe lângă persoanele vătămate în cazurile prevăzute la articolul 20 alineatul (1) și pentru a satisface integral cererile de despăgubire ale acestora. </w:t>
            </w:r>
          </w:p>
          <w:p w:rsidR="004F290A" w:rsidRPr="009E6EEA" w:rsidRDefault="004F290A" w:rsidP="004F290A">
            <w:pPr>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Acesta trebuie să fie în măsură să analizeze cererea în limba sau în limbile oficiale ale statului membru de reședință al persoanei vătămate. (6) Desemnarea unui reprezentant responsabil cu soluționarea cererilor de despăgubire nu constituie în sine deschiderea unei sucursale în sensul articolului 1 litera (b) din Directiva 92/49/CEE, iar reprezentantul responsabil cu soluționarea cererilor de despăgubire nu este considerat o unitate în sensul articolului 2 litera (c) din Directiva 88/357/CEE, nici o unitate în sensul Regulamentului (CE) nr. 44/2001. </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7.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Reprezentantul de despăgubiri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Asigurătorul de răspundere civilă auto este obligat să numească în fiecare municipiu din Republica Moldova  câte un reprezentant responsabil de stabilirea și soluționarea daunelor cauzate de vehicule supuse obligației de asigurare în Republica Moldova.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b/>
                <w:sz w:val="18"/>
                <w:szCs w:val="18"/>
                <w:lang w:val="ro-MD"/>
              </w:rPr>
              <w:tab/>
            </w:r>
            <w:r w:rsidRPr="009E6EEA">
              <w:rPr>
                <w:rFonts w:ascii="Times New Roman" w:eastAsia="Calibri" w:hAnsi="Times New Roman" w:cs="Times New Roman"/>
                <w:sz w:val="18"/>
                <w:szCs w:val="18"/>
                <w:lang w:val="ro-MD"/>
              </w:rPr>
              <w:t>Reprezentantul de despăgubiri este împuternicit să</w:t>
            </w:r>
            <w:r w:rsidRPr="009E6EEA">
              <w:rPr>
                <w:rFonts w:ascii="Times New Roman" w:eastAsia="Calibri" w:hAnsi="Times New Roman" w:cs="Times New Roman"/>
                <w:b/>
                <w:sz w:val="18"/>
                <w:szCs w:val="18"/>
                <w:lang w:val="ro-MD"/>
              </w:rPr>
              <w:t xml:space="preserve"> </w:t>
            </w:r>
            <w:r w:rsidRPr="009E6EEA">
              <w:rPr>
                <w:rFonts w:ascii="Times New Roman" w:eastAsia="Calibri" w:hAnsi="Times New Roman" w:cs="Times New Roman"/>
                <w:sz w:val="18"/>
                <w:szCs w:val="18"/>
                <w:lang w:val="ro-MD"/>
              </w:rPr>
              <w:t>instrumenteze cazurile de daună în numele şi în contul asigurătorului RCA şi să reprezinte asigurătorul RCA. În acest scop, reprezentantul de despăgubiri întocmește dosarul de daună şi ia toate măsurile necesare pentru soluționarea cererilor de despăgubire pretinse de persoana vătămată, pentru prejudiciile cauzate în urma unui accident de vehicule pentru care asigurarea obligatorie RCA a fost emisă de către un asigurător RCA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lastRenderedPageBreak/>
              <w:t>(3)</w:t>
            </w:r>
            <w:r w:rsidRPr="009E6EEA">
              <w:rPr>
                <w:rFonts w:ascii="Times New Roman" w:eastAsia="Calibri" w:hAnsi="Times New Roman" w:cs="Times New Roman"/>
                <w:sz w:val="18"/>
                <w:szCs w:val="18"/>
                <w:lang w:val="ro-MD"/>
              </w:rPr>
              <w:tab/>
              <w:t>Reprezentantul de despăgubiri poate acționa în numele mai multor asigurători RCA.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Reprezentantul de despăgubiri trebuie să fie mandatat să reprezinte asigurătorul RCA cu puteri depline, inclusiv cu drept de dispoziție în fața persoanei vătămate, să i se atribuie competența</w:t>
            </w:r>
            <w:r w:rsidRPr="009E6EEA">
              <w:rPr>
                <w:rFonts w:ascii="Times New Roman" w:eastAsia="Calibri" w:hAnsi="Times New Roman" w:cs="Times New Roman"/>
                <w:b/>
                <w:sz w:val="18"/>
                <w:szCs w:val="18"/>
                <w:lang w:val="ro-MD"/>
              </w:rPr>
              <w:t xml:space="preserve"> </w:t>
            </w:r>
            <w:r w:rsidRPr="009E6EEA">
              <w:rPr>
                <w:rFonts w:ascii="Times New Roman" w:eastAsia="Calibri" w:hAnsi="Times New Roman" w:cs="Times New Roman"/>
                <w:sz w:val="18"/>
                <w:szCs w:val="18"/>
                <w:lang w:val="ro-MD"/>
              </w:rPr>
              <w:t>necesară pentru a răspunde cererilor de despăgubire justificate ale părții vătămate.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Numirea unui reprezentant de despăgubiri nu exclude dreptul persoanei vătămate de a acționa direct împotriva persoanei care a cauzat prejudiciul sau a asigurătorului RCA al acesteia, după caz.</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Asigurătorul RCA este obligat să informeze autoritatea de supraveghere cu privire la numele și prenumele, data nașterii şi adresa (sucursalei/subdiviziunii asigurătorului RCA ) în care va desfășura activitatea reprezentantulde despăgubiri, în cazul în care acesta este reprezentat de o persoană fizică, sau cu privire la denumire şi sediu, în cazul în care reprezentantul de despăgubiri este o persoană juridică, precum şi cu privire la toate modificările în privința reprezentanților, în termen de 7 zile lucrătoare de la numire ori modificare.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32.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Organizarea Biroului Național al Asigurătorilor de Autovehicule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Biroul Național al Asigurătorilor de Autovehicule (în continuare – Birou Național) este o asociație profesională, necomercială, cu statut de persoană juridică, constituită ca o asociație independentă și autonomă a tuturor societăților de asigurare, care în condițiile legii, au dreptul de a practica în Republica Moldova astatigurarea obligatorie de răspundere civilă auto pentru pagube produse de vehicule, care deține competențe de reprezentare și îndeplinește prerogativele şi atribuțiile de Birou Național al Republicii Moldova în Consiliul Birourilor Sistemului Internațional de Asigurare “Carte Verde”.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38.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Competențele Biroului Național în calitate de organism de plată a despăgubirilor</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Biroul Național, în calitate de organism de plată a despăgubirilor, garantează, fără a avea beneficiu de discuție, despăgubirea persoanelor prejudiciate, care au fost vătămate în urma accidentelor de vehicule.</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22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Procedura de despăgubire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Statele membre prevăd obligații însoțite de sancțiuni financiare eficiente și sistematice corespunzătoare sau de sancțiuni administrative echivalente pentru a se asigura că, în termen de 3 luni începând cu data la care persoana vătămată și-a prezentat cererea de despăgubire, fie direct întreprinderii de asigurare a persoanei care a provocat accidentul, fie reprezentantului său însărcinat cu soluționarea cererilor de despăgubire: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întreprinderea de asigurare a persoanei care a provocat accidentul sau reprezentantul său însărcinat cu soluționarea cererilor de despăgubire sunt ținuți să prezinte o ofertă de despăgubire justificată, în </w:t>
            </w:r>
            <w:r w:rsidRPr="009E6EEA">
              <w:rPr>
                <w:rFonts w:ascii="Times New Roman" w:eastAsia="Calibri" w:hAnsi="Times New Roman" w:cs="Times New Roman"/>
                <w:color w:val="000000"/>
                <w:sz w:val="18"/>
                <w:szCs w:val="18"/>
                <w:lang w:eastAsia="ru-RU"/>
              </w:rPr>
              <w:lastRenderedPageBreak/>
              <w:t xml:space="preserve">cazul în care răspunderea nu este contestată și prejudiciul a fost cuantificat; sau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(b) întreprinderea de asigurare căreia i-a fost prezentată cererea de despăgubire sau reprezentantul său însărcinat cu soluționarea cererilor de despăgubire sunt ținuți să dea un răspuns justificat la elementele invocate în cerere, în cazul în care răspunderea a fost respinsă sau nu a fost stabilită în mod clar sau în care prejudiciul nu a fost pe deplin cuantificat. Statele membre adoptă dispoziții care să garanteze că, în cazul în care oferta nu a fost prezentată în termen de 3 luni, se percep dobânzi calculate în funcție de valoarea despăgubirii oferite de către întreprinderea de asigurare sau acordate de către judecător persoanei vătămate.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20.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Drepturile și obligațiile asigurătorului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După ce a luat cunoștință de producerea accidentului, asigurătorul este obligat: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 xml:space="preserve">să deschidă dosar de daune;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să examineze formularul „Constatare amiabilă de accident”, completat în modul prevăzut de prezenta lege şi depus de persoana păgubită, anexat la cererea de despăgubire, precum şi să emită fără întârziere documentul care confirmă recepționarea şi înregistrarea cererii de despăgubire;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să solicite autorităților competente (poliția, unitatea de pompieri, procuratura sau instituțiile medicale) informații despre accident şi </w:t>
            </w:r>
            <w:r w:rsidRPr="009E6EEA">
              <w:rPr>
                <w:rFonts w:ascii="Times New Roman" w:eastAsia="Calibri" w:hAnsi="Times New Roman" w:cs="Times New Roman"/>
                <w:sz w:val="18"/>
                <w:szCs w:val="18"/>
                <w:lang w:val="ro-MD"/>
              </w:rPr>
              <w:lastRenderedPageBreak/>
              <w:t xml:space="preserve">consecințele lui, stipulate în prezenta Lege dacă asiguratul sau persoana păgubită nu a prezentat asigurătorului astfel de informații certificate în modul corespunzător (cu excepția accidentelor documentate cu respectarea procedurii de constatare amiabilă);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d)</w:t>
            </w:r>
            <w:r w:rsidRPr="009E6EEA">
              <w:rPr>
                <w:rFonts w:ascii="Times New Roman" w:eastAsia="Calibri" w:hAnsi="Times New Roman" w:cs="Times New Roman"/>
                <w:sz w:val="18"/>
                <w:szCs w:val="18"/>
                <w:lang w:val="ro-MD"/>
              </w:rPr>
              <w:tab/>
              <w:t xml:space="preserve">să examineze bunurile avariate şi să încheie, în termen de 5 zile lucrătoare din data primirii cererii persoanei păgubite privind despăgubirea de asigurare, un proces-verbal de constatare a pagubelor;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d) să închidă dosarul de daune privind pagubele materiale în cel mult 15 zile calendaristice din data depunerii de către persoana păgubită a ultimului document necesar finalizării dosarului;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e) să închidă dosarul de daune privind vătămările corporale sau decesul în cel mult 10 zile calendaristice din data depunerii de către păgubit a ultimului document de confirmare a pagubelor;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f) să achite despăgubirea de asigurare în termenele stabilite prin prezenta lege.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 xml:space="preserve">Asigurătorul RCA este obligat să ia o decizie cu privire la soluționarea cererii şi să achite despăgubirea de asigurare </w:t>
            </w:r>
            <w:r w:rsidRPr="009E6EEA">
              <w:rPr>
                <w:rFonts w:ascii="Times New Roman" w:eastAsia="Calibri" w:hAnsi="Times New Roman" w:cs="Times New Roman"/>
                <w:b/>
                <w:sz w:val="18"/>
                <w:szCs w:val="18"/>
                <w:lang w:val="ro-MD"/>
              </w:rPr>
              <w:t>în cel mult 3 luni</w:t>
            </w:r>
            <w:r w:rsidRPr="009E6EEA">
              <w:rPr>
                <w:rFonts w:ascii="Times New Roman" w:eastAsia="Calibri" w:hAnsi="Times New Roman" w:cs="Times New Roman"/>
                <w:sz w:val="18"/>
                <w:szCs w:val="18"/>
                <w:lang w:val="ro-MD"/>
              </w:rPr>
              <w:t xml:space="preserve"> din data depunerii cererii de despăgubire.</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 xml:space="preserve">Dacă asigurătorul RCA nu își îndeplinește obligațiile în termenul prevăzut la alin. (2) sau şi le îndeplinește necorespunzător, inclusiv dacă diminuează nejustificat despăgubirea, </w:t>
            </w:r>
            <w:r w:rsidRPr="009E6EEA">
              <w:rPr>
                <w:rFonts w:ascii="Times New Roman" w:eastAsia="Calibri" w:hAnsi="Times New Roman" w:cs="Times New Roman"/>
                <w:b/>
                <w:sz w:val="18"/>
                <w:szCs w:val="18"/>
                <w:lang w:val="ro-MD"/>
              </w:rPr>
              <w:t>se aplică o penalitate de 0,1% pentru fiecare zi de întârziere,</w:t>
            </w:r>
            <w:r w:rsidRPr="009E6EEA">
              <w:rPr>
                <w:rFonts w:ascii="Times New Roman" w:eastAsia="Calibri" w:hAnsi="Times New Roman" w:cs="Times New Roman"/>
                <w:sz w:val="18"/>
                <w:szCs w:val="18"/>
                <w:lang w:val="ro-MD"/>
              </w:rPr>
              <w:t xml:space="preserve"> calculată pe baza sumei totale de despăgubire cuvenită sau a diferenței de sumă neachitată. Plata penalităților se face odată cu plata despăgubirii.</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23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Organismele de informare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(1) Pentru a permite persoanei vătămate să ceară o despăgubire, fiecare stat membru creează sau autorizează un organism de informare cu misiunea: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de a ține un registru cu datele următoare: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(i) numerele de înmatriculare ale autovehiculelor care staționează în mod obișnuit pe teritoriul statului în cauză;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(ii) numerele polițelor de asigurare care acoperă circulația acestor vehicule pentru riscurile clasificate la clasa de asigurare 10 de la punctul A din anexa la Directiva 73/239/CEE, cu excepția răspunderii civile a transportatorului, precum și, atunci când perioada de valabilitate a poliței a expirat, data la care acoperirea riscului prin asigurare ia sfârșit;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(iii) întreprinderile de asigurare care acoperă circulația vehiculelor pentru riscurile clasificate la clasa de asigurare 10 de la punctul A din anexa la Directiva 73/239/CEE, cu excepția răspunderii civile a transportatorului, precum și reprezentanții însărcinați cu soluționarea cererilor de despăgubire desemnați de către aceste întreprinderi de asigurare în conformitate cu articolul 21 din prezenta directivă și ale căror denumiri sunt notificate de către întreprinderile de asigurare organismului de informare în conformitate cu alineatul (2) din prezentul articol;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(iv) lista vehiculelor care beneficiază, în fiecare stat membru, de derogarea de la obligația de a fi acoperite printr-o asigurare de </w:t>
            </w:r>
            <w:r w:rsidRPr="009E6EEA">
              <w:rPr>
                <w:rFonts w:ascii="Times New Roman" w:eastAsia="Calibri" w:hAnsi="Times New Roman" w:cs="Times New Roman"/>
                <w:color w:val="000000"/>
                <w:sz w:val="18"/>
                <w:szCs w:val="18"/>
                <w:lang w:eastAsia="ru-RU"/>
              </w:rPr>
              <w:lastRenderedPageBreak/>
              <w:t xml:space="preserve">răspundere civilă în conformitate cu articolul 5 alineatele (1) și (2);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(v) în ceea ce privește vehiculele menționate la punctul (iv):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 denumirea autorității sau organismului desemnat în conformitate cu articolul 5 alineatul (1) al treilea paragraf pentru despăgubirea persoanelor vătămate, în cazul în care procedura prevăzută la articolul 2 alineatul (2) litera (a) nu este aplicabilă, în cazul în care vehiculul beneficiază de derogarea prevăzută la articolul 5 alineatul (1) primul paragraf;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 denumirea organismului care acoperă vehiculul în statul membru în care acest vehicul staționează în mod obișnuit, în cazul în care vehiculul beneficiază de derogarea de la articolul 5 alineatul (2);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(b) sau de a coordona colectarea și difuzarea acestor date; și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(c) de a ajuta persoanele abilitate să cunoască datele menționate la litera (a) punctele (i)-(v). RO L 263/22 Jurnalul Oficial al Uniunii Europene 7.10.2009</w:t>
            </w:r>
          </w:p>
          <w:p w:rsidR="004F290A" w:rsidRPr="009E6EEA" w:rsidRDefault="004F290A" w:rsidP="004F290A">
            <w:pPr>
              <w:pageBreakBefore/>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Datele menționate la litera (a) punctele (i), (ii) și (iii) trebuie păstrate pe o perioadă de șapte ani după ce înmatricularea vehiculului sau contractul de asigurare a luat sfârșit.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(2) Întreprinderile de asigurare menționate la alineatul (1) litera (a) punctul (iii) notifică organismelor de informare ale tuturor statelor membre numele și adresa reprezentantului însărcinat cu soluționarea cererilor de despăgubire, pe care l-au desemnat, în conformitate cu articolul 21, în fiecare stat membru.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(3) Statele membre se asigură că persoana vătămată are dreptul, în termen de șapte ani după accident, să obțină fără întârziere, din partea organismului de informare din statul de reședință, din statul membru în care vehiculul staționează în mod obișnuit sau din statul membru în care s-a produs accidentul, datele următoare: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numele și adresa întreprinderii de asigurare;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(b) numărul poliței de asigurare; și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 numele și adresa reprezentantului însărcinat cu soluționarea cererilor de despăgubire de către întreprinderea de asigurare în statul în care are reședința persoana vătămată. Organismele de informare cooperează între ele.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(4) Organismul de informare comunică persoanei vătămate numele și adresa proprietarului, ale conducătorului obișnuit sau ale detentorului declarat al vehiculului în cazul în care persoana vătămată are un interes legitim să obțină aceste informații. În îndeplinirea prezentei dispoziții, organismul de informare se adresează în special: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întreprinderii de asigurare; sau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(b) organismului de înmatriculare a vehiculelor.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În cazul în care vehiculul beneficiază de derogarea prevăzută la articolul 5 alineatul (1) primul paragraf, organismul de informare comunică persoanei vătămate numele autorității sau organismului desemnat, în conformitate cu articolul 5 alineatul (1) al treilea paragraf, ca fiind însărcinat cu despăgubirea persoanelor vătămate, în cazul în care procedura menționată la articolul 2 litera (a) nu este aplicabilă.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În cazul în care vehiculul beneficiază de derogarea prevăzută la articolul 5 alineatul (2), organismul de informare comunică persoanei </w:t>
            </w:r>
            <w:r w:rsidRPr="009E6EEA">
              <w:rPr>
                <w:rFonts w:ascii="Times New Roman" w:eastAsia="Calibri" w:hAnsi="Times New Roman" w:cs="Times New Roman"/>
                <w:color w:val="000000"/>
                <w:sz w:val="18"/>
                <w:szCs w:val="18"/>
                <w:lang w:eastAsia="ru-RU"/>
              </w:rPr>
              <w:lastRenderedPageBreak/>
              <w:t xml:space="preserve">vătămate denumirea organismului care acoperă vehiculul în țara în care acesta staționează în mod obișnuit.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(5) Statele membre se asigură că organismele de informare furnizează, fără a aduce atingere obligațiilor lor în temeiul alineatelor (1) si (4), informațiile specificate în aceste alineate oricărei persoane implicate într-un accident rutier cauzat de un vehicul acoperit de asigurarea menționată la articolul 3.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(6) Prelucrarea datelor cu caracter personal rezultate din alineatele (1)-(5) trebuie să fie efectuată în conformitate cu dispozițiile de drept intern adoptate în aplicarea Directivei 95/46/CE. </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41.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Competențele Biroului Național în calitate de centru de informare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Biroul Național, în calitate de centru de informare, are următoarele atribuții și obligații: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 xml:space="preserve">furnizează, la solicitarea persoanelor păgubite sau a centrelor de informare din celelalte state semnatare ale Acordului cu privire la schimbul de informații între centrele de informare, date privind: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w:t>
            </w:r>
            <w:r w:rsidRPr="009E6EEA">
              <w:rPr>
                <w:rFonts w:ascii="Times New Roman" w:eastAsia="Calibri" w:hAnsi="Times New Roman" w:cs="Times New Roman"/>
                <w:sz w:val="18"/>
                <w:szCs w:val="18"/>
                <w:lang w:val="ro-MD"/>
              </w:rPr>
              <w:tab/>
              <w:t xml:space="preserve">numele şi adresa asigurătorului RCA pentru vehiculul condus de persoana responsabilă de producerea accidentului;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(ii)</w:t>
            </w:r>
            <w:r w:rsidRPr="009E6EEA">
              <w:rPr>
                <w:rFonts w:ascii="Times New Roman" w:eastAsia="Calibri" w:hAnsi="Times New Roman" w:cs="Times New Roman"/>
                <w:sz w:val="18"/>
                <w:szCs w:val="18"/>
                <w:lang w:val="ro-MD"/>
              </w:rPr>
              <w:tab/>
              <w:t>numele şi adresa reprezentantului de despăgubiri al asigurătorului RCA, emitent al contractului RCA pentru vehiculul condus de către conducătorul auto vinovat de producerea accidentului, în statul de reședință al persoanei prejudiciate;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(iii)</w:t>
            </w:r>
            <w:r w:rsidRPr="009E6EEA">
              <w:rPr>
                <w:rFonts w:ascii="Times New Roman" w:eastAsia="Calibri" w:hAnsi="Times New Roman" w:cs="Times New Roman"/>
                <w:sz w:val="18"/>
                <w:szCs w:val="18"/>
                <w:lang w:val="ro-MD"/>
              </w:rPr>
              <w:tab/>
              <w:t xml:space="preserve"> numărul contractului RCA;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(iv)</w:t>
            </w:r>
            <w:r w:rsidRPr="009E6EEA">
              <w:rPr>
                <w:rFonts w:ascii="Times New Roman" w:eastAsia="Calibri" w:hAnsi="Times New Roman" w:cs="Times New Roman"/>
                <w:sz w:val="18"/>
                <w:szCs w:val="18"/>
                <w:lang w:val="ro-MD"/>
              </w:rPr>
              <w:tab/>
              <w:t xml:space="preserve">numele şi adresa organului autorizat să primească şi să soluționeze cererile de despăgubire în statul de reședință al persoanei prejudiciate, pentru vehiculul condus de către conducătorul auto vinovat de producerea accidentului sau pentru cazul în care proprietarul vehiculului respectiv beneficiază de derogare de la obligativitatea încheierii contractului RCA;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 xml:space="preserve">furnizează, la solicitarea persoanelor prejudiciate care prezintă un interes legitim, numele şi adresa proprietarului, ale conducătorului auto obișnuit sau ale utilizatorului vehiculului condus de către conducătorul auto vinovat de producerea accidentului; această informație poate fi solicitată de către persoana prejudiciată în mod direct sau prin intermediul </w:t>
            </w:r>
            <w:r w:rsidRPr="009E6EEA">
              <w:rPr>
                <w:rFonts w:ascii="Times New Roman" w:eastAsia="Calibri" w:hAnsi="Times New Roman" w:cs="Times New Roman"/>
                <w:sz w:val="18"/>
                <w:szCs w:val="18"/>
                <w:lang w:val="ro-MD"/>
              </w:rPr>
              <w:lastRenderedPageBreak/>
              <w:t>centrului de informare din statul său de reședință; dovada existenței interesului legitim este în sarcina persoanei care face solicitarea; furnizarea acestei informații se face în conformitate cu prevederile legislației privind prelucrarea datelor cu caracter personal şi libera circulație a acestor date.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păstrează evidența datelor menționate la lit. (a) și (b) pentru o perioadă de 7 ani după ce înmatricularea vehiculului sau contractul de asigurare a luat sfîrșit.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În scopul îndeplinirii atribuțiilor prevăzute la alin. (1) lit. b), Biroul Național are drept de acces și pentru consultarea evidențelor cu vehiculele înmatriculate în Republica Moldova, administrate de autoritățile publice, în condiții stabilite de către autoritatea de supraveghere.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Solicitarea prevăzută la alin. (1) lit. b) se poate face de către persoana prejudiciată, în mod direct sau prin intermediul centrului de informare din statul de reședință.</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Furnizarea de date cu caracter personal potrivit alin. (1) lit. b) se face în conformitate cu prevederile Legii privind protecția datelor cu caracter personal, cu modificările şi completările ulterioare, ce se referă la prelucrarea şi libera circulație a acestor date.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 xml:space="preserve">Biroul Național nu poate prelucra datele cu caracter personal la care are acces potrivit alin. (2) în alte scopuri decât cele prevăzute de prezenta lege.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Prin protocolul prevăzut la alin. (2) se stabilesc inclusiv măsurile de natură organizatorică şi tehnică pentru asigurarea securității prelucrării datelor cu caracter personal efectuate, în condițiile legislației privind protecția datelor cu caracter personal.</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Articolul 23.</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Informația despre accident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Organul de poliție, altă autoritate publică competentă să constate şi să investigheze accidentul de vehicul vor prezenta în termen de 15 zile lucrătoare, la cererea asigurătorului, asiguratului şi/sau a persoanei păgubite, documente şi date referitoare la cauzele şi circumstanțele producerii accidentului necesare stabilirii despăgubirilor.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 xml:space="preserve">Biroul Național al Asigurătorilor de Autovehicule va acorda, la cererea autorității de supraveghere și a altor părți vizate în mod legitim, informație despre vehiculele înregistrate în Republica Moldova și implicate în accidente de vehicule produse în afara hotarelor ei, precum şi date despre vehiculele înregistrate în străinătate și implicate în accidente de vehicul produse pe teritoriul Republicii Moldova.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Forma şi modul de prezentare a informației despre accidentul de vehicul se stabilesc de către Ministerul Afacerilor Interne, în comun cu autoritatea de supraveghere şi cu Biroul Național al Asigurătorilor de Autovehicule.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 xml:space="preserve">Autoritățile publice, organizațiile şi cetățenii sînt obligați să prezinte gratuit, la solicitarea asigurătorilor, asiguraților şi/sau a persoanelor păgubite, informații despre accidentul de vehicul.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 xml:space="preserve">Ministerul Afacerilor Interne şi Agenția Servicii Publice vor </w:t>
            </w:r>
            <w:r w:rsidRPr="009E6EEA">
              <w:rPr>
                <w:rFonts w:ascii="Times New Roman" w:eastAsia="Calibri" w:hAnsi="Times New Roman" w:cs="Times New Roman"/>
                <w:sz w:val="18"/>
                <w:szCs w:val="18"/>
                <w:lang w:val="ro-MD"/>
              </w:rPr>
              <w:lastRenderedPageBreak/>
              <w:t>prezenta informații necesare pentru buna funcționare a sistemului informațional privind asigurarea RCA în mod continuu și în timp util.</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24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Organismele de despăgubire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(1) Fiecare stat membru creează sau autorizează un organism de despăgubire însărcinat cu despăgubirea persoanelor vătămate în cazurile prevăzute la articolul 20 alineatul (1).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Persoanele vătămate pot prezenta o cerere organismului de despăgubire din statul membru în care își au reședința: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în cazul în care, în termen de trei luni de la data la care persoana vătămată a prezentat o cerere de despăgubire întreprinderii de asigurare a vehiculului a cărui circulație a provocat accidentul sau reprezentantului său însărcinat cu soluționarea cererilor de despăgubire, întreprinderea de asigurare sau reprezentantul său însărcinat cu soluționarea cererilor de despăgubire nu a dat un răspuns justificat elementelor solicitate în cerere; sau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(b) în cazul în care întreprinderea de asigurare nu a desemnat un reprezentant însărcinat cu soluționarea cererilor de despăgubire în statul membru de reședință al persoanei vătămate în conformitate cu articolul 20 alineatul (1); în acest caz, persoanele vătămate nu pot prezenta o cerere organismului de despăgubire dacă au prezentat deja o cerere de despăgubire direct întreprinderii de asigurare a vehiculului a cărui circulație a provocat accidentul și dacă au primit un răspuns justificat în termen de trei luni de la data prezentării cererii.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Cu toate acestea, persoanele vătămate nu pot prezenta o cerere organismului de despăgubire în cazul în care au inițiat o acțiune directă în justiție împotriva întreprinderii de asigurare.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Organismul de despăgubire intervine în termen de două luni începând cu data la care persoana vătămată i-a prezentat cererea de despăgubire, dar nu mai intervine în cazul în care întreprinderea de asigurare sau reprezentantul său însărcinat cu soluționarea cererilor de despăgubire a dat un răspuns justificat la această cerere.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Organismul de despăgubire informează de îndată: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întreprinderea de asigurare a vehiculului a cărui circulație a provocat accidentul sau reprezentantul însărcinat cu soluționarea cererilor de despăgubire;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(b) organismul de despăgubire din statul membru în care are sediul întreprinderea de asigurare care a încheiat contractul; </w:t>
            </w:r>
          </w:p>
          <w:p w:rsidR="004F290A" w:rsidRPr="009E6EEA" w:rsidRDefault="004F290A" w:rsidP="004F290A">
            <w:pPr>
              <w:pageBreakBefore/>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 persoana care a provocat accidentul, în cazul în care a fost identificată, de faptul că a primit o cerere de despăgubire din partea persoanei vătămate și că va răspunde la aceasta în termen de două luni </w:t>
            </w:r>
            <w:r w:rsidRPr="009E6EEA">
              <w:rPr>
                <w:rFonts w:ascii="Times New Roman" w:eastAsia="Calibri" w:hAnsi="Times New Roman" w:cs="Times New Roman"/>
                <w:color w:val="000000"/>
                <w:sz w:val="18"/>
                <w:szCs w:val="18"/>
                <w:lang w:eastAsia="ru-RU"/>
              </w:rPr>
              <w:lastRenderedPageBreak/>
              <w:t xml:space="preserve">de la data prezentării cererii în cauză.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Această dispoziție nu aduce atingere dreptului statelor membre de a acorda despăgubirii date de acest organism un caracter subsidiar sau nu și de a prevedea soluționarea cererilor de despăgubire între acest organism și persoana sau persoanele care au provocat accidentul și celelalte întreprinderi de asigurare sau organisme de asistență socială obligate să indemnizeze persoana vătămată pentru același accident.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Cu toate acestea, statele membre nu pot autoriza organismul să subordoneze plata despăgubirii altor condiții decât celor stabilite în prezenta directivă, mai ales condiției ca persoana vătămată să arate prin orice mijloc că persoana responsabilă nu este în măsură sau refuză să plătească.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(2) Organismul de despăgubire care a despăgubit persoana vătămată în statul membru în care aceasta are reședința are dreptul să ceară rambursarea sumei plătite cu titlu de despăgubire de la organismul de despăgubire din statul membru în care se află sediul întreprinderii de asigurare care a încheiat contractul.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Acest organism de despăgubire se subrogă în drepturile persoanei vătămate, față de persoana care a provocat accidentul sau față de întreprinderea de asigurare a acesteia, în măsura în care organismul de despăgubire din statul membru de reședință al persoanei vătămate a despăgubit-o pe aceasta pentru prejudiciul suferit.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Fiecare stat membru este obligat să recunoască subrogarea stabilită de orice alt stat membru.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(3) Prezentul articol intră în vigoare: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după încheierea unui acord între organismele de despăgubire create sau autorizate de către statele membre, în ceea ce privește sarcinile și obligațiile lor și modalitățile de rambursare; </w:t>
            </w:r>
          </w:p>
          <w:p w:rsidR="004F290A" w:rsidRPr="009E6EEA" w:rsidRDefault="004F290A" w:rsidP="004F290A">
            <w:pPr>
              <w:autoSpaceDE w:val="0"/>
              <w:autoSpaceDN w:val="0"/>
              <w:adjustRightInd w:val="0"/>
              <w:spacing w:after="0" w:line="240" w:lineRule="auto"/>
              <w:jc w:val="both"/>
              <w:rPr>
                <w:rFonts w:ascii="EUAlbertina" w:eastAsia="Calibri" w:hAnsi="EUAlbertina" w:cs="EUAlbertina"/>
                <w:color w:val="000000"/>
                <w:sz w:val="19"/>
                <w:szCs w:val="19"/>
                <w:lang w:eastAsia="ru-RU"/>
              </w:rPr>
            </w:pPr>
            <w:r w:rsidRPr="009E6EEA">
              <w:rPr>
                <w:rFonts w:ascii="Times New Roman" w:eastAsia="Calibri" w:hAnsi="Times New Roman" w:cs="Times New Roman"/>
                <w:color w:val="000000"/>
                <w:sz w:val="18"/>
                <w:szCs w:val="18"/>
                <w:lang w:eastAsia="ru-RU"/>
              </w:rPr>
              <w:t>(b) începând cu data fixată de către Comisie după ce aceasta a constatat, în strânsă legătură cu statele membre, că s-a încheiat un astfel de acord.</w:t>
            </w:r>
            <w:r w:rsidRPr="009E6EEA">
              <w:rPr>
                <w:rFonts w:ascii="EUAlbertina" w:eastAsia="Calibri" w:hAnsi="EUAlbertina" w:cs="EUAlbertina"/>
                <w:color w:val="000000"/>
                <w:sz w:val="19"/>
                <w:szCs w:val="19"/>
                <w:lang w:eastAsia="ru-RU"/>
              </w:rPr>
              <w:t xml:space="preserve"> </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38.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Competențele Biroului Național în calitate de organism de plată a despăgubirilor</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Biroul Național, în calitate de organism de plată a despăgubirilor, garantează, fără a avea beneficiu de discuție, despăgubirea persoanelor prejudiciate, care au fost vătămate în urma accidentelor de vehicule.</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33.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Funcțiile și atribuțiile Biroului Național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Atribuțiile principale ale Biroului Național sînt: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să supravegheze modul în care membrii săi exercită drepturile şi îndeplinesc obligațiile ce derivă din contractele de asigurare obligatorie de răspundere civilă auto externe;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 xml:space="preserve">să administreze şi să utilizeze mijloacele Fondului de protecție a victimelor străzii şi cele ale Fondului de compensare, constituite conform prezentei legi;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să instrumenteze şi să lichideze, direct sau prin intermediar, daunele cauzate în accidente de vehicul produse pe teritoriul Republicii Moldova de autoturisme înmatriculate în străinătate, potrivit Regulamentului general al Consiliului Birourilor;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d)</w:t>
            </w:r>
            <w:r w:rsidRPr="009E6EEA">
              <w:rPr>
                <w:rFonts w:ascii="Times New Roman" w:eastAsia="Calibri" w:hAnsi="Times New Roman" w:cs="Times New Roman"/>
                <w:sz w:val="18"/>
                <w:szCs w:val="18"/>
                <w:lang w:val="ro-MD"/>
              </w:rPr>
              <w:tab/>
              <w:t xml:space="preserve">să reprezinte Republica Moldova în relațiile externe din cadrul Consiliului Birourilor;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e)</w:t>
            </w:r>
            <w:r w:rsidRPr="009E6EEA">
              <w:rPr>
                <w:rFonts w:ascii="Times New Roman" w:eastAsia="Calibri" w:hAnsi="Times New Roman" w:cs="Times New Roman"/>
                <w:sz w:val="18"/>
                <w:szCs w:val="18"/>
                <w:lang w:val="ro-MD"/>
              </w:rPr>
              <w:tab/>
              <w:t xml:space="preserve">să reprezinte în fața autorităților, inclusiv a instanțelor de judecată, din Republica Moldova, direct sau prin intermediar desemnat, societățile de asigurare străine care efectuează asigurarea “Carte Verde” și să apere drepturile şi interesele acestora;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f)</w:t>
            </w:r>
            <w:r w:rsidRPr="009E6EEA">
              <w:rPr>
                <w:rFonts w:ascii="Times New Roman" w:eastAsia="Calibri" w:hAnsi="Times New Roman" w:cs="Times New Roman"/>
                <w:sz w:val="18"/>
                <w:szCs w:val="18"/>
                <w:lang w:val="ro-MD"/>
              </w:rPr>
              <w:tab/>
              <w:t xml:space="preserve">să încheie, să semneze şi să denunțe acorduri cu celelalte birouri naționale sau acorduri bilaterale cu birourile naționale de compensație care nu au aderat la Acordul dintre birourile naționale de asigurări, dar care emit documente de asigurare similare;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g)</w:t>
            </w:r>
            <w:r w:rsidRPr="009E6EEA">
              <w:rPr>
                <w:rFonts w:ascii="Times New Roman" w:eastAsia="Calibri" w:hAnsi="Times New Roman" w:cs="Times New Roman"/>
                <w:sz w:val="18"/>
                <w:szCs w:val="18"/>
                <w:lang w:val="ro-MD"/>
              </w:rPr>
              <w:tab/>
              <w:t>să utilizeze, în comun cu autoritatea de supraveghere, un sistem informațional unic aferent asigurării obligatorii de răspundere civilă auto;</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h)</w:t>
            </w:r>
            <w:r w:rsidRPr="009E6EEA">
              <w:rPr>
                <w:rFonts w:ascii="Times New Roman" w:eastAsia="Calibri" w:hAnsi="Times New Roman" w:cs="Times New Roman"/>
                <w:sz w:val="18"/>
                <w:szCs w:val="18"/>
                <w:lang w:val="ro-MD"/>
              </w:rPr>
              <w:tab/>
              <w:t xml:space="preserve">să stabilească şi să aplice sancțiuni, cu excepția suspendării sau încetării calității de membru, pentru nerespectarea prevederilor statutului şi/sau a prevederilor Regulamentului general al Consiliului Birourilor și să informeze autoritatea de supraveghere;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w:t>
            </w:r>
            <w:r w:rsidRPr="009E6EEA">
              <w:rPr>
                <w:rFonts w:ascii="Times New Roman" w:eastAsia="Calibri" w:hAnsi="Times New Roman" w:cs="Times New Roman"/>
                <w:sz w:val="18"/>
                <w:szCs w:val="18"/>
                <w:lang w:val="ro-MD"/>
              </w:rPr>
              <w:tab/>
              <w:t xml:space="preserve">să aplice membrilor săi penalități în mărime de 12% anual, calculate din suma datorată de membru începînd cu data chemării Biroului </w:t>
            </w:r>
            <w:r w:rsidRPr="009E6EEA">
              <w:rPr>
                <w:rFonts w:ascii="Times New Roman" w:eastAsia="Calibri" w:hAnsi="Times New Roman" w:cs="Times New Roman"/>
                <w:sz w:val="18"/>
                <w:szCs w:val="18"/>
                <w:lang w:val="ro-MD"/>
              </w:rPr>
              <w:lastRenderedPageBreak/>
              <w:t>Național în garanție şi pînă la data achitării efective de către membru a sumei datorate. Penalitățile aplicate sînt achitate la bugetul Biroului Național;</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7.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Reprezentantul de despăgubiri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Asigurătorul de răspundere civilă auto este obligat să numească în fiecare municipiu din Republica Moldova  câte un reprezentant responsabil de stabilirea și soluționarea daunelor cauzate de vehicule supuse obligației de asigurare în Republica Moldova.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Reprezentantul de despăgubiri este împuternicit să instrumenteze cazurile de daună în numele şi în contul asigurătorului RCA şi să reprezinte asigurătorul RCA. În acest scop, reprezentantul de despăgubiri întocmește dosarul de daună şi ia toate măsurile necesare pentru soluționarea cererilor de despăgubire pretinse de persoana vătămată, pentru prejudiciile cauzate în urma unui accident de vehicule pentru care asigurarea obligatorie RCA a fost emisă de către un asigurător RCA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Reprezentantul de despăgubiri poate acționa în numele mai multor asigurători RCA.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Reprezentantul de despăgubiri trebuie să fie mandatat să reprezinte asigurătorul RCA cu puteri depline, inclusiv cu drept de dispoziție în fața persoanei vătămate, să i se atribuie competența necesară pentru a răspunde cererilor de despăgubire justificate ale părții vătămate.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Numirea unui reprezentant de despăgubiri nu exclude dreptul persoanei vătămate de a acționa direct împotriva persoanei care a cauzat prejudiciul sau a asigurătorului RCA al acesteia, după caz.</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Asigurătorul RCA este obligat să informeze autoritatea de supraveghere cu privire la numele și prenumele, data nașterii şi adresa (sucursalei/subdiviziunii asigurătorului RCA ) în care va desfășura activitatea reprezentantulde despăgubiri, în cazul în care acesta este reprezentat de o persoană fizică, sau cu privire la denumire şi sediu, în cazul în care reprezentantul de despăgubiri este o persoană juridică, precum şi cu privire la toate modificările în privința reprezentanților, în termen de 7 zile lucrătoare de la numire ori modificare.</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Parțial 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Nu este prevăzut expres un organism de despăgubire. Totodată, Biroul Național al Asigurătorilor de Autovehicule este cel care instrumentează şi lichidează, direct sau prin intermediar, daunele cauzate în accidente de vehicul produse pe teritoriul Republicii Moldova de autoturisme înmatriculate în străinătate, potrivit Regulamentului general al Consiliului Birourilor.</w:t>
            </w:r>
          </w:p>
          <w:p w:rsidR="004F290A" w:rsidRPr="009E6EEA" w:rsidRDefault="004F290A" w:rsidP="004F290A">
            <w:pPr>
              <w:shd w:val="clear" w:color="auto" w:fill="FFFFFF"/>
              <w:spacing w:after="0" w:line="240" w:lineRule="auto"/>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Daunele produse pe teritoriul RM în baza contractelor RCA (interne) </w:t>
            </w:r>
            <w:r w:rsidRPr="009E6EEA">
              <w:rPr>
                <w:rFonts w:ascii="Times New Roman" w:eastAsia="Calibri" w:hAnsi="Times New Roman" w:cs="Times New Roman"/>
                <w:sz w:val="18"/>
                <w:szCs w:val="18"/>
                <w:lang w:val="ro-MD"/>
              </w:rPr>
              <w:lastRenderedPageBreak/>
              <w:t>sunt gestionate prin reprezentanți de despăgubiri ai asigurătorilor licențiați.</w:t>
            </w: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25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Despăgubirea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(1) În cazul în care nu este posibilă identificarea vehiculului sau în cazul în care în termen de 2 luni care curge de la accident este imposibil de identificat întreprinderea de asigurare, persoana vătămată poate prezenta o cerere de despăgubire organismului de despăgubire din statul membru în care este rezidentă.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Despăgubirea este vărsată în conformitate cu dispozițiile articolelor 9 si 10.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În acest caz, în condițiile prevăzute la articolul 24 alineatul (2), organismul de despăgubire are o creanță: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(a) asupra fondului de garantare al statului membru în care vehiculul </w:t>
            </w:r>
            <w:r w:rsidRPr="009E6EEA">
              <w:rPr>
                <w:rFonts w:ascii="Times New Roman" w:eastAsia="Calibri" w:hAnsi="Times New Roman" w:cs="Times New Roman"/>
                <w:color w:val="000000"/>
                <w:sz w:val="18"/>
                <w:szCs w:val="18"/>
                <w:lang w:eastAsia="ru-RU"/>
              </w:rPr>
              <w:lastRenderedPageBreak/>
              <w:t xml:space="preserve">staționează în mod obișnuit, în cazul în care întreprinderea de asigurare nu poate fi identificată;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(b) asupra fondului de garantare al statului membru în care a avut loc accidentul, în cazul unui vehicul neidentificat;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(c) asupra fondului de garantare al statului membru în care a avut loc accidentul, în cazul unui vehicul dintr-o țară terță.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(2) Prezentul articol se aplică accidentelor provocate de vehicule din țări terțe acoperite de articolele 7 și 8. </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38.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Competențele Biroului Național în calitate de organism de plată a despăgubirilor</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Biroul Național, în calitate de organism de plată a despăgubirilor, garantează, fără a avea beneficiu de discuție, despăgubirea persoanelor prejudiciate, care au fost vătămate în urma accidentelor de vehicule.</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40.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Fondul de compensare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b/>
                <w:sz w:val="18"/>
                <w:szCs w:val="18"/>
                <w:lang w:val="ro-MD"/>
              </w:rPr>
              <w:t>(</w:t>
            </w: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Biroul Național administrează şi utilizează, în strictă conformitate cu Regulamentul general al Consiliului Birourilor, mijloacele </w:t>
            </w:r>
            <w:r w:rsidRPr="009E6EEA">
              <w:rPr>
                <w:rFonts w:ascii="Times New Roman" w:eastAsia="Calibri" w:hAnsi="Times New Roman" w:cs="Times New Roman"/>
                <w:sz w:val="18"/>
                <w:szCs w:val="18"/>
                <w:lang w:val="ro-MD"/>
              </w:rPr>
              <w:lastRenderedPageBreak/>
              <w:t xml:space="preserve">financiare ale Fondului de compensare, instituit pentru a garanta: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 xml:space="preserve">rambursarea către birourile naționale din străinătate a sumelor plătite de către acestea cu titlu de despăgubire pentru pagubele produse de către deținători de certificate de asigurare Carte Verde;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reparația pagubelor produse de către deținătorii de certificate de asigurare Carte Verde false, neautorizate sau modificate;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plata sumelor datorate către persoanele păgubite în Republica Moldova pentru a compensa pagubele cauzate de către deținătorii de certificate de asigurare Carte Verde emise de asigurătorii din străinătate.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Fondul de compensare are ca resurse financiare contribuțiile asigurătorilor licențiați pentru asigurare obligatorie de</w:t>
            </w:r>
            <w:r w:rsidRPr="009E6EEA">
              <w:rPr>
                <w:rFonts w:ascii="Times New Roman" w:eastAsia="Calibri" w:hAnsi="Times New Roman" w:cs="Times New Roman"/>
                <w:b/>
                <w:sz w:val="18"/>
                <w:szCs w:val="18"/>
                <w:lang w:val="ro-MD"/>
              </w:rPr>
              <w:t xml:space="preserve"> </w:t>
            </w:r>
            <w:r w:rsidRPr="009E6EEA">
              <w:rPr>
                <w:rFonts w:ascii="Times New Roman" w:eastAsia="Calibri" w:hAnsi="Times New Roman" w:cs="Times New Roman"/>
                <w:sz w:val="18"/>
                <w:szCs w:val="18"/>
                <w:lang w:val="ro-MD"/>
              </w:rPr>
              <w:t>răspundere civilă auto externă</w:t>
            </w:r>
            <w:r w:rsidRPr="009E6EEA">
              <w:rPr>
                <w:rFonts w:ascii="Times New Roman" w:eastAsia="Calibri" w:hAnsi="Times New Roman" w:cs="Times New Roman"/>
                <w:b/>
                <w:sz w:val="18"/>
                <w:szCs w:val="18"/>
                <w:lang w:val="ro-MD"/>
              </w:rPr>
              <w:t xml:space="preserve">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26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Organismul central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Statele membre iau toate măsurile corespunzătoare pentru a facilita punerea, în timp util, la dispoziția victimelor, asigurătorilor acestora sau reprezentanților lor legali a datelor esențiale necesare pentru soluționarea cererilor de despăgubire. Aceste date esențiale sunt, după caz, puse la dispoziție sub formă electronică într-un depozit central în fiecare stat membru și sunt accesibile părților implicate în acest caz, la cererea lor expresă.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23.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Informația despre accident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Organul de poliție, altă autoritate publică competentă să constate şi să investigheze accidentul de vehicul vor prezenta în termen de 15 zile lucrătoare, la cererea asigurătorului, asiguratului şi/sau a persoanei păgubite, documente şi date referitoare la cauzele şi circumstanțele producerii accidentului necesare stabilirii despăgubirilor.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 xml:space="preserve">Biroul Național al Asigurătorilor de Autovehicule va acorda, la cererea autorității de supraveghere și a altor părți vizate în mod legitim, informație despre vehiculele înregistrate în Republica Moldova și implicate în accidente de vehicule produse în afara hotarelor ei, precum şi date despre vehiculele înregistrate în străinătate și implicate în accidente de vehicul produse pe teritoriul Republicii Moldova.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Forma şi modul de prezentare a informației despre accidentul de vehicul se stabilesc de către Ministerul Afacerilor Interne, în comun cu autoritatea de supraveghere şi cu Biroul Național al Asigurătorilor de Autovehicule.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 xml:space="preserve">Autoritățile publice, organizațiile şi cetățenii sînt obligați să prezinte gratuit, la solicitarea asigurătorilor, asiguraților şi/sau a persoanelor păgubite, informații despre accidentul de vehicul.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Ministerul Afacerilor Interne şi Agenția Servicii Publice vor prezenta informații necesare pentru buna funcționare a sistemului informațional privind asigurarea RCA în mod continuu și în timp util.</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41.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Competențele Biroului Național în calitate de centru de informare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Biroul Național, în calitate de centru de informare, are următoarele atribuții și obligații: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 xml:space="preserve">furnizează, la solicitarea persoanelor păgubite sau a centrelor de informare din celelalte state semnatare ale Acordului cu privire la schimbul de informații între centrele de informare, date privind: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w:t>
            </w:r>
            <w:r w:rsidRPr="009E6EEA">
              <w:rPr>
                <w:rFonts w:ascii="Times New Roman" w:eastAsia="Calibri" w:hAnsi="Times New Roman" w:cs="Times New Roman"/>
                <w:sz w:val="18"/>
                <w:szCs w:val="18"/>
                <w:lang w:val="ro-MD"/>
              </w:rPr>
              <w:tab/>
              <w:t xml:space="preserve">numele şi adresa asigurătorului RCA pentru vehiculul condus de persoana responsabilă de producerea accidentului;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(ii)</w:t>
            </w:r>
            <w:r w:rsidRPr="009E6EEA">
              <w:rPr>
                <w:rFonts w:ascii="Times New Roman" w:eastAsia="Calibri" w:hAnsi="Times New Roman" w:cs="Times New Roman"/>
                <w:sz w:val="18"/>
                <w:szCs w:val="18"/>
                <w:lang w:val="ro-MD"/>
              </w:rPr>
              <w:tab/>
              <w:t xml:space="preserve">numele şi adresa reprezentantului de despăgubiri al asigurătorului RCA, emitent al contractului RCA pentru vehiculul condus de către conducătorul auto vinovat de producerea accidentului, în statul de </w:t>
            </w:r>
            <w:r w:rsidRPr="009E6EEA">
              <w:rPr>
                <w:rFonts w:ascii="Times New Roman" w:eastAsia="Calibri" w:hAnsi="Times New Roman" w:cs="Times New Roman"/>
                <w:sz w:val="18"/>
                <w:szCs w:val="18"/>
                <w:lang w:val="ro-MD"/>
              </w:rPr>
              <w:lastRenderedPageBreak/>
              <w:t>reședință al persoanei prejudiciate;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(iii)</w:t>
            </w:r>
            <w:r w:rsidRPr="009E6EEA">
              <w:rPr>
                <w:rFonts w:ascii="Times New Roman" w:eastAsia="Calibri" w:hAnsi="Times New Roman" w:cs="Times New Roman"/>
                <w:sz w:val="18"/>
                <w:szCs w:val="18"/>
                <w:lang w:val="ro-MD"/>
              </w:rPr>
              <w:tab/>
              <w:t xml:space="preserve"> numărul contractului RCA;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(iv)</w:t>
            </w:r>
            <w:r w:rsidRPr="009E6EEA">
              <w:rPr>
                <w:rFonts w:ascii="Times New Roman" w:eastAsia="Calibri" w:hAnsi="Times New Roman" w:cs="Times New Roman"/>
                <w:sz w:val="18"/>
                <w:szCs w:val="18"/>
                <w:lang w:val="ro-MD"/>
              </w:rPr>
              <w:tab/>
              <w:t xml:space="preserve">numele şi adresa organului autorizat să primească şi să soluționeze cererile de despăgubire în statul de reședință al persoanei prejudiciate, pentru vehiculul condus de către conducătorul auto vinovat de producerea accidentului sau pentru cazul în care proprietarul vehiculului respectiv beneficiază de derogare de la obligativitatea încheierii contractului RCA;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furnizează, la solicitarea persoanelor prejudiciate care prezintă un interes legitim, numele şi adresa proprietarului, ale conducătorului auto obișnuit sau ale utilizatorului vehiculului condus de către conducătorul auto vinovat de producerea accidentului; această informație poate fi solicitată de către persoana prejudiciată în mod direct sau prin intermediul centrului de informare din statul său de reședință; dovada existenței interesului legitim este în sarcina persoanei care face solicitarea; furnizarea acestei informații se face în conformitate cu prevederile legislației privind prelucrarea datelor cu caracter personal şi libera circulație a acestor date.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păstrează evidența datelor menționate la lit. (a) și (b) pentru o perioadă de 7 ani după ce înmatricularea vehiculului sau contractul de asigurare a luat sfîrșit.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În scopul îndeplinirii atribuțiilor prevăzute la alin. (1) lit. b), Biroul Național are drept de acces și pentru consultarea evidențelor cu vehiculele înmatriculate în Republica Moldova, administrate de autoritățile publice, în condiții stabilite de către autoritatea de supraveghere.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6.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Exigențele față de asigurătorul de răspundere civilă auto</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Asigurătorul poate practica asigurare obligatorie de răspundere civilă auto internă dacă îndeplinește cumulativ, suplimentar la cerințele stabilite prin Legea cu privire la activitatea de asigurare și/sau reasigurare următoarele condiții: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a) dispune de cel puțin cîte un reprezentant de despăgubiri în fiecare municipiu din Republica Moldova;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 dispune de dotare cu tehnică de calcul şi sisteme informatice adecvate şi de personal care să permită ținerea evidenței detaliate a documentelor de asigurare şi centralizarea informațiilor/datelor colectate şi are capacitatea de a comunica pe cale electronică aceste informații către un sistem informațional unic constituit de către autoritatea de supraveghere. În acest sens, este obligatoriu ca sistemul informațional al asigurătorului să permită transmiterea în regim on-line, prin tehnologii web și comunicarea informațiilor despre asigurarea obligatorie de răspundere civilă auto între sediul central și/sau sucursalele/subdiviziunile autorizate ale asigurătorului şi autoritatea de supraveghere;</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lastRenderedPageBreak/>
              <w:t xml:space="preserve">Articolul 27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Sancțiuni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r w:rsidRPr="009E6EEA">
              <w:rPr>
                <w:rFonts w:ascii="Times New Roman" w:eastAsia="Calibri" w:hAnsi="Times New Roman" w:cs="Times New Roman"/>
                <w:color w:val="000000"/>
                <w:sz w:val="18"/>
                <w:szCs w:val="18"/>
                <w:lang w:eastAsia="ru-RU"/>
              </w:rPr>
              <w:t xml:space="preserve">Statele membre stabilesc regimul sancțiunilor aplicabile în cazul încălcării dispozițiilor de drept intern adoptate pentru aducerea la </w:t>
            </w:r>
            <w:r w:rsidRPr="009E6EEA">
              <w:rPr>
                <w:rFonts w:ascii="Times New Roman" w:eastAsia="Calibri" w:hAnsi="Times New Roman" w:cs="Times New Roman"/>
                <w:color w:val="000000"/>
                <w:sz w:val="18"/>
                <w:szCs w:val="18"/>
                <w:lang w:eastAsia="ru-RU"/>
              </w:rPr>
              <w:lastRenderedPageBreak/>
              <w:t>îndeplinire a prezentei directive, luând orice măsură necesară pentru a asigura punerea în aplicare a acestora. Sancțiunile astfel prevăzute trebuie să fie eficiente, proporționale și să aibă un efect descurajant. Statele membre notifică Comisiei orice modificare a dispozițiilor adoptate în aplicarea prezentului articol, cât mai curând posibil.</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 xml:space="preserve">Articolul 10.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Suspendarea, rezoluțiunea şi încetarea contractului de asigurare. Comunicarea de informații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 xml:space="preserve">Persoana asigurată are obligaţia ca, pe toată durata suspendării </w:t>
            </w:r>
            <w:r w:rsidRPr="009E6EEA">
              <w:rPr>
                <w:rFonts w:ascii="Times New Roman" w:eastAsia="Calibri" w:hAnsi="Times New Roman" w:cs="Times New Roman"/>
                <w:sz w:val="18"/>
                <w:szCs w:val="18"/>
                <w:lang w:val="ro-MD"/>
              </w:rPr>
              <w:lastRenderedPageBreak/>
              <w:t>contractului RCA, să imobilizeze vehiculul într-un spaţiu privat, în afara domeniului public. Neîndeplinirea acestei obligaţii este asimilată cu neîndeplinirea obligaţiei de asigurare şi încălcarea obligaţiei de a depune plăcuţele de înmatriculare şi se sancţionează contravenţional conform legislației în vigoare.</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33.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Funcțiile și atribuțiile Biroului Național </w:t>
            </w:r>
          </w:p>
          <w:p w:rsidR="004F290A" w:rsidRPr="009E6EEA" w:rsidRDefault="004F290A" w:rsidP="004F290A">
            <w:pPr>
              <w:numPr>
                <w:ilvl w:val="0"/>
                <w:numId w:val="91"/>
              </w:num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Atribuțiile principale ale Biroului Național sînt:</w:t>
            </w: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h)</w:t>
            </w:r>
            <w:r w:rsidRPr="009E6EEA">
              <w:rPr>
                <w:rFonts w:ascii="Times New Roman" w:eastAsia="Calibri" w:hAnsi="Times New Roman" w:cs="Times New Roman"/>
                <w:sz w:val="18"/>
                <w:szCs w:val="18"/>
                <w:lang w:val="ro-MD"/>
              </w:rPr>
              <w:tab/>
              <w:t xml:space="preserve">să stabilească şi să aplice sancțiuni, cu excepția suspendării sau încetării calității de membru, pentru nerespectarea prevederilor statutului şi/sau a prevederilor Regulamentului general al Consiliului Birourilor și să informeze autoritatea de supraveghere; </w:t>
            </w: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i)</w:t>
            </w:r>
            <w:r w:rsidRPr="009E6EEA">
              <w:rPr>
                <w:rFonts w:ascii="Times New Roman" w:eastAsia="Calibri" w:hAnsi="Times New Roman" w:cs="Times New Roman"/>
                <w:sz w:val="18"/>
                <w:szCs w:val="18"/>
                <w:lang w:val="ro-MD"/>
              </w:rPr>
              <w:tab/>
              <w:t>să aplice membrilor săi penalități în mărime de 12% anual, calculate din suma datorată de membru începînd cu data chemării Biroului Național în garanție şi pînă la data achitării efective de către membru a sumei datorate. Penalitățile aplicate sînt achitate la bugetul Biroului Național;</w:t>
            </w: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Articolul 43. Controlul activității de asigurare obligatorie de răspundere civilă auto</w:t>
            </w: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Exploatarea pe teritoriul Republicii Moldova a autovehiculului fără asigurare obligatorie de răspundere civilă auto internă sau, după caz, fără document internațional de asigurare valabil în Republica Moldova se sancţionează în conformitate cu legislaţia contravențională în vigoare.</w:t>
            </w: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44. </w:t>
            </w: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Asigurarea de frontieră</w:t>
            </w: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(10)</w:t>
            </w:r>
            <w:r w:rsidRPr="009E6EEA">
              <w:rPr>
                <w:rFonts w:ascii="Times New Roman" w:eastAsia="Calibri" w:hAnsi="Times New Roman" w:cs="Times New Roman"/>
                <w:sz w:val="18"/>
                <w:szCs w:val="18"/>
                <w:lang w:val="ro-MD"/>
              </w:rPr>
              <w:tab/>
              <w:t xml:space="preserve"> Conducătorii vehiculelor care nu își îndeplinesc obligaţia de a încheia asigurarea de frontieră sînt sancționați în conformitate cu prevederile legislației aplicabile în Republica Moldova.</w:t>
            </w: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45. </w:t>
            </w: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Dispoziții finale</w:t>
            </w:r>
          </w:p>
          <w:p w:rsidR="004F290A" w:rsidRPr="009E6EEA" w:rsidRDefault="004F290A" w:rsidP="004F290A">
            <w:pPr>
              <w:shd w:val="clear" w:color="auto" w:fill="FFFFFF"/>
              <w:spacing w:after="0" w:line="240" w:lineRule="auto"/>
              <w:ind w:left="107"/>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(7)</w:t>
            </w:r>
            <w:r w:rsidRPr="009E6EEA">
              <w:rPr>
                <w:rFonts w:ascii="Times New Roman" w:eastAsia="Calibri" w:hAnsi="Times New Roman" w:cs="Times New Roman"/>
                <w:sz w:val="18"/>
                <w:szCs w:val="18"/>
                <w:lang w:val="ro-MD"/>
              </w:rPr>
              <w:tab/>
              <w:t>Emiterea și vînzarea polițelor de asigurare RCA false sau falsificate și utilizarea pieselor sau ansamblurilor falsificate de către atelierele de reparațiiunitățile de specialitate pentru repararea vehiculelor avariate constituie o infracțiune care se sancționează conform Codului penal.</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lastRenderedPageBreak/>
              <w:t xml:space="preserve">CAPITOLUL 8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DISPOZIȚII FINALE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i/>
                <w:iCs/>
                <w:color w:val="000000"/>
                <w:sz w:val="18"/>
                <w:szCs w:val="18"/>
                <w:lang w:eastAsia="ru-RU"/>
              </w:rPr>
              <w:t xml:space="preserve">Articolul 28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b/>
                <w:bCs/>
                <w:color w:val="000000"/>
                <w:sz w:val="18"/>
                <w:szCs w:val="18"/>
                <w:lang w:eastAsia="ru-RU"/>
              </w:rPr>
              <w:t xml:space="preserve">Dispoziții interne </w:t>
            </w:r>
          </w:p>
          <w:p w:rsidR="004F290A" w:rsidRPr="009E6EEA" w:rsidRDefault="004F290A" w:rsidP="004F290A">
            <w:pPr>
              <w:autoSpaceDE w:val="0"/>
              <w:autoSpaceDN w:val="0"/>
              <w:adjustRightInd w:val="0"/>
              <w:spacing w:after="0" w:line="240" w:lineRule="auto"/>
              <w:jc w:val="both"/>
              <w:rPr>
                <w:rFonts w:ascii="Times New Roman" w:eastAsia="Calibri" w:hAnsi="Times New Roman" w:cs="Times New Roman"/>
                <w:color w:val="000000"/>
                <w:sz w:val="18"/>
                <w:szCs w:val="18"/>
                <w:lang w:eastAsia="ru-RU"/>
              </w:rPr>
            </w:pPr>
            <w:r w:rsidRPr="009E6EEA">
              <w:rPr>
                <w:rFonts w:ascii="Times New Roman" w:eastAsia="Calibri" w:hAnsi="Times New Roman" w:cs="Times New Roman"/>
                <w:color w:val="000000"/>
                <w:sz w:val="18"/>
                <w:szCs w:val="18"/>
                <w:lang w:eastAsia="ru-RU"/>
              </w:rPr>
              <w:t xml:space="preserve">(1) Statele membre pot, în conformitate cu tratatul, să mențină și să pună în vigoare dispoziții mai favorabile pentru persoana vătămată decât dispozițiile necesare aducerii la îndeplinire a prezentei directive. </w:t>
            </w:r>
          </w:p>
          <w:p w:rsidR="004F290A" w:rsidRPr="009E6EEA" w:rsidRDefault="004F290A" w:rsidP="004F290A">
            <w:pPr>
              <w:shd w:val="clear" w:color="auto" w:fill="FFFFFF"/>
              <w:spacing w:after="0" w:line="240" w:lineRule="auto"/>
              <w:jc w:val="both"/>
              <w:rPr>
                <w:rFonts w:ascii="Times New Roman" w:eastAsia="Times New Roman" w:hAnsi="Times New Roman" w:cs="Times New Roman"/>
                <w:iCs/>
                <w:color w:val="000000"/>
                <w:sz w:val="18"/>
                <w:szCs w:val="18"/>
              </w:rPr>
            </w:pPr>
            <w:r w:rsidRPr="009E6EEA">
              <w:rPr>
                <w:rFonts w:ascii="Times New Roman" w:eastAsia="Calibri" w:hAnsi="Times New Roman" w:cs="Times New Roman"/>
                <w:color w:val="000000"/>
                <w:sz w:val="18"/>
                <w:szCs w:val="18"/>
                <w:lang w:eastAsia="ru-RU"/>
              </w:rPr>
              <w:t>(2) Comisiei îi sunt comunicate de către statele membre textele principalelor dispoziții de drept intern pe care le adoptă în domeniul reglementat de prezenta directivă.</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25.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Stabilirea despăgubirilor în cazul avarierii sau distrugerii vehiculului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Despăgubirea pentru avarierea sau distrugerea vehiculului nu poate depăși: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 xml:space="preserve">valoarea pagubei real suportate;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diferența dintre valoarea vehiculului la data producerii accidentului şi valoarea rămasă determinată de către evaluatori certificați;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limita despăgubirii prevăzută de prezenta lege.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 xml:space="preserve">În cazul daunei totale, valorile menționate la alin.(1) lit.b) sînt confirmate prin actul de evaluare întocmit de către expertul independent </w:t>
            </w:r>
            <w:r w:rsidRPr="009E6EEA">
              <w:rPr>
                <w:rFonts w:ascii="Times New Roman" w:eastAsia="Calibri" w:hAnsi="Times New Roman" w:cs="Times New Roman"/>
                <w:sz w:val="18"/>
                <w:szCs w:val="18"/>
                <w:lang w:val="ro-MD"/>
              </w:rPr>
              <w:lastRenderedPageBreak/>
              <w:t>sau unitatea de specialitate (atelier de reparații), acceptate de părți, ori, în cazul transmiterii integrale a vehiculului, sînt stabilite conform ofertei de achiziții a unității de specialitate (atelier de reparații) sau a cumpărătorului individual, aleasă prin concursul ofertelor de preţuri.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În cazul daunei parțiale, valoarea pagubei real suportate de vehicul este egală cu costul reparației părților componente sau a pieselor avariate ori, dacă este necesar, cu costul de înlocuire a acestora, inclusiv cheltuielile pentru materiale, pentru lucrările de demontare şi montare aferente reparațiilor şi înlocuirilor necesare.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 xml:space="preserve">Prin părți componente sau piese care trebuie înlocuite se înțeleg cele a căror reparație sau folosință nu mai este posibilă din punct de vedere tehnic din cauza gradului înalt de avariere ori cele a căror reparație este posibilă, dar costul ei, inclusiv cheltuielile pentru materiale, pentru demontare şi asamblare depășește valoarea de nou a părții componente sau a piesei respective, inclusiv cheltuielile pentru materiale, pentru demontare şi asamblare.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 xml:space="preserve">Costul reparației vehiculului se stabilește pe baza documentelor eliberate de unitatea de specialitate (atelierul de reparații) selectată de părți.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Se consideră necesară revopsirea integrală a vehiculului atunci cînd minimum 50% din suprafața exterioară totală a vehiculului este avariată.</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(7)</w:t>
            </w:r>
            <w:r w:rsidRPr="009E6EEA">
              <w:rPr>
                <w:rFonts w:ascii="Times New Roman" w:eastAsia="Calibri" w:hAnsi="Times New Roman" w:cs="Times New Roman"/>
                <w:sz w:val="18"/>
                <w:szCs w:val="18"/>
                <w:lang w:val="ro-MD"/>
              </w:rPr>
              <w:tab/>
              <w:t xml:space="preserve">Prețurile materialelor, părților componente și ale pieselor înlocuitoare sînt cele practicate de unitățile de specialitate (atelier de reparații), inclusiv din străinătate.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(8)</w:t>
            </w:r>
            <w:r w:rsidRPr="009E6EEA">
              <w:rPr>
                <w:rFonts w:ascii="Times New Roman" w:eastAsia="Calibri" w:hAnsi="Times New Roman" w:cs="Times New Roman"/>
                <w:sz w:val="18"/>
                <w:szCs w:val="18"/>
                <w:lang w:val="ro-MD"/>
              </w:rPr>
              <w:tab/>
              <w:t>În cazul în care piesele sau materialele necesare pentru repararea vehiculului sînt cumpărate în valută străină, costul lor este egal costului de achiziție prevăzut în actele de cheltuieli prezentate (inclusiv cheltuielile de transport, taxele vamale şi TVA aferentă), echivalat cu costul în lei moldovenești la cursul oficial al leului moldovenesc valabil la data plății facturii. În astfel de cazuri, costul părților componente, al pieselor sau al materialelor (cu condiția că acestea sînt comercializate în Republica Moldova) nu va depăși prețul de vînzare practicat de unitățile de specialitate (atelierele de reparații) din Republica Moldova.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(9)</w:t>
            </w:r>
            <w:r w:rsidRPr="009E6EEA">
              <w:rPr>
                <w:rFonts w:ascii="Times New Roman" w:eastAsia="Calibri" w:hAnsi="Times New Roman" w:cs="Times New Roman"/>
                <w:sz w:val="18"/>
                <w:szCs w:val="18"/>
                <w:lang w:val="ro-MD"/>
              </w:rPr>
              <w:tab/>
              <w:t>Dacă la unele părți componente pentru autovehicul nu există preţuri practicate de unitățile de specialitate, valoarea de nou a acestora se stabilește pe baza prețurilor din cataloagele pieselor de schimb sau, în lipsa acestora, prin analogie cu prețurile la părțile componente ale unor vehicule similare.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(10)</w:t>
            </w:r>
            <w:r w:rsidRPr="009E6EEA">
              <w:rPr>
                <w:rFonts w:ascii="Times New Roman" w:eastAsia="Calibri" w:hAnsi="Times New Roman" w:cs="Times New Roman"/>
                <w:sz w:val="18"/>
                <w:szCs w:val="18"/>
                <w:lang w:val="ro-MD"/>
              </w:rPr>
              <w:tab/>
              <w:t>În procesul evaluării pagubei, atunci cînd este necesară înlocuirea părților componente şi a pieselor, în cazul achitării despăgubirii prin virament în contul bancar al unității de specialitate, cuantumul despăgubirii de asigurare urmează a fi stabilit de asigurător ținînd cont de următoarele: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pentru vehicule cu o vechime de exploatare de pînă la 3 ani şi un parcurs de pînă la 100000 km, costul reparației vehiculului se stabilește pe baza documentelor emise de către unitatea de specialitate (atelierul de reparații) acceptată de părți. În acest caz, la reparația vehiculului se vor utiliza părți componente şi piese originale noi;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lastRenderedPageBreak/>
              <w:t>b)</w:t>
            </w:r>
            <w:r w:rsidRPr="009E6EEA">
              <w:rPr>
                <w:rFonts w:ascii="Times New Roman" w:eastAsia="Calibri" w:hAnsi="Times New Roman" w:cs="Times New Roman"/>
                <w:sz w:val="18"/>
                <w:szCs w:val="18"/>
                <w:lang w:val="ro-MD"/>
              </w:rPr>
              <w:tab/>
              <w:t xml:space="preserve">pentru vehicule cu o vechime de exploatare de 4 ani şi mai mult şi/sau un parcurs mai mare de 100000 km, costul reparației vehiculului se stabilește pe baza documentelor emise de către unitatea de specialitate (atelierul de reparații) acceptată de părți. În acest caz, la reparația vehiculului se vor utiliza părți componente şi piese noi fabricate în bază de licență (piese after market) sau originale foste în folosință care corespund cerințelor tehnice şi de securitate rutieră. În cazul cînd părțile componente şi piesele noi fabricate în bază de licență sau cele originale foste în folosință nu sînt disponibile pe piața autohtonă, paguba real suportată pentru vehicule se va determina conform prețului la părțile componente şi piesele originale noi.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(11)</w:t>
            </w:r>
            <w:r w:rsidRPr="009E6EEA">
              <w:rPr>
                <w:rFonts w:ascii="Times New Roman" w:eastAsia="Calibri" w:hAnsi="Times New Roman" w:cs="Times New Roman"/>
                <w:sz w:val="18"/>
                <w:szCs w:val="18"/>
                <w:lang w:val="ro-MD"/>
              </w:rPr>
              <w:tab/>
              <w:t>În scopul prevăzut la alin.(10), la calculul vechimii de exploatare a vehiculului, atunci cînd aceasta nu constituie un număr întreg de ani, dacă din ultimul an s-a consumat o perioadă de pînă la 182 de zile, se ia în considerare numai numărul întreg de ani. Dacă din ultimul an s-a consumat o perioadă de peste 182 de zile, la calcularea vechimii de exploatare a vehiculului, ultimul an se consideră drept an întreg.</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(12)</w:t>
            </w:r>
            <w:r w:rsidRPr="009E6EEA">
              <w:rPr>
                <w:rFonts w:ascii="Times New Roman" w:eastAsia="Calibri" w:hAnsi="Times New Roman" w:cs="Times New Roman"/>
                <w:sz w:val="18"/>
                <w:szCs w:val="18"/>
                <w:lang w:val="ro-MD"/>
              </w:rPr>
              <w:tab/>
              <w:t>Indiferent de vechimea de exploatare a autovehiculului şi parcursul acestuia, în cazul în care despăgubirea de asigurare se solicită în numerar sau prin virament în contul bancar al persoanei păgubite, cuantumul despăgubirii de asigurare se stabilește luînd în calcul prețurile medii practicate de minimum trei unități de specialitate acceptate de părți pentru manopera şi pentru materialele aferente reparației sau înlocuirii părților componente şi pieselor avariate, precum şi pentru părți componente şi piese noi fabricate în bază de licență sau originale foste în folosință care corespund cerințelor tehnice şi de securitate rutieră. În cazul cînd părțile componente şi piesele noi fabricate în bază de licență sau cele originale foste în folosință nu sînt disponibile pe piața autohtonă, paguba real suportată pentru vehicule se va determina ținînd cont de prevederile alin.(9).</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(13)</w:t>
            </w:r>
            <w:r w:rsidRPr="009E6EEA">
              <w:rPr>
                <w:rFonts w:ascii="Times New Roman" w:eastAsia="Calibri" w:hAnsi="Times New Roman" w:cs="Times New Roman"/>
                <w:sz w:val="18"/>
                <w:szCs w:val="18"/>
                <w:lang w:val="ro-MD"/>
              </w:rPr>
              <w:tab/>
              <w:t>Actele de evaluare a despăgubirii de asigurare întocmite fără respectarea prevederilor prezentului articol nu pot servi drept temei pentru achitarea despăgubirii de asigurare.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(14)</w:t>
            </w:r>
            <w:r w:rsidRPr="009E6EEA">
              <w:rPr>
                <w:rFonts w:ascii="Times New Roman" w:eastAsia="Calibri" w:hAnsi="Times New Roman" w:cs="Times New Roman"/>
                <w:sz w:val="18"/>
                <w:szCs w:val="18"/>
                <w:lang w:val="ro-MD"/>
              </w:rPr>
              <w:tab/>
              <w:t>În cazul unui dezacord între părți cu privire la alegerea expertului independent sau a unității de specialitate ce trebuie să stabilească costul reparației părților componente sau a pieselor avariate, costul lucrărilor de reparație, valoarea vehiculului la momentul accidentului sau valoarea rămasă, părțile urmează să menționeze acest fapt în dosarul de daune, fiind îndreptățite legal să apeleze individual la serviciile experților independenți sau ale unităților de specialitate pentru stabilirea pagubelor. În acest caz, la plata despăgubirii de asigurare, părțile vor tine cont de prevederile art.24 alin.(1) şi ale art.29 alin.(2) şi (3).</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26.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Stabilirea despăgubirilor în cazul vătămării corporale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În cazul vătămării corporale, despăgubirea de asigurare se stabilește prin acordul scris dintre persoana păgubită şi asigurător.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 xml:space="preserve">În cazul prevăzut la alin.(1), despăgubirea de asigurare va include următoarele: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lastRenderedPageBreak/>
              <w:t>a)</w:t>
            </w:r>
            <w:r w:rsidRPr="009E6EEA">
              <w:rPr>
                <w:rFonts w:ascii="Times New Roman" w:eastAsia="Calibri" w:hAnsi="Times New Roman" w:cs="Times New Roman"/>
                <w:sz w:val="18"/>
                <w:szCs w:val="18"/>
                <w:lang w:val="ro-MD"/>
              </w:rPr>
              <w:tab/>
              <w:t xml:space="preserve">diferența dintre veniturile nete ale persoanei vătămate şi indemnizația primită din fondurile bugetului asigurărilor sociale de stat, pe perioada spitalizării şi a concediului medical – pentru persoanele salariate;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venitul mediu lunar net realizat din activități desfășurate la ultimul loc de lucru de persoana vătămată, probat cu documente justificative – pentru persoanele care nu au calitatea de salariat;</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o indemnizație nu mai mică decît coșul minim de consum – pentru persoanele păgubite aflate la data producerii accidentului de vehicul în ultimul an de studii sau de calificare, fără menținerea salariului;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d)</w:t>
            </w:r>
            <w:r w:rsidRPr="009E6EEA">
              <w:rPr>
                <w:rFonts w:ascii="Times New Roman" w:eastAsia="Calibri" w:hAnsi="Times New Roman" w:cs="Times New Roman"/>
                <w:sz w:val="18"/>
                <w:szCs w:val="18"/>
                <w:lang w:val="ro-MD"/>
              </w:rPr>
              <w:tab/>
              <w:t xml:space="preserve">eventualele cheltuieli prilejuite de accident, inclusiv cheltuielile de transport ale persoanei accidentate, de tratament, de spitalizare, de recuperare, de protezare, de alimentație specială, conform prescripțiilor medicale, probate cu documente justificative, care nu sînt suportate din fondurile de asigurări medicale obligatorii, conform actelor normative în vigoare. Cheltuielile menționate se stabilesc pe baza prețurilor practicate de instituțiile din Republica Moldova, conform documentelor eliberate de acestea sau, în cazurile cînd nicio instituție din Republica Moldova nu practică serviciile menționate, conform documentelor justificative eliberate de instituțiile din străinătate;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e)</w:t>
            </w:r>
            <w:r w:rsidRPr="009E6EEA">
              <w:rPr>
                <w:rFonts w:ascii="Times New Roman" w:eastAsia="Calibri" w:hAnsi="Times New Roman" w:cs="Times New Roman"/>
                <w:sz w:val="18"/>
                <w:szCs w:val="18"/>
                <w:lang w:val="ro-MD"/>
              </w:rPr>
              <w:tab/>
              <w:t xml:space="preserve">cheltuielile real suportate cu îngrijitori pe perioada incapacității temporare de muncă, dacă prin certificat medical se recomandă acest lucru, dar nu mai puțin decît coșul minim de consum.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În cazul stabilirii invalidității ca urmare a vătămărilor corporale, despăgubirea de asigurare va include diferența dintre venitul mediu lunar şi pensia de invaliditate pe perioada pînă la anularea invalidității, în limitele răspunderii stabilite de prezenta lege.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 xml:space="preserve">În caz de deces al terței persoane, despăgubirea de asigurare se stabilește prin acordul dintre succesorii persoanei păgubite sau reprezentantul ei legal şi asigurător.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 xml:space="preserve">În cazul prevăzut la alin.(4), despăgubirea de asigurare va include: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 xml:space="preserve">partea din salariu pierdută de persoanele care s-au aflat la întreținerea defunctului sau care aveau dreptul la pensie de întreținere din partea lui minus indemnizațiile primite din fondurile bugetului asigurărilor sociale de stat;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 xml:space="preserve">cheltuielile de înmormântare (cheltuielile pentru sicriu şi piatră funerară, cheltuielile de transport, cheltuielile de îmbălsămare şi cheltuielile cimitirului), probate cu documente justificative;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cheltuielile de transport al defunctului din localitatea în care a avut loc decesul pînă în localitatea în care a avut loc înmormântarea, probate cu documente justificative.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Dacă documentele justificative prevăzute la alin.(5) nu sînt prezentate, despăgubirea se efectuează la prețurile minime pentru servicii similare prestate de birourile de pompe funebre din localitatea în care a avut loc înmormântarea.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(7)</w:t>
            </w:r>
            <w:r w:rsidRPr="009E6EEA">
              <w:rPr>
                <w:rFonts w:ascii="Times New Roman" w:eastAsia="Calibri" w:hAnsi="Times New Roman" w:cs="Times New Roman"/>
                <w:sz w:val="18"/>
                <w:szCs w:val="18"/>
                <w:lang w:val="ro-MD"/>
              </w:rPr>
              <w:tab/>
              <w:t xml:space="preserve">Determinarea despăgubirii de instanța de judecată se bazează pe evidențele medicale, medico-legale, psihologice și statistice.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27.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Stabilirea despăgubirilor în cazul vătămării sau pieirii animalelor</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Cuantumul despăgubirii pentru vătămarea sau pieirea animalului în accident de vehicul se stabilește pe baza prețului animalului de pe piața locală la data producerii accidentului. Cheltuielile de tratament al animalului vor fi rambursate de către asigurător în baza documentelor justificative prezentate de proprietarul lui.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 xml:space="preserve">Persoana păgubită va prezenta adeverință de la autoritatea locală care confirmă dreptul de proprietate asupra animalului vătămat sau pierit.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În cazul animalului vătămat care trebuie sacrificat şi a cărui carne poate fi valorificată, la calculul despăgubirii se ia în considerare costul cărnii valorificate.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28.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Stabilirea despăgubirilor în caz de avariere sau distrugere de alte bunuri</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 xml:space="preserve">Despăgubirea pentru avarierea sau distrugerea de bunuri, altele decît cele prevăzute la art.25 şi 27, se stabilește în funcție de costul reparației necesar pentru restabilirea lor, în limitele prevăzute la art.13 alin.(1) lit.a).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Documente tehnice (costurile de reparație și alte cheltuieli) prezentate de persoana păgubită se iau în considerare la stabilirea despăgubirii după verificarea acestora de către asigurător.</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b/>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29.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Plata despăgubirilor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 xml:space="preserve">(1)Asigurătorul este obligat să plătească despăgubirile în termen de 10 zile calendaristice de la data finalizării dosarului de daune şi să accepte cererea păgubitului privind modalitatea de plată a despăgubirii, care poate fi: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a)</w:t>
            </w:r>
            <w:r w:rsidRPr="009E6EEA">
              <w:rPr>
                <w:rFonts w:ascii="Times New Roman" w:eastAsia="Calibri" w:hAnsi="Times New Roman" w:cs="Times New Roman"/>
                <w:sz w:val="18"/>
                <w:szCs w:val="18"/>
                <w:lang w:val="ro-MD"/>
              </w:rPr>
              <w:tab/>
              <w:t>în numerar;</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b)</w:t>
            </w:r>
            <w:r w:rsidRPr="009E6EEA">
              <w:rPr>
                <w:rFonts w:ascii="Times New Roman" w:eastAsia="Calibri" w:hAnsi="Times New Roman" w:cs="Times New Roman"/>
                <w:sz w:val="18"/>
                <w:szCs w:val="18"/>
                <w:lang w:val="ro-MD"/>
              </w:rPr>
              <w:tab/>
              <w:t xml:space="preserve">prin virament în cont bancar;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c)</w:t>
            </w:r>
            <w:r w:rsidRPr="009E6EEA">
              <w:rPr>
                <w:rFonts w:ascii="Times New Roman" w:eastAsia="Calibri" w:hAnsi="Times New Roman" w:cs="Times New Roman"/>
                <w:sz w:val="18"/>
                <w:szCs w:val="18"/>
                <w:lang w:val="ro-MD"/>
              </w:rPr>
              <w:tab/>
              <w:t xml:space="preserve">prin virament în contul bancar al unității de specialitate (atelierul de reparații) care a efectuat sau va efectua reparația.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Obiecțiile referitor la suma despăgubirii se vor comunica asigurătorului în termen de 5 zile calendaristice de la finalizarea dosarului de daune, urmînd ca, în termen de 5 zile din data sau înștiințării, asigurătorul să le soluționeze ori să prezinte dezacordul față de ele. În cazul prezentării dezacordului, asigurătorul va prezenta persoanei păgubite actul de evaluare sau devizul cheltuielilor de reparație şi/sau de înlocuire a părților componente ori pieselor avariate, cu indicarea prețurilor, sau alte documente în baza cărora a stabilit cuantumul despăgubirii de asigurare.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 xml:space="preserve">Dacă persoana păgubită nu este de acord cu decizia asigurătorului privind cuantumul despăgubirii de asigurare, asigurătorul plătește totuși despăgubirea în cuantumul stabilit și persoana păgubită are dreptul să conteste decizia asigurătorului în instanța de judecată.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Despăgubirea nu poate fi solicitată de către creditorii persoanei cu asigurare RCA.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 xml:space="preserve">Despăgubirea se plătește de către asigurător nemijlocit persoanei fizice sau juridice păgubite dacă aceasta nu a fost despăgubită de către persoana asigurată sau dacă în acordul dintre persoana păgubită şi </w:t>
            </w:r>
            <w:r w:rsidRPr="009E6EEA">
              <w:rPr>
                <w:rFonts w:ascii="Times New Roman" w:eastAsia="Calibri" w:hAnsi="Times New Roman" w:cs="Times New Roman"/>
                <w:sz w:val="18"/>
                <w:szCs w:val="18"/>
                <w:lang w:val="ro-MD"/>
              </w:rPr>
              <w:lastRenderedPageBreak/>
              <w:t xml:space="preserve">asigurător nu este stabilit altfel.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Despăgubirea se plătește persoanelor asigurate total sau parțial dacă acestea probează că au despăgubit persoanele păgubite şi că despăgubirea nu urmează a fi recuperată conform art.30.</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(7)</w:t>
            </w:r>
            <w:r w:rsidRPr="009E6EEA">
              <w:rPr>
                <w:rFonts w:ascii="Times New Roman" w:eastAsia="Calibri" w:hAnsi="Times New Roman" w:cs="Times New Roman"/>
                <w:sz w:val="18"/>
                <w:szCs w:val="18"/>
                <w:lang w:val="ro-MD"/>
              </w:rPr>
              <w:tab/>
              <w:t>În cazul în care în drepturile persoanei păgubite s-a subrogat asigurătorul asigurării facultative, oricare diferență de despăgubire dintre asigurarea facultativă şi asigurarea obligatorie de răspundere civilă auto rămîne pe contul asigurării facultative, fără a fi recuperată de la persoana asigurată, dacă despăgubirea plătită din asigurarea facultativă nu depășește limita maximă a despăgubirii care poate fi acordată de către asigurătorul RCA pentru prejudiciul cauzat în același accident de vehicul, în conformitate cu legislația în vigoare.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(8)</w:t>
            </w:r>
            <w:r w:rsidRPr="009E6EEA">
              <w:rPr>
                <w:rFonts w:ascii="Times New Roman" w:eastAsia="Calibri" w:hAnsi="Times New Roman" w:cs="Times New Roman"/>
                <w:sz w:val="18"/>
                <w:szCs w:val="18"/>
                <w:lang w:val="ro-MD"/>
              </w:rPr>
              <w:tab/>
              <w:t>În cazul în care despăgubirea de asigurare se stabilește prin hotărîre judecătorească definitivă, asigurătorul va acorda despăgubire fără a mai fi necesar acordul păgubitului.</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shd w:val="clear" w:color="auto" w:fill="FFFFFF"/>
              <w:spacing w:after="0" w:line="240" w:lineRule="auto"/>
              <w:jc w:val="both"/>
              <w:rPr>
                <w:rFonts w:ascii="Times New Roman" w:eastAsia="Times New Roman" w:hAnsi="Times New Roman" w:cs="Times New Roman"/>
                <w:i/>
                <w:color w:val="000000"/>
                <w:sz w:val="18"/>
                <w:szCs w:val="18"/>
              </w:rPr>
            </w:pPr>
            <w:r w:rsidRPr="009E6EEA">
              <w:rPr>
                <w:rFonts w:ascii="Times New Roman" w:eastAsia="Times New Roman" w:hAnsi="Times New Roman" w:cs="Times New Roman"/>
                <w:i/>
                <w:color w:val="000000"/>
                <w:sz w:val="18"/>
                <w:szCs w:val="18"/>
              </w:rPr>
              <w:lastRenderedPageBreak/>
              <w:t>Articolul 29</w:t>
            </w:r>
          </w:p>
          <w:p w:rsidR="004F290A" w:rsidRPr="009E6EEA" w:rsidRDefault="004F290A" w:rsidP="004F290A">
            <w:pPr>
              <w:shd w:val="clear" w:color="auto" w:fill="FFFFFF"/>
              <w:spacing w:after="0" w:line="240" w:lineRule="auto"/>
              <w:jc w:val="both"/>
              <w:rPr>
                <w:rFonts w:ascii="Times New Roman" w:eastAsia="Times New Roman" w:hAnsi="Times New Roman" w:cs="Times New Roman"/>
                <w:b/>
                <w:color w:val="000000"/>
                <w:sz w:val="18"/>
                <w:szCs w:val="18"/>
              </w:rPr>
            </w:pPr>
            <w:r w:rsidRPr="009E6EEA">
              <w:rPr>
                <w:rFonts w:ascii="Times New Roman" w:eastAsia="Times New Roman" w:hAnsi="Times New Roman" w:cs="Times New Roman"/>
                <w:b/>
                <w:color w:val="000000"/>
                <w:sz w:val="18"/>
                <w:szCs w:val="18"/>
              </w:rPr>
              <w:t>Abrogare</w:t>
            </w:r>
          </w:p>
          <w:p w:rsidR="004F290A" w:rsidRPr="009E6EEA" w:rsidRDefault="004F290A" w:rsidP="004F290A">
            <w:pPr>
              <w:shd w:val="clear" w:color="auto" w:fill="FFFFFF"/>
              <w:spacing w:after="0" w:line="240" w:lineRule="auto"/>
              <w:jc w:val="both"/>
              <w:rPr>
                <w:rFonts w:ascii="Times New Roman" w:eastAsia="Times New Roman" w:hAnsi="Times New Roman" w:cs="Times New Roman"/>
                <w:color w:val="000000"/>
                <w:sz w:val="18"/>
                <w:szCs w:val="18"/>
              </w:rPr>
            </w:pPr>
            <w:r w:rsidRPr="009E6EEA">
              <w:rPr>
                <w:rFonts w:ascii="Times New Roman" w:eastAsia="Times New Roman" w:hAnsi="Times New Roman" w:cs="Times New Roman"/>
                <w:color w:val="000000"/>
                <w:sz w:val="18"/>
                <w:szCs w:val="18"/>
              </w:rPr>
              <w:t>Directivele 72/166/CEE, 84/5/CEE, 90/232/CEE, 2000/26/CE și 2005/14/CE, astfel cum au fost modificate prin directivele menționate în anexa I partea A, se abrogă, fără a aduce atingere obligațiilor statelor membre în ceea ce privește termenele de transpunere în dreptul intern și de aplicare a directivelor menționate în anexa I partea B.</w:t>
            </w:r>
          </w:p>
          <w:p w:rsidR="004F290A" w:rsidRPr="009E6EEA" w:rsidRDefault="004F290A" w:rsidP="004F290A">
            <w:pPr>
              <w:shd w:val="clear" w:color="auto" w:fill="FFFFFF"/>
              <w:spacing w:after="0" w:line="240" w:lineRule="auto"/>
              <w:jc w:val="both"/>
              <w:rPr>
                <w:rFonts w:ascii="Times New Roman" w:eastAsia="Times New Roman" w:hAnsi="Times New Roman" w:cs="Times New Roman"/>
                <w:color w:val="000000"/>
                <w:sz w:val="18"/>
                <w:szCs w:val="18"/>
              </w:rPr>
            </w:pPr>
          </w:p>
          <w:p w:rsidR="004F290A" w:rsidRPr="009E6EEA" w:rsidRDefault="004F290A" w:rsidP="004F290A">
            <w:pPr>
              <w:shd w:val="clear" w:color="auto" w:fill="FFFFFF"/>
              <w:spacing w:after="0" w:line="240" w:lineRule="auto"/>
              <w:jc w:val="both"/>
              <w:rPr>
                <w:rFonts w:ascii="Times New Roman" w:eastAsia="Times New Roman" w:hAnsi="Times New Roman" w:cs="Times New Roman"/>
                <w:color w:val="000000"/>
                <w:sz w:val="18"/>
                <w:szCs w:val="18"/>
              </w:rPr>
            </w:pPr>
            <w:r w:rsidRPr="009E6EEA">
              <w:rPr>
                <w:rFonts w:ascii="Times New Roman" w:eastAsia="Times New Roman" w:hAnsi="Times New Roman" w:cs="Times New Roman"/>
                <w:color w:val="000000"/>
                <w:sz w:val="18"/>
                <w:szCs w:val="18"/>
              </w:rPr>
              <w:t>Trimiterile la directivele abrogate se interpretează ca trimiteri la prezenta directivă și se citesc în conformitate cu tabelul de corespondență din anexa II.</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r>
      <w:tr w:rsidR="004F290A" w:rsidRPr="009E6EEA" w:rsidTr="004F290A">
        <w:trPr>
          <w:trHeight w:val="248"/>
        </w:trPr>
        <w:tc>
          <w:tcPr>
            <w:tcW w:w="5418" w:type="dxa"/>
            <w:shd w:val="clear" w:color="auto" w:fill="auto"/>
          </w:tcPr>
          <w:p w:rsidR="004F290A" w:rsidRPr="009E6EEA" w:rsidRDefault="004F290A" w:rsidP="004F290A">
            <w:pPr>
              <w:shd w:val="clear" w:color="auto" w:fill="FFFFFF"/>
              <w:spacing w:after="0" w:line="240" w:lineRule="auto"/>
              <w:jc w:val="both"/>
              <w:rPr>
                <w:rFonts w:ascii="Times New Roman" w:eastAsia="Times New Roman" w:hAnsi="Times New Roman" w:cs="Times New Roman"/>
                <w:i/>
                <w:color w:val="000000"/>
                <w:sz w:val="18"/>
                <w:szCs w:val="18"/>
              </w:rPr>
            </w:pPr>
            <w:r w:rsidRPr="009E6EEA">
              <w:rPr>
                <w:rFonts w:ascii="Times New Roman" w:eastAsia="Times New Roman" w:hAnsi="Times New Roman" w:cs="Times New Roman"/>
                <w:i/>
                <w:color w:val="000000"/>
                <w:sz w:val="18"/>
                <w:szCs w:val="18"/>
              </w:rPr>
              <w:t>Articolul 30</w:t>
            </w:r>
          </w:p>
          <w:p w:rsidR="004F290A" w:rsidRPr="009E6EEA" w:rsidRDefault="004F290A" w:rsidP="004F290A">
            <w:pPr>
              <w:shd w:val="clear" w:color="auto" w:fill="FFFFFF"/>
              <w:spacing w:after="0" w:line="240" w:lineRule="auto"/>
              <w:jc w:val="both"/>
              <w:rPr>
                <w:rFonts w:ascii="Times New Roman" w:eastAsia="Times New Roman" w:hAnsi="Times New Roman" w:cs="Times New Roman"/>
                <w:b/>
                <w:color w:val="000000"/>
                <w:sz w:val="18"/>
                <w:szCs w:val="18"/>
              </w:rPr>
            </w:pPr>
            <w:r w:rsidRPr="009E6EEA">
              <w:rPr>
                <w:rFonts w:ascii="Times New Roman" w:eastAsia="Times New Roman" w:hAnsi="Times New Roman" w:cs="Times New Roman"/>
                <w:b/>
                <w:color w:val="000000"/>
                <w:sz w:val="18"/>
                <w:szCs w:val="18"/>
              </w:rPr>
              <w:t>Intrare în vigoare</w:t>
            </w:r>
          </w:p>
          <w:p w:rsidR="004F290A" w:rsidRPr="009E6EEA" w:rsidRDefault="004F290A" w:rsidP="004F290A">
            <w:pPr>
              <w:shd w:val="clear" w:color="auto" w:fill="FFFFFF"/>
              <w:spacing w:after="0" w:line="240" w:lineRule="auto"/>
              <w:jc w:val="both"/>
              <w:rPr>
                <w:rFonts w:ascii="Times New Roman" w:eastAsia="Times New Roman" w:hAnsi="Times New Roman" w:cs="Times New Roman"/>
                <w:color w:val="000000"/>
                <w:sz w:val="18"/>
                <w:szCs w:val="18"/>
              </w:rPr>
            </w:pPr>
            <w:r w:rsidRPr="009E6EEA">
              <w:rPr>
                <w:rFonts w:ascii="Times New Roman" w:eastAsia="Times New Roman" w:hAnsi="Times New Roman" w:cs="Times New Roman"/>
                <w:color w:val="000000"/>
                <w:sz w:val="18"/>
                <w:szCs w:val="18"/>
              </w:rPr>
              <w:t>Prezenta directivă intră în vigoare în a douăzecea zi de la data publicării în Jurnalul Oficial al Uniunii Europene.</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Articolul 45. </w:t>
            </w:r>
          </w:p>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 xml:space="preserve">Dispoziții finale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(1)</w:t>
            </w:r>
            <w:r w:rsidRPr="009E6EEA">
              <w:rPr>
                <w:rFonts w:ascii="Times New Roman" w:eastAsia="Calibri" w:hAnsi="Times New Roman" w:cs="Times New Roman"/>
                <w:sz w:val="18"/>
                <w:szCs w:val="18"/>
                <w:lang w:val="ro-MD"/>
              </w:rPr>
              <w:tab/>
              <w:t>Prezenta lege intră în vigoare la data publicării în Monitorul Oficial al Republicii Moldova.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(2)</w:t>
            </w:r>
            <w:r w:rsidRPr="009E6EEA">
              <w:rPr>
                <w:rFonts w:ascii="Times New Roman" w:eastAsia="Calibri" w:hAnsi="Times New Roman" w:cs="Times New Roman"/>
                <w:sz w:val="18"/>
                <w:szCs w:val="18"/>
                <w:lang w:val="ro-MD"/>
              </w:rPr>
              <w:tab/>
              <w:t>Autoritatea de supraveghere, în termen de 18 luni de la intrarea în vigoare a legii, va aduce actele sale normative în conformitate cu prezenta lege.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(3)</w:t>
            </w:r>
            <w:r w:rsidRPr="009E6EEA">
              <w:rPr>
                <w:rFonts w:ascii="Times New Roman" w:eastAsia="Calibri" w:hAnsi="Times New Roman" w:cs="Times New Roman"/>
                <w:sz w:val="18"/>
                <w:szCs w:val="18"/>
                <w:lang w:val="ro-MD"/>
              </w:rPr>
              <w:tab/>
              <w:t>Guvernul, în termen de 12 luni de la intrarea în vigoare a legii, va prezenta Parlamentului propuneri privind aducerea legislației în vigoare în concordanță cu prezenta lege.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(4)</w:t>
            </w:r>
            <w:r w:rsidRPr="009E6EEA">
              <w:rPr>
                <w:rFonts w:ascii="Times New Roman" w:eastAsia="Calibri" w:hAnsi="Times New Roman" w:cs="Times New Roman"/>
                <w:sz w:val="18"/>
                <w:szCs w:val="18"/>
                <w:lang w:val="ro-MD"/>
              </w:rPr>
              <w:tab/>
              <w:t xml:space="preserve">Societățile de asigurare și/sau reasigurareAsigurătorii care, la data publicării prezentei legi, deţin licenţă pentru dreptul de a practica activitatea de asigurare obligatorie de răspundere civilă auto își vor conforma activitatea până la data intrării în vigoare a prezentei legi. </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(5)</w:t>
            </w:r>
            <w:r w:rsidRPr="009E6EEA">
              <w:rPr>
                <w:rFonts w:ascii="Times New Roman" w:eastAsia="Calibri" w:hAnsi="Times New Roman" w:cs="Times New Roman"/>
                <w:sz w:val="18"/>
                <w:szCs w:val="18"/>
                <w:lang w:val="ro-MD"/>
              </w:rPr>
              <w:tab/>
              <w:t>La data intrării în vigoare a prezentei legi, se abrogă Legea nr.414/2016 cu privire la asigurarea obligatorie de răspundere civilă auto pentru pagube produse de autovehicule.</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(6)</w:t>
            </w:r>
            <w:r w:rsidRPr="009E6EEA">
              <w:rPr>
                <w:rFonts w:ascii="Times New Roman" w:eastAsia="Calibri" w:hAnsi="Times New Roman" w:cs="Times New Roman"/>
                <w:sz w:val="18"/>
                <w:szCs w:val="18"/>
                <w:lang w:val="ro-MD"/>
              </w:rPr>
              <w:tab/>
              <w:t>Actele normative adoptate de autoritatea de supraveghere în temeiul Legii nr. 414/2006 cu privire la asigurarea obligatorie de răspundere civilă auto pentru pagube produse de autovehicule, cu modificările ulterioare, se aplică în continuare, în măsura în care nu contravin prezentei legi,  pînă la abrogarea expresă a acestora.</w:t>
            </w:r>
          </w:p>
          <w:p w:rsidR="004F290A" w:rsidRPr="009E6EEA" w:rsidRDefault="004F290A" w:rsidP="004F290A">
            <w:pPr>
              <w:shd w:val="clear" w:color="auto" w:fill="FFFFFF"/>
              <w:spacing w:after="0" w:line="240" w:lineRule="auto"/>
              <w:jc w:val="both"/>
              <w:rPr>
                <w:rFonts w:ascii="Times New Roman" w:eastAsia="Calibri" w:hAnsi="Times New Roman" w:cs="Times New Roman"/>
                <w:sz w:val="18"/>
                <w:szCs w:val="18"/>
                <w:lang w:val="ro-MD"/>
              </w:rPr>
            </w:pPr>
            <w:r w:rsidRPr="009E6EEA">
              <w:rPr>
                <w:rFonts w:ascii="Times New Roman" w:eastAsia="Calibri" w:hAnsi="Times New Roman" w:cs="Times New Roman"/>
                <w:sz w:val="18"/>
                <w:szCs w:val="18"/>
                <w:lang w:val="ro-MD"/>
              </w:rPr>
              <w:t>(7)</w:t>
            </w:r>
            <w:r w:rsidRPr="009E6EEA">
              <w:rPr>
                <w:rFonts w:ascii="Times New Roman" w:eastAsia="Calibri" w:hAnsi="Times New Roman" w:cs="Times New Roman"/>
                <w:sz w:val="18"/>
                <w:szCs w:val="18"/>
                <w:lang w:val="ro-MD"/>
              </w:rPr>
              <w:tab/>
              <w:t xml:space="preserve">Emiterea și vînzarea polițelor de asigurare RCA false sau </w:t>
            </w:r>
            <w:r w:rsidRPr="009E6EEA">
              <w:rPr>
                <w:rFonts w:ascii="Times New Roman" w:eastAsia="Calibri" w:hAnsi="Times New Roman" w:cs="Times New Roman"/>
                <w:sz w:val="18"/>
                <w:szCs w:val="18"/>
                <w:lang w:val="ro-MD"/>
              </w:rPr>
              <w:lastRenderedPageBreak/>
              <w:t>falsificate și utilizarea pieselor sau ansamblurilor falsificate de către atelierele de reparațiiunitățile de specialitate pentru repararea vehiculelor avariate constituie o infracțiune care se sancționează conform Codului penal.</w:t>
            </w: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lastRenderedPageBreak/>
              <w:t>Compatibil</w:t>
            </w: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r w:rsidRPr="009E6EEA">
              <w:rPr>
                <w:rFonts w:ascii="Times New Roman" w:eastAsia="Calibri" w:hAnsi="Times New Roman" w:cs="Times New Roman"/>
                <w:b/>
                <w:sz w:val="18"/>
                <w:szCs w:val="18"/>
                <w:lang w:val="ro-MD"/>
              </w:rPr>
              <w:t>CNPF</w:t>
            </w:r>
          </w:p>
        </w:tc>
      </w:tr>
      <w:tr w:rsidR="004F290A" w:rsidRPr="009E6EEA" w:rsidTr="004F290A">
        <w:trPr>
          <w:trHeight w:val="248"/>
        </w:trPr>
        <w:tc>
          <w:tcPr>
            <w:tcW w:w="5418" w:type="dxa"/>
            <w:shd w:val="clear" w:color="auto" w:fill="auto"/>
          </w:tcPr>
          <w:p w:rsidR="004F290A" w:rsidRPr="009E6EEA" w:rsidRDefault="004F290A" w:rsidP="004F290A">
            <w:pPr>
              <w:shd w:val="clear" w:color="auto" w:fill="FFFFFF"/>
              <w:spacing w:after="0" w:line="240" w:lineRule="auto"/>
              <w:jc w:val="both"/>
              <w:rPr>
                <w:rFonts w:ascii="Times New Roman" w:eastAsia="Times New Roman" w:hAnsi="Times New Roman" w:cs="Times New Roman"/>
                <w:i/>
                <w:color w:val="000000"/>
                <w:sz w:val="18"/>
                <w:szCs w:val="18"/>
              </w:rPr>
            </w:pPr>
            <w:r w:rsidRPr="009E6EEA">
              <w:rPr>
                <w:rFonts w:ascii="Times New Roman" w:eastAsia="Times New Roman" w:hAnsi="Times New Roman" w:cs="Times New Roman"/>
                <w:i/>
                <w:color w:val="000000"/>
                <w:sz w:val="18"/>
                <w:szCs w:val="18"/>
              </w:rPr>
              <w:lastRenderedPageBreak/>
              <w:t>Articolul 31</w:t>
            </w:r>
          </w:p>
          <w:p w:rsidR="004F290A" w:rsidRPr="009E6EEA" w:rsidRDefault="004F290A" w:rsidP="004F290A">
            <w:pPr>
              <w:shd w:val="clear" w:color="auto" w:fill="FFFFFF"/>
              <w:spacing w:after="0" w:line="240" w:lineRule="auto"/>
              <w:jc w:val="both"/>
              <w:rPr>
                <w:rFonts w:ascii="Times New Roman" w:eastAsia="Times New Roman" w:hAnsi="Times New Roman" w:cs="Times New Roman"/>
                <w:b/>
                <w:color w:val="000000"/>
                <w:sz w:val="18"/>
                <w:szCs w:val="18"/>
              </w:rPr>
            </w:pPr>
            <w:r w:rsidRPr="009E6EEA">
              <w:rPr>
                <w:rFonts w:ascii="Times New Roman" w:eastAsia="Times New Roman" w:hAnsi="Times New Roman" w:cs="Times New Roman"/>
                <w:b/>
                <w:color w:val="000000"/>
                <w:sz w:val="18"/>
                <w:szCs w:val="18"/>
              </w:rPr>
              <w:t>Destinatari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color w:val="000000"/>
                <w:sz w:val="18"/>
                <w:szCs w:val="18"/>
              </w:rPr>
            </w:pPr>
            <w:r w:rsidRPr="009E6EEA">
              <w:rPr>
                <w:rFonts w:ascii="Times New Roman" w:eastAsia="Times New Roman" w:hAnsi="Times New Roman" w:cs="Times New Roman"/>
                <w:color w:val="000000"/>
                <w:sz w:val="18"/>
                <w:szCs w:val="18"/>
              </w:rPr>
              <w:t>Prezenta directivă se adresează statelor membre.</w:t>
            </w:r>
          </w:p>
          <w:p w:rsidR="004F290A" w:rsidRPr="009E6EEA" w:rsidRDefault="004F290A" w:rsidP="004F290A">
            <w:pPr>
              <w:shd w:val="clear" w:color="auto" w:fill="FFFFFF"/>
              <w:spacing w:after="0" w:line="240" w:lineRule="auto"/>
              <w:jc w:val="both"/>
              <w:rPr>
                <w:rFonts w:ascii="Times New Roman" w:eastAsia="Times New Roman" w:hAnsi="Times New Roman" w:cs="Times New Roman"/>
                <w:color w:val="000000"/>
                <w:sz w:val="18"/>
                <w:szCs w:val="18"/>
              </w:rPr>
            </w:pPr>
            <w:r w:rsidRPr="009E6EEA">
              <w:rPr>
                <w:rFonts w:ascii="Times New Roman" w:eastAsia="Times New Roman" w:hAnsi="Times New Roman" w:cs="Times New Roman"/>
                <w:color w:val="000000"/>
                <w:sz w:val="18"/>
                <w:szCs w:val="18"/>
              </w:rPr>
              <w:t>Adoptată la Strasbourg, 16 septembrie 2009.</w:t>
            </w: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r>
      <w:tr w:rsidR="004F290A" w:rsidRPr="009E6EEA" w:rsidTr="004F290A">
        <w:trPr>
          <w:trHeight w:val="248"/>
        </w:trPr>
        <w:tc>
          <w:tcPr>
            <w:tcW w:w="5418" w:type="dxa"/>
            <w:shd w:val="clear" w:color="auto" w:fill="auto"/>
          </w:tcPr>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ANEXA 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PARTEA A</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Directivele abrogate și lista modificărilor ulterioare</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(menționate la articolul 29)</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Directiva 72/166/CEE a Consiliului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(JO L 103, 2.5.1972, p. 1)</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Directiva 72/430/CEE a Consiliului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(JO L 291, 28.12.1972, p. 162)</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Directiva 84/5/CEE a Consiliului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(JO L 8, 11.1.1984, p. 17)</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Numai articolul 4</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Directiva 2005/14/CE a Parlamentului European și a Consiliului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(JO L 149, 11.6.2005, p. 14)</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Numai articolul 1</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Directiva 84/5/CEE a Consiliului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(JO L 8, 11.1.1984, p. 17)</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Anexa I punctul IX.F la Actul de aderare din 1985</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(JO L 302, 15.11.1985, p. 218)</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Directiva 90/232/CEE a Consiliului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(JO L 129, 19.5.1990, p. 33)</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Numai articolul 4</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Directiva 2005/14/CE a Parlamentului European și a Consiliului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(JO L 149, 11.6.2005, p. 14)</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Numai articolul 2</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Directiva 90/232/CEE a Consiliului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(JO L 129, 19.5.1990, p. 33)</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Directiva 2005/14/CE a Parlamentului European și a Consiliului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(JO L 149, 11.6.2005, p. 14)</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Numai articolul 4</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Directiva 2000/26/CE a Parlamentului European și a Consiliului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(JO L 181, 20.7.2000, p. 65)</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Directiva 2005/14/CE a Parlamentului European și a Consiliului</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(JO L 149, 11.6.2005, p. 14)</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Numai articolul 5</w:t>
            </w:r>
          </w:p>
          <w:p w:rsidR="004F290A" w:rsidRPr="009E6EEA" w:rsidRDefault="004F290A" w:rsidP="004F290A">
            <w:pPr>
              <w:shd w:val="clear" w:color="auto" w:fill="FFFFFF"/>
              <w:spacing w:after="0" w:line="240" w:lineRule="auto"/>
              <w:jc w:val="both"/>
              <w:rPr>
                <w:rFonts w:ascii="Times New Roman" w:eastAsia="Times New Roman" w:hAnsi="Times New Roman" w:cs="Times New Roman"/>
                <w:sz w:val="18"/>
                <w:szCs w:val="18"/>
              </w:rPr>
            </w:pPr>
            <w:r w:rsidRPr="009E6EEA">
              <w:rPr>
                <w:rFonts w:ascii="Times New Roman" w:eastAsia="Times New Roman" w:hAnsi="Times New Roman" w:cs="Times New Roman"/>
                <w:sz w:val="18"/>
                <w:szCs w:val="18"/>
              </w:rPr>
              <w:t xml:space="preserve">Directiva 2005/14/CE a Parlamentului </w:t>
            </w:r>
          </w:p>
          <w:p w:rsidR="004F290A" w:rsidRPr="009E6EEA" w:rsidRDefault="004F290A" w:rsidP="004F290A">
            <w:pPr>
              <w:shd w:val="clear" w:color="auto" w:fill="FFFFFF"/>
              <w:spacing w:after="0" w:afterAutospacing="1" w:line="240" w:lineRule="auto"/>
              <w:jc w:val="both"/>
              <w:rPr>
                <w:rFonts w:ascii="Times New Roman" w:eastAsia="Times New Roman" w:hAnsi="Times New Roman" w:cs="Times New Roman"/>
                <w:color w:val="000000"/>
                <w:sz w:val="18"/>
                <w:szCs w:val="18"/>
              </w:rPr>
            </w:pPr>
          </w:p>
        </w:tc>
        <w:tc>
          <w:tcPr>
            <w:tcW w:w="5605" w:type="dxa"/>
            <w:shd w:val="clear" w:color="auto" w:fill="auto"/>
          </w:tcPr>
          <w:p w:rsidR="004F290A" w:rsidRPr="009E6EEA" w:rsidRDefault="004F290A" w:rsidP="004F290A">
            <w:pPr>
              <w:shd w:val="clear" w:color="auto" w:fill="FFFFFF"/>
              <w:spacing w:after="0" w:line="240" w:lineRule="auto"/>
              <w:jc w:val="both"/>
              <w:rPr>
                <w:rFonts w:ascii="Times New Roman" w:eastAsia="Calibri" w:hAnsi="Times New Roman" w:cs="Times New Roman"/>
                <w:b/>
                <w:sz w:val="18"/>
                <w:szCs w:val="18"/>
                <w:lang w:val="ro-MD"/>
              </w:rPr>
            </w:pPr>
          </w:p>
        </w:tc>
        <w:tc>
          <w:tcPr>
            <w:tcW w:w="1418"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5"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276"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c>
          <w:tcPr>
            <w:tcW w:w="1067" w:type="dxa"/>
            <w:shd w:val="clear" w:color="auto" w:fill="auto"/>
          </w:tcPr>
          <w:p w:rsidR="004F290A" w:rsidRPr="009E6EEA" w:rsidRDefault="004F290A" w:rsidP="004F290A">
            <w:pPr>
              <w:shd w:val="clear" w:color="auto" w:fill="FFFFFF"/>
              <w:spacing w:after="0" w:line="240" w:lineRule="auto"/>
              <w:rPr>
                <w:rFonts w:ascii="Times New Roman" w:eastAsia="Calibri" w:hAnsi="Times New Roman" w:cs="Times New Roman"/>
                <w:b/>
                <w:sz w:val="18"/>
                <w:szCs w:val="18"/>
                <w:lang w:val="ro-MD"/>
              </w:rPr>
            </w:pPr>
          </w:p>
        </w:tc>
      </w:tr>
    </w:tbl>
    <w:p w:rsidR="009E6EEA" w:rsidRDefault="009E6EEA" w:rsidP="00693631">
      <w:pPr>
        <w:tabs>
          <w:tab w:val="left" w:pos="426"/>
          <w:tab w:val="left" w:pos="1276"/>
        </w:tabs>
        <w:spacing w:after="0" w:line="240" w:lineRule="auto"/>
        <w:ind w:left="-426"/>
        <w:jc w:val="both"/>
        <w:rPr>
          <w:rFonts w:ascii="Times New Roman" w:eastAsia="Calibri" w:hAnsi="Times New Roman" w:cs="Times New Roman"/>
          <w:sz w:val="24"/>
          <w:szCs w:val="24"/>
          <w:lang w:val="ro-MD" w:eastAsia="ru-RU"/>
        </w:rPr>
        <w:sectPr w:rsidR="009E6EEA" w:rsidSect="004F290A">
          <w:pgSz w:w="16838" w:h="11906" w:orient="landscape"/>
          <w:pgMar w:top="727" w:right="1134" w:bottom="851" w:left="709" w:header="851" w:footer="709" w:gutter="0"/>
          <w:cols w:space="708"/>
          <w:docGrid w:linePitch="360"/>
        </w:sectPr>
      </w:pPr>
    </w:p>
    <w:p w:rsidR="009E6EEA" w:rsidRPr="00693631" w:rsidRDefault="009E6EEA" w:rsidP="00693631">
      <w:pPr>
        <w:tabs>
          <w:tab w:val="left" w:pos="426"/>
          <w:tab w:val="left" w:pos="1276"/>
        </w:tabs>
        <w:spacing w:after="0" w:line="240" w:lineRule="auto"/>
        <w:ind w:left="-426"/>
        <w:jc w:val="both"/>
        <w:rPr>
          <w:rFonts w:ascii="Times New Roman" w:eastAsia="Calibri" w:hAnsi="Times New Roman" w:cs="Times New Roman"/>
          <w:sz w:val="24"/>
          <w:szCs w:val="24"/>
          <w:lang w:val="ro-MD" w:eastAsia="ru-RU"/>
        </w:rPr>
      </w:pPr>
    </w:p>
    <w:p w:rsidR="00693631" w:rsidRPr="00693631" w:rsidRDefault="00693631" w:rsidP="00693631">
      <w:pPr>
        <w:tabs>
          <w:tab w:val="left" w:pos="426"/>
          <w:tab w:val="left" w:pos="1276"/>
        </w:tabs>
        <w:spacing w:after="0" w:line="240" w:lineRule="auto"/>
        <w:ind w:left="-426"/>
        <w:jc w:val="both"/>
        <w:rPr>
          <w:rFonts w:ascii="Times New Roman" w:eastAsia="Calibri" w:hAnsi="Times New Roman" w:cs="Times New Roman"/>
          <w:sz w:val="24"/>
          <w:szCs w:val="24"/>
          <w:lang w:val="ro-MD" w:eastAsia="ru-RU"/>
        </w:rPr>
      </w:pPr>
    </w:p>
    <w:p w:rsidR="00693631" w:rsidRPr="00693631" w:rsidRDefault="00693631" w:rsidP="00693631">
      <w:pPr>
        <w:tabs>
          <w:tab w:val="left" w:pos="426"/>
          <w:tab w:val="left" w:pos="1276"/>
        </w:tabs>
        <w:spacing w:after="0" w:line="240" w:lineRule="auto"/>
        <w:ind w:left="-426"/>
        <w:jc w:val="both"/>
        <w:rPr>
          <w:rFonts w:ascii="Times New Roman" w:eastAsia="Calibri" w:hAnsi="Times New Roman" w:cs="Times New Roman"/>
          <w:sz w:val="24"/>
          <w:szCs w:val="24"/>
          <w:lang w:val="ro-MD" w:eastAsia="ru-RU"/>
        </w:rPr>
      </w:pPr>
    </w:p>
    <w:p w:rsidR="00693631" w:rsidRPr="00E941D2" w:rsidRDefault="00693631" w:rsidP="00693631">
      <w:pPr>
        <w:rPr>
          <w:rFonts w:ascii="Times New Roman" w:eastAsia="Calibri" w:hAnsi="Times New Roman" w:cs="Times New Roman"/>
          <w:b/>
          <w:color w:val="000000"/>
          <w:sz w:val="24"/>
          <w:szCs w:val="24"/>
          <w:lang w:val="ro-RO"/>
        </w:rPr>
      </w:pPr>
    </w:p>
    <w:sectPr w:rsidR="00693631" w:rsidRPr="00E941D2" w:rsidSect="009E6EEA">
      <w:pgSz w:w="16838" w:h="11906" w:orient="landscape"/>
      <w:pgMar w:top="851" w:right="709" w:bottom="1701"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892" w:rsidRDefault="000F4892" w:rsidP="00EC66BD">
      <w:pPr>
        <w:spacing w:after="0" w:line="240" w:lineRule="auto"/>
      </w:pPr>
      <w:r>
        <w:separator/>
      </w:r>
    </w:p>
  </w:endnote>
  <w:endnote w:type="continuationSeparator" w:id="0">
    <w:p w:rsidR="000F4892" w:rsidRDefault="000F4892" w:rsidP="00EC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charset w:val="00"/>
    <w:family w:val="swiss"/>
    <w:pitch w:val="variable"/>
    <w:sig w:usb0="E00002FF" w:usb1="4000ACFF" w:usb2="00000001" w:usb3="00000000" w:csb0="0000019F" w:csb1="00000000"/>
  </w:font>
  <w:font w:name="Calibri Light">
    <w:charset w:val="00"/>
    <w:family w:val="swiss"/>
    <w:pitch w:val="variable"/>
    <w:sig w:usb0="A00002EF" w:usb1="4000207B" w:usb2="00000000" w:usb3="00000000" w:csb0="0000009F" w:csb1="00000000"/>
  </w:font>
  <w:font w:name="Segoe UI">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charset w:val="CC"/>
    <w:family w:val="modern"/>
    <w:pitch w:val="fixed"/>
    <w:sig w:usb0="A00002EF" w:usb1="4000204B"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892" w:rsidRDefault="000F4892" w:rsidP="00EC66BD">
      <w:pPr>
        <w:spacing w:after="0" w:line="240" w:lineRule="auto"/>
      </w:pPr>
      <w:r>
        <w:separator/>
      </w:r>
    </w:p>
  </w:footnote>
  <w:footnote w:type="continuationSeparator" w:id="0">
    <w:p w:rsidR="000F4892" w:rsidRDefault="000F4892" w:rsidP="00EC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E1"/>
    <w:multiLevelType w:val="hybridMultilevel"/>
    <w:tmpl w:val="F648BB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D609E5"/>
    <w:multiLevelType w:val="hybridMultilevel"/>
    <w:tmpl w:val="7F8CA5E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3E7840"/>
    <w:multiLevelType w:val="hybridMultilevel"/>
    <w:tmpl w:val="E68880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B5DA1"/>
    <w:multiLevelType w:val="hybridMultilevel"/>
    <w:tmpl w:val="55D2DC6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65071C"/>
    <w:multiLevelType w:val="hybridMultilevel"/>
    <w:tmpl w:val="DFD814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DF2B91"/>
    <w:multiLevelType w:val="hybridMultilevel"/>
    <w:tmpl w:val="3342BA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CF177D"/>
    <w:multiLevelType w:val="hybridMultilevel"/>
    <w:tmpl w:val="4D6E0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977456"/>
    <w:multiLevelType w:val="hybridMultilevel"/>
    <w:tmpl w:val="A3207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AC19A1"/>
    <w:multiLevelType w:val="hybridMultilevel"/>
    <w:tmpl w:val="CB74C98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9F7B4E"/>
    <w:multiLevelType w:val="hybridMultilevel"/>
    <w:tmpl w:val="8B50108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67123FA"/>
    <w:multiLevelType w:val="hybridMultilevel"/>
    <w:tmpl w:val="C5D897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A14E86"/>
    <w:multiLevelType w:val="hybridMultilevel"/>
    <w:tmpl w:val="E598B22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852317F"/>
    <w:multiLevelType w:val="hybridMultilevel"/>
    <w:tmpl w:val="91CA9B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9B8698D"/>
    <w:multiLevelType w:val="hybridMultilevel"/>
    <w:tmpl w:val="37B80A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BD5688"/>
    <w:multiLevelType w:val="hybridMultilevel"/>
    <w:tmpl w:val="C258432E"/>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BBF1505"/>
    <w:multiLevelType w:val="hybridMultilevel"/>
    <w:tmpl w:val="101C67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C738F1"/>
    <w:multiLevelType w:val="hybridMultilevel"/>
    <w:tmpl w:val="524CA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95733C"/>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F16452E"/>
    <w:multiLevelType w:val="hybridMultilevel"/>
    <w:tmpl w:val="8E303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995BA3"/>
    <w:multiLevelType w:val="hybridMultilevel"/>
    <w:tmpl w:val="65B417A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1" w15:restartNumberingAfterBreak="0">
    <w:nsid w:val="215335B9"/>
    <w:multiLevelType w:val="hybridMultilevel"/>
    <w:tmpl w:val="6EB489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2FF3683"/>
    <w:multiLevelType w:val="hybridMultilevel"/>
    <w:tmpl w:val="080E68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4A5058C"/>
    <w:multiLevelType w:val="hybridMultilevel"/>
    <w:tmpl w:val="7BB42824"/>
    <w:lvl w:ilvl="0" w:tplc="309E8442">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4" w15:restartNumberingAfterBreak="0">
    <w:nsid w:val="26F25CE1"/>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8A62D0D"/>
    <w:multiLevelType w:val="hybridMultilevel"/>
    <w:tmpl w:val="E4A41A9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A1E7C84"/>
    <w:multiLevelType w:val="hybridMultilevel"/>
    <w:tmpl w:val="8018851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AB05682"/>
    <w:multiLevelType w:val="hybridMultilevel"/>
    <w:tmpl w:val="1D0CC0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CAA424B"/>
    <w:multiLevelType w:val="hybridMultilevel"/>
    <w:tmpl w:val="F16084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29716B5"/>
    <w:multiLevelType w:val="hybridMultilevel"/>
    <w:tmpl w:val="BD5049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2E77ABA"/>
    <w:multiLevelType w:val="hybridMultilevel"/>
    <w:tmpl w:val="E31E744A"/>
    <w:lvl w:ilvl="0" w:tplc="9B4EA1A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1" w15:restartNumberingAfterBreak="0">
    <w:nsid w:val="33091046"/>
    <w:multiLevelType w:val="hybridMultilevel"/>
    <w:tmpl w:val="F59CFB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1B3FEF"/>
    <w:multiLevelType w:val="hybridMultilevel"/>
    <w:tmpl w:val="5ED6B106"/>
    <w:lvl w:ilvl="0" w:tplc="9E9AED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D075B8"/>
    <w:multiLevelType w:val="hybridMultilevel"/>
    <w:tmpl w:val="DF44B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46A1780"/>
    <w:multiLevelType w:val="hybridMultilevel"/>
    <w:tmpl w:val="6C767820"/>
    <w:lvl w:ilvl="0" w:tplc="A2B2FB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50C4F20"/>
    <w:multiLevelType w:val="hybridMultilevel"/>
    <w:tmpl w:val="7152D97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5A66B43"/>
    <w:multiLevelType w:val="hybridMultilevel"/>
    <w:tmpl w:val="907EDF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6993DC6"/>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77F4766"/>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82F1DC5"/>
    <w:multiLevelType w:val="hybridMultilevel"/>
    <w:tmpl w:val="1B6090D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8D92E6E"/>
    <w:multiLevelType w:val="hybridMultilevel"/>
    <w:tmpl w:val="507E6E5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B9747F3"/>
    <w:multiLevelType w:val="hybridMultilevel"/>
    <w:tmpl w:val="D2488B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F125F38"/>
    <w:multiLevelType w:val="hybridMultilevel"/>
    <w:tmpl w:val="4B1AA36C"/>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3" w15:restartNumberingAfterBreak="0">
    <w:nsid w:val="436D7942"/>
    <w:multiLevelType w:val="hybridMultilevel"/>
    <w:tmpl w:val="332C9A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4D90891"/>
    <w:multiLevelType w:val="hybridMultilevel"/>
    <w:tmpl w:val="A216C89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BA2D89"/>
    <w:multiLevelType w:val="hybridMultilevel"/>
    <w:tmpl w:val="2146E7BC"/>
    <w:lvl w:ilvl="0" w:tplc="C1206B90">
      <w:start w:val="1"/>
      <w:numFmt w:val="decimal"/>
      <w:lvlText w:val="(%1)"/>
      <w:lvlJc w:val="left"/>
      <w:pPr>
        <w:ind w:left="420" w:hanging="360"/>
      </w:pPr>
      <w:rPr>
        <w:rFonts w:ascii="Times New Roman" w:hAnsi="Times New Roman" w:cs="Times New Roman" w:hint="default"/>
        <w:sz w:val="24"/>
        <w:szCs w:val="24"/>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6" w15:restartNumberingAfterBreak="0">
    <w:nsid w:val="49DB2C66"/>
    <w:multiLevelType w:val="hybridMultilevel"/>
    <w:tmpl w:val="F2C2B8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A597F5D"/>
    <w:multiLevelType w:val="hybridMultilevel"/>
    <w:tmpl w:val="DF2891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A8B6D6E"/>
    <w:multiLevelType w:val="hybridMultilevel"/>
    <w:tmpl w:val="55A4D11E"/>
    <w:lvl w:ilvl="0" w:tplc="FF223EC8">
      <w:start w:val="1"/>
      <w:numFmt w:val="decimal"/>
      <w:lvlText w:val="(%1)"/>
      <w:lvlJc w:val="left"/>
      <w:pPr>
        <w:ind w:left="1211"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B2F1C4D"/>
    <w:multiLevelType w:val="hybridMultilevel"/>
    <w:tmpl w:val="835494C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371378"/>
    <w:multiLevelType w:val="hybridMultilevel"/>
    <w:tmpl w:val="132611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147DC8"/>
    <w:multiLevelType w:val="hybridMultilevel"/>
    <w:tmpl w:val="4A8AF0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B93030"/>
    <w:multiLevelType w:val="hybridMultilevel"/>
    <w:tmpl w:val="7A3A754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3AD4E76"/>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4CB29E3"/>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6AE276D"/>
    <w:multiLevelType w:val="hybridMultilevel"/>
    <w:tmpl w:val="9362859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8B67FA7"/>
    <w:multiLevelType w:val="hybridMultilevel"/>
    <w:tmpl w:val="77128F1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9BD62B2"/>
    <w:multiLevelType w:val="hybridMultilevel"/>
    <w:tmpl w:val="1CE4DB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A041F9D"/>
    <w:multiLevelType w:val="hybridMultilevel"/>
    <w:tmpl w:val="0A2A2CB4"/>
    <w:lvl w:ilvl="0" w:tplc="FF223EC8">
      <w:start w:val="1"/>
      <w:numFmt w:val="decimal"/>
      <w:lvlText w:val="(%1)"/>
      <w:lvlJc w:val="left"/>
      <w:pPr>
        <w:ind w:left="540" w:hanging="360"/>
      </w:pPr>
      <w:rPr>
        <w:rFonts w:ascii="Times New Roman" w:eastAsia="Times New Roman" w:hAnsi="Times New Roman" w:cs="Times New Roman" w:hint="default"/>
        <w:sz w:val="24"/>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2" w15:restartNumberingAfterBreak="0">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F602A9D"/>
    <w:multiLevelType w:val="hybridMultilevel"/>
    <w:tmpl w:val="E662DC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1246213"/>
    <w:multiLevelType w:val="hybridMultilevel"/>
    <w:tmpl w:val="86E694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1582E30"/>
    <w:multiLevelType w:val="hybridMultilevel"/>
    <w:tmpl w:val="E85EDC98"/>
    <w:lvl w:ilvl="0" w:tplc="AB4AE370">
      <w:start w:val="1"/>
      <w:numFmt w:val="decimal"/>
      <w:lvlText w:val="(%1)"/>
      <w:lvlJc w:val="left"/>
      <w:pPr>
        <w:ind w:left="780" w:hanging="360"/>
      </w:pPr>
    </w:lvl>
    <w:lvl w:ilvl="1" w:tplc="4F7C98DC">
      <w:start w:val="1"/>
      <w:numFmt w:val="lowerLetter"/>
      <w:lvlText w:val="%2)"/>
      <w:lvlJc w:val="left"/>
      <w:pPr>
        <w:ind w:left="1260" w:hanging="12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6" w15:restartNumberingAfterBreak="0">
    <w:nsid w:val="62910DAB"/>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2DF5F37"/>
    <w:multiLevelType w:val="hybridMultilevel"/>
    <w:tmpl w:val="38BCDB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6022735"/>
    <w:multiLevelType w:val="hybridMultilevel"/>
    <w:tmpl w:val="427037A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6395FA5"/>
    <w:multiLevelType w:val="hybridMultilevel"/>
    <w:tmpl w:val="36A4A3F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77D018C"/>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B3A6858"/>
    <w:multiLevelType w:val="hybridMultilevel"/>
    <w:tmpl w:val="AB148B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B6437FC"/>
    <w:multiLevelType w:val="multilevel"/>
    <w:tmpl w:val="571C412A"/>
    <w:lvl w:ilvl="0">
      <w:start w:val="1"/>
      <w:numFmt w:val="upperRoman"/>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3" w15:restartNumberingAfterBreak="0">
    <w:nsid w:val="6BE3204E"/>
    <w:multiLevelType w:val="hybridMultilevel"/>
    <w:tmpl w:val="726C3442"/>
    <w:lvl w:ilvl="0" w:tplc="FF223EC8">
      <w:start w:val="1"/>
      <w:numFmt w:val="decimal"/>
      <w:lvlText w:val="(%1)"/>
      <w:lvlJc w:val="left"/>
      <w:pPr>
        <w:ind w:left="45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C110BA6"/>
    <w:multiLevelType w:val="hybridMultilevel"/>
    <w:tmpl w:val="83B43A8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F572572"/>
    <w:multiLevelType w:val="hybridMultilevel"/>
    <w:tmpl w:val="9F249B4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714F3639"/>
    <w:multiLevelType w:val="hybridMultilevel"/>
    <w:tmpl w:val="DF22D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98312F"/>
    <w:multiLevelType w:val="hybridMultilevel"/>
    <w:tmpl w:val="FB34BA52"/>
    <w:lvl w:ilvl="0" w:tplc="7DC219BE">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9" w15:restartNumberingAfterBreak="0">
    <w:nsid w:val="71AC1336"/>
    <w:multiLevelType w:val="hybridMultilevel"/>
    <w:tmpl w:val="A6766B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2865DE3"/>
    <w:multiLevelType w:val="hybridMultilevel"/>
    <w:tmpl w:val="514655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2D52B17"/>
    <w:multiLevelType w:val="hybridMultilevel"/>
    <w:tmpl w:val="9028DD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7AE0D53"/>
    <w:multiLevelType w:val="hybridMultilevel"/>
    <w:tmpl w:val="D3F87288"/>
    <w:lvl w:ilvl="0" w:tplc="04090017">
      <w:start w:val="1"/>
      <w:numFmt w:val="lowerLetter"/>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83" w15:restartNumberingAfterBreak="0">
    <w:nsid w:val="789E14FE"/>
    <w:multiLevelType w:val="hybridMultilevel"/>
    <w:tmpl w:val="9FA86F6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790B7A1C"/>
    <w:multiLevelType w:val="hybridMultilevel"/>
    <w:tmpl w:val="A1802FA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798E2265"/>
    <w:multiLevelType w:val="hybridMultilevel"/>
    <w:tmpl w:val="0512CC7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C6B72C8"/>
    <w:multiLevelType w:val="hybridMultilevel"/>
    <w:tmpl w:val="EB30216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DED2F51"/>
    <w:multiLevelType w:val="hybridMultilevel"/>
    <w:tmpl w:val="0E24EA1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3D2F83"/>
    <w:multiLevelType w:val="hybridMultilevel"/>
    <w:tmpl w:val="BE3A5F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7E777648"/>
    <w:multiLevelType w:val="hybridMultilevel"/>
    <w:tmpl w:val="F5C89196"/>
    <w:lvl w:ilvl="0" w:tplc="04090017">
      <w:start w:val="1"/>
      <w:numFmt w:val="lowerLetter"/>
      <w:lvlText w:val="%1)"/>
      <w:lvlJc w:val="left"/>
      <w:pPr>
        <w:ind w:left="1500" w:hanging="360"/>
      </w:pPr>
    </w:lvl>
    <w:lvl w:ilvl="1" w:tplc="04090017">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num w:numId="1">
    <w:abstractNumId w:val="72"/>
  </w:num>
  <w:num w:numId="2">
    <w:abstractNumId w:val="88"/>
  </w:num>
  <w:num w:numId="3">
    <w:abstractNumId w:val="50"/>
  </w:num>
  <w:num w:numId="4">
    <w:abstractNumId w:val="55"/>
  </w:num>
  <w:num w:numId="5">
    <w:abstractNumId w:val="62"/>
  </w:num>
  <w:num w:numId="6">
    <w:abstractNumId w:val="52"/>
  </w:num>
  <w:num w:numId="7">
    <w:abstractNumId w:val="16"/>
  </w:num>
  <w:num w:numId="8">
    <w:abstractNumId w:val="7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
  </w:num>
  <w:num w:numId="91">
    <w:abstractNumId w:val="3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03"/>
    <w:rsid w:val="00012352"/>
    <w:rsid w:val="00013A43"/>
    <w:rsid w:val="00015D92"/>
    <w:rsid w:val="000333D0"/>
    <w:rsid w:val="00036288"/>
    <w:rsid w:val="00041415"/>
    <w:rsid w:val="0005469B"/>
    <w:rsid w:val="000637DA"/>
    <w:rsid w:val="00067106"/>
    <w:rsid w:val="000729CC"/>
    <w:rsid w:val="00084611"/>
    <w:rsid w:val="00096F9B"/>
    <w:rsid w:val="000A6406"/>
    <w:rsid w:val="000A7137"/>
    <w:rsid w:val="000B5CAC"/>
    <w:rsid w:val="000D1984"/>
    <w:rsid w:val="000F2160"/>
    <w:rsid w:val="000F4892"/>
    <w:rsid w:val="0010370B"/>
    <w:rsid w:val="00107871"/>
    <w:rsid w:val="00162964"/>
    <w:rsid w:val="001826F2"/>
    <w:rsid w:val="001A1CE6"/>
    <w:rsid w:val="001B5981"/>
    <w:rsid w:val="001C1D99"/>
    <w:rsid w:val="001D6AEB"/>
    <w:rsid w:val="001E0D97"/>
    <w:rsid w:val="002320D2"/>
    <w:rsid w:val="00237B62"/>
    <w:rsid w:val="002476E0"/>
    <w:rsid w:val="00252EE3"/>
    <w:rsid w:val="002560D0"/>
    <w:rsid w:val="00274E54"/>
    <w:rsid w:val="002A21F8"/>
    <w:rsid w:val="002B3A32"/>
    <w:rsid w:val="002F1928"/>
    <w:rsid w:val="002F57FD"/>
    <w:rsid w:val="0030527D"/>
    <w:rsid w:val="0031056F"/>
    <w:rsid w:val="003200B9"/>
    <w:rsid w:val="00325A90"/>
    <w:rsid w:val="00335C15"/>
    <w:rsid w:val="003452BC"/>
    <w:rsid w:val="003552FA"/>
    <w:rsid w:val="003C286E"/>
    <w:rsid w:val="003C5099"/>
    <w:rsid w:val="003D1EA7"/>
    <w:rsid w:val="003D68CE"/>
    <w:rsid w:val="003E446F"/>
    <w:rsid w:val="003E6CBA"/>
    <w:rsid w:val="00417B69"/>
    <w:rsid w:val="00421A33"/>
    <w:rsid w:val="004558D2"/>
    <w:rsid w:val="00476CE2"/>
    <w:rsid w:val="00480CFC"/>
    <w:rsid w:val="00481C4E"/>
    <w:rsid w:val="004B1BA7"/>
    <w:rsid w:val="004C001C"/>
    <w:rsid w:val="004C3547"/>
    <w:rsid w:val="004D0892"/>
    <w:rsid w:val="004E25DC"/>
    <w:rsid w:val="004E55C8"/>
    <w:rsid w:val="004F290A"/>
    <w:rsid w:val="004F45FC"/>
    <w:rsid w:val="004F4AA3"/>
    <w:rsid w:val="00520397"/>
    <w:rsid w:val="00530451"/>
    <w:rsid w:val="005506EE"/>
    <w:rsid w:val="00557F79"/>
    <w:rsid w:val="005624A8"/>
    <w:rsid w:val="0056768D"/>
    <w:rsid w:val="005772E3"/>
    <w:rsid w:val="005A0C59"/>
    <w:rsid w:val="005B3A21"/>
    <w:rsid w:val="005C045C"/>
    <w:rsid w:val="005D719A"/>
    <w:rsid w:val="005E5675"/>
    <w:rsid w:val="005E5F54"/>
    <w:rsid w:val="0061136E"/>
    <w:rsid w:val="0061151B"/>
    <w:rsid w:val="006249EC"/>
    <w:rsid w:val="00625A21"/>
    <w:rsid w:val="00655470"/>
    <w:rsid w:val="00666A60"/>
    <w:rsid w:val="00672E9C"/>
    <w:rsid w:val="00677CD3"/>
    <w:rsid w:val="00690055"/>
    <w:rsid w:val="00693631"/>
    <w:rsid w:val="0069581C"/>
    <w:rsid w:val="006A0D5A"/>
    <w:rsid w:val="006C7EBF"/>
    <w:rsid w:val="006E3B78"/>
    <w:rsid w:val="007115FD"/>
    <w:rsid w:val="007216F1"/>
    <w:rsid w:val="00734419"/>
    <w:rsid w:val="007655CD"/>
    <w:rsid w:val="0079458C"/>
    <w:rsid w:val="007D5224"/>
    <w:rsid w:val="007D5CA1"/>
    <w:rsid w:val="00820758"/>
    <w:rsid w:val="008842EB"/>
    <w:rsid w:val="008A3AC8"/>
    <w:rsid w:val="008B0978"/>
    <w:rsid w:val="008B7D91"/>
    <w:rsid w:val="008D4C1D"/>
    <w:rsid w:val="008F13F3"/>
    <w:rsid w:val="009155C3"/>
    <w:rsid w:val="00916927"/>
    <w:rsid w:val="00917A68"/>
    <w:rsid w:val="0092176B"/>
    <w:rsid w:val="00947071"/>
    <w:rsid w:val="00971C9E"/>
    <w:rsid w:val="009803DB"/>
    <w:rsid w:val="009B03A1"/>
    <w:rsid w:val="009D37E2"/>
    <w:rsid w:val="009E6EEA"/>
    <w:rsid w:val="009F36D8"/>
    <w:rsid w:val="009F654B"/>
    <w:rsid w:val="00A04ADE"/>
    <w:rsid w:val="00A3393F"/>
    <w:rsid w:val="00A35E77"/>
    <w:rsid w:val="00A4200C"/>
    <w:rsid w:val="00A43E25"/>
    <w:rsid w:val="00A53816"/>
    <w:rsid w:val="00A628E0"/>
    <w:rsid w:val="00A8791F"/>
    <w:rsid w:val="00A9198A"/>
    <w:rsid w:val="00AB2363"/>
    <w:rsid w:val="00AC1BB3"/>
    <w:rsid w:val="00AC60E3"/>
    <w:rsid w:val="00AE5AD2"/>
    <w:rsid w:val="00AF36B6"/>
    <w:rsid w:val="00B030D0"/>
    <w:rsid w:val="00B07786"/>
    <w:rsid w:val="00B20C52"/>
    <w:rsid w:val="00B22571"/>
    <w:rsid w:val="00B3262F"/>
    <w:rsid w:val="00B47D47"/>
    <w:rsid w:val="00B647D9"/>
    <w:rsid w:val="00B6481F"/>
    <w:rsid w:val="00B74011"/>
    <w:rsid w:val="00B7427A"/>
    <w:rsid w:val="00B76612"/>
    <w:rsid w:val="00B8270E"/>
    <w:rsid w:val="00B90791"/>
    <w:rsid w:val="00B94F28"/>
    <w:rsid w:val="00BA7EF0"/>
    <w:rsid w:val="00BE66B9"/>
    <w:rsid w:val="00C44C37"/>
    <w:rsid w:val="00C53AC6"/>
    <w:rsid w:val="00C93F25"/>
    <w:rsid w:val="00C947DD"/>
    <w:rsid w:val="00CB2647"/>
    <w:rsid w:val="00CC2406"/>
    <w:rsid w:val="00CD6211"/>
    <w:rsid w:val="00CE14B7"/>
    <w:rsid w:val="00D15805"/>
    <w:rsid w:val="00D242BB"/>
    <w:rsid w:val="00D2443A"/>
    <w:rsid w:val="00D5607E"/>
    <w:rsid w:val="00D7138F"/>
    <w:rsid w:val="00DA7C75"/>
    <w:rsid w:val="00DB0FC3"/>
    <w:rsid w:val="00DB7A7F"/>
    <w:rsid w:val="00DC55A5"/>
    <w:rsid w:val="00DC579B"/>
    <w:rsid w:val="00E03180"/>
    <w:rsid w:val="00E0486E"/>
    <w:rsid w:val="00E05DA7"/>
    <w:rsid w:val="00E06B05"/>
    <w:rsid w:val="00E34F74"/>
    <w:rsid w:val="00E35062"/>
    <w:rsid w:val="00E41024"/>
    <w:rsid w:val="00E418C7"/>
    <w:rsid w:val="00E470DC"/>
    <w:rsid w:val="00E602D0"/>
    <w:rsid w:val="00E61322"/>
    <w:rsid w:val="00E81EC6"/>
    <w:rsid w:val="00E90630"/>
    <w:rsid w:val="00E941D2"/>
    <w:rsid w:val="00EA23E2"/>
    <w:rsid w:val="00EB03C2"/>
    <w:rsid w:val="00EB7A05"/>
    <w:rsid w:val="00EC66BD"/>
    <w:rsid w:val="00ED2E03"/>
    <w:rsid w:val="00F10DFD"/>
    <w:rsid w:val="00F2448B"/>
    <w:rsid w:val="00F26495"/>
    <w:rsid w:val="00F614F9"/>
    <w:rsid w:val="00F7562F"/>
    <w:rsid w:val="00F766EF"/>
    <w:rsid w:val="00F85DA6"/>
    <w:rsid w:val="00FB404C"/>
    <w:rsid w:val="00FC32BA"/>
    <w:rsid w:val="00FE6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3FC4D"/>
  <w15:docId w15:val="{E54C0A9B-DA2D-4003-B99F-894F7F59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A60"/>
    <w:rPr>
      <w:rFonts w:eastAsiaTheme="minorEastAsia"/>
      <w:lang w:val="en-US"/>
    </w:rPr>
  </w:style>
  <w:style w:type="paragraph" w:styleId="Heading1">
    <w:name w:val="heading 1"/>
    <w:basedOn w:val="Normal"/>
    <w:next w:val="Normal"/>
    <w:link w:val="Heading1Char"/>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666A60"/>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666A60"/>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666A60"/>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66A60"/>
    <w:rPr>
      <w:rFonts w:ascii="Calibri" w:eastAsia="Calibri" w:hAnsi="Calibri" w:cs="Times New Roman"/>
      <w:lang w:val="en-US"/>
    </w:rPr>
  </w:style>
  <w:style w:type="paragraph" w:styleId="Footer">
    <w:name w:val="footer"/>
    <w:basedOn w:val="Normal"/>
    <w:link w:val="Foot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66A60"/>
    <w:rPr>
      <w:rFonts w:ascii="Calibri" w:eastAsia="Calibri" w:hAnsi="Calibri" w:cs="Times New Roman"/>
      <w:lang w:val="en-US"/>
    </w:rPr>
  </w:style>
  <w:style w:type="paragraph" w:styleId="BalloonText">
    <w:name w:val="Balloon Text"/>
    <w:basedOn w:val="Normal"/>
    <w:link w:val="BalloonTextChar"/>
    <w:uiPriority w:val="99"/>
    <w:unhideWhenUsed/>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666A60"/>
    <w:rPr>
      <w:rFonts w:ascii="Segoe UI" w:eastAsia="Calibri" w:hAnsi="Segoe UI" w:cs="Segoe UI"/>
      <w:sz w:val="18"/>
      <w:szCs w:val="18"/>
      <w:lang w:val="en-US"/>
    </w:rPr>
  </w:style>
  <w:style w:type="character" w:styleId="CommentReference">
    <w:name w:val="annotation reference"/>
    <w:basedOn w:val="DefaultParagraphFont"/>
    <w:uiPriority w:val="99"/>
    <w:unhideWhenUsed/>
    <w:rsid w:val="00666A60"/>
    <w:rPr>
      <w:sz w:val="16"/>
      <w:szCs w:val="16"/>
    </w:rPr>
  </w:style>
  <w:style w:type="paragraph" w:styleId="CommentText">
    <w:name w:val="annotation text"/>
    <w:basedOn w:val="Normal"/>
    <w:link w:val="CommentTextChar"/>
    <w:uiPriority w:val="99"/>
    <w:semiHidden/>
    <w:unhideWhenUsed/>
    <w:rsid w:val="00666A6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6A6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6A60"/>
    <w:rPr>
      <w:b/>
      <w:bCs/>
    </w:rPr>
  </w:style>
  <w:style w:type="character" w:customStyle="1" w:styleId="CommentSubjectChar">
    <w:name w:val="Comment Subject Char"/>
    <w:basedOn w:val="CommentTextChar"/>
    <w:link w:val="CommentSubject"/>
    <w:uiPriority w:val="99"/>
    <w:semiHidden/>
    <w:rsid w:val="00666A60"/>
    <w:rPr>
      <w:rFonts w:ascii="Calibri" w:eastAsia="Calibri" w:hAnsi="Calibri" w:cs="Times New Roman"/>
      <w:b/>
      <w:bCs/>
      <w:sz w:val="20"/>
      <w:szCs w:val="20"/>
      <w:lang w:val="en-US"/>
    </w:rPr>
  </w:style>
  <w:style w:type="paragraph" w:styleId="ListParagraph">
    <w:name w:val="List Paragraph"/>
    <w:basedOn w:val="Normal"/>
    <w:link w:val="ListParagraphChar"/>
    <w:uiPriority w:val="34"/>
    <w:qFormat/>
    <w:rsid w:val="00666A6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66A60"/>
    <w:rPr>
      <w:rFonts w:ascii="Calibri" w:eastAsia="Calibri" w:hAnsi="Calibri" w:cs="Times New Roman"/>
      <w:lang w:val="en-US"/>
    </w:rPr>
  </w:style>
  <w:style w:type="paragraph" w:styleId="TOCHeading">
    <w:name w:val="TOC Heading"/>
    <w:basedOn w:val="Heading1"/>
    <w:next w:val="Normal"/>
    <w:uiPriority w:val="39"/>
    <w:unhideWhenUsed/>
    <w:qFormat/>
    <w:rsid w:val="00666A60"/>
    <w:pPr>
      <w:numPr>
        <w:numId w:val="0"/>
      </w:numPr>
      <w:jc w:val="left"/>
      <w:outlineLvl w:val="9"/>
    </w:pPr>
  </w:style>
  <w:style w:type="paragraph" w:styleId="TOC1">
    <w:name w:val="toc 1"/>
    <w:basedOn w:val="Normal"/>
    <w:next w:val="Normal"/>
    <w:autoRedefine/>
    <w:uiPriority w:val="39"/>
    <w:unhideWhenUsed/>
    <w:rsid w:val="00666A60"/>
    <w:pPr>
      <w:spacing w:after="100"/>
      <w:jc w:val="both"/>
    </w:pPr>
    <w:rPr>
      <w:rFonts w:ascii="Times New Roman" w:eastAsiaTheme="minorHAnsi" w:hAnsi="Times New Roman"/>
      <w:b/>
      <w:sz w:val="24"/>
    </w:rPr>
  </w:style>
  <w:style w:type="paragraph" w:styleId="TOC2">
    <w:name w:val="toc 2"/>
    <w:basedOn w:val="Normal"/>
    <w:next w:val="Normal"/>
    <w:autoRedefine/>
    <w:uiPriority w:val="39"/>
    <w:unhideWhenUsed/>
    <w:rsid w:val="00666A60"/>
    <w:pPr>
      <w:spacing w:after="100"/>
      <w:ind w:left="240"/>
      <w:jc w:val="both"/>
    </w:pPr>
    <w:rPr>
      <w:rFonts w:ascii="Times New Roman" w:eastAsiaTheme="minorHAnsi" w:hAnsi="Times New Roman"/>
      <w:sz w:val="24"/>
    </w:rPr>
  </w:style>
  <w:style w:type="character" w:styleId="Hyperlink">
    <w:name w:val="Hyperlink"/>
    <w:basedOn w:val="DefaultParagraphFont"/>
    <w:uiPriority w:val="99"/>
    <w:unhideWhenUsed/>
    <w:rsid w:val="00666A60"/>
    <w:rPr>
      <w:color w:val="0563C1" w:themeColor="hyperlink"/>
      <w:u w:val="single"/>
    </w:rPr>
  </w:style>
  <w:style w:type="paragraph" w:styleId="Subtitle">
    <w:name w:val="Subtitle"/>
    <w:basedOn w:val="Normal"/>
    <w:next w:val="Normal"/>
    <w:link w:val="SubtitleChar"/>
    <w:uiPriority w:val="11"/>
    <w:qFormat/>
    <w:rsid w:val="00666A60"/>
    <w:pPr>
      <w:numPr>
        <w:ilvl w:val="1"/>
      </w:numPr>
      <w:jc w:val="both"/>
    </w:pPr>
    <w:rPr>
      <w:color w:val="5A5A5A" w:themeColor="text1" w:themeTint="A5"/>
      <w:spacing w:val="15"/>
    </w:rPr>
  </w:style>
  <w:style w:type="character" w:customStyle="1" w:styleId="SubtitleChar">
    <w:name w:val="Subtitle Char"/>
    <w:basedOn w:val="DefaultParagraphFont"/>
    <w:link w:val="Subtitle"/>
    <w:uiPriority w:val="11"/>
    <w:rsid w:val="00666A60"/>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666A60"/>
    <w:pPr>
      <w:spacing w:after="100"/>
      <w:ind w:left="480"/>
      <w:jc w:val="both"/>
    </w:pPr>
    <w:rPr>
      <w:rFonts w:ascii="Times New Roman" w:eastAsiaTheme="minorHAnsi" w:hAnsi="Times New Roman"/>
      <w:sz w:val="24"/>
    </w:rPr>
  </w:style>
  <w:style w:type="paragraph" w:styleId="Caption">
    <w:name w:val="caption"/>
    <w:basedOn w:val="Normal"/>
    <w:next w:val="Normal"/>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Normal"/>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Normal"/>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ListParagraph"/>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Normal"/>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Normal"/>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DefaultParagraphFont"/>
    <w:rsid w:val="00666A60"/>
  </w:style>
  <w:style w:type="paragraph" w:customStyle="1" w:styleId="Bulletsintable">
    <w:name w:val="Bullets in table"/>
    <w:basedOn w:val="Normal"/>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NormalWeb">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Normal"/>
    <w:link w:val="NormalWebChar"/>
    <w:uiPriority w:val="99"/>
    <w:unhideWhenUsed/>
    <w:qFormat/>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66A60"/>
    <w:rPr>
      <w:b/>
      <w:bCs/>
    </w:rPr>
  </w:style>
  <w:style w:type="character" w:styleId="Emphasis">
    <w:name w:val="Emphasis"/>
    <w:basedOn w:val="DefaultParagraphFont"/>
    <w:uiPriority w:val="20"/>
    <w:qFormat/>
    <w:rsid w:val="00666A60"/>
    <w:rPr>
      <w:i/>
      <w:iCs/>
    </w:rPr>
  </w:style>
  <w:style w:type="paragraph" w:styleId="Revision">
    <w:name w:val="Revision"/>
    <w:hidden/>
    <w:uiPriority w:val="99"/>
    <w:semiHidden/>
    <w:rsid w:val="00666A60"/>
    <w:pPr>
      <w:spacing w:after="0" w:line="240" w:lineRule="auto"/>
    </w:pPr>
    <w:rPr>
      <w:rFonts w:ascii="Times New Roman" w:hAnsi="Times New Roman"/>
      <w:sz w:val="24"/>
      <w:lang w:val="en-US"/>
    </w:rPr>
  </w:style>
  <w:style w:type="table" w:styleId="TableGrid">
    <w:name w:val="Table Grid"/>
    <w:basedOn w:val="TableNormal"/>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9803DB"/>
  </w:style>
  <w:style w:type="paragraph" w:styleId="Title">
    <w:name w:val="Title"/>
    <w:basedOn w:val="Normal"/>
    <w:next w:val="Normal"/>
    <w:link w:val="TitleChar"/>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TitleChar">
    <w:name w:val="Title Char"/>
    <w:basedOn w:val="DefaultParagraphFont"/>
    <w:link w:val="Title"/>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Quote">
    <w:name w:val="Quote"/>
    <w:basedOn w:val="Normal"/>
    <w:next w:val="Normal"/>
    <w:link w:val="QuoteChar"/>
    <w:uiPriority w:val="2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29"/>
    <w:rsid w:val="009803DB"/>
    <w:rPr>
      <w:rFonts w:eastAsiaTheme="minorEastAsia"/>
      <w:i/>
      <w:iCs/>
      <w:lang w:val="en-GB"/>
    </w:rPr>
  </w:style>
  <w:style w:type="paragraph" w:styleId="IntenseQuote">
    <w:name w:val="Intense Quote"/>
    <w:basedOn w:val="Normal"/>
    <w:next w:val="Normal"/>
    <w:link w:val="IntenseQuoteChar"/>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IntenseQuoteChar">
    <w:name w:val="Intense Quote Char"/>
    <w:basedOn w:val="DefaultParagraphFont"/>
    <w:link w:val="IntenseQuote"/>
    <w:uiPriority w:val="30"/>
    <w:rsid w:val="009803DB"/>
    <w:rPr>
      <w:rFonts w:asciiTheme="majorHAnsi" w:eastAsiaTheme="majorEastAsia" w:hAnsiTheme="majorHAnsi" w:cstheme="majorBidi"/>
      <w:color w:val="5B9BD5" w:themeColor="accent1"/>
      <w:sz w:val="24"/>
      <w:szCs w:val="24"/>
      <w:lang w:val="en-GB"/>
    </w:rPr>
  </w:style>
  <w:style w:type="character" w:styleId="SubtleEmphasis">
    <w:name w:val="Subtle Emphasis"/>
    <w:basedOn w:val="DefaultParagraphFont"/>
    <w:uiPriority w:val="19"/>
    <w:qFormat/>
    <w:rsid w:val="009803DB"/>
    <w:rPr>
      <w:i/>
      <w:iCs/>
      <w:color w:val="404040" w:themeColor="text1" w:themeTint="BF"/>
    </w:rPr>
  </w:style>
  <w:style w:type="character" w:styleId="IntenseEmphasis">
    <w:name w:val="Intense Emphasis"/>
    <w:basedOn w:val="DefaultParagraphFont"/>
    <w:uiPriority w:val="21"/>
    <w:qFormat/>
    <w:rsid w:val="009803DB"/>
    <w:rPr>
      <w:b w:val="0"/>
      <w:bCs w:val="0"/>
      <w:i/>
      <w:iCs/>
      <w:color w:val="5B9BD5" w:themeColor="accent1"/>
    </w:rPr>
  </w:style>
  <w:style w:type="character" w:styleId="SubtleReference">
    <w:name w:val="Subtle Reference"/>
    <w:basedOn w:val="DefaultParagraphFont"/>
    <w:uiPriority w:val="31"/>
    <w:qFormat/>
    <w:rsid w:val="009803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3DB"/>
    <w:rPr>
      <w:b/>
      <w:bCs/>
      <w:smallCaps/>
      <w:color w:val="5B9BD5" w:themeColor="accent1"/>
      <w:spacing w:val="5"/>
      <w:u w:val="single"/>
    </w:rPr>
  </w:style>
  <w:style w:type="character" w:styleId="BookTitle">
    <w:name w:val="Book Title"/>
    <w:basedOn w:val="DefaultParagraphFont"/>
    <w:uiPriority w:val="33"/>
    <w:qFormat/>
    <w:rsid w:val="009803DB"/>
    <w:rPr>
      <w:b/>
      <w:bCs/>
      <w:smallCaps/>
    </w:rPr>
  </w:style>
  <w:style w:type="numbering" w:customStyle="1" w:styleId="NoList1">
    <w:name w:val="No List1"/>
    <w:next w:val="NoList"/>
    <w:uiPriority w:val="99"/>
    <w:semiHidden/>
    <w:unhideWhenUsed/>
    <w:rsid w:val="007115FD"/>
  </w:style>
  <w:style w:type="paragraph" w:customStyle="1" w:styleId="1">
    <w:name w:val="Стиль1"/>
    <w:basedOn w:val="Normal"/>
    <w:rsid w:val="007115FD"/>
    <w:pPr>
      <w:widowControl w:val="0"/>
      <w:adjustRightInd w:val="0"/>
      <w:spacing w:after="0" w:line="360" w:lineRule="atLeast"/>
      <w:jc w:val="both"/>
      <w:textAlignment w:val="baseline"/>
    </w:pPr>
    <w:rPr>
      <w:rFonts w:ascii="Calibri" w:eastAsia="Times New Roman" w:hAnsi="Calibri" w:cs="Times New Roman"/>
      <w:sz w:val="20"/>
      <w:szCs w:val="20"/>
      <w:lang w:eastAsia="ro-RO"/>
    </w:rPr>
  </w:style>
  <w:style w:type="paragraph" w:customStyle="1" w:styleId="2">
    <w:name w:val="Стиль2"/>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8"/>
      <w:lang w:eastAsia="ro-RO"/>
    </w:rPr>
  </w:style>
  <w:style w:type="paragraph" w:customStyle="1" w:styleId="3">
    <w:name w:val="Стиль3"/>
    <w:basedOn w:val="Normal"/>
    <w:autoRedefine/>
    <w:rsid w:val="007115FD"/>
    <w:pPr>
      <w:widowControl w:val="0"/>
      <w:adjustRightInd w:val="0"/>
      <w:spacing w:after="0" w:line="360" w:lineRule="atLeast"/>
      <w:jc w:val="both"/>
      <w:textAlignment w:val="baseline"/>
    </w:pPr>
    <w:rPr>
      <w:rFonts w:ascii="Calibri" w:eastAsia="Times New Roman" w:hAnsi="Calibri" w:cs="Times New Roman"/>
      <w:sz w:val="28"/>
      <w:szCs w:val="28"/>
      <w:lang w:val="ro-RO" w:eastAsia="ro-RO"/>
    </w:rPr>
  </w:style>
  <w:style w:type="paragraph" w:customStyle="1" w:styleId="4">
    <w:name w:val="Стиль4"/>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5">
    <w:name w:val="Стиль5"/>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0">
    <w:name w:val="Стиль Первая строка:  0 см"/>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0"/>
      <w:lang w:eastAsia="ro-RO"/>
    </w:rPr>
  </w:style>
  <w:style w:type="paragraph" w:customStyle="1" w:styleId="10">
    <w:name w:val="Абзац списка1"/>
    <w:basedOn w:val="Normal"/>
    <w:qFormat/>
    <w:rsid w:val="007115F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font5">
    <w:name w:val="font5"/>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000000"/>
      <w:sz w:val="20"/>
      <w:szCs w:val="20"/>
      <w:lang w:eastAsia="ro-RO"/>
    </w:rPr>
  </w:style>
  <w:style w:type="paragraph" w:customStyle="1" w:styleId="font6">
    <w:name w:val="font6"/>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FF0000"/>
      <w:sz w:val="20"/>
      <w:szCs w:val="20"/>
      <w:lang w:eastAsia="ro-RO"/>
    </w:rPr>
  </w:style>
  <w:style w:type="paragraph" w:customStyle="1" w:styleId="xl63">
    <w:name w:val="xl63"/>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4">
    <w:name w:val="xl64"/>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paragraph" w:customStyle="1" w:styleId="xl65">
    <w:name w:val="xl65"/>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6">
    <w:name w:val="xl66"/>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character" w:styleId="PageNumber">
    <w:name w:val="page number"/>
    <w:basedOn w:val="DefaultParagraphFont"/>
    <w:rsid w:val="007115FD"/>
  </w:style>
  <w:style w:type="character" w:customStyle="1" w:styleId="longtext">
    <w:name w:val="long_text"/>
    <w:basedOn w:val="DefaultParagraphFont"/>
    <w:rsid w:val="007115FD"/>
  </w:style>
  <w:style w:type="paragraph" w:customStyle="1" w:styleId="11">
    <w:name w:val="Обычный1"/>
    <w:rsid w:val="007115FD"/>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ru-RU"/>
    </w:rPr>
  </w:style>
  <w:style w:type="paragraph" w:customStyle="1" w:styleId="CharChar">
    <w:name w:val="Знак Знак Char Char Знак"/>
    <w:basedOn w:val="Normal"/>
    <w:rsid w:val="007115FD"/>
    <w:pPr>
      <w:widowControl w:val="0"/>
      <w:adjustRightInd w:val="0"/>
      <w:spacing w:line="240" w:lineRule="exact"/>
      <w:jc w:val="both"/>
      <w:textAlignment w:val="baseline"/>
    </w:pPr>
    <w:rPr>
      <w:rFonts w:ascii="Arial" w:eastAsia="Batang" w:hAnsi="Arial" w:cs="Arial"/>
      <w:sz w:val="20"/>
      <w:szCs w:val="20"/>
      <w:lang w:eastAsia="ro-RO"/>
    </w:rPr>
  </w:style>
  <w:style w:type="paragraph" w:customStyle="1" w:styleId="NoSpacing1">
    <w:name w:val="No Spacing1"/>
    <w:qFormat/>
    <w:rsid w:val="007115FD"/>
    <w:pPr>
      <w:widowControl w:val="0"/>
      <w:adjustRightInd w:val="0"/>
      <w:spacing w:after="0" w:line="240" w:lineRule="auto"/>
      <w:jc w:val="both"/>
      <w:textAlignment w:val="baseline"/>
    </w:pPr>
    <w:rPr>
      <w:rFonts w:ascii="Calibri" w:eastAsia="Times New Roman" w:hAnsi="Calibri" w:cs="Times New Roman"/>
      <w:sz w:val="20"/>
      <w:szCs w:val="20"/>
      <w:lang w:eastAsia="ro-RO"/>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basedOn w:val="DefaultParagraphFont"/>
    <w:link w:val="NormalWeb"/>
    <w:uiPriority w:val="99"/>
    <w:locked/>
    <w:rsid w:val="007115FD"/>
    <w:rPr>
      <w:rFonts w:ascii="Times New Roman" w:eastAsia="Times New Roman" w:hAnsi="Times New Roman" w:cs="Times New Roman"/>
      <w:sz w:val="24"/>
      <w:szCs w:val="24"/>
      <w:lang w:val="en-US"/>
    </w:rPr>
  </w:style>
  <w:style w:type="paragraph" w:customStyle="1" w:styleId="md">
    <w:name w:val="md"/>
    <w:basedOn w:val="Normal"/>
    <w:rsid w:val="007115FD"/>
    <w:pPr>
      <w:widowControl w:val="0"/>
      <w:adjustRightInd w:val="0"/>
      <w:spacing w:after="0" w:line="240" w:lineRule="auto"/>
      <w:ind w:firstLine="567"/>
      <w:jc w:val="both"/>
      <w:textAlignment w:val="baseline"/>
    </w:pPr>
    <w:rPr>
      <w:rFonts w:ascii="Times New Roman" w:eastAsia="Times New Roman" w:hAnsi="Times New Roman" w:cs="Times New Roman"/>
      <w:i/>
      <w:iCs/>
      <w:color w:val="663300"/>
      <w:sz w:val="20"/>
      <w:szCs w:val="20"/>
      <w:lang w:val="ro-RO" w:eastAsia="ro-RO"/>
    </w:rPr>
  </w:style>
  <w:style w:type="paragraph" w:customStyle="1" w:styleId="cn">
    <w:name w:val="cn"/>
    <w:basedOn w:val="Normal"/>
    <w:rsid w:val="00820758"/>
    <w:pPr>
      <w:spacing w:after="0" w:line="240" w:lineRule="auto"/>
      <w:jc w:val="center"/>
    </w:pPr>
    <w:rPr>
      <w:rFonts w:ascii="Times New Roman" w:eastAsia="Times New Roman" w:hAnsi="Times New Roman" w:cs="Times New Roman"/>
      <w:sz w:val="24"/>
      <w:szCs w:val="24"/>
      <w:lang w:val="ru-RU" w:eastAsia="ru-RU"/>
    </w:rPr>
  </w:style>
  <w:style w:type="numbering" w:customStyle="1" w:styleId="NoList2">
    <w:name w:val="No List2"/>
    <w:next w:val="NoList"/>
    <w:uiPriority w:val="99"/>
    <w:semiHidden/>
    <w:unhideWhenUsed/>
    <w:rsid w:val="00D2443A"/>
  </w:style>
  <w:style w:type="numbering" w:customStyle="1" w:styleId="NoList11">
    <w:name w:val="No List11"/>
    <w:next w:val="NoList"/>
    <w:uiPriority w:val="99"/>
    <w:semiHidden/>
    <w:unhideWhenUsed/>
    <w:rsid w:val="00D2443A"/>
  </w:style>
  <w:style w:type="numbering" w:customStyle="1" w:styleId="NoList3">
    <w:name w:val="No List3"/>
    <w:next w:val="NoList"/>
    <w:uiPriority w:val="99"/>
    <w:semiHidden/>
    <w:unhideWhenUsed/>
    <w:rsid w:val="00FB404C"/>
  </w:style>
  <w:style w:type="numbering" w:customStyle="1" w:styleId="NoList12">
    <w:name w:val="No List12"/>
    <w:next w:val="NoList"/>
    <w:uiPriority w:val="99"/>
    <w:semiHidden/>
    <w:unhideWhenUsed/>
    <w:rsid w:val="00FB404C"/>
  </w:style>
  <w:style w:type="character" w:customStyle="1" w:styleId="object">
    <w:name w:val="object"/>
    <w:basedOn w:val="DefaultParagraphFont"/>
    <w:rsid w:val="008A3AC8"/>
  </w:style>
  <w:style w:type="numbering" w:customStyle="1" w:styleId="12">
    <w:name w:val="Нет списка1"/>
    <w:next w:val="NoList"/>
    <w:uiPriority w:val="99"/>
    <w:semiHidden/>
    <w:unhideWhenUsed/>
    <w:rsid w:val="0079458C"/>
  </w:style>
  <w:style w:type="character" w:customStyle="1" w:styleId="13">
    <w:name w:val="Просмотренная гиперссылка1"/>
    <w:basedOn w:val="DefaultParagraphFont"/>
    <w:uiPriority w:val="99"/>
    <w:semiHidden/>
    <w:unhideWhenUsed/>
    <w:rsid w:val="0079458C"/>
    <w:rPr>
      <w:color w:val="800080"/>
      <w:u w:val="single"/>
    </w:rPr>
  </w:style>
  <w:style w:type="paragraph" w:customStyle="1" w:styleId="tt">
    <w:name w:val="tt"/>
    <w:basedOn w:val="Normal"/>
    <w:rsid w:val="0079458C"/>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uiPriority w:val="99"/>
    <w:rsid w:val="0079458C"/>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uiPriority w:val="99"/>
    <w:rsid w:val="0079458C"/>
    <w:pPr>
      <w:spacing w:before="34" w:after="0" w:line="240" w:lineRule="auto"/>
      <w:ind w:left="1134" w:right="567" w:hanging="567"/>
      <w:jc w:val="both"/>
    </w:pPr>
    <w:rPr>
      <w:rFonts w:ascii="Times New Roman" w:eastAsia="Times New Roman" w:hAnsi="Times New Roman" w:cs="Times New Roman"/>
      <w:sz w:val="20"/>
      <w:szCs w:val="20"/>
    </w:rPr>
  </w:style>
  <w:style w:type="paragraph" w:customStyle="1" w:styleId="cb">
    <w:name w:val="cb"/>
    <w:basedOn w:val="Normal"/>
    <w:rsid w:val="0079458C"/>
    <w:pPr>
      <w:spacing w:after="0" w:line="240" w:lineRule="auto"/>
      <w:jc w:val="center"/>
    </w:pPr>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79458C"/>
    <w:rPr>
      <w:color w:val="954F72" w:themeColor="followedHyperlink"/>
      <w:u w:val="single"/>
    </w:rPr>
  </w:style>
  <w:style w:type="numbering" w:customStyle="1" w:styleId="20">
    <w:name w:val="Нет списка2"/>
    <w:next w:val="NoList"/>
    <w:uiPriority w:val="99"/>
    <w:semiHidden/>
    <w:unhideWhenUsed/>
    <w:rsid w:val="009E6EEA"/>
  </w:style>
  <w:style w:type="table" w:customStyle="1" w:styleId="14">
    <w:name w:val="Сетка таблицы1"/>
    <w:basedOn w:val="TableNormal"/>
    <w:next w:val="TableGrid"/>
    <w:uiPriority w:val="59"/>
    <w:rsid w:val="009E6E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E6EEA"/>
  </w:style>
  <w:style w:type="character" w:customStyle="1" w:styleId="shorttext">
    <w:name w:val="short_text"/>
    <w:basedOn w:val="DefaultParagraphFont"/>
    <w:rsid w:val="009E6EEA"/>
  </w:style>
  <w:style w:type="paragraph" w:customStyle="1" w:styleId="CM4">
    <w:name w:val="CM4"/>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1">
    <w:name w:val="CM1"/>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3">
    <w:name w:val="CM3"/>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21">
    <w:name w:val="Абзац списка2"/>
    <w:basedOn w:val="Normal"/>
    <w:qFormat/>
    <w:rsid w:val="009E6EEA"/>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doc-ti">
    <w:name w:val="doc-ti"/>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бычный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9E6EEA"/>
  </w:style>
  <w:style w:type="paragraph" w:customStyle="1" w:styleId="ti-section-1">
    <w:name w:val="ti-section-1"/>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E6EEA"/>
  </w:style>
  <w:style w:type="paragraph" w:styleId="PlainText">
    <w:name w:val="Plain Text"/>
    <w:basedOn w:val="Normal"/>
    <w:link w:val="PlainTextChar"/>
    <w:uiPriority w:val="99"/>
    <w:unhideWhenUsed/>
    <w:rsid w:val="009E6EE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E6EEA"/>
    <w:rPr>
      <w:rFonts w:ascii="Consolas" w:eastAsia="Calibri" w:hAnsi="Consolas" w:cs="Times New Roman"/>
      <w:sz w:val="21"/>
      <w:szCs w:val="21"/>
      <w:lang w:val="en-US"/>
    </w:rPr>
  </w:style>
  <w:style w:type="paragraph" w:customStyle="1" w:styleId="al">
    <w:name w:val="a_l"/>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9E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2422">
      <w:bodyDiv w:val="1"/>
      <w:marLeft w:val="0"/>
      <w:marRight w:val="0"/>
      <w:marTop w:val="0"/>
      <w:marBottom w:val="0"/>
      <w:divBdr>
        <w:top w:val="none" w:sz="0" w:space="0" w:color="auto"/>
        <w:left w:val="none" w:sz="0" w:space="0" w:color="auto"/>
        <w:bottom w:val="none" w:sz="0" w:space="0" w:color="auto"/>
        <w:right w:val="none" w:sz="0" w:space="0" w:color="auto"/>
      </w:divBdr>
    </w:div>
    <w:div w:id="1453279182">
      <w:bodyDiv w:val="1"/>
      <w:marLeft w:val="0"/>
      <w:marRight w:val="0"/>
      <w:marTop w:val="0"/>
      <w:marBottom w:val="0"/>
      <w:divBdr>
        <w:top w:val="none" w:sz="0" w:space="0" w:color="auto"/>
        <w:left w:val="none" w:sz="0" w:space="0" w:color="auto"/>
        <w:bottom w:val="none" w:sz="0" w:space="0" w:color="auto"/>
        <w:right w:val="none" w:sz="0" w:space="0" w:color="auto"/>
      </w:divBdr>
    </w:div>
    <w:div w:id="19464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5522-9143-4ABF-8646-21AA9A96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18508</Words>
  <Characters>105500</Characters>
  <Application>Microsoft Office Word</Application>
  <DocSecurity>0</DocSecurity>
  <Lines>879</Lines>
  <Paragraphs>247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Cainareanu Sergiu</dc:creator>
  <cp:lastModifiedBy>Lilia Rimar</cp:lastModifiedBy>
  <cp:revision>4</cp:revision>
  <cp:lastPrinted>2020-04-29T07:19:00Z</cp:lastPrinted>
  <dcterms:created xsi:type="dcterms:W3CDTF">2020-04-29T11:47:00Z</dcterms:created>
  <dcterms:modified xsi:type="dcterms:W3CDTF">2020-05-04T08:41:00Z</dcterms:modified>
</cp:coreProperties>
</file>