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19A7" w:rsidRDefault="00E819A7" w:rsidP="00E819A7">
      <w:pPr>
        <w:jc w:val="center"/>
        <w:outlineLvl w:val="0"/>
        <w:rPr>
          <w:b/>
          <w:sz w:val="28"/>
          <w:szCs w:val="28"/>
          <w:lang w:val="ro-RO"/>
        </w:rPr>
      </w:pPr>
      <w:r w:rsidRPr="00884123">
        <w:rPr>
          <w:b/>
          <w:sz w:val="28"/>
          <w:szCs w:val="28"/>
          <w:lang w:val="ro-RO"/>
        </w:rPr>
        <w:t xml:space="preserve">SINTEZA OBIECŢIILOR ŞI PROPUNERILOR </w:t>
      </w:r>
    </w:p>
    <w:p w:rsidR="00E819A7" w:rsidRDefault="00E819A7" w:rsidP="00E819A7">
      <w:pPr>
        <w:jc w:val="center"/>
        <w:outlineLvl w:val="0"/>
        <w:rPr>
          <w:b/>
          <w:sz w:val="28"/>
          <w:szCs w:val="28"/>
          <w:lang w:val="ro-RO"/>
        </w:rPr>
      </w:pPr>
      <w:r w:rsidRPr="00884123">
        <w:rPr>
          <w:b/>
          <w:sz w:val="28"/>
          <w:szCs w:val="28"/>
          <w:lang w:val="ro-RO"/>
        </w:rPr>
        <w:t xml:space="preserve">LA PROIECTUL DE </w:t>
      </w:r>
      <w:r>
        <w:rPr>
          <w:b/>
          <w:sz w:val="28"/>
          <w:szCs w:val="28"/>
          <w:lang w:val="ro-RO"/>
        </w:rPr>
        <w:t xml:space="preserve">HOTĂRÎRE CU PRIVIRE LA ABROGAREA UNOR </w:t>
      </w:r>
    </w:p>
    <w:p w:rsidR="00E819A7" w:rsidRPr="00884123" w:rsidRDefault="00E819A7" w:rsidP="00E819A7">
      <w:pPr>
        <w:jc w:val="center"/>
        <w:outlineLvl w:val="0"/>
        <w:rPr>
          <w:b/>
          <w:sz w:val="28"/>
          <w:szCs w:val="28"/>
          <w:lang w:val="ro-RO"/>
        </w:rPr>
      </w:pPr>
      <w:r>
        <w:rPr>
          <w:b/>
          <w:sz w:val="28"/>
          <w:szCs w:val="28"/>
          <w:lang w:val="ro-RO"/>
        </w:rPr>
        <w:t>HOTĂRÎRI ALE GUVERNULUI</w:t>
      </w:r>
    </w:p>
    <w:p w:rsidR="00E819A7" w:rsidRDefault="00E819A7" w:rsidP="00E819A7">
      <w:pPr>
        <w:jc w:val="center"/>
        <w:rPr>
          <w:rFonts w:ascii="Calibri" w:hAnsi="Calibri"/>
          <w:b/>
          <w:sz w:val="22"/>
          <w:szCs w:val="22"/>
          <w:lang w:val="ro-RO"/>
        </w:rPr>
      </w:pPr>
    </w:p>
    <w:p w:rsidR="00E819A7" w:rsidRPr="00036BB8" w:rsidRDefault="00E819A7" w:rsidP="00E819A7">
      <w:pPr>
        <w:jc w:val="center"/>
        <w:rPr>
          <w:rFonts w:ascii="Calibri" w:hAnsi="Calibri"/>
          <w:b/>
          <w:sz w:val="22"/>
          <w:szCs w:val="22"/>
          <w:lang w:val="ro-RO"/>
        </w:rPr>
      </w:pPr>
    </w:p>
    <w:tbl>
      <w:tblPr>
        <w:tblStyle w:val="a3"/>
        <w:tblW w:w="0" w:type="auto"/>
        <w:tblLook w:val="01E0"/>
      </w:tblPr>
      <w:tblGrid>
        <w:gridCol w:w="613"/>
        <w:gridCol w:w="2614"/>
        <w:gridCol w:w="8080"/>
        <w:gridCol w:w="3118"/>
      </w:tblGrid>
      <w:tr w:rsidR="00E819A7" w:rsidRPr="00ED2D10" w:rsidTr="005A31AA">
        <w:tc>
          <w:tcPr>
            <w:tcW w:w="613" w:type="dxa"/>
          </w:tcPr>
          <w:p w:rsidR="00E819A7" w:rsidRPr="00ED2D10" w:rsidRDefault="00E819A7" w:rsidP="005A31AA">
            <w:pPr>
              <w:jc w:val="center"/>
              <w:rPr>
                <w:b/>
                <w:lang w:val="ro-RO"/>
              </w:rPr>
            </w:pPr>
            <w:r w:rsidRPr="00ED2D10">
              <w:rPr>
                <w:b/>
                <w:lang w:val="ro-RO"/>
              </w:rPr>
              <w:t xml:space="preserve">Nr. </w:t>
            </w:r>
          </w:p>
        </w:tc>
        <w:tc>
          <w:tcPr>
            <w:tcW w:w="2614" w:type="dxa"/>
          </w:tcPr>
          <w:p w:rsidR="00E819A7" w:rsidRPr="00ED2D10" w:rsidRDefault="00E819A7" w:rsidP="005A31AA">
            <w:pPr>
              <w:jc w:val="center"/>
              <w:rPr>
                <w:b/>
                <w:lang w:val="ro-RO"/>
              </w:rPr>
            </w:pPr>
            <w:r w:rsidRPr="00ED2D10">
              <w:rPr>
                <w:b/>
                <w:lang w:val="ro-RO"/>
              </w:rPr>
              <w:t>Organul competent</w:t>
            </w:r>
          </w:p>
        </w:tc>
        <w:tc>
          <w:tcPr>
            <w:tcW w:w="8080" w:type="dxa"/>
          </w:tcPr>
          <w:p w:rsidR="00E819A7" w:rsidRPr="00ED2D10" w:rsidRDefault="00E819A7" w:rsidP="005A31AA">
            <w:pPr>
              <w:jc w:val="center"/>
              <w:rPr>
                <w:b/>
                <w:lang w:val="ro-RO"/>
              </w:rPr>
            </w:pPr>
            <w:r w:rsidRPr="00ED2D10">
              <w:rPr>
                <w:b/>
                <w:lang w:val="ro-RO"/>
              </w:rPr>
              <w:t>Conţinutul obiecţiei/propunerii</w:t>
            </w:r>
          </w:p>
        </w:tc>
        <w:tc>
          <w:tcPr>
            <w:tcW w:w="3118" w:type="dxa"/>
          </w:tcPr>
          <w:p w:rsidR="00E819A7" w:rsidRPr="00ED2D10" w:rsidRDefault="00E819A7" w:rsidP="005A31AA">
            <w:pPr>
              <w:jc w:val="center"/>
              <w:rPr>
                <w:b/>
                <w:lang w:val="ro-RO"/>
              </w:rPr>
            </w:pPr>
            <w:r w:rsidRPr="00ED2D10">
              <w:rPr>
                <w:b/>
                <w:lang w:val="ro-RO"/>
              </w:rPr>
              <w:t>Opinia Ministerului Justiţiei</w:t>
            </w:r>
          </w:p>
        </w:tc>
      </w:tr>
      <w:tr w:rsidR="00E819A7" w:rsidRPr="00CD18EB" w:rsidTr="005A31AA">
        <w:trPr>
          <w:trHeight w:val="911"/>
        </w:trPr>
        <w:tc>
          <w:tcPr>
            <w:tcW w:w="613" w:type="dxa"/>
          </w:tcPr>
          <w:p w:rsidR="00E819A7" w:rsidRPr="00ED2D10" w:rsidRDefault="00E819A7" w:rsidP="005A31AA">
            <w:pPr>
              <w:jc w:val="center"/>
              <w:rPr>
                <w:b/>
                <w:lang w:val="ro-RO"/>
              </w:rPr>
            </w:pPr>
            <w:r w:rsidRPr="00ED2D10">
              <w:rPr>
                <w:b/>
                <w:lang w:val="ro-RO"/>
              </w:rPr>
              <w:t>1.</w:t>
            </w:r>
          </w:p>
        </w:tc>
        <w:tc>
          <w:tcPr>
            <w:tcW w:w="2614" w:type="dxa"/>
          </w:tcPr>
          <w:p w:rsidR="00E819A7" w:rsidRPr="003D5C7F" w:rsidRDefault="00E819A7" w:rsidP="005A31AA">
            <w:pPr>
              <w:jc w:val="center"/>
              <w:rPr>
                <w:b/>
                <w:lang w:val="ro-RO"/>
              </w:rPr>
            </w:pPr>
            <w:r w:rsidRPr="003D5C7F">
              <w:rPr>
                <w:b/>
                <w:lang w:val="ro-RO"/>
              </w:rPr>
              <w:t xml:space="preserve">Ministerul </w:t>
            </w:r>
            <w:r>
              <w:rPr>
                <w:b/>
                <w:lang w:val="ro-RO"/>
              </w:rPr>
              <w:t>Economiei</w:t>
            </w:r>
          </w:p>
          <w:p w:rsidR="00E819A7" w:rsidRPr="003D5C7F" w:rsidRDefault="00E819A7" w:rsidP="005A31AA">
            <w:pPr>
              <w:jc w:val="center"/>
              <w:rPr>
                <w:b/>
                <w:sz w:val="20"/>
                <w:szCs w:val="20"/>
                <w:lang w:val="en-US"/>
              </w:rPr>
            </w:pPr>
            <w:proofErr w:type="spellStart"/>
            <w:r>
              <w:rPr>
                <w:b/>
                <w:sz w:val="20"/>
                <w:szCs w:val="20"/>
                <w:lang w:val="en-US"/>
              </w:rPr>
              <w:t>Scrisoare</w:t>
            </w:r>
            <w:proofErr w:type="spellEnd"/>
            <w:r>
              <w:rPr>
                <w:b/>
                <w:sz w:val="20"/>
                <w:szCs w:val="20"/>
                <w:lang w:val="en-US"/>
              </w:rPr>
              <w:t xml:space="preserve"> nr.11-6098 din 19.11.2012</w:t>
            </w:r>
          </w:p>
        </w:tc>
        <w:tc>
          <w:tcPr>
            <w:tcW w:w="8080" w:type="dxa"/>
          </w:tcPr>
          <w:p w:rsidR="00E819A7" w:rsidRPr="00ED2D10" w:rsidRDefault="00E819A7" w:rsidP="005A31AA">
            <w:pPr>
              <w:jc w:val="both"/>
              <w:rPr>
                <w:lang w:val="ro-RO"/>
              </w:rPr>
            </w:pPr>
            <w:r>
              <w:rPr>
                <w:lang w:val="ro-RO"/>
              </w:rPr>
              <w:t xml:space="preserve"> Comunică lipsa de obiecţii şi propuneri.</w:t>
            </w:r>
          </w:p>
        </w:tc>
        <w:tc>
          <w:tcPr>
            <w:tcW w:w="3118" w:type="dxa"/>
          </w:tcPr>
          <w:p w:rsidR="00E819A7" w:rsidRPr="00ED2D10" w:rsidRDefault="00E819A7" w:rsidP="005A31AA">
            <w:pPr>
              <w:jc w:val="both"/>
              <w:rPr>
                <w:lang w:val="ro-RO"/>
              </w:rPr>
            </w:pPr>
            <w:r w:rsidRPr="00ED2D10">
              <w:rPr>
                <w:lang w:val="ro-RO"/>
              </w:rPr>
              <w:t xml:space="preserve"> </w:t>
            </w:r>
            <w:r>
              <w:rPr>
                <w:lang w:val="ro-RO"/>
              </w:rPr>
              <w:t xml:space="preserve"> Se acceptă.</w:t>
            </w:r>
          </w:p>
        </w:tc>
      </w:tr>
      <w:tr w:rsidR="00E819A7" w:rsidRPr="002943A4" w:rsidTr="00E819A7">
        <w:tblPrEx>
          <w:tblLook w:val="04A0"/>
        </w:tblPrEx>
        <w:trPr>
          <w:trHeight w:val="558"/>
        </w:trPr>
        <w:tc>
          <w:tcPr>
            <w:tcW w:w="613" w:type="dxa"/>
          </w:tcPr>
          <w:p w:rsidR="00E819A7" w:rsidRDefault="00E819A7" w:rsidP="005A31AA">
            <w:pPr>
              <w:jc w:val="center"/>
              <w:rPr>
                <w:b/>
                <w:lang w:val="ro-RO"/>
              </w:rPr>
            </w:pPr>
            <w:r>
              <w:rPr>
                <w:b/>
                <w:lang w:val="ro-RO"/>
              </w:rPr>
              <w:t>2.</w:t>
            </w:r>
          </w:p>
        </w:tc>
        <w:tc>
          <w:tcPr>
            <w:tcW w:w="2614" w:type="dxa"/>
          </w:tcPr>
          <w:p w:rsidR="00E819A7" w:rsidRDefault="00E819A7" w:rsidP="005A31AA">
            <w:pPr>
              <w:jc w:val="center"/>
              <w:rPr>
                <w:b/>
                <w:sz w:val="20"/>
                <w:szCs w:val="20"/>
                <w:lang w:val="ro-RO"/>
              </w:rPr>
            </w:pPr>
            <w:r>
              <w:rPr>
                <w:b/>
                <w:sz w:val="20"/>
                <w:szCs w:val="20"/>
                <w:lang w:val="ro-RO"/>
              </w:rPr>
              <w:t>Ministerul Afacerilor Interne</w:t>
            </w:r>
          </w:p>
          <w:p w:rsidR="00E819A7" w:rsidRPr="00252793" w:rsidRDefault="00E819A7" w:rsidP="005A31AA">
            <w:pPr>
              <w:jc w:val="center"/>
              <w:rPr>
                <w:b/>
                <w:sz w:val="20"/>
                <w:szCs w:val="20"/>
                <w:lang w:val="en-US"/>
              </w:rPr>
            </w:pPr>
            <w:r>
              <w:rPr>
                <w:b/>
                <w:sz w:val="20"/>
                <w:szCs w:val="20"/>
                <w:lang w:val="ro-RO"/>
              </w:rPr>
              <w:t>Scrisoare nr.22/2553 din 20.11.2012</w:t>
            </w:r>
          </w:p>
          <w:p w:rsidR="00E819A7" w:rsidRDefault="00E819A7" w:rsidP="005A31AA">
            <w:pPr>
              <w:jc w:val="center"/>
              <w:rPr>
                <w:b/>
                <w:sz w:val="20"/>
                <w:szCs w:val="20"/>
                <w:lang w:val="ro-RO"/>
              </w:rPr>
            </w:pPr>
          </w:p>
          <w:p w:rsidR="00E819A7" w:rsidRDefault="00E819A7" w:rsidP="005A31AA">
            <w:pPr>
              <w:jc w:val="center"/>
              <w:rPr>
                <w:b/>
                <w:sz w:val="20"/>
                <w:szCs w:val="20"/>
                <w:lang w:val="en-US"/>
              </w:rPr>
            </w:pPr>
          </w:p>
        </w:tc>
        <w:tc>
          <w:tcPr>
            <w:tcW w:w="8080" w:type="dxa"/>
          </w:tcPr>
          <w:p w:rsidR="00E819A7" w:rsidRPr="00075867" w:rsidRDefault="00E819A7" w:rsidP="005A31AA">
            <w:pPr>
              <w:rPr>
                <w:color w:val="FF0000"/>
                <w:lang w:val="ro-RO"/>
              </w:rPr>
            </w:pPr>
            <w:r>
              <w:rPr>
                <w:lang w:val="ro-RO"/>
              </w:rPr>
              <w:t xml:space="preserve"> Comunică următoarele:</w:t>
            </w:r>
            <w:r>
              <w:rPr>
                <w:lang w:val="ro-RO"/>
              </w:rPr>
              <w:br/>
              <w:t xml:space="preserve">      -  la pct.10 ce se referă la abrogarea Hotărîrii Guvernului nr.3 din 10 ianuarie 1992 cu privire la măsurile de oganizare a pazei Frontierei de Stat a Republicii Moldova (Monitorul Parlamentului Republicii Moldova, 1992, nr.1, art.32), menţionăm că propunere în acest sens a fost înaintată de către Ministerul Afacerilor Interne în proiectul hotărîrii Guvernului „Cu privire la modificarea, completarea şi abrogarea unor hotărîri ale Guvernului”, proiect care la moment este la Ministerul Justiţiei pentru efectuarea expertizei juridice; </w:t>
            </w:r>
          </w:p>
          <w:p w:rsidR="00E819A7" w:rsidRDefault="00E819A7" w:rsidP="005A31AA">
            <w:pPr>
              <w:jc w:val="both"/>
              <w:rPr>
                <w:lang w:val="ro-RO"/>
              </w:rPr>
            </w:pPr>
            <w:r>
              <w:rPr>
                <w:lang w:val="ro-RO"/>
              </w:rPr>
              <w:t xml:space="preserve">     - </w:t>
            </w:r>
            <w:r w:rsidRPr="00252793">
              <w:rPr>
                <w:lang w:val="ro-RO"/>
              </w:rPr>
              <w:t>la pct.13 necesitatea abrogării actului normativ urmează a fi examinată suplimentar, dat fiind faptul că la moment aceste este unicul act normativ ce reglementează efectuarea operaţiunilor de casă</w:t>
            </w:r>
            <w:r>
              <w:rPr>
                <w:lang w:val="ro-RO"/>
              </w:rPr>
              <w:t>;</w:t>
            </w:r>
          </w:p>
          <w:p w:rsidR="00E819A7" w:rsidRDefault="00E819A7" w:rsidP="005A31AA">
            <w:pPr>
              <w:jc w:val="both"/>
              <w:rPr>
                <w:lang w:val="ro-RO"/>
              </w:rPr>
            </w:pPr>
            <w:r>
              <w:rPr>
                <w:lang w:val="ro-RO"/>
              </w:rPr>
              <w:t xml:space="preserve">     -  la pct.48 (HG nr.633/2000</w:t>
            </w:r>
            <w:r w:rsidRPr="0076183D">
              <w:rPr>
                <w:lang w:val="ro-RO"/>
              </w:rPr>
              <w:t xml:space="preserve">), 51 (HG. Nr.961/2000), 52 (HG nr.1213/2000) </w:t>
            </w:r>
            <w:r>
              <w:rPr>
                <w:lang w:val="ro-RO"/>
              </w:rPr>
              <w:t>şi 57 (HG nr.196</w:t>
            </w:r>
            <w:r w:rsidRPr="0076183D">
              <w:rPr>
                <w:lang w:val="ro-RO"/>
              </w:rPr>
              <w:t>/</w:t>
            </w:r>
            <w:r>
              <w:rPr>
                <w:lang w:val="ro-RO"/>
              </w:rPr>
              <w:t>2001) propunerile date urmează a fi examinate sub aspectul oportunităţii, deoarece odată cu abrogarea actelor menţionate urmează să fie abrogată şi Hotărîrea Guvernului nr.438 din 10.05.2000 „Cu privire la reorganizarea Asociaţiei Republicane de Producţie „Termocomenergo”, care reprezintă de fapt actul normativ de bază;</w:t>
            </w:r>
          </w:p>
          <w:p w:rsidR="00E819A7" w:rsidRPr="00075867" w:rsidRDefault="00E819A7" w:rsidP="005A31AA">
            <w:pPr>
              <w:jc w:val="both"/>
              <w:rPr>
                <w:color w:val="FF0000"/>
                <w:lang w:val="ro-RO"/>
              </w:rPr>
            </w:pPr>
            <w:r>
              <w:rPr>
                <w:lang w:val="ro-RO"/>
              </w:rPr>
              <w:t xml:space="preserve">     -  sub acest aspect urmează a fi examinate şi pct.54 (HG nr.47</w:t>
            </w:r>
            <w:r w:rsidRPr="0076183D">
              <w:rPr>
                <w:lang w:val="ro-RO"/>
              </w:rPr>
              <w:t>/</w:t>
            </w:r>
            <w:r>
              <w:rPr>
                <w:lang w:val="ro-RO"/>
              </w:rPr>
              <w:t>2001) şi pct. 60 (pct.3 din HG nr.1376</w:t>
            </w:r>
            <w:r w:rsidRPr="0076183D">
              <w:rPr>
                <w:lang w:val="ro-RO"/>
              </w:rPr>
              <w:t>/</w:t>
            </w:r>
            <w:r>
              <w:rPr>
                <w:lang w:val="ro-RO"/>
              </w:rPr>
              <w:t xml:space="preserve">2001). </w:t>
            </w:r>
          </w:p>
          <w:p w:rsidR="00E819A7" w:rsidRDefault="00E819A7" w:rsidP="005A31AA">
            <w:pPr>
              <w:jc w:val="both"/>
              <w:rPr>
                <w:lang w:val="ro-RO"/>
              </w:rPr>
            </w:pPr>
            <w:r>
              <w:rPr>
                <w:lang w:val="ro-RO"/>
              </w:rPr>
              <w:t xml:space="preserve">    -  pct.88 urmează a fi revizuit sub aspect redacţional, prin indicarea corectă a anului aprobării hotărîrii. </w:t>
            </w:r>
          </w:p>
          <w:p w:rsidR="00E819A7" w:rsidRDefault="00E819A7" w:rsidP="005A31AA">
            <w:pPr>
              <w:jc w:val="both"/>
              <w:rPr>
                <w:lang w:val="ro-RO"/>
              </w:rPr>
            </w:pPr>
            <w:r>
              <w:rPr>
                <w:lang w:val="ro-RO"/>
              </w:rPr>
              <w:t xml:space="preserve">      Totodată, intervine repetat cu solicitarea de a include în proiect abrogarea Hotărîrîi Guvernului nr.585 din 19 iunie 2000 „Cu privire la instituirea Comisiei </w:t>
            </w:r>
            <w:r>
              <w:rPr>
                <w:lang w:val="ro-RO"/>
              </w:rPr>
              <w:lastRenderedPageBreak/>
              <w:t>Interdepartamentale de Combatere a Narcomaniei şi Narcobusinessului”, deoarece odată cu aprobarea Hotărîrii Guvernului nr.481 din 4 iulie 2011 „Cu privire la crearea Comisiei Naţionale Antidrog”, Hotărîrea Guvernului nr.585 din 19 iunie 2000 a devenit caducă.</w:t>
            </w:r>
          </w:p>
          <w:p w:rsidR="00E819A7" w:rsidRPr="0076183D" w:rsidRDefault="00E819A7" w:rsidP="005A31AA">
            <w:pPr>
              <w:jc w:val="both"/>
              <w:rPr>
                <w:lang w:val="ro-RO"/>
              </w:rPr>
            </w:pPr>
          </w:p>
        </w:tc>
        <w:tc>
          <w:tcPr>
            <w:tcW w:w="3118" w:type="dxa"/>
          </w:tcPr>
          <w:p w:rsidR="00CF2814" w:rsidRDefault="00CF2814" w:rsidP="005A31AA">
            <w:pPr>
              <w:jc w:val="both"/>
              <w:rPr>
                <w:lang w:val="ro-RO"/>
              </w:rPr>
            </w:pPr>
            <w:r>
              <w:rPr>
                <w:lang w:val="ro-RO"/>
              </w:rPr>
              <w:lastRenderedPageBreak/>
              <w:t>Se acceptă</w:t>
            </w:r>
          </w:p>
          <w:p w:rsidR="00CF2814" w:rsidRDefault="00CF2814" w:rsidP="005A31AA">
            <w:pPr>
              <w:jc w:val="both"/>
              <w:rPr>
                <w:lang w:val="ro-RO"/>
              </w:rPr>
            </w:pPr>
            <w:r>
              <w:rPr>
                <w:lang w:val="ro-RO"/>
              </w:rPr>
              <w:t>1. Pct.10 va fi exclus din proiect</w:t>
            </w:r>
          </w:p>
          <w:p w:rsidR="00E819A7" w:rsidRDefault="00E819A7" w:rsidP="005A31AA">
            <w:pPr>
              <w:jc w:val="both"/>
              <w:rPr>
                <w:lang w:val="ro-RO"/>
              </w:rPr>
            </w:pPr>
            <w:r>
              <w:rPr>
                <w:lang w:val="ro-RO"/>
              </w:rPr>
              <w:t xml:space="preserve">2. Pct.13 va fi exlus din proiect. </w:t>
            </w:r>
          </w:p>
          <w:p w:rsidR="00E819A7" w:rsidRDefault="00E819A7" w:rsidP="005A31AA">
            <w:pPr>
              <w:jc w:val="both"/>
              <w:rPr>
                <w:lang w:val="ro-RO"/>
              </w:rPr>
            </w:pPr>
            <w:r>
              <w:rPr>
                <w:lang w:val="ro-RO"/>
              </w:rPr>
              <w:t>3. Pct. 48, 51, 52 şi 57 vor fi excluse din proiect.</w:t>
            </w:r>
          </w:p>
          <w:p w:rsidR="00E819A7" w:rsidRDefault="00E819A7" w:rsidP="005A31AA">
            <w:pPr>
              <w:jc w:val="both"/>
              <w:rPr>
                <w:lang w:val="ro-RO"/>
              </w:rPr>
            </w:pPr>
            <w:r>
              <w:rPr>
                <w:lang w:val="ro-RO"/>
              </w:rPr>
              <w:t>4. Pct.54 şi 60 vor fi excluse din proiect</w:t>
            </w:r>
          </w:p>
          <w:p w:rsidR="00E819A7" w:rsidRDefault="00E819A7" w:rsidP="005A31AA">
            <w:pPr>
              <w:jc w:val="both"/>
              <w:rPr>
                <w:lang w:val="ro-RO"/>
              </w:rPr>
            </w:pPr>
            <w:r>
              <w:rPr>
                <w:lang w:val="ro-RO"/>
              </w:rPr>
              <w:t>5. Pct. 75 şi 88 vor fi excluse din proiect, fiindcă prin Hotărîrea Guvernului nr. 851 din 13 noiembrie 2012 (Monitorul Oficial al Republicii Moldova, 2012, nr. 242-244, art. 926);  au fost deja abrogate.</w:t>
            </w:r>
          </w:p>
          <w:p w:rsidR="00E819A7" w:rsidRDefault="00E819A7" w:rsidP="00CF2814">
            <w:pPr>
              <w:jc w:val="both"/>
              <w:rPr>
                <w:lang w:val="ro-RO"/>
              </w:rPr>
            </w:pPr>
            <w:r>
              <w:rPr>
                <w:lang w:val="ro-RO"/>
              </w:rPr>
              <w:t xml:space="preserve">6. Hotărîrea Guvernului nr.585 din 19 iunie 2000 „Cu privire la instituirea Comisiei Interdepartamentale de Combatere a Narcomaniei şi Narcobusinessului”, </w:t>
            </w:r>
            <w:r w:rsidR="00CF2814">
              <w:rPr>
                <w:lang w:val="ro-RO"/>
              </w:rPr>
              <w:t xml:space="preserve">cu </w:t>
            </w:r>
            <w:r w:rsidR="00CF2814">
              <w:rPr>
                <w:lang w:val="ro-RO"/>
              </w:rPr>
              <w:lastRenderedPageBreak/>
              <w:t xml:space="preserve">modificările ulterioare </w:t>
            </w:r>
            <w:r>
              <w:rPr>
                <w:lang w:val="ro-RO"/>
              </w:rPr>
              <w:t>vor fi incluse în proiect</w:t>
            </w:r>
          </w:p>
        </w:tc>
      </w:tr>
      <w:tr w:rsidR="00E819A7" w:rsidTr="00E819A7">
        <w:tblPrEx>
          <w:tblLook w:val="04A0"/>
        </w:tblPrEx>
        <w:trPr>
          <w:trHeight w:val="1335"/>
        </w:trPr>
        <w:tc>
          <w:tcPr>
            <w:tcW w:w="613" w:type="dxa"/>
          </w:tcPr>
          <w:p w:rsidR="00E819A7" w:rsidRDefault="00E819A7" w:rsidP="005A31AA">
            <w:pPr>
              <w:jc w:val="center"/>
              <w:rPr>
                <w:b/>
                <w:lang w:val="ro-RO"/>
              </w:rPr>
            </w:pPr>
            <w:r>
              <w:rPr>
                <w:b/>
                <w:lang w:val="ro-RO"/>
              </w:rPr>
              <w:lastRenderedPageBreak/>
              <w:t>3.</w:t>
            </w:r>
          </w:p>
        </w:tc>
        <w:tc>
          <w:tcPr>
            <w:tcW w:w="2614" w:type="dxa"/>
          </w:tcPr>
          <w:p w:rsidR="00E819A7" w:rsidRDefault="00E819A7" w:rsidP="005A31AA">
            <w:pPr>
              <w:jc w:val="center"/>
              <w:rPr>
                <w:b/>
                <w:sz w:val="20"/>
                <w:szCs w:val="20"/>
                <w:lang w:val="ro-RO"/>
              </w:rPr>
            </w:pPr>
            <w:r>
              <w:rPr>
                <w:b/>
                <w:sz w:val="20"/>
                <w:szCs w:val="20"/>
                <w:lang w:val="ro-RO"/>
              </w:rPr>
              <w:t>Ministerul Afacerilor Externe şi Integrării Europene</w:t>
            </w:r>
          </w:p>
          <w:p w:rsidR="00E819A7" w:rsidRPr="00F40449" w:rsidRDefault="00E819A7" w:rsidP="005A31AA">
            <w:pPr>
              <w:jc w:val="center"/>
              <w:rPr>
                <w:b/>
                <w:sz w:val="20"/>
                <w:szCs w:val="20"/>
                <w:lang w:val="ro-RO"/>
              </w:rPr>
            </w:pPr>
            <w:r w:rsidRPr="00F40449">
              <w:rPr>
                <w:b/>
                <w:sz w:val="20"/>
                <w:szCs w:val="20"/>
                <w:lang w:val="ro-RO"/>
              </w:rPr>
              <w:t>Scrisoare nr. DI-04/3-15645</w:t>
            </w:r>
            <w:r>
              <w:rPr>
                <w:b/>
                <w:sz w:val="20"/>
                <w:szCs w:val="20"/>
                <w:lang w:val="ro-RO"/>
              </w:rPr>
              <w:t xml:space="preserve"> din 22.11.2012</w:t>
            </w:r>
          </w:p>
        </w:tc>
        <w:tc>
          <w:tcPr>
            <w:tcW w:w="8080" w:type="dxa"/>
          </w:tcPr>
          <w:p w:rsidR="00E819A7" w:rsidRDefault="00E819A7" w:rsidP="005A31AA">
            <w:pPr>
              <w:jc w:val="both"/>
              <w:rPr>
                <w:lang w:val="ro-RO"/>
              </w:rPr>
            </w:pPr>
            <w:r>
              <w:rPr>
                <w:lang w:val="ro-RO"/>
              </w:rPr>
              <w:t xml:space="preserve">     Comunică lipsa de obiecţii şi propuneri.</w:t>
            </w:r>
          </w:p>
          <w:p w:rsidR="00E819A7" w:rsidRDefault="00E819A7" w:rsidP="005A31AA">
            <w:pPr>
              <w:jc w:val="both"/>
              <w:rPr>
                <w:lang w:val="ro-RO"/>
              </w:rPr>
            </w:pPr>
          </w:p>
          <w:p w:rsidR="00E819A7" w:rsidRDefault="00E819A7" w:rsidP="005A31AA">
            <w:pPr>
              <w:jc w:val="both"/>
              <w:rPr>
                <w:lang w:val="ro-RO"/>
              </w:rPr>
            </w:pPr>
          </w:p>
          <w:p w:rsidR="00E819A7" w:rsidRDefault="00E819A7" w:rsidP="005A31AA">
            <w:pPr>
              <w:jc w:val="both"/>
              <w:rPr>
                <w:lang w:val="ro-RO"/>
              </w:rPr>
            </w:pPr>
          </w:p>
          <w:p w:rsidR="00E819A7" w:rsidRDefault="00E819A7" w:rsidP="005A31AA">
            <w:pPr>
              <w:jc w:val="both"/>
              <w:rPr>
                <w:lang w:val="ro-RO"/>
              </w:rPr>
            </w:pPr>
          </w:p>
        </w:tc>
        <w:tc>
          <w:tcPr>
            <w:tcW w:w="3118" w:type="dxa"/>
          </w:tcPr>
          <w:p w:rsidR="00E819A7" w:rsidRDefault="00E819A7" w:rsidP="005A31AA">
            <w:pPr>
              <w:jc w:val="both"/>
              <w:rPr>
                <w:lang w:val="ro-RO"/>
              </w:rPr>
            </w:pPr>
            <w:r>
              <w:rPr>
                <w:lang w:val="ro-RO"/>
              </w:rPr>
              <w:t>Se acceptă.</w:t>
            </w:r>
          </w:p>
        </w:tc>
      </w:tr>
      <w:tr w:rsidR="00E819A7" w:rsidRPr="002943A4" w:rsidTr="00E819A7">
        <w:tblPrEx>
          <w:tblLook w:val="04A0"/>
        </w:tblPrEx>
        <w:trPr>
          <w:trHeight w:val="810"/>
        </w:trPr>
        <w:tc>
          <w:tcPr>
            <w:tcW w:w="613" w:type="dxa"/>
          </w:tcPr>
          <w:p w:rsidR="00E819A7" w:rsidRDefault="00E819A7" w:rsidP="005A31AA">
            <w:pPr>
              <w:jc w:val="center"/>
              <w:rPr>
                <w:b/>
                <w:lang w:val="ro-RO"/>
              </w:rPr>
            </w:pPr>
            <w:r>
              <w:rPr>
                <w:b/>
                <w:lang w:val="ro-RO"/>
              </w:rPr>
              <w:t>4.</w:t>
            </w:r>
          </w:p>
        </w:tc>
        <w:tc>
          <w:tcPr>
            <w:tcW w:w="2614" w:type="dxa"/>
          </w:tcPr>
          <w:p w:rsidR="00E819A7" w:rsidRDefault="00E819A7" w:rsidP="005A31AA">
            <w:pPr>
              <w:jc w:val="center"/>
              <w:rPr>
                <w:b/>
                <w:sz w:val="20"/>
                <w:szCs w:val="20"/>
                <w:lang w:val="ro-RO"/>
              </w:rPr>
            </w:pPr>
            <w:r>
              <w:rPr>
                <w:b/>
                <w:sz w:val="20"/>
                <w:szCs w:val="20"/>
                <w:lang w:val="ro-RO"/>
              </w:rPr>
              <w:t>Ministerul Dezvoltării Regionale şi Construcţiilor</w:t>
            </w:r>
          </w:p>
          <w:p w:rsidR="00E819A7" w:rsidRPr="00F40449" w:rsidRDefault="00E819A7" w:rsidP="005A31AA">
            <w:pPr>
              <w:jc w:val="center"/>
              <w:rPr>
                <w:b/>
                <w:sz w:val="20"/>
                <w:szCs w:val="20"/>
                <w:lang w:val="ro-RO"/>
              </w:rPr>
            </w:pPr>
            <w:r>
              <w:rPr>
                <w:b/>
                <w:sz w:val="20"/>
                <w:szCs w:val="20"/>
                <w:lang w:val="ro-RO"/>
              </w:rPr>
              <w:t>Scrisoare nr.</w:t>
            </w:r>
          </w:p>
        </w:tc>
        <w:tc>
          <w:tcPr>
            <w:tcW w:w="8080" w:type="dxa"/>
          </w:tcPr>
          <w:p w:rsidR="00E819A7" w:rsidRDefault="00E819A7" w:rsidP="005A31AA">
            <w:pPr>
              <w:jc w:val="both"/>
              <w:rPr>
                <w:lang w:val="ro-RO"/>
              </w:rPr>
            </w:pPr>
            <w:r>
              <w:rPr>
                <w:lang w:val="ro-RO"/>
              </w:rPr>
              <w:t xml:space="preserve">   Susţine proiectul de hotărîre cu următoarea obiecţie:</w:t>
            </w:r>
          </w:p>
          <w:p w:rsidR="00E819A7" w:rsidRPr="00800ADB" w:rsidRDefault="00E819A7" w:rsidP="00E819A7">
            <w:pPr>
              <w:pStyle w:val="a4"/>
              <w:numPr>
                <w:ilvl w:val="0"/>
                <w:numId w:val="1"/>
              </w:numPr>
              <w:jc w:val="both"/>
              <w:rPr>
                <w:lang w:val="ro-RO"/>
              </w:rPr>
            </w:pPr>
            <w:r w:rsidRPr="00800ADB">
              <w:rPr>
                <w:lang w:val="ro-RO"/>
              </w:rPr>
              <w:t>a fi inclusă în proiect, Hotărîrea Guvernu</w:t>
            </w:r>
            <w:r>
              <w:rPr>
                <w:lang w:val="ro-RO"/>
              </w:rPr>
              <w:t xml:space="preserve">lui nr.676 din 6 octombrie 1995 </w:t>
            </w:r>
            <w:r w:rsidRPr="00800ADB">
              <w:rPr>
                <w:lang w:val="ro-RO"/>
              </w:rPr>
              <w:t>„Cu privire la investiţiile de stat şi private în construcţia caselor de locuit nefinalizate” (Monitorul Oficial al Republicii Moldova, 1995, nr.68-69, art. 552), deoarece prezenta hotărîre corespunde condiţiilor prevăzute de art.66 ale Legii nr.317 din 18 iulie 2003 „privind actele normative ale Guvernului şi ale altor autorităţi ale administraţiei publice centrale şi locale”.</w:t>
            </w:r>
          </w:p>
          <w:p w:rsidR="00E819A7" w:rsidRDefault="00E819A7" w:rsidP="005A31AA">
            <w:pPr>
              <w:jc w:val="both"/>
              <w:rPr>
                <w:lang w:val="ro-RO"/>
              </w:rPr>
            </w:pPr>
          </w:p>
          <w:p w:rsidR="00E819A7" w:rsidRDefault="00E819A7" w:rsidP="005A31AA">
            <w:pPr>
              <w:jc w:val="both"/>
              <w:rPr>
                <w:lang w:val="ro-RO"/>
              </w:rPr>
            </w:pPr>
          </w:p>
        </w:tc>
        <w:tc>
          <w:tcPr>
            <w:tcW w:w="3118" w:type="dxa"/>
          </w:tcPr>
          <w:p w:rsidR="00E819A7" w:rsidRPr="00865F24" w:rsidRDefault="00E819A7" w:rsidP="005A31AA">
            <w:pPr>
              <w:rPr>
                <w:lang w:val="ro-RO"/>
              </w:rPr>
            </w:pPr>
            <w:r>
              <w:rPr>
                <w:lang w:val="ro-RO"/>
              </w:rPr>
              <w:t xml:space="preserve">Nu se acceptă. </w:t>
            </w:r>
            <w:r>
              <w:rPr>
                <w:lang w:val="ro-RO"/>
              </w:rPr>
              <w:br/>
              <w:t xml:space="preserve">Hotărîrea Guvernului nr.676 din 6 octombrie 1995 are caracter temporar. </w:t>
            </w:r>
            <w:r>
              <w:rPr>
                <w:lang w:val="ro-RO"/>
              </w:rPr>
              <w:br/>
              <w:t xml:space="preserve">Hotărîrea dată prevede aprobarea unui </w:t>
            </w:r>
            <w:r w:rsidRPr="00865F24">
              <w:rPr>
                <w:i/>
                <w:lang w:val="ro-RO"/>
              </w:rPr>
              <w:t>Regulament Provizoriu</w:t>
            </w:r>
            <w:r>
              <w:rPr>
                <w:i/>
                <w:lang w:val="ro-RO"/>
              </w:rPr>
              <w:t>,</w:t>
            </w:r>
            <w:r>
              <w:rPr>
                <w:lang w:val="ro-RO"/>
              </w:rPr>
              <w:t xml:space="preserve"> care prin urmare este destinat să dureze un timp limitat, după care urmează să fie înlocuit. Ca consecinţă nu se include în proiectul dat de hotărîre.</w:t>
            </w:r>
          </w:p>
        </w:tc>
      </w:tr>
      <w:tr w:rsidR="00E819A7" w:rsidTr="00E819A7">
        <w:tblPrEx>
          <w:tblLook w:val="04A0"/>
        </w:tblPrEx>
        <w:trPr>
          <w:trHeight w:val="930"/>
        </w:trPr>
        <w:tc>
          <w:tcPr>
            <w:tcW w:w="613" w:type="dxa"/>
          </w:tcPr>
          <w:p w:rsidR="00E819A7" w:rsidRDefault="00E819A7" w:rsidP="005A31AA">
            <w:pPr>
              <w:jc w:val="center"/>
              <w:rPr>
                <w:b/>
                <w:lang w:val="ro-RO"/>
              </w:rPr>
            </w:pPr>
            <w:r>
              <w:rPr>
                <w:b/>
                <w:lang w:val="ro-RO"/>
              </w:rPr>
              <w:t>5.</w:t>
            </w:r>
          </w:p>
        </w:tc>
        <w:tc>
          <w:tcPr>
            <w:tcW w:w="2614" w:type="dxa"/>
          </w:tcPr>
          <w:p w:rsidR="00E819A7" w:rsidRDefault="00E819A7" w:rsidP="005A31AA">
            <w:pPr>
              <w:jc w:val="center"/>
              <w:rPr>
                <w:b/>
                <w:sz w:val="20"/>
                <w:szCs w:val="20"/>
                <w:lang w:val="ro-RO"/>
              </w:rPr>
            </w:pPr>
            <w:r>
              <w:rPr>
                <w:b/>
                <w:sz w:val="20"/>
                <w:szCs w:val="20"/>
                <w:lang w:val="ro-RO"/>
              </w:rPr>
              <w:t>Ministerul Agriculturii şi Industriei Alimentare</w:t>
            </w:r>
          </w:p>
          <w:p w:rsidR="00E819A7" w:rsidRPr="00A45300" w:rsidRDefault="00E819A7" w:rsidP="005A31AA">
            <w:pPr>
              <w:jc w:val="center"/>
              <w:rPr>
                <w:b/>
                <w:sz w:val="20"/>
                <w:szCs w:val="20"/>
                <w:lang w:val="ro-RO"/>
              </w:rPr>
            </w:pPr>
            <w:r w:rsidRPr="00A45300">
              <w:rPr>
                <w:b/>
                <w:sz w:val="20"/>
                <w:szCs w:val="20"/>
                <w:lang w:val="ro-RO"/>
              </w:rPr>
              <w:t>Scrisoare nr. 0</w:t>
            </w:r>
            <w:r>
              <w:rPr>
                <w:b/>
                <w:sz w:val="20"/>
                <w:szCs w:val="20"/>
                <w:lang w:val="ro-RO"/>
              </w:rPr>
              <w:t>7-4</w:t>
            </w:r>
            <w:r w:rsidRPr="00A45300">
              <w:rPr>
                <w:b/>
                <w:sz w:val="20"/>
                <w:szCs w:val="20"/>
                <w:lang w:val="ro-RO"/>
              </w:rPr>
              <w:t>/</w:t>
            </w:r>
            <w:r>
              <w:rPr>
                <w:b/>
                <w:sz w:val="20"/>
                <w:szCs w:val="20"/>
                <w:lang w:val="ro-RO"/>
              </w:rPr>
              <w:t xml:space="preserve">434 </w:t>
            </w:r>
            <w:r w:rsidRPr="00A45300">
              <w:rPr>
                <w:b/>
                <w:sz w:val="20"/>
                <w:szCs w:val="20"/>
                <w:lang w:val="ro-RO"/>
              </w:rPr>
              <w:t>din</w:t>
            </w:r>
            <w:r>
              <w:rPr>
                <w:b/>
                <w:sz w:val="20"/>
                <w:szCs w:val="20"/>
                <w:lang w:val="ro-RO"/>
              </w:rPr>
              <w:t xml:space="preserve"> 20.11.2012</w:t>
            </w:r>
          </w:p>
        </w:tc>
        <w:tc>
          <w:tcPr>
            <w:tcW w:w="8080" w:type="dxa"/>
          </w:tcPr>
          <w:p w:rsidR="00E819A7" w:rsidRDefault="00E819A7" w:rsidP="005A31AA">
            <w:pPr>
              <w:jc w:val="both"/>
              <w:rPr>
                <w:lang w:val="ro-RO"/>
              </w:rPr>
            </w:pPr>
            <w:r>
              <w:rPr>
                <w:lang w:val="ro-RO"/>
              </w:rPr>
              <w:t xml:space="preserve">     Comunică lipsa de obiecţii şi propuneri</w:t>
            </w:r>
          </w:p>
          <w:p w:rsidR="00E819A7" w:rsidRDefault="00E819A7" w:rsidP="005A31AA">
            <w:pPr>
              <w:jc w:val="both"/>
              <w:rPr>
                <w:lang w:val="ro-RO"/>
              </w:rPr>
            </w:pPr>
          </w:p>
          <w:p w:rsidR="00E819A7" w:rsidRDefault="00E819A7" w:rsidP="005A31AA">
            <w:pPr>
              <w:jc w:val="both"/>
              <w:rPr>
                <w:lang w:val="ro-RO"/>
              </w:rPr>
            </w:pPr>
          </w:p>
          <w:p w:rsidR="00E819A7" w:rsidRDefault="00E819A7" w:rsidP="005A31AA">
            <w:pPr>
              <w:jc w:val="both"/>
              <w:rPr>
                <w:lang w:val="ro-RO"/>
              </w:rPr>
            </w:pPr>
          </w:p>
        </w:tc>
        <w:tc>
          <w:tcPr>
            <w:tcW w:w="3118" w:type="dxa"/>
          </w:tcPr>
          <w:p w:rsidR="00E819A7" w:rsidRDefault="00E819A7" w:rsidP="005A31AA">
            <w:pPr>
              <w:jc w:val="both"/>
              <w:rPr>
                <w:lang w:val="ro-RO"/>
              </w:rPr>
            </w:pPr>
            <w:r>
              <w:rPr>
                <w:lang w:val="ro-RO"/>
              </w:rPr>
              <w:t>Se acceptă.</w:t>
            </w:r>
          </w:p>
        </w:tc>
      </w:tr>
      <w:tr w:rsidR="00E819A7" w:rsidTr="00E819A7">
        <w:tblPrEx>
          <w:tblLook w:val="04A0"/>
        </w:tblPrEx>
        <w:trPr>
          <w:trHeight w:val="825"/>
        </w:trPr>
        <w:tc>
          <w:tcPr>
            <w:tcW w:w="613" w:type="dxa"/>
          </w:tcPr>
          <w:p w:rsidR="00E819A7" w:rsidRDefault="00E819A7" w:rsidP="005A31AA">
            <w:pPr>
              <w:jc w:val="center"/>
              <w:rPr>
                <w:b/>
                <w:lang w:val="ro-RO"/>
              </w:rPr>
            </w:pPr>
            <w:r>
              <w:rPr>
                <w:b/>
                <w:lang w:val="ro-RO"/>
              </w:rPr>
              <w:t>6.</w:t>
            </w:r>
          </w:p>
        </w:tc>
        <w:tc>
          <w:tcPr>
            <w:tcW w:w="2614" w:type="dxa"/>
          </w:tcPr>
          <w:p w:rsidR="00E819A7" w:rsidRDefault="00E819A7" w:rsidP="005A31AA">
            <w:pPr>
              <w:jc w:val="center"/>
              <w:rPr>
                <w:b/>
                <w:sz w:val="20"/>
                <w:szCs w:val="20"/>
                <w:lang w:val="ro-RO"/>
              </w:rPr>
            </w:pPr>
            <w:r>
              <w:rPr>
                <w:b/>
                <w:sz w:val="20"/>
                <w:szCs w:val="20"/>
                <w:lang w:val="ro-RO"/>
              </w:rPr>
              <w:t>Ministerul Mediului</w:t>
            </w:r>
          </w:p>
          <w:p w:rsidR="00E819A7" w:rsidRPr="00800ADB" w:rsidRDefault="00E819A7" w:rsidP="005A31AA">
            <w:pPr>
              <w:jc w:val="center"/>
              <w:rPr>
                <w:b/>
                <w:sz w:val="20"/>
                <w:szCs w:val="20"/>
                <w:lang w:val="ro-RO"/>
              </w:rPr>
            </w:pPr>
            <w:r>
              <w:rPr>
                <w:b/>
                <w:sz w:val="20"/>
                <w:szCs w:val="20"/>
                <w:lang w:val="ro-RO"/>
              </w:rPr>
              <w:t>Scrisoare nr. 03-07</w:t>
            </w:r>
            <w:r w:rsidRPr="00F40449">
              <w:rPr>
                <w:b/>
                <w:sz w:val="20"/>
                <w:szCs w:val="20"/>
                <w:lang w:val="ro-RO"/>
              </w:rPr>
              <w:t>/</w:t>
            </w:r>
            <w:r>
              <w:rPr>
                <w:b/>
                <w:sz w:val="20"/>
                <w:szCs w:val="20"/>
                <w:lang w:val="ro-RO"/>
              </w:rPr>
              <w:t>1996 din 16.11.2012</w:t>
            </w:r>
          </w:p>
        </w:tc>
        <w:tc>
          <w:tcPr>
            <w:tcW w:w="8080" w:type="dxa"/>
          </w:tcPr>
          <w:p w:rsidR="00E819A7" w:rsidRDefault="00E819A7" w:rsidP="005A31AA">
            <w:pPr>
              <w:jc w:val="both"/>
              <w:rPr>
                <w:lang w:val="ro-RO"/>
              </w:rPr>
            </w:pPr>
            <w:r>
              <w:rPr>
                <w:lang w:val="ro-RO"/>
              </w:rPr>
              <w:t xml:space="preserve">     Comunică lipsa de obiecţii şi propuneri</w:t>
            </w:r>
          </w:p>
          <w:p w:rsidR="00E819A7" w:rsidRDefault="00E819A7" w:rsidP="005A31AA">
            <w:pPr>
              <w:jc w:val="both"/>
              <w:rPr>
                <w:lang w:val="ro-RO"/>
              </w:rPr>
            </w:pPr>
          </w:p>
          <w:p w:rsidR="00E819A7" w:rsidRDefault="00E819A7" w:rsidP="005A31AA">
            <w:pPr>
              <w:jc w:val="both"/>
              <w:rPr>
                <w:lang w:val="ro-RO"/>
              </w:rPr>
            </w:pPr>
          </w:p>
        </w:tc>
        <w:tc>
          <w:tcPr>
            <w:tcW w:w="3118" w:type="dxa"/>
          </w:tcPr>
          <w:p w:rsidR="00E819A7" w:rsidRDefault="00E819A7" w:rsidP="005A31AA">
            <w:pPr>
              <w:jc w:val="both"/>
              <w:rPr>
                <w:lang w:val="ro-RO"/>
              </w:rPr>
            </w:pPr>
            <w:r>
              <w:rPr>
                <w:lang w:val="ro-RO"/>
              </w:rPr>
              <w:t>Se acceptă.</w:t>
            </w:r>
          </w:p>
        </w:tc>
      </w:tr>
      <w:tr w:rsidR="00E819A7" w:rsidTr="00E819A7">
        <w:tblPrEx>
          <w:tblLook w:val="04A0"/>
        </w:tblPrEx>
        <w:trPr>
          <w:trHeight w:val="840"/>
        </w:trPr>
        <w:tc>
          <w:tcPr>
            <w:tcW w:w="613" w:type="dxa"/>
          </w:tcPr>
          <w:p w:rsidR="00E819A7" w:rsidRDefault="00E819A7" w:rsidP="005A31AA">
            <w:pPr>
              <w:jc w:val="center"/>
              <w:rPr>
                <w:b/>
                <w:lang w:val="ro-RO"/>
              </w:rPr>
            </w:pPr>
            <w:r>
              <w:rPr>
                <w:b/>
                <w:lang w:val="ro-RO"/>
              </w:rPr>
              <w:t>7.</w:t>
            </w:r>
          </w:p>
        </w:tc>
        <w:tc>
          <w:tcPr>
            <w:tcW w:w="2614" w:type="dxa"/>
          </w:tcPr>
          <w:p w:rsidR="00E819A7" w:rsidRDefault="00E819A7" w:rsidP="005A31AA">
            <w:pPr>
              <w:jc w:val="center"/>
              <w:rPr>
                <w:b/>
                <w:sz w:val="20"/>
                <w:szCs w:val="20"/>
                <w:lang w:val="ro-RO"/>
              </w:rPr>
            </w:pPr>
            <w:r>
              <w:rPr>
                <w:b/>
                <w:sz w:val="20"/>
                <w:szCs w:val="20"/>
                <w:lang w:val="ro-RO"/>
              </w:rPr>
              <w:t>Ministerul Educaţiei</w:t>
            </w:r>
          </w:p>
          <w:p w:rsidR="00E819A7" w:rsidRDefault="00E819A7" w:rsidP="005A31AA">
            <w:pPr>
              <w:jc w:val="center"/>
              <w:rPr>
                <w:b/>
                <w:sz w:val="20"/>
                <w:szCs w:val="20"/>
                <w:lang w:val="ro-RO"/>
              </w:rPr>
            </w:pPr>
            <w:r>
              <w:rPr>
                <w:b/>
                <w:sz w:val="20"/>
                <w:szCs w:val="20"/>
                <w:lang w:val="ro-RO"/>
              </w:rPr>
              <w:t>Scrisoare nr. 07</w:t>
            </w:r>
            <w:r w:rsidRPr="00F40449">
              <w:rPr>
                <w:b/>
                <w:sz w:val="20"/>
                <w:szCs w:val="20"/>
                <w:lang w:val="ro-RO"/>
              </w:rPr>
              <w:t>/</w:t>
            </w:r>
            <w:r>
              <w:rPr>
                <w:b/>
                <w:sz w:val="20"/>
                <w:szCs w:val="20"/>
                <w:lang w:val="ro-RO"/>
              </w:rPr>
              <w:t>12-105PM din 19.11.12</w:t>
            </w:r>
          </w:p>
        </w:tc>
        <w:tc>
          <w:tcPr>
            <w:tcW w:w="8080" w:type="dxa"/>
          </w:tcPr>
          <w:p w:rsidR="00E819A7" w:rsidRDefault="00E819A7" w:rsidP="005A31AA">
            <w:pPr>
              <w:jc w:val="both"/>
              <w:rPr>
                <w:lang w:val="ro-RO"/>
              </w:rPr>
            </w:pPr>
            <w:r>
              <w:rPr>
                <w:lang w:val="ro-RO"/>
              </w:rPr>
              <w:t xml:space="preserve">     Comunică lipsa de obiecţii şi propuneri</w:t>
            </w:r>
          </w:p>
          <w:p w:rsidR="00E819A7" w:rsidRDefault="00E819A7" w:rsidP="005A31AA">
            <w:pPr>
              <w:jc w:val="both"/>
              <w:rPr>
                <w:lang w:val="ro-RO"/>
              </w:rPr>
            </w:pPr>
          </w:p>
          <w:p w:rsidR="00E819A7" w:rsidRDefault="00E819A7" w:rsidP="005A31AA">
            <w:pPr>
              <w:jc w:val="both"/>
              <w:rPr>
                <w:lang w:val="ro-RO"/>
              </w:rPr>
            </w:pPr>
          </w:p>
        </w:tc>
        <w:tc>
          <w:tcPr>
            <w:tcW w:w="3118" w:type="dxa"/>
          </w:tcPr>
          <w:p w:rsidR="00E819A7" w:rsidRDefault="00E819A7" w:rsidP="005A31AA">
            <w:pPr>
              <w:jc w:val="both"/>
              <w:rPr>
                <w:lang w:val="ro-RO"/>
              </w:rPr>
            </w:pPr>
            <w:r>
              <w:rPr>
                <w:lang w:val="ro-RO"/>
              </w:rPr>
              <w:t>Se acceptă.</w:t>
            </w:r>
          </w:p>
        </w:tc>
      </w:tr>
      <w:tr w:rsidR="00E819A7" w:rsidTr="00E819A7">
        <w:tblPrEx>
          <w:tblLook w:val="04A0"/>
        </w:tblPrEx>
        <w:trPr>
          <w:trHeight w:val="780"/>
        </w:trPr>
        <w:tc>
          <w:tcPr>
            <w:tcW w:w="613" w:type="dxa"/>
          </w:tcPr>
          <w:p w:rsidR="00E819A7" w:rsidRDefault="00E819A7" w:rsidP="005A31AA">
            <w:pPr>
              <w:jc w:val="center"/>
              <w:rPr>
                <w:b/>
                <w:lang w:val="ro-RO"/>
              </w:rPr>
            </w:pPr>
            <w:r>
              <w:rPr>
                <w:b/>
                <w:lang w:val="ro-RO"/>
              </w:rPr>
              <w:lastRenderedPageBreak/>
              <w:t>8.</w:t>
            </w:r>
          </w:p>
        </w:tc>
        <w:tc>
          <w:tcPr>
            <w:tcW w:w="2614" w:type="dxa"/>
          </w:tcPr>
          <w:p w:rsidR="00E819A7" w:rsidRDefault="00E819A7" w:rsidP="005A31AA">
            <w:pPr>
              <w:jc w:val="center"/>
              <w:rPr>
                <w:b/>
                <w:sz w:val="20"/>
                <w:szCs w:val="20"/>
                <w:lang w:val="ro-RO"/>
              </w:rPr>
            </w:pPr>
            <w:r>
              <w:rPr>
                <w:b/>
                <w:sz w:val="20"/>
                <w:szCs w:val="20"/>
                <w:lang w:val="ro-RO"/>
              </w:rPr>
              <w:t>Ministerul Culturii</w:t>
            </w:r>
          </w:p>
          <w:p w:rsidR="00E819A7" w:rsidRDefault="00E819A7" w:rsidP="005A31AA">
            <w:pPr>
              <w:jc w:val="center"/>
              <w:rPr>
                <w:b/>
                <w:sz w:val="20"/>
                <w:szCs w:val="20"/>
                <w:lang w:val="ro-RO"/>
              </w:rPr>
            </w:pPr>
            <w:r>
              <w:rPr>
                <w:b/>
                <w:sz w:val="20"/>
                <w:szCs w:val="20"/>
                <w:lang w:val="ro-RO"/>
              </w:rPr>
              <w:t>Scrisoare nr. 09-09</w:t>
            </w:r>
            <w:r w:rsidRPr="00F40449">
              <w:rPr>
                <w:b/>
                <w:sz w:val="20"/>
                <w:szCs w:val="20"/>
                <w:lang w:val="ro-RO"/>
              </w:rPr>
              <w:t>/</w:t>
            </w:r>
            <w:r>
              <w:rPr>
                <w:b/>
                <w:sz w:val="20"/>
                <w:szCs w:val="20"/>
                <w:lang w:val="ro-RO"/>
              </w:rPr>
              <w:t>3157 din 22.11.2012</w:t>
            </w:r>
          </w:p>
          <w:p w:rsidR="00E819A7" w:rsidRDefault="00E819A7" w:rsidP="005A31AA">
            <w:pPr>
              <w:jc w:val="center"/>
              <w:rPr>
                <w:b/>
                <w:sz w:val="20"/>
                <w:szCs w:val="20"/>
                <w:lang w:val="ro-RO"/>
              </w:rPr>
            </w:pPr>
          </w:p>
        </w:tc>
        <w:tc>
          <w:tcPr>
            <w:tcW w:w="8080" w:type="dxa"/>
          </w:tcPr>
          <w:p w:rsidR="00E819A7" w:rsidRDefault="00E819A7" w:rsidP="005A31AA">
            <w:pPr>
              <w:jc w:val="both"/>
              <w:rPr>
                <w:lang w:val="ro-RO"/>
              </w:rPr>
            </w:pPr>
            <w:r>
              <w:rPr>
                <w:lang w:val="ro-RO"/>
              </w:rPr>
              <w:t xml:space="preserve">     Comunică lipsa de obiecţii şi propuneri</w:t>
            </w:r>
          </w:p>
          <w:p w:rsidR="00E819A7" w:rsidRDefault="00E819A7" w:rsidP="005A31AA">
            <w:pPr>
              <w:jc w:val="both"/>
              <w:rPr>
                <w:lang w:val="ro-RO"/>
              </w:rPr>
            </w:pPr>
          </w:p>
        </w:tc>
        <w:tc>
          <w:tcPr>
            <w:tcW w:w="3118" w:type="dxa"/>
          </w:tcPr>
          <w:p w:rsidR="00E819A7" w:rsidRDefault="00E819A7" w:rsidP="005A31AA">
            <w:pPr>
              <w:jc w:val="both"/>
              <w:rPr>
                <w:lang w:val="ro-RO"/>
              </w:rPr>
            </w:pPr>
            <w:r>
              <w:rPr>
                <w:lang w:val="ro-RO"/>
              </w:rPr>
              <w:t>Se acceptă.</w:t>
            </w:r>
          </w:p>
        </w:tc>
      </w:tr>
      <w:tr w:rsidR="00E819A7" w:rsidTr="00E819A7">
        <w:tblPrEx>
          <w:tblLook w:val="04A0"/>
        </w:tblPrEx>
        <w:trPr>
          <w:trHeight w:val="1275"/>
        </w:trPr>
        <w:tc>
          <w:tcPr>
            <w:tcW w:w="613" w:type="dxa"/>
          </w:tcPr>
          <w:p w:rsidR="00E819A7" w:rsidRDefault="00E819A7" w:rsidP="005A31AA">
            <w:pPr>
              <w:jc w:val="center"/>
              <w:rPr>
                <w:b/>
                <w:lang w:val="ro-RO"/>
              </w:rPr>
            </w:pPr>
            <w:r>
              <w:rPr>
                <w:b/>
                <w:lang w:val="ro-RO"/>
              </w:rPr>
              <w:t>9.</w:t>
            </w:r>
          </w:p>
        </w:tc>
        <w:tc>
          <w:tcPr>
            <w:tcW w:w="2614" w:type="dxa"/>
          </w:tcPr>
          <w:p w:rsidR="00E819A7" w:rsidRDefault="00E819A7" w:rsidP="005A31AA">
            <w:pPr>
              <w:jc w:val="center"/>
              <w:rPr>
                <w:b/>
                <w:sz w:val="20"/>
                <w:szCs w:val="20"/>
                <w:lang w:val="ro-RO"/>
              </w:rPr>
            </w:pPr>
            <w:r>
              <w:rPr>
                <w:b/>
                <w:sz w:val="20"/>
                <w:szCs w:val="20"/>
                <w:lang w:val="ro-RO"/>
              </w:rPr>
              <w:t>Ministerul Muncii, Protecţiei Sociale şi Familiei</w:t>
            </w:r>
          </w:p>
          <w:p w:rsidR="00E819A7" w:rsidRDefault="00E819A7" w:rsidP="005A31AA">
            <w:pPr>
              <w:jc w:val="center"/>
              <w:rPr>
                <w:b/>
                <w:sz w:val="20"/>
                <w:szCs w:val="20"/>
                <w:lang w:val="ro-RO"/>
              </w:rPr>
            </w:pPr>
            <w:r>
              <w:rPr>
                <w:b/>
                <w:sz w:val="20"/>
                <w:szCs w:val="20"/>
                <w:lang w:val="ro-RO"/>
              </w:rPr>
              <w:t>Scrisoare nr. 01-4473 din 12.11.2012</w:t>
            </w:r>
          </w:p>
          <w:p w:rsidR="00E819A7" w:rsidRDefault="00E819A7" w:rsidP="005A31AA">
            <w:pPr>
              <w:jc w:val="center"/>
              <w:rPr>
                <w:b/>
                <w:sz w:val="20"/>
                <w:szCs w:val="20"/>
                <w:lang w:val="ro-RO"/>
              </w:rPr>
            </w:pPr>
          </w:p>
        </w:tc>
        <w:tc>
          <w:tcPr>
            <w:tcW w:w="8080" w:type="dxa"/>
          </w:tcPr>
          <w:p w:rsidR="00E819A7" w:rsidRDefault="00E819A7" w:rsidP="005A31AA">
            <w:pPr>
              <w:jc w:val="both"/>
              <w:rPr>
                <w:lang w:val="ro-RO"/>
              </w:rPr>
            </w:pPr>
            <w:r>
              <w:rPr>
                <w:lang w:val="ro-RO"/>
              </w:rPr>
              <w:t xml:space="preserve">     Comunică lipsa de obiecţii şi propuneri</w:t>
            </w:r>
          </w:p>
          <w:p w:rsidR="00E819A7" w:rsidRDefault="00E819A7" w:rsidP="005A31AA">
            <w:pPr>
              <w:jc w:val="both"/>
              <w:rPr>
                <w:lang w:val="ro-RO"/>
              </w:rPr>
            </w:pPr>
          </w:p>
          <w:p w:rsidR="00E819A7" w:rsidRDefault="00E819A7" w:rsidP="005A31AA">
            <w:pPr>
              <w:jc w:val="both"/>
              <w:rPr>
                <w:lang w:val="ro-RO"/>
              </w:rPr>
            </w:pPr>
          </w:p>
          <w:p w:rsidR="00E819A7" w:rsidRDefault="00E819A7" w:rsidP="005A31AA">
            <w:pPr>
              <w:jc w:val="both"/>
              <w:rPr>
                <w:lang w:val="ro-RO"/>
              </w:rPr>
            </w:pPr>
          </w:p>
          <w:p w:rsidR="00E819A7" w:rsidRDefault="00E819A7" w:rsidP="005A31AA">
            <w:pPr>
              <w:jc w:val="both"/>
              <w:rPr>
                <w:lang w:val="ro-RO"/>
              </w:rPr>
            </w:pPr>
          </w:p>
        </w:tc>
        <w:tc>
          <w:tcPr>
            <w:tcW w:w="3118" w:type="dxa"/>
          </w:tcPr>
          <w:p w:rsidR="00E819A7" w:rsidRDefault="00E819A7" w:rsidP="005A31AA">
            <w:pPr>
              <w:jc w:val="both"/>
              <w:rPr>
                <w:lang w:val="ro-RO"/>
              </w:rPr>
            </w:pPr>
            <w:r>
              <w:rPr>
                <w:lang w:val="ro-RO"/>
              </w:rPr>
              <w:t>Se acceptă.</w:t>
            </w:r>
          </w:p>
        </w:tc>
      </w:tr>
      <w:tr w:rsidR="00E819A7" w:rsidTr="00E819A7">
        <w:tblPrEx>
          <w:tblLook w:val="04A0"/>
        </w:tblPrEx>
        <w:trPr>
          <w:trHeight w:val="765"/>
        </w:trPr>
        <w:tc>
          <w:tcPr>
            <w:tcW w:w="613" w:type="dxa"/>
          </w:tcPr>
          <w:p w:rsidR="00E819A7" w:rsidRDefault="00E819A7" w:rsidP="00E819A7">
            <w:pPr>
              <w:jc w:val="center"/>
              <w:rPr>
                <w:b/>
                <w:lang w:val="ro-RO"/>
              </w:rPr>
            </w:pPr>
            <w:r>
              <w:rPr>
                <w:b/>
                <w:lang w:val="ro-RO"/>
              </w:rPr>
              <w:t>10.</w:t>
            </w:r>
          </w:p>
        </w:tc>
        <w:tc>
          <w:tcPr>
            <w:tcW w:w="2614" w:type="dxa"/>
          </w:tcPr>
          <w:p w:rsidR="00E819A7" w:rsidRDefault="00E819A7" w:rsidP="005A31AA">
            <w:pPr>
              <w:jc w:val="center"/>
              <w:rPr>
                <w:b/>
                <w:sz w:val="20"/>
                <w:szCs w:val="20"/>
                <w:lang w:val="ro-RO"/>
              </w:rPr>
            </w:pPr>
            <w:r>
              <w:rPr>
                <w:b/>
                <w:sz w:val="20"/>
                <w:szCs w:val="20"/>
                <w:lang w:val="ro-RO"/>
              </w:rPr>
              <w:t>Ministerul Sănătăţii</w:t>
            </w:r>
          </w:p>
          <w:p w:rsidR="00E819A7" w:rsidRPr="00597E8E" w:rsidRDefault="00E819A7" w:rsidP="005A31AA">
            <w:pPr>
              <w:jc w:val="center"/>
              <w:rPr>
                <w:b/>
                <w:sz w:val="20"/>
                <w:szCs w:val="20"/>
                <w:lang w:val="ro-RO"/>
              </w:rPr>
            </w:pPr>
            <w:r>
              <w:rPr>
                <w:b/>
                <w:sz w:val="20"/>
                <w:szCs w:val="20"/>
                <w:lang w:val="ro-RO"/>
              </w:rPr>
              <w:t>Scrisoare nr.  019</w:t>
            </w:r>
            <w:r w:rsidRPr="00F40449">
              <w:rPr>
                <w:b/>
                <w:sz w:val="20"/>
                <w:szCs w:val="20"/>
                <w:lang w:val="ro-RO"/>
              </w:rPr>
              <w:t>/</w:t>
            </w:r>
            <w:r>
              <w:rPr>
                <w:b/>
                <w:sz w:val="20"/>
                <w:szCs w:val="20"/>
                <w:lang w:val="ro-RO"/>
              </w:rPr>
              <w:t>2401 din 16.11.2012</w:t>
            </w:r>
          </w:p>
        </w:tc>
        <w:tc>
          <w:tcPr>
            <w:tcW w:w="8080" w:type="dxa"/>
          </w:tcPr>
          <w:p w:rsidR="00E819A7" w:rsidRDefault="00E819A7" w:rsidP="005A31AA">
            <w:pPr>
              <w:jc w:val="both"/>
              <w:rPr>
                <w:lang w:val="ro-RO"/>
              </w:rPr>
            </w:pPr>
            <w:r>
              <w:rPr>
                <w:lang w:val="ro-RO"/>
              </w:rPr>
              <w:t xml:space="preserve">     Comunică lipsa de obiecţii şi propuneri</w:t>
            </w:r>
          </w:p>
          <w:p w:rsidR="00E819A7" w:rsidRDefault="00E819A7" w:rsidP="005A31AA">
            <w:pPr>
              <w:jc w:val="both"/>
              <w:rPr>
                <w:lang w:val="ro-RO"/>
              </w:rPr>
            </w:pPr>
          </w:p>
          <w:p w:rsidR="00E819A7" w:rsidRDefault="00E819A7" w:rsidP="005A31AA">
            <w:pPr>
              <w:jc w:val="both"/>
              <w:rPr>
                <w:lang w:val="ro-RO"/>
              </w:rPr>
            </w:pPr>
          </w:p>
        </w:tc>
        <w:tc>
          <w:tcPr>
            <w:tcW w:w="3118" w:type="dxa"/>
          </w:tcPr>
          <w:p w:rsidR="00E819A7" w:rsidRDefault="00E819A7" w:rsidP="005A31AA">
            <w:pPr>
              <w:jc w:val="both"/>
              <w:rPr>
                <w:lang w:val="ro-RO"/>
              </w:rPr>
            </w:pPr>
            <w:r>
              <w:rPr>
                <w:lang w:val="ro-RO"/>
              </w:rPr>
              <w:t>Se acceptă.</w:t>
            </w:r>
          </w:p>
        </w:tc>
      </w:tr>
      <w:tr w:rsidR="00E819A7" w:rsidTr="00E819A7">
        <w:tblPrEx>
          <w:tblLook w:val="04A0"/>
        </w:tblPrEx>
        <w:trPr>
          <w:trHeight w:val="1050"/>
        </w:trPr>
        <w:tc>
          <w:tcPr>
            <w:tcW w:w="613" w:type="dxa"/>
          </w:tcPr>
          <w:p w:rsidR="00E819A7" w:rsidRDefault="00E819A7" w:rsidP="00E819A7">
            <w:pPr>
              <w:jc w:val="center"/>
              <w:rPr>
                <w:b/>
                <w:lang w:val="ro-RO"/>
              </w:rPr>
            </w:pPr>
            <w:r>
              <w:rPr>
                <w:b/>
                <w:lang w:val="ro-RO"/>
              </w:rPr>
              <w:t>11.</w:t>
            </w:r>
          </w:p>
        </w:tc>
        <w:tc>
          <w:tcPr>
            <w:tcW w:w="2614" w:type="dxa"/>
          </w:tcPr>
          <w:p w:rsidR="00E819A7" w:rsidRDefault="00E819A7" w:rsidP="005A31AA">
            <w:pPr>
              <w:jc w:val="center"/>
              <w:rPr>
                <w:b/>
                <w:sz w:val="20"/>
                <w:szCs w:val="20"/>
                <w:lang w:val="ro-RO"/>
              </w:rPr>
            </w:pPr>
            <w:r>
              <w:rPr>
                <w:b/>
                <w:sz w:val="20"/>
                <w:szCs w:val="20"/>
                <w:lang w:val="ro-RO"/>
              </w:rPr>
              <w:t>Ministerul Tineretului şi Sportului</w:t>
            </w:r>
          </w:p>
          <w:p w:rsidR="00E819A7" w:rsidRDefault="00E819A7" w:rsidP="005A31AA">
            <w:pPr>
              <w:jc w:val="center"/>
              <w:rPr>
                <w:b/>
                <w:sz w:val="20"/>
                <w:szCs w:val="20"/>
                <w:lang w:val="ro-RO"/>
              </w:rPr>
            </w:pPr>
            <w:r>
              <w:rPr>
                <w:b/>
                <w:sz w:val="20"/>
                <w:szCs w:val="20"/>
                <w:lang w:val="ro-RO"/>
              </w:rPr>
              <w:t>Scrisoare nr. 07</w:t>
            </w:r>
            <w:r w:rsidRPr="00F40449">
              <w:rPr>
                <w:b/>
                <w:sz w:val="20"/>
                <w:szCs w:val="20"/>
                <w:lang w:val="ro-RO"/>
              </w:rPr>
              <w:t>/</w:t>
            </w:r>
            <w:r>
              <w:rPr>
                <w:b/>
                <w:sz w:val="20"/>
                <w:szCs w:val="20"/>
                <w:lang w:val="ro-RO"/>
              </w:rPr>
              <w:t>394 din 15.11.2012</w:t>
            </w:r>
          </w:p>
        </w:tc>
        <w:tc>
          <w:tcPr>
            <w:tcW w:w="8080" w:type="dxa"/>
          </w:tcPr>
          <w:p w:rsidR="00E819A7" w:rsidRDefault="00E819A7" w:rsidP="005A31AA">
            <w:pPr>
              <w:jc w:val="both"/>
              <w:rPr>
                <w:lang w:val="ro-RO"/>
              </w:rPr>
            </w:pPr>
            <w:r>
              <w:rPr>
                <w:lang w:val="ro-RO"/>
              </w:rPr>
              <w:t xml:space="preserve">     Comunică lipsa de obiecţii şi propuneri</w:t>
            </w:r>
          </w:p>
          <w:p w:rsidR="00E819A7" w:rsidRDefault="00E819A7" w:rsidP="005A31AA">
            <w:pPr>
              <w:jc w:val="both"/>
              <w:rPr>
                <w:lang w:val="ro-RO"/>
              </w:rPr>
            </w:pPr>
          </w:p>
          <w:p w:rsidR="00E819A7" w:rsidRDefault="00E819A7" w:rsidP="005A31AA">
            <w:pPr>
              <w:jc w:val="both"/>
              <w:rPr>
                <w:lang w:val="ro-RO"/>
              </w:rPr>
            </w:pPr>
          </w:p>
          <w:p w:rsidR="00E819A7" w:rsidRDefault="00E819A7" w:rsidP="005A31AA">
            <w:pPr>
              <w:jc w:val="both"/>
              <w:rPr>
                <w:lang w:val="ro-RO"/>
              </w:rPr>
            </w:pPr>
          </w:p>
        </w:tc>
        <w:tc>
          <w:tcPr>
            <w:tcW w:w="3118" w:type="dxa"/>
          </w:tcPr>
          <w:p w:rsidR="00E819A7" w:rsidRDefault="00E819A7" w:rsidP="005A31AA">
            <w:pPr>
              <w:jc w:val="both"/>
              <w:rPr>
                <w:lang w:val="ro-RO"/>
              </w:rPr>
            </w:pPr>
            <w:r>
              <w:rPr>
                <w:lang w:val="ro-RO"/>
              </w:rPr>
              <w:t>Se acceptă.</w:t>
            </w:r>
          </w:p>
        </w:tc>
      </w:tr>
      <w:tr w:rsidR="00E819A7" w:rsidTr="00E819A7">
        <w:tblPrEx>
          <w:tblLook w:val="04A0"/>
        </w:tblPrEx>
        <w:trPr>
          <w:trHeight w:val="1050"/>
        </w:trPr>
        <w:tc>
          <w:tcPr>
            <w:tcW w:w="613" w:type="dxa"/>
          </w:tcPr>
          <w:p w:rsidR="00E819A7" w:rsidRDefault="00E819A7" w:rsidP="00E819A7">
            <w:pPr>
              <w:jc w:val="center"/>
              <w:rPr>
                <w:b/>
                <w:lang w:val="ro-RO"/>
              </w:rPr>
            </w:pPr>
            <w:r>
              <w:rPr>
                <w:b/>
                <w:lang w:val="ro-RO"/>
              </w:rPr>
              <w:t>12.</w:t>
            </w:r>
          </w:p>
        </w:tc>
        <w:tc>
          <w:tcPr>
            <w:tcW w:w="2614" w:type="dxa"/>
          </w:tcPr>
          <w:p w:rsidR="00E819A7" w:rsidRDefault="00E819A7" w:rsidP="005A31AA">
            <w:pPr>
              <w:jc w:val="center"/>
              <w:rPr>
                <w:b/>
                <w:sz w:val="20"/>
                <w:szCs w:val="20"/>
                <w:lang w:val="ro-RO"/>
              </w:rPr>
            </w:pPr>
            <w:r>
              <w:rPr>
                <w:b/>
                <w:sz w:val="20"/>
                <w:szCs w:val="20"/>
                <w:lang w:val="ro-RO"/>
              </w:rPr>
              <w:t>Biroul Naţional de Statistică</w:t>
            </w:r>
          </w:p>
          <w:p w:rsidR="00E819A7" w:rsidRPr="00376B1B" w:rsidRDefault="00E819A7" w:rsidP="005A31AA">
            <w:pPr>
              <w:jc w:val="center"/>
              <w:rPr>
                <w:b/>
                <w:sz w:val="20"/>
                <w:szCs w:val="20"/>
                <w:lang w:val="ro-RO"/>
              </w:rPr>
            </w:pPr>
            <w:r>
              <w:rPr>
                <w:b/>
                <w:sz w:val="20"/>
                <w:szCs w:val="20"/>
                <w:lang w:val="ro-RO"/>
              </w:rPr>
              <w:t>Scrisoare nr. 01-11</w:t>
            </w:r>
            <w:r w:rsidRPr="00F40449">
              <w:rPr>
                <w:b/>
                <w:sz w:val="20"/>
                <w:szCs w:val="20"/>
                <w:lang w:val="ro-RO"/>
              </w:rPr>
              <w:t>/</w:t>
            </w:r>
            <w:r>
              <w:rPr>
                <w:b/>
                <w:sz w:val="20"/>
                <w:szCs w:val="20"/>
                <w:lang w:val="ro-RO"/>
              </w:rPr>
              <w:t>156 din 12.11.2012</w:t>
            </w:r>
          </w:p>
        </w:tc>
        <w:tc>
          <w:tcPr>
            <w:tcW w:w="8080" w:type="dxa"/>
          </w:tcPr>
          <w:p w:rsidR="00E819A7" w:rsidRDefault="00E819A7" w:rsidP="005A31AA">
            <w:pPr>
              <w:jc w:val="both"/>
              <w:rPr>
                <w:lang w:val="ro-RO"/>
              </w:rPr>
            </w:pPr>
            <w:r>
              <w:rPr>
                <w:lang w:val="ro-RO"/>
              </w:rPr>
              <w:t xml:space="preserve">    Comunică lipsa de obiecţii şi propuneri</w:t>
            </w:r>
          </w:p>
          <w:p w:rsidR="00E819A7" w:rsidRDefault="00E819A7" w:rsidP="005A31AA">
            <w:pPr>
              <w:jc w:val="both"/>
              <w:rPr>
                <w:lang w:val="ro-RO"/>
              </w:rPr>
            </w:pPr>
          </w:p>
          <w:p w:rsidR="00E819A7" w:rsidRDefault="00E819A7" w:rsidP="005A31AA">
            <w:pPr>
              <w:jc w:val="both"/>
              <w:rPr>
                <w:lang w:val="ro-RO"/>
              </w:rPr>
            </w:pPr>
          </w:p>
          <w:p w:rsidR="00E819A7" w:rsidRDefault="00E819A7" w:rsidP="005A31AA">
            <w:pPr>
              <w:jc w:val="both"/>
              <w:rPr>
                <w:lang w:val="ro-RO"/>
              </w:rPr>
            </w:pPr>
          </w:p>
        </w:tc>
        <w:tc>
          <w:tcPr>
            <w:tcW w:w="3118" w:type="dxa"/>
          </w:tcPr>
          <w:p w:rsidR="00E819A7" w:rsidRDefault="00E819A7" w:rsidP="005A31AA">
            <w:pPr>
              <w:jc w:val="both"/>
              <w:rPr>
                <w:lang w:val="ro-RO"/>
              </w:rPr>
            </w:pPr>
            <w:r>
              <w:rPr>
                <w:lang w:val="ro-RO"/>
              </w:rPr>
              <w:t>Se acceptă.</w:t>
            </w:r>
          </w:p>
        </w:tc>
      </w:tr>
      <w:tr w:rsidR="00E819A7" w:rsidTr="00E819A7">
        <w:tblPrEx>
          <w:tblLook w:val="04A0"/>
        </w:tblPrEx>
        <w:trPr>
          <w:trHeight w:val="975"/>
        </w:trPr>
        <w:tc>
          <w:tcPr>
            <w:tcW w:w="613" w:type="dxa"/>
          </w:tcPr>
          <w:p w:rsidR="00E819A7" w:rsidRDefault="00E819A7" w:rsidP="00E819A7">
            <w:pPr>
              <w:jc w:val="center"/>
              <w:rPr>
                <w:b/>
                <w:lang w:val="ro-RO"/>
              </w:rPr>
            </w:pPr>
            <w:r>
              <w:rPr>
                <w:b/>
                <w:lang w:val="ro-RO"/>
              </w:rPr>
              <w:t>13.</w:t>
            </w:r>
          </w:p>
        </w:tc>
        <w:tc>
          <w:tcPr>
            <w:tcW w:w="2614" w:type="dxa"/>
          </w:tcPr>
          <w:p w:rsidR="00E819A7" w:rsidRDefault="00E819A7" w:rsidP="005A31AA">
            <w:pPr>
              <w:jc w:val="center"/>
              <w:rPr>
                <w:b/>
                <w:sz w:val="20"/>
                <w:szCs w:val="20"/>
                <w:lang w:val="ro-RO"/>
              </w:rPr>
            </w:pPr>
            <w:r>
              <w:rPr>
                <w:b/>
                <w:sz w:val="20"/>
                <w:szCs w:val="20"/>
                <w:lang w:val="ro-RO"/>
              </w:rPr>
              <w:t>Agenţia Relaţii Funciare şi Cadastru</w:t>
            </w:r>
          </w:p>
          <w:p w:rsidR="00E819A7" w:rsidRDefault="00E819A7" w:rsidP="005A31AA">
            <w:pPr>
              <w:jc w:val="center"/>
              <w:rPr>
                <w:b/>
                <w:sz w:val="20"/>
                <w:szCs w:val="20"/>
                <w:lang w:val="ro-RO"/>
              </w:rPr>
            </w:pPr>
            <w:r>
              <w:rPr>
                <w:b/>
                <w:sz w:val="20"/>
                <w:szCs w:val="20"/>
                <w:lang w:val="ro-RO"/>
              </w:rPr>
              <w:t>Scrisoare nr.  36</w:t>
            </w:r>
            <w:r w:rsidRPr="00F40449">
              <w:rPr>
                <w:b/>
                <w:sz w:val="20"/>
                <w:szCs w:val="20"/>
                <w:lang w:val="ro-RO"/>
              </w:rPr>
              <w:t>/</w:t>
            </w:r>
            <w:r>
              <w:rPr>
                <w:b/>
                <w:sz w:val="20"/>
                <w:szCs w:val="20"/>
                <w:lang w:val="ro-RO"/>
              </w:rPr>
              <w:t>01-06</w:t>
            </w:r>
            <w:r w:rsidRPr="00F40449">
              <w:rPr>
                <w:b/>
                <w:sz w:val="20"/>
                <w:szCs w:val="20"/>
                <w:lang w:val="ro-RO"/>
              </w:rPr>
              <w:t>/</w:t>
            </w:r>
            <w:r>
              <w:rPr>
                <w:b/>
                <w:sz w:val="20"/>
                <w:szCs w:val="20"/>
                <w:lang w:val="ro-RO"/>
              </w:rPr>
              <w:t>1966 din 12.11.2012</w:t>
            </w:r>
          </w:p>
        </w:tc>
        <w:tc>
          <w:tcPr>
            <w:tcW w:w="8080" w:type="dxa"/>
          </w:tcPr>
          <w:p w:rsidR="00E819A7" w:rsidRPr="00376B1B" w:rsidRDefault="00E819A7" w:rsidP="005A31AA">
            <w:pPr>
              <w:jc w:val="both"/>
              <w:rPr>
                <w:lang w:val="ro-RO"/>
              </w:rPr>
            </w:pPr>
            <w:r>
              <w:rPr>
                <w:lang w:val="ro-RO"/>
              </w:rPr>
              <w:t xml:space="preserve">    Comunică lipsa de obiecţii şi propuneri</w:t>
            </w:r>
          </w:p>
          <w:p w:rsidR="00E819A7" w:rsidRDefault="00E819A7" w:rsidP="005A31AA">
            <w:pPr>
              <w:jc w:val="both"/>
              <w:rPr>
                <w:lang w:val="ro-RO"/>
              </w:rPr>
            </w:pPr>
          </w:p>
          <w:p w:rsidR="00E819A7" w:rsidRDefault="00E819A7" w:rsidP="005A31AA">
            <w:pPr>
              <w:jc w:val="both"/>
              <w:rPr>
                <w:lang w:val="ro-RO"/>
              </w:rPr>
            </w:pPr>
          </w:p>
          <w:p w:rsidR="00E819A7" w:rsidRDefault="00E819A7" w:rsidP="005A31AA">
            <w:pPr>
              <w:jc w:val="both"/>
              <w:rPr>
                <w:lang w:val="ro-RO"/>
              </w:rPr>
            </w:pPr>
          </w:p>
        </w:tc>
        <w:tc>
          <w:tcPr>
            <w:tcW w:w="3118" w:type="dxa"/>
          </w:tcPr>
          <w:p w:rsidR="00E819A7" w:rsidRDefault="00E819A7" w:rsidP="005A31AA">
            <w:pPr>
              <w:jc w:val="both"/>
              <w:rPr>
                <w:lang w:val="ro-RO"/>
              </w:rPr>
            </w:pPr>
            <w:r>
              <w:rPr>
                <w:lang w:val="ro-RO"/>
              </w:rPr>
              <w:t>Se acceptă.</w:t>
            </w:r>
          </w:p>
        </w:tc>
      </w:tr>
      <w:tr w:rsidR="00E819A7" w:rsidTr="00E819A7">
        <w:tblPrEx>
          <w:tblLook w:val="04A0"/>
        </w:tblPrEx>
        <w:trPr>
          <w:trHeight w:val="780"/>
        </w:trPr>
        <w:tc>
          <w:tcPr>
            <w:tcW w:w="613" w:type="dxa"/>
          </w:tcPr>
          <w:p w:rsidR="00E819A7" w:rsidRDefault="00E819A7" w:rsidP="00E819A7">
            <w:pPr>
              <w:jc w:val="center"/>
              <w:rPr>
                <w:b/>
                <w:lang w:val="ro-RO"/>
              </w:rPr>
            </w:pPr>
            <w:r>
              <w:rPr>
                <w:b/>
                <w:lang w:val="ro-RO"/>
              </w:rPr>
              <w:t>14.</w:t>
            </w:r>
          </w:p>
        </w:tc>
        <w:tc>
          <w:tcPr>
            <w:tcW w:w="2614" w:type="dxa"/>
          </w:tcPr>
          <w:p w:rsidR="00E819A7" w:rsidRDefault="00E819A7" w:rsidP="005A31AA">
            <w:pPr>
              <w:jc w:val="center"/>
              <w:rPr>
                <w:b/>
                <w:sz w:val="20"/>
                <w:szCs w:val="20"/>
                <w:lang w:val="ro-RO"/>
              </w:rPr>
            </w:pPr>
            <w:r>
              <w:rPr>
                <w:b/>
                <w:sz w:val="20"/>
                <w:szCs w:val="20"/>
                <w:lang w:val="ro-RO"/>
              </w:rPr>
              <w:t>Biroul Relaţii Interetnice</w:t>
            </w:r>
          </w:p>
          <w:p w:rsidR="00E819A7" w:rsidRDefault="00E819A7" w:rsidP="005A31AA">
            <w:pPr>
              <w:jc w:val="center"/>
              <w:rPr>
                <w:b/>
                <w:sz w:val="20"/>
                <w:szCs w:val="20"/>
                <w:lang w:val="ro-RO"/>
              </w:rPr>
            </w:pPr>
            <w:r>
              <w:rPr>
                <w:b/>
                <w:sz w:val="20"/>
                <w:szCs w:val="20"/>
                <w:lang w:val="ro-RO"/>
              </w:rPr>
              <w:t>Scrisoare nr. 07-389 din 22.11.2012</w:t>
            </w:r>
          </w:p>
          <w:p w:rsidR="00E819A7" w:rsidRDefault="00E819A7" w:rsidP="005A31AA">
            <w:pPr>
              <w:jc w:val="center"/>
              <w:rPr>
                <w:b/>
                <w:sz w:val="20"/>
                <w:szCs w:val="20"/>
                <w:lang w:val="ro-RO"/>
              </w:rPr>
            </w:pPr>
          </w:p>
        </w:tc>
        <w:tc>
          <w:tcPr>
            <w:tcW w:w="8080" w:type="dxa"/>
          </w:tcPr>
          <w:p w:rsidR="00E819A7" w:rsidRDefault="00E819A7" w:rsidP="005A31AA">
            <w:pPr>
              <w:jc w:val="both"/>
              <w:rPr>
                <w:lang w:val="ro-RO"/>
              </w:rPr>
            </w:pPr>
            <w:r>
              <w:rPr>
                <w:lang w:val="ro-RO"/>
              </w:rPr>
              <w:t xml:space="preserve">      Comunică lipsa de obiecţii şi propuneri</w:t>
            </w:r>
          </w:p>
        </w:tc>
        <w:tc>
          <w:tcPr>
            <w:tcW w:w="3118" w:type="dxa"/>
          </w:tcPr>
          <w:p w:rsidR="00E819A7" w:rsidRDefault="00E819A7" w:rsidP="005A31AA">
            <w:pPr>
              <w:jc w:val="both"/>
              <w:rPr>
                <w:lang w:val="ro-RO"/>
              </w:rPr>
            </w:pPr>
            <w:r>
              <w:rPr>
                <w:lang w:val="ro-RO"/>
              </w:rPr>
              <w:t>Se acceptă.</w:t>
            </w:r>
          </w:p>
        </w:tc>
      </w:tr>
      <w:tr w:rsidR="00E819A7" w:rsidRPr="002943A4" w:rsidTr="00617763">
        <w:tblPrEx>
          <w:tblLook w:val="04A0"/>
        </w:tblPrEx>
        <w:trPr>
          <w:trHeight w:val="1560"/>
        </w:trPr>
        <w:tc>
          <w:tcPr>
            <w:tcW w:w="613" w:type="dxa"/>
          </w:tcPr>
          <w:p w:rsidR="00E819A7" w:rsidRDefault="00E819A7" w:rsidP="00E819A7">
            <w:pPr>
              <w:jc w:val="center"/>
              <w:rPr>
                <w:b/>
                <w:lang w:val="ro-RO"/>
              </w:rPr>
            </w:pPr>
            <w:r>
              <w:rPr>
                <w:b/>
                <w:lang w:val="ro-RO"/>
              </w:rPr>
              <w:t xml:space="preserve">15. </w:t>
            </w:r>
          </w:p>
        </w:tc>
        <w:tc>
          <w:tcPr>
            <w:tcW w:w="2614" w:type="dxa"/>
          </w:tcPr>
          <w:p w:rsidR="00E819A7" w:rsidRDefault="00E819A7" w:rsidP="005A31AA">
            <w:pPr>
              <w:jc w:val="center"/>
              <w:rPr>
                <w:b/>
                <w:sz w:val="20"/>
                <w:szCs w:val="20"/>
                <w:lang w:val="ro-RO"/>
              </w:rPr>
            </w:pPr>
            <w:r>
              <w:rPr>
                <w:b/>
                <w:sz w:val="20"/>
                <w:szCs w:val="20"/>
                <w:lang w:val="ro-RO"/>
              </w:rPr>
              <w:t>Agenţia Turismului</w:t>
            </w:r>
          </w:p>
          <w:p w:rsidR="00E819A7" w:rsidRDefault="00E819A7" w:rsidP="005A31AA">
            <w:pPr>
              <w:jc w:val="center"/>
              <w:rPr>
                <w:b/>
                <w:sz w:val="20"/>
                <w:szCs w:val="20"/>
                <w:lang w:val="ro-RO"/>
              </w:rPr>
            </w:pPr>
            <w:r>
              <w:rPr>
                <w:b/>
                <w:sz w:val="20"/>
                <w:szCs w:val="20"/>
                <w:lang w:val="ro-RO"/>
              </w:rPr>
              <w:t>Scrisoare nr. 495 din 09.11.2012</w:t>
            </w:r>
          </w:p>
        </w:tc>
        <w:tc>
          <w:tcPr>
            <w:tcW w:w="8080" w:type="dxa"/>
          </w:tcPr>
          <w:p w:rsidR="00E819A7" w:rsidRDefault="00E819A7" w:rsidP="005A31AA">
            <w:pPr>
              <w:jc w:val="both"/>
              <w:rPr>
                <w:lang w:val="ro-RO"/>
              </w:rPr>
            </w:pPr>
            <w:r>
              <w:rPr>
                <w:lang w:val="ro-RO"/>
              </w:rPr>
              <w:t xml:space="preserve">     Susţine proiectul cu următoarele obiecţii şi propuneri:</w:t>
            </w:r>
          </w:p>
          <w:p w:rsidR="00E819A7" w:rsidRPr="00A34DED" w:rsidRDefault="00E819A7" w:rsidP="00E819A7">
            <w:pPr>
              <w:pStyle w:val="a4"/>
              <w:numPr>
                <w:ilvl w:val="0"/>
                <w:numId w:val="1"/>
              </w:numPr>
              <w:jc w:val="both"/>
              <w:rPr>
                <w:color w:val="FF0000"/>
                <w:lang w:val="ro-RO"/>
              </w:rPr>
            </w:pPr>
            <w:r>
              <w:rPr>
                <w:lang w:val="ro-RO"/>
              </w:rPr>
              <w:t>Din proiectul hotărîrii de exclus poziţia 63, deoarece Hotărîrea Guvernului nr.1470 din 27 decembrie 2001 cu privire la introducerea contractului turistic, voucherului turistic şi a fişei de evidenţă statistică a circulaţiei turiştilor la frontieră Republicii Moldova este aplicabilă, însă necesită a fi operate în ea modificări şi completări întru actualizarea cu prevederile Legii</w:t>
            </w:r>
          </w:p>
        </w:tc>
        <w:tc>
          <w:tcPr>
            <w:tcW w:w="3118" w:type="dxa"/>
          </w:tcPr>
          <w:p w:rsidR="00617763" w:rsidRDefault="00E819A7" w:rsidP="005A31AA">
            <w:pPr>
              <w:rPr>
                <w:lang w:val="ro-RO"/>
              </w:rPr>
            </w:pPr>
            <w:r>
              <w:rPr>
                <w:lang w:val="ro-RO"/>
              </w:rPr>
              <w:t xml:space="preserve">Parţial se acceptă. </w:t>
            </w:r>
            <w:r>
              <w:rPr>
                <w:lang w:val="ro-RO"/>
              </w:rPr>
              <w:br/>
              <w:t xml:space="preserve">1. La solicitarea Ministerului Economiei Hotărîrea Guvernului nr.1470 din 27 decembrie 2001 a fost inclusă în proiectul prezentei hotărîri, </w:t>
            </w:r>
          </w:p>
        </w:tc>
      </w:tr>
      <w:tr w:rsidR="00617763" w:rsidRPr="002943A4" w:rsidTr="00617763">
        <w:tblPrEx>
          <w:tblLook w:val="04A0"/>
        </w:tblPrEx>
        <w:trPr>
          <w:trHeight w:val="3825"/>
        </w:trPr>
        <w:tc>
          <w:tcPr>
            <w:tcW w:w="613" w:type="dxa"/>
          </w:tcPr>
          <w:p w:rsidR="00617763" w:rsidRDefault="00617763" w:rsidP="00E819A7">
            <w:pPr>
              <w:jc w:val="center"/>
              <w:rPr>
                <w:b/>
                <w:lang w:val="ro-RO"/>
              </w:rPr>
            </w:pPr>
          </w:p>
        </w:tc>
        <w:tc>
          <w:tcPr>
            <w:tcW w:w="2614" w:type="dxa"/>
          </w:tcPr>
          <w:p w:rsidR="00617763" w:rsidRDefault="00617763" w:rsidP="005A31AA">
            <w:pPr>
              <w:jc w:val="center"/>
              <w:rPr>
                <w:b/>
                <w:sz w:val="20"/>
                <w:szCs w:val="20"/>
                <w:lang w:val="ro-RO"/>
              </w:rPr>
            </w:pPr>
          </w:p>
        </w:tc>
        <w:tc>
          <w:tcPr>
            <w:tcW w:w="8080" w:type="dxa"/>
          </w:tcPr>
          <w:p w:rsidR="00617763" w:rsidRDefault="00617763" w:rsidP="00E819A7">
            <w:pPr>
              <w:pStyle w:val="a4"/>
              <w:numPr>
                <w:ilvl w:val="0"/>
                <w:numId w:val="1"/>
              </w:numPr>
              <w:jc w:val="both"/>
              <w:rPr>
                <w:lang w:val="ro-RO"/>
              </w:rPr>
            </w:pPr>
            <w:r>
              <w:rPr>
                <w:lang w:val="ro-RO"/>
              </w:rPr>
              <w:t xml:space="preserve"> nr.352-XVI din 24 noiembrie 2006 cu privire la organizarea şi desfăşurarea activităţii turistice în Republica Moldova.</w:t>
            </w:r>
          </w:p>
          <w:p w:rsidR="00617763" w:rsidRDefault="00617763" w:rsidP="00E819A7">
            <w:pPr>
              <w:pStyle w:val="a4"/>
              <w:numPr>
                <w:ilvl w:val="0"/>
                <w:numId w:val="1"/>
              </w:numPr>
              <w:jc w:val="both"/>
              <w:rPr>
                <w:lang w:val="ro-RO"/>
              </w:rPr>
            </w:pPr>
            <w:r>
              <w:rPr>
                <w:lang w:val="ro-RO"/>
              </w:rPr>
              <w:t>Se propune de a fi incluse în proiect pentru a fi abrogate următoarele acte normative:</w:t>
            </w:r>
          </w:p>
          <w:p w:rsidR="00617763" w:rsidRDefault="00617763" w:rsidP="005A31AA">
            <w:pPr>
              <w:pStyle w:val="a4"/>
              <w:ind w:left="480"/>
              <w:jc w:val="both"/>
              <w:rPr>
                <w:lang w:val="ro-RO"/>
              </w:rPr>
            </w:pPr>
            <w:r>
              <w:rPr>
                <w:lang w:val="ro-RO"/>
              </w:rPr>
              <w:t xml:space="preserve">1. Hotărîrea Guvernului nr.615 din 11 iulie 2001 pentru aprobarea Regulamentului cu privire la Registrul turismului (Monitorul Oficial al Republicii Moldova, 2001, nr.78-80, art.641); </w:t>
            </w:r>
          </w:p>
          <w:p w:rsidR="00617763" w:rsidRPr="00053835" w:rsidRDefault="00617763" w:rsidP="005A31AA">
            <w:pPr>
              <w:pStyle w:val="a4"/>
              <w:ind w:left="480"/>
              <w:jc w:val="both"/>
              <w:rPr>
                <w:color w:val="FF0000"/>
                <w:lang w:val="ro-RO"/>
              </w:rPr>
            </w:pPr>
            <w:r>
              <w:rPr>
                <w:lang w:val="ro-RO"/>
              </w:rPr>
              <w:t>2. Hotărîrea Guvernului nr.74 din 28 ianuarie 2002 cu privire la ameliorarea situaţiei din industria turismului (Monitorul Oficial al Republicii Moldova,  2002, nr.17-19, art.139);</w:t>
            </w:r>
            <w:r>
              <w:rPr>
                <w:color w:val="FF0000"/>
                <w:lang w:val="ro-RO"/>
              </w:rPr>
              <w:t xml:space="preserve"> </w:t>
            </w:r>
          </w:p>
          <w:p w:rsidR="00617763" w:rsidRDefault="00617763" w:rsidP="005A31AA">
            <w:pPr>
              <w:pStyle w:val="a4"/>
              <w:ind w:left="480"/>
              <w:jc w:val="both"/>
              <w:rPr>
                <w:lang w:val="ro-RO"/>
              </w:rPr>
            </w:pPr>
            <w:r>
              <w:rPr>
                <w:lang w:val="ro-RO"/>
              </w:rPr>
              <w:t xml:space="preserve">3. Hotărîrea Guvernului nr.979 din 28 iulie 2008 cu privire la impulsionarea dezvoltării turismului în mediul rural (Monitorul Oficial al Republicii Moldova, 2008, nr.157-159, art.981). </w:t>
            </w:r>
          </w:p>
        </w:tc>
        <w:tc>
          <w:tcPr>
            <w:tcW w:w="3118" w:type="dxa"/>
          </w:tcPr>
          <w:p w:rsidR="00617763" w:rsidRDefault="00617763" w:rsidP="005A31AA">
            <w:pPr>
              <w:rPr>
                <w:lang w:val="ro-RO"/>
              </w:rPr>
            </w:pPr>
            <w:r>
              <w:rPr>
                <w:lang w:val="ro-RO"/>
              </w:rPr>
              <w:t>însă, precum aceasta reglementează activitatea nemijlocită a Agenţiei Turismului – va fi exclusă din proiect.</w:t>
            </w:r>
            <w:r>
              <w:rPr>
                <w:lang w:val="ro-RO"/>
              </w:rPr>
              <w:br/>
              <w:t>2. Hotărîrea Guvernului nr.615 din 11 iulie 2001 va inclusă în textul proiectului.</w:t>
            </w:r>
          </w:p>
          <w:p w:rsidR="00617763" w:rsidRDefault="00617763" w:rsidP="005A31AA">
            <w:pPr>
              <w:rPr>
                <w:lang w:val="ro-RO"/>
              </w:rPr>
            </w:pPr>
            <w:r>
              <w:rPr>
                <w:lang w:val="ro-RO"/>
              </w:rPr>
              <w:t>3. Hotărîrea Guvernului nr.74 din 28 ianuarie 2002 şi Hotărîrea Guvernului nr.979 din 28 iulie 2008 nu vor fi incluse în textul proiectului, fiindcă au caracter temporar.</w:t>
            </w:r>
          </w:p>
        </w:tc>
      </w:tr>
      <w:tr w:rsidR="00617763" w:rsidRPr="002943A4" w:rsidTr="00F94276">
        <w:tblPrEx>
          <w:tblLook w:val="04A0"/>
        </w:tblPrEx>
        <w:trPr>
          <w:trHeight w:val="4785"/>
        </w:trPr>
        <w:tc>
          <w:tcPr>
            <w:tcW w:w="613" w:type="dxa"/>
          </w:tcPr>
          <w:p w:rsidR="00617763" w:rsidRDefault="00617763" w:rsidP="00E819A7">
            <w:pPr>
              <w:jc w:val="center"/>
              <w:rPr>
                <w:b/>
                <w:lang w:val="ro-RO"/>
              </w:rPr>
            </w:pPr>
            <w:r>
              <w:rPr>
                <w:b/>
                <w:lang w:val="ro-RO"/>
              </w:rPr>
              <w:t>16.</w:t>
            </w:r>
          </w:p>
        </w:tc>
        <w:tc>
          <w:tcPr>
            <w:tcW w:w="2614" w:type="dxa"/>
          </w:tcPr>
          <w:p w:rsidR="00617763" w:rsidRDefault="00617763" w:rsidP="005A31AA">
            <w:pPr>
              <w:jc w:val="center"/>
              <w:rPr>
                <w:b/>
                <w:sz w:val="20"/>
                <w:szCs w:val="20"/>
                <w:lang w:val="ro-RO"/>
              </w:rPr>
            </w:pPr>
            <w:r>
              <w:rPr>
                <w:b/>
                <w:sz w:val="20"/>
                <w:szCs w:val="20"/>
                <w:lang w:val="ro-RO"/>
              </w:rPr>
              <w:t>Ministerul Tehnologiei Informaţiei şi Comunicaţiilor</w:t>
            </w:r>
          </w:p>
          <w:p w:rsidR="00617763" w:rsidRPr="00617763" w:rsidRDefault="00617763" w:rsidP="005A31AA">
            <w:pPr>
              <w:jc w:val="center"/>
              <w:rPr>
                <w:b/>
                <w:sz w:val="20"/>
                <w:szCs w:val="20"/>
                <w:lang w:val="en-US"/>
              </w:rPr>
            </w:pPr>
            <w:r>
              <w:rPr>
                <w:b/>
                <w:sz w:val="20"/>
                <w:szCs w:val="20"/>
                <w:lang w:val="ro-RO"/>
              </w:rPr>
              <w:t>Scrisoare nr. 01/1888 din 26.11.2012</w:t>
            </w:r>
          </w:p>
        </w:tc>
        <w:tc>
          <w:tcPr>
            <w:tcW w:w="8080" w:type="dxa"/>
          </w:tcPr>
          <w:p w:rsidR="00617763" w:rsidRDefault="00617763" w:rsidP="00617763">
            <w:pPr>
              <w:jc w:val="both"/>
              <w:rPr>
                <w:lang w:val="ro-RO"/>
              </w:rPr>
            </w:pPr>
            <w:r>
              <w:rPr>
                <w:lang w:val="ro-RO"/>
              </w:rPr>
              <w:t xml:space="preserve">      </w:t>
            </w:r>
            <w:r w:rsidRPr="00617763">
              <w:rPr>
                <w:lang w:val="ro-RO"/>
              </w:rPr>
              <w:t>Propune de inclus în Lista hotărîrilor de Guvern care se abrogă următoarele acte normative</w:t>
            </w:r>
            <w:r>
              <w:rPr>
                <w:lang w:val="ro-RO"/>
              </w:rPr>
              <w:t>:</w:t>
            </w:r>
          </w:p>
          <w:p w:rsidR="00617763" w:rsidRDefault="00617763" w:rsidP="00617763">
            <w:pPr>
              <w:jc w:val="both"/>
              <w:rPr>
                <w:lang w:val="ro-RO"/>
              </w:rPr>
            </w:pPr>
            <w:r>
              <w:rPr>
                <w:lang w:val="ro-RO"/>
              </w:rPr>
              <w:t>1. Hotărîrea Guvernului nr.492 din 29 decembrie 1990 cu privire la reglementarea tarifelor la serviciile telecomunicaţiilor</w:t>
            </w:r>
          </w:p>
          <w:p w:rsidR="00617763" w:rsidRDefault="00617763" w:rsidP="00617763">
            <w:pPr>
              <w:jc w:val="both"/>
              <w:rPr>
                <w:lang w:val="ro-RO"/>
              </w:rPr>
            </w:pPr>
            <w:r>
              <w:rPr>
                <w:lang w:val="ro-RO"/>
              </w:rPr>
              <w:t>2. Hotărîrea Guvernului nr.207 din 30 martie 1992 cu privire la crearea sistemului integrat de prelucrare a informaţiei în cadrul insituţiilor guvernamentale;</w:t>
            </w:r>
          </w:p>
          <w:p w:rsidR="00617763" w:rsidRPr="00EB5048" w:rsidRDefault="00617763" w:rsidP="00617763">
            <w:pPr>
              <w:jc w:val="both"/>
              <w:rPr>
                <w:lang w:val="ro-RO"/>
              </w:rPr>
            </w:pPr>
            <w:r>
              <w:rPr>
                <w:lang w:val="ro-RO"/>
              </w:rPr>
              <w:t>3</w:t>
            </w:r>
            <w:r w:rsidRPr="00EB5048">
              <w:rPr>
                <w:lang w:val="ro-RO"/>
              </w:rPr>
              <w:t>. Hotărîrea Guvernului nr.415 din 5 iulie 1993 cu privire la aprobarea Concepţiei de informatizare a societăţii şi mecanismului ei de realizare;</w:t>
            </w:r>
          </w:p>
          <w:p w:rsidR="00617763" w:rsidRPr="00EB5048" w:rsidRDefault="00617763" w:rsidP="00617763">
            <w:pPr>
              <w:jc w:val="both"/>
              <w:rPr>
                <w:lang w:val="ro-RO"/>
              </w:rPr>
            </w:pPr>
            <w:r w:rsidRPr="00EB5048">
              <w:rPr>
                <w:lang w:val="ro-RO"/>
              </w:rPr>
              <w:t>4. Pct.2 din Hotărîrea Guvernului nr.721 din 23 septembrie</w:t>
            </w:r>
            <w:r w:rsidR="001335EA" w:rsidRPr="00EB5048">
              <w:rPr>
                <w:lang w:val="ro-RO"/>
              </w:rPr>
              <w:t xml:space="preserve"> 1994 cu privire la aprobarea modificărilor unor hotărîri ale Guvernului Republicii Moldova;</w:t>
            </w:r>
          </w:p>
          <w:p w:rsidR="001335EA" w:rsidRPr="00EB5048" w:rsidRDefault="001335EA" w:rsidP="00617763">
            <w:pPr>
              <w:jc w:val="both"/>
              <w:rPr>
                <w:lang w:val="ro-RO"/>
              </w:rPr>
            </w:pPr>
            <w:r w:rsidRPr="00EB5048">
              <w:rPr>
                <w:lang w:val="ro-RO"/>
              </w:rPr>
              <w:t>5. Hotărîrea Guvernului nr. 838 din 21 noiembrie 1994 privind trecerea radiofuziunii prin cablu la radiofuziunea prin eter;</w:t>
            </w:r>
          </w:p>
          <w:p w:rsidR="001335EA" w:rsidRPr="00EB5048" w:rsidRDefault="001335EA" w:rsidP="00617763">
            <w:pPr>
              <w:jc w:val="both"/>
              <w:rPr>
                <w:lang w:val="ro-RO"/>
              </w:rPr>
            </w:pPr>
            <w:r w:rsidRPr="00EB5048">
              <w:rPr>
                <w:lang w:val="ro-RO"/>
              </w:rPr>
              <w:t>6. Hotărîrea Guvernului nr. 1079 din 23 octombrie 1998 cu privire la soluţionarea Problemei anului 2000 în sistemele informatice;</w:t>
            </w:r>
          </w:p>
          <w:p w:rsidR="001335EA" w:rsidRPr="00EB5048" w:rsidRDefault="001335EA" w:rsidP="00617763">
            <w:pPr>
              <w:jc w:val="both"/>
              <w:rPr>
                <w:lang w:val="ro-RO"/>
              </w:rPr>
            </w:pPr>
            <w:r w:rsidRPr="00EB5048">
              <w:rPr>
                <w:lang w:val="ro-RO"/>
              </w:rPr>
              <w:t>7. Hotărîrea Guvernului nr. 803 din 25 august 1999 cu privire la măsurile de dinamizare a soluţionării Problemei anului 2000 în sistemele informatice;</w:t>
            </w:r>
          </w:p>
          <w:p w:rsidR="00F94276" w:rsidRPr="00617763" w:rsidRDefault="001335EA" w:rsidP="00617763">
            <w:pPr>
              <w:jc w:val="both"/>
              <w:rPr>
                <w:lang w:val="ro-RO"/>
              </w:rPr>
            </w:pPr>
            <w:r w:rsidRPr="00EB5048">
              <w:rPr>
                <w:lang w:val="ro-RO"/>
              </w:rPr>
              <w:t>8. Pct.46 din Anexa nr.3 al Hotărîrii Guvernului nr.214 din 6 martie 2000 privind</w:t>
            </w:r>
          </w:p>
        </w:tc>
        <w:tc>
          <w:tcPr>
            <w:tcW w:w="3118" w:type="dxa"/>
          </w:tcPr>
          <w:p w:rsidR="00617763" w:rsidRDefault="00617763" w:rsidP="005A31AA">
            <w:pPr>
              <w:rPr>
                <w:lang w:val="ro-RO"/>
              </w:rPr>
            </w:pPr>
          </w:p>
          <w:p w:rsidR="00617763" w:rsidRDefault="00EB5048" w:rsidP="005A31AA">
            <w:pPr>
              <w:rPr>
                <w:lang w:val="ro-RO"/>
              </w:rPr>
            </w:pPr>
            <w:r>
              <w:rPr>
                <w:lang w:val="ro-RO"/>
              </w:rPr>
              <w:t>Nu se acceptă</w:t>
            </w:r>
            <w:r w:rsidR="00800EF5">
              <w:rPr>
                <w:lang w:val="ro-RO"/>
              </w:rPr>
              <w:t>.</w:t>
            </w:r>
          </w:p>
          <w:p w:rsidR="00800EF5" w:rsidRDefault="00EB5048" w:rsidP="005A31AA">
            <w:pPr>
              <w:rPr>
                <w:lang w:val="ro-RO"/>
              </w:rPr>
            </w:pPr>
            <w:r>
              <w:rPr>
                <w:lang w:val="ro-RO"/>
              </w:rPr>
              <w:t>-</w:t>
            </w:r>
            <w:r w:rsidR="00800EF5">
              <w:rPr>
                <w:lang w:val="ro-RO"/>
              </w:rPr>
              <w:t>Propunerile de includere a unor hotărîri în proiect, numerotate sub cifra 3,4, 10-15, 17-19 se refuză pe motiv că acestea deja au fost abrogate prin Hotărîrea Guvernului nr.796 din 25 octombrie 2012</w:t>
            </w:r>
            <w:r w:rsidR="00800EF5">
              <w:rPr>
                <w:lang w:val="ro-RO"/>
              </w:rPr>
              <w:br/>
            </w:r>
            <w:r>
              <w:rPr>
                <w:lang w:val="ro-RO"/>
              </w:rPr>
              <w:t>-</w:t>
            </w:r>
            <w:r w:rsidR="00800EF5">
              <w:rPr>
                <w:lang w:val="ro-RO"/>
              </w:rPr>
              <w:t>Hotărîre numerotate sub cifra 1,2, 5-8, 16, 20 nu vor fi incluse în textul proiectului, fiindcă au caracter temporar</w:t>
            </w:r>
            <w:r>
              <w:rPr>
                <w:lang w:val="ro-RO"/>
              </w:rPr>
              <w:t>.</w:t>
            </w:r>
          </w:p>
          <w:p w:rsidR="00617763" w:rsidRDefault="00EB5048" w:rsidP="00EB5048">
            <w:pPr>
              <w:rPr>
                <w:lang w:val="ro-RO"/>
              </w:rPr>
            </w:pPr>
            <w:r>
              <w:rPr>
                <w:lang w:val="ro-RO"/>
              </w:rPr>
              <w:t>-Hotărîrea Guvernului nr.707 din 14 iulie 2000 (indicată sub cifra 9) era inclusă în proiectul de hotărîre</w:t>
            </w:r>
          </w:p>
        </w:tc>
      </w:tr>
      <w:tr w:rsidR="00F94276" w:rsidRPr="002943A4" w:rsidTr="00F94276">
        <w:tblPrEx>
          <w:tblLook w:val="04A0"/>
        </w:tblPrEx>
        <w:trPr>
          <w:trHeight w:val="8865"/>
        </w:trPr>
        <w:tc>
          <w:tcPr>
            <w:tcW w:w="613" w:type="dxa"/>
          </w:tcPr>
          <w:p w:rsidR="00F94276" w:rsidRDefault="00F94276" w:rsidP="00E819A7">
            <w:pPr>
              <w:jc w:val="center"/>
              <w:rPr>
                <w:b/>
                <w:lang w:val="ro-RO"/>
              </w:rPr>
            </w:pPr>
          </w:p>
        </w:tc>
        <w:tc>
          <w:tcPr>
            <w:tcW w:w="2614" w:type="dxa"/>
          </w:tcPr>
          <w:p w:rsidR="00F94276" w:rsidRDefault="00F94276" w:rsidP="005A31AA">
            <w:pPr>
              <w:jc w:val="center"/>
              <w:rPr>
                <w:b/>
                <w:sz w:val="20"/>
                <w:szCs w:val="20"/>
                <w:lang w:val="ro-RO"/>
              </w:rPr>
            </w:pPr>
          </w:p>
        </w:tc>
        <w:tc>
          <w:tcPr>
            <w:tcW w:w="8080" w:type="dxa"/>
          </w:tcPr>
          <w:p w:rsidR="00F94276" w:rsidRPr="00EB5048" w:rsidRDefault="00F94276" w:rsidP="00617763">
            <w:pPr>
              <w:jc w:val="both"/>
              <w:rPr>
                <w:lang w:val="ro-RO"/>
              </w:rPr>
            </w:pPr>
            <w:r w:rsidRPr="00EB5048">
              <w:rPr>
                <w:lang w:val="ro-RO"/>
              </w:rPr>
              <w:t xml:space="preserve"> componenţa unor comitete, comisii, consilii;</w:t>
            </w:r>
          </w:p>
          <w:p w:rsidR="00F94276" w:rsidRPr="00EB5048" w:rsidRDefault="00F94276" w:rsidP="00617763">
            <w:pPr>
              <w:jc w:val="both"/>
              <w:rPr>
                <w:lang w:val="ro-RO"/>
              </w:rPr>
            </w:pPr>
            <w:r w:rsidRPr="00EB5048">
              <w:rPr>
                <w:lang w:val="ro-RO"/>
              </w:rPr>
              <w:t>9. Hotărîrea Guvernului nr. 707 din 14 iulie 2000 cu privire la aprobarea Metodologiei de calcul al costurilor şi tarifelor la serviciile prestate de Întreprinderea de Stat „Radiocomunicaţii”;</w:t>
            </w:r>
          </w:p>
          <w:p w:rsidR="00F94276" w:rsidRPr="00EB5048" w:rsidRDefault="00F94276" w:rsidP="00617763">
            <w:pPr>
              <w:jc w:val="both"/>
              <w:rPr>
                <w:lang w:val="ro-RO"/>
              </w:rPr>
            </w:pPr>
            <w:r w:rsidRPr="00EB5048">
              <w:rPr>
                <w:lang w:val="ro-RO"/>
              </w:rPr>
              <w:t>10. Hotărîrea Guvernului nr.975 din 13 septembrie 2001 privind aprobarea Politicii naţionale în domeniul telecomunicaţiilor;</w:t>
            </w:r>
          </w:p>
          <w:p w:rsidR="00F94276" w:rsidRPr="00EB5048" w:rsidRDefault="00F94276" w:rsidP="00617763">
            <w:pPr>
              <w:jc w:val="both"/>
              <w:rPr>
                <w:lang w:val="ro-RO"/>
              </w:rPr>
            </w:pPr>
            <w:r w:rsidRPr="00EB5048">
              <w:rPr>
                <w:lang w:val="ro-RO"/>
              </w:rPr>
              <w:t>11. Pct.1 din Hotărîrea Guvernului nr.1048 din 4 octombrie 2001 cu privire la modificarea şi abrogarea unor Hotărîri ale Guvernului;</w:t>
            </w:r>
          </w:p>
          <w:p w:rsidR="00F94276" w:rsidRPr="00EB5048" w:rsidRDefault="00F94276" w:rsidP="00617763">
            <w:pPr>
              <w:jc w:val="both"/>
              <w:rPr>
                <w:lang w:val="ro-RO"/>
              </w:rPr>
            </w:pPr>
            <w:r w:rsidRPr="00EB5048">
              <w:rPr>
                <w:lang w:val="ro-RO"/>
              </w:rPr>
              <w:t>12. Hotărîrea Guvernului nr. 10 din 9 ianuarie 2002 privind aprobarea strategiei poştale a Republicii Moldova pînă în anul 2004 şi includerea sectorului poştal în lista priorităţilor economiei naţionale;</w:t>
            </w:r>
          </w:p>
          <w:p w:rsidR="00F94276" w:rsidRPr="00EB5048" w:rsidRDefault="00F94276" w:rsidP="00617763">
            <w:pPr>
              <w:jc w:val="both"/>
              <w:rPr>
                <w:lang w:val="ro-RO"/>
              </w:rPr>
            </w:pPr>
            <w:r w:rsidRPr="00EB5048">
              <w:rPr>
                <w:lang w:val="ro-RO"/>
              </w:rPr>
              <w:t>13. Pct. 2 din Hotărîrea Guvernului nr.1725 din 30 decembrie 2002 cu privire la aprobarea modificărilor ce se operează în unele Hotărîrî ale Guvernului Republicii Moldova;</w:t>
            </w:r>
          </w:p>
          <w:p w:rsidR="00F94276" w:rsidRPr="00EB5048" w:rsidRDefault="00F94276" w:rsidP="00617763">
            <w:pPr>
              <w:jc w:val="both"/>
              <w:rPr>
                <w:lang w:val="ro-RO"/>
              </w:rPr>
            </w:pPr>
            <w:r w:rsidRPr="00EB5048">
              <w:rPr>
                <w:lang w:val="ro-RO"/>
              </w:rPr>
              <w:t>14. Hotărîrea Guvernului nr. 1234 din 10 noiembrie 2004 cu privire la aprobarea Programului de telefonizare a ţării pentru anii 2005-2010;</w:t>
            </w:r>
          </w:p>
          <w:p w:rsidR="00F94276" w:rsidRPr="00EB5048" w:rsidRDefault="00F94276" w:rsidP="00617763">
            <w:pPr>
              <w:jc w:val="both"/>
              <w:rPr>
                <w:lang w:val="ro-RO"/>
              </w:rPr>
            </w:pPr>
            <w:r w:rsidRPr="00EB5048">
              <w:rPr>
                <w:lang w:val="ro-RO"/>
              </w:rPr>
              <w:t>15. Hotărîrea Guvernului nr. 606 din 1 iunie 2007 cu privire la unele acţiuni de implementare a Strategiei Naţionale de edificare a societăţii informaţionale „Moldova electronică” în anul 2007;</w:t>
            </w:r>
          </w:p>
          <w:p w:rsidR="00F94276" w:rsidRPr="00EB5048" w:rsidRDefault="00F94276" w:rsidP="00617763">
            <w:pPr>
              <w:jc w:val="both"/>
              <w:rPr>
                <w:lang w:val="ro-RO"/>
              </w:rPr>
            </w:pPr>
            <w:r w:rsidRPr="00EB5048">
              <w:rPr>
                <w:lang w:val="ro-RO"/>
              </w:rPr>
              <w:t>16. Hotărîrea Guvernului nr.421 din 17 aprilie 2007 cu privire la realizarea Strategiei Naţionale de edificare a societăţii informaţionale – „Moldova electronică” în anul 2007;</w:t>
            </w:r>
          </w:p>
          <w:p w:rsidR="00F94276" w:rsidRPr="00EB5048" w:rsidRDefault="00F94276" w:rsidP="00617763">
            <w:pPr>
              <w:jc w:val="both"/>
              <w:rPr>
                <w:lang w:val="ro-RO"/>
              </w:rPr>
            </w:pPr>
            <w:r w:rsidRPr="00EB5048">
              <w:rPr>
                <w:lang w:val="ro-RO"/>
              </w:rPr>
              <w:t>17. Hotărîrea Guvernului nr. 1339 din 30 noiembrie 2007 privind aprobarea modificărilor şi completărilor ce se operează în anexele nr.1 şi nr.2 la Hotărîrea Guvernului nr.606 din 1 iunie 2007;</w:t>
            </w:r>
          </w:p>
          <w:p w:rsidR="00F94276" w:rsidRPr="00EB5048" w:rsidRDefault="00F94276" w:rsidP="00617763">
            <w:pPr>
              <w:jc w:val="both"/>
              <w:rPr>
                <w:lang w:val="ro-RO"/>
              </w:rPr>
            </w:pPr>
            <w:r w:rsidRPr="00EB5048">
              <w:rPr>
                <w:lang w:val="ro-RO"/>
              </w:rPr>
              <w:t>18. Hotărîrea Guvernului nr. 476 din 27 martie 2008 cu privire la unele acţiuni de realizare a  Strategiei Naţionale de edificare a societăţii informaţionale „Moldova Electronică” în anul 2008;</w:t>
            </w:r>
          </w:p>
          <w:p w:rsidR="00F94276" w:rsidRPr="00EB5048" w:rsidRDefault="00F94276" w:rsidP="00617763">
            <w:pPr>
              <w:jc w:val="both"/>
              <w:rPr>
                <w:lang w:val="ro-RO"/>
              </w:rPr>
            </w:pPr>
            <w:r w:rsidRPr="00EB5048">
              <w:rPr>
                <w:lang w:val="ro-RO"/>
              </w:rPr>
              <w:t>19. Hotărîrea Guvernului nr.1386 din 5 decembrie 2008 cu privire la modificarea anexei nr.2 la Hotărîrea Guvernului nr.476 din 27 martie 2008;</w:t>
            </w:r>
          </w:p>
          <w:p w:rsidR="00F94276" w:rsidRDefault="00F94276" w:rsidP="00617763">
            <w:pPr>
              <w:jc w:val="both"/>
              <w:rPr>
                <w:lang w:val="ro-RO"/>
              </w:rPr>
            </w:pPr>
            <w:r w:rsidRPr="00EB5048">
              <w:rPr>
                <w:lang w:val="ro-RO"/>
              </w:rPr>
              <w:t>20. Dispoziţia Guvernului nr.63-d din 16 iulie 2009 cu privire la schimbul gratuit al fişelor de însoţire la buletinul de identitate al cetăţeanului Republicii Moldova</w:t>
            </w:r>
            <w:r>
              <w:rPr>
                <w:lang w:val="ro-RO"/>
              </w:rPr>
              <w:t>.</w:t>
            </w:r>
          </w:p>
        </w:tc>
        <w:tc>
          <w:tcPr>
            <w:tcW w:w="3118" w:type="dxa"/>
          </w:tcPr>
          <w:p w:rsidR="00F94276" w:rsidRDefault="00F94276" w:rsidP="00EB5048">
            <w:pPr>
              <w:rPr>
                <w:lang w:val="ro-RO"/>
              </w:rPr>
            </w:pPr>
          </w:p>
        </w:tc>
      </w:tr>
      <w:tr w:rsidR="00F94276" w:rsidRPr="002943A4" w:rsidTr="00F94276">
        <w:tblPrEx>
          <w:tblLook w:val="04A0"/>
        </w:tblPrEx>
        <w:trPr>
          <w:trHeight w:val="2205"/>
        </w:trPr>
        <w:tc>
          <w:tcPr>
            <w:tcW w:w="613" w:type="dxa"/>
          </w:tcPr>
          <w:p w:rsidR="00F94276" w:rsidRDefault="00F94276" w:rsidP="00E819A7">
            <w:pPr>
              <w:jc w:val="center"/>
              <w:rPr>
                <w:b/>
                <w:lang w:val="ro-RO"/>
              </w:rPr>
            </w:pPr>
            <w:r>
              <w:rPr>
                <w:b/>
                <w:lang w:val="ro-RO"/>
              </w:rPr>
              <w:lastRenderedPageBreak/>
              <w:t>17.</w:t>
            </w:r>
          </w:p>
        </w:tc>
        <w:tc>
          <w:tcPr>
            <w:tcW w:w="2614" w:type="dxa"/>
          </w:tcPr>
          <w:p w:rsidR="00F94276" w:rsidRDefault="00F94276" w:rsidP="005A31AA">
            <w:pPr>
              <w:jc w:val="center"/>
              <w:rPr>
                <w:b/>
                <w:sz w:val="20"/>
                <w:szCs w:val="20"/>
                <w:lang w:val="ro-RO"/>
              </w:rPr>
            </w:pPr>
            <w:r>
              <w:rPr>
                <w:b/>
                <w:sz w:val="20"/>
                <w:szCs w:val="20"/>
                <w:lang w:val="ro-RO"/>
              </w:rPr>
              <w:t>Ministerul Apărării</w:t>
            </w:r>
          </w:p>
          <w:p w:rsidR="00F94276" w:rsidRDefault="00F94276" w:rsidP="005A31AA">
            <w:pPr>
              <w:jc w:val="center"/>
              <w:rPr>
                <w:b/>
                <w:sz w:val="20"/>
                <w:szCs w:val="20"/>
                <w:lang w:val="ro-RO"/>
              </w:rPr>
            </w:pPr>
            <w:r>
              <w:rPr>
                <w:b/>
                <w:sz w:val="20"/>
                <w:szCs w:val="20"/>
                <w:lang w:val="ro-RO"/>
              </w:rPr>
              <w:t>Scrisoare nr. 11/1469 din 23.11.2012</w:t>
            </w:r>
          </w:p>
        </w:tc>
        <w:tc>
          <w:tcPr>
            <w:tcW w:w="8080" w:type="dxa"/>
          </w:tcPr>
          <w:p w:rsidR="00F94276" w:rsidRDefault="00F94276" w:rsidP="00617763">
            <w:pPr>
              <w:jc w:val="both"/>
              <w:rPr>
                <w:lang w:val="ro-RO"/>
              </w:rPr>
            </w:pPr>
            <w:r>
              <w:rPr>
                <w:lang w:val="ro-RO"/>
              </w:rPr>
              <w:t>Expune următoarele:</w:t>
            </w:r>
          </w:p>
          <w:p w:rsidR="00F94276" w:rsidRDefault="00F94276" w:rsidP="00617763">
            <w:pPr>
              <w:jc w:val="both"/>
              <w:rPr>
                <w:lang w:val="ro-RO"/>
              </w:rPr>
            </w:pPr>
            <w:r>
              <w:rPr>
                <w:lang w:val="ro-RO"/>
              </w:rPr>
              <w:t>Se propune în Lisa hotărîrilor de Guvern care se abrogă (anexă la proiectul hotărîrii nominalizate), după pct.94, a pct.95. Hotărîrea Guvernului nr.1428 din 18 decembrie 2007 privind asigurarea cu locuinţe a militarilor Armatei Naţionale (Monitorul Oficial al Republicii Moldova, 2007, nr.203-206, art.1483);</w:t>
            </w:r>
          </w:p>
          <w:p w:rsidR="00F94276" w:rsidRDefault="00F94276" w:rsidP="00617763">
            <w:pPr>
              <w:jc w:val="both"/>
              <w:rPr>
                <w:lang w:val="ro-RO"/>
              </w:rPr>
            </w:pPr>
            <w:r w:rsidRPr="00F94276">
              <w:rPr>
                <w:lang w:val="ro-RO"/>
              </w:rPr>
              <w:t>Totodată, reiterează propunerile expuse în avizul nr.11/960 din 27.07.2012 la indicaţia Guvernului nr.1506-243 din 18.06.2012</w:t>
            </w:r>
            <w:r>
              <w:rPr>
                <w:lang w:val="ro-RO"/>
              </w:rPr>
              <w:t>.</w:t>
            </w:r>
          </w:p>
          <w:p w:rsidR="00F94276" w:rsidRPr="00EB5048" w:rsidRDefault="00F94276" w:rsidP="00617763">
            <w:pPr>
              <w:jc w:val="both"/>
              <w:rPr>
                <w:lang w:val="ro-RO"/>
              </w:rPr>
            </w:pPr>
          </w:p>
        </w:tc>
        <w:tc>
          <w:tcPr>
            <w:tcW w:w="3118" w:type="dxa"/>
          </w:tcPr>
          <w:p w:rsidR="00F94276" w:rsidRDefault="00EE7E01" w:rsidP="00EB5048">
            <w:pPr>
              <w:rPr>
                <w:lang w:val="ro-RO"/>
              </w:rPr>
            </w:pPr>
            <w:r>
              <w:rPr>
                <w:lang w:val="ro-RO"/>
              </w:rPr>
              <w:t xml:space="preserve">Parţial se acceptă. </w:t>
            </w:r>
          </w:p>
          <w:p w:rsidR="00EE7E01" w:rsidRDefault="00EE7E01" w:rsidP="00EB5048">
            <w:pPr>
              <w:rPr>
                <w:color w:val="FF0000"/>
                <w:lang w:val="ro-RO"/>
              </w:rPr>
            </w:pPr>
            <w:r>
              <w:rPr>
                <w:lang w:val="ro-RO"/>
              </w:rPr>
              <w:t xml:space="preserve">Hotărîrea Guvernului nr.1428 din 18 decembrie 2007 va fi inclusă în proiect </w:t>
            </w:r>
            <w:r w:rsidR="002943A4">
              <w:rPr>
                <w:lang w:val="ro-RO"/>
              </w:rPr>
              <w:t>(</w:t>
            </w:r>
            <w:r>
              <w:rPr>
                <w:lang w:val="ro-RO"/>
              </w:rPr>
              <w:t xml:space="preserve">va fi </w:t>
            </w:r>
            <w:r w:rsidRPr="002943A4">
              <w:rPr>
                <w:lang w:val="ro-RO"/>
              </w:rPr>
              <w:t>punctul 83</w:t>
            </w:r>
            <w:r w:rsidR="002943A4">
              <w:rPr>
                <w:lang w:val="ro-RO"/>
              </w:rPr>
              <w:t>)</w:t>
            </w:r>
            <w:r w:rsidRPr="002943A4">
              <w:rPr>
                <w:lang w:val="ro-RO"/>
              </w:rPr>
              <w:t>.</w:t>
            </w:r>
          </w:p>
          <w:p w:rsidR="00EE7E01" w:rsidRPr="00EE7E01" w:rsidRDefault="00EE7E01" w:rsidP="00EE7E01">
            <w:pPr>
              <w:rPr>
                <w:lang w:val="ro-RO"/>
              </w:rPr>
            </w:pPr>
            <w:r>
              <w:rPr>
                <w:lang w:val="ro-RO"/>
              </w:rPr>
              <w:t>Prin scrisoarea nr.</w:t>
            </w:r>
            <w:r w:rsidRPr="00F94276">
              <w:rPr>
                <w:lang w:val="ro-RO"/>
              </w:rPr>
              <w:t xml:space="preserve"> 11/960 din 27.07.2012</w:t>
            </w:r>
            <w:r>
              <w:rPr>
                <w:lang w:val="ro-RO"/>
              </w:rPr>
              <w:t xml:space="preserve">, Ministerul Apărării propunea abrogarea Hotărîrii Parlamentului nr.965-XII din 17 martie 1992 şi Hotărîrea Parlamentului nr.986-XII din 17 martie 1992 </w:t>
            </w:r>
            <w:r w:rsidR="007176D2">
              <w:rPr>
                <w:lang w:val="ro-RO"/>
              </w:rPr>
              <w:t>. Nu au fost acceptate propunerile, din perspectiva faptului că o hotărîre de Guvern, nu poate abroga un act al Parlamentului ect.</w:t>
            </w:r>
          </w:p>
        </w:tc>
      </w:tr>
      <w:tr w:rsidR="00F94276" w:rsidRPr="00F94276" w:rsidTr="00F94276">
        <w:tblPrEx>
          <w:tblLook w:val="04A0"/>
        </w:tblPrEx>
        <w:trPr>
          <w:trHeight w:val="915"/>
        </w:trPr>
        <w:tc>
          <w:tcPr>
            <w:tcW w:w="613" w:type="dxa"/>
          </w:tcPr>
          <w:p w:rsidR="00F94276" w:rsidRDefault="00F94276" w:rsidP="00E819A7">
            <w:pPr>
              <w:jc w:val="center"/>
              <w:rPr>
                <w:b/>
                <w:lang w:val="ro-RO"/>
              </w:rPr>
            </w:pPr>
            <w:r>
              <w:rPr>
                <w:b/>
                <w:lang w:val="ro-RO"/>
              </w:rPr>
              <w:t>18.</w:t>
            </w:r>
          </w:p>
        </w:tc>
        <w:tc>
          <w:tcPr>
            <w:tcW w:w="2614" w:type="dxa"/>
          </w:tcPr>
          <w:p w:rsidR="00F94276" w:rsidRDefault="00F94276" w:rsidP="005A31AA">
            <w:pPr>
              <w:jc w:val="center"/>
              <w:rPr>
                <w:b/>
                <w:sz w:val="20"/>
                <w:szCs w:val="20"/>
                <w:lang w:val="ro-RO"/>
              </w:rPr>
            </w:pPr>
            <w:r>
              <w:rPr>
                <w:b/>
                <w:sz w:val="20"/>
                <w:szCs w:val="20"/>
                <w:lang w:val="ro-RO"/>
              </w:rPr>
              <w:t>Agenţia „MOLDSILVA”</w:t>
            </w:r>
          </w:p>
          <w:p w:rsidR="00F94276" w:rsidRDefault="00F94276" w:rsidP="005A31AA">
            <w:pPr>
              <w:jc w:val="center"/>
              <w:rPr>
                <w:b/>
                <w:sz w:val="20"/>
                <w:szCs w:val="20"/>
                <w:lang w:val="ro-RO"/>
              </w:rPr>
            </w:pPr>
            <w:r>
              <w:rPr>
                <w:b/>
                <w:sz w:val="20"/>
                <w:szCs w:val="20"/>
                <w:lang w:val="ro-RO"/>
              </w:rPr>
              <w:t>Scrisoare nr.1-04/1395 din 7.12.2012</w:t>
            </w:r>
          </w:p>
        </w:tc>
        <w:tc>
          <w:tcPr>
            <w:tcW w:w="8080" w:type="dxa"/>
          </w:tcPr>
          <w:p w:rsidR="00F94276" w:rsidRPr="00F94276" w:rsidRDefault="00F94276" w:rsidP="00617763">
            <w:pPr>
              <w:jc w:val="both"/>
              <w:rPr>
                <w:lang w:val="ro-RO"/>
              </w:rPr>
            </w:pPr>
            <w:r>
              <w:rPr>
                <w:lang w:val="ro-RO"/>
              </w:rPr>
              <w:t>Comunică lipsa de obiecţii şi propuneri.</w:t>
            </w:r>
          </w:p>
          <w:p w:rsidR="00F94276" w:rsidRDefault="00F94276" w:rsidP="00617763">
            <w:pPr>
              <w:jc w:val="both"/>
              <w:rPr>
                <w:lang w:val="ro-RO"/>
              </w:rPr>
            </w:pPr>
          </w:p>
        </w:tc>
        <w:tc>
          <w:tcPr>
            <w:tcW w:w="3118" w:type="dxa"/>
          </w:tcPr>
          <w:p w:rsidR="00F94276" w:rsidRDefault="00F94276" w:rsidP="00EB5048">
            <w:pPr>
              <w:rPr>
                <w:lang w:val="ro-RO"/>
              </w:rPr>
            </w:pPr>
            <w:r>
              <w:rPr>
                <w:lang w:val="ro-RO"/>
              </w:rPr>
              <w:t>Se acceptă</w:t>
            </w:r>
          </w:p>
          <w:p w:rsidR="00F94276" w:rsidRDefault="00F94276" w:rsidP="00EB5048">
            <w:pPr>
              <w:rPr>
                <w:lang w:val="ro-RO"/>
              </w:rPr>
            </w:pPr>
          </w:p>
          <w:p w:rsidR="00F94276" w:rsidRDefault="00F94276" w:rsidP="00EB5048">
            <w:pPr>
              <w:rPr>
                <w:lang w:val="ro-RO"/>
              </w:rPr>
            </w:pPr>
          </w:p>
          <w:p w:rsidR="00F94276" w:rsidRDefault="00F94276" w:rsidP="00EB5048">
            <w:pPr>
              <w:rPr>
                <w:lang w:val="ro-RO"/>
              </w:rPr>
            </w:pPr>
          </w:p>
        </w:tc>
      </w:tr>
      <w:tr w:rsidR="00F94276" w:rsidRPr="00F94276" w:rsidTr="00E819A7">
        <w:tblPrEx>
          <w:tblLook w:val="04A0"/>
        </w:tblPrEx>
        <w:trPr>
          <w:trHeight w:val="450"/>
        </w:trPr>
        <w:tc>
          <w:tcPr>
            <w:tcW w:w="613" w:type="dxa"/>
          </w:tcPr>
          <w:p w:rsidR="00F94276" w:rsidRDefault="00F94276" w:rsidP="00E819A7">
            <w:pPr>
              <w:jc w:val="center"/>
              <w:rPr>
                <w:b/>
                <w:lang w:val="ro-RO"/>
              </w:rPr>
            </w:pPr>
            <w:r>
              <w:rPr>
                <w:b/>
                <w:lang w:val="ro-RO"/>
              </w:rPr>
              <w:t>19.</w:t>
            </w:r>
          </w:p>
        </w:tc>
        <w:tc>
          <w:tcPr>
            <w:tcW w:w="2614" w:type="dxa"/>
          </w:tcPr>
          <w:p w:rsidR="00F94276" w:rsidRDefault="00EE7E01" w:rsidP="005A31AA">
            <w:pPr>
              <w:jc w:val="center"/>
              <w:rPr>
                <w:b/>
                <w:sz w:val="20"/>
                <w:szCs w:val="20"/>
                <w:lang w:val="ro-RO"/>
              </w:rPr>
            </w:pPr>
            <w:r>
              <w:rPr>
                <w:b/>
                <w:sz w:val="20"/>
                <w:szCs w:val="20"/>
                <w:lang w:val="ro-RO"/>
              </w:rPr>
              <w:t>Centrul Naţional Anticorupţie</w:t>
            </w:r>
          </w:p>
          <w:p w:rsidR="00EE7E01" w:rsidRDefault="00EE7E01" w:rsidP="005A31AA">
            <w:pPr>
              <w:jc w:val="center"/>
              <w:rPr>
                <w:b/>
                <w:sz w:val="20"/>
                <w:szCs w:val="20"/>
                <w:lang w:val="ro-RO"/>
              </w:rPr>
            </w:pPr>
            <w:r>
              <w:rPr>
                <w:b/>
                <w:sz w:val="20"/>
                <w:szCs w:val="20"/>
                <w:lang w:val="ro-RO"/>
              </w:rPr>
              <w:t>Scrisoare nr. 17/674 din 18.12.2012</w:t>
            </w:r>
          </w:p>
        </w:tc>
        <w:tc>
          <w:tcPr>
            <w:tcW w:w="8080" w:type="dxa"/>
          </w:tcPr>
          <w:p w:rsidR="00F94276" w:rsidRDefault="00EE7E01" w:rsidP="00617763">
            <w:pPr>
              <w:jc w:val="both"/>
              <w:rPr>
                <w:lang w:val="ro-RO"/>
              </w:rPr>
            </w:pPr>
            <w:r>
              <w:rPr>
                <w:lang w:val="ro-RO"/>
              </w:rPr>
              <w:t>Comunică că în cadrul proiectului nu au fost identificaţi factori de coruptibilitate.</w:t>
            </w:r>
          </w:p>
        </w:tc>
        <w:tc>
          <w:tcPr>
            <w:tcW w:w="3118" w:type="dxa"/>
          </w:tcPr>
          <w:p w:rsidR="00F94276" w:rsidRDefault="00EE7E01" w:rsidP="00EB5048">
            <w:pPr>
              <w:rPr>
                <w:lang w:val="ro-RO"/>
              </w:rPr>
            </w:pPr>
            <w:r>
              <w:rPr>
                <w:lang w:val="ro-RO"/>
              </w:rPr>
              <w:t>Se acceptă.</w:t>
            </w:r>
          </w:p>
        </w:tc>
      </w:tr>
    </w:tbl>
    <w:p w:rsidR="00C057E0" w:rsidRPr="00E819A7" w:rsidRDefault="00C057E0">
      <w:pPr>
        <w:rPr>
          <w:lang w:val="ro-RO"/>
        </w:rPr>
      </w:pPr>
    </w:p>
    <w:sectPr w:rsidR="00C057E0" w:rsidRPr="00E819A7" w:rsidSect="00E819A7">
      <w:pgSz w:w="16838" w:h="11906" w:orient="landscape"/>
      <w:pgMar w:top="1701" w:right="1134" w:bottom="850"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56C8A" w:rsidRDefault="00E56C8A" w:rsidP="00E819A7">
      <w:r>
        <w:separator/>
      </w:r>
    </w:p>
  </w:endnote>
  <w:endnote w:type="continuationSeparator" w:id="0">
    <w:p w:rsidR="00E56C8A" w:rsidRDefault="00E56C8A" w:rsidP="00E819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56C8A" w:rsidRDefault="00E56C8A" w:rsidP="00E819A7">
      <w:r>
        <w:separator/>
      </w:r>
    </w:p>
  </w:footnote>
  <w:footnote w:type="continuationSeparator" w:id="0">
    <w:p w:rsidR="00E56C8A" w:rsidRDefault="00E56C8A" w:rsidP="00E819A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EA94F02"/>
    <w:multiLevelType w:val="hybridMultilevel"/>
    <w:tmpl w:val="4A46CE32"/>
    <w:lvl w:ilvl="0" w:tplc="E6503C86">
      <w:start w:val="8"/>
      <w:numFmt w:val="bullet"/>
      <w:lvlText w:val="-"/>
      <w:lvlJc w:val="left"/>
      <w:pPr>
        <w:ind w:left="480" w:hanging="360"/>
      </w:pPr>
      <w:rPr>
        <w:rFonts w:ascii="Times New Roman" w:eastAsia="Times New Roman" w:hAnsi="Times New Roman" w:cs="Times New Roman" w:hint="default"/>
      </w:rPr>
    </w:lvl>
    <w:lvl w:ilvl="1" w:tplc="04190003" w:tentative="1">
      <w:start w:val="1"/>
      <w:numFmt w:val="bullet"/>
      <w:lvlText w:val="o"/>
      <w:lvlJc w:val="left"/>
      <w:pPr>
        <w:ind w:left="1200" w:hanging="360"/>
      </w:pPr>
      <w:rPr>
        <w:rFonts w:ascii="Courier New" w:hAnsi="Courier New" w:cs="Courier New" w:hint="default"/>
      </w:rPr>
    </w:lvl>
    <w:lvl w:ilvl="2" w:tplc="04190005" w:tentative="1">
      <w:start w:val="1"/>
      <w:numFmt w:val="bullet"/>
      <w:lvlText w:val=""/>
      <w:lvlJc w:val="left"/>
      <w:pPr>
        <w:ind w:left="1920" w:hanging="360"/>
      </w:pPr>
      <w:rPr>
        <w:rFonts w:ascii="Wingdings" w:hAnsi="Wingdings" w:hint="default"/>
      </w:rPr>
    </w:lvl>
    <w:lvl w:ilvl="3" w:tplc="04190001" w:tentative="1">
      <w:start w:val="1"/>
      <w:numFmt w:val="bullet"/>
      <w:lvlText w:val=""/>
      <w:lvlJc w:val="left"/>
      <w:pPr>
        <w:ind w:left="2640" w:hanging="360"/>
      </w:pPr>
      <w:rPr>
        <w:rFonts w:ascii="Symbol" w:hAnsi="Symbol" w:hint="default"/>
      </w:rPr>
    </w:lvl>
    <w:lvl w:ilvl="4" w:tplc="04190003" w:tentative="1">
      <w:start w:val="1"/>
      <w:numFmt w:val="bullet"/>
      <w:lvlText w:val="o"/>
      <w:lvlJc w:val="left"/>
      <w:pPr>
        <w:ind w:left="3360" w:hanging="360"/>
      </w:pPr>
      <w:rPr>
        <w:rFonts w:ascii="Courier New" w:hAnsi="Courier New" w:cs="Courier New" w:hint="default"/>
      </w:rPr>
    </w:lvl>
    <w:lvl w:ilvl="5" w:tplc="04190005" w:tentative="1">
      <w:start w:val="1"/>
      <w:numFmt w:val="bullet"/>
      <w:lvlText w:val=""/>
      <w:lvlJc w:val="left"/>
      <w:pPr>
        <w:ind w:left="4080" w:hanging="360"/>
      </w:pPr>
      <w:rPr>
        <w:rFonts w:ascii="Wingdings" w:hAnsi="Wingdings" w:hint="default"/>
      </w:rPr>
    </w:lvl>
    <w:lvl w:ilvl="6" w:tplc="04190001" w:tentative="1">
      <w:start w:val="1"/>
      <w:numFmt w:val="bullet"/>
      <w:lvlText w:val=""/>
      <w:lvlJc w:val="left"/>
      <w:pPr>
        <w:ind w:left="4800" w:hanging="360"/>
      </w:pPr>
      <w:rPr>
        <w:rFonts w:ascii="Symbol" w:hAnsi="Symbol" w:hint="default"/>
      </w:rPr>
    </w:lvl>
    <w:lvl w:ilvl="7" w:tplc="04190003" w:tentative="1">
      <w:start w:val="1"/>
      <w:numFmt w:val="bullet"/>
      <w:lvlText w:val="o"/>
      <w:lvlJc w:val="left"/>
      <w:pPr>
        <w:ind w:left="5520" w:hanging="360"/>
      </w:pPr>
      <w:rPr>
        <w:rFonts w:ascii="Courier New" w:hAnsi="Courier New" w:cs="Courier New" w:hint="default"/>
      </w:rPr>
    </w:lvl>
    <w:lvl w:ilvl="8" w:tplc="04190005" w:tentative="1">
      <w:start w:val="1"/>
      <w:numFmt w:val="bullet"/>
      <w:lvlText w:val=""/>
      <w:lvlJc w:val="left"/>
      <w:pPr>
        <w:ind w:left="624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E819A7"/>
    <w:rsid w:val="00075672"/>
    <w:rsid w:val="001335EA"/>
    <w:rsid w:val="002943A4"/>
    <w:rsid w:val="002A067C"/>
    <w:rsid w:val="002E01F2"/>
    <w:rsid w:val="00617763"/>
    <w:rsid w:val="0064541D"/>
    <w:rsid w:val="007176D2"/>
    <w:rsid w:val="00800EF5"/>
    <w:rsid w:val="008815D6"/>
    <w:rsid w:val="00A146E1"/>
    <w:rsid w:val="00BB5081"/>
    <w:rsid w:val="00BB73F1"/>
    <w:rsid w:val="00C057E0"/>
    <w:rsid w:val="00C05C6E"/>
    <w:rsid w:val="00C5047A"/>
    <w:rsid w:val="00CF2814"/>
    <w:rsid w:val="00D41F99"/>
    <w:rsid w:val="00D966A1"/>
    <w:rsid w:val="00DB1F83"/>
    <w:rsid w:val="00DE2D44"/>
    <w:rsid w:val="00E56C8A"/>
    <w:rsid w:val="00E6181D"/>
    <w:rsid w:val="00E819A7"/>
    <w:rsid w:val="00EB5048"/>
    <w:rsid w:val="00EB76C0"/>
    <w:rsid w:val="00EE7E01"/>
    <w:rsid w:val="00F9427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ind w:left="-284" w:right="-142"/>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19A7"/>
    <w:pPr>
      <w:ind w:left="0" w:right="0"/>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E819A7"/>
    <w:pPr>
      <w:ind w:left="0" w:right="0"/>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E819A7"/>
    <w:pPr>
      <w:ind w:left="720"/>
      <w:contextualSpacing/>
    </w:pPr>
  </w:style>
  <w:style w:type="paragraph" w:styleId="a5">
    <w:name w:val="header"/>
    <w:basedOn w:val="a"/>
    <w:link w:val="a6"/>
    <w:uiPriority w:val="99"/>
    <w:semiHidden/>
    <w:unhideWhenUsed/>
    <w:rsid w:val="00E819A7"/>
    <w:pPr>
      <w:tabs>
        <w:tab w:val="center" w:pos="4677"/>
        <w:tab w:val="right" w:pos="9355"/>
      </w:tabs>
    </w:pPr>
  </w:style>
  <w:style w:type="character" w:customStyle="1" w:styleId="a6">
    <w:name w:val="Верхний колонтитул Знак"/>
    <w:basedOn w:val="a0"/>
    <w:link w:val="a5"/>
    <w:uiPriority w:val="99"/>
    <w:semiHidden/>
    <w:rsid w:val="00E819A7"/>
    <w:rPr>
      <w:rFonts w:ascii="Times New Roman" w:eastAsia="Times New Roman" w:hAnsi="Times New Roman" w:cs="Times New Roman"/>
      <w:sz w:val="24"/>
      <w:szCs w:val="24"/>
      <w:lang w:eastAsia="ru-RU"/>
    </w:rPr>
  </w:style>
  <w:style w:type="paragraph" w:styleId="a7">
    <w:name w:val="footer"/>
    <w:basedOn w:val="a"/>
    <w:link w:val="a8"/>
    <w:uiPriority w:val="99"/>
    <w:semiHidden/>
    <w:unhideWhenUsed/>
    <w:rsid w:val="00E819A7"/>
    <w:pPr>
      <w:tabs>
        <w:tab w:val="center" w:pos="4677"/>
        <w:tab w:val="right" w:pos="9355"/>
      </w:tabs>
    </w:pPr>
  </w:style>
  <w:style w:type="character" w:customStyle="1" w:styleId="a8">
    <w:name w:val="Нижний колонтитул Знак"/>
    <w:basedOn w:val="a0"/>
    <w:link w:val="a7"/>
    <w:uiPriority w:val="99"/>
    <w:semiHidden/>
    <w:rsid w:val="00E819A7"/>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99</TotalTime>
  <Pages>6</Pages>
  <Words>1797</Words>
  <Characters>10246</Characters>
  <Application>Microsoft Office Word</Application>
  <DocSecurity>0</DocSecurity>
  <Lines>85</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12019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210C</dc:creator>
  <cp:keywords/>
  <dc:description/>
  <cp:lastModifiedBy>210C</cp:lastModifiedBy>
  <cp:revision>7</cp:revision>
  <cp:lastPrinted>2012-11-30T12:21:00Z</cp:lastPrinted>
  <dcterms:created xsi:type="dcterms:W3CDTF">2012-11-28T14:17:00Z</dcterms:created>
  <dcterms:modified xsi:type="dcterms:W3CDTF">2012-12-21T09:56:00Z</dcterms:modified>
</cp:coreProperties>
</file>