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FB" w:rsidRPr="00A03DC6" w:rsidRDefault="00F655FB" w:rsidP="00F655F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655FB">
        <w:rPr>
          <w:rFonts w:ascii="Times New Roman" w:eastAsia="Times New Roman" w:hAnsi="Times New Roman" w:cs="Times New Roman"/>
          <w:sz w:val="28"/>
          <w:szCs w:val="28"/>
          <w:lang w:val="ro-RO"/>
        </w:rPr>
        <w:t> </w:t>
      </w:r>
      <w:r w:rsidRPr="00A03DC6">
        <w:rPr>
          <w:rFonts w:ascii="Times New Roman" w:eastAsia="Times New Roman" w:hAnsi="Times New Roman" w:cs="Times New Roman"/>
          <w:sz w:val="28"/>
          <w:szCs w:val="28"/>
          <w:lang w:val="ro-RO"/>
        </w:rPr>
        <w:t>Proiect</w:t>
      </w:r>
    </w:p>
    <w:p w:rsidR="00F655FB" w:rsidRPr="00F655FB" w:rsidRDefault="00F655FB" w:rsidP="00F655F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F655FB" w:rsidRPr="00F655FB" w:rsidRDefault="00F655FB" w:rsidP="00F655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F655FB" w:rsidRPr="00F655FB" w:rsidRDefault="00F655FB" w:rsidP="00F65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val="ro-RO"/>
        </w:rPr>
      </w:pPr>
      <w:r w:rsidRPr="00F655FB">
        <w:rPr>
          <w:rFonts w:ascii="Times New Roman" w:eastAsia="Times New Roman" w:hAnsi="Times New Roman" w:cs="Times New Roman"/>
          <w:b/>
          <w:bCs/>
          <w:sz w:val="32"/>
          <w:szCs w:val="28"/>
          <w:lang w:val="ro-RO"/>
        </w:rPr>
        <w:t>GUVERNUL REPUBLICII MOLDOVA</w:t>
      </w:r>
    </w:p>
    <w:p w:rsidR="00F655FB" w:rsidRPr="00F655FB" w:rsidRDefault="00F655FB" w:rsidP="00F655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655FB">
        <w:rPr>
          <w:rFonts w:ascii="Times New Roman" w:eastAsia="Times New Roman" w:hAnsi="Times New Roman" w:cs="Times New Roman"/>
          <w:sz w:val="28"/>
          <w:szCs w:val="28"/>
          <w:lang w:val="ro-RO"/>
        </w:rPr>
        <w:t> </w:t>
      </w:r>
    </w:p>
    <w:p w:rsidR="00F655FB" w:rsidRPr="00F655FB" w:rsidRDefault="00F655FB" w:rsidP="00F65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F655F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H O T Ă R Î R E</w:t>
      </w:r>
      <w:r w:rsidR="00D2355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nr. _____</w:t>
      </w:r>
    </w:p>
    <w:p w:rsidR="00F655FB" w:rsidRDefault="00F655FB" w:rsidP="00F65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:rsidR="00D23550" w:rsidRPr="00D23550" w:rsidRDefault="00D23550" w:rsidP="00D235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D2355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din ___________________</w:t>
      </w:r>
    </w:p>
    <w:p w:rsidR="00D23550" w:rsidRPr="00D23550" w:rsidRDefault="00D23550" w:rsidP="00D235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D2355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Chișinău</w:t>
      </w:r>
    </w:p>
    <w:p w:rsidR="00D23550" w:rsidRPr="00A03DC6" w:rsidRDefault="00D23550" w:rsidP="00F65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:rsidR="00F655FB" w:rsidRPr="00F655FB" w:rsidRDefault="00F655FB" w:rsidP="00F65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F655F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cu privire la transmiterea un</w:t>
      </w:r>
      <w:r w:rsidR="00B14E8B" w:rsidRPr="00A03DC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or</w:t>
      </w:r>
      <w:r w:rsidRPr="00F655F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bun</w:t>
      </w:r>
      <w:r w:rsidR="00B14E8B" w:rsidRPr="00A03DC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uri</w:t>
      </w:r>
      <w:r w:rsidRPr="00F655F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imobil</w:t>
      </w:r>
      <w:r w:rsidR="00B14E8B" w:rsidRPr="00A03DC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e</w:t>
      </w:r>
    </w:p>
    <w:p w:rsidR="00F655FB" w:rsidRPr="00F655FB" w:rsidRDefault="00F655FB" w:rsidP="00F65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F655F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 </w:t>
      </w:r>
    </w:p>
    <w:p w:rsidR="00F655FB" w:rsidRDefault="00F655FB" w:rsidP="00521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655FB">
        <w:rPr>
          <w:rFonts w:ascii="Times New Roman" w:eastAsia="Times New Roman" w:hAnsi="Times New Roman" w:cs="Times New Roman"/>
          <w:sz w:val="28"/>
          <w:szCs w:val="28"/>
          <w:lang w:val="ro-RO"/>
        </w:rPr>
        <w:t>În temeiul art.</w:t>
      </w:r>
      <w:r w:rsidR="00D23550" w:rsidRPr="00D2355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F655FB">
        <w:rPr>
          <w:rFonts w:ascii="Times New Roman" w:eastAsia="Times New Roman" w:hAnsi="Times New Roman" w:cs="Times New Roman"/>
          <w:sz w:val="28"/>
          <w:szCs w:val="28"/>
          <w:lang w:val="ro-RO"/>
        </w:rPr>
        <w:t>8 alin.</w:t>
      </w:r>
      <w:r w:rsidRPr="00D2355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F655F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(3) din </w:t>
      </w:r>
      <w:r w:rsidRPr="00D23550">
        <w:rPr>
          <w:rFonts w:ascii="Times New Roman" w:eastAsia="Times New Roman" w:hAnsi="Times New Roman" w:cs="Times New Roman"/>
          <w:sz w:val="28"/>
          <w:szCs w:val="28"/>
          <w:lang w:val="ro-RO"/>
        </w:rPr>
        <w:t>Legea nr.523/1999</w:t>
      </w:r>
      <w:r w:rsidRPr="00F655F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privire la proprietatea publică a unităţilor administrativ-teritoriale (Monitorul Oficial al Republicii Moldova, 1999, nr.</w:t>
      </w:r>
      <w:r w:rsidRPr="00D2355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F655FB">
        <w:rPr>
          <w:rFonts w:ascii="Times New Roman" w:eastAsia="Times New Roman" w:hAnsi="Times New Roman" w:cs="Times New Roman"/>
          <w:sz w:val="28"/>
          <w:szCs w:val="28"/>
          <w:lang w:val="ro-RO"/>
        </w:rPr>
        <w:t>124-125, art.</w:t>
      </w:r>
      <w:r w:rsidRPr="00D2355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F655FB">
        <w:rPr>
          <w:rFonts w:ascii="Times New Roman" w:eastAsia="Times New Roman" w:hAnsi="Times New Roman" w:cs="Times New Roman"/>
          <w:sz w:val="28"/>
          <w:szCs w:val="28"/>
          <w:lang w:val="ro-RO"/>
        </w:rPr>
        <w:t>611), cu modificările ulterioare, art.</w:t>
      </w:r>
      <w:r w:rsidRPr="00D2355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06428">
        <w:rPr>
          <w:rFonts w:ascii="Times New Roman" w:eastAsia="Times New Roman" w:hAnsi="Times New Roman" w:cs="Times New Roman"/>
          <w:sz w:val="28"/>
          <w:szCs w:val="28"/>
          <w:lang w:val="ro-RO"/>
        </w:rPr>
        <w:t>14</w:t>
      </w:r>
      <w:r w:rsidRPr="00F655F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alin.</w:t>
      </w:r>
      <w:r w:rsidRPr="00D2355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F655FB">
        <w:rPr>
          <w:rFonts w:ascii="Times New Roman" w:eastAsia="Times New Roman" w:hAnsi="Times New Roman" w:cs="Times New Roman"/>
          <w:sz w:val="28"/>
          <w:szCs w:val="28"/>
          <w:lang w:val="ro-RO"/>
        </w:rPr>
        <w:t>(1) lit.</w:t>
      </w:r>
      <w:r w:rsidRPr="00D2355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06428">
        <w:rPr>
          <w:rFonts w:ascii="Times New Roman" w:eastAsia="Times New Roman" w:hAnsi="Times New Roman" w:cs="Times New Roman"/>
          <w:sz w:val="28"/>
          <w:szCs w:val="28"/>
          <w:lang w:val="ro-RO"/>
        </w:rPr>
        <w:t>b)</w:t>
      </w:r>
      <w:r w:rsidRPr="00F655F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Pr="00D23550">
        <w:rPr>
          <w:rFonts w:ascii="Times New Roman" w:eastAsia="Times New Roman" w:hAnsi="Times New Roman" w:cs="Times New Roman"/>
          <w:sz w:val="28"/>
          <w:szCs w:val="28"/>
          <w:lang w:val="ro-RO"/>
        </w:rPr>
        <w:t>Legea nr.121/2007</w:t>
      </w:r>
      <w:r w:rsidRPr="00F655F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privind administrarea şi deetatizarea proprietăţii publice (Monitorul Oficial al Republicii Moldova, 2007, nr.</w:t>
      </w:r>
      <w:r w:rsidRPr="00D2355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F655FB">
        <w:rPr>
          <w:rFonts w:ascii="Times New Roman" w:eastAsia="Times New Roman" w:hAnsi="Times New Roman" w:cs="Times New Roman"/>
          <w:sz w:val="28"/>
          <w:szCs w:val="28"/>
          <w:lang w:val="ro-RO"/>
        </w:rPr>
        <w:t>90-93, art.</w:t>
      </w:r>
      <w:r w:rsidRPr="00D2355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F655FB">
        <w:rPr>
          <w:rFonts w:ascii="Times New Roman" w:eastAsia="Times New Roman" w:hAnsi="Times New Roman" w:cs="Times New Roman"/>
          <w:sz w:val="28"/>
          <w:szCs w:val="28"/>
          <w:lang w:val="ro-RO"/>
        </w:rPr>
        <w:t>4</w:t>
      </w:r>
      <w:r w:rsidR="00206428">
        <w:rPr>
          <w:rFonts w:ascii="Times New Roman" w:eastAsia="Times New Roman" w:hAnsi="Times New Roman" w:cs="Times New Roman"/>
          <w:sz w:val="28"/>
          <w:szCs w:val="28"/>
          <w:lang w:val="ro-RO"/>
        </w:rPr>
        <w:t>01), cu modificările ulterioare și art. 16 alin. (1) lit. f) din Legea nr. 29/2018 privind delimitarea proprietății publice (Monitorul Oficial al Republicii Moldova, 2018, nr. 142-148, art. 279), cu modificările ulterioare,</w:t>
      </w:r>
      <w:r w:rsidRPr="00F655F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Guvernul</w:t>
      </w:r>
      <w:r w:rsidR="00521522" w:rsidRPr="00D2355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F655FB">
        <w:rPr>
          <w:rFonts w:ascii="Times New Roman" w:eastAsia="Times New Roman" w:hAnsi="Times New Roman" w:cs="Times New Roman"/>
          <w:sz w:val="28"/>
          <w:szCs w:val="28"/>
          <w:lang w:val="ro-RO"/>
        </w:rPr>
        <w:t>HOTĂRĂŞTE:</w:t>
      </w:r>
    </w:p>
    <w:p w:rsidR="00E67ED7" w:rsidRPr="00A03DC6" w:rsidRDefault="00E67ED7" w:rsidP="00521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B14E8B" w:rsidRPr="00A03DC6" w:rsidRDefault="00F655FB" w:rsidP="00B14E8B">
      <w:pPr>
        <w:pStyle w:val="Listparagraf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03D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</w:t>
      </w:r>
      <w:r w:rsidR="0020642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propune Consiliului sătesc Soltănești să transmită cu titlul gratuit din proprietatea unității administrativ-teritoriale Soltănești, </w:t>
      </w:r>
      <w:r w:rsidRPr="00A03D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proprietatea publică a statului, </w:t>
      </w:r>
      <w:r w:rsidR="00272C4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gestiunea </w:t>
      </w:r>
      <w:r w:rsidRPr="00A03DC6">
        <w:rPr>
          <w:rFonts w:ascii="Times New Roman" w:eastAsia="Times New Roman" w:hAnsi="Times New Roman" w:cs="Times New Roman"/>
          <w:sz w:val="28"/>
          <w:szCs w:val="28"/>
          <w:lang w:val="ro-RO"/>
        </w:rPr>
        <w:t>Agenției „Apele Moldovei”</w:t>
      </w:r>
      <w:r w:rsidR="00B14E8B" w:rsidRPr="00A03D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subordinea Ministerului Agriculturii, Dezvoltării Regionale și Mediului</w:t>
      </w:r>
      <w:r w:rsidRPr="00A03D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D2355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 </w:t>
      </w:r>
      <w:r w:rsidRPr="00A03DC6">
        <w:rPr>
          <w:rFonts w:ascii="Times New Roman" w:eastAsia="Times New Roman" w:hAnsi="Times New Roman" w:cs="Times New Roman"/>
          <w:sz w:val="28"/>
          <w:szCs w:val="28"/>
          <w:lang w:val="ro-RO"/>
        </w:rPr>
        <w:t>bunu</w:t>
      </w:r>
      <w:r w:rsidR="00B14E8B" w:rsidRPr="00A03D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rilor imobile </w:t>
      </w:r>
      <w:r w:rsidR="009B1B1B" w:rsidRPr="00A03D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amplasate în </w:t>
      </w:r>
      <w:r w:rsidR="00B14E8B" w:rsidRPr="00A03DC6">
        <w:rPr>
          <w:rFonts w:ascii="Times New Roman" w:eastAsia="Times New Roman" w:hAnsi="Times New Roman" w:cs="Times New Roman"/>
          <w:sz w:val="28"/>
          <w:szCs w:val="28"/>
          <w:lang w:val="ro-RO"/>
        </w:rPr>
        <w:t>extravilanul satului Soltănești, raionul Nisporeni, după cum urmează:</w:t>
      </w:r>
    </w:p>
    <w:p w:rsidR="00B14E8B" w:rsidRPr="00A03DC6" w:rsidRDefault="00B14E8B" w:rsidP="00B14E8B">
      <w:pPr>
        <w:pStyle w:val="Listparagraf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03DC6">
        <w:rPr>
          <w:rFonts w:ascii="Times New Roman" w:eastAsia="Times New Roman" w:hAnsi="Times New Roman" w:cs="Times New Roman"/>
          <w:sz w:val="28"/>
          <w:szCs w:val="28"/>
          <w:lang w:val="ro-RO"/>
        </w:rPr>
        <w:t>terenul din fondul apelor cu suprafața de 1,74 ha</w:t>
      </w:r>
      <w:r w:rsidR="009B1B1B" w:rsidRPr="00A03D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A03DC6">
        <w:rPr>
          <w:rFonts w:ascii="Times New Roman" w:eastAsia="Times New Roman" w:hAnsi="Times New Roman" w:cs="Times New Roman"/>
          <w:sz w:val="28"/>
          <w:szCs w:val="28"/>
          <w:lang w:val="ro-RO"/>
        </w:rPr>
        <w:t>numărul cadastral  6044111.294;</w:t>
      </w:r>
    </w:p>
    <w:p w:rsidR="00B14E8B" w:rsidRPr="00A03DC6" w:rsidRDefault="00B14E8B" w:rsidP="00B14E8B">
      <w:pPr>
        <w:pStyle w:val="Listparagraf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03DC6">
        <w:rPr>
          <w:rFonts w:ascii="Times New Roman" w:eastAsia="Times New Roman" w:hAnsi="Times New Roman" w:cs="Times New Roman"/>
          <w:sz w:val="28"/>
          <w:szCs w:val="28"/>
          <w:lang w:val="ro-RO"/>
        </w:rPr>
        <w:t>construcție hidrotehnică (dig)</w:t>
      </w:r>
      <w:r w:rsidR="009B1B1B" w:rsidRPr="00A03DC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A03DC6">
        <w:rPr>
          <w:rFonts w:ascii="Times New Roman" w:eastAsia="Times New Roman" w:hAnsi="Times New Roman" w:cs="Times New Roman"/>
          <w:sz w:val="28"/>
          <w:szCs w:val="28"/>
          <w:lang w:val="ro-RO"/>
        </w:rPr>
        <w:t>numărul cadastral 6044111.294.01</w:t>
      </w:r>
      <w:r w:rsidR="009B1B1B" w:rsidRPr="00A03DC6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:rsidR="00F655FB" w:rsidRPr="00A03DC6" w:rsidRDefault="002A5276" w:rsidP="00B14E8B">
      <w:pPr>
        <w:pStyle w:val="Listparagraf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Instituția publică ”Agenția Servicii Publice”, la solicitarea titularului de drept, va efectua modificarea documentației cadastrale în conformitate cu prevederile prezentei hotărâri</w:t>
      </w:r>
      <w:r w:rsidR="00F655FB" w:rsidRPr="00F655FB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:rsidR="00F655FB" w:rsidRPr="00A03DC6" w:rsidRDefault="00F655FB" w:rsidP="00B14E8B">
      <w:pPr>
        <w:pStyle w:val="Listparagraf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655FB">
        <w:rPr>
          <w:rFonts w:ascii="Times New Roman" w:eastAsia="Times New Roman" w:hAnsi="Times New Roman" w:cs="Times New Roman"/>
          <w:sz w:val="28"/>
          <w:szCs w:val="28"/>
          <w:lang w:val="ro-RO"/>
        </w:rPr>
        <w:t>Prezenta hotărîre intră în vigoare la data publicării.</w:t>
      </w:r>
    </w:p>
    <w:p w:rsidR="00F655FB" w:rsidRPr="00A03DC6" w:rsidRDefault="00F655FB" w:rsidP="00F655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B14E8B" w:rsidRPr="00A03DC6" w:rsidRDefault="00B14E8B" w:rsidP="00F655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F655FB" w:rsidRDefault="00521522" w:rsidP="00F655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F655F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PRIM-MINISTRU</w:t>
      </w:r>
      <w:r w:rsidR="00D2355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</w:t>
      </w:r>
      <w:r w:rsidR="00D23550" w:rsidRPr="00D2355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Ion CHICU</w:t>
      </w:r>
    </w:p>
    <w:p w:rsidR="00D23550" w:rsidRDefault="00D23550" w:rsidP="00F655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D23550" w:rsidRDefault="00D23550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D23550" w:rsidRDefault="00D23550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D23550" w:rsidRPr="00A03DC6" w:rsidRDefault="00D23550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9B1B1B" w:rsidRPr="00A03DC6" w:rsidRDefault="009B1B1B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9B1B1B" w:rsidRPr="00A03DC6" w:rsidRDefault="009B1B1B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9B1B1B" w:rsidRPr="00A03DC6" w:rsidRDefault="009B1B1B" w:rsidP="00D23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03DC6">
        <w:rPr>
          <w:rFonts w:ascii="Times New Roman" w:hAnsi="Times New Roman" w:cs="Times New Roman"/>
          <w:b/>
          <w:sz w:val="28"/>
          <w:szCs w:val="28"/>
          <w:lang w:val="ro-RO"/>
        </w:rPr>
        <w:t xml:space="preserve">Nota informativă </w:t>
      </w:r>
    </w:p>
    <w:p w:rsidR="009B1B1B" w:rsidRPr="00A03DC6" w:rsidRDefault="009B1B1B" w:rsidP="00D23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03DC6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proiectul hotărîrii Guvernului </w:t>
      </w:r>
    </w:p>
    <w:p w:rsidR="009B1B1B" w:rsidRPr="00A03DC6" w:rsidRDefault="009B1B1B" w:rsidP="00D23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A03DC6">
        <w:rPr>
          <w:rFonts w:ascii="Times New Roman" w:hAnsi="Times New Roman" w:cs="Times New Roman"/>
          <w:b/>
          <w:sz w:val="28"/>
          <w:szCs w:val="28"/>
          <w:lang w:val="ro-RO"/>
        </w:rPr>
        <w:t xml:space="preserve">„Cu </w:t>
      </w:r>
      <w:r w:rsidRPr="00F655FB">
        <w:rPr>
          <w:rFonts w:ascii="Times New Roman" w:hAnsi="Times New Roman" w:cs="Times New Roman"/>
          <w:b/>
          <w:sz w:val="28"/>
          <w:szCs w:val="28"/>
          <w:lang w:val="ro-RO"/>
        </w:rPr>
        <w:t>privire la transmiterea un</w:t>
      </w:r>
      <w:r w:rsidRPr="00A03DC6">
        <w:rPr>
          <w:rFonts w:ascii="Times New Roman" w:hAnsi="Times New Roman" w:cs="Times New Roman"/>
          <w:b/>
          <w:sz w:val="28"/>
          <w:szCs w:val="28"/>
          <w:lang w:val="ro-RO"/>
        </w:rPr>
        <w:t>or</w:t>
      </w:r>
      <w:r w:rsidRPr="00F655F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bun</w:t>
      </w:r>
      <w:r w:rsidRPr="00A03DC6">
        <w:rPr>
          <w:rFonts w:ascii="Times New Roman" w:hAnsi="Times New Roman" w:cs="Times New Roman"/>
          <w:b/>
          <w:sz w:val="28"/>
          <w:szCs w:val="28"/>
          <w:lang w:val="ro-RO"/>
        </w:rPr>
        <w:t>uri</w:t>
      </w:r>
      <w:r w:rsidRPr="00F655F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imobil</w:t>
      </w:r>
      <w:r w:rsidRPr="00A03DC6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 w:rsidRPr="00A03DC6">
        <w:rPr>
          <w:rFonts w:ascii="Times New Roman" w:hAnsi="Times New Roman" w:cs="Times New Roman"/>
          <w:b/>
          <w:bCs/>
          <w:sz w:val="28"/>
          <w:szCs w:val="28"/>
          <w:lang w:val="ro-RO"/>
        </w:rPr>
        <w:t>”</w:t>
      </w:r>
    </w:p>
    <w:p w:rsidR="009B1B1B" w:rsidRPr="00A03DC6" w:rsidRDefault="009B1B1B" w:rsidP="009B1B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80"/>
      </w:tblGrid>
      <w:tr w:rsidR="00272C45" w:rsidRPr="007C1922" w:rsidTr="00D23550">
        <w:trPr>
          <w:trHeight w:val="70"/>
        </w:trPr>
        <w:tc>
          <w:tcPr>
            <w:tcW w:w="9180" w:type="dxa"/>
            <w:tcBorders>
              <w:bottom w:val="nil"/>
            </w:tcBorders>
          </w:tcPr>
          <w:p w:rsidR="00272C45" w:rsidRPr="00A03DC6" w:rsidRDefault="00272C45" w:rsidP="00272C45">
            <w:pPr>
              <w:pStyle w:val="Listparagraf"/>
              <w:widowControl w:val="0"/>
              <w:numPr>
                <w:ilvl w:val="0"/>
                <w:numId w:val="5"/>
              </w:numPr>
              <w:tabs>
                <w:tab w:val="left" w:pos="567"/>
              </w:tabs>
              <w:spacing w:before="60" w:after="60" w:line="240" w:lineRule="auto"/>
              <w:ind w:left="567" w:hanging="567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03DC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Denumirea autorului şi, după caz, a participanților la elaborarea proiectului: </w:t>
            </w:r>
          </w:p>
        </w:tc>
      </w:tr>
      <w:tr w:rsidR="009B1B1B" w:rsidRPr="007C1922" w:rsidTr="00D23550">
        <w:trPr>
          <w:trHeight w:val="1324"/>
        </w:trPr>
        <w:tc>
          <w:tcPr>
            <w:tcW w:w="9180" w:type="dxa"/>
            <w:tcBorders>
              <w:top w:val="nil"/>
            </w:tcBorders>
          </w:tcPr>
          <w:p w:rsidR="009B1B1B" w:rsidRPr="00A03DC6" w:rsidRDefault="009B1B1B" w:rsidP="00B9581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Proiectul hotărîrii Guvernului „Cu </w:t>
            </w:r>
            <w:r w:rsidRPr="00F655F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privire la transmiterea un</w:t>
            </w:r>
            <w:r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</w:t>
            </w:r>
            <w:r w:rsidRPr="00F655F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bun</w:t>
            </w:r>
            <w:r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uri</w:t>
            </w:r>
            <w:r w:rsidRPr="00F655F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imobil</w:t>
            </w:r>
            <w:r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e”, este elaborat de Ministerul Agriculturii, Dezvoltării Regionale și Mediului, avînd ca suport demersul Agenției „Apele Moldovei” și Decizia Consiliului sătesc Soltănești, raionul Nisporeni (se anexează). </w:t>
            </w:r>
          </w:p>
        </w:tc>
      </w:tr>
      <w:tr w:rsidR="009B1B1B" w:rsidRPr="007C1922" w:rsidTr="00D23550">
        <w:tc>
          <w:tcPr>
            <w:tcW w:w="9180" w:type="dxa"/>
            <w:tcBorders>
              <w:bottom w:val="nil"/>
            </w:tcBorders>
          </w:tcPr>
          <w:p w:rsidR="009B1B1B" w:rsidRPr="00A03DC6" w:rsidRDefault="009B1B1B" w:rsidP="00272C45">
            <w:pPr>
              <w:pStyle w:val="Listparagraf"/>
              <w:widowControl w:val="0"/>
              <w:numPr>
                <w:ilvl w:val="0"/>
                <w:numId w:val="5"/>
              </w:numPr>
              <w:tabs>
                <w:tab w:val="left" w:pos="567"/>
              </w:tabs>
              <w:spacing w:before="60" w:after="60" w:line="240" w:lineRule="auto"/>
              <w:ind w:left="567" w:hanging="567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03DC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Condiţiile ce au impus elaborarea proiectului de act normativ şi finalităţile urmărite:</w:t>
            </w:r>
          </w:p>
        </w:tc>
      </w:tr>
      <w:tr w:rsidR="009B1B1B" w:rsidRPr="007C1922" w:rsidTr="00D23550">
        <w:tc>
          <w:tcPr>
            <w:tcW w:w="9180" w:type="dxa"/>
            <w:tcBorders>
              <w:top w:val="nil"/>
              <w:bottom w:val="single" w:sz="4" w:space="0" w:color="auto"/>
            </w:tcBorders>
          </w:tcPr>
          <w:p w:rsidR="009B1B1B" w:rsidRPr="00A03DC6" w:rsidRDefault="009B1B1B" w:rsidP="00B95817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 conformitate cu prevederile Acordului Compact, ratificat de Republica Moldova prin Legea nr. 125 din 18 iunie 2010, în perioada anilor 2010-2015, au fost reconstruite 10 sisteme centralizate de irigare</w:t>
            </w:r>
            <w:r w:rsidR="00B95817"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- proprietatea publică a statului, inclusiv Sistemul Centralizat de Irigare „</w:t>
            </w:r>
            <w:r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Grozeşti</w:t>
            </w:r>
            <w:r w:rsidR="00B95817"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”</w:t>
            </w:r>
            <w:r w:rsidR="004E25E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(SCI „Grozești”)</w:t>
            </w:r>
            <w:r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</w:p>
          <w:p w:rsidR="00C86381" w:rsidRPr="00A03DC6" w:rsidRDefault="007C1922" w:rsidP="00AC603F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SCI „Grozești” </w:t>
            </w:r>
            <w:r w:rsidR="00AC603F"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se află în </w:t>
            </w:r>
            <w:r w:rsidR="00277A4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gestiunea </w:t>
            </w:r>
            <w:r w:rsidR="009B1B1B"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Agenţiei „Apele Moldovei”, </w:t>
            </w:r>
            <w:r w:rsidR="00AC603F"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iar </w:t>
            </w:r>
            <w:r w:rsidR="009B1B1B"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 corespundere cu prevederile Legii nr. 171/2010 cu privire la asociaţiile utilizatorilor de apă pentru irigaţii </w:t>
            </w:r>
            <w:r w:rsidR="00AC603F"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și </w:t>
            </w:r>
            <w:r w:rsidR="009B1B1B"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Regulamentului privind modul de transmitere a sistemelor de irigare în folosinţă gratuită (comodat) către asociaţiile utilizatorilor de apă pentru irigaţii</w:t>
            </w:r>
            <w:r w:rsidR="00AC603F"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aprobat prin Hotărîrea Guvernului nr. 198/2013, acesta a fost transmis </w:t>
            </w:r>
            <w:r w:rsidR="004E25E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cu titlu gratuit, </w:t>
            </w:r>
            <w:r w:rsidR="0050503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 un termen de 30 de ani</w:t>
            </w:r>
            <w:r w:rsidR="004E25E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 w:rsidR="00AC603F"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 folosință Asociației Utilizatorilor de Apă pentru Irigații „Prutenii II”</w:t>
            </w:r>
            <w:r w:rsidR="004E25E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(AUAI „Prutenii II”)</w:t>
            </w:r>
            <w:r w:rsidR="00AC603F"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cu sediul în satul Bărboieni, raionul Nisporeni.</w:t>
            </w:r>
          </w:p>
          <w:p w:rsidR="0059139A" w:rsidRPr="00FA7093" w:rsidRDefault="0059139A" w:rsidP="00AC603F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Adiacent ariei de deservire a </w:t>
            </w:r>
            <w:r w:rsidR="004E25E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SCI „Grozești” </w:t>
            </w:r>
            <w:r w:rsidR="0050503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se afla o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construcți</w:t>
            </w:r>
            <w:r w:rsidR="0050503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hidrotehnică </w:t>
            </w:r>
            <w:r w:rsidR="0050503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nereabilitată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 bazin </w:t>
            </w:r>
            <w:r w:rsidR="0050503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acumulare (circa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30 mii m3</w:t>
            </w:r>
            <w:r w:rsidR="0050503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apă)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care este proprietatea publică </w:t>
            </w:r>
            <w:r w:rsidRPr="005913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 satului Soltănești și nu este utilizat</w:t>
            </w:r>
            <w:r w:rsidR="0050503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</w:t>
            </w:r>
            <w:r w:rsidRPr="005913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conform destinației o perioadă îndelungată de timp, deoarece nu are legătură cu sursa de apă.</w:t>
            </w:r>
            <w:r w:rsidRPr="00FA70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</w:t>
            </w:r>
          </w:p>
          <w:p w:rsidR="00FA7093" w:rsidRDefault="004E25E4" w:rsidP="00FA7093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AUAI „Prutenii II”</w:t>
            </w:r>
            <w:r w:rsidR="00FA70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50503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intenționează</w:t>
            </w:r>
            <w:r w:rsidR="0050503B" w:rsidRPr="00FA70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cu suportul financiar din partea Fondului de Dezvoltare Durabilă Moldova</w:t>
            </w:r>
            <w:r w:rsidR="0050503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să </w:t>
            </w:r>
            <w:r w:rsidR="00FA7093" w:rsidRPr="00FA70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reconstrui</w:t>
            </w:r>
            <w:r w:rsidR="0050503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ască </w:t>
            </w:r>
            <w:r w:rsidR="00FA7093" w:rsidRPr="00FA70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și </w:t>
            </w:r>
            <w:r w:rsidR="0050503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să </w:t>
            </w:r>
            <w:r w:rsidR="00FA7093" w:rsidRPr="00FA70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conect</w:t>
            </w:r>
            <w:r w:rsidR="0050503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eze acest </w:t>
            </w:r>
            <w:r w:rsidR="00FA7093" w:rsidRPr="00FA70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bazin</w:t>
            </w:r>
            <w:r w:rsidR="00FA70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FA7093" w:rsidRPr="00FA70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la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SCI „Grozești”</w:t>
            </w:r>
            <w:r w:rsidR="00FA7093" w:rsidRPr="00FA70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="0050503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Acesta va permite extinderea ariei de deservire a sistemului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50503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precum și optimizarea costurilor de irigare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(</w:t>
            </w:r>
            <w:r w:rsidR="0050503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utilizarea gravitației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) </w:t>
            </w:r>
            <w:r w:rsidR="0050503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 o suprafață de circa 300 ha terenuri agricole.  </w:t>
            </w:r>
            <w:r w:rsidR="00FA7093" w:rsidRPr="00FA70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Costul estimativ al </w:t>
            </w:r>
            <w:r w:rsidR="00FA70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proiectului </w:t>
            </w:r>
            <w:r w:rsidR="00FA7093" w:rsidRPr="00FA70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va fi de circa 2,6 mln. lei,</w:t>
            </w:r>
            <w:r w:rsidR="00FA70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care include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și </w:t>
            </w:r>
            <w:r w:rsidR="00FA70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contribuția membrilor asociației</w:t>
            </w:r>
            <w:r w:rsidR="00FA7093" w:rsidRPr="00FA70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="00FA70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FA7093" w:rsidRDefault="004E25E4" w:rsidP="00AC603F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E25E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După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finalizarea procedurii de </w:t>
            </w:r>
            <w:r w:rsidRPr="004E25E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transmitere și reconstrucție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 </w:t>
            </w:r>
            <w:r w:rsidRPr="004E25E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bazinul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ui</w:t>
            </w:r>
            <w:r w:rsidR="008B3CA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acumulare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acesta </w:t>
            </w:r>
            <w:r w:rsidRPr="004E25E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va </w:t>
            </w:r>
            <w:r w:rsidR="008000C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fin inclus în componența infrastructurii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SCI „Grozești”</w:t>
            </w:r>
            <w:r w:rsidRPr="004E25E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iar Agenția „Apele Moldovei”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în calitate de </w:t>
            </w:r>
            <w:r w:rsidR="008000C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gestionar </w:t>
            </w:r>
            <w:r w:rsidR="008B3CA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al bunului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 numele statului, </w:t>
            </w:r>
            <w:r w:rsidRPr="004E25E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va avea posibilitatea să capitalizeze investițiile alocate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9517B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 reconstrucție, precum și </w:t>
            </w:r>
            <w:r w:rsidR="008000C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va avea dreptul </w:t>
            </w:r>
            <w:r w:rsidRPr="004E25E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să-l transmită în folosința gratuită a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AUAI </w:t>
            </w:r>
            <w:r w:rsidRPr="004E25E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„Prutenii II”, </w:t>
            </w:r>
            <w:r w:rsidR="008000C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 condițiile </w:t>
            </w:r>
            <w:r w:rsidRPr="004E25E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contractului de comodat </w:t>
            </w:r>
            <w:r w:rsidR="008000C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semnat</w:t>
            </w:r>
            <w:r w:rsidRPr="004E25E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9B1B1B" w:rsidRPr="00FA7093" w:rsidRDefault="00F3750C" w:rsidP="008000CB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 xml:space="preserve">În cadrul consultărilor publice </w:t>
            </w:r>
            <w:r w:rsidR="008000C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din 06.12.2019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proprietarii și utilizatorii de terenuri agricole din Soltănești au susținut realizarea proiectului de reconstrucție a bazinului, iar prin Decizia nr. 06.9 din 17.12.2019, </w:t>
            </w:r>
            <w:r w:rsidR="00CC068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Consiliul sătesc Soltănești a decis să transmită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această construcție hidrotehnică în proprietatea publică a statului, </w:t>
            </w:r>
            <w:r w:rsidR="008000C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gestiunea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Agenției „Apele Moldovei” din subordinea Ministerului Agriculturii, Dezvoltării Regionale și Mediului</w:t>
            </w:r>
            <w:r w:rsidR="009B1B1B" w:rsidRPr="00FA70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 anexează</w:t>
            </w:r>
            <w:r w:rsidR="009B1B1B" w:rsidRPr="00FA70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). </w:t>
            </w:r>
          </w:p>
        </w:tc>
      </w:tr>
      <w:tr w:rsidR="009B1B1B" w:rsidRPr="007C1922" w:rsidTr="00D23550">
        <w:trPr>
          <w:trHeight w:val="98"/>
        </w:trPr>
        <w:tc>
          <w:tcPr>
            <w:tcW w:w="9180" w:type="dxa"/>
            <w:tcBorders>
              <w:bottom w:val="nil"/>
            </w:tcBorders>
          </w:tcPr>
          <w:p w:rsidR="009B1B1B" w:rsidRPr="00A03DC6" w:rsidRDefault="009B1B1B" w:rsidP="00272C45">
            <w:pPr>
              <w:pStyle w:val="Listparagraf"/>
              <w:widowControl w:val="0"/>
              <w:numPr>
                <w:ilvl w:val="0"/>
                <w:numId w:val="5"/>
              </w:numPr>
              <w:tabs>
                <w:tab w:val="left" w:pos="567"/>
              </w:tabs>
              <w:spacing w:before="60" w:after="60" w:line="240" w:lineRule="auto"/>
              <w:ind w:left="567" w:hanging="567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03DC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Descrierea gradului de compatibilitate pentru proiectele care au scop armonizarea legislaţiei naţionale</w:t>
            </w:r>
            <w:r w:rsidR="00272C4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cu legislaţia Uniunii Europene:</w:t>
            </w:r>
          </w:p>
        </w:tc>
      </w:tr>
      <w:tr w:rsidR="00272C45" w:rsidRPr="00A03DC6" w:rsidTr="00D23550">
        <w:trPr>
          <w:trHeight w:val="443"/>
        </w:trPr>
        <w:tc>
          <w:tcPr>
            <w:tcW w:w="9180" w:type="dxa"/>
            <w:tcBorders>
              <w:top w:val="nil"/>
              <w:bottom w:val="single" w:sz="4" w:space="0" w:color="auto"/>
            </w:tcBorders>
          </w:tcPr>
          <w:p w:rsidR="00272C45" w:rsidRPr="00A03DC6" w:rsidRDefault="00272C45" w:rsidP="00A23ED4">
            <w:pPr>
              <w:shd w:val="clear" w:color="auto" w:fill="FFFFFF"/>
              <w:tabs>
                <w:tab w:val="left" w:pos="23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Nu este cazul.</w:t>
            </w:r>
          </w:p>
        </w:tc>
      </w:tr>
      <w:tr w:rsidR="00272C45" w:rsidRPr="007C1922" w:rsidTr="00D23550">
        <w:trPr>
          <w:trHeight w:val="300"/>
        </w:trPr>
        <w:tc>
          <w:tcPr>
            <w:tcW w:w="9180" w:type="dxa"/>
            <w:tcBorders>
              <w:bottom w:val="nil"/>
            </w:tcBorders>
          </w:tcPr>
          <w:p w:rsidR="00272C45" w:rsidRPr="00A03DC6" w:rsidRDefault="00272C45" w:rsidP="00272C45">
            <w:pPr>
              <w:pStyle w:val="Listparagraf"/>
              <w:widowControl w:val="0"/>
              <w:numPr>
                <w:ilvl w:val="0"/>
                <w:numId w:val="5"/>
              </w:numPr>
              <w:tabs>
                <w:tab w:val="left" w:pos="567"/>
              </w:tabs>
              <w:spacing w:before="60" w:after="60" w:line="240" w:lineRule="auto"/>
              <w:ind w:left="567" w:hanging="567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03DC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Principalele prevederi ale proiectului şi evidenţierea elementelor noi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:</w:t>
            </w:r>
          </w:p>
        </w:tc>
      </w:tr>
      <w:tr w:rsidR="009B1B1B" w:rsidRPr="007C1922" w:rsidTr="00D23550">
        <w:trPr>
          <w:trHeight w:val="2542"/>
        </w:trPr>
        <w:tc>
          <w:tcPr>
            <w:tcW w:w="9180" w:type="dxa"/>
            <w:tcBorders>
              <w:top w:val="nil"/>
            </w:tcBorders>
          </w:tcPr>
          <w:p w:rsidR="009517B3" w:rsidRDefault="00272C45" w:rsidP="00F3750C">
            <w:pPr>
              <w:tabs>
                <w:tab w:val="left" w:pos="851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 </w:t>
            </w:r>
            <w:r w:rsidR="009B1B1B"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 hotărîre  prevede</w:t>
            </w:r>
            <w:r w:rsidR="00F375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acceptarea </w:t>
            </w:r>
            <w:r w:rsidR="00F3750C" w:rsidRPr="00F375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transmiter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ii</w:t>
            </w:r>
            <w:r w:rsidR="009517B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 w:rsidR="009B1B1B"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 acordul Consili</w:t>
            </w:r>
            <w:r w:rsidR="00F375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ului sătesc Soltănești</w:t>
            </w:r>
            <w:r w:rsidR="009B1B1B"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raionul </w:t>
            </w:r>
            <w:r w:rsidR="00F375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Nisporeni, </w:t>
            </w:r>
            <w:r w:rsidR="009B1B1B"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din proprietatea publică</w:t>
            </w:r>
            <w:r w:rsidR="009517B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9B1B1B"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 unităţi</w:t>
            </w:r>
            <w:r w:rsidR="009517B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 </w:t>
            </w:r>
            <w:r w:rsidR="009B1B1B"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administrativ-teritoriale în proprietatea publică a statului, </w:t>
            </w:r>
            <w:r w:rsidR="009517B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gestiunea </w:t>
            </w:r>
            <w:r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Agenției „Apele Moldovei”</w:t>
            </w:r>
            <w:r w:rsidR="009B1B1B"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din subordinea </w:t>
            </w:r>
            <w:r w:rsidR="009B1B1B"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Ministerului Agriculturii, Dezvoltării Regionale și Mediului,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 </w:t>
            </w:r>
            <w:r w:rsidR="009517B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următoarelor </w:t>
            </w:r>
            <w:r w:rsidR="009B1B1B"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bunuril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</w:t>
            </w:r>
            <w:r w:rsidR="009B1B1B"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imobile</w:t>
            </w:r>
            <w:r w:rsidR="009517B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:</w:t>
            </w:r>
          </w:p>
          <w:p w:rsidR="009517B3" w:rsidRPr="00A03DC6" w:rsidRDefault="009517B3" w:rsidP="009517B3">
            <w:pPr>
              <w:pStyle w:val="Listparagraf"/>
              <w:numPr>
                <w:ilvl w:val="0"/>
                <w:numId w:val="7"/>
              </w:numPr>
              <w:tabs>
                <w:tab w:val="left" w:pos="567"/>
                <w:tab w:val="left" w:pos="1134"/>
              </w:tabs>
              <w:spacing w:after="0" w:line="240" w:lineRule="auto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A03DC6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terenul din fondul apelor cu suprafața de 1,74 ha, numărul cadastral  6044111.294;</w:t>
            </w:r>
          </w:p>
          <w:p w:rsidR="009517B3" w:rsidRPr="00A03DC6" w:rsidRDefault="009517B3" w:rsidP="00186511">
            <w:pPr>
              <w:pStyle w:val="Listparagraf"/>
              <w:numPr>
                <w:ilvl w:val="0"/>
                <w:numId w:val="7"/>
              </w:numPr>
              <w:tabs>
                <w:tab w:val="left" w:pos="567"/>
                <w:tab w:val="left" w:pos="1134"/>
              </w:tabs>
              <w:spacing w:after="120" w:line="240" w:lineRule="auto"/>
              <w:ind w:left="567" w:hanging="567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A03DC6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construcție hidrotehnică (dig), numărul cadastral 6044111.294.01.</w:t>
            </w:r>
          </w:p>
          <w:p w:rsidR="009B1B1B" w:rsidRPr="00A03DC6" w:rsidRDefault="009517B3" w:rsidP="00186511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Totodată, se prevede că </w:t>
            </w:r>
            <w:r w:rsidRPr="00F655F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Consiliul </w:t>
            </w:r>
            <w:r w:rsidRPr="009517B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sătesc Soltănești</w:t>
            </w:r>
            <w:r w:rsidRPr="00F655F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în comun cu </w:t>
            </w:r>
            <w:r w:rsidRPr="009517B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Agenția „Apele Moldovei”</w:t>
            </w:r>
            <w:r w:rsidRPr="00F655F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Pr="009517B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8000C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să </w:t>
            </w:r>
            <w:r w:rsidR="009B1B1B"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institui</w:t>
            </w:r>
            <w:r w:rsidR="008000C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</w:t>
            </w:r>
            <w:r w:rsidR="009B1B1B"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comisia de transmitere şi </w:t>
            </w:r>
            <w:r w:rsidR="008000C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să </w:t>
            </w:r>
            <w:r w:rsidR="009B1B1B"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asigur</w:t>
            </w:r>
            <w:r w:rsidR="008000C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</w:t>
            </w:r>
            <w:r w:rsidR="009B1B1B"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transmiterea bunurilor imobile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nominali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zate</w:t>
            </w:r>
            <w:r w:rsidR="009B1B1B"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în termen de o lună, în conformitate cu prevederile Regulamentului cu privire la modul de transmitere a bunurilor proprietate publică, aprobat prin Hotărîrea Guvernului nr. 901/2015.</w:t>
            </w:r>
          </w:p>
        </w:tc>
      </w:tr>
      <w:tr w:rsidR="009B1B1B" w:rsidRPr="00A03DC6" w:rsidTr="00D23550">
        <w:tc>
          <w:tcPr>
            <w:tcW w:w="9180" w:type="dxa"/>
            <w:tcBorders>
              <w:bottom w:val="nil"/>
            </w:tcBorders>
          </w:tcPr>
          <w:p w:rsidR="009B1B1B" w:rsidRPr="00A03DC6" w:rsidRDefault="009B1B1B" w:rsidP="00222CD6">
            <w:pPr>
              <w:pStyle w:val="Listparagraf"/>
              <w:widowControl w:val="0"/>
              <w:numPr>
                <w:ilvl w:val="0"/>
                <w:numId w:val="5"/>
              </w:numPr>
              <w:tabs>
                <w:tab w:val="num" w:pos="180"/>
                <w:tab w:val="left" w:pos="567"/>
              </w:tabs>
              <w:spacing w:before="60" w:after="60" w:line="240" w:lineRule="auto"/>
              <w:ind w:left="567" w:hanging="567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03DC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Fundamentarea economico-financiară</w:t>
            </w:r>
            <w:r w:rsidR="0018651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:</w:t>
            </w:r>
          </w:p>
        </w:tc>
      </w:tr>
      <w:tr w:rsidR="009B1B1B" w:rsidRPr="007C1922" w:rsidTr="00D23550">
        <w:tc>
          <w:tcPr>
            <w:tcW w:w="9180" w:type="dxa"/>
            <w:tcBorders>
              <w:top w:val="nil"/>
            </w:tcBorders>
          </w:tcPr>
          <w:p w:rsidR="009B1B1B" w:rsidRPr="00A03DC6" w:rsidRDefault="009517B3" w:rsidP="00186511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Realizarea proiectului nu implică cheltuieli financiare suplimentare de la buget, cheltuielile aferente înregistrării modificărilor corespunzătoare în Registrul bunurilor imobile vor fi suportate în limita alocațiilor acordate Agenției „Apele Moldovei”.</w:t>
            </w:r>
            <w:r w:rsidR="006B06E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Lucrările de reconstrucție a bazinului vor fi efectuate cu </w:t>
            </w:r>
            <w:r w:rsidR="006B06E5" w:rsidRPr="00FA709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suportul financiar din partea Fondului de Dezvoltare Durabilă Moldova</w:t>
            </w:r>
            <w:r w:rsidR="00222CD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și parțial contribuția AUAI „Prutenii II”</w:t>
            </w:r>
            <w:r w:rsidR="008000C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și membrilor acesteia</w:t>
            </w:r>
            <w:r w:rsidR="00222CD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</w:p>
        </w:tc>
      </w:tr>
      <w:tr w:rsidR="009B1B1B" w:rsidRPr="007C1922" w:rsidTr="00D23550">
        <w:tc>
          <w:tcPr>
            <w:tcW w:w="9180" w:type="dxa"/>
            <w:tcBorders>
              <w:bottom w:val="nil"/>
            </w:tcBorders>
          </w:tcPr>
          <w:p w:rsidR="009B1B1B" w:rsidRPr="00A03DC6" w:rsidRDefault="009B1B1B" w:rsidP="00222CD6">
            <w:pPr>
              <w:pStyle w:val="Listparagraf"/>
              <w:widowControl w:val="0"/>
              <w:numPr>
                <w:ilvl w:val="0"/>
                <w:numId w:val="5"/>
              </w:numPr>
              <w:tabs>
                <w:tab w:val="num" w:pos="180"/>
                <w:tab w:val="left" w:pos="567"/>
              </w:tabs>
              <w:spacing w:before="60" w:after="60" w:line="240" w:lineRule="auto"/>
              <w:ind w:left="567" w:hanging="567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03DC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Modul de incorporare a actului in cadrul normativ in vigoare</w:t>
            </w:r>
            <w:r w:rsidR="0018651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:</w:t>
            </w:r>
          </w:p>
        </w:tc>
      </w:tr>
      <w:tr w:rsidR="009B1B1B" w:rsidRPr="007C1922" w:rsidTr="00D23550">
        <w:tc>
          <w:tcPr>
            <w:tcW w:w="9180" w:type="dxa"/>
            <w:tcBorders>
              <w:top w:val="nil"/>
              <w:bottom w:val="single" w:sz="4" w:space="0" w:color="auto"/>
            </w:tcBorders>
          </w:tcPr>
          <w:p w:rsidR="001B028D" w:rsidRPr="001B028D" w:rsidRDefault="009B1B1B" w:rsidP="00186511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Proiectul de hotărîre nu va necesita la moment modificarea altor acte normative.</w:t>
            </w:r>
            <w:r w:rsidR="001B02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După transmiterea</w:t>
            </w:r>
            <w:r w:rsidR="006B06E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 w:rsidR="001B02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reconstrucția </w:t>
            </w:r>
            <w:r w:rsidR="006B06E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și darea în exploatare a bazinului </w:t>
            </w:r>
            <w:r w:rsidR="001B02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va fi inițiată </w:t>
            </w:r>
            <w:r w:rsidR="008000C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procedura de </w:t>
            </w:r>
            <w:r w:rsidR="001B02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modificare</w:t>
            </w:r>
            <w:r w:rsidR="008000C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1B02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="001B028D" w:rsidRPr="001B02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anexei nr.</w:t>
            </w:r>
            <w:r w:rsidR="006B06E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1B028D" w:rsidRPr="001B02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22</w:t>
            </w:r>
            <w:r w:rsidR="001B028D" w:rsidRPr="006B06E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RO"/>
              </w:rPr>
              <w:t>9</w:t>
            </w:r>
            <w:r w:rsidR="001B028D" w:rsidRPr="001B02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la Hotărîrea</w:t>
            </w:r>
            <w:r w:rsidR="001B02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1B028D" w:rsidRPr="001B02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Guvernului nr.</w:t>
            </w:r>
            <w:r w:rsidR="006B06E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1B028D" w:rsidRPr="001B02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351/2005 cu privire la aprobarea listelor bunurilor imobile</w:t>
            </w:r>
            <w:r w:rsidR="001B02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1B028D" w:rsidRPr="001B02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proprietate publică a statului şi la transmiterea unor bunuri imobile</w:t>
            </w:r>
            <w:r w:rsidR="006B06E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</w:tr>
      <w:tr w:rsidR="00222CD6" w:rsidRPr="007C1922" w:rsidTr="00D23550">
        <w:tc>
          <w:tcPr>
            <w:tcW w:w="9180" w:type="dxa"/>
            <w:tcBorders>
              <w:bottom w:val="nil"/>
            </w:tcBorders>
          </w:tcPr>
          <w:p w:rsidR="00222CD6" w:rsidRPr="00A03DC6" w:rsidRDefault="00222CD6" w:rsidP="00222CD6">
            <w:pPr>
              <w:pStyle w:val="Listparagraf"/>
              <w:widowControl w:val="0"/>
              <w:numPr>
                <w:ilvl w:val="0"/>
                <w:numId w:val="5"/>
              </w:numPr>
              <w:tabs>
                <w:tab w:val="num" w:pos="180"/>
                <w:tab w:val="left" w:pos="567"/>
              </w:tabs>
              <w:spacing w:before="60" w:after="60" w:line="240" w:lineRule="auto"/>
              <w:ind w:left="567" w:hanging="56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03DC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Avizarea şi consultarea publică a proiectului</w:t>
            </w:r>
            <w:r w:rsidR="0018651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:</w:t>
            </w:r>
          </w:p>
        </w:tc>
      </w:tr>
      <w:tr w:rsidR="009B1B1B" w:rsidRPr="007C1922" w:rsidTr="00D23550">
        <w:tc>
          <w:tcPr>
            <w:tcW w:w="9180" w:type="dxa"/>
            <w:tcBorders>
              <w:top w:val="nil"/>
              <w:bottom w:val="single" w:sz="4" w:space="0" w:color="auto"/>
            </w:tcBorders>
          </w:tcPr>
          <w:p w:rsidR="009B1B1B" w:rsidRPr="00A03DC6" w:rsidRDefault="001B028D" w:rsidP="00186511">
            <w:pPr>
              <w:shd w:val="clear" w:color="auto" w:fill="FFFFFF"/>
              <w:tabs>
                <w:tab w:val="left" w:pos="230"/>
              </w:tabs>
              <w:spacing w:after="12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Ministerul Agriculturii, Dezvoltării Regionale și Mediului</w:t>
            </w:r>
            <w:r w:rsidR="009B1B1B"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conform prevederilor pct. 177 din Regulamentul Guvernului aprobat prin Hotărîrea </w:t>
            </w:r>
            <w:r w:rsidR="009B1B1B"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Guvernului nr. 610/2018 a publicat Anunţul privind iniţiativa de elaborare şi consultarea publică a proiectului de hotărîre a Guvernului „</w:t>
            </w:r>
            <w:r w:rsidR="008000CB"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Cu </w:t>
            </w:r>
            <w:r w:rsidR="008000CB" w:rsidRPr="00F655F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privire la transmiterea un</w:t>
            </w:r>
            <w:r w:rsidR="008000CB"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</w:t>
            </w:r>
            <w:r w:rsidR="008000CB" w:rsidRPr="00F655F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bun</w:t>
            </w:r>
            <w:r w:rsidR="008000CB"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uri</w:t>
            </w:r>
            <w:r w:rsidR="008000CB" w:rsidRPr="00F655F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imobil</w:t>
            </w:r>
            <w:r w:rsidR="008000CB"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</w:t>
            </w:r>
            <w:r w:rsidR="009B1B1B"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”, în scopul reabilitării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și conectării la SCI „Grozești” a bazinului de acumulare</w:t>
            </w:r>
            <w:r w:rsidR="009B1B1B"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amplasat în hotarele unităţi</w:t>
            </w:r>
            <w:r w:rsidR="008000C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 w:rsidR="009B1B1B"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administrativ-teritoriale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Soltănești</w:t>
            </w:r>
            <w:r w:rsidR="009B1B1B"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raionul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Nisporeni</w:t>
            </w:r>
            <w:r w:rsidR="009B1B1B"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începând cu perioada de la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__</w:t>
            </w:r>
            <w:r w:rsidR="009B1B1B"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___</w:t>
            </w:r>
            <w:r w:rsidR="009B1B1B" w:rsidRPr="00A03DC6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___</w:t>
            </w:r>
            <w:r w:rsidR="009B1B1B" w:rsidRPr="00A03DC6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___</w:t>
            </w:r>
            <w:r w:rsidR="009B1B1B" w:rsidRPr="00A03DC6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.2020.</w:t>
            </w:r>
          </w:p>
          <w:p w:rsidR="009B1B1B" w:rsidRPr="00A03DC6" w:rsidRDefault="009B1B1B" w:rsidP="00186511">
            <w:pPr>
              <w:shd w:val="clear" w:color="auto" w:fill="FFFFFF"/>
              <w:tabs>
                <w:tab w:val="left" w:pos="230"/>
              </w:tabs>
              <w:spacing w:after="12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Totodată, proiectul este supus consultării publice, conform art. 32 din Legea nr. 100/2017 cu privire la actele normative, </w:t>
            </w:r>
            <w:r w:rsidRPr="00A03DC6">
              <w:rPr>
                <w:rFonts w:ascii="Times New Roman" w:hAnsi="Times New Roman" w:cs="Times New Roman"/>
                <w:spacing w:val="-1"/>
                <w:sz w:val="28"/>
                <w:szCs w:val="28"/>
                <w:lang w:val="ro-RO"/>
              </w:rPr>
              <w:t xml:space="preserve">fiind plasat pe pagina web a </w:t>
            </w:r>
            <w:r w:rsidR="001B028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Ministerul Agriculturii, Dezvoltării Regionale și Mediului</w:t>
            </w:r>
            <w:r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: </w:t>
            </w:r>
            <w:hyperlink r:id="rId6" w:history="1">
              <w:r w:rsidR="001B028D" w:rsidRPr="008000CB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o-RO"/>
                </w:rPr>
                <w:t>www.madrm.gov.md</w:t>
              </w:r>
            </w:hyperlink>
            <w:r w:rsidRPr="008000C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la compartimentul: Transparenţa decizională - proiecte de </w:t>
            </w:r>
            <w:r w:rsidR="00222CD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documente</w:t>
            </w:r>
            <w:r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</w:tr>
      <w:tr w:rsidR="00222CD6" w:rsidRPr="00A03DC6" w:rsidTr="00D23550">
        <w:tc>
          <w:tcPr>
            <w:tcW w:w="9180" w:type="dxa"/>
            <w:tcBorders>
              <w:bottom w:val="nil"/>
            </w:tcBorders>
          </w:tcPr>
          <w:p w:rsidR="00222CD6" w:rsidRPr="00222CD6" w:rsidRDefault="00222CD6" w:rsidP="00222CD6">
            <w:pPr>
              <w:pStyle w:val="Listparagraf"/>
              <w:widowControl w:val="0"/>
              <w:numPr>
                <w:ilvl w:val="0"/>
                <w:numId w:val="5"/>
              </w:numPr>
              <w:tabs>
                <w:tab w:val="num" w:pos="180"/>
                <w:tab w:val="left" w:pos="567"/>
              </w:tabs>
              <w:spacing w:before="60" w:after="60" w:line="240" w:lineRule="auto"/>
              <w:ind w:left="567" w:hanging="56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03D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lastRenderedPageBreak/>
              <w:t>Constatările expertizei anticorupţie</w:t>
            </w:r>
            <w:r w:rsidR="001865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:</w:t>
            </w:r>
            <w:r w:rsidRPr="00A03D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</w:p>
        </w:tc>
      </w:tr>
      <w:tr w:rsidR="009B1B1B" w:rsidRPr="00A03DC6" w:rsidTr="00D23550">
        <w:tc>
          <w:tcPr>
            <w:tcW w:w="9180" w:type="dxa"/>
            <w:tcBorders>
              <w:top w:val="nil"/>
              <w:bottom w:val="single" w:sz="4" w:space="0" w:color="auto"/>
            </w:tcBorders>
          </w:tcPr>
          <w:p w:rsidR="009B1B1B" w:rsidRPr="00A03DC6" w:rsidRDefault="009B1B1B" w:rsidP="00186511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03DC6">
              <w:rPr>
                <w:rFonts w:ascii="Times New Roman" w:hAnsi="Times New Roman" w:cs="Times New Roman"/>
                <w:iCs/>
                <w:spacing w:val="-6"/>
                <w:sz w:val="28"/>
                <w:szCs w:val="28"/>
                <w:lang w:val="ro-RO"/>
              </w:rPr>
              <w:t>Proiectul va fi supus expertizei anticorupţie, conform art. 35 din Legea 100/201</w:t>
            </w:r>
            <w:r w:rsidR="001B028D">
              <w:rPr>
                <w:rFonts w:ascii="Times New Roman" w:hAnsi="Times New Roman" w:cs="Times New Roman"/>
                <w:iCs/>
                <w:spacing w:val="-6"/>
                <w:sz w:val="28"/>
                <w:szCs w:val="28"/>
                <w:lang w:val="ro-RO"/>
              </w:rPr>
              <w:t xml:space="preserve">7, fiind solicitată efectuarea </w:t>
            </w:r>
            <w:r w:rsidRPr="00A03DC6">
              <w:rPr>
                <w:rFonts w:ascii="Times New Roman" w:hAnsi="Times New Roman" w:cs="Times New Roman"/>
                <w:iCs/>
                <w:spacing w:val="-6"/>
                <w:sz w:val="28"/>
                <w:szCs w:val="28"/>
                <w:lang w:val="ro-RO"/>
              </w:rPr>
              <w:t xml:space="preserve">expertizei </w:t>
            </w:r>
            <w:r w:rsidRPr="00A03DC6">
              <w:rPr>
                <w:rFonts w:ascii="Times New Roman" w:hAnsi="Times New Roman" w:cs="Times New Roman"/>
                <w:iCs/>
                <w:sz w:val="28"/>
                <w:szCs w:val="28"/>
                <w:lang w:val="ro-RO"/>
              </w:rPr>
              <w:t>de către Centrul Naţional Anticorupţie.</w:t>
            </w:r>
          </w:p>
        </w:tc>
      </w:tr>
      <w:tr w:rsidR="00222CD6" w:rsidRPr="00A03DC6" w:rsidTr="00D23550">
        <w:tc>
          <w:tcPr>
            <w:tcW w:w="9180" w:type="dxa"/>
            <w:tcBorders>
              <w:bottom w:val="nil"/>
            </w:tcBorders>
          </w:tcPr>
          <w:p w:rsidR="00222CD6" w:rsidRPr="00A03DC6" w:rsidRDefault="00222CD6" w:rsidP="00222CD6">
            <w:pPr>
              <w:pStyle w:val="Listparagraf"/>
              <w:widowControl w:val="0"/>
              <w:numPr>
                <w:ilvl w:val="0"/>
                <w:numId w:val="5"/>
              </w:numPr>
              <w:tabs>
                <w:tab w:val="num" w:pos="180"/>
                <w:tab w:val="left" w:pos="567"/>
              </w:tabs>
              <w:spacing w:before="60" w:after="60" w:line="240" w:lineRule="auto"/>
              <w:ind w:left="567" w:hanging="567"/>
              <w:contextualSpacing w:val="0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val="ro-RO"/>
              </w:rPr>
            </w:pPr>
            <w:r w:rsidRPr="00A03DC6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val="ro-RO"/>
              </w:rPr>
              <w:t>Consultăril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val="ro-RO"/>
              </w:rPr>
              <w:t>e expertizei de compatibilitate</w:t>
            </w:r>
            <w:r w:rsidR="00186511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val="ro-RO"/>
              </w:rPr>
              <w:t>:</w:t>
            </w:r>
          </w:p>
        </w:tc>
      </w:tr>
      <w:tr w:rsidR="009B1B1B" w:rsidRPr="007C1922" w:rsidTr="00D23550">
        <w:tc>
          <w:tcPr>
            <w:tcW w:w="9180" w:type="dxa"/>
            <w:tcBorders>
              <w:top w:val="nil"/>
              <w:bottom w:val="single" w:sz="4" w:space="0" w:color="auto"/>
            </w:tcBorders>
          </w:tcPr>
          <w:p w:rsidR="009B1B1B" w:rsidRPr="00A03DC6" w:rsidRDefault="009B1B1B" w:rsidP="00186511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86511">
              <w:rPr>
                <w:rFonts w:ascii="Times New Roman" w:hAnsi="Times New Roman" w:cs="Times New Roman"/>
                <w:iCs/>
                <w:spacing w:val="-6"/>
                <w:sz w:val="28"/>
                <w:szCs w:val="28"/>
                <w:lang w:val="ro-RO"/>
              </w:rPr>
              <w:t>Proiectul nu are ca scop armonizarea legislaţiei naţionale cu legislaţia Uniunii Europene.</w:t>
            </w:r>
          </w:p>
        </w:tc>
      </w:tr>
      <w:tr w:rsidR="00222CD6" w:rsidRPr="00A03DC6" w:rsidTr="00D23550">
        <w:tc>
          <w:tcPr>
            <w:tcW w:w="9180" w:type="dxa"/>
            <w:tcBorders>
              <w:bottom w:val="nil"/>
            </w:tcBorders>
          </w:tcPr>
          <w:p w:rsidR="00222CD6" w:rsidRPr="00A03DC6" w:rsidRDefault="00222CD6" w:rsidP="00222CD6">
            <w:pPr>
              <w:pStyle w:val="Listparagraf"/>
              <w:widowControl w:val="0"/>
              <w:numPr>
                <w:ilvl w:val="0"/>
                <w:numId w:val="5"/>
              </w:numPr>
              <w:tabs>
                <w:tab w:val="num" w:pos="180"/>
                <w:tab w:val="left" w:pos="567"/>
              </w:tabs>
              <w:spacing w:before="60" w:after="60" w:line="240" w:lineRule="auto"/>
              <w:ind w:left="567" w:hanging="567"/>
              <w:contextualSpacing w:val="0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val="ro-RO"/>
              </w:rPr>
            </w:pPr>
            <w:r w:rsidRPr="00222CD6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val="ro-RO"/>
              </w:rPr>
              <w:t>Constatările expertizei juridice</w:t>
            </w:r>
            <w:r w:rsidR="00186511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val="ro-RO"/>
              </w:rPr>
              <w:t>:</w:t>
            </w:r>
          </w:p>
        </w:tc>
      </w:tr>
      <w:tr w:rsidR="009B1B1B" w:rsidRPr="00A03DC6" w:rsidTr="00D23550">
        <w:tc>
          <w:tcPr>
            <w:tcW w:w="9180" w:type="dxa"/>
            <w:tcBorders>
              <w:top w:val="nil"/>
              <w:bottom w:val="single" w:sz="4" w:space="0" w:color="auto"/>
            </w:tcBorders>
          </w:tcPr>
          <w:p w:rsidR="009B1B1B" w:rsidRPr="00A03DC6" w:rsidRDefault="009B1B1B" w:rsidP="00186511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03DC6">
              <w:rPr>
                <w:rFonts w:ascii="Times New Roman" w:hAnsi="Times New Roman" w:cs="Times New Roman"/>
                <w:iCs/>
                <w:spacing w:val="-6"/>
                <w:sz w:val="28"/>
                <w:szCs w:val="28"/>
                <w:lang w:val="ro-RO"/>
              </w:rPr>
              <w:t xml:space="preserve">Proiectul va fi supus expertizei juridice, conform art. 37 din Legea 100/2017, fiind solicitată efectuarea expertizei de </w:t>
            </w:r>
            <w:r w:rsidRPr="00186511">
              <w:rPr>
                <w:rFonts w:ascii="Times New Roman" w:hAnsi="Times New Roman" w:cs="Times New Roman"/>
                <w:iCs/>
                <w:spacing w:val="-6"/>
                <w:sz w:val="28"/>
                <w:szCs w:val="28"/>
                <w:lang w:val="ro-RO"/>
              </w:rPr>
              <w:t>către Ministerul Justiţiei.</w:t>
            </w:r>
          </w:p>
        </w:tc>
      </w:tr>
      <w:tr w:rsidR="00222CD6" w:rsidRPr="00A03DC6" w:rsidTr="00D23550">
        <w:tc>
          <w:tcPr>
            <w:tcW w:w="9180" w:type="dxa"/>
            <w:tcBorders>
              <w:bottom w:val="nil"/>
            </w:tcBorders>
          </w:tcPr>
          <w:p w:rsidR="00222CD6" w:rsidRPr="00A03DC6" w:rsidRDefault="00222CD6" w:rsidP="00222CD6">
            <w:pPr>
              <w:pStyle w:val="Listparagraf"/>
              <w:widowControl w:val="0"/>
              <w:numPr>
                <w:ilvl w:val="0"/>
                <w:numId w:val="5"/>
              </w:numPr>
              <w:tabs>
                <w:tab w:val="num" w:pos="180"/>
                <w:tab w:val="left" w:pos="567"/>
              </w:tabs>
              <w:spacing w:before="60" w:after="60" w:line="240" w:lineRule="auto"/>
              <w:ind w:left="567" w:hanging="567"/>
              <w:contextualSpacing w:val="0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val="ro-RO"/>
              </w:rPr>
            </w:pPr>
            <w:r w:rsidRPr="00A03D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Consultările altor expertize</w:t>
            </w:r>
            <w:r w:rsidR="001865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:</w:t>
            </w:r>
          </w:p>
        </w:tc>
      </w:tr>
      <w:tr w:rsidR="009B1B1B" w:rsidRPr="00A03DC6" w:rsidTr="00D23550">
        <w:tc>
          <w:tcPr>
            <w:tcW w:w="9180" w:type="dxa"/>
            <w:tcBorders>
              <w:top w:val="nil"/>
            </w:tcBorders>
          </w:tcPr>
          <w:p w:rsidR="009B1B1B" w:rsidRPr="00A03DC6" w:rsidRDefault="009B1B1B" w:rsidP="00186511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86511">
              <w:rPr>
                <w:rFonts w:ascii="Times New Roman" w:hAnsi="Times New Roman" w:cs="Times New Roman"/>
                <w:iCs/>
                <w:spacing w:val="-6"/>
                <w:sz w:val="28"/>
                <w:szCs w:val="28"/>
                <w:lang w:val="ro-RO"/>
              </w:rPr>
              <w:t>Proiectul nu conţine prevederi de reglementare a activităţii de întreprinzător în sensul Legii nr. 235/2006 cu privire la principiile de bază de reglementare a activităţii de întreprinzător, astfel decăzînd necesitatea examinării acestuia de către Grupul de lucru pentru reglementarea activităţii de întreprinzător.</w:t>
            </w:r>
            <w:r w:rsidRPr="00A03D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</w:tr>
    </w:tbl>
    <w:p w:rsidR="009B1B1B" w:rsidRPr="00222CD6" w:rsidRDefault="009B1B1B" w:rsidP="00222CD6">
      <w:pPr>
        <w:tabs>
          <w:tab w:val="left" w:pos="6600"/>
        </w:tabs>
        <w:spacing w:after="0" w:line="240" w:lineRule="auto"/>
        <w:ind w:left="843" w:right="-20"/>
        <w:rPr>
          <w:rFonts w:ascii="Times New Roman" w:hAnsi="Times New Roman" w:cs="Times New Roman"/>
          <w:sz w:val="24"/>
          <w:szCs w:val="24"/>
          <w:lang w:val="ro-RO"/>
        </w:rPr>
      </w:pPr>
    </w:p>
    <w:p w:rsidR="00222CD6" w:rsidRDefault="00222CD6" w:rsidP="00222CD6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lang w:val="ro-RO"/>
        </w:rPr>
      </w:pPr>
    </w:p>
    <w:p w:rsidR="00222CD6" w:rsidRPr="00222CD6" w:rsidRDefault="00222CD6" w:rsidP="00222CD6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lang w:val="ro-RO"/>
        </w:rPr>
      </w:pPr>
      <w:r w:rsidRPr="00222CD6">
        <w:rPr>
          <w:rFonts w:ascii="Times New Roman" w:hAnsi="Times New Roman" w:cs="Times New Roman"/>
          <w:b/>
          <w:sz w:val="28"/>
          <w:lang w:val="ro-RO"/>
        </w:rPr>
        <w:t xml:space="preserve">Ministru </w:t>
      </w:r>
      <w:r w:rsidRPr="00222CD6">
        <w:rPr>
          <w:rFonts w:ascii="Times New Roman" w:hAnsi="Times New Roman" w:cs="Times New Roman"/>
          <w:b/>
          <w:sz w:val="28"/>
          <w:lang w:val="ro-RO"/>
        </w:rPr>
        <w:tab/>
        <w:t xml:space="preserve">Ion PERJU </w:t>
      </w:r>
    </w:p>
    <w:p w:rsidR="00222CD6" w:rsidRDefault="00222CD6" w:rsidP="00222CD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</w:p>
    <w:p w:rsidR="00222CD6" w:rsidRDefault="00222CD6" w:rsidP="00222CD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</w:p>
    <w:p w:rsidR="00222CD6" w:rsidRDefault="00222CD6" w:rsidP="00222CD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</w:p>
    <w:p w:rsidR="00E67ED7" w:rsidRDefault="00E67ED7" w:rsidP="00222CD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</w:p>
    <w:p w:rsidR="00E67ED7" w:rsidRDefault="00E67ED7" w:rsidP="00222CD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</w:p>
    <w:p w:rsidR="00E67ED7" w:rsidRDefault="00E67ED7" w:rsidP="00222CD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</w:p>
    <w:p w:rsidR="00E67ED7" w:rsidRDefault="00E67ED7" w:rsidP="00222CD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</w:p>
    <w:p w:rsidR="00E67ED7" w:rsidRDefault="00E67ED7" w:rsidP="00222CD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</w:p>
    <w:p w:rsidR="00E67ED7" w:rsidRDefault="00E67ED7" w:rsidP="00222CD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</w:p>
    <w:p w:rsidR="00E67ED7" w:rsidRDefault="00E67ED7" w:rsidP="00222CD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</w:p>
    <w:p w:rsidR="00E67ED7" w:rsidRDefault="00E67ED7" w:rsidP="00222CD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</w:p>
    <w:p w:rsidR="00E67ED7" w:rsidRDefault="00E67ED7" w:rsidP="00222CD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</w:p>
    <w:p w:rsidR="00E67ED7" w:rsidRDefault="00E67ED7" w:rsidP="00222CD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</w:p>
    <w:p w:rsidR="00E67ED7" w:rsidRDefault="00E67ED7" w:rsidP="00222CD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</w:p>
    <w:p w:rsidR="00E67ED7" w:rsidRDefault="00E67ED7" w:rsidP="00222CD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</w:p>
    <w:p w:rsidR="00E67ED7" w:rsidRDefault="00E67ED7" w:rsidP="00222CD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</w:p>
    <w:p w:rsidR="00E67ED7" w:rsidRDefault="00E67ED7" w:rsidP="00222CD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</w:p>
    <w:p w:rsidR="00E67ED7" w:rsidRDefault="00E67ED7" w:rsidP="00222CD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</w:p>
    <w:p w:rsidR="00E67ED7" w:rsidRDefault="00E67ED7" w:rsidP="00222CD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</w:p>
    <w:p w:rsidR="00E67ED7" w:rsidRDefault="00E67ED7" w:rsidP="00222CD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</w:p>
    <w:p w:rsidR="00E67ED7" w:rsidRDefault="00E67ED7" w:rsidP="00222CD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</w:p>
    <w:p w:rsidR="00222CD6" w:rsidRDefault="00222CD6" w:rsidP="00222CD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</w:p>
    <w:p w:rsidR="00222CD6" w:rsidRDefault="00222CD6" w:rsidP="00222CD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</w:p>
    <w:p w:rsidR="00222CD6" w:rsidRPr="00222CD6" w:rsidRDefault="00222CD6" w:rsidP="00222CD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  <w:r w:rsidRPr="00222CD6">
        <w:rPr>
          <w:rFonts w:ascii="Times New Roman" w:hAnsi="Times New Roman" w:cs="Times New Roman"/>
          <w:sz w:val="16"/>
          <w:szCs w:val="16"/>
          <w:lang w:val="ro-RO"/>
        </w:rPr>
        <w:t xml:space="preserve">Ex.: </w:t>
      </w:r>
      <w:proofErr w:type="spellStart"/>
      <w:r w:rsidR="00E67ED7">
        <w:rPr>
          <w:rFonts w:ascii="Times New Roman" w:hAnsi="Times New Roman" w:cs="Times New Roman"/>
          <w:sz w:val="16"/>
          <w:szCs w:val="16"/>
          <w:lang w:val="ro-RO"/>
        </w:rPr>
        <w:t>Delinschi</w:t>
      </w:r>
      <w:proofErr w:type="spellEnd"/>
      <w:r w:rsidR="00E67ED7">
        <w:rPr>
          <w:rFonts w:ascii="Times New Roman" w:hAnsi="Times New Roman" w:cs="Times New Roman"/>
          <w:sz w:val="16"/>
          <w:szCs w:val="16"/>
          <w:lang w:val="ro-RO"/>
        </w:rPr>
        <w:t xml:space="preserve"> Andrian</w:t>
      </w:r>
    </w:p>
    <w:p w:rsidR="00222CD6" w:rsidRPr="00222CD6" w:rsidRDefault="00222CD6" w:rsidP="00222CD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222CD6">
        <w:rPr>
          <w:rFonts w:ascii="Times New Roman" w:hAnsi="Times New Roman" w:cs="Times New Roman"/>
          <w:sz w:val="16"/>
          <w:szCs w:val="16"/>
          <w:lang w:val="ro-RO"/>
        </w:rPr>
        <w:t xml:space="preserve">Tel.: </w:t>
      </w:r>
      <w:r w:rsidR="00E67ED7">
        <w:rPr>
          <w:rFonts w:ascii="Times New Roman" w:hAnsi="Times New Roman" w:cs="Times New Roman"/>
          <w:sz w:val="16"/>
          <w:szCs w:val="16"/>
          <w:lang w:val="ro-RO"/>
        </w:rPr>
        <w:t>022204530</w:t>
      </w:r>
    </w:p>
    <w:sectPr w:rsidR="00222CD6" w:rsidRPr="00222CD6" w:rsidSect="00D23550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6353"/>
    <w:multiLevelType w:val="hybridMultilevel"/>
    <w:tmpl w:val="50D0D60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7077476"/>
    <w:multiLevelType w:val="hybridMultilevel"/>
    <w:tmpl w:val="6CA0A3F2"/>
    <w:lvl w:ilvl="0" w:tplc="04090011">
      <w:start w:val="1"/>
      <w:numFmt w:val="decimal"/>
      <w:lvlText w:val="%1)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3F5D0566"/>
    <w:multiLevelType w:val="hybridMultilevel"/>
    <w:tmpl w:val="FC40E902"/>
    <w:lvl w:ilvl="0" w:tplc="7CE4A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35480"/>
    <w:multiLevelType w:val="hybridMultilevel"/>
    <w:tmpl w:val="A9C6AB0E"/>
    <w:lvl w:ilvl="0" w:tplc="7D3612B4">
      <w:start w:val="1"/>
      <w:numFmt w:val="decimal"/>
      <w:lvlText w:val="%1."/>
      <w:lvlJc w:val="left"/>
      <w:pPr>
        <w:ind w:left="1482" w:hanging="915"/>
      </w:pPr>
      <w:rPr>
        <w:rFonts w:hint="default"/>
        <w:b w:val="0"/>
      </w:rPr>
    </w:lvl>
    <w:lvl w:ilvl="1" w:tplc="AA9838FC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6145611"/>
    <w:multiLevelType w:val="hybridMultilevel"/>
    <w:tmpl w:val="5C5CADD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627236F"/>
    <w:multiLevelType w:val="hybridMultilevel"/>
    <w:tmpl w:val="5468870A"/>
    <w:lvl w:ilvl="0" w:tplc="F1307A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DB15B7C"/>
    <w:multiLevelType w:val="hybridMultilevel"/>
    <w:tmpl w:val="EBE072C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5FB"/>
    <w:rsid w:val="0002179C"/>
    <w:rsid w:val="00103CAD"/>
    <w:rsid w:val="00147BC1"/>
    <w:rsid w:val="00186511"/>
    <w:rsid w:val="001B028D"/>
    <w:rsid w:val="001E162A"/>
    <w:rsid w:val="00206428"/>
    <w:rsid w:val="00222CD6"/>
    <w:rsid w:val="00272C45"/>
    <w:rsid w:val="00277A4C"/>
    <w:rsid w:val="002A5276"/>
    <w:rsid w:val="0047357E"/>
    <w:rsid w:val="004E25E4"/>
    <w:rsid w:val="0050503B"/>
    <w:rsid w:val="00521522"/>
    <w:rsid w:val="0059139A"/>
    <w:rsid w:val="006B06E5"/>
    <w:rsid w:val="007C1922"/>
    <w:rsid w:val="008000CB"/>
    <w:rsid w:val="008B3CA1"/>
    <w:rsid w:val="009517B3"/>
    <w:rsid w:val="009B1B1B"/>
    <w:rsid w:val="009F3E25"/>
    <w:rsid w:val="00A03DC6"/>
    <w:rsid w:val="00A70BD6"/>
    <w:rsid w:val="00AC603F"/>
    <w:rsid w:val="00B14E8B"/>
    <w:rsid w:val="00B3560D"/>
    <w:rsid w:val="00B95817"/>
    <w:rsid w:val="00C86381"/>
    <w:rsid w:val="00CC0687"/>
    <w:rsid w:val="00D23550"/>
    <w:rsid w:val="00E64079"/>
    <w:rsid w:val="00E67ED7"/>
    <w:rsid w:val="00F31DCA"/>
    <w:rsid w:val="00F3750C"/>
    <w:rsid w:val="00F655FB"/>
    <w:rsid w:val="00FA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5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F655FB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6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655FB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qFormat/>
    <w:rsid w:val="00521522"/>
    <w:pPr>
      <w:ind w:left="720"/>
      <w:contextualSpacing/>
    </w:pPr>
  </w:style>
  <w:style w:type="character" w:customStyle="1" w:styleId="FontStyle24">
    <w:name w:val="Font Style24"/>
    <w:basedOn w:val="Fontdeparagrafimplicit"/>
    <w:rsid w:val="009B1B1B"/>
    <w:rPr>
      <w:rFonts w:ascii="Times New Roman" w:hAnsi="Times New Roman" w:cs="Times New Roman"/>
      <w:sz w:val="22"/>
      <w:szCs w:val="22"/>
    </w:rPr>
  </w:style>
  <w:style w:type="paragraph" w:customStyle="1" w:styleId="tt">
    <w:name w:val="tt"/>
    <w:basedOn w:val="Normal"/>
    <w:rsid w:val="001B0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5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F655FB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6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655FB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qFormat/>
    <w:rsid w:val="00521522"/>
    <w:pPr>
      <w:ind w:left="720"/>
      <w:contextualSpacing/>
    </w:pPr>
  </w:style>
  <w:style w:type="character" w:customStyle="1" w:styleId="FontStyle24">
    <w:name w:val="Font Style24"/>
    <w:basedOn w:val="Fontdeparagrafimplicit"/>
    <w:rsid w:val="009B1B1B"/>
    <w:rPr>
      <w:rFonts w:ascii="Times New Roman" w:hAnsi="Times New Roman" w:cs="Times New Roman"/>
      <w:sz w:val="22"/>
      <w:szCs w:val="22"/>
    </w:rPr>
  </w:style>
  <w:style w:type="paragraph" w:customStyle="1" w:styleId="tt">
    <w:name w:val="tt"/>
    <w:basedOn w:val="Normal"/>
    <w:rsid w:val="001B0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drm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1285</Words>
  <Characters>7456</Characters>
  <Application>Microsoft Office Word</Application>
  <DocSecurity>0</DocSecurity>
  <Lines>62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Mihail Gonta</cp:lastModifiedBy>
  <cp:revision>7</cp:revision>
  <cp:lastPrinted>2020-02-25T08:21:00Z</cp:lastPrinted>
  <dcterms:created xsi:type="dcterms:W3CDTF">2020-02-11T15:05:00Z</dcterms:created>
  <dcterms:modified xsi:type="dcterms:W3CDTF">2020-02-25T12:47:00Z</dcterms:modified>
</cp:coreProperties>
</file>