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 xml:space="preserve">S I N T E Z A </w:t>
      </w:r>
    </w:p>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proofErr w:type="gramStart"/>
      <w:r w:rsidRPr="00A31D96">
        <w:rPr>
          <w:rFonts w:ascii="Times New Roman" w:eastAsia="Times New Roman" w:hAnsi="Times New Roman" w:cs="Times New Roman"/>
          <w:b/>
          <w:sz w:val="20"/>
          <w:szCs w:val="20"/>
          <w:lang w:val="en-US" w:eastAsia="ru-RU"/>
        </w:rPr>
        <w:t>obiecţiilor</w:t>
      </w:r>
      <w:proofErr w:type="gramEnd"/>
      <w:r w:rsidRPr="00A31D96">
        <w:rPr>
          <w:rFonts w:ascii="Times New Roman" w:eastAsia="Times New Roman" w:hAnsi="Times New Roman" w:cs="Times New Roman"/>
          <w:b/>
          <w:sz w:val="20"/>
          <w:szCs w:val="20"/>
          <w:lang w:val="en-US" w:eastAsia="ru-RU"/>
        </w:rPr>
        <w:t xml:space="preserve"> şi propunerilor/recomandărilor</w:t>
      </w:r>
    </w:p>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ro-RO" w:eastAsia="ru-RU"/>
        </w:rPr>
      </w:pPr>
      <w:r w:rsidRPr="00A31D96">
        <w:rPr>
          <w:rFonts w:ascii="Times New Roman" w:eastAsia="Times New Roman" w:hAnsi="Times New Roman" w:cs="Times New Roman"/>
          <w:b/>
          <w:sz w:val="20"/>
          <w:szCs w:val="20"/>
          <w:lang w:val="en-US" w:eastAsia="ru-RU"/>
        </w:rPr>
        <w:t xml:space="preserve"> </w:t>
      </w:r>
      <w:proofErr w:type="gramStart"/>
      <w:r w:rsidRPr="00A31D96">
        <w:rPr>
          <w:rFonts w:ascii="Times New Roman" w:eastAsia="Times New Roman" w:hAnsi="Times New Roman" w:cs="Times New Roman"/>
          <w:b/>
          <w:sz w:val="20"/>
          <w:szCs w:val="20"/>
          <w:lang w:val="en-US" w:eastAsia="ru-RU"/>
        </w:rPr>
        <w:t>la</w:t>
      </w:r>
      <w:proofErr w:type="gramEnd"/>
      <w:r w:rsidRPr="00A31D96">
        <w:rPr>
          <w:rFonts w:ascii="Times New Roman" w:eastAsia="Times New Roman" w:hAnsi="Times New Roman" w:cs="Times New Roman"/>
          <w:b/>
          <w:sz w:val="20"/>
          <w:szCs w:val="20"/>
          <w:lang w:val="en-US" w:eastAsia="ru-RU"/>
        </w:rPr>
        <w:t xml:space="preserve"> proiectul de lege pentru modificarea unor acte legislative (nr.unic 172/MF/CNPF/2020)</w:t>
      </w:r>
    </w:p>
    <w:p w:rsidR="00A31D96" w:rsidRPr="00A31D96" w:rsidRDefault="00A31D96" w:rsidP="00A31D96">
      <w:pPr>
        <w:tabs>
          <w:tab w:val="left" w:pos="884"/>
          <w:tab w:val="left" w:pos="1196"/>
        </w:tabs>
        <w:spacing w:after="0" w:line="240" w:lineRule="auto"/>
        <w:ind w:firstLine="702"/>
        <w:jc w:val="right"/>
        <w:rPr>
          <w:rFonts w:ascii="Times New Roman" w:eastAsia="Times New Roman" w:hAnsi="Times New Roman" w:cs="Times New Roman"/>
          <w:sz w:val="20"/>
          <w:szCs w:val="20"/>
          <w:lang w:val="en-US" w:eastAsia="ru-RU"/>
        </w:rPr>
      </w:pPr>
    </w:p>
    <w:tbl>
      <w:tblPr>
        <w:tblW w:w="1507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6"/>
        <w:gridCol w:w="2263"/>
        <w:gridCol w:w="1134"/>
        <w:gridCol w:w="30"/>
        <w:gridCol w:w="4500"/>
        <w:gridCol w:w="6"/>
        <w:gridCol w:w="3608"/>
        <w:gridCol w:w="26"/>
      </w:tblGrid>
      <w:tr w:rsidR="00A31D96" w:rsidRPr="00A31D96" w:rsidTr="005303BD">
        <w:tc>
          <w:tcPr>
            <w:tcW w:w="3506" w:type="dxa"/>
            <w:shd w:val="clear" w:color="auto" w:fill="D9D9D9"/>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Conţinutul articolelor/ punctelor din proiectul prezentat spre avizare şi coordonare</w:t>
            </w:r>
          </w:p>
        </w:tc>
        <w:tc>
          <w:tcPr>
            <w:tcW w:w="2263" w:type="dxa"/>
            <w:shd w:val="clear" w:color="auto" w:fill="D9D9D9"/>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Participantul la avizare (expertizare)/</w:t>
            </w:r>
          </w:p>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consultare publică</w:t>
            </w:r>
          </w:p>
        </w:tc>
        <w:tc>
          <w:tcPr>
            <w:tcW w:w="1134" w:type="dxa"/>
            <w:shd w:val="clear" w:color="auto" w:fill="D9D9D9"/>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Nr.</w:t>
            </w:r>
          </w:p>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obiecţiei/ propunerii/recoman-dării</w:t>
            </w:r>
          </w:p>
        </w:tc>
        <w:tc>
          <w:tcPr>
            <w:tcW w:w="4536" w:type="dxa"/>
            <w:gridSpan w:val="3"/>
            <w:shd w:val="clear" w:color="auto" w:fill="D9D9D9"/>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eastAsia="ru-RU"/>
              </w:rPr>
            </w:pPr>
            <w:r w:rsidRPr="00A31D96">
              <w:rPr>
                <w:rFonts w:ascii="Times New Roman" w:eastAsia="Times New Roman" w:hAnsi="Times New Roman" w:cs="Times New Roman"/>
                <w:b/>
                <w:sz w:val="20"/>
                <w:szCs w:val="20"/>
                <w:lang w:eastAsia="ru-RU"/>
              </w:rPr>
              <w:t>Conţinutul obiecţiei/</w:t>
            </w:r>
          </w:p>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eastAsia="ru-RU"/>
              </w:rPr>
            </w:pPr>
            <w:r w:rsidRPr="00A31D96">
              <w:rPr>
                <w:rFonts w:ascii="Times New Roman" w:eastAsia="Times New Roman" w:hAnsi="Times New Roman" w:cs="Times New Roman"/>
                <w:b/>
                <w:sz w:val="20"/>
                <w:szCs w:val="20"/>
                <w:lang w:eastAsia="ru-RU"/>
              </w:rPr>
              <w:t>propunerii/recomandării</w:t>
            </w:r>
          </w:p>
        </w:tc>
        <w:tc>
          <w:tcPr>
            <w:tcW w:w="3634" w:type="dxa"/>
            <w:gridSpan w:val="2"/>
            <w:shd w:val="clear" w:color="auto" w:fill="D9D9D9"/>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eastAsia="ru-RU"/>
              </w:rPr>
            </w:pPr>
            <w:r w:rsidRPr="00A31D96">
              <w:rPr>
                <w:rFonts w:ascii="Times New Roman" w:eastAsia="Times New Roman" w:hAnsi="Times New Roman" w:cs="Times New Roman"/>
                <w:b/>
                <w:sz w:val="20"/>
                <w:szCs w:val="20"/>
                <w:lang w:eastAsia="ru-RU"/>
              </w:rPr>
              <w:t>Argumentarea autorului proiectului</w:t>
            </w:r>
          </w:p>
        </w:tc>
      </w:tr>
      <w:tr w:rsidR="00A31D96" w:rsidRPr="00A31D96" w:rsidTr="005303BD">
        <w:tc>
          <w:tcPr>
            <w:tcW w:w="15073" w:type="dxa"/>
            <w:gridSpan w:val="8"/>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ro-RO" w:eastAsia="ru-RU"/>
              </w:rPr>
            </w:pPr>
            <w:r w:rsidRPr="00A31D96">
              <w:rPr>
                <w:rFonts w:ascii="Times New Roman" w:eastAsia="Times New Roman" w:hAnsi="Times New Roman" w:cs="Times New Roman"/>
                <w:b/>
                <w:sz w:val="20"/>
                <w:szCs w:val="20"/>
                <w:lang w:eastAsia="ru-RU"/>
              </w:rPr>
              <w:t>Avizare primar</w:t>
            </w:r>
            <w:r w:rsidRPr="00A31D96">
              <w:rPr>
                <w:rFonts w:ascii="Times New Roman" w:eastAsia="Times New Roman" w:hAnsi="Times New Roman" w:cs="Times New Roman"/>
                <w:b/>
                <w:sz w:val="20"/>
                <w:szCs w:val="20"/>
                <w:lang w:val="ro-RO" w:eastAsia="ru-RU"/>
              </w:rPr>
              <w:t>ă</w:t>
            </w:r>
          </w:p>
        </w:tc>
      </w:tr>
      <w:tr w:rsidR="00A31D96" w:rsidRPr="00490491" w:rsidTr="005303BD">
        <w:trPr>
          <w:gridAfter w:val="1"/>
          <w:wAfter w:w="26" w:type="dxa"/>
        </w:trPr>
        <w:tc>
          <w:tcPr>
            <w:tcW w:w="3506" w:type="dxa"/>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eastAsia="ru-RU"/>
              </w:rPr>
            </w:pPr>
          </w:p>
        </w:tc>
        <w:tc>
          <w:tcPr>
            <w:tcW w:w="3427" w:type="dxa"/>
            <w:gridSpan w:val="3"/>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Serviciul Prevenirea și Combaterea Spălării Banilor</w:t>
            </w:r>
          </w:p>
        </w:tc>
        <w:tc>
          <w:tcPr>
            <w:tcW w:w="4500" w:type="dxa"/>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Lipsă de obiecții și propuneri</w:t>
            </w:r>
          </w:p>
        </w:tc>
        <w:tc>
          <w:tcPr>
            <w:tcW w:w="3614" w:type="dxa"/>
            <w:gridSpan w:val="2"/>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p>
        </w:tc>
      </w:tr>
      <w:tr w:rsidR="00A31D96" w:rsidRPr="00490491" w:rsidTr="005303BD">
        <w:trPr>
          <w:gridAfter w:val="1"/>
          <w:wAfter w:w="26" w:type="dxa"/>
        </w:trPr>
        <w:tc>
          <w:tcPr>
            <w:tcW w:w="3506" w:type="dxa"/>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p>
        </w:tc>
        <w:tc>
          <w:tcPr>
            <w:tcW w:w="3427" w:type="dxa"/>
            <w:gridSpan w:val="3"/>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eastAsia="ru-RU"/>
              </w:rPr>
            </w:pPr>
            <w:r w:rsidRPr="00A31D96">
              <w:rPr>
                <w:rFonts w:ascii="Times New Roman" w:eastAsia="Times New Roman" w:hAnsi="Times New Roman" w:cs="Times New Roman"/>
                <w:b/>
                <w:sz w:val="20"/>
                <w:szCs w:val="20"/>
                <w:lang w:eastAsia="ru-RU"/>
              </w:rPr>
              <w:t>Ministerul Economiei și Infrastructurii</w:t>
            </w:r>
          </w:p>
        </w:tc>
        <w:tc>
          <w:tcPr>
            <w:tcW w:w="4500" w:type="dxa"/>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Lipsă de obiecții și propuneri</w:t>
            </w:r>
          </w:p>
        </w:tc>
        <w:tc>
          <w:tcPr>
            <w:tcW w:w="3614" w:type="dxa"/>
            <w:gridSpan w:val="2"/>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p>
        </w:tc>
      </w:tr>
      <w:tr w:rsidR="00A31D96" w:rsidRPr="00490491" w:rsidTr="005303BD">
        <w:tc>
          <w:tcPr>
            <w:tcW w:w="15073" w:type="dxa"/>
            <w:gridSpan w:val="8"/>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Obiecţii şi propuneri de ordin general</w:t>
            </w:r>
          </w:p>
        </w:tc>
      </w:tr>
      <w:tr w:rsidR="00A31D96" w:rsidRPr="00490491" w:rsidTr="005303BD">
        <w:tc>
          <w:tcPr>
            <w:tcW w:w="3506" w:type="dxa"/>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sz w:val="20"/>
                <w:szCs w:val="20"/>
                <w:lang w:val="en-US" w:eastAsia="ru-RU"/>
              </w:rPr>
            </w:pPr>
          </w:p>
        </w:tc>
        <w:tc>
          <w:tcPr>
            <w:tcW w:w="2263" w:type="dxa"/>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r w:rsidRPr="00A31D96">
              <w:rPr>
                <w:rFonts w:ascii="Times New Roman" w:eastAsia="Times New Roman" w:hAnsi="Times New Roman" w:cs="Times New Roman"/>
                <w:b/>
                <w:sz w:val="20"/>
                <w:szCs w:val="20"/>
                <w:lang w:val="ro-RO" w:eastAsia="ru-RU"/>
              </w:rPr>
              <w:t>Ministerul Justiției</w:t>
            </w:r>
          </w:p>
        </w:tc>
        <w:tc>
          <w:tcPr>
            <w:tcW w:w="1134" w:type="dxa"/>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sz w:val="20"/>
                <w:szCs w:val="20"/>
                <w:lang w:eastAsia="ru-RU"/>
              </w:rPr>
            </w:pPr>
            <w:r w:rsidRPr="00A31D96">
              <w:rPr>
                <w:rFonts w:ascii="Times New Roman" w:eastAsia="Times New Roman" w:hAnsi="Times New Roman" w:cs="Times New Roman"/>
                <w:sz w:val="20"/>
                <w:szCs w:val="20"/>
                <w:lang w:eastAsia="ru-RU"/>
              </w:rPr>
              <w:t>1</w:t>
            </w:r>
          </w:p>
        </w:tc>
        <w:tc>
          <w:tcPr>
            <w:tcW w:w="4536" w:type="dxa"/>
            <w:gridSpan w:val="3"/>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eastAsia="ru-RU"/>
              </w:rPr>
            </w:pPr>
            <w:r w:rsidRPr="00A31D96">
              <w:rPr>
                <w:rFonts w:ascii="Times New Roman" w:eastAsia="Times New Roman" w:hAnsi="Times New Roman" w:cs="Times New Roman"/>
                <w:sz w:val="20"/>
                <w:szCs w:val="20"/>
                <w:lang w:val="en-US" w:eastAsia="ru-RU"/>
              </w:rPr>
              <w:t xml:space="preserve">Modificările propuse în proiectul examinat sunt similare celor din proiectul de Lege pentru modificarea unor acte legislative (Legea nr. 548/1995 cu privire la Banca Națională a Moldovei, Codul administrativ etc.), aprobat prin Hotărîrea Guvernului nr. 136 din 4 martie 2020 (inițiativa legislativă a Guvernului nr. 172/2020). </w:t>
            </w:r>
            <w:r w:rsidRPr="00A31D96">
              <w:rPr>
                <w:rFonts w:ascii="Times New Roman" w:eastAsia="Times New Roman" w:hAnsi="Times New Roman" w:cs="Times New Roman"/>
                <w:sz w:val="20"/>
                <w:szCs w:val="20"/>
                <w:lang w:eastAsia="ru-RU"/>
              </w:rPr>
              <w:t>Prin urmare, recomandăm comasarea acestor proiecte în Parlament.</w:t>
            </w:r>
            <w:r w:rsidRPr="00A31D96">
              <w:rPr>
                <w:rFonts w:ascii="Times New Roman" w:eastAsia="Times New Roman" w:hAnsi="Times New Roman" w:cs="Times New Roman"/>
                <w:sz w:val="20"/>
                <w:szCs w:val="20"/>
                <w:lang w:eastAsia="ru-RU"/>
              </w:rPr>
              <w:tab/>
            </w: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Comentariu</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A31D96">
              <w:rPr>
                <w:rFonts w:ascii="Times New Roman" w:eastAsia="Times New Roman" w:hAnsi="Times New Roman" w:cs="Times New Roman"/>
                <w:sz w:val="20"/>
                <w:szCs w:val="20"/>
                <w:lang w:val="en-US" w:eastAsia="ru-RU"/>
              </w:rPr>
              <w:t xml:space="preserve">Comasarea propusă rămîne la latitudinea Parlamentului.  O dată ce proiectul va ajunge spre examinare în Parlament, Comisia parlamentară de profil va examina această oportunitate cu eventuala comasare </w:t>
            </w:r>
            <w:proofErr w:type="gramStart"/>
            <w:r w:rsidRPr="00A31D96">
              <w:rPr>
                <w:rFonts w:ascii="Times New Roman" w:eastAsia="Times New Roman" w:hAnsi="Times New Roman" w:cs="Times New Roman"/>
                <w:sz w:val="20"/>
                <w:szCs w:val="20"/>
                <w:lang w:val="en-US" w:eastAsia="ru-RU"/>
              </w:rPr>
              <w:t>a</w:t>
            </w:r>
            <w:proofErr w:type="gramEnd"/>
            <w:r w:rsidRPr="00A31D96">
              <w:rPr>
                <w:rFonts w:ascii="Times New Roman" w:eastAsia="Times New Roman" w:hAnsi="Times New Roman" w:cs="Times New Roman"/>
                <w:sz w:val="20"/>
                <w:szCs w:val="20"/>
                <w:lang w:val="en-US" w:eastAsia="ru-RU"/>
              </w:rPr>
              <w:t xml:space="preserve"> acestor proiecte.</w:t>
            </w:r>
          </w:p>
        </w:tc>
      </w:tr>
      <w:tr w:rsidR="00A31D96" w:rsidRPr="00490491" w:rsidTr="005303BD">
        <w:tc>
          <w:tcPr>
            <w:tcW w:w="3506" w:type="dxa"/>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sz w:val="20"/>
                <w:szCs w:val="20"/>
                <w:lang w:val="en-US" w:eastAsia="ru-RU"/>
              </w:rPr>
            </w:pPr>
          </w:p>
        </w:tc>
        <w:tc>
          <w:tcPr>
            <w:tcW w:w="2263" w:type="dxa"/>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r w:rsidRPr="00A31D96">
              <w:rPr>
                <w:rFonts w:ascii="Times New Roman" w:eastAsia="Times New Roman" w:hAnsi="Times New Roman" w:cs="Times New Roman"/>
                <w:b/>
                <w:sz w:val="20"/>
                <w:szCs w:val="20"/>
                <w:lang w:val="ro-RO" w:eastAsia="ru-RU"/>
              </w:rPr>
              <w:t>Ministerul Justiției</w:t>
            </w:r>
          </w:p>
        </w:tc>
        <w:tc>
          <w:tcPr>
            <w:tcW w:w="1134" w:type="dxa"/>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sz w:val="20"/>
                <w:szCs w:val="20"/>
                <w:lang w:eastAsia="ru-RU"/>
              </w:rPr>
            </w:pPr>
            <w:r w:rsidRPr="00A31D96">
              <w:rPr>
                <w:rFonts w:ascii="Times New Roman" w:eastAsia="Times New Roman" w:hAnsi="Times New Roman" w:cs="Times New Roman"/>
                <w:sz w:val="20"/>
                <w:szCs w:val="20"/>
                <w:lang w:eastAsia="ru-RU"/>
              </w:rPr>
              <w:t>2</w:t>
            </w:r>
          </w:p>
        </w:tc>
        <w:tc>
          <w:tcPr>
            <w:tcW w:w="4536" w:type="dxa"/>
            <w:gridSpan w:val="3"/>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 xml:space="preserve">Potrivit art. 63 alin. (4) </w:t>
            </w:r>
            <w:proofErr w:type="gramStart"/>
            <w:r w:rsidRPr="00A31D96">
              <w:rPr>
                <w:rFonts w:ascii="Times New Roman" w:eastAsia="Times New Roman" w:hAnsi="Times New Roman" w:cs="Times New Roman"/>
                <w:sz w:val="20"/>
                <w:szCs w:val="20"/>
                <w:lang w:val="en-US" w:eastAsia="ru-RU"/>
              </w:rPr>
              <w:t>din</w:t>
            </w:r>
            <w:proofErr w:type="gramEnd"/>
            <w:r w:rsidRPr="00A31D96">
              <w:rPr>
                <w:rFonts w:ascii="Times New Roman" w:eastAsia="Times New Roman" w:hAnsi="Times New Roman" w:cs="Times New Roman"/>
                <w:sz w:val="20"/>
                <w:szCs w:val="20"/>
                <w:lang w:val="en-US" w:eastAsia="ru-RU"/>
              </w:rPr>
              <w:t xml:space="preserve"> Legea nr. 100/2017 cu privire la actele normative, articolele proiectului se vor aranja respectând cronologia adoptării legilor supuse modificării.</w:t>
            </w:r>
          </w:p>
        </w:tc>
        <w:tc>
          <w:tcPr>
            <w:tcW w:w="3634" w:type="dxa"/>
            <w:gridSpan w:val="2"/>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r w:rsidRPr="00A31D96">
              <w:rPr>
                <w:rFonts w:ascii="Times New Roman" w:eastAsia="Times New Roman" w:hAnsi="Times New Roman" w:cs="Times New Roman"/>
                <w:b/>
                <w:sz w:val="20"/>
                <w:szCs w:val="20"/>
                <w:lang w:val="ro-RO" w:eastAsia="ru-RU"/>
              </w:rPr>
              <w:t>Se acceptă</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A31D96">
              <w:rPr>
                <w:rFonts w:ascii="Times New Roman" w:eastAsia="Times New Roman" w:hAnsi="Times New Roman" w:cs="Times New Roman"/>
                <w:sz w:val="20"/>
                <w:szCs w:val="20"/>
                <w:lang w:val="ro-RO" w:eastAsia="ru-RU"/>
              </w:rPr>
              <w:t>Articolele proiectului au fost rearanjate conform sugestiei.</w:t>
            </w:r>
          </w:p>
        </w:tc>
      </w:tr>
      <w:tr w:rsidR="00A31D96" w:rsidRPr="00490491" w:rsidTr="005303BD">
        <w:tc>
          <w:tcPr>
            <w:tcW w:w="15073" w:type="dxa"/>
            <w:gridSpan w:val="8"/>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Obiecţii şi propuneri la articolele/punctele din proiect</w:t>
            </w:r>
          </w:p>
        </w:tc>
      </w:tr>
      <w:tr w:rsidR="00A31D96" w:rsidRPr="00490491" w:rsidTr="005303BD">
        <w:trPr>
          <w:trHeight w:val="2298"/>
        </w:trPr>
        <w:tc>
          <w:tcPr>
            <w:tcW w:w="3506" w:type="dxa"/>
          </w:tcPr>
          <w:p w:rsidR="00A31D96" w:rsidRPr="00A31D96" w:rsidRDefault="00A31D96" w:rsidP="00A31D96">
            <w:pPr>
              <w:spacing w:after="0" w:line="240" w:lineRule="auto"/>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b/>
                <w:sz w:val="20"/>
                <w:szCs w:val="20"/>
                <w:lang w:val="en-US" w:eastAsia="ru-RU"/>
              </w:rPr>
              <w:t xml:space="preserve">Art. I. – Legea nr. 192/1998 privind Comisia Naţională a Pieţei Financiare </w:t>
            </w:r>
            <w:r w:rsidRPr="00A31D96">
              <w:rPr>
                <w:rFonts w:ascii="Times New Roman" w:eastAsia="Times New Roman" w:hAnsi="Times New Roman" w:cs="Times New Roman"/>
                <w:sz w:val="20"/>
                <w:szCs w:val="20"/>
                <w:lang w:val="en-US" w:eastAsia="ru-RU"/>
              </w:rPr>
              <w:t>(republicată în Monitorul Oficial al Republicii Moldova, 2007, nr. 117–126 BIS), cu modificările ulterioare, se modifică după cum urmează:</w:t>
            </w:r>
          </w:p>
          <w:p w:rsidR="00A31D96" w:rsidRPr="00A31D96" w:rsidRDefault="00A31D96" w:rsidP="00A31D96">
            <w:pPr>
              <w:numPr>
                <w:ilvl w:val="0"/>
                <w:numId w:val="1"/>
              </w:numPr>
              <w:spacing w:after="0" w:line="240" w:lineRule="auto"/>
              <w:jc w:val="both"/>
              <w:rPr>
                <w:rFonts w:ascii="Times New Roman" w:eastAsia="Calibri" w:hAnsi="Times New Roman" w:cs="Times New Roman"/>
                <w:sz w:val="20"/>
                <w:szCs w:val="20"/>
                <w:lang w:eastAsia="ru-RU"/>
              </w:rPr>
            </w:pPr>
            <w:r w:rsidRPr="00A31D96">
              <w:rPr>
                <w:rFonts w:ascii="Times New Roman" w:eastAsia="Calibri" w:hAnsi="Times New Roman" w:cs="Times New Roman"/>
                <w:sz w:val="20"/>
                <w:szCs w:val="20"/>
                <w:lang w:eastAsia="ru-RU"/>
              </w:rPr>
              <w:t>Articolul 22:</w:t>
            </w:r>
          </w:p>
          <w:p w:rsidR="00A31D96" w:rsidRPr="00A31D96" w:rsidRDefault="00A31D96" w:rsidP="00A31D96">
            <w:pPr>
              <w:spacing w:after="0" w:line="240" w:lineRule="auto"/>
              <w:ind w:left="138" w:hanging="138"/>
              <w:jc w:val="both"/>
              <w:rPr>
                <w:rFonts w:ascii="Times New Roman" w:eastAsia="Calibri" w:hAnsi="Times New Roman" w:cs="Times New Roman"/>
                <w:sz w:val="20"/>
                <w:szCs w:val="20"/>
                <w:lang w:val="en-US" w:eastAsia="ru-RU"/>
              </w:rPr>
            </w:pPr>
            <w:r w:rsidRPr="00A31D96">
              <w:rPr>
                <w:rFonts w:ascii="Times New Roman" w:eastAsia="Calibri" w:hAnsi="Times New Roman" w:cs="Times New Roman"/>
                <w:sz w:val="20"/>
                <w:szCs w:val="20"/>
                <w:lang w:val="en-US" w:eastAsia="ru-RU"/>
              </w:rPr>
              <w:t>se completează cu alineatele (3</w:t>
            </w:r>
            <w:r w:rsidRPr="00A31D96">
              <w:rPr>
                <w:rFonts w:ascii="Times New Roman" w:eastAsia="Calibri" w:hAnsi="Times New Roman" w:cs="Times New Roman"/>
                <w:sz w:val="20"/>
                <w:szCs w:val="20"/>
                <w:vertAlign w:val="superscript"/>
                <w:lang w:val="en-US" w:eastAsia="ru-RU"/>
              </w:rPr>
              <w:t>1</w:t>
            </w:r>
            <w:r w:rsidRPr="00A31D96">
              <w:rPr>
                <w:rFonts w:ascii="Times New Roman" w:eastAsia="Calibri" w:hAnsi="Times New Roman" w:cs="Times New Roman"/>
                <w:sz w:val="20"/>
                <w:szCs w:val="20"/>
                <w:lang w:val="en-US" w:eastAsia="ru-RU"/>
              </w:rPr>
              <w:t>) – (3</w:t>
            </w:r>
            <w:r w:rsidRPr="00A31D96">
              <w:rPr>
                <w:rFonts w:ascii="Times New Roman" w:eastAsia="Calibri" w:hAnsi="Times New Roman" w:cs="Times New Roman"/>
                <w:sz w:val="20"/>
                <w:szCs w:val="20"/>
                <w:vertAlign w:val="superscript"/>
                <w:lang w:val="en-US" w:eastAsia="ru-RU"/>
              </w:rPr>
              <w:t>5</w:t>
            </w:r>
            <w:r w:rsidRPr="00A31D96">
              <w:rPr>
                <w:rFonts w:ascii="Times New Roman" w:eastAsia="Calibri" w:hAnsi="Times New Roman" w:cs="Times New Roman"/>
                <w:sz w:val="20"/>
                <w:szCs w:val="20"/>
                <w:lang w:val="en-US" w:eastAsia="ru-RU"/>
              </w:rPr>
              <w:t>)  cu următorul cuprins:</w:t>
            </w:r>
          </w:p>
          <w:p w:rsidR="00A31D96" w:rsidRPr="00A31D96" w:rsidRDefault="00A31D96" w:rsidP="00A31D96">
            <w:pPr>
              <w:spacing w:after="0" w:line="240" w:lineRule="auto"/>
              <w:ind w:left="138" w:hanging="138"/>
              <w:contextualSpacing/>
              <w:jc w:val="both"/>
              <w:rPr>
                <w:rFonts w:ascii="Times New Roman" w:eastAsia="Calibri" w:hAnsi="Times New Roman" w:cs="Times New Roman"/>
                <w:sz w:val="20"/>
                <w:szCs w:val="20"/>
                <w:lang w:val="en-US" w:eastAsia="ru-RU"/>
              </w:rPr>
            </w:pPr>
            <w:r w:rsidRPr="00A31D96">
              <w:rPr>
                <w:rFonts w:ascii="Times New Roman" w:eastAsia="Calibri" w:hAnsi="Times New Roman" w:cs="Times New Roman"/>
                <w:sz w:val="20"/>
                <w:szCs w:val="20"/>
                <w:lang w:val="en-US" w:eastAsia="ru-RU"/>
              </w:rPr>
              <w:t xml:space="preserve"> „(3</w:t>
            </w:r>
            <w:r w:rsidRPr="00A31D96">
              <w:rPr>
                <w:rFonts w:ascii="Times New Roman" w:eastAsia="Calibri" w:hAnsi="Times New Roman" w:cs="Times New Roman"/>
                <w:sz w:val="20"/>
                <w:szCs w:val="20"/>
                <w:vertAlign w:val="superscript"/>
                <w:lang w:val="en-US" w:eastAsia="ru-RU"/>
              </w:rPr>
              <w:t>1</w:t>
            </w:r>
            <w:r w:rsidRPr="00A31D96">
              <w:rPr>
                <w:rFonts w:ascii="Times New Roman" w:eastAsia="Calibri" w:hAnsi="Times New Roman" w:cs="Times New Roman"/>
                <w:sz w:val="20"/>
                <w:szCs w:val="20"/>
                <w:lang w:val="en-US" w:eastAsia="ru-RU"/>
              </w:rPr>
              <w:t>)Notificarea actelor şi înscrisurilor în cadrul procedurilor administrative (altele decât cele stabilite la alineatul (3) se realizează prin:</w:t>
            </w:r>
          </w:p>
          <w:p w:rsidR="00A31D96" w:rsidRPr="00A31D96" w:rsidRDefault="00A31D96" w:rsidP="00A31D96">
            <w:pPr>
              <w:spacing w:after="0" w:line="240" w:lineRule="auto"/>
              <w:ind w:left="138" w:hanging="138"/>
              <w:contextualSpacing/>
              <w:jc w:val="both"/>
              <w:rPr>
                <w:rFonts w:ascii="Times New Roman" w:eastAsia="Calibri" w:hAnsi="Times New Roman" w:cs="Times New Roman"/>
                <w:sz w:val="20"/>
                <w:szCs w:val="20"/>
                <w:lang w:val="ro-RO" w:eastAsia="ru-RU"/>
              </w:rPr>
            </w:pPr>
            <w:r w:rsidRPr="00A31D96">
              <w:rPr>
                <w:rFonts w:ascii="Times New Roman" w:eastAsia="Calibri" w:hAnsi="Times New Roman" w:cs="Times New Roman"/>
                <w:sz w:val="20"/>
                <w:szCs w:val="20"/>
                <w:lang w:val="ro-RO" w:eastAsia="ru-RU"/>
              </w:rPr>
              <w:t>a) transmiterea (înmânarea) unei copii a actului, cu semnarea recipisei de primire; și/sau</w:t>
            </w:r>
          </w:p>
          <w:p w:rsidR="00A31D96" w:rsidRPr="00A31D96" w:rsidRDefault="00A31D96" w:rsidP="00A31D96">
            <w:pPr>
              <w:spacing w:after="0" w:line="240" w:lineRule="auto"/>
              <w:ind w:left="138" w:hanging="138"/>
              <w:contextualSpacing/>
              <w:jc w:val="both"/>
              <w:rPr>
                <w:rFonts w:ascii="Times New Roman" w:eastAsia="Calibri" w:hAnsi="Times New Roman" w:cs="Times New Roman"/>
                <w:sz w:val="20"/>
                <w:szCs w:val="20"/>
                <w:lang w:val="ro-RO" w:eastAsia="ru-RU"/>
              </w:rPr>
            </w:pPr>
            <w:r w:rsidRPr="00A31D96">
              <w:rPr>
                <w:rFonts w:ascii="Times New Roman" w:eastAsia="Calibri" w:hAnsi="Times New Roman" w:cs="Times New Roman"/>
                <w:sz w:val="20"/>
                <w:szCs w:val="20"/>
                <w:lang w:val="ro-RO" w:eastAsia="ru-RU"/>
              </w:rPr>
              <w:t>b) prin scrisoare recomandată sau prin serviciu de curierat rapid, cu confirmare de primire; și/sau</w:t>
            </w:r>
          </w:p>
          <w:p w:rsidR="00A31D96" w:rsidRPr="00A31D96" w:rsidRDefault="00A31D96" w:rsidP="00A31D96">
            <w:pPr>
              <w:spacing w:after="0" w:line="240" w:lineRule="auto"/>
              <w:ind w:left="138" w:hanging="138"/>
              <w:contextualSpacing/>
              <w:jc w:val="both"/>
              <w:rPr>
                <w:rFonts w:ascii="Times New Roman" w:eastAsia="Calibri" w:hAnsi="Times New Roman" w:cs="Times New Roman"/>
                <w:sz w:val="20"/>
                <w:szCs w:val="20"/>
                <w:lang w:val="ro-RO" w:eastAsia="ru-RU"/>
              </w:rPr>
            </w:pPr>
            <w:r w:rsidRPr="00A31D96">
              <w:rPr>
                <w:rFonts w:ascii="Times New Roman" w:eastAsia="Calibri" w:hAnsi="Times New Roman" w:cs="Times New Roman"/>
                <w:sz w:val="20"/>
                <w:szCs w:val="20"/>
                <w:lang w:val="ro-RO" w:eastAsia="ru-RU"/>
              </w:rPr>
              <w:lastRenderedPageBreak/>
              <w:t>c) prin telefax; și/sau</w:t>
            </w:r>
          </w:p>
          <w:p w:rsidR="00A31D96" w:rsidRPr="00A31D96" w:rsidRDefault="00A31D96" w:rsidP="00A31D96">
            <w:pPr>
              <w:spacing w:after="0" w:line="240" w:lineRule="auto"/>
              <w:ind w:left="138" w:hanging="138"/>
              <w:contextualSpacing/>
              <w:jc w:val="both"/>
              <w:rPr>
                <w:rFonts w:ascii="Times New Roman" w:eastAsia="Calibri" w:hAnsi="Times New Roman" w:cs="Times New Roman"/>
                <w:sz w:val="20"/>
                <w:szCs w:val="20"/>
                <w:lang w:val="ro-RO" w:eastAsia="ru-RU"/>
              </w:rPr>
            </w:pPr>
            <w:r w:rsidRPr="00A31D96">
              <w:rPr>
                <w:rFonts w:ascii="Times New Roman" w:eastAsia="Calibri" w:hAnsi="Times New Roman" w:cs="Times New Roman"/>
                <w:sz w:val="20"/>
                <w:szCs w:val="20"/>
                <w:lang w:val="ro-RO" w:eastAsia="ru-RU"/>
              </w:rPr>
              <w:t>e) pe cale electronică.</w:t>
            </w:r>
          </w:p>
          <w:p w:rsidR="00A31D96" w:rsidRPr="00A31D96" w:rsidRDefault="00A31D96" w:rsidP="00A31D96">
            <w:pPr>
              <w:spacing w:after="0" w:line="240" w:lineRule="auto"/>
              <w:ind w:left="138" w:hanging="138"/>
              <w:contextualSpacing/>
              <w:jc w:val="both"/>
              <w:rPr>
                <w:rFonts w:ascii="Times New Roman" w:eastAsia="Calibri" w:hAnsi="Times New Roman" w:cs="Times New Roman"/>
                <w:sz w:val="20"/>
                <w:szCs w:val="20"/>
                <w:lang w:val="ro-RO" w:eastAsia="ru-RU"/>
              </w:rPr>
            </w:pPr>
            <w:r w:rsidRPr="00A31D96">
              <w:rPr>
                <w:rFonts w:ascii="Times New Roman" w:eastAsia="Calibri" w:hAnsi="Times New Roman" w:cs="Times New Roman"/>
                <w:sz w:val="20"/>
                <w:szCs w:val="20"/>
                <w:lang w:val="ro-RO" w:eastAsia="ru-RU"/>
              </w:rPr>
              <w:t>Dacă comunicarea actului nu este posibilă prin niciuna dintre modalităţile de notificare prevăzute în prezentul alineat, inclusiv, în cazul, în care destinatarul refuză luarea de cunoştinţă, actul va fi comunicat în condițiile alin. (3).”</w:t>
            </w:r>
          </w:p>
        </w:tc>
        <w:tc>
          <w:tcPr>
            <w:tcW w:w="2263" w:type="dxa"/>
            <w:vMerge w:val="restart"/>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r w:rsidRPr="00A31D96">
              <w:rPr>
                <w:rFonts w:ascii="Times New Roman" w:eastAsia="Times New Roman" w:hAnsi="Times New Roman" w:cs="Times New Roman"/>
                <w:b/>
                <w:sz w:val="20"/>
                <w:szCs w:val="20"/>
                <w:lang w:eastAsia="ru-RU"/>
              </w:rPr>
              <w:lastRenderedPageBreak/>
              <w:t>Ministerul Justiției</w:t>
            </w: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highlight w:val="yellow"/>
                <w:lang w:val="ro-RO" w:eastAsia="ru-RU"/>
              </w:rPr>
            </w:pPr>
          </w:p>
        </w:tc>
        <w:tc>
          <w:tcPr>
            <w:tcW w:w="1134" w:type="dxa"/>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sz w:val="20"/>
                <w:szCs w:val="20"/>
                <w:lang w:eastAsia="ru-RU"/>
              </w:rPr>
            </w:pPr>
            <w:r w:rsidRPr="00A31D96">
              <w:rPr>
                <w:rFonts w:ascii="Times New Roman" w:eastAsia="Times New Roman" w:hAnsi="Times New Roman" w:cs="Times New Roman"/>
                <w:sz w:val="20"/>
                <w:szCs w:val="20"/>
                <w:lang w:eastAsia="ru-RU"/>
              </w:rPr>
              <w:lastRenderedPageBreak/>
              <w:t>3</w:t>
            </w:r>
          </w:p>
        </w:tc>
        <w:tc>
          <w:tcPr>
            <w:tcW w:w="4536" w:type="dxa"/>
            <w:gridSpan w:val="3"/>
          </w:tcPr>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La pct. 4:</w:t>
            </w: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 xml:space="preserve">Recomandăm completarea primei dispoziții </w:t>
            </w:r>
            <w:proofErr w:type="gramStart"/>
            <w:r w:rsidRPr="00A31D96">
              <w:rPr>
                <w:rFonts w:ascii="Times New Roman" w:eastAsia="Times New Roman" w:hAnsi="Times New Roman" w:cs="Times New Roman"/>
                <w:sz w:val="20"/>
                <w:szCs w:val="20"/>
                <w:lang w:val="en-US" w:eastAsia="ru-RU"/>
              </w:rPr>
              <w:t>a</w:t>
            </w:r>
            <w:proofErr w:type="gramEnd"/>
            <w:r w:rsidRPr="00A31D96">
              <w:rPr>
                <w:rFonts w:ascii="Times New Roman" w:eastAsia="Times New Roman" w:hAnsi="Times New Roman" w:cs="Times New Roman"/>
                <w:sz w:val="20"/>
                <w:szCs w:val="20"/>
                <w:lang w:val="en-US" w:eastAsia="ru-RU"/>
              </w:rPr>
              <w:t xml:space="preserve"> art. 22 alin. (3</w:t>
            </w:r>
            <w:r w:rsidRPr="00A31D96">
              <w:rPr>
                <w:rFonts w:ascii="Times New Roman" w:eastAsia="Times New Roman" w:hAnsi="Times New Roman" w:cs="Times New Roman"/>
                <w:sz w:val="20"/>
                <w:szCs w:val="20"/>
                <w:vertAlign w:val="superscript"/>
                <w:lang w:val="en-US" w:eastAsia="ru-RU"/>
              </w:rPr>
              <w:t>1</w:t>
            </w:r>
            <w:r w:rsidRPr="00A31D96">
              <w:rPr>
                <w:rFonts w:ascii="Times New Roman" w:eastAsia="Times New Roman" w:hAnsi="Times New Roman" w:cs="Times New Roman"/>
                <w:sz w:val="20"/>
                <w:szCs w:val="20"/>
                <w:lang w:val="en-US" w:eastAsia="ru-RU"/>
              </w:rPr>
              <w:t xml:space="preserve">) </w:t>
            </w:r>
            <w:proofErr w:type="gramStart"/>
            <w:r w:rsidRPr="00A31D96">
              <w:rPr>
                <w:rFonts w:ascii="Times New Roman" w:eastAsia="Times New Roman" w:hAnsi="Times New Roman" w:cs="Times New Roman"/>
                <w:sz w:val="20"/>
                <w:szCs w:val="20"/>
                <w:lang w:val="en-US" w:eastAsia="ru-RU"/>
              </w:rPr>
              <w:t>cu</w:t>
            </w:r>
            <w:proofErr w:type="gramEnd"/>
            <w:r w:rsidRPr="00A31D96">
              <w:rPr>
                <w:rFonts w:ascii="Times New Roman" w:eastAsia="Times New Roman" w:hAnsi="Times New Roman" w:cs="Times New Roman"/>
                <w:sz w:val="20"/>
                <w:szCs w:val="20"/>
                <w:lang w:val="en-US" w:eastAsia="ru-RU"/>
              </w:rPr>
              <w:t xml:space="preserve"> cuvintele „una sau mai multe din următoarele modalități”, cu excluderea din reglementările derivate a textului „și/sau”. Concomitent, atragem atenția că, conform art. 51 alin. (6) </w:t>
            </w:r>
            <w:proofErr w:type="gramStart"/>
            <w:r w:rsidRPr="00A31D96">
              <w:rPr>
                <w:rFonts w:ascii="Times New Roman" w:eastAsia="Times New Roman" w:hAnsi="Times New Roman" w:cs="Times New Roman"/>
                <w:sz w:val="20"/>
                <w:szCs w:val="20"/>
                <w:lang w:val="en-US" w:eastAsia="ru-RU"/>
              </w:rPr>
              <w:t>din</w:t>
            </w:r>
            <w:proofErr w:type="gramEnd"/>
            <w:r w:rsidRPr="00A31D96">
              <w:rPr>
                <w:rFonts w:ascii="Times New Roman" w:eastAsia="Times New Roman" w:hAnsi="Times New Roman" w:cs="Times New Roman"/>
                <w:sz w:val="20"/>
                <w:szCs w:val="20"/>
                <w:lang w:val="en-US" w:eastAsia="ru-RU"/>
              </w:rPr>
              <w:t xml:space="preserve"> Legea nr. 100/2017, un alineat      dintr-un act legislativ nu poate conține și un alineat nenumerotat, iar nerespectarea regulilor de numerotare </w:t>
            </w:r>
            <w:proofErr w:type="gramStart"/>
            <w:r w:rsidRPr="00A31D96">
              <w:rPr>
                <w:rFonts w:ascii="Times New Roman" w:eastAsia="Times New Roman" w:hAnsi="Times New Roman" w:cs="Times New Roman"/>
                <w:sz w:val="20"/>
                <w:szCs w:val="20"/>
                <w:lang w:val="en-US" w:eastAsia="ru-RU"/>
              </w:rPr>
              <w:t>a</w:t>
            </w:r>
            <w:proofErr w:type="gramEnd"/>
            <w:r w:rsidRPr="00A31D96">
              <w:rPr>
                <w:rFonts w:ascii="Times New Roman" w:eastAsia="Times New Roman" w:hAnsi="Times New Roman" w:cs="Times New Roman"/>
                <w:sz w:val="20"/>
                <w:szCs w:val="20"/>
                <w:lang w:val="en-US" w:eastAsia="ru-RU"/>
              </w:rPr>
              <w:t xml:space="preserve"> elementelor de structură face dificilă formularea ulterioară a unor norme de modificare.</w:t>
            </w: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highlight w:val="yellow"/>
                <w:lang w:val="en-US" w:eastAsia="ru-RU"/>
              </w:rPr>
            </w:pPr>
          </w:p>
          <w:p w:rsidR="00A31D96" w:rsidRPr="00A31D96" w:rsidRDefault="00A31D96" w:rsidP="00A31D96">
            <w:pPr>
              <w:spacing w:after="0" w:line="240" w:lineRule="auto"/>
              <w:jc w:val="both"/>
              <w:rPr>
                <w:rFonts w:ascii="Times New Roman" w:eastAsia="SimSun" w:hAnsi="Times New Roman" w:cs="Times New Roman"/>
                <w:sz w:val="20"/>
                <w:szCs w:val="20"/>
                <w:highlight w:val="yellow"/>
                <w:lang w:val="en-US" w:eastAsia="zh-CN"/>
              </w:rPr>
            </w:pP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A31D96">
              <w:rPr>
                <w:rFonts w:ascii="Times New Roman" w:eastAsia="Times New Roman" w:hAnsi="Times New Roman" w:cs="Times New Roman"/>
                <w:b/>
                <w:sz w:val="20"/>
                <w:szCs w:val="20"/>
                <w:lang w:val="en-US" w:eastAsia="ru-RU"/>
              </w:rPr>
              <w:lastRenderedPageBreak/>
              <w:t>Se accept</w:t>
            </w:r>
            <w:r w:rsidRPr="00A31D96">
              <w:rPr>
                <w:rFonts w:ascii="Times New Roman" w:eastAsia="Times New Roman" w:hAnsi="Times New Roman" w:cs="Times New Roman"/>
                <w:b/>
                <w:sz w:val="20"/>
                <w:szCs w:val="20"/>
                <w:lang w:val="ro-RO" w:eastAsia="ru-RU"/>
              </w:rPr>
              <w:t>ă</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A31D96">
              <w:rPr>
                <w:rFonts w:ascii="Times New Roman" w:eastAsia="Times New Roman" w:hAnsi="Times New Roman" w:cs="Times New Roman"/>
                <w:sz w:val="20"/>
                <w:szCs w:val="20"/>
                <w:lang w:val="ro-RO" w:eastAsia="ru-RU"/>
              </w:rPr>
              <w:t>Art.22 a fost definitivat conform propunerii, care se regăsește în alin. (3) expus în altă redacție.</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A31D96">
              <w:rPr>
                <w:rFonts w:ascii="Times New Roman" w:eastAsia="Times New Roman" w:hAnsi="Times New Roman" w:cs="Times New Roman"/>
                <w:sz w:val="20"/>
                <w:szCs w:val="20"/>
                <w:lang w:val="ro-RO" w:eastAsia="ru-RU"/>
              </w:rPr>
              <w:t xml:space="preserve"> Totodată, propoziția expusă în alin. (3</w:t>
            </w:r>
            <w:r w:rsidRPr="00A31D96">
              <w:rPr>
                <w:rFonts w:ascii="Times New Roman" w:eastAsia="Times New Roman" w:hAnsi="Times New Roman" w:cs="Times New Roman"/>
                <w:sz w:val="20"/>
                <w:szCs w:val="20"/>
                <w:vertAlign w:val="superscript"/>
                <w:lang w:val="ro-RO" w:eastAsia="ru-RU"/>
              </w:rPr>
              <w:t>1</w:t>
            </w:r>
            <w:r w:rsidRPr="00A31D96">
              <w:rPr>
                <w:rFonts w:ascii="Times New Roman" w:eastAsia="Times New Roman" w:hAnsi="Times New Roman" w:cs="Times New Roman"/>
                <w:sz w:val="20"/>
                <w:szCs w:val="20"/>
                <w:lang w:val="ro-RO" w:eastAsia="ru-RU"/>
              </w:rPr>
              <w:t>) a fost inclusă în alineat separat al art.22</w:t>
            </w:r>
            <w:r w:rsidRPr="00A31D96">
              <w:rPr>
                <w:rFonts w:ascii="Times New Roman" w:eastAsia="Calibri" w:hAnsi="Times New Roman" w:cs="Times New Roman"/>
                <w:sz w:val="20"/>
                <w:szCs w:val="20"/>
                <w:lang w:val="en-US" w:eastAsia="ru-RU"/>
              </w:rPr>
              <w:t xml:space="preserve">.  </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p w:rsidR="00A31D96" w:rsidRPr="00A31D96" w:rsidRDefault="00A31D96" w:rsidP="00A31D96">
            <w:pPr>
              <w:spacing w:after="0" w:line="240" w:lineRule="auto"/>
              <w:jc w:val="both"/>
              <w:rPr>
                <w:rFonts w:ascii="Times New Roman" w:eastAsia="Times New Roman" w:hAnsi="Times New Roman" w:cs="Times New Roman"/>
                <w:sz w:val="20"/>
                <w:szCs w:val="20"/>
                <w:lang w:val="en-US"/>
              </w:rPr>
            </w:pPr>
          </w:p>
        </w:tc>
      </w:tr>
      <w:tr w:rsidR="00A31D96" w:rsidRPr="00490491" w:rsidTr="005303BD">
        <w:tc>
          <w:tcPr>
            <w:tcW w:w="3506" w:type="dxa"/>
          </w:tcPr>
          <w:p w:rsidR="00A31D96" w:rsidRPr="00A31D96" w:rsidRDefault="00A31D96" w:rsidP="00A31D96">
            <w:pPr>
              <w:spacing w:after="0" w:line="240" w:lineRule="auto"/>
              <w:ind w:left="138" w:hanging="138"/>
              <w:contextualSpacing/>
              <w:jc w:val="both"/>
              <w:rPr>
                <w:rFonts w:ascii="Times New Roman" w:eastAsia="Times New Roman" w:hAnsi="Times New Roman" w:cs="Times New Roman"/>
                <w:sz w:val="20"/>
                <w:szCs w:val="20"/>
                <w:lang w:val="ro-RO" w:eastAsia="ru-RU"/>
              </w:rPr>
            </w:pPr>
            <w:r w:rsidRPr="00A31D96">
              <w:rPr>
                <w:rFonts w:ascii="Times New Roman" w:eastAsia="Times New Roman" w:hAnsi="Times New Roman" w:cs="Times New Roman"/>
                <w:sz w:val="20"/>
                <w:szCs w:val="20"/>
                <w:lang w:val="ro-RO" w:eastAsia="ru-RU"/>
              </w:rPr>
              <w:lastRenderedPageBreak/>
              <w:t>5. Articolul 23:</w:t>
            </w:r>
          </w:p>
          <w:p w:rsidR="00A31D96" w:rsidRPr="00A31D96" w:rsidRDefault="00A31D96" w:rsidP="00A31D96">
            <w:pPr>
              <w:spacing w:after="0" w:line="240" w:lineRule="auto"/>
              <w:ind w:firstLine="284"/>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ro-RO" w:eastAsia="ru-RU"/>
              </w:rPr>
              <w:t>alineatul (5) se completează cu următorul text: „Prin derogare de la art.171 alin.(4) din Codul administrativ, depunerea unei cereri de suspendare a executării unui act al Comisiei Naționale, nu implică suspendarea de drept a efectelor actului contestat.”;</w:t>
            </w:r>
          </w:p>
        </w:tc>
        <w:tc>
          <w:tcPr>
            <w:tcW w:w="2263" w:type="dxa"/>
            <w:vMerge/>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tc>
        <w:tc>
          <w:tcPr>
            <w:tcW w:w="1134" w:type="dxa"/>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sz w:val="20"/>
                <w:szCs w:val="20"/>
                <w:lang w:eastAsia="ru-RU"/>
              </w:rPr>
            </w:pPr>
            <w:r w:rsidRPr="00A31D96">
              <w:rPr>
                <w:rFonts w:ascii="Times New Roman" w:eastAsia="Times New Roman" w:hAnsi="Times New Roman" w:cs="Times New Roman"/>
                <w:sz w:val="20"/>
                <w:szCs w:val="20"/>
                <w:lang w:eastAsia="ru-RU"/>
              </w:rPr>
              <w:t>4</w:t>
            </w:r>
          </w:p>
        </w:tc>
        <w:tc>
          <w:tcPr>
            <w:tcW w:w="4536" w:type="dxa"/>
            <w:gridSpan w:val="3"/>
          </w:tcPr>
          <w:p w:rsidR="00A31D96" w:rsidRPr="00A31D96" w:rsidRDefault="00A31D96" w:rsidP="00A31D96">
            <w:pPr>
              <w:tabs>
                <w:tab w:val="left" w:pos="884"/>
                <w:tab w:val="left" w:pos="1196"/>
              </w:tabs>
              <w:spacing w:before="5" w:after="0" w:line="240" w:lineRule="auto"/>
              <w:jc w:val="both"/>
              <w:rPr>
                <w:rFonts w:ascii="Times New Roman" w:eastAsia="Times New Roman" w:hAnsi="Times New Roman" w:cs="Times New Roman"/>
                <w:sz w:val="20"/>
                <w:szCs w:val="20"/>
                <w:lang w:eastAsia="ru-RU"/>
              </w:rPr>
            </w:pPr>
            <w:r w:rsidRPr="00A31D96">
              <w:rPr>
                <w:rFonts w:ascii="Times New Roman" w:eastAsia="Times New Roman" w:hAnsi="Times New Roman" w:cs="Times New Roman"/>
                <w:sz w:val="20"/>
                <w:szCs w:val="20"/>
                <w:lang w:val="en-US" w:eastAsia="ru-RU"/>
              </w:rPr>
              <w:t xml:space="preserve">La pct. 5, completarea art. 23 alin. (5), în limbajul normativ, este o propoziție, dar nu un text. Observația dată este valabilă pentru toate cazurile similare din art. </w:t>
            </w:r>
            <w:r w:rsidRPr="00A31D96">
              <w:rPr>
                <w:rFonts w:ascii="Times New Roman" w:eastAsia="Times New Roman" w:hAnsi="Times New Roman" w:cs="Times New Roman"/>
                <w:sz w:val="20"/>
                <w:szCs w:val="20"/>
                <w:lang w:eastAsia="ru-RU"/>
              </w:rPr>
              <w:t>IV.</w:t>
            </w: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A31D96">
              <w:rPr>
                <w:rFonts w:ascii="Times New Roman" w:eastAsia="Times New Roman" w:hAnsi="Times New Roman" w:cs="Times New Roman"/>
                <w:b/>
                <w:sz w:val="20"/>
                <w:szCs w:val="20"/>
                <w:lang w:val="en-US" w:eastAsia="ru-RU"/>
              </w:rPr>
              <w:t>Se accept</w:t>
            </w:r>
            <w:r w:rsidRPr="00A31D96">
              <w:rPr>
                <w:rFonts w:ascii="Times New Roman" w:eastAsia="Times New Roman" w:hAnsi="Times New Roman" w:cs="Times New Roman"/>
                <w:b/>
                <w:sz w:val="20"/>
                <w:szCs w:val="20"/>
                <w:lang w:val="ro-RO" w:eastAsia="ru-RU"/>
              </w:rPr>
              <w:t>ă</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A31D96">
              <w:rPr>
                <w:rFonts w:ascii="Times New Roman" w:eastAsia="Times New Roman" w:hAnsi="Times New Roman" w:cs="Times New Roman"/>
                <w:sz w:val="20"/>
                <w:szCs w:val="20"/>
                <w:lang w:val="ro-RO" w:eastAsia="ru-RU"/>
              </w:rPr>
              <w:t xml:space="preserve">Cuvîntul „text” a fost substituit cu cuvîntul „propoziție”. </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tc>
      </w:tr>
      <w:tr w:rsidR="00A31D96" w:rsidRPr="00490491" w:rsidTr="005303BD">
        <w:tc>
          <w:tcPr>
            <w:tcW w:w="3506" w:type="dxa"/>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6. Articolul 27:</w:t>
            </w:r>
          </w:p>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sz w:val="20"/>
                <w:szCs w:val="20"/>
                <w:lang w:val="en-US" w:eastAsia="ru-RU"/>
              </w:rPr>
            </w:pPr>
            <w:proofErr w:type="gramStart"/>
            <w:r w:rsidRPr="00A31D96">
              <w:rPr>
                <w:rFonts w:ascii="Times New Roman" w:eastAsia="Times New Roman" w:hAnsi="Times New Roman" w:cs="Times New Roman"/>
                <w:sz w:val="20"/>
                <w:szCs w:val="20"/>
                <w:lang w:val="en-US" w:eastAsia="ru-RU"/>
              </w:rPr>
              <w:t>la</w:t>
            </w:r>
            <w:proofErr w:type="gramEnd"/>
            <w:r w:rsidRPr="00A31D96">
              <w:rPr>
                <w:rFonts w:ascii="Times New Roman" w:eastAsia="Times New Roman" w:hAnsi="Times New Roman" w:cs="Times New Roman"/>
                <w:sz w:val="20"/>
                <w:szCs w:val="20"/>
                <w:lang w:val="en-US" w:eastAsia="ru-RU"/>
              </w:rPr>
              <w:t xml:space="preserve"> alineatul (1) lit.a), după textul „funcțiunii, ” se completează cu textul „decât în cazurile și limitele prevăzute de prezenta lege și alte acte normative”.</w:t>
            </w:r>
          </w:p>
        </w:tc>
        <w:tc>
          <w:tcPr>
            <w:tcW w:w="2263" w:type="dxa"/>
            <w:vMerge/>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tc>
        <w:tc>
          <w:tcPr>
            <w:tcW w:w="1134" w:type="dxa"/>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sz w:val="20"/>
                <w:szCs w:val="20"/>
                <w:lang w:eastAsia="ru-RU"/>
              </w:rPr>
            </w:pPr>
            <w:r w:rsidRPr="00A31D96">
              <w:rPr>
                <w:rFonts w:ascii="Times New Roman" w:eastAsia="Times New Roman" w:hAnsi="Times New Roman" w:cs="Times New Roman"/>
                <w:sz w:val="20"/>
                <w:szCs w:val="20"/>
                <w:lang w:eastAsia="ru-RU"/>
              </w:rPr>
              <w:t>5</w:t>
            </w:r>
          </w:p>
        </w:tc>
        <w:tc>
          <w:tcPr>
            <w:tcW w:w="4536" w:type="dxa"/>
            <w:gridSpan w:val="3"/>
          </w:tcPr>
          <w:p w:rsidR="00A31D96" w:rsidRPr="00A31D96" w:rsidRDefault="00A31D96" w:rsidP="00A31D96">
            <w:pPr>
              <w:tabs>
                <w:tab w:val="left" w:pos="884"/>
                <w:tab w:val="left" w:pos="1196"/>
              </w:tabs>
              <w:spacing w:before="5" w:after="0" w:line="240" w:lineRule="auto"/>
              <w:ind w:right="5"/>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 xml:space="preserve">La pct. 6, în art. 27 alin. (1) </w:t>
            </w:r>
            <w:proofErr w:type="gramStart"/>
            <w:r w:rsidRPr="00A31D96">
              <w:rPr>
                <w:rFonts w:ascii="Times New Roman" w:eastAsia="Times New Roman" w:hAnsi="Times New Roman" w:cs="Times New Roman"/>
                <w:sz w:val="20"/>
                <w:szCs w:val="20"/>
                <w:lang w:val="en-US" w:eastAsia="ru-RU"/>
              </w:rPr>
              <w:t>lit</w:t>
            </w:r>
            <w:proofErr w:type="gramEnd"/>
            <w:r w:rsidRPr="00A31D96">
              <w:rPr>
                <w:rFonts w:ascii="Times New Roman" w:eastAsia="Times New Roman" w:hAnsi="Times New Roman" w:cs="Times New Roman"/>
                <w:sz w:val="20"/>
                <w:szCs w:val="20"/>
                <w:lang w:val="en-US" w:eastAsia="ru-RU"/>
              </w:rPr>
              <w:t xml:space="preserve">. a) </w:t>
            </w:r>
            <w:proofErr w:type="gramStart"/>
            <w:r w:rsidRPr="00A31D96">
              <w:rPr>
                <w:rFonts w:ascii="Times New Roman" w:eastAsia="Times New Roman" w:hAnsi="Times New Roman" w:cs="Times New Roman"/>
                <w:sz w:val="20"/>
                <w:szCs w:val="20"/>
                <w:lang w:val="en-US" w:eastAsia="ru-RU"/>
              </w:rPr>
              <w:t>cuvântul</w:t>
            </w:r>
            <w:proofErr w:type="gramEnd"/>
            <w:r w:rsidRPr="00A31D96">
              <w:rPr>
                <w:rFonts w:ascii="Times New Roman" w:eastAsia="Times New Roman" w:hAnsi="Times New Roman" w:cs="Times New Roman"/>
                <w:sz w:val="20"/>
                <w:szCs w:val="20"/>
                <w:lang w:val="en-US" w:eastAsia="ru-RU"/>
              </w:rPr>
              <w:t xml:space="preserve"> „funcțiunii” se utilizează la finalul literei. Prin urmare, în speță se va aplica regula de completare implicită la final, fără </w:t>
            </w:r>
            <w:proofErr w:type="gramStart"/>
            <w:r w:rsidRPr="00A31D96">
              <w:rPr>
                <w:rFonts w:ascii="Times New Roman" w:eastAsia="Times New Roman" w:hAnsi="Times New Roman" w:cs="Times New Roman"/>
                <w:sz w:val="20"/>
                <w:szCs w:val="20"/>
                <w:lang w:val="en-US" w:eastAsia="ru-RU"/>
              </w:rPr>
              <w:t>a</w:t>
            </w:r>
            <w:proofErr w:type="gramEnd"/>
            <w:r w:rsidRPr="00A31D96">
              <w:rPr>
                <w:rFonts w:ascii="Times New Roman" w:eastAsia="Times New Roman" w:hAnsi="Times New Roman" w:cs="Times New Roman"/>
                <w:sz w:val="20"/>
                <w:szCs w:val="20"/>
                <w:lang w:val="en-US" w:eastAsia="ru-RU"/>
              </w:rPr>
              <w:t xml:space="preserve"> individualiza după care cuvânt se va opera modificarea.</w:t>
            </w: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Se acceptă</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Propunerea de modificare a art.27 alin</w:t>
            </w:r>
            <w:proofErr w:type="gramStart"/>
            <w:r w:rsidRPr="00A31D96">
              <w:rPr>
                <w:rFonts w:ascii="Times New Roman" w:eastAsia="Times New Roman" w:hAnsi="Times New Roman" w:cs="Times New Roman"/>
                <w:sz w:val="20"/>
                <w:szCs w:val="20"/>
                <w:lang w:val="en-US" w:eastAsia="ru-RU"/>
              </w:rPr>
              <w:t>.(</w:t>
            </w:r>
            <w:proofErr w:type="gramEnd"/>
            <w:r w:rsidRPr="00A31D96">
              <w:rPr>
                <w:rFonts w:ascii="Times New Roman" w:eastAsia="Times New Roman" w:hAnsi="Times New Roman" w:cs="Times New Roman"/>
                <w:sz w:val="20"/>
                <w:szCs w:val="20"/>
                <w:lang w:val="en-US" w:eastAsia="ru-RU"/>
              </w:rPr>
              <w:t>1) lit.a) a fost redactată conform propunerii.</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p>
          <w:p w:rsidR="00A31D96" w:rsidRPr="00A31D96" w:rsidRDefault="00A31D96" w:rsidP="00A31D96">
            <w:pPr>
              <w:spacing w:after="0" w:line="240" w:lineRule="auto"/>
              <w:contextualSpacing/>
              <w:jc w:val="both"/>
              <w:rPr>
                <w:rFonts w:ascii="Times New Roman" w:eastAsia="Times New Roman" w:hAnsi="Times New Roman" w:cs="Times New Roman"/>
                <w:b/>
                <w:sz w:val="20"/>
                <w:szCs w:val="20"/>
                <w:lang w:val="en-US" w:eastAsia="ru-RU"/>
              </w:rPr>
            </w:pPr>
          </w:p>
        </w:tc>
      </w:tr>
      <w:tr w:rsidR="00A31D96" w:rsidRPr="00490491" w:rsidTr="005303BD">
        <w:tc>
          <w:tcPr>
            <w:tcW w:w="3506" w:type="dxa"/>
          </w:tcPr>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b/>
                <w:sz w:val="20"/>
                <w:szCs w:val="20"/>
                <w:lang w:val="en-US" w:eastAsia="ru-RU"/>
              </w:rPr>
              <w:t xml:space="preserve">Art. IV. – Codul administrativ al Republicii Moldova nr. 116/2018 </w:t>
            </w:r>
            <w:r w:rsidRPr="00A31D96">
              <w:rPr>
                <w:rFonts w:ascii="Times New Roman" w:eastAsia="Times New Roman" w:hAnsi="Times New Roman" w:cs="Times New Roman"/>
                <w:sz w:val="20"/>
                <w:szCs w:val="20"/>
                <w:lang w:val="en-US" w:eastAsia="ru-RU"/>
              </w:rPr>
              <w:t>(Monitorul Oficial al Republicii Moldova, 2018, nr. 309-320, art.466) se modifică după cum urmează:</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 xml:space="preserve">           2. </w:t>
            </w:r>
            <w:r w:rsidRPr="00A31D96">
              <w:rPr>
                <w:rFonts w:ascii="Times New Roman" w:eastAsia="Times New Roman" w:hAnsi="Times New Roman" w:cs="Times New Roman"/>
                <w:b/>
                <w:sz w:val="20"/>
                <w:szCs w:val="20"/>
                <w:lang w:val="en-US" w:eastAsia="ru-RU"/>
              </w:rPr>
              <w:t>Articolul</w:t>
            </w:r>
            <w:r w:rsidRPr="00A31D96">
              <w:rPr>
                <w:rFonts w:ascii="Times New Roman" w:eastAsia="Times New Roman" w:hAnsi="Times New Roman" w:cs="Times New Roman"/>
                <w:sz w:val="20"/>
                <w:szCs w:val="20"/>
                <w:lang w:val="en-US" w:eastAsia="ru-RU"/>
              </w:rPr>
              <w:t xml:space="preserve"> </w:t>
            </w:r>
            <w:r w:rsidRPr="00A31D96">
              <w:rPr>
                <w:rFonts w:ascii="Times New Roman" w:eastAsia="Times New Roman" w:hAnsi="Times New Roman" w:cs="Times New Roman"/>
                <w:b/>
                <w:sz w:val="20"/>
                <w:szCs w:val="20"/>
                <w:lang w:val="en-US" w:eastAsia="ru-RU"/>
              </w:rPr>
              <w:t>57</w:t>
            </w:r>
            <w:r w:rsidRPr="00A31D96">
              <w:rPr>
                <w:rFonts w:ascii="Times New Roman" w:eastAsia="Times New Roman" w:hAnsi="Times New Roman" w:cs="Times New Roman"/>
                <w:sz w:val="20"/>
                <w:szCs w:val="20"/>
                <w:lang w:val="en-US" w:eastAsia="ru-RU"/>
              </w:rPr>
              <w:t xml:space="preserve"> alineatul (2) se completează cu textul „Prevederile prezentului alineat nu se aplică Comisiei Naționale a Pieței Financiare și atribuțiilor </w:t>
            </w:r>
            <w:proofErr w:type="gramStart"/>
            <w:r w:rsidRPr="00A31D96">
              <w:rPr>
                <w:rFonts w:ascii="Times New Roman" w:eastAsia="Times New Roman" w:hAnsi="Times New Roman" w:cs="Times New Roman"/>
                <w:sz w:val="20"/>
                <w:szCs w:val="20"/>
                <w:lang w:val="en-US" w:eastAsia="ru-RU"/>
              </w:rPr>
              <w:t>acesteia  în</w:t>
            </w:r>
            <w:proofErr w:type="gramEnd"/>
            <w:r w:rsidRPr="00A31D96">
              <w:rPr>
                <w:rFonts w:ascii="Times New Roman" w:eastAsia="Times New Roman" w:hAnsi="Times New Roman" w:cs="Times New Roman"/>
                <w:sz w:val="20"/>
                <w:szCs w:val="20"/>
                <w:lang w:val="en-US" w:eastAsia="ru-RU"/>
              </w:rPr>
              <w:t xml:space="preserve"> raport cu entitățile licențiate, autorizate și supravegheate de Comisia Națională a Pieței Financiare.”.</w:t>
            </w:r>
          </w:p>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sz w:val="20"/>
                <w:szCs w:val="20"/>
                <w:lang w:val="en-US" w:eastAsia="ru-RU"/>
              </w:rPr>
            </w:pPr>
          </w:p>
        </w:tc>
        <w:tc>
          <w:tcPr>
            <w:tcW w:w="2263" w:type="dxa"/>
            <w:vMerge/>
            <w:tcBorders>
              <w:bottom w:val="single" w:sz="4" w:space="0" w:color="auto"/>
            </w:tcBorders>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p>
        </w:tc>
        <w:tc>
          <w:tcPr>
            <w:tcW w:w="1134" w:type="dxa"/>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sz w:val="20"/>
                <w:szCs w:val="20"/>
                <w:highlight w:val="yellow"/>
                <w:lang w:eastAsia="ru-RU"/>
              </w:rPr>
            </w:pPr>
            <w:r w:rsidRPr="00A31D96">
              <w:rPr>
                <w:rFonts w:ascii="Times New Roman" w:eastAsia="Times New Roman" w:hAnsi="Times New Roman" w:cs="Times New Roman"/>
                <w:sz w:val="20"/>
                <w:szCs w:val="20"/>
                <w:lang w:eastAsia="ru-RU"/>
              </w:rPr>
              <w:t>6</w:t>
            </w:r>
          </w:p>
        </w:tc>
        <w:tc>
          <w:tcPr>
            <w:tcW w:w="4536" w:type="dxa"/>
            <w:gridSpan w:val="3"/>
          </w:tcPr>
          <w:p w:rsidR="00A31D96" w:rsidRPr="00A31D96" w:rsidRDefault="00A31D96" w:rsidP="00A31D96">
            <w:pPr>
              <w:tabs>
                <w:tab w:val="left" w:pos="171"/>
                <w:tab w:val="left" w:pos="1196"/>
              </w:tabs>
              <w:spacing w:before="5" w:after="0" w:line="240" w:lineRule="auto"/>
              <w:ind w:right="5" w:firstLine="29"/>
              <w:jc w:val="both"/>
              <w:rPr>
                <w:rFonts w:ascii="Times New Roman" w:eastAsia="Times New Roman" w:hAnsi="Times New Roman" w:cs="Times New Roman"/>
                <w:sz w:val="20"/>
                <w:szCs w:val="20"/>
                <w:highlight w:val="yellow"/>
                <w:lang w:val="en-US" w:eastAsia="ru-RU"/>
              </w:rPr>
            </w:pPr>
            <w:r w:rsidRPr="00A31D96">
              <w:rPr>
                <w:rFonts w:ascii="Times New Roman" w:eastAsia="Times New Roman" w:hAnsi="Times New Roman" w:cs="Times New Roman"/>
                <w:sz w:val="20"/>
                <w:szCs w:val="20"/>
                <w:lang w:val="en-US" w:eastAsia="ru-RU"/>
              </w:rPr>
              <w:t xml:space="preserve">La pct. 2 se va reanaliza completarea art. 57 alin. (2) </w:t>
            </w:r>
            <w:proofErr w:type="gramStart"/>
            <w:r w:rsidRPr="00A31D96">
              <w:rPr>
                <w:rFonts w:ascii="Times New Roman" w:eastAsia="Times New Roman" w:hAnsi="Times New Roman" w:cs="Times New Roman"/>
                <w:sz w:val="20"/>
                <w:szCs w:val="20"/>
                <w:lang w:val="en-US" w:eastAsia="ru-RU"/>
              </w:rPr>
              <w:t>cu</w:t>
            </w:r>
            <w:proofErr w:type="gramEnd"/>
            <w:r w:rsidRPr="00A31D96">
              <w:rPr>
                <w:rFonts w:ascii="Times New Roman" w:eastAsia="Times New Roman" w:hAnsi="Times New Roman" w:cs="Times New Roman"/>
                <w:sz w:val="20"/>
                <w:szCs w:val="20"/>
                <w:lang w:val="en-US" w:eastAsia="ru-RU"/>
              </w:rPr>
              <w:t xml:space="preserve"> propoziția „Prevederile prezentului alineat nu se aplică Comisiei Naționale a Pieței Financiare și atribuțiilor acesteia în raport cu entitățile licențiate, autorizate și supravegheate de Comisia Națională a Pieței Financiare.” Relevăm că, alin. (2) se aplică în cazul în care există riscul de amânare a efectuării unui act/operațiuni urgente, stabilind ope legis competența oricărei autorități publice de a lua măsurile urgente dacă evenimentul care impune măsura s-a produs în aria sa de competență teritorială, chiar dacă acea autoritate publică nu are competența materială. Autoritatea publică competentă material este informată în cel mult 3 zile, dată de la care competența de urgență încetează de drept. </w:t>
            </w:r>
            <w:r w:rsidRPr="00A31D96">
              <w:rPr>
                <w:rFonts w:ascii="Times New Roman" w:eastAsia="Times New Roman" w:hAnsi="Times New Roman" w:cs="Times New Roman"/>
                <w:bCs/>
                <w:sz w:val="20"/>
                <w:szCs w:val="20"/>
                <w:lang w:val="en-US" w:eastAsia="ru-RU"/>
              </w:rPr>
              <w:t>Dacă</w:t>
            </w:r>
            <w:r w:rsidRPr="00A31D96">
              <w:rPr>
                <w:rFonts w:ascii="Times New Roman" w:eastAsia="Times New Roman" w:hAnsi="Times New Roman" w:cs="Times New Roman"/>
                <w:sz w:val="20"/>
                <w:szCs w:val="20"/>
                <w:lang w:val="en-US" w:eastAsia="ru-RU"/>
              </w:rPr>
              <w:t xml:space="preserve"> </w:t>
            </w:r>
            <w:r w:rsidRPr="00A31D96">
              <w:rPr>
                <w:rFonts w:ascii="Times New Roman" w:eastAsia="Times New Roman" w:hAnsi="Times New Roman" w:cs="Times New Roman"/>
                <w:bCs/>
                <w:sz w:val="20"/>
                <w:szCs w:val="20"/>
                <w:lang w:val="en-US" w:eastAsia="ru-RU"/>
              </w:rPr>
              <w:t>intenția</w:t>
            </w:r>
            <w:r w:rsidRPr="00A31D96">
              <w:rPr>
                <w:rFonts w:ascii="Times New Roman" w:eastAsia="Times New Roman" w:hAnsi="Times New Roman" w:cs="Times New Roman"/>
                <w:sz w:val="20"/>
                <w:szCs w:val="20"/>
                <w:lang w:val="en-US" w:eastAsia="ru-RU"/>
              </w:rPr>
              <w:t xml:space="preserve"> a fost de a reglementa că și în cazurile urgente Comisia Națională a Pieței Financiare are competență exclusivă în raport cu entitățile licențiate, autorizate și supravegheate, se va stabili explicit acest fapt. Eventual, în nota informativă pot fi prezentate explicațiile de rigoare, or, în conformitate cu art. 71 </w:t>
            </w:r>
            <w:r w:rsidRPr="00A31D96">
              <w:rPr>
                <w:rFonts w:ascii="Times New Roman" w:eastAsia="Times New Roman" w:hAnsi="Times New Roman" w:cs="Times New Roman"/>
                <w:sz w:val="20"/>
                <w:szCs w:val="20"/>
                <w:lang w:val="en-US" w:eastAsia="ru-RU"/>
              </w:rPr>
              <w:lastRenderedPageBreak/>
              <w:t xml:space="preserve">alin. (4) </w:t>
            </w:r>
            <w:proofErr w:type="gramStart"/>
            <w:r w:rsidRPr="00A31D96">
              <w:rPr>
                <w:rFonts w:ascii="Times New Roman" w:eastAsia="Times New Roman" w:hAnsi="Times New Roman" w:cs="Times New Roman"/>
                <w:sz w:val="20"/>
                <w:szCs w:val="20"/>
                <w:lang w:val="en-US" w:eastAsia="ru-RU"/>
              </w:rPr>
              <w:t>din</w:t>
            </w:r>
            <w:proofErr w:type="gramEnd"/>
            <w:r w:rsidRPr="00A31D96">
              <w:rPr>
                <w:rFonts w:ascii="Times New Roman" w:eastAsia="Times New Roman" w:hAnsi="Times New Roman" w:cs="Times New Roman"/>
                <w:sz w:val="20"/>
                <w:szCs w:val="20"/>
                <w:lang w:val="en-US" w:eastAsia="ru-RU"/>
              </w:rPr>
              <w:t xml:space="preserve"> Legea nr. 100/2017 „La interpretarea actului normativ se ţine cont de nota informativă care a însoţit proiectul actului normativ respectiv şi de alte documente care permit identificarea voinţei autorităţii publice care a adoptat, a aprobat sau a emis actul normativ.”</w:t>
            </w: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lastRenderedPageBreak/>
              <w:t>Se acceptă</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highlight w:val="green"/>
                <w:lang w:val="en-US" w:eastAsia="ru-RU"/>
              </w:rPr>
            </w:pPr>
            <w:r w:rsidRPr="00A31D96">
              <w:rPr>
                <w:rFonts w:ascii="Times New Roman" w:eastAsia="Times New Roman" w:hAnsi="Times New Roman" w:cs="Times New Roman"/>
                <w:bCs/>
                <w:sz w:val="20"/>
                <w:szCs w:val="20"/>
                <w:lang w:val="en-US" w:eastAsia="ru-RU"/>
              </w:rPr>
              <w:t>A fost expus în altă redacție, mai explicit, la sugestia Ministerului justiției, fiind prezentate explicațiile de rigoare în nota informativă la proiect. Astfel, completarea la art.</w:t>
            </w:r>
            <w:r w:rsidRPr="00A31D96">
              <w:rPr>
                <w:rFonts w:ascii="Times New Roman" w:eastAsia="Calibri" w:hAnsi="Times New Roman" w:cs="Times New Roman"/>
                <w:bCs/>
                <w:sz w:val="20"/>
                <w:szCs w:val="20"/>
                <w:lang w:val="en-US"/>
              </w:rPr>
              <w:t xml:space="preserve"> 57 alin</w:t>
            </w:r>
            <w:proofErr w:type="gramStart"/>
            <w:r w:rsidRPr="00A31D96">
              <w:rPr>
                <w:rFonts w:ascii="Times New Roman" w:eastAsia="Calibri" w:hAnsi="Times New Roman" w:cs="Times New Roman"/>
                <w:bCs/>
                <w:sz w:val="20"/>
                <w:szCs w:val="20"/>
                <w:lang w:val="en-US"/>
              </w:rPr>
              <w:t>.(</w:t>
            </w:r>
            <w:proofErr w:type="gramEnd"/>
            <w:r w:rsidRPr="00A31D96">
              <w:rPr>
                <w:rFonts w:ascii="Times New Roman" w:eastAsia="Calibri" w:hAnsi="Times New Roman" w:cs="Times New Roman"/>
                <w:bCs/>
                <w:sz w:val="20"/>
                <w:szCs w:val="20"/>
                <w:lang w:val="en-US"/>
              </w:rPr>
              <w:t>2), va stabili explicit,</w:t>
            </w:r>
            <w:r w:rsidRPr="00A31D96">
              <w:rPr>
                <w:rFonts w:ascii="Times New Roman" w:eastAsia="Calibri" w:hAnsi="Times New Roman" w:cs="Times New Roman"/>
                <w:sz w:val="20"/>
                <w:szCs w:val="20"/>
                <w:lang w:val="en-US"/>
              </w:rPr>
              <w:t xml:space="preserve"> că: ”Prevederile prezentului alineat nu se aplică  în raport cu  domeniul  pieței financiare nebancare.”</w:t>
            </w:r>
          </w:p>
          <w:p w:rsidR="00A31D96" w:rsidRPr="00A31D96" w:rsidRDefault="00A31D96" w:rsidP="00A31D96">
            <w:pPr>
              <w:tabs>
                <w:tab w:val="left" w:pos="884"/>
                <w:tab w:val="left" w:pos="1196"/>
              </w:tabs>
              <w:spacing w:after="0" w:line="240" w:lineRule="auto"/>
              <w:jc w:val="both"/>
              <w:rPr>
                <w:rFonts w:ascii="Times New Roman" w:eastAsia="Calibri" w:hAnsi="Times New Roman" w:cs="Times New Roman"/>
                <w:sz w:val="20"/>
                <w:szCs w:val="20"/>
                <w:lang w:val="ro-RO"/>
              </w:rPr>
            </w:pPr>
            <w:r w:rsidRPr="00A31D96">
              <w:rPr>
                <w:rFonts w:ascii="Times New Roman" w:eastAsia="Times New Roman" w:hAnsi="Times New Roman" w:cs="Times New Roman"/>
                <w:b/>
                <w:sz w:val="20"/>
                <w:szCs w:val="20"/>
                <w:lang w:val="en-US" w:eastAsia="ru-RU"/>
              </w:rPr>
              <w:t xml:space="preserve"> </w:t>
            </w:r>
            <w:r w:rsidRPr="00A31D96">
              <w:rPr>
                <w:rFonts w:ascii="Times New Roman" w:eastAsia="Calibri" w:hAnsi="Times New Roman" w:cs="Times New Roman"/>
                <w:sz w:val="20"/>
                <w:szCs w:val="20"/>
                <w:lang w:val="ro-RO"/>
              </w:rPr>
              <w:t xml:space="preserve">Având în vedere specificul pieței financiare nebancare, obiectivele de a asigura stabilitatea, transparența, siguranța și eficiența sectorului financiar nebancar, prevenirea riscurilor sistemice și manipulării pe piața financiară nebancară, protejarea drepturilor participanților la piața financiară nebancară (art.3 din Legea privind Comisia Națională a Pieței Financiare( Legea nr.192/1998), au fost puse pe seama unei autorități specializate, înzestrată în acest scop cu atribuțiile și </w:t>
            </w:r>
            <w:r w:rsidRPr="00A31D96">
              <w:rPr>
                <w:rFonts w:ascii="Times New Roman" w:eastAsia="Calibri" w:hAnsi="Times New Roman" w:cs="Times New Roman"/>
                <w:sz w:val="20"/>
                <w:szCs w:val="20"/>
                <w:lang w:val="ro-RO"/>
              </w:rPr>
              <w:lastRenderedPageBreak/>
              <w:t>garanțiile necesare de activitate, determinate imperativ de lege. Amendamentul are menirea excluderii intervențiilor în domeniile supravegheate de CNPF.</w:t>
            </w:r>
          </w:p>
          <w:p w:rsidR="00A31D96" w:rsidRPr="00A31D96" w:rsidRDefault="00A31D96" w:rsidP="00A31D96">
            <w:pPr>
              <w:spacing w:after="0" w:line="240" w:lineRule="auto"/>
              <w:jc w:val="both"/>
              <w:rPr>
                <w:rFonts w:ascii="Times New Roman" w:eastAsia="Times New Roman" w:hAnsi="Times New Roman" w:cs="Times New Roman"/>
                <w:b/>
                <w:sz w:val="20"/>
                <w:szCs w:val="20"/>
                <w:highlight w:val="green"/>
                <w:lang w:val="en-US" w:eastAsia="ru-RU"/>
              </w:rPr>
            </w:pPr>
            <w:r w:rsidRPr="00A31D96">
              <w:rPr>
                <w:rFonts w:ascii="Times New Roman" w:eastAsia="Calibri" w:hAnsi="Times New Roman" w:cs="Times New Roman"/>
                <w:sz w:val="20"/>
                <w:szCs w:val="20"/>
                <w:lang w:val="ro-RO"/>
              </w:rPr>
              <w:t xml:space="preserve">Remarcăm, că în virtutea prevederilor Legii nr.192/1998 (art.1,4,7), autoritatea CNPF se extinde pe întreg teritoriu și asupra tuturor participanților pieței financiare nebancare. Conform prevederilor imperative ale art.4 alin.(5) din Legea nr.192/1998, în exercitarea atribuțiilor și împuternicirilor sale, stabilite de Legea prenotată, de actele legislative specifice fiecărui domeniu supravegheat, CNPF  nu poate fi îngrădită de nici o altă autoritate (ceea ce presupune că nici o autoritate nu poate interveni în domeniile supravegheate de CNPF). Luînd în considerație, competenţa sa de reglementare şi supraveghere a unui domeniu specific/concret, C.N.P.F. ca autoritate responsabilă de domeniul financiar nebancar este cea mai indicată să aprobe „modul” în care se va proceda și, oportunitatea măsurii aplicate (reieșind din caracterul și impactul/scopul acesteia) în vederea asigurării stabilității, siguranței și eficienței sectorului financiar nebancar. </w:t>
            </w:r>
            <w:r w:rsidRPr="00A31D96">
              <w:rPr>
                <w:rFonts w:ascii="Times New Roman" w:eastAsia="Calibri" w:hAnsi="Times New Roman" w:cs="Times New Roman"/>
                <w:b/>
                <w:sz w:val="20"/>
                <w:szCs w:val="20"/>
                <w:lang w:val="ro-RO"/>
              </w:rPr>
              <w:t>Or</w:t>
            </w:r>
            <w:r w:rsidRPr="00A31D96">
              <w:rPr>
                <w:rFonts w:ascii="Times New Roman" w:eastAsia="Calibri" w:hAnsi="Times New Roman" w:cs="Times New Roman"/>
                <w:sz w:val="20"/>
                <w:szCs w:val="20"/>
                <w:lang w:val="ro-RO"/>
              </w:rPr>
              <w:t>, anume autoritatea de supraveghere este cea mai, în măsură să înţeleagă domeniul, să evalueze/analizeze și să identifice carenţele şi respectiv, să indice cele mai eficiente modalități de intervenție (supraveghere/ reglementare/remediere profesionistă a situației concrete).</w:t>
            </w:r>
          </w:p>
        </w:tc>
      </w:tr>
      <w:tr w:rsidR="00A31D96" w:rsidRPr="00A31D96" w:rsidTr="005303BD">
        <w:tc>
          <w:tcPr>
            <w:tcW w:w="3506" w:type="dxa"/>
          </w:tcPr>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lastRenderedPageBreak/>
              <w:t>5.</w:t>
            </w:r>
            <w:r w:rsidRPr="00A31D96">
              <w:rPr>
                <w:rFonts w:ascii="Times New Roman" w:eastAsia="Times New Roman" w:hAnsi="Times New Roman" w:cs="Times New Roman"/>
                <w:sz w:val="20"/>
                <w:szCs w:val="20"/>
                <w:lang w:val="en-US" w:eastAsia="ru-RU"/>
              </w:rPr>
              <w:tab/>
              <w:t xml:space="preserve">Articolul 144 alineatul (6) se completează cu litera d) cu următorul cuprins: </w:t>
            </w:r>
          </w:p>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 xml:space="preserve">„d) </w:t>
            </w:r>
            <w:proofErr w:type="gramStart"/>
            <w:r w:rsidRPr="00A31D96">
              <w:rPr>
                <w:rFonts w:ascii="Times New Roman" w:eastAsia="Times New Roman" w:hAnsi="Times New Roman" w:cs="Times New Roman"/>
                <w:sz w:val="20"/>
                <w:szCs w:val="20"/>
                <w:lang w:val="en-US" w:eastAsia="ru-RU"/>
              </w:rPr>
              <w:t>actul</w:t>
            </w:r>
            <w:proofErr w:type="gramEnd"/>
            <w:r w:rsidRPr="00A31D96">
              <w:rPr>
                <w:rFonts w:ascii="Times New Roman" w:eastAsia="Times New Roman" w:hAnsi="Times New Roman" w:cs="Times New Roman"/>
                <w:sz w:val="20"/>
                <w:szCs w:val="20"/>
                <w:lang w:val="en-US" w:eastAsia="ru-RU"/>
              </w:rPr>
              <w:t xml:space="preserve"> retras este licența/autorizația/confirmarea persoanelor cu funcții de răspundere (administratorilor)/permisul prealabil pentru deținerea participației calificate pe piața financiară nebancară.”.</w:t>
            </w:r>
          </w:p>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lastRenderedPageBreak/>
              <w:t>6.</w:t>
            </w:r>
            <w:r w:rsidRPr="00A31D96">
              <w:rPr>
                <w:rFonts w:ascii="Times New Roman" w:eastAsia="Times New Roman" w:hAnsi="Times New Roman" w:cs="Times New Roman"/>
                <w:sz w:val="20"/>
                <w:szCs w:val="20"/>
                <w:lang w:val="en-US" w:eastAsia="ru-RU"/>
              </w:rPr>
              <w:tab/>
              <w:t>Articolul 146 alineatul (3) se completează cu textul „Termenul de un an prevăzut în prezentul alineat nu se aplică în cazul retragerii licenței/autorizației/confirmării persoanelor cu funcții de răspundere (administratorilor)/permisului prealabil pentru deținerea participației calificate pe piața financiară nebancară.</w:t>
            </w:r>
            <w:proofErr w:type="gramStart"/>
            <w:r w:rsidRPr="00A31D96">
              <w:rPr>
                <w:rFonts w:ascii="Times New Roman" w:eastAsia="Times New Roman" w:hAnsi="Times New Roman" w:cs="Times New Roman"/>
                <w:sz w:val="20"/>
                <w:szCs w:val="20"/>
                <w:lang w:val="en-US" w:eastAsia="ru-RU"/>
              </w:rPr>
              <w:t>”.</w:t>
            </w:r>
            <w:proofErr w:type="gramEnd"/>
          </w:p>
        </w:tc>
        <w:tc>
          <w:tcPr>
            <w:tcW w:w="2263" w:type="dxa"/>
            <w:tcBorders>
              <w:top w:val="single" w:sz="4" w:space="0" w:color="auto"/>
            </w:tcBorders>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en-US"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en-US"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en-US" w:eastAsia="ru-RU"/>
              </w:rPr>
            </w:pPr>
          </w:p>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en-US" w:eastAsia="ru-RU"/>
              </w:rPr>
            </w:pPr>
          </w:p>
        </w:tc>
        <w:tc>
          <w:tcPr>
            <w:tcW w:w="1134" w:type="dxa"/>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sz w:val="20"/>
                <w:szCs w:val="20"/>
                <w:lang w:eastAsia="ru-RU"/>
              </w:rPr>
            </w:pPr>
            <w:r w:rsidRPr="00A31D96">
              <w:rPr>
                <w:rFonts w:ascii="Times New Roman" w:eastAsia="Times New Roman" w:hAnsi="Times New Roman" w:cs="Times New Roman"/>
                <w:sz w:val="20"/>
                <w:szCs w:val="20"/>
                <w:lang w:eastAsia="ru-RU"/>
              </w:rPr>
              <w:t>7</w:t>
            </w:r>
          </w:p>
        </w:tc>
        <w:tc>
          <w:tcPr>
            <w:tcW w:w="4536" w:type="dxa"/>
            <w:gridSpan w:val="3"/>
          </w:tcPr>
          <w:p w:rsidR="00A31D96" w:rsidRPr="00A31D96" w:rsidRDefault="00A31D96" w:rsidP="00A31D96">
            <w:pPr>
              <w:spacing w:after="0" w:line="240" w:lineRule="auto"/>
              <w:jc w:val="both"/>
              <w:rPr>
                <w:rFonts w:ascii="Times New Roman" w:eastAsia="Calibri" w:hAnsi="Times New Roman" w:cs="Times New Roman"/>
                <w:sz w:val="20"/>
                <w:szCs w:val="20"/>
                <w:lang w:val="en-US"/>
              </w:rPr>
            </w:pPr>
            <w:r w:rsidRPr="00A31D96">
              <w:rPr>
                <w:rFonts w:ascii="Times New Roman" w:eastAsia="Calibri" w:hAnsi="Times New Roman" w:cs="Times New Roman"/>
                <w:sz w:val="20"/>
                <w:szCs w:val="20"/>
                <w:lang w:val="en-US"/>
              </w:rPr>
              <w:t xml:space="preserve">La pct. 5 și 6, se vor analiza suplimentar modificările propuse a fi operate în art. 144 alin. (6) și art. 146 alin. (3), referitoare la exceptarea unor acte ale Comisiei Naționale a Pieței Financiare de la termenul de decădere de 1 </w:t>
            </w:r>
            <w:proofErr w:type="gramStart"/>
            <w:r w:rsidRPr="00A31D96">
              <w:rPr>
                <w:rFonts w:ascii="Times New Roman" w:eastAsia="Calibri" w:hAnsi="Times New Roman" w:cs="Times New Roman"/>
                <w:sz w:val="20"/>
                <w:szCs w:val="20"/>
                <w:lang w:val="en-US"/>
              </w:rPr>
              <w:t>an</w:t>
            </w:r>
            <w:proofErr w:type="gramEnd"/>
            <w:r w:rsidRPr="00A31D96">
              <w:rPr>
                <w:rFonts w:ascii="Times New Roman" w:eastAsia="Calibri" w:hAnsi="Times New Roman" w:cs="Times New Roman"/>
                <w:sz w:val="20"/>
                <w:szCs w:val="20"/>
                <w:lang w:val="en-US"/>
              </w:rPr>
              <w:t xml:space="preserve"> de zile pentru retragerea/revocarea acestora. Relevăm că redacțiile în vigoare ale acestor prevederi au un scop complex, urmărind atât să sancționeze un comportament culpabil și neglijent în exclusivitate al autorității </w:t>
            </w:r>
            <w:r w:rsidRPr="00A31D96">
              <w:rPr>
                <w:rFonts w:ascii="Times New Roman" w:eastAsia="Calibri" w:hAnsi="Times New Roman" w:cs="Times New Roman"/>
                <w:sz w:val="20"/>
                <w:szCs w:val="20"/>
                <w:lang w:val="en-US"/>
              </w:rPr>
              <w:lastRenderedPageBreak/>
              <w:t>administrative în exercitarea atribuțiilor sale, care, aflând despre circumstanțele care justifică retragerea/revocarea actului administrativ respectiv, timp de 1 an de zile nu întreprinde nici o măsură care se impune de lege, cât și să asigure protecția efectivă a drepturilor și intereselor unui cerc larg de persoane particulare, care, în ipoteză, nu au nici o culpă în survenirea situațiilor prevăzute la art. 144 și 146 din Cod, prin aceasta asigurându-se și securitatea subsecventă a circuitului civil.</w:t>
            </w:r>
          </w:p>
          <w:p w:rsidR="00A31D96" w:rsidRPr="00A31D96" w:rsidRDefault="00A31D96" w:rsidP="00A31D96">
            <w:pPr>
              <w:spacing w:after="0" w:line="240" w:lineRule="auto"/>
              <w:jc w:val="both"/>
              <w:rPr>
                <w:rFonts w:ascii="Times New Roman" w:eastAsia="Times New Roman" w:hAnsi="Times New Roman" w:cs="Times New Roman"/>
                <w:sz w:val="20"/>
                <w:szCs w:val="20"/>
                <w:lang w:val="en-US" w:eastAsia="ru-RU"/>
              </w:rPr>
            </w:pP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lastRenderedPageBreak/>
              <w:t>Nu se acceptă.</w:t>
            </w:r>
          </w:p>
          <w:p w:rsidR="00A31D96" w:rsidRPr="00A31D96" w:rsidRDefault="00A31D96" w:rsidP="00A31D96">
            <w:pPr>
              <w:spacing w:after="0" w:line="240" w:lineRule="auto"/>
              <w:jc w:val="both"/>
              <w:rPr>
                <w:rFonts w:ascii="Times New Roman" w:eastAsia="Calibri" w:hAnsi="Times New Roman" w:cs="Times New Roman"/>
                <w:sz w:val="20"/>
                <w:szCs w:val="20"/>
                <w:lang w:val="ro-RO"/>
              </w:rPr>
            </w:pPr>
            <w:r w:rsidRPr="00A31D96">
              <w:rPr>
                <w:rFonts w:ascii="Times New Roman" w:eastAsia="Times New Roman" w:hAnsi="Times New Roman" w:cs="Times New Roman"/>
                <w:sz w:val="20"/>
                <w:szCs w:val="20"/>
                <w:lang w:val="ro-RO" w:eastAsia="ru-RU"/>
              </w:rPr>
              <w:t>Î</w:t>
            </w:r>
            <w:r w:rsidRPr="00A31D96">
              <w:rPr>
                <w:rFonts w:ascii="Times New Roman" w:eastAsia="Calibri" w:hAnsi="Times New Roman" w:cs="Times New Roman"/>
                <w:sz w:val="20"/>
                <w:szCs w:val="20"/>
                <w:shd w:val="clear" w:color="auto" w:fill="FFFFFF"/>
                <w:lang w:val="en-US"/>
              </w:rPr>
              <w:t xml:space="preserve">n vederea ocrotirii intereselor publice, legea stabileşte norme special, accesul pe piaţa financiară nebancară fiind supusă unei evaluări complexe calitative din partea supraveghetorului prin prisma criteriilor de calitate, soliditate şi posibilă influenţă a participanţilor pieţii cunoscute generic pe plan internaţional ca „potrivit </w:t>
            </w:r>
            <w:r w:rsidRPr="00A31D96">
              <w:rPr>
                <w:rFonts w:ascii="Times New Roman" w:eastAsia="Calibri" w:hAnsi="Times New Roman" w:cs="Times New Roman"/>
                <w:sz w:val="20"/>
                <w:szCs w:val="20"/>
                <w:shd w:val="clear" w:color="auto" w:fill="FFFFFF"/>
                <w:lang w:val="en-US"/>
              </w:rPr>
              <w:lastRenderedPageBreak/>
              <w:t>și adecvat"</w:t>
            </w:r>
            <w:r w:rsidRPr="00A31D96">
              <w:rPr>
                <w:rFonts w:ascii="Times New Roman" w:eastAsia="Times New Roman" w:hAnsi="Times New Roman" w:cs="Times New Roman"/>
                <w:sz w:val="20"/>
                <w:szCs w:val="20"/>
                <w:lang w:val="en-US" w:eastAsia="ru-RU"/>
              </w:rPr>
              <w:t xml:space="preserve"> </w:t>
            </w:r>
            <w:r w:rsidRPr="00A31D96">
              <w:rPr>
                <w:rFonts w:ascii="Times New Roman" w:eastAsia="Calibri" w:hAnsi="Times New Roman" w:cs="Times New Roman"/>
                <w:sz w:val="20"/>
                <w:szCs w:val="20"/>
                <w:lang w:val="ro-RO"/>
              </w:rPr>
              <w:t>(fit and proper).</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Or, persoanele care au o activitate profesională trebuie să dea dovadă de o prudență mai accentuată în cadrul activității lor și este de așteptat ca aceștia să-și asume riscurile inerente activității lor.  Orice participant profesionist al pieţei financiare nebancare, trebuie să-și organizeze întreaga activitate în conformitate cu regulile unei practici prudente și sănătoase, potrivită cu cerințele legislației și actele emise întru executarea/aplicarea acesteia.</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Măsurile aplicate de autoritate trebuie să beneficieze de încrederea publică în condiții libere de orice obstacole, pentru a se bucura de succes în exercitarea reușită a obiectivelor legale, în interes public</w:t>
            </w:r>
          </w:p>
          <w:p w:rsidR="00A31D96" w:rsidRPr="00A31D96" w:rsidRDefault="00A31D96" w:rsidP="00A31D96">
            <w:pPr>
              <w:spacing w:after="0" w:line="240" w:lineRule="auto"/>
              <w:ind w:left="66"/>
              <w:jc w:val="both"/>
              <w:rPr>
                <w:rFonts w:ascii="Times New Roman" w:eastAsia="Times New Roman" w:hAnsi="Times New Roman" w:cs="Times New Roman"/>
                <w:b/>
                <w:sz w:val="20"/>
                <w:szCs w:val="20"/>
                <w:lang w:val="ro-RO" w:eastAsia="ru-RU"/>
              </w:rPr>
            </w:pPr>
            <w:r w:rsidRPr="00A31D96">
              <w:rPr>
                <w:rFonts w:ascii="Times New Roman" w:eastAsia="Calibri" w:hAnsi="Times New Roman" w:cs="Times New Roman"/>
                <w:sz w:val="20"/>
                <w:szCs w:val="20"/>
                <w:lang w:val="ro-RO"/>
              </w:rPr>
              <w:t>Astfel, pentru a fi capabilă să asigure îndeplinirea eficientă a obiectivelor sale, Comisia Națională trebuie să aibă libertatea de a interveni în orice moment, cu orice instrument considerat potrivit, în vederea corectării eventualelor abateri de la principiile/regulile de activitate profesionistă și scopul urmărit, motiv pentru care se impune necesitatea unei flexibilități în intervențiile CNPF (în interes public),</w:t>
            </w:r>
            <w:r w:rsidRPr="00A31D96">
              <w:rPr>
                <w:rFonts w:ascii="Times New Roman" w:eastAsia="Times New Roman" w:hAnsi="Times New Roman" w:cs="Times New Roman"/>
                <w:sz w:val="20"/>
                <w:szCs w:val="20"/>
                <w:lang w:val="ro-RO"/>
              </w:rPr>
              <w:t xml:space="preserve">  care trebuie să le exercite în mod efectiv și descurajator pentru cei care urmăresc, direct sau indirect, lezarea sistemului financiar nebancar.</w:t>
            </w:r>
            <w:r w:rsidRPr="00A31D96">
              <w:rPr>
                <w:rFonts w:ascii="Times New Roman" w:eastAsia="Calibri" w:hAnsi="Times New Roman" w:cs="Times New Roman"/>
                <w:sz w:val="20"/>
                <w:szCs w:val="20"/>
                <w:lang w:val="ro-RO"/>
              </w:rPr>
              <w:t xml:space="preserve"> Prin urmare, inclusiv, în așa mod, poate fi atins și în privința sectorului supravegheat de CNPF scopul normei prevăzute la art. 126 alin. (2) lit. c) din Constituție, potrivit căreia, </w:t>
            </w:r>
            <w:r w:rsidRPr="00A31D96">
              <w:rPr>
                <w:rFonts w:ascii="Times New Roman" w:eastAsia="Calibri" w:hAnsi="Times New Roman" w:cs="Times New Roman"/>
                <w:iCs/>
                <w:sz w:val="20"/>
                <w:szCs w:val="20"/>
                <w:lang w:val="ro-RO"/>
              </w:rPr>
              <w:t>Statul trebuie să asigure:</w:t>
            </w:r>
            <w:r w:rsidRPr="00A31D96">
              <w:rPr>
                <w:rFonts w:ascii="Times New Roman" w:eastAsia="Calibri" w:hAnsi="Times New Roman" w:cs="Times New Roman"/>
                <w:sz w:val="20"/>
                <w:szCs w:val="20"/>
                <w:lang w:val="ro-RO"/>
              </w:rPr>
              <w:t xml:space="preserve"> […] </w:t>
            </w:r>
            <w:r w:rsidRPr="00A31D96">
              <w:rPr>
                <w:rFonts w:ascii="Times New Roman" w:eastAsia="Calibri" w:hAnsi="Times New Roman" w:cs="Times New Roman"/>
                <w:iCs/>
                <w:sz w:val="20"/>
                <w:szCs w:val="20"/>
                <w:lang w:val="ro-RO"/>
              </w:rPr>
              <w:t xml:space="preserve">c) </w:t>
            </w:r>
            <w:r w:rsidRPr="00A31D96">
              <w:rPr>
                <w:rFonts w:ascii="Times New Roman" w:eastAsia="Calibri" w:hAnsi="Times New Roman" w:cs="Times New Roman"/>
                <w:iCs/>
                <w:sz w:val="20"/>
                <w:szCs w:val="20"/>
                <w:u w:val="single"/>
                <w:lang w:val="ro-RO"/>
              </w:rPr>
              <w:t>protejarea</w:t>
            </w:r>
            <w:r w:rsidRPr="00A31D96">
              <w:rPr>
                <w:rFonts w:ascii="Times New Roman" w:eastAsia="Calibri" w:hAnsi="Times New Roman" w:cs="Times New Roman"/>
                <w:iCs/>
                <w:sz w:val="20"/>
                <w:szCs w:val="20"/>
                <w:lang w:val="ro-RO"/>
              </w:rPr>
              <w:t xml:space="preserve"> intereselor naționale în activitatea </w:t>
            </w:r>
            <w:r w:rsidRPr="00A31D96">
              <w:rPr>
                <w:rFonts w:ascii="Times New Roman" w:eastAsia="Calibri" w:hAnsi="Times New Roman" w:cs="Times New Roman"/>
                <w:iCs/>
                <w:sz w:val="20"/>
                <w:szCs w:val="20"/>
                <w:u w:val="single"/>
                <w:lang w:val="ro-RO"/>
              </w:rPr>
              <w:t>economică, financiară</w:t>
            </w:r>
            <w:r w:rsidRPr="00A31D96">
              <w:rPr>
                <w:rFonts w:ascii="Times New Roman" w:eastAsia="Calibri" w:hAnsi="Times New Roman" w:cs="Times New Roman"/>
                <w:iCs/>
                <w:sz w:val="20"/>
                <w:szCs w:val="20"/>
                <w:lang w:val="ro-RO"/>
              </w:rPr>
              <w:t xml:space="preserve"> şi valutară</w:t>
            </w:r>
            <w:r w:rsidRPr="00A31D96">
              <w:rPr>
                <w:rFonts w:ascii="Times New Roman" w:eastAsia="Calibri" w:hAnsi="Times New Roman" w:cs="Times New Roman"/>
                <w:sz w:val="20"/>
                <w:szCs w:val="20"/>
                <w:lang w:val="ro-RO"/>
              </w:rPr>
              <w:t>. Redacția amendamendelor propuse asigură scopul enunțat.</w:t>
            </w:r>
          </w:p>
        </w:tc>
      </w:tr>
      <w:tr w:rsidR="00A31D96" w:rsidRPr="00490491" w:rsidTr="005303BD">
        <w:tc>
          <w:tcPr>
            <w:tcW w:w="3506" w:type="dxa"/>
          </w:tcPr>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b/>
                <w:sz w:val="20"/>
                <w:szCs w:val="20"/>
                <w:lang w:val="en-US" w:eastAsia="ru-RU"/>
              </w:rPr>
              <w:lastRenderedPageBreak/>
              <w:t xml:space="preserve">Art. V. - </w:t>
            </w:r>
            <w:r w:rsidRPr="00A31D96">
              <w:rPr>
                <w:rFonts w:ascii="Times New Roman" w:eastAsia="Times New Roman" w:hAnsi="Times New Roman" w:cs="Times New Roman"/>
                <w:sz w:val="20"/>
                <w:szCs w:val="20"/>
                <w:lang w:val="en-US" w:eastAsia="ru-RU"/>
              </w:rPr>
              <w:t>Prezenta lege intră în vigoare la data publicării în Monitorul Oficial al Republicii Moldova.</w:t>
            </w:r>
          </w:p>
        </w:tc>
        <w:tc>
          <w:tcPr>
            <w:tcW w:w="2263" w:type="dxa"/>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en-US" w:eastAsia="ru-RU"/>
              </w:rPr>
            </w:pPr>
          </w:p>
        </w:tc>
        <w:tc>
          <w:tcPr>
            <w:tcW w:w="1134" w:type="dxa"/>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sz w:val="20"/>
                <w:szCs w:val="20"/>
                <w:lang w:eastAsia="ru-RU"/>
              </w:rPr>
            </w:pPr>
            <w:r w:rsidRPr="00A31D96">
              <w:rPr>
                <w:rFonts w:ascii="Times New Roman" w:eastAsia="Times New Roman" w:hAnsi="Times New Roman" w:cs="Times New Roman"/>
                <w:sz w:val="20"/>
                <w:szCs w:val="20"/>
                <w:lang w:eastAsia="ru-RU"/>
              </w:rPr>
              <w:t>8</w:t>
            </w:r>
          </w:p>
        </w:tc>
        <w:tc>
          <w:tcPr>
            <w:tcW w:w="4536" w:type="dxa"/>
            <w:gridSpan w:val="3"/>
          </w:tcPr>
          <w:p w:rsidR="00A31D96" w:rsidRPr="00A31D96" w:rsidRDefault="00A31D96" w:rsidP="00A31D96">
            <w:pPr>
              <w:tabs>
                <w:tab w:val="left" w:pos="884"/>
                <w:tab w:val="left" w:pos="1196"/>
              </w:tabs>
              <w:spacing w:after="0" w:line="240" w:lineRule="auto"/>
              <w:ind w:firstLine="29"/>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 xml:space="preserve">Cu referire referire la art. V, semnalăm că regula generală privind intrarea în vigoare </w:t>
            </w:r>
            <w:proofErr w:type="gramStart"/>
            <w:r w:rsidRPr="00A31D96">
              <w:rPr>
                <w:rFonts w:ascii="Times New Roman" w:eastAsia="Times New Roman" w:hAnsi="Times New Roman" w:cs="Times New Roman"/>
                <w:sz w:val="20"/>
                <w:szCs w:val="20"/>
                <w:lang w:val="en-US" w:eastAsia="ru-RU"/>
              </w:rPr>
              <w:t>a</w:t>
            </w:r>
            <w:proofErr w:type="gramEnd"/>
            <w:r w:rsidRPr="00A31D96">
              <w:rPr>
                <w:rFonts w:ascii="Times New Roman" w:eastAsia="Times New Roman" w:hAnsi="Times New Roman" w:cs="Times New Roman"/>
                <w:sz w:val="20"/>
                <w:szCs w:val="20"/>
                <w:lang w:val="en-US" w:eastAsia="ru-RU"/>
              </w:rPr>
              <w:t xml:space="preserve"> actelor normative, statuată în art. 56 alin. (1) </w:t>
            </w:r>
            <w:proofErr w:type="gramStart"/>
            <w:r w:rsidRPr="00A31D96">
              <w:rPr>
                <w:rFonts w:ascii="Times New Roman" w:eastAsia="Times New Roman" w:hAnsi="Times New Roman" w:cs="Times New Roman"/>
                <w:sz w:val="20"/>
                <w:szCs w:val="20"/>
                <w:lang w:val="en-US" w:eastAsia="ru-RU"/>
              </w:rPr>
              <w:t>din</w:t>
            </w:r>
            <w:proofErr w:type="gramEnd"/>
            <w:r w:rsidRPr="00A31D96">
              <w:rPr>
                <w:rFonts w:ascii="Times New Roman" w:eastAsia="Times New Roman" w:hAnsi="Times New Roman" w:cs="Times New Roman"/>
                <w:sz w:val="20"/>
                <w:szCs w:val="20"/>
                <w:lang w:val="en-US" w:eastAsia="ru-RU"/>
              </w:rPr>
              <w:t xml:space="preserve"> Legea nr. </w:t>
            </w:r>
            <w:r w:rsidRPr="00A31D96">
              <w:rPr>
                <w:rFonts w:ascii="Times New Roman" w:eastAsia="Times New Roman" w:hAnsi="Times New Roman" w:cs="Times New Roman"/>
                <w:sz w:val="20"/>
                <w:szCs w:val="20"/>
                <w:lang w:val="en-US" w:eastAsia="ru-RU"/>
              </w:rPr>
              <w:lastRenderedPageBreak/>
              <w:t xml:space="preserve">100/2017, este că actele normative intră în vigoare după o lună de la data publicării. Rațiunea acestei nnorme rezidă în faptul ca subiecți vizați să aibă timp suficient de a se informa cu referire la conținutul noilor prevederi și a se conforma acestora. Prin urmare, nota informativă se va completa cu argumente suplimentare privind justificarea intrării în vigoare la data publicării. </w:t>
            </w: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lastRenderedPageBreak/>
              <w:t>Se acceptă</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 xml:space="preserve">Pe lîngă temeiul legal indicat în nota informativă de intrare în vigoare a </w:t>
            </w:r>
            <w:r w:rsidRPr="00A31D96">
              <w:rPr>
                <w:rFonts w:ascii="Times New Roman" w:eastAsia="Times New Roman" w:hAnsi="Times New Roman" w:cs="Times New Roman"/>
                <w:sz w:val="20"/>
                <w:szCs w:val="20"/>
                <w:lang w:val="en-US" w:eastAsia="ru-RU"/>
              </w:rPr>
              <w:lastRenderedPageBreak/>
              <w:t xml:space="preserve">proiectului, s-au precizat </w:t>
            </w:r>
            <w:proofErr w:type="gramStart"/>
            <w:r w:rsidRPr="00A31D96">
              <w:rPr>
                <w:rFonts w:ascii="Times New Roman" w:eastAsia="Times New Roman" w:hAnsi="Times New Roman" w:cs="Times New Roman"/>
                <w:sz w:val="20"/>
                <w:szCs w:val="20"/>
                <w:lang w:val="en-US" w:eastAsia="ru-RU"/>
              </w:rPr>
              <w:t>argumentele  de</w:t>
            </w:r>
            <w:proofErr w:type="gramEnd"/>
            <w:r w:rsidRPr="00A31D96">
              <w:rPr>
                <w:rFonts w:ascii="Times New Roman" w:eastAsia="Times New Roman" w:hAnsi="Times New Roman" w:cs="Times New Roman"/>
                <w:sz w:val="20"/>
                <w:szCs w:val="20"/>
                <w:lang w:val="en-US" w:eastAsia="ru-RU"/>
              </w:rPr>
              <w:t xml:space="preserve"> rigoare. </w:t>
            </w:r>
          </w:p>
          <w:p w:rsidR="00A31D96" w:rsidRPr="00A31D96" w:rsidRDefault="00A31D96" w:rsidP="00A31D96">
            <w:pPr>
              <w:spacing w:after="0" w:line="240" w:lineRule="auto"/>
              <w:jc w:val="both"/>
              <w:rPr>
                <w:rFonts w:ascii="Arial Black" w:eastAsia="Times New Roman" w:hAnsi="Arial Black" w:cs="Times New Roman"/>
                <w:b/>
                <w:bCs/>
                <w:sz w:val="20"/>
                <w:szCs w:val="20"/>
                <w:lang w:val="en-US" w:eastAsia="ru-RU"/>
              </w:rPr>
            </w:pPr>
            <w:r w:rsidRPr="00A31D96">
              <w:rPr>
                <w:rFonts w:ascii="Times New Roman" w:eastAsia="Calibri" w:hAnsi="Times New Roman" w:cs="Times New Roman"/>
                <w:iCs/>
                <w:sz w:val="20"/>
                <w:szCs w:val="20"/>
                <w:lang w:val="ro-RO"/>
              </w:rPr>
              <w:t>Astfel,</w:t>
            </w:r>
            <w:r w:rsidRPr="00A31D96">
              <w:rPr>
                <w:rFonts w:ascii="Times New Roman" w:eastAsia="Calibri" w:hAnsi="Times New Roman" w:cs="Times New Roman"/>
                <w:sz w:val="20"/>
                <w:szCs w:val="20"/>
                <w:lang w:val="ro-RO"/>
              </w:rPr>
              <w:t xml:space="preserve"> având în vedere importanța asigurării unei celerități în buna desfășurare a măsurilor  autorității de supraveghere, consolidarea eficienței cărora  au menirea s-o asigure  amendamentele propuse, pentru fortificarea condițiilor  necesare realizării obiectivelor ordinii de drept în domeniul pieții financiar nebancare, se relevă necesitatea intrării în vigoare a reglementărilor propuse, la data publicării în Monitorul Oficial al Republicii Moldova (conform art. 56 alin.(3) din Legea nr. 100/2017 cu privire la actele normative). De asemenea, intrarea în vigoare la data publicării, în cazul dat, nu este condiționată de careva circunstanțe/formalități necesare de a fi îndeplinite.</w:t>
            </w:r>
          </w:p>
        </w:tc>
      </w:tr>
      <w:tr w:rsidR="00A31D96" w:rsidRPr="00490491" w:rsidTr="005303BD">
        <w:tc>
          <w:tcPr>
            <w:tcW w:w="3506" w:type="dxa"/>
          </w:tcPr>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b/>
                <w:sz w:val="20"/>
                <w:szCs w:val="20"/>
                <w:lang w:val="en-US" w:eastAsia="ru-RU"/>
              </w:rPr>
              <w:lastRenderedPageBreak/>
              <w:t xml:space="preserve">Art. IV. – Codul administrativ al Republicii Moldova nr. 116/2018 </w:t>
            </w:r>
            <w:r w:rsidRPr="00A31D96">
              <w:rPr>
                <w:rFonts w:ascii="Times New Roman" w:eastAsia="Times New Roman" w:hAnsi="Times New Roman" w:cs="Times New Roman"/>
                <w:sz w:val="20"/>
                <w:szCs w:val="20"/>
                <w:lang w:val="en-US" w:eastAsia="ru-RU"/>
              </w:rPr>
              <w:t>(Monitorul Oficial al Republicii Moldova, 2018, nr. 309-320, art.466) se modifică după cum urmează:</w:t>
            </w:r>
          </w:p>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sz w:val="20"/>
                <w:szCs w:val="20"/>
                <w:lang w:val="en-US" w:eastAsia="ru-RU"/>
              </w:rPr>
              <w:t>Articolul 146 alineatul (3) se completează cu textul „Termenul de un an prevăzut în prezentul alineat nu se aplică în cazul retragerii licenței/autorizației/confirmării persoanelor cu funcții de răspundere (administratorilor)/permisului prealabil pentru deținerea participației calificate pe piața financiară nebancară.</w:t>
            </w:r>
            <w:proofErr w:type="gramStart"/>
            <w:r w:rsidRPr="00A31D96">
              <w:rPr>
                <w:rFonts w:ascii="Times New Roman" w:eastAsia="Times New Roman" w:hAnsi="Times New Roman" w:cs="Times New Roman"/>
                <w:sz w:val="20"/>
                <w:szCs w:val="20"/>
                <w:lang w:val="en-US" w:eastAsia="ru-RU"/>
              </w:rPr>
              <w:t>”.</w:t>
            </w:r>
            <w:proofErr w:type="gramEnd"/>
          </w:p>
        </w:tc>
        <w:tc>
          <w:tcPr>
            <w:tcW w:w="2263" w:type="dxa"/>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ro-RO" w:eastAsia="ru-RU"/>
              </w:rPr>
            </w:pPr>
            <w:r w:rsidRPr="00A31D96">
              <w:rPr>
                <w:rFonts w:ascii="Times New Roman" w:eastAsia="Times New Roman" w:hAnsi="Times New Roman" w:cs="Times New Roman"/>
                <w:b/>
                <w:sz w:val="20"/>
                <w:szCs w:val="20"/>
                <w:lang w:val="en-US" w:eastAsia="ru-RU"/>
              </w:rPr>
              <w:t>C</w:t>
            </w:r>
            <w:r w:rsidRPr="00A31D96">
              <w:rPr>
                <w:rFonts w:ascii="Times New Roman" w:eastAsia="Times New Roman" w:hAnsi="Times New Roman" w:cs="Times New Roman"/>
                <w:b/>
                <w:sz w:val="20"/>
                <w:szCs w:val="20"/>
                <w:lang w:val="ro-RO" w:eastAsia="ru-RU"/>
              </w:rPr>
              <w:t>entrul Național Anticorupție</w:t>
            </w:r>
          </w:p>
        </w:tc>
        <w:tc>
          <w:tcPr>
            <w:tcW w:w="1134" w:type="dxa"/>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9</w:t>
            </w:r>
          </w:p>
        </w:tc>
        <w:tc>
          <w:tcPr>
            <w:tcW w:w="4536" w:type="dxa"/>
            <w:gridSpan w:val="3"/>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 xml:space="preserve">Reglementarea unui termen posibil mai extins </w:t>
            </w:r>
            <w:proofErr w:type="gramStart"/>
            <w:r w:rsidRPr="00A31D96">
              <w:rPr>
                <w:rFonts w:ascii="Times New Roman" w:eastAsia="Times New Roman" w:hAnsi="Times New Roman" w:cs="Times New Roman"/>
                <w:sz w:val="20"/>
                <w:szCs w:val="20"/>
                <w:lang w:val="en-US" w:eastAsia="ru-RU"/>
              </w:rPr>
              <w:t>(3 ani)</w:t>
            </w:r>
            <w:proofErr w:type="gramEnd"/>
            <w:r w:rsidRPr="00A31D96">
              <w:rPr>
                <w:rFonts w:ascii="Times New Roman" w:eastAsia="Times New Roman" w:hAnsi="Times New Roman" w:cs="Times New Roman"/>
                <w:sz w:val="20"/>
                <w:szCs w:val="20"/>
                <w:lang w:val="en-US" w:eastAsia="ru-RU"/>
              </w:rPr>
              <w:t xml:space="preserve"> decât cel prevăzut actualmente în Codul administrativ, în interiorul căruia CNPF poate să revoce actul administrativ emis cu încălcări, calculate din data cunoașterii despre această încălcare. </w:t>
            </w: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Se acceptă</w:t>
            </w:r>
          </w:p>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sz w:val="20"/>
                <w:szCs w:val="20"/>
                <w:lang w:val="en-US" w:eastAsia="ru-RU"/>
              </w:rPr>
              <w:t>Completarea, potrivit proiectului, a art.146 alin</w:t>
            </w:r>
            <w:proofErr w:type="gramStart"/>
            <w:r w:rsidRPr="00A31D96">
              <w:rPr>
                <w:rFonts w:ascii="Times New Roman" w:eastAsia="Times New Roman" w:hAnsi="Times New Roman" w:cs="Times New Roman"/>
                <w:sz w:val="20"/>
                <w:szCs w:val="20"/>
                <w:lang w:val="en-US" w:eastAsia="ru-RU"/>
              </w:rPr>
              <w:t>.(</w:t>
            </w:r>
            <w:proofErr w:type="gramEnd"/>
            <w:r w:rsidRPr="00A31D96">
              <w:rPr>
                <w:rFonts w:ascii="Times New Roman" w:eastAsia="Times New Roman" w:hAnsi="Times New Roman" w:cs="Times New Roman"/>
                <w:sz w:val="20"/>
                <w:szCs w:val="20"/>
                <w:lang w:val="en-US" w:eastAsia="ru-RU"/>
              </w:rPr>
              <w:t>3) din Codul administrativ a fost exclusă.</w:t>
            </w:r>
          </w:p>
        </w:tc>
      </w:tr>
      <w:tr w:rsidR="00A31D96" w:rsidRPr="00A31D96" w:rsidTr="005303BD">
        <w:tc>
          <w:tcPr>
            <w:tcW w:w="15073" w:type="dxa"/>
            <w:gridSpan w:val="8"/>
          </w:tcPr>
          <w:p w:rsidR="00A31D96" w:rsidRPr="00A31D96" w:rsidRDefault="00A31D96" w:rsidP="00A31D96">
            <w:pPr>
              <w:tabs>
                <w:tab w:val="left" w:pos="884"/>
                <w:tab w:val="left" w:pos="1196"/>
              </w:tabs>
              <w:spacing w:after="0" w:line="240" w:lineRule="auto"/>
              <w:jc w:val="center"/>
              <w:rPr>
                <w:rFonts w:ascii="Times New Roman" w:eastAsia="Times New Roman" w:hAnsi="Times New Roman" w:cs="Times New Roman"/>
                <w:b/>
                <w:sz w:val="20"/>
                <w:szCs w:val="20"/>
                <w:lang w:val="ro-RO" w:eastAsia="ru-RU"/>
              </w:rPr>
            </w:pPr>
            <w:r w:rsidRPr="00A31D96">
              <w:rPr>
                <w:rFonts w:ascii="Times New Roman" w:eastAsia="Times New Roman" w:hAnsi="Times New Roman" w:cs="Times New Roman"/>
                <w:b/>
                <w:sz w:val="20"/>
                <w:szCs w:val="20"/>
                <w:lang w:eastAsia="ru-RU"/>
              </w:rPr>
              <w:t xml:space="preserve">Avizare </w:t>
            </w:r>
            <w:r w:rsidRPr="00A31D96">
              <w:rPr>
                <w:rFonts w:ascii="Times New Roman" w:eastAsia="Times New Roman" w:hAnsi="Times New Roman" w:cs="Times New Roman"/>
                <w:b/>
                <w:sz w:val="20"/>
                <w:szCs w:val="20"/>
                <w:lang w:val="en-US" w:eastAsia="ru-RU"/>
              </w:rPr>
              <w:t>repetat</w:t>
            </w:r>
            <w:r w:rsidRPr="00A31D96">
              <w:rPr>
                <w:rFonts w:ascii="Times New Roman" w:eastAsia="Times New Roman" w:hAnsi="Times New Roman" w:cs="Times New Roman"/>
                <w:b/>
                <w:sz w:val="20"/>
                <w:szCs w:val="20"/>
                <w:lang w:val="ro-RO" w:eastAsia="ru-RU"/>
              </w:rPr>
              <w:t>ă</w:t>
            </w:r>
          </w:p>
        </w:tc>
      </w:tr>
      <w:tr w:rsidR="00A31D96" w:rsidRPr="00490491" w:rsidTr="005303BD">
        <w:tc>
          <w:tcPr>
            <w:tcW w:w="3506" w:type="dxa"/>
          </w:tcPr>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b/>
                <w:sz w:val="20"/>
                <w:szCs w:val="20"/>
                <w:lang w:val="en-US" w:eastAsia="ru-RU"/>
              </w:rPr>
            </w:pPr>
          </w:p>
        </w:tc>
        <w:tc>
          <w:tcPr>
            <w:tcW w:w="3397" w:type="dxa"/>
            <w:gridSpan w:val="2"/>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val="en-US" w:eastAsia="ru-RU"/>
              </w:rPr>
            </w:pPr>
            <w:r w:rsidRPr="00A31D96">
              <w:rPr>
                <w:rFonts w:ascii="Times New Roman" w:eastAsia="Times New Roman" w:hAnsi="Times New Roman" w:cs="Times New Roman"/>
                <w:b/>
                <w:sz w:val="20"/>
                <w:szCs w:val="20"/>
                <w:lang w:val="en-US" w:eastAsia="ru-RU"/>
              </w:rPr>
              <w:t>Serviciul Prevenirea și Combaterea Spălării Banilor</w:t>
            </w:r>
          </w:p>
        </w:tc>
        <w:tc>
          <w:tcPr>
            <w:tcW w:w="4536" w:type="dxa"/>
            <w:gridSpan w:val="3"/>
          </w:tcPr>
          <w:p w:rsidR="00A31D96" w:rsidRDefault="00A31D96" w:rsidP="00A31D96">
            <w:pPr>
              <w:tabs>
                <w:tab w:val="left" w:pos="884"/>
                <w:tab w:val="left" w:pos="1196"/>
              </w:tabs>
              <w:spacing w:after="0" w:line="240" w:lineRule="auto"/>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Lipsă de obiecții și propuneri</w:t>
            </w:r>
          </w:p>
          <w:p w:rsidR="00490491" w:rsidRPr="00A31D96" w:rsidRDefault="00490491" w:rsidP="00A31D96">
            <w:pPr>
              <w:tabs>
                <w:tab w:val="left" w:pos="884"/>
                <w:tab w:val="left" w:pos="119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(prin e-mail la data de 09 aprilie 2020</w:t>
            </w:r>
            <w:bookmarkStart w:id="0" w:name="_GoBack"/>
            <w:bookmarkEnd w:id="0"/>
            <w:r>
              <w:rPr>
                <w:rFonts w:ascii="Times New Roman" w:eastAsia="Times New Roman" w:hAnsi="Times New Roman" w:cs="Times New Roman"/>
                <w:sz w:val="20"/>
                <w:szCs w:val="20"/>
                <w:lang w:val="en-US" w:eastAsia="ru-RU"/>
              </w:rPr>
              <w:t>)</w:t>
            </w: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p>
        </w:tc>
      </w:tr>
      <w:tr w:rsidR="00A31D96" w:rsidRPr="00490491" w:rsidTr="005303BD">
        <w:tc>
          <w:tcPr>
            <w:tcW w:w="3506" w:type="dxa"/>
          </w:tcPr>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b/>
                <w:sz w:val="20"/>
                <w:szCs w:val="20"/>
                <w:lang w:val="en-US" w:eastAsia="ru-RU"/>
              </w:rPr>
            </w:pPr>
          </w:p>
        </w:tc>
        <w:tc>
          <w:tcPr>
            <w:tcW w:w="3397" w:type="dxa"/>
            <w:gridSpan w:val="2"/>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eastAsia="ru-RU"/>
              </w:rPr>
            </w:pPr>
            <w:r w:rsidRPr="00A31D96">
              <w:rPr>
                <w:rFonts w:ascii="Times New Roman" w:eastAsia="Times New Roman" w:hAnsi="Times New Roman" w:cs="Times New Roman"/>
                <w:b/>
                <w:sz w:val="20"/>
                <w:szCs w:val="20"/>
                <w:lang w:eastAsia="ru-RU"/>
              </w:rPr>
              <w:t>Ministerul Economiei și Infrastructurii</w:t>
            </w:r>
          </w:p>
        </w:tc>
        <w:tc>
          <w:tcPr>
            <w:tcW w:w="4536" w:type="dxa"/>
            <w:gridSpan w:val="3"/>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Lipsă de obiecții și propuneri</w:t>
            </w: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p>
        </w:tc>
      </w:tr>
      <w:tr w:rsidR="00A31D96" w:rsidRPr="00490491" w:rsidTr="005303BD">
        <w:tc>
          <w:tcPr>
            <w:tcW w:w="3506" w:type="dxa"/>
          </w:tcPr>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b/>
                <w:sz w:val="20"/>
                <w:szCs w:val="20"/>
                <w:lang w:val="en-US" w:eastAsia="ru-RU"/>
              </w:rPr>
            </w:pPr>
          </w:p>
        </w:tc>
        <w:tc>
          <w:tcPr>
            <w:tcW w:w="3397" w:type="dxa"/>
            <w:gridSpan w:val="2"/>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eastAsia="ru-RU"/>
              </w:rPr>
            </w:pPr>
            <w:r w:rsidRPr="00A31D96">
              <w:rPr>
                <w:rFonts w:ascii="Times New Roman" w:eastAsia="Times New Roman" w:hAnsi="Times New Roman" w:cs="Times New Roman"/>
                <w:b/>
                <w:sz w:val="20"/>
                <w:szCs w:val="20"/>
                <w:lang w:val="ro-RO" w:eastAsia="ru-RU"/>
              </w:rPr>
              <w:t>Ministerul Justiției</w:t>
            </w:r>
          </w:p>
        </w:tc>
        <w:tc>
          <w:tcPr>
            <w:tcW w:w="4536" w:type="dxa"/>
            <w:gridSpan w:val="3"/>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Lipsă de obiecții și propuneri</w:t>
            </w: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p>
        </w:tc>
      </w:tr>
      <w:tr w:rsidR="00A31D96" w:rsidRPr="00490491" w:rsidTr="005303BD">
        <w:tc>
          <w:tcPr>
            <w:tcW w:w="3506" w:type="dxa"/>
          </w:tcPr>
          <w:p w:rsidR="00A31D96" w:rsidRPr="00A31D96" w:rsidRDefault="00A31D96" w:rsidP="00A31D96">
            <w:pPr>
              <w:tabs>
                <w:tab w:val="left" w:pos="884"/>
                <w:tab w:val="left" w:pos="1196"/>
              </w:tabs>
              <w:spacing w:after="0" w:line="240" w:lineRule="auto"/>
              <w:ind w:firstLine="284"/>
              <w:jc w:val="both"/>
              <w:rPr>
                <w:rFonts w:ascii="Times New Roman" w:eastAsia="Times New Roman" w:hAnsi="Times New Roman" w:cs="Times New Roman"/>
                <w:b/>
                <w:sz w:val="20"/>
                <w:szCs w:val="20"/>
                <w:lang w:val="en-US" w:eastAsia="ru-RU"/>
              </w:rPr>
            </w:pPr>
          </w:p>
        </w:tc>
        <w:tc>
          <w:tcPr>
            <w:tcW w:w="3397" w:type="dxa"/>
            <w:gridSpan w:val="2"/>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b/>
                <w:sz w:val="20"/>
                <w:szCs w:val="20"/>
                <w:lang w:eastAsia="ru-RU"/>
              </w:rPr>
            </w:pPr>
            <w:r w:rsidRPr="00A31D96">
              <w:rPr>
                <w:rFonts w:ascii="Times New Roman" w:eastAsia="Times New Roman" w:hAnsi="Times New Roman" w:cs="Times New Roman"/>
                <w:b/>
                <w:sz w:val="20"/>
                <w:szCs w:val="20"/>
                <w:lang w:val="ro-RO" w:eastAsia="ru-RU"/>
              </w:rPr>
              <w:t>Centrul Național Anticorupție</w:t>
            </w:r>
          </w:p>
        </w:tc>
        <w:tc>
          <w:tcPr>
            <w:tcW w:w="4536" w:type="dxa"/>
            <w:gridSpan w:val="3"/>
          </w:tcPr>
          <w:p w:rsidR="00A31D96" w:rsidRPr="00A31D96" w:rsidRDefault="00A31D96" w:rsidP="00A31D96">
            <w:pPr>
              <w:tabs>
                <w:tab w:val="left" w:pos="884"/>
                <w:tab w:val="left" w:pos="1196"/>
              </w:tabs>
              <w:spacing w:after="0" w:line="240" w:lineRule="auto"/>
              <w:rPr>
                <w:rFonts w:ascii="Times New Roman" w:eastAsia="Times New Roman" w:hAnsi="Times New Roman" w:cs="Times New Roman"/>
                <w:sz w:val="20"/>
                <w:szCs w:val="20"/>
                <w:lang w:val="en-US" w:eastAsia="ru-RU"/>
              </w:rPr>
            </w:pPr>
            <w:r w:rsidRPr="00A31D96">
              <w:rPr>
                <w:rFonts w:ascii="Times New Roman" w:eastAsia="Times New Roman" w:hAnsi="Times New Roman" w:cs="Times New Roman"/>
                <w:sz w:val="20"/>
                <w:szCs w:val="20"/>
                <w:lang w:val="en-US" w:eastAsia="ru-RU"/>
              </w:rPr>
              <w:t>Lipsă de obiecții și propuneri</w:t>
            </w:r>
          </w:p>
        </w:tc>
        <w:tc>
          <w:tcPr>
            <w:tcW w:w="3634" w:type="dxa"/>
            <w:gridSpan w:val="2"/>
          </w:tcPr>
          <w:p w:rsidR="00A31D96" w:rsidRPr="00A31D96" w:rsidRDefault="00A31D96" w:rsidP="00A31D96">
            <w:pPr>
              <w:tabs>
                <w:tab w:val="left" w:pos="884"/>
                <w:tab w:val="left" w:pos="1196"/>
              </w:tabs>
              <w:spacing w:after="0" w:line="240" w:lineRule="auto"/>
              <w:jc w:val="both"/>
              <w:rPr>
                <w:rFonts w:ascii="Times New Roman" w:eastAsia="Times New Roman" w:hAnsi="Times New Roman" w:cs="Times New Roman"/>
                <w:b/>
                <w:sz w:val="20"/>
                <w:szCs w:val="20"/>
                <w:lang w:val="en-US" w:eastAsia="ru-RU"/>
              </w:rPr>
            </w:pPr>
          </w:p>
        </w:tc>
      </w:tr>
    </w:tbl>
    <w:p w:rsidR="00A31D96" w:rsidRPr="00A31D96" w:rsidRDefault="00A31D96" w:rsidP="00A31D96">
      <w:pPr>
        <w:spacing w:after="0" w:line="240" w:lineRule="auto"/>
        <w:rPr>
          <w:rFonts w:ascii="Times New Roman" w:eastAsia="Times New Roman" w:hAnsi="Times New Roman" w:cs="Times New Roman"/>
          <w:b/>
          <w:iCs/>
          <w:sz w:val="28"/>
          <w:szCs w:val="28"/>
          <w:lang w:val="en-US"/>
        </w:rPr>
      </w:pPr>
    </w:p>
    <w:p w:rsidR="00AD03D9" w:rsidRPr="00A31D96" w:rsidRDefault="00490491">
      <w:pPr>
        <w:rPr>
          <w:lang w:val="en-US"/>
        </w:rPr>
      </w:pPr>
    </w:p>
    <w:sectPr w:rsidR="00AD03D9" w:rsidRPr="00A31D96" w:rsidSect="00F26D29">
      <w:headerReference w:type="default" r:id="rId8"/>
      <w:footerReference w:type="even" r:id="rId9"/>
      <w:footerReference w:type="default" r:id="rId10"/>
      <w:pgSz w:w="16838" w:h="11906" w:orient="landscape" w:code="9"/>
      <w:pgMar w:top="426" w:right="253" w:bottom="568" w:left="1134" w:header="138" w:footer="6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90491">
      <w:pPr>
        <w:spacing w:after="0" w:line="240" w:lineRule="auto"/>
      </w:pPr>
      <w:r>
        <w:separator/>
      </w:r>
    </w:p>
  </w:endnote>
  <w:endnote w:type="continuationSeparator" w:id="0">
    <w:p w:rsidR="00000000" w:rsidRDefault="0049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B3" w:rsidRDefault="00A31D96" w:rsidP="00C47BB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47BB3" w:rsidRDefault="00490491" w:rsidP="00C47BB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B3" w:rsidRDefault="00490491" w:rsidP="00C47BB3">
    <w:pPr>
      <w:pStyle w:val="a5"/>
      <w:framePr w:wrap="around" w:vAnchor="text" w:hAnchor="margin" w:xAlign="right" w:y="1"/>
      <w:rPr>
        <w:rStyle w:val="a7"/>
      </w:rPr>
    </w:pPr>
  </w:p>
  <w:p w:rsidR="00C47BB3" w:rsidRPr="00A44B42" w:rsidRDefault="00490491" w:rsidP="00C47BB3">
    <w:pPr>
      <w:pStyle w:val="a5"/>
      <w:ind w:right="360"/>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90491">
      <w:pPr>
        <w:spacing w:after="0" w:line="240" w:lineRule="auto"/>
      </w:pPr>
      <w:r>
        <w:separator/>
      </w:r>
    </w:p>
  </w:footnote>
  <w:footnote w:type="continuationSeparator" w:id="0">
    <w:p w:rsidR="00000000" w:rsidRDefault="00490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B3" w:rsidRDefault="00A31D96">
    <w:pPr>
      <w:pStyle w:val="a3"/>
      <w:jc w:val="center"/>
    </w:pPr>
    <w:r>
      <w:fldChar w:fldCharType="begin"/>
    </w:r>
    <w:r>
      <w:instrText>PAGE   \* MERGEFORMAT</w:instrText>
    </w:r>
    <w:r>
      <w:fldChar w:fldCharType="separate"/>
    </w:r>
    <w:r w:rsidR="00490491" w:rsidRPr="00490491">
      <w:rPr>
        <w:noProof/>
        <w:lang w:val="ro-RO"/>
      </w:rPr>
      <w:t>5</w:t>
    </w:r>
    <w:r>
      <w:fldChar w:fldCharType="end"/>
    </w:r>
  </w:p>
  <w:p w:rsidR="00C47BB3" w:rsidRDefault="0049049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65E3F"/>
    <w:multiLevelType w:val="hybridMultilevel"/>
    <w:tmpl w:val="1CC03D2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96"/>
    <w:rsid w:val="00490491"/>
    <w:rsid w:val="00A31D96"/>
    <w:rsid w:val="00B5530E"/>
    <w:rsid w:val="00BA3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D96"/>
    <w:pPr>
      <w:tabs>
        <w:tab w:val="center" w:pos="4677"/>
        <w:tab w:val="right" w:pos="9355"/>
      </w:tabs>
      <w:spacing w:after="0" w:line="240" w:lineRule="auto"/>
    </w:pPr>
    <w:rPr>
      <w:rFonts w:ascii="Calibri" w:eastAsia="Calibri" w:hAnsi="Calibri" w:cs="Times New Roman"/>
      <w:lang w:val="en-US"/>
    </w:rPr>
  </w:style>
  <w:style w:type="character" w:customStyle="1" w:styleId="a4">
    <w:name w:val="Верхний колонтитул Знак"/>
    <w:basedOn w:val="a0"/>
    <w:link w:val="a3"/>
    <w:uiPriority w:val="99"/>
    <w:rsid w:val="00A31D96"/>
    <w:rPr>
      <w:rFonts w:ascii="Calibri" w:eastAsia="Calibri" w:hAnsi="Calibri" w:cs="Times New Roman"/>
      <w:lang w:val="en-US"/>
    </w:rPr>
  </w:style>
  <w:style w:type="paragraph" w:styleId="a5">
    <w:name w:val="footer"/>
    <w:basedOn w:val="a"/>
    <w:link w:val="a6"/>
    <w:uiPriority w:val="99"/>
    <w:unhideWhenUsed/>
    <w:rsid w:val="00A31D96"/>
    <w:pPr>
      <w:tabs>
        <w:tab w:val="center" w:pos="4677"/>
        <w:tab w:val="right" w:pos="9355"/>
      </w:tabs>
      <w:spacing w:after="0" w:line="240" w:lineRule="auto"/>
    </w:pPr>
    <w:rPr>
      <w:rFonts w:ascii="Calibri" w:eastAsia="Calibri" w:hAnsi="Calibri" w:cs="Times New Roman"/>
      <w:lang w:val="en-US"/>
    </w:rPr>
  </w:style>
  <w:style w:type="character" w:customStyle="1" w:styleId="a6">
    <w:name w:val="Нижний колонтитул Знак"/>
    <w:basedOn w:val="a0"/>
    <w:link w:val="a5"/>
    <w:uiPriority w:val="99"/>
    <w:rsid w:val="00A31D96"/>
    <w:rPr>
      <w:rFonts w:ascii="Calibri" w:eastAsia="Calibri" w:hAnsi="Calibri" w:cs="Times New Roman"/>
      <w:lang w:val="en-US"/>
    </w:rPr>
  </w:style>
  <w:style w:type="character" w:styleId="a7">
    <w:name w:val="page number"/>
    <w:basedOn w:val="a0"/>
    <w:rsid w:val="00A31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D96"/>
    <w:pPr>
      <w:tabs>
        <w:tab w:val="center" w:pos="4677"/>
        <w:tab w:val="right" w:pos="9355"/>
      </w:tabs>
      <w:spacing w:after="0" w:line="240" w:lineRule="auto"/>
    </w:pPr>
    <w:rPr>
      <w:rFonts w:ascii="Calibri" w:eastAsia="Calibri" w:hAnsi="Calibri" w:cs="Times New Roman"/>
      <w:lang w:val="en-US"/>
    </w:rPr>
  </w:style>
  <w:style w:type="character" w:customStyle="1" w:styleId="a4">
    <w:name w:val="Верхний колонтитул Знак"/>
    <w:basedOn w:val="a0"/>
    <w:link w:val="a3"/>
    <w:uiPriority w:val="99"/>
    <w:rsid w:val="00A31D96"/>
    <w:rPr>
      <w:rFonts w:ascii="Calibri" w:eastAsia="Calibri" w:hAnsi="Calibri" w:cs="Times New Roman"/>
      <w:lang w:val="en-US"/>
    </w:rPr>
  </w:style>
  <w:style w:type="paragraph" w:styleId="a5">
    <w:name w:val="footer"/>
    <w:basedOn w:val="a"/>
    <w:link w:val="a6"/>
    <w:uiPriority w:val="99"/>
    <w:unhideWhenUsed/>
    <w:rsid w:val="00A31D96"/>
    <w:pPr>
      <w:tabs>
        <w:tab w:val="center" w:pos="4677"/>
        <w:tab w:val="right" w:pos="9355"/>
      </w:tabs>
      <w:spacing w:after="0" w:line="240" w:lineRule="auto"/>
    </w:pPr>
    <w:rPr>
      <w:rFonts w:ascii="Calibri" w:eastAsia="Calibri" w:hAnsi="Calibri" w:cs="Times New Roman"/>
      <w:lang w:val="en-US"/>
    </w:rPr>
  </w:style>
  <w:style w:type="character" w:customStyle="1" w:styleId="a6">
    <w:name w:val="Нижний колонтитул Знак"/>
    <w:basedOn w:val="a0"/>
    <w:link w:val="a5"/>
    <w:uiPriority w:val="99"/>
    <w:rsid w:val="00A31D96"/>
    <w:rPr>
      <w:rFonts w:ascii="Calibri" w:eastAsia="Calibri" w:hAnsi="Calibri" w:cs="Times New Roman"/>
      <w:lang w:val="en-US"/>
    </w:rPr>
  </w:style>
  <w:style w:type="character" w:styleId="a7">
    <w:name w:val="page number"/>
    <w:basedOn w:val="a0"/>
    <w:rsid w:val="00A31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2189</Words>
  <Characters>12480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Laurica</dc:creator>
  <cp:lastModifiedBy>Laurica</cp:lastModifiedBy>
  <cp:revision>2</cp:revision>
  <cp:lastPrinted>2020-04-28T08:43:00Z</cp:lastPrinted>
  <dcterms:created xsi:type="dcterms:W3CDTF">2020-04-28T08:23:00Z</dcterms:created>
  <dcterms:modified xsi:type="dcterms:W3CDTF">2020-04-28T08:43:00Z</dcterms:modified>
</cp:coreProperties>
</file>