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B6" w:rsidRPr="00EE7C9B" w:rsidRDefault="00B420B6" w:rsidP="00B420B6">
      <w:pPr>
        <w:rPr>
          <w:lang w:val="ro-MD"/>
        </w:rPr>
      </w:pPr>
    </w:p>
    <w:p w:rsidR="00B420B6" w:rsidRPr="00EE7C9B" w:rsidRDefault="00B420B6" w:rsidP="00B420B6">
      <w:pPr>
        <w:rPr>
          <w:lang w:val="ro-MD"/>
        </w:rPr>
      </w:pPr>
    </w:p>
    <w:p w:rsidR="00CB3DC7" w:rsidRPr="00EE7C9B" w:rsidRDefault="00CB3DC7" w:rsidP="00EE7C9B">
      <w:pPr>
        <w:pStyle w:val="NormalWeb"/>
        <w:shd w:val="clear" w:color="auto" w:fill="FFFFFF"/>
        <w:jc w:val="center"/>
        <w:rPr>
          <w:b/>
          <w:bCs/>
          <w:lang w:val="ro-MD"/>
        </w:rPr>
      </w:pPr>
      <w:r w:rsidRPr="00EE7C9B">
        <w:rPr>
          <w:rStyle w:val="Strong"/>
          <w:lang w:val="ro-MD"/>
        </w:rPr>
        <w:t>NOTA INFORMATIVĂ</w:t>
      </w:r>
      <w:r w:rsidRPr="00EE7C9B">
        <w:rPr>
          <w:lang w:val="ro-MD"/>
        </w:rPr>
        <w:br/>
      </w:r>
      <w:r w:rsidR="005D0BA0" w:rsidRPr="00EE7C9B">
        <w:rPr>
          <w:b/>
          <w:lang w:val="ro-MD"/>
        </w:rPr>
        <w:t>la proiectul</w:t>
      </w:r>
      <w:r w:rsidRPr="00EE7C9B">
        <w:rPr>
          <w:b/>
          <w:lang w:val="ro-MD"/>
        </w:rPr>
        <w:t xml:space="preserve"> </w:t>
      </w:r>
      <w:r w:rsidR="00AA4503" w:rsidRPr="00EE7C9B">
        <w:rPr>
          <w:b/>
          <w:lang w:val="ro-MD"/>
        </w:rPr>
        <w:t xml:space="preserve">de lege pentru modificarea unor acte legislative </w:t>
      </w:r>
    </w:p>
    <w:p w:rsidR="00160072" w:rsidRPr="00EE7C9B" w:rsidRDefault="00160072" w:rsidP="00DC0D0C">
      <w:pPr>
        <w:pStyle w:val="BodyText"/>
        <w:spacing w:after="60" w:line="276" w:lineRule="auto"/>
        <w:jc w:val="both"/>
        <w:rPr>
          <w:b w:val="0"/>
          <w:iCs/>
          <w:color w:val="000000"/>
          <w:szCs w:val="24"/>
          <w:lang w:val="ro-MD"/>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4"/>
      </w:tblGrid>
      <w:tr w:rsidR="00547B57" w:rsidRPr="00EE7C9B" w:rsidTr="00682D8D">
        <w:trPr>
          <w:trHeight w:val="378"/>
        </w:trPr>
        <w:tc>
          <w:tcPr>
            <w:tcW w:w="5000" w:type="pct"/>
          </w:tcPr>
          <w:p w:rsidR="00547B57" w:rsidRPr="00EE7C9B" w:rsidRDefault="00547B57" w:rsidP="00547B57">
            <w:pPr>
              <w:numPr>
                <w:ilvl w:val="3"/>
                <w:numId w:val="11"/>
              </w:numPr>
              <w:tabs>
                <w:tab w:val="clear" w:pos="2880"/>
                <w:tab w:val="left" w:pos="284"/>
                <w:tab w:val="left" w:pos="1196"/>
              </w:tabs>
              <w:ind w:left="0" w:firstLine="0"/>
              <w:jc w:val="both"/>
              <w:rPr>
                <w:b/>
                <w:sz w:val="26"/>
                <w:szCs w:val="26"/>
                <w:lang w:val="ro-MD"/>
              </w:rPr>
            </w:pPr>
            <w:r w:rsidRPr="00EE7C9B">
              <w:rPr>
                <w:b/>
                <w:sz w:val="26"/>
                <w:szCs w:val="26"/>
                <w:lang w:val="ro-MD"/>
              </w:rPr>
              <w:t xml:space="preserve">Denumirea autorului </w:t>
            </w:r>
            <w:proofErr w:type="spellStart"/>
            <w:r w:rsidRPr="00EE7C9B">
              <w:rPr>
                <w:b/>
                <w:sz w:val="26"/>
                <w:szCs w:val="26"/>
                <w:lang w:val="ro-MD"/>
              </w:rPr>
              <w:t>şi</w:t>
            </w:r>
            <w:proofErr w:type="spellEnd"/>
            <w:r w:rsidRPr="00EE7C9B">
              <w:rPr>
                <w:b/>
                <w:sz w:val="26"/>
                <w:szCs w:val="26"/>
                <w:lang w:val="ro-MD"/>
              </w:rPr>
              <w:t xml:space="preserve">, după caz, a </w:t>
            </w:r>
            <w:proofErr w:type="spellStart"/>
            <w:r w:rsidRPr="00EE7C9B">
              <w:rPr>
                <w:b/>
                <w:sz w:val="26"/>
                <w:szCs w:val="26"/>
                <w:lang w:val="ro-MD"/>
              </w:rPr>
              <w:t>participanţilor</w:t>
            </w:r>
            <w:proofErr w:type="spellEnd"/>
            <w:r w:rsidRPr="00EE7C9B">
              <w:rPr>
                <w:b/>
                <w:sz w:val="26"/>
                <w:szCs w:val="26"/>
                <w:lang w:val="ro-MD"/>
              </w:rPr>
              <w:t xml:space="preserve"> la elaborarea proiectului</w:t>
            </w:r>
          </w:p>
        </w:tc>
      </w:tr>
      <w:tr w:rsidR="00547B57" w:rsidRPr="00EE7C9B" w:rsidTr="00547B57">
        <w:tc>
          <w:tcPr>
            <w:tcW w:w="5000" w:type="pct"/>
          </w:tcPr>
          <w:p w:rsidR="00F6775A" w:rsidRPr="00EE7C9B" w:rsidRDefault="005D0BA0" w:rsidP="00227EF6">
            <w:pPr>
              <w:jc w:val="both"/>
              <w:rPr>
                <w:sz w:val="26"/>
                <w:szCs w:val="26"/>
                <w:lang w:val="ro-MD"/>
              </w:rPr>
            </w:pPr>
            <w:r w:rsidRPr="00EE7C9B">
              <w:rPr>
                <w:color w:val="000000"/>
                <w:sz w:val="26"/>
                <w:szCs w:val="26"/>
                <w:lang w:val="ro-MD"/>
              </w:rPr>
              <w:t xml:space="preserve">         </w:t>
            </w:r>
            <w:r w:rsidR="005929E1" w:rsidRPr="00EE7C9B">
              <w:rPr>
                <w:color w:val="000000"/>
                <w:sz w:val="26"/>
                <w:szCs w:val="26"/>
                <w:lang w:val="ro-MD"/>
              </w:rPr>
              <w:t>Autorul</w:t>
            </w:r>
            <w:r w:rsidR="00A018B9" w:rsidRPr="00EE7C9B">
              <w:rPr>
                <w:color w:val="000000"/>
                <w:sz w:val="26"/>
                <w:szCs w:val="26"/>
                <w:lang w:val="ro-MD"/>
              </w:rPr>
              <w:t xml:space="preserve"> proiectului </w:t>
            </w:r>
            <w:r w:rsidR="005929E1" w:rsidRPr="00EE7C9B">
              <w:rPr>
                <w:color w:val="000000"/>
                <w:sz w:val="26"/>
                <w:szCs w:val="26"/>
                <w:lang w:val="ro-MD"/>
              </w:rPr>
              <w:t>este</w:t>
            </w:r>
            <w:r w:rsidR="00A018B9" w:rsidRPr="00EE7C9B">
              <w:rPr>
                <w:color w:val="000000"/>
                <w:sz w:val="26"/>
                <w:szCs w:val="26"/>
                <w:lang w:val="ro-MD"/>
              </w:rPr>
              <w:t xml:space="preserve"> Banca Națională a Moldovei</w:t>
            </w:r>
            <w:r w:rsidR="00841BFC" w:rsidRPr="00EE7C9B">
              <w:rPr>
                <w:color w:val="000000"/>
                <w:sz w:val="26"/>
                <w:szCs w:val="26"/>
                <w:lang w:val="ro-MD"/>
              </w:rPr>
              <w:t>, iar conform prevederilor pct. 40 din Regulamentul Guvernului, aprobat prin Hotărârea Guvernului nr. 610/2018</w:t>
            </w:r>
            <w:r w:rsidRPr="00EE7C9B">
              <w:rPr>
                <w:color w:val="000000"/>
                <w:sz w:val="26"/>
                <w:szCs w:val="26"/>
                <w:lang w:val="ro-MD"/>
              </w:rPr>
              <w:t>, proiectul</w:t>
            </w:r>
            <w:r w:rsidR="00841BFC" w:rsidRPr="00EE7C9B">
              <w:rPr>
                <w:color w:val="000000"/>
                <w:sz w:val="26"/>
                <w:szCs w:val="26"/>
                <w:lang w:val="ro-MD"/>
              </w:rPr>
              <w:t xml:space="preserve"> este promovat de Ministerul Finanțelor.</w:t>
            </w:r>
          </w:p>
        </w:tc>
      </w:tr>
      <w:tr w:rsidR="00547B57" w:rsidRPr="00EE7C9B" w:rsidTr="00DC0D0C">
        <w:trPr>
          <w:cantSplit/>
          <w:trHeight w:val="338"/>
        </w:trPr>
        <w:tc>
          <w:tcPr>
            <w:tcW w:w="5000" w:type="pct"/>
          </w:tcPr>
          <w:p w:rsidR="00F6775A" w:rsidRPr="00EE7C9B" w:rsidRDefault="00547B57" w:rsidP="00682D8D">
            <w:pPr>
              <w:tabs>
                <w:tab w:val="left" w:pos="884"/>
                <w:tab w:val="left" w:pos="1196"/>
                <w:tab w:val="right" w:pos="9508"/>
              </w:tabs>
              <w:jc w:val="both"/>
              <w:rPr>
                <w:sz w:val="26"/>
                <w:szCs w:val="26"/>
                <w:lang w:val="ro-MD"/>
              </w:rPr>
            </w:pPr>
            <w:r w:rsidRPr="00EE7C9B">
              <w:rPr>
                <w:b/>
                <w:sz w:val="26"/>
                <w:szCs w:val="26"/>
                <w:lang w:val="ro-MD"/>
              </w:rPr>
              <w:t xml:space="preserve">2. </w:t>
            </w:r>
            <w:proofErr w:type="spellStart"/>
            <w:r w:rsidRPr="00EE7C9B">
              <w:rPr>
                <w:b/>
                <w:sz w:val="26"/>
                <w:szCs w:val="26"/>
                <w:lang w:val="ro-MD"/>
              </w:rPr>
              <w:t>Condiţiile</w:t>
            </w:r>
            <w:proofErr w:type="spellEnd"/>
            <w:r w:rsidRPr="00EE7C9B">
              <w:rPr>
                <w:b/>
                <w:sz w:val="26"/>
                <w:szCs w:val="26"/>
                <w:lang w:val="ro-MD"/>
              </w:rPr>
              <w:t xml:space="preserve"> ce au impus elaborarea proiectului de act normativ </w:t>
            </w:r>
            <w:proofErr w:type="spellStart"/>
            <w:r w:rsidRPr="00EE7C9B">
              <w:rPr>
                <w:b/>
                <w:sz w:val="26"/>
                <w:szCs w:val="26"/>
                <w:lang w:val="ro-MD"/>
              </w:rPr>
              <w:t>şi</w:t>
            </w:r>
            <w:proofErr w:type="spellEnd"/>
            <w:r w:rsidRPr="00EE7C9B">
              <w:rPr>
                <w:b/>
                <w:sz w:val="26"/>
                <w:szCs w:val="26"/>
                <w:lang w:val="ro-MD"/>
              </w:rPr>
              <w:t xml:space="preserve"> </w:t>
            </w:r>
            <w:proofErr w:type="spellStart"/>
            <w:r w:rsidRPr="00EE7C9B">
              <w:rPr>
                <w:b/>
                <w:sz w:val="26"/>
                <w:szCs w:val="26"/>
                <w:lang w:val="ro-MD"/>
              </w:rPr>
              <w:t>finalităţile</w:t>
            </w:r>
            <w:proofErr w:type="spellEnd"/>
            <w:r w:rsidRPr="00EE7C9B">
              <w:rPr>
                <w:b/>
                <w:sz w:val="26"/>
                <w:szCs w:val="26"/>
                <w:lang w:val="ro-MD"/>
              </w:rPr>
              <w:t xml:space="preserve"> urmărite</w:t>
            </w:r>
          </w:p>
        </w:tc>
      </w:tr>
      <w:tr w:rsidR="00547B57" w:rsidRPr="00EE7C9B" w:rsidTr="00547B57">
        <w:tc>
          <w:tcPr>
            <w:tcW w:w="5000" w:type="pct"/>
          </w:tcPr>
          <w:p w:rsidR="00DC0D0C" w:rsidRPr="00EE7C9B" w:rsidRDefault="005D0BA0" w:rsidP="00227EF6">
            <w:pPr>
              <w:jc w:val="both"/>
              <w:rPr>
                <w:color w:val="000000"/>
                <w:sz w:val="26"/>
                <w:szCs w:val="26"/>
                <w:lang w:val="ro-MD"/>
              </w:rPr>
            </w:pPr>
            <w:r w:rsidRPr="00EE7C9B">
              <w:rPr>
                <w:color w:val="000000"/>
                <w:sz w:val="26"/>
                <w:szCs w:val="26"/>
                <w:lang w:val="ro-MD"/>
              </w:rPr>
              <w:t xml:space="preserve">         </w:t>
            </w:r>
            <w:r w:rsidR="00CB3DC7" w:rsidRPr="00EE7C9B">
              <w:rPr>
                <w:color w:val="000000"/>
                <w:sz w:val="26"/>
                <w:szCs w:val="26"/>
                <w:lang w:val="ro-MD"/>
              </w:rPr>
              <w:t xml:space="preserve">Proiectul </w:t>
            </w:r>
            <w:r w:rsidR="00A018B9" w:rsidRPr="00EE7C9B">
              <w:rPr>
                <w:color w:val="000000"/>
                <w:sz w:val="26"/>
                <w:szCs w:val="26"/>
                <w:lang w:val="ro-MD"/>
              </w:rPr>
              <w:t>legii a fost elaborat</w:t>
            </w:r>
            <w:r w:rsidR="005929E1" w:rsidRPr="00EE7C9B">
              <w:rPr>
                <w:color w:val="000000"/>
                <w:sz w:val="26"/>
                <w:szCs w:val="26"/>
                <w:lang w:val="ro-MD"/>
              </w:rPr>
              <w:t xml:space="preserve"> în vederea efectu</w:t>
            </w:r>
            <w:r w:rsidR="00AA4503" w:rsidRPr="00EE7C9B">
              <w:rPr>
                <w:color w:val="000000"/>
                <w:sz w:val="26"/>
                <w:szCs w:val="26"/>
                <w:lang w:val="ro-MD"/>
              </w:rPr>
              <w:t>ării corelărilor necesare în cadrul legal, având în vedere  intrarea în vigoare la 1 aprilie 2019 a Codului administrativ al Republicii Moldova.</w:t>
            </w:r>
          </w:p>
          <w:p w:rsidR="005D0BA0" w:rsidRPr="00EE7C9B" w:rsidRDefault="005D0BA0" w:rsidP="005D0BA0">
            <w:pPr>
              <w:tabs>
                <w:tab w:val="left" w:pos="993"/>
              </w:tabs>
              <w:jc w:val="both"/>
              <w:rPr>
                <w:color w:val="000000"/>
                <w:sz w:val="26"/>
                <w:szCs w:val="26"/>
                <w:lang w:val="ro-MD"/>
              </w:rPr>
            </w:pPr>
            <w:r w:rsidRPr="00EE7C9B">
              <w:rPr>
                <w:color w:val="000000"/>
                <w:sz w:val="26"/>
                <w:szCs w:val="26"/>
                <w:lang w:val="ro-MD"/>
              </w:rPr>
              <w:t xml:space="preserve">         Asigurarea și menținerea stabilității prețurilor reprezintă obiectivul fundamental al Băncii Naționale, iar actele de politică monetară și valutară sunt subsumate imperativului realizării obiectivului fundamental. Politica monetară, prin </w:t>
            </w:r>
            <w:proofErr w:type="spellStart"/>
            <w:r w:rsidRPr="00EE7C9B">
              <w:rPr>
                <w:color w:val="000000"/>
                <w:sz w:val="26"/>
                <w:szCs w:val="26"/>
                <w:lang w:val="ro-MD"/>
              </w:rPr>
              <w:t>excelenţă</w:t>
            </w:r>
            <w:proofErr w:type="spellEnd"/>
            <w:r w:rsidRPr="00EE7C9B">
              <w:rPr>
                <w:color w:val="000000"/>
                <w:sz w:val="26"/>
                <w:szCs w:val="26"/>
                <w:lang w:val="ro-MD"/>
              </w:rPr>
              <w:t xml:space="preserve">, </w:t>
            </w:r>
            <w:proofErr w:type="spellStart"/>
            <w:r w:rsidRPr="00EE7C9B">
              <w:rPr>
                <w:color w:val="000000"/>
                <w:sz w:val="26"/>
                <w:szCs w:val="26"/>
                <w:lang w:val="ro-MD"/>
              </w:rPr>
              <w:t>urmăreşte</w:t>
            </w:r>
            <w:proofErr w:type="spellEnd"/>
            <w:r w:rsidRPr="00EE7C9B">
              <w:rPr>
                <w:color w:val="000000"/>
                <w:sz w:val="26"/>
                <w:szCs w:val="26"/>
                <w:lang w:val="ro-MD"/>
              </w:rPr>
              <w:t xml:space="preserve"> scopuri de durată </w:t>
            </w:r>
            <w:proofErr w:type="spellStart"/>
            <w:r w:rsidRPr="00EE7C9B">
              <w:rPr>
                <w:color w:val="000000"/>
                <w:sz w:val="26"/>
                <w:szCs w:val="26"/>
                <w:lang w:val="ro-MD"/>
              </w:rPr>
              <w:t>şi</w:t>
            </w:r>
            <w:proofErr w:type="spellEnd"/>
            <w:r w:rsidRPr="00EE7C9B">
              <w:rPr>
                <w:color w:val="000000"/>
                <w:sz w:val="26"/>
                <w:szCs w:val="26"/>
                <w:lang w:val="ro-MD"/>
              </w:rPr>
              <w:t xml:space="preserve"> </w:t>
            </w:r>
            <w:proofErr w:type="spellStart"/>
            <w:r w:rsidRPr="00EE7C9B">
              <w:rPr>
                <w:color w:val="000000"/>
                <w:sz w:val="26"/>
                <w:szCs w:val="26"/>
                <w:lang w:val="ro-MD"/>
              </w:rPr>
              <w:t>îşi</w:t>
            </w:r>
            <w:proofErr w:type="spellEnd"/>
            <w:r w:rsidRPr="00EE7C9B">
              <w:rPr>
                <w:color w:val="000000"/>
                <w:sz w:val="26"/>
                <w:szCs w:val="26"/>
                <w:lang w:val="ro-MD"/>
              </w:rPr>
              <w:t xml:space="preserve"> propune modelarea </w:t>
            </w:r>
            <w:proofErr w:type="spellStart"/>
            <w:r w:rsidRPr="00EE7C9B">
              <w:rPr>
                <w:color w:val="000000"/>
                <w:sz w:val="26"/>
                <w:szCs w:val="26"/>
                <w:lang w:val="ro-MD"/>
              </w:rPr>
              <w:t>realităţii</w:t>
            </w:r>
            <w:proofErr w:type="spellEnd"/>
            <w:r w:rsidRPr="00EE7C9B">
              <w:rPr>
                <w:color w:val="000000"/>
                <w:sz w:val="26"/>
                <w:szCs w:val="26"/>
                <w:lang w:val="ro-MD"/>
              </w:rPr>
              <w:t xml:space="preserve"> economice în termen lung, având în vedere caracterul ciclic al proceselor economice </w:t>
            </w:r>
            <w:proofErr w:type="spellStart"/>
            <w:r w:rsidRPr="00EE7C9B">
              <w:rPr>
                <w:color w:val="000000"/>
                <w:sz w:val="26"/>
                <w:szCs w:val="26"/>
                <w:lang w:val="ro-MD"/>
              </w:rPr>
              <w:t>şi</w:t>
            </w:r>
            <w:proofErr w:type="spellEnd"/>
            <w:r w:rsidRPr="00EE7C9B">
              <w:rPr>
                <w:color w:val="000000"/>
                <w:sz w:val="26"/>
                <w:szCs w:val="26"/>
                <w:lang w:val="ro-MD"/>
              </w:rPr>
              <w:t xml:space="preserve"> alte </w:t>
            </w:r>
            <w:proofErr w:type="spellStart"/>
            <w:r w:rsidRPr="00EE7C9B">
              <w:rPr>
                <w:color w:val="000000"/>
                <w:sz w:val="26"/>
                <w:szCs w:val="26"/>
                <w:lang w:val="ro-MD"/>
              </w:rPr>
              <w:t>particularităţi</w:t>
            </w:r>
            <w:proofErr w:type="spellEnd"/>
            <w:r w:rsidRPr="00EE7C9B">
              <w:rPr>
                <w:color w:val="000000"/>
                <w:sz w:val="26"/>
                <w:szCs w:val="26"/>
                <w:lang w:val="ro-MD"/>
              </w:rPr>
              <w:t xml:space="preserve"> similare care impun </w:t>
            </w:r>
            <w:proofErr w:type="spellStart"/>
            <w:r w:rsidRPr="00EE7C9B">
              <w:rPr>
                <w:color w:val="000000"/>
                <w:sz w:val="26"/>
                <w:szCs w:val="26"/>
                <w:lang w:val="ro-MD"/>
              </w:rPr>
              <w:t>exigenţe</w:t>
            </w:r>
            <w:proofErr w:type="spellEnd"/>
            <w:r w:rsidRPr="00EE7C9B">
              <w:rPr>
                <w:color w:val="000000"/>
                <w:sz w:val="26"/>
                <w:szCs w:val="26"/>
                <w:lang w:val="ro-MD"/>
              </w:rPr>
              <w:t xml:space="preserve"> de previzionare </w:t>
            </w:r>
            <w:proofErr w:type="spellStart"/>
            <w:r w:rsidRPr="00EE7C9B">
              <w:rPr>
                <w:color w:val="000000"/>
                <w:sz w:val="26"/>
                <w:szCs w:val="26"/>
                <w:lang w:val="ro-MD"/>
              </w:rPr>
              <w:t>şi</w:t>
            </w:r>
            <w:proofErr w:type="spellEnd"/>
            <w:r w:rsidRPr="00EE7C9B">
              <w:rPr>
                <w:color w:val="000000"/>
                <w:sz w:val="26"/>
                <w:szCs w:val="26"/>
                <w:lang w:val="ro-MD"/>
              </w:rPr>
              <w:t xml:space="preserve"> modelare economică. Banca centrală trebuie să aibă libertatea de a interveni în orice moment, cu orice instrument considerat potrivit, în vederea corectării eventualelor abateri de la </w:t>
            </w:r>
            <w:proofErr w:type="spellStart"/>
            <w:r w:rsidRPr="00EE7C9B">
              <w:rPr>
                <w:color w:val="000000"/>
                <w:sz w:val="26"/>
                <w:szCs w:val="26"/>
                <w:lang w:val="ro-MD"/>
              </w:rPr>
              <w:t>direcţia</w:t>
            </w:r>
            <w:proofErr w:type="spellEnd"/>
            <w:r w:rsidRPr="00EE7C9B">
              <w:rPr>
                <w:color w:val="000000"/>
                <w:sz w:val="26"/>
                <w:szCs w:val="26"/>
                <w:lang w:val="ro-MD"/>
              </w:rPr>
              <w:t xml:space="preserve"> urmărită, motiv pentru care este necesară flexibilitate în aprobarea, aplicarea și revizuirea deciziilor de politică monetară și valutară. </w:t>
            </w:r>
          </w:p>
          <w:p w:rsidR="005D0BA0" w:rsidRPr="00EE7C9B" w:rsidRDefault="005D0BA0" w:rsidP="005D0BA0">
            <w:pPr>
              <w:tabs>
                <w:tab w:val="left" w:pos="993"/>
              </w:tabs>
              <w:jc w:val="both"/>
              <w:rPr>
                <w:color w:val="000000"/>
                <w:sz w:val="26"/>
                <w:szCs w:val="26"/>
                <w:lang w:val="ro-MD"/>
              </w:rPr>
            </w:pPr>
            <w:r w:rsidRPr="00EE7C9B">
              <w:rPr>
                <w:color w:val="000000"/>
                <w:sz w:val="26"/>
                <w:szCs w:val="26"/>
                <w:lang w:val="ro-MD"/>
              </w:rPr>
              <w:t xml:space="preserve">        Banca </w:t>
            </w:r>
            <w:proofErr w:type="spellStart"/>
            <w:r w:rsidRPr="00EE7C9B">
              <w:rPr>
                <w:color w:val="000000"/>
                <w:sz w:val="26"/>
                <w:szCs w:val="26"/>
                <w:lang w:val="ro-MD"/>
              </w:rPr>
              <w:t>Naţională</w:t>
            </w:r>
            <w:proofErr w:type="spellEnd"/>
            <w:r w:rsidRPr="00EE7C9B">
              <w:rPr>
                <w:color w:val="000000"/>
                <w:sz w:val="26"/>
                <w:szCs w:val="26"/>
                <w:lang w:val="ro-MD"/>
              </w:rPr>
              <w:t xml:space="preserve"> exercită supravegherea continuă a băncilor, de la acordarea </w:t>
            </w:r>
            <w:proofErr w:type="spellStart"/>
            <w:r w:rsidRPr="00EE7C9B">
              <w:rPr>
                <w:color w:val="000000"/>
                <w:sz w:val="26"/>
                <w:szCs w:val="26"/>
                <w:lang w:val="ro-MD"/>
              </w:rPr>
              <w:t>licenţei</w:t>
            </w:r>
            <w:proofErr w:type="spellEnd"/>
            <w:r w:rsidRPr="00EE7C9B">
              <w:rPr>
                <w:color w:val="000000"/>
                <w:sz w:val="26"/>
                <w:szCs w:val="26"/>
                <w:lang w:val="ro-MD"/>
              </w:rPr>
              <w:t xml:space="preserve"> </w:t>
            </w:r>
            <w:proofErr w:type="spellStart"/>
            <w:r w:rsidRPr="00EE7C9B">
              <w:rPr>
                <w:color w:val="000000"/>
                <w:sz w:val="26"/>
                <w:szCs w:val="26"/>
                <w:lang w:val="ro-MD"/>
              </w:rPr>
              <w:t>şi</w:t>
            </w:r>
            <w:proofErr w:type="spellEnd"/>
            <w:r w:rsidRPr="00EE7C9B">
              <w:rPr>
                <w:color w:val="000000"/>
                <w:sz w:val="26"/>
                <w:szCs w:val="26"/>
                <w:lang w:val="ro-MD"/>
              </w:rPr>
              <w:t xml:space="preserve"> </w:t>
            </w:r>
            <w:proofErr w:type="spellStart"/>
            <w:r w:rsidRPr="00EE7C9B">
              <w:rPr>
                <w:color w:val="000000"/>
                <w:sz w:val="26"/>
                <w:szCs w:val="26"/>
                <w:lang w:val="ro-MD"/>
              </w:rPr>
              <w:t>pînă</w:t>
            </w:r>
            <w:proofErr w:type="spellEnd"/>
            <w:r w:rsidRPr="00EE7C9B">
              <w:rPr>
                <w:color w:val="000000"/>
                <w:sz w:val="26"/>
                <w:szCs w:val="26"/>
                <w:lang w:val="ro-MD"/>
              </w:rPr>
              <w:t xml:space="preserve"> la lichidarea acestora. Exercitarea acestei supravegheri implică </w:t>
            </w:r>
            <w:proofErr w:type="spellStart"/>
            <w:r w:rsidRPr="00EE7C9B">
              <w:rPr>
                <w:color w:val="000000"/>
                <w:sz w:val="26"/>
                <w:szCs w:val="26"/>
                <w:lang w:val="ro-MD"/>
              </w:rPr>
              <w:t>raţionamente</w:t>
            </w:r>
            <w:proofErr w:type="spellEnd"/>
            <w:r w:rsidRPr="00EE7C9B">
              <w:rPr>
                <w:color w:val="000000"/>
                <w:sz w:val="26"/>
                <w:szCs w:val="26"/>
                <w:lang w:val="ro-MD"/>
              </w:rPr>
              <w:t xml:space="preserve"> (</w:t>
            </w:r>
            <w:proofErr w:type="spellStart"/>
            <w:r w:rsidRPr="00EE7C9B">
              <w:rPr>
                <w:color w:val="000000"/>
                <w:sz w:val="26"/>
                <w:szCs w:val="26"/>
                <w:lang w:val="ro-MD"/>
              </w:rPr>
              <w:t>supervisory</w:t>
            </w:r>
            <w:proofErr w:type="spellEnd"/>
            <w:r w:rsidRPr="00EE7C9B">
              <w:rPr>
                <w:color w:val="000000"/>
                <w:sz w:val="26"/>
                <w:szCs w:val="26"/>
                <w:lang w:val="ro-MD"/>
              </w:rPr>
              <w:t xml:space="preserve"> </w:t>
            </w:r>
            <w:proofErr w:type="spellStart"/>
            <w:r w:rsidRPr="00EE7C9B">
              <w:rPr>
                <w:color w:val="000000"/>
                <w:sz w:val="26"/>
                <w:szCs w:val="26"/>
                <w:lang w:val="ro-MD"/>
              </w:rPr>
              <w:t>judgment</w:t>
            </w:r>
            <w:proofErr w:type="spellEnd"/>
            <w:r w:rsidRPr="00EE7C9B">
              <w:rPr>
                <w:color w:val="000000"/>
                <w:sz w:val="26"/>
                <w:szCs w:val="26"/>
                <w:lang w:val="ro-MD"/>
              </w:rPr>
              <w:t>) și evaluări critice cantitative și calitative privind situația în perspectivă a băncii (</w:t>
            </w:r>
            <w:proofErr w:type="spellStart"/>
            <w:r w:rsidRPr="00EE7C9B">
              <w:rPr>
                <w:color w:val="000000"/>
                <w:sz w:val="26"/>
                <w:szCs w:val="26"/>
                <w:lang w:val="ro-MD"/>
              </w:rPr>
              <w:t>forward-looking</w:t>
            </w:r>
            <w:proofErr w:type="spellEnd"/>
            <w:r w:rsidRPr="00EE7C9B">
              <w:rPr>
                <w:color w:val="000000"/>
                <w:sz w:val="26"/>
                <w:szCs w:val="26"/>
                <w:lang w:val="ro-MD"/>
              </w:rPr>
              <w:t xml:space="preserve"> </w:t>
            </w:r>
            <w:proofErr w:type="spellStart"/>
            <w:r w:rsidRPr="00EE7C9B">
              <w:rPr>
                <w:color w:val="000000"/>
                <w:sz w:val="26"/>
                <w:szCs w:val="26"/>
                <w:lang w:val="ro-MD"/>
              </w:rPr>
              <w:t>critical</w:t>
            </w:r>
            <w:proofErr w:type="spellEnd"/>
            <w:r w:rsidRPr="00EE7C9B">
              <w:rPr>
                <w:color w:val="000000"/>
                <w:sz w:val="26"/>
                <w:szCs w:val="26"/>
                <w:lang w:val="ro-MD"/>
              </w:rPr>
              <w:t xml:space="preserve"> </w:t>
            </w:r>
            <w:proofErr w:type="spellStart"/>
            <w:r w:rsidRPr="00EE7C9B">
              <w:rPr>
                <w:color w:val="000000"/>
                <w:sz w:val="26"/>
                <w:szCs w:val="26"/>
                <w:lang w:val="ro-MD"/>
              </w:rPr>
              <w:t>assessment</w:t>
            </w:r>
            <w:proofErr w:type="spellEnd"/>
            <w:r w:rsidRPr="00EE7C9B">
              <w:rPr>
                <w:color w:val="000000"/>
                <w:sz w:val="26"/>
                <w:szCs w:val="26"/>
                <w:lang w:val="ro-MD"/>
              </w:rPr>
              <w:t xml:space="preserve">), la emiterea oricărui act ce vizează banca. Domeniul bancar este reglementat de un cadru legal esențialmente special, cu principii și rigori deosebite, de a căror aplicare depinde buna funcționare a sistemului bancar și a economiei în ansamblu. Ținând cont de influența majoră a activității băncilor asupra publicului larg, pe de o parte, și asupra solidității și funcționării neîntrerupte a mecanismelor economiei în ansamblu, pe de altă parte, băncile se plasează pe o </w:t>
            </w:r>
            <w:proofErr w:type="spellStart"/>
            <w:r w:rsidRPr="00EE7C9B">
              <w:rPr>
                <w:color w:val="000000"/>
                <w:sz w:val="26"/>
                <w:szCs w:val="26"/>
                <w:lang w:val="ro-MD"/>
              </w:rPr>
              <w:t>poziţie</w:t>
            </w:r>
            <w:proofErr w:type="spellEnd"/>
            <w:r w:rsidRPr="00EE7C9B">
              <w:rPr>
                <w:color w:val="000000"/>
                <w:sz w:val="26"/>
                <w:szCs w:val="26"/>
                <w:lang w:val="ro-MD"/>
              </w:rPr>
              <w:t xml:space="preserve"> distinctă, caracterizată printr-un statut legal special și mai riguros, aplicabil întregii lor </w:t>
            </w:r>
            <w:proofErr w:type="spellStart"/>
            <w:r w:rsidRPr="00EE7C9B">
              <w:rPr>
                <w:color w:val="000000"/>
                <w:sz w:val="26"/>
                <w:szCs w:val="26"/>
                <w:lang w:val="ro-MD"/>
              </w:rPr>
              <w:t>existenţe</w:t>
            </w:r>
            <w:proofErr w:type="spellEnd"/>
            <w:r w:rsidRPr="00EE7C9B">
              <w:rPr>
                <w:color w:val="000000"/>
                <w:sz w:val="26"/>
                <w:szCs w:val="26"/>
                <w:lang w:val="ro-MD"/>
              </w:rPr>
              <w:t>. În acest context, Principiile de bază pentru o supraveghere bancară eficientă (emise de Comitetul Basel pentru supraveghere bancară, 2012), document internațional de referință pentru supraveghetorii bancari</w:t>
            </w:r>
            <w:r w:rsidRPr="00EE7C9B">
              <w:rPr>
                <w:sz w:val="26"/>
                <w:szCs w:val="26"/>
                <w:lang w:val="ro-MD"/>
              </w:rPr>
              <w:footnoteReference w:id="1"/>
            </w:r>
            <w:r w:rsidRPr="00EE7C9B">
              <w:rPr>
                <w:color w:val="000000"/>
                <w:sz w:val="26"/>
                <w:szCs w:val="26"/>
                <w:lang w:val="ro-MD"/>
              </w:rPr>
              <w:t xml:space="preserve">, cere ca “supraveghetorul să aibă discreție deplină pentru a întreprinde orice acțiune de supraveghere sau a emite orice decizie privind băncile și grupurile bancare aflate sub supravegherea sa” (Principiul 2 “Independență, răspundere, asigurare cu resurse și protecție legală pentru supraveghetor”, criteriul esențial 5). De altfel, și Curtea Constituțională remarcă că “în anumite domenii sensibile sau care au o </w:t>
            </w:r>
            <w:proofErr w:type="spellStart"/>
            <w:r w:rsidRPr="00EE7C9B">
              <w:rPr>
                <w:color w:val="000000"/>
                <w:sz w:val="26"/>
                <w:szCs w:val="26"/>
                <w:lang w:val="ro-MD"/>
              </w:rPr>
              <w:t>importanţă</w:t>
            </w:r>
            <w:proofErr w:type="spellEnd"/>
            <w:r w:rsidRPr="00EE7C9B">
              <w:rPr>
                <w:color w:val="000000"/>
                <w:sz w:val="26"/>
                <w:szCs w:val="26"/>
                <w:lang w:val="ro-MD"/>
              </w:rPr>
              <w:t xml:space="preserve"> majoră pentru societate, cum ar fi stabilitatea sistemului bancar, statul se bucură de o marjă mai largă de apreciere. Această marjă de apreciere presupune dreptul statului de a stabili reglementări distincte </w:t>
            </w:r>
            <w:proofErr w:type="spellStart"/>
            <w:r w:rsidRPr="00EE7C9B">
              <w:rPr>
                <w:color w:val="000000"/>
                <w:sz w:val="26"/>
                <w:szCs w:val="26"/>
                <w:lang w:val="ro-MD"/>
              </w:rPr>
              <w:t>faţă</w:t>
            </w:r>
            <w:proofErr w:type="spellEnd"/>
            <w:r w:rsidRPr="00EE7C9B">
              <w:rPr>
                <w:color w:val="000000"/>
                <w:sz w:val="26"/>
                <w:szCs w:val="26"/>
                <w:lang w:val="ro-MD"/>
              </w:rPr>
              <w:t xml:space="preserve"> de alte domenii similare de reglementare.” (paragraf 52,  </w:t>
            </w:r>
            <w:proofErr w:type="spellStart"/>
            <w:r w:rsidRPr="00EE7C9B">
              <w:rPr>
                <w:color w:val="000000"/>
                <w:sz w:val="26"/>
                <w:szCs w:val="26"/>
                <w:lang w:val="ro-MD"/>
              </w:rPr>
              <w:t>Hotărîrea</w:t>
            </w:r>
            <w:proofErr w:type="spellEnd"/>
            <w:r w:rsidRPr="00EE7C9B">
              <w:rPr>
                <w:color w:val="000000"/>
                <w:sz w:val="26"/>
                <w:szCs w:val="26"/>
                <w:lang w:val="ro-MD"/>
              </w:rPr>
              <w:t xml:space="preserve"> nr. 24 din 15.11.2011 privind </w:t>
            </w:r>
            <w:proofErr w:type="spellStart"/>
            <w:r w:rsidRPr="00EE7C9B">
              <w:rPr>
                <w:color w:val="000000"/>
                <w:sz w:val="26"/>
                <w:szCs w:val="26"/>
                <w:lang w:val="ro-MD"/>
              </w:rPr>
              <w:t>excepţia</w:t>
            </w:r>
            <w:proofErr w:type="spellEnd"/>
            <w:r w:rsidRPr="00EE7C9B">
              <w:rPr>
                <w:color w:val="000000"/>
                <w:sz w:val="26"/>
                <w:szCs w:val="26"/>
                <w:lang w:val="ro-MD"/>
              </w:rPr>
              <w:t xml:space="preserve"> de </w:t>
            </w:r>
            <w:proofErr w:type="spellStart"/>
            <w:r w:rsidRPr="00EE7C9B">
              <w:rPr>
                <w:color w:val="000000"/>
                <w:sz w:val="26"/>
                <w:szCs w:val="26"/>
                <w:lang w:val="ro-MD"/>
              </w:rPr>
              <w:t>neconstituţionalitate</w:t>
            </w:r>
            <w:proofErr w:type="spellEnd"/>
            <w:r w:rsidRPr="00EE7C9B">
              <w:rPr>
                <w:color w:val="000000"/>
                <w:sz w:val="26"/>
                <w:szCs w:val="26"/>
                <w:lang w:val="ro-MD"/>
              </w:rPr>
              <w:t xml:space="preserve"> a articolelor 38 alin.(3), (6), (7) </w:t>
            </w:r>
            <w:proofErr w:type="spellStart"/>
            <w:r w:rsidRPr="00EE7C9B">
              <w:rPr>
                <w:color w:val="000000"/>
                <w:sz w:val="26"/>
                <w:szCs w:val="26"/>
                <w:lang w:val="ro-MD"/>
              </w:rPr>
              <w:t>şi</w:t>
            </w:r>
            <w:proofErr w:type="spellEnd"/>
            <w:r w:rsidRPr="00EE7C9B">
              <w:rPr>
                <w:color w:val="000000"/>
                <w:sz w:val="26"/>
                <w:szCs w:val="26"/>
                <w:lang w:val="ro-MD"/>
              </w:rPr>
              <w:t xml:space="preserve"> 38/12 alin.(2) din Legea nr.550-XIII din 21 iulie 1995 a </w:t>
            </w:r>
            <w:proofErr w:type="spellStart"/>
            <w:r w:rsidRPr="00EE7C9B">
              <w:rPr>
                <w:color w:val="000000"/>
                <w:sz w:val="26"/>
                <w:szCs w:val="26"/>
                <w:lang w:val="ro-MD"/>
              </w:rPr>
              <w:t>instituţiilor</w:t>
            </w:r>
            <w:proofErr w:type="spellEnd"/>
            <w:r w:rsidRPr="00EE7C9B">
              <w:rPr>
                <w:color w:val="000000"/>
                <w:sz w:val="26"/>
                <w:szCs w:val="26"/>
                <w:lang w:val="ro-MD"/>
              </w:rPr>
              <w:t xml:space="preserve"> financiare, cu modificările </w:t>
            </w:r>
            <w:proofErr w:type="spellStart"/>
            <w:r w:rsidRPr="00EE7C9B">
              <w:rPr>
                <w:color w:val="000000"/>
                <w:sz w:val="26"/>
                <w:szCs w:val="26"/>
                <w:lang w:val="ro-MD"/>
              </w:rPr>
              <w:t>şi</w:t>
            </w:r>
            <w:proofErr w:type="spellEnd"/>
            <w:r w:rsidRPr="00EE7C9B">
              <w:rPr>
                <w:color w:val="000000"/>
                <w:sz w:val="26"/>
                <w:szCs w:val="26"/>
                <w:lang w:val="ro-MD"/>
              </w:rPr>
              <w:t xml:space="preserve"> completările ulterioare (Sesizarea nr.16g/2011) //Monitorul Oficial 206-215/33, 02.12.2011).</w:t>
            </w:r>
          </w:p>
          <w:p w:rsidR="005D0BA0" w:rsidRPr="00EE7C9B" w:rsidRDefault="005D0BA0" w:rsidP="005D0BA0">
            <w:pPr>
              <w:tabs>
                <w:tab w:val="left" w:pos="993"/>
              </w:tabs>
              <w:jc w:val="both"/>
              <w:rPr>
                <w:color w:val="000000"/>
                <w:sz w:val="26"/>
                <w:szCs w:val="26"/>
                <w:lang w:val="ro-MD"/>
              </w:rPr>
            </w:pPr>
            <w:r w:rsidRPr="00EE7C9B">
              <w:rPr>
                <w:color w:val="000000"/>
                <w:sz w:val="26"/>
                <w:szCs w:val="26"/>
                <w:lang w:val="ro-MD"/>
              </w:rPr>
              <w:t xml:space="preserve">       Supravegherea continuă </w:t>
            </w:r>
            <w:proofErr w:type="spellStart"/>
            <w:r w:rsidRPr="00EE7C9B">
              <w:rPr>
                <w:color w:val="000000"/>
                <w:sz w:val="26"/>
                <w:szCs w:val="26"/>
                <w:lang w:val="ro-MD"/>
              </w:rPr>
              <w:t>şi</w:t>
            </w:r>
            <w:proofErr w:type="spellEnd"/>
            <w:r w:rsidRPr="00EE7C9B">
              <w:rPr>
                <w:color w:val="000000"/>
                <w:sz w:val="26"/>
                <w:szCs w:val="26"/>
                <w:lang w:val="ro-MD"/>
              </w:rPr>
              <w:t xml:space="preserve"> eficientă a infrastructurilor piețelor financiare (inclusiv a sistemelor de </w:t>
            </w:r>
            <w:proofErr w:type="spellStart"/>
            <w:r w:rsidRPr="00EE7C9B">
              <w:rPr>
                <w:color w:val="000000"/>
                <w:sz w:val="26"/>
                <w:szCs w:val="26"/>
                <w:lang w:val="ro-MD"/>
              </w:rPr>
              <w:t>plăţi</w:t>
            </w:r>
            <w:proofErr w:type="spellEnd"/>
            <w:r w:rsidRPr="00EE7C9B">
              <w:rPr>
                <w:color w:val="000000"/>
                <w:sz w:val="26"/>
                <w:szCs w:val="26"/>
                <w:lang w:val="ro-MD"/>
              </w:rPr>
              <w:t xml:space="preserve">) și a activității de prestare a serviciilor de plată și emitere de monedă electronică este importantă, în primul rând, prin </w:t>
            </w:r>
            <w:proofErr w:type="spellStart"/>
            <w:r w:rsidRPr="00EE7C9B">
              <w:rPr>
                <w:color w:val="000000"/>
                <w:sz w:val="26"/>
                <w:szCs w:val="26"/>
                <w:lang w:val="ro-MD"/>
              </w:rPr>
              <w:t>repercursiunile</w:t>
            </w:r>
            <w:proofErr w:type="spellEnd"/>
            <w:r w:rsidRPr="00EE7C9B">
              <w:rPr>
                <w:color w:val="000000"/>
                <w:sz w:val="26"/>
                <w:szCs w:val="26"/>
                <w:lang w:val="ro-MD"/>
              </w:rPr>
              <w:t xml:space="preserve"> pe care le-ar putea avea </w:t>
            </w:r>
            <w:proofErr w:type="spellStart"/>
            <w:r w:rsidRPr="00EE7C9B">
              <w:rPr>
                <w:color w:val="000000"/>
                <w:sz w:val="26"/>
                <w:szCs w:val="26"/>
                <w:lang w:val="ro-MD"/>
              </w:rPr>
              <w:lastRenderedPageBreak/>
              <w:t>funcţionarea</w:t>
            </w:r>
            <w:proofErr w:type="spellEnd"/>
            <w:r w:rsidRPr="00EE7C9B">
              <w:rPr>
                <w:color w:val="000000"/>
                <w:sz w:val="26"/>
                <w:szCs w:val="26"/>
                <w:lang w:val="ro-MD"/>
              </w:rPr>
              <w:t xml:space="preserve"> inadecvată a acestor infrastructuri asupra implementării politicii monetare. Totodată, modul în care este exercitată supravegherea asupra prestatorilor de servicii de plată și emitenților de monedă electronica influențează utilizatorii finali ai acestor servicii și funcționarea continuă și eficientă a sistemelor de plăți prin intermediul cărora se prestează aceste servicii. La rândul său, modul în care </w:t>
            </w:r>
            <w:proofErr w:type="spellStart"/>
            <w:r w:rsidRPr="00EE7C9B">
              <w:rPr>
                <w:color w:val="000000"/>
                <w:sz w:val="26"/>
                <w:szCs w:val="26"/>
                <w:lang w:val="ro-MD"/>
              </w:rPr>
              <w:t>funcţionează</w:t>
            </w:r>
            <w:proofErr w:type="spellEnd"/>
            <w:r w:rsidRPr="00EE7C9B">
              <w:rPr>
                <w:color w:val="000000"/>
                <w:sz w:val="26"/>
                <w:szCs w:val="26"/>
                <w:lang w:val="ro-MD"/>
              </w:rPr>
              <w:t xml:space="preserve"> sistemele de plăți poate afecta stabilitatea sistemului financiar </w:t>
            </w:r>
            <w:proofErr w:type="spellStart"/>
            <w:r w:rsidRPr="00EE7C9B">
              <w:rPr>
                <w:color w:val="000000"/>
                <w:sz w:val="26"/>
                <w:szCs w:val="26"/>
                <w:lang w:val="ro-MD"/>
              </w:rPr>
              <w:t>şi</w:t>
            </w:r>
            <w:proofErr w:type="spellEnd"/>
            <w:r w:rsidRPr="00EE7C9B">
              <w:rPr>
                <w:color w:val="000000"/>
                <w:sz w:val="26"/>
                <w:szCs w:val="26"/>
                <w:lang w:val="ro-MD"/>
              </w:rPr>
              <w:t xml:space="preserve"> economia în ansamblu (sistemele de </w:t>
            </w:r>
            <w:proofErr w:type="spellStart"/>
            <w:r w:rsidRPr="00EE7C9B">
              <w:rPr>
                <w:color w:val="000000"/>
                <w:sz w:val="26"/>
                <w:szCs w:val="26"/>
                <w:lang w:val="ro-MD"/>
              </w:rPr>
              <w:t>plăţi</w:t>
            </w:r>
            <w:proofErr w:type="spellEnd"/>
            <w:r w:rsidRPr="00EE7C9B">
              <w:rPr>
                <w:color w:val="000000"/>
                <w:sz w:val="26"/>
                <w:szCs w:val="26"/>
                <w:lang w:val="ro-MD"/>
              </w:rPr>
              <w:t xml:space="preserve">, în cazul în care nu sunt supravegheate în mod adecvat, sunt pasibile de </w:t>
            </w:r>
            <w:proofErr w:type="spellStart"/>
            <w:r w:rsidRPr="00EE7C9B">
              <w:rPr>
                <w:color w:val="000000"/>
                <w:sz w:val="26"/>
                <w:szCs w:val="26"/>
                <w:lang w:val="ro-MD"/>
              </w:rPr>
              <w:t>apariţia</w:t>
            </w:r>
            <w:proofErr w:type="spellEnd"/>
            <w:r w:rsidRPr="00EE7C9B">
              <w:rPr>
                <w:color w:val="000000"/>
                <w:sz w:val="26"/>
                <w:szCs w:val="26"/>
                <w:lang w:val="ro-MD"/>
              </w:rPr>
              <w:t xml:space="preserve">, transmiterea </w:t>
            </w:r>
            <w:proofErr w:type="spellStart"/>
            <w:r w:rsidRPr="00EE7C9B">
              <w:rPr>
                <w:color w:val="000000"/>
                <w:sz w:val="26"/>
                <w:szCs w:val="26"/>
                <w:lang w:val="ro-MD"/>
              </w:rPr>
              <w:t>şi</w:t>
            </w:r>
            <w:proofErr w:type="spellEnd"/>
            <w:r w:rsidRPr="00EE7C9B">
              <w:rPr>
                <w:color w:val="000000"/>
                <w:sz w:val="26"/>
                <w:szCs w:val="26"/>
                <w:lang w:val="ro-MD"/>
              </w:rPr>
              <w:t xml:space="preserve"> amplificarea riscurilor financiare după principiul „domino” conform căruia, riscul că un participant la sistem nu-</w:t>
            </w:r>
            <w:proofErr w:type="spellStart"/>
            <w:r w:rsidRPr="00EE7C9B">
              <w:rPr>
                <w:color w:val="000000"/>
                <w:sz w:val="26"/>
                <w:szCs w:val="26"/>
                <w:lang w:val="ro-MD"/>
              </w:rPr>
              <w:t>şi</w:t>
            </w:r>
            <w:proofErr w:type="spellEnd"/>
            <w:r w:rsidRPr="00EE7C9B">
              <w:rPr>
                <w:color w:val="000000"/>
                <w:sz w:val="26"/>
                <w:szCs w:val="26"/>
                <w:lang w:val="ro-MD"/>
              </w:rPr>
              <w:t xml:space="preserve"> poate onora </w:t>
            </w:r>
            <w:proofErr w:type="spellStart"/>
            <w:r w:rsidRPr="00EE7C9B">
              <w:rPr>
                <w:color w:val="000000"/>
                <w:sz w:val="26"/>
                <w:szCs w:val="26"/>
                <w:lang w:val="ro-MD"/>
              </w:rPr>
              <w:t>obligaţiile</w:t>
            </w:r>
            <w:proofErr w:type="spellEnd"/>
            <w:r w:rsidRPr="00EE7C9B">
              <w:rPr>
                <w:color w:val="000000"/>
                <w:sz w:val="26"/>
                <w:szCs w:val="26"/>
                <w:lang w:val="ro-MD"/>
              </w:rPr>
              <w:t xml:space="preserve"> se poate repercuta asupra participantului creditor care la rândul său devenind insolvabil produce efectul similar în </w:t>
            </w:r>
            <w:proofErr w:type="spellStart"/>
            <w:r w:rsidRPr="00EE7C9B">
              <w:rPr>
                <w:color w:val="000000"/>
                <w:sz w:val="26"/>
                <w:szCs w:val="26"/>
                <w:lang w:val="ro-MD"/>
              </w:rPr>
              <w:t>lanţ</w:t>
            </w:r>
            <w:proofErr w:type="spellEnd"/>
            <w:r w:rsidRPr="00EE7C9B">
              <w:rPr>
                <w:color w:val="000000"/>
                <w:sz w:val="26"/>
                <w:szCs w:val="26"/>
                <w:lang w:val="ro-MD"/>
              </w:rPr>
              <w:t xml:space="preserve">. determinând </w:t>
            </w:r>
            <w:proofErr w:type="spellStart"/>
            <w:r w:rsidRPr="00EE7C9B">
              <w:rPr>
                <w:color w:val="000000"/>
                <w:sz w:val="26"/>
                <w:szCs w:val="26"/>
                <w:lang w:val="ro-MD"/>
              </w:rPr>
              <w:t>declanşarea</w:t>
            </w:r>
            <w:proofErr w:type="spellEnd"/>
            <w:r w:rsidRPr="00EE7C9B">
              <w:rPr>
                <w:color w:val="000000"/>
                <w:sz w:val="26"/>
                <w:szCs w:val="26"/>
                <w:lang w:val="ro-MD"/>
              </w:rPr>
              <w:t xml:space="preserve"> riscului sistemic), iar </w:t>
            </w:r>
            <w:proofErr w:type="spellStart"/>
            <w:r w:rsidRPr="00EE7C9B">
              <w:rPr>
                <w:color w:val="000000"/>
                <w:sz w:val="26"/>
                <w:szCs w:val="26"/>
                <w:lang w:val="ro-MD"/>
              </w:rPr>
              <w:t>acţiunile</w:t>
            </w:r>
            <w:proofErr w:type="spellEnd"/>
            <w:r w:rsidRPr="00EE7C9B">
              <w:rPr>
                <w:color w:val="000000"/>
                <w:sz w:val="26"/>
                <w:szCs w:val="26"/>
                <w:lang w:val="ro-MD"/>
              </w:rPr>
              <w:t xml:space="preserve"> de </w:t>
            </w:r>
            <w:proofErr w:type="spellStart"/>
            <w:r w:rsidRPr="00EE7C9B">
              <w:rPr>
                <w:color w:val="000000"/>
                <w:sz w:val="26"/>
                <w:szCs w:val="26"/>
                <w:lang w:val="ro-MD"/>
              </w:rPr>
              <w:t>intervenţie</w:t>
            </w:r>
            <w:proofErr w:type="spellEnd"/>
            <w:r w:rsidRPr="00EE7C9B">
              <w:rPr>
                <w:color w:val="000000"/>
                <w:sz w:val="26"/>
                <w:szCs w:val="26"/>
                <w:lang w:val="ro-MD"/>
              </w:rPr>
              <w:t xml:space="preserve"> promptă </w:t>
            </w:r>
            <w:proofErr w:type="spellStart"/>
            <w:r w:rsidRPr="00EE7C9B">
              <w:rPr>
                <w:color w:val="000000"/>
                <w:sz w:val="26"/>
                <w:szCs w:val="26"/>
                <w:lang w:val="ro-MD"/>
              </w:rPr>
              <w:t>şi</w:t>
            </w:r>
            <w:proofErr w:type="spellEnd"/>
            <w:r w:rsidRPr="00EE7C9B">
              <w:rPr>
                <w:color w:val="000000"/>
                <w:sz w:val="26"/>
                <w:szCs w:val="26"/>
                <w:lang w:val="ro-MD"/>
              </w:rPr>
              <w:t xml:space="preserve"> fără impedimente pentru inducerea </w:t>
            </w:r>
            <w:proofErr w:type="spellStart"/>
            <w:r w:rsidRPr="00EE7C9B">
              <w:rPr>
                <w:color w:val="000000"/>
                <w:sz w:val="26"/>
                <w:szCs w:val="26"/>
                <w:lang w:val="ro-MD"/>
              </w:rPr>
              <w:t>corecţiilor</w:t>
            </w:r>
            <w:proofErr w:type="spellEnd"/>
            <w:r w:rsidRPr="00EE7C9B">
              <w:rPr>
                <w:color w:val="000000"/>
                <w:sz w:val="26"/>
                <w:szCs w:val="26"/>
                <w:lang w:val="ro-MD"/>
              </w:rPr>
              <w:t xml:space="preserve"> au un rol </w:t>
            </w:r>
            <w:proofErr w:type="spellStart"/>
            <w:r w:rsidRPr="00EE7C9B">
              <w:rPr>
                <w:color w:val="000000"/>
                <w:sz w:val="26"/>
                <w:szCs w:val="26"/>
                <w:lang w:val="ro-MD"/>
              </w:rPr>
              <w:t>esenţial</w:t>
            </w:r>
            <w:proofErr w:type="spellEnd"/>
            <w:r w:rsidRPr="00EE7C9B">
              <w:rPr>
                <w:color w:val="000000"/>
                <w:sz w:val="26"/>
                <w:szCs w:val="26"/>
                <w:lang w:val="ro-MD"/>
              </w:rPr>
              <w:t xml:space="preserve"> pentru buna </w:t>
            </w:r>
            <w:proofErr w:type="spellStart"/>
            <w:r w:rsidRPr="00EE7C9B">
              <w:rPr>
                <w:color w:val="000000"/>
                <w:sz w:val="26"/>
                <w:szCs w:val="26"/>
                <w:lang w:val="ro-MD"/>
              </w:rPr>
              <w:t>funcţionare</w:t>
            </w:r>
            <w:proofErr w:type="spellEnd"/>
            <w:r w:rsidRPr="00EE7C9B">
              <w:rPr>
                <w:color w:val="000000"/>
                <w:sz w:val="26"/>
                <w:szCs w:val="26"/>
                <w:lang w:val="ro-MD"/>
              </w:rPr>
              <w:t xml:space="preserve"> a acestora. </w:t>
            </w:r>
            <w:proofErr w:type="spellStart"/>
            <w:r w:rsidRPr="00EE7C9B">
              <w:rPr>
                <w:color w:val="000000"/>
                <w:sz w:val="26"/>
                <w:szCs w:val="26"/>
                <w:lang w:val="ro-MD"/>
              </w:rPr>
              <w:t>Atribuţia</w:t>
            </w:r>
            <w:proofErr w:type="spellEnd"/>
            <w:r w:rsidRPr="00EE7C9B">
              <w:rPr>
                <w:color w:val="000000"/>
                <w:sz w:val="26"/>
                <w:szCs w:val="26"/>
                <w:lang w:val="ro-MD"/>
              </w:rPr>
              <w:t xml:space="preserve"> de supraveghere a infrastructurilor pieței financiare este realizată de Banca Națională în corespundere cu Principiile pentru infrastructurile </w:t>
            </w:r>
            <w:proofErr w:type="spellStart"/>
            <w:r w:rsidRPr="00EE7C9B">
              <w:rPr>
                <w:color w:val="000000"/>
                <w:sz w:val="26"/>
                <w:szCs w:val="26"/>
                <w:lang w:val="ro-MD"/>
              </w:rPr>
              <w:t>pieţei</w:t>
            </w:r>
            <w:proofErr w:type="spellEnd"/>
            <w:r w:rsidRPr="00EE7C9B">
              <w:rPr>
                <w:color w:val="000000"/>
                <w:sz w:val="26"/>
                <w:szCs w:val="26"/>
                <w:lang w:val="ro-MD"/>
              </w:rPr>
              <w:t xml:space="preserve"> financiare (IPF) (</w:t>
            </w:r>
            <w:proofErr w:type="spellStart"/>
            <w:r w:rsidRPr="00EE7C9B">
              <w:rPr>
                <w:i/>
                <w:iCs/>
                <w:color w:val="000000"/>
                <w:sz w:val="26"/>
                <w:szCs w:val="26"/>
                <w:lang w:val="ro-MD"/>
              </w:rPr>
              <w:t>Principles</w:t>
            </w:r>
            <w:proofErr w:type="spellEnd"/>
            <w:r w:rsidRPr="00EE7C9B">
              <w:rPr>
                <w:i/>
                <w:iCs/>
                <w:color w:val="000000"/>
                <w:sz w:val="26"/>
                <w:szCs w:val="26"/>
                <w:lang w:val="ro-MD"/>
              </w:rPr>
              <w:t xml:space="preserve"> for </w:t>
            </w:r>
            <w:proofErr w:type="spellStart"/>
            <w:r w:rsidRPr="00EE7C9B">
              <w:rPr>
                <w:i/>
                <w:iCs/>
                <w:color w:val="000000"/>
                <w:sz w:val="26"/>
                <w:szCs w:val="26"/>
                <w:lang w:val="ro-MD"/>
              </w:rPr>
              <w:t>financial</w:t>
            </w:r>
            <w:proofErr w:type="spellEnd"/>
            <w:r w:rsidRPr="00EE7C9B">
              <w:rPr>
                <w:i/>
                <w:iCs/>
                <w:color w:val="000000"/>
                <w:sz w:val="26"/>
                <w:szCs w:val="26"/>
                <w:lang w:val="ro-MD"/>
              </w:rPr>
              <w:t xml:space="preserve"> market </w:t>
            </w:r>
            <w:proofErr w:type="spellStart"/>
            <w:r w:rsidRPr="00EE7C9B">
              <w:rPr>
                <w:i/>
                <w:iCs/>
                <w:color w:val="000000"/>
                <w:sz w:val="26"/>
                <w:szCs w:val="26"/>
                <w:lang w:val="ro-MD"/>
              </w:rPr>
              <w:t>infrastructures</w:t>
            </w:r>
            <w:proofErr w:type="spellEnd"/>
            <w:r w:rsidRPr="00EE7C9B">
              <w:rPr>
                <w:color w:val="000000"/>
                <w:sz w:val="26"/>
                <w:szCs w:val="26"/>
                <w:lang w:val="ro-MD"/>
              </w:rPr>
              <w:t xml:space="preserve">) adoptate de Banca Reglementelor </w:t>
            </w:r>
            <w:proofErr w:type="spellStart"/>
            <w:r w:rsidRPr="00EE7C9B">
              <w:rPr>
                <w:color w:val="000000"/>
                <w:sz w:val="26"/>
                <w:szCs w:val="26"/>
                <w:lang w:val="ro-MD"/>
              </w:rPr>
              <w:t>Internaţionale</w:t>
            </w:r>
            <w:proofErr w:type="spellEnd"/>
            <w:r w:rsidRPr="00EE7C9B">
              <w:rPr>
                <w:color w:val="000000"/>
                <w:sz w:val="26"/>
                <w:szCs w:val="26"/>
                <w:lang w:val="ro-MD"/>
              </w:rPr>
              <w:t xml:space="preserve"> </w:t>
            </w:r>
            <w:proofErr w:type="spellStart"/>
            <w:r w:rsidRPr="00EE7C9B">
              <w:rPr>
                <w:color w:val="000000"/>
                <w:sz w:val="26"/>
                <w:szCs w:val="26"/>
                <w:lang w:val="ro-MD"/>
              </w:rPr>
              <w:t>şi</w:t>
            </w:r>
            <w:proofErr w:type="spellEnd"/>
            <w:r w:rsidRPr="00EE7C9B">
              <w:rPr>
                <w:color w:val="000000"/>
                <w:sz w:val="26"/>
                <w:szCs w:val="26"/>
                <w:lang w:val="ro-MD"/>
              </w:rPr>
              <w:t xml:space="preserve"> </w:t>
            </w:r>
            <w:proofErr w:type="spellStart"/>
            <w:r w:rsidRPr="00EE7C9B">
              <w:rPr>
                <w:color w:val="000000"/>
                <w:sz w:val="26"/>
                <w:szCs w:val="26"/>
                <w:lang w:val="ro-MD"/>
              </w:rPr>
              <w:t>Organizaţia</w:t>
            </w:r>
            <w:proofErr w:type="spellEnd"/>
            <w:r w:rsidRPr="00EE7C9B">
              <w:rPr>
                <w:color w:val="000000"/>
                <w:sz w:val="26"/>
                <w:szCs w:val="26"/>
                <w:lang w:val="ro-MD"/>
              </w:rPr>
              <w:t xml:space="preserve"> </w:t>
            </w:r>
            <w:proofErr w:type="spellStart"/>
            <w:r w:rsidRPr="00EE7C9B">
              <w:rPr>
                <w:color w:val="000000"/>
                <w:sz w:val="26"/>
                <w:szCs w:val="26"/>
                <w:lang w:val="ro-MD"/>
              </w:rPr>
              <w:t>Internaţională</w:t>
            </w:r>
            <w:proofErr w:type="spellEnd"/>
            <w:r w:rsidRPr="00EE7C9B">
              <w:rPr>
                <w:color w:val="000000"/>
                <w:sz w:val="26"/>
                <w:szCs w:val="26"/>
                <w:lang w:val="ro-MD"/>
              </w:rPr>
              <w:t xml:space="preserve"> a Comisiilor Valorilor Mobiliare</w:t>
            </w:r>
            <w:r w:rsidRPr="00EE7C9B">
              <w:rPr>
                <w:color w:val="000000"/>
                <w:sz w:val="26"/>
                <w:szCs w:val="26"/>
                <w:lang w:val="ro-MD"/>
              </w:rPr>
              <w:footnoteReference w:id="2"/>
            </w:r>
            <w:r w:rsidRPr="00EE7C9B">
              <w:rPr>
                <w:color w:val="000000"/>
                <w:sz w:val="26"/>
                <w:szCs w:val="26"/>
                <w:lang w:val="ro-MD"/>
              </w:rPr>
              <w:t xml:space="preserve">. Principiile respective stabilesc, inter alia, </w:t>
            </w:r>
            <w:proofErr w:type="spellStart"/>
            <w:r w:rsidRPr="00EE7C9B">
              <w:rPr>
                <w:color w:val="000000"/>
                <w:sz w:val="26"/>
                <w:szCs w:val="26"/>
                <w:lang w:val="ro-MD"/>
              </w:rPr>
              <w:t>responsabilităţile</w:t>
            </w:r>
            <w:proofErr w:type="spellEnd"/>
            <w:r w:rsidRPr="00EE7C9B">
              <w:rPr>
                <w:color w:val="000000"/>
                <w:sz w:val="26"/>
                <w:szCs w:val="26"/>
                <w:lang w:val="ro-MD"/>
              </w:rPr>
              <w:t xml:space="preserve"> băncilor centrale în asigurarea bunei </w:t>
            </w:r>
            <w:proofErr w:type="spellStart"/>
            <w:r w:rsidRPr="00EE7C9B">
              <w:rPr>
                <w:color w:val="000000"/>
                <w:sz w:val="26"/>
                <w:szCs w:val="26"/>
                <w:lang w:val="ro-MD"/>
              </w:rPr>
              <w:t>funcţionări</w:t>
            </w:r>
            <w:proofErr w:type="spellEnd"/>
            <w:r w:rsidRPr="00EE7C9B">
              <w:rPr>
                <w:color w:val="000000"/>
                <w:sz w:val="26"/>
                <w:szCs w:val="26"/>
                <w:lang w:val="ro-MD"/>
              </w:rPr>
              <w:t xml:space="preserve"> a infrastructurilor pieței financiare, inclusiv a sistemelor de </w:t>
            </w:r>
            <w:proofErr w:type="spellStart"/>
            <w:r w:rsidRPr="00EE7C9B">
              <w:rPr>
                <w:color w:val="000000"/>
                <w:sz w:val="26"/>
                <w:szCs w:val="26"/>
                <w:lang w:val="ro-MD"/>
              </w:rPr>
              <w:t>plăţi</w:t>
            </w:r>
            <w:proofErr w:type="spellEnd"/>
            <w:r w:rsidRPr="00EE7C9B">
              <w:rPr>
                <w:color w:val="000000"/>
                <w:sz w:val="26"/>
                <w:szCs w:val="26"/>
                <w:lang w:val="ro-MD"/>
              </w:rPr>
              <w:t xml:space="preserve">. Conform acestor principii, Banca </w:t>
            </w:r>
            <w:proofErr w:type="spellStart"/>
            <w:r w:rsidRPr="00EE7C9B">
              <w:rPr>
                <w:color w:val="000000"/>
                <w:sz w:val="26"/>
                <w:szCs w:val="26"/>
                <w:lang w:val="ro-MD"/>
              </w:rPr>
              <w:t>Naţională</w:t>
            </w:r>
            <w:proofErr w:type="spellEnd"/>
            <w:r w:rsidRPr="00EE7C9B">
              <w:rPr>
                <w:color w:val="000000"/>
                <w:sz w:val="26"/>
                <w:szCs w:val="26"/>
                <w:lang w:val="ro-MD"/>
              </w:rPr>
              <w:t xml:space="preserve"> trebuie să dispună de împuterniciri necesare să îndeplinească în mod eficient </w:t>
            </w:r>
            <w:proofErr w:type="spellStart"/>
            <w:r w:rsidRPr="00EE7C9B">
              <w:rPr>
                <w:color w:val="000000"/>
                <w:sz w:val="26"/>
                <w:szCs w:val="26"/>
                <w:lang w:val="ro-MD"/>
              </w:rPr>
              <w:t>responsabilităţile</w:t>
            </w:r>
            <w:proofErr w:type="spellEnd"/>
            <w:r w:rsidRPr="00EE7C9B">
              <w:rPr>
                <w:color w:val="000000"/>
                <w:sz w:val="26"/>
                <w:szCs w:val="26"/>
                <w:lang w:val="ro-MD"/>
              </w:rPr>
              <w:t xml:space="preserve"> proprii de reglementare </w:t>
            </w:r>
            <w:proofErr w:type="spellStart"/>
            <w:r w:rsidRPr="00EE7C9B">
              <w:rPr>
                <w:color w:val="000000"/>
                <w:sz w:val="26"/>
                <w:szCs w:val="26"/>
                <w:lang w:val="ro-MD"/>
              </w:rPr>
              <w:t>şi</w:t>
            </w:r>
            <w:proofErr w:type="spellEnd"/>
            <w:r w:rsidRPr="00EE7C9B">
              <w:rPr>
                <w:color w:val="000000"/>
                <w:sz w:val="26"/>
                <w:szCs w:val="26"/>
                <w:lang w:val="ro-MD"/>
              </w:rPr>
              <w:t xml:space="preserve"> supraveghere.</w:t>
            </w:r>
          </w:p>
          <w:p w:rsidR="005D0BA0" w:rsidRPr="00EE7C9B" w:rsidRDefault="005D0BA0" w:rsidP="00EE7C9B">
            <w:pPr>
              <w:tabs>
                <w:tab w:val="left" w:pos="993"/>
              </w:tabs>
              <w:jc w:val="both"/>
              <w:rPr>
                <w:color w:val="000000"/>
                <w:sz w:val="26"/>
                <w:szCs w:val="26"/>
                <w:lang w:val="ro-MD"/>
              </w:rPr>
            </w:pPr>
            <w:r w:rsidRPr="00EE7C9B">
              <w:rPr>
                <w:color w:val="000000"/>
                <w:sz w:val="26"/>
                <w:szCs w:val="26"/>
                <w:lang w:val="ro-MD"/>
              </w:rPr>
              <w:t>Propunerile din proiectul de lege derivă din aceste  atribuții speciale exercitate de Banca Națională.</w:t>
            </w:r>
          </w:p>
        </w:tc>
      </w:tr>
      <w:tr w:rsidR="00547B57" w:rsidRPr="00EE7C9B" w:rsidTr="00547B57">
        <w:tc>
          <w:tcPr>
            <w:tcW w:w="5000" w:type="pct"/>
          </w:tcPr>
          <w:p w:rsidR="00F6775A" w:rsidRPr="00EE7C9B" w:rsidRDefault="00547B57" w:rsidP="00682D8D">
            <w:pPr>
              <w:tabs>
                <w:tab w:val="left" w:pos="884"/>
                <w:tab w:val="left" w:pos="1196"/>
              </w:tabs>
              <w:jc w:val="both"/>
              <w:rPr>
                <w:sz w:val="26"/>
                <w:szCs w:val="26"/>
                <w:lang w:val="ro-MD"/>
              </w:rPr>
            </w:pPr>
            <w:r w:rsidRPr="00EE7C9B">
              <w:rPr>
                <w:b/>
                <w:sz w:val="26"/>
                <w:szCs w:val="26"/>
                <w:lang w:val="ro-MD"/>
              </w:rPr>
              <w:lastRenderedPageBreak/>
              <w:t>3</w:t>
            </w:r>
            <w:r w:rsidRPr="00EE7C9B">
              <w:rPr>
                <w:sz w:val="26"/>
                <w:szCs w:val="26"/>
                <w:lang w:val="ro-MD"/>
              </w:rPr>
              <w:t xml:space="preserve">. </w:t>
            </w:r>
            <w:r w:rsidRPr="00EE7C9B">
              <w:rPr>
                <w:b/>
                <w:sz w:val="26"/>
                <w:szCs w:val="26"/>
                <w:lang w:val="ro-MD"/>
              </w:rPr>
              <w:t xml:space="preserve">Descrierea gradului de compatibilitate pentru proiectele care au ca scop armonizarea </w:t>
            </w:r>
            <w:proofErr w:type="spellStart"/>
            <w:r w:rsidRPr="00EE7C9B">
              <w:rPr>
                <w:b/>
                <w:sz w:val="26"/>
                <w:szCs w:val="26"/>
                <w:lang w:val="ro-MD"/>
              </w:rPr>
              <w:t>legislaţiei</w:t>
            </w:r>
            <w:proofErr w:type="spellEnd"/>
            <w:r w:rsidRPr="00EE7C9B">
              <w:rPr>
                <w:b/>
                <w:sz w:val="26"/>
                <w:szCs w:val="26"/>
                <w:lang w:val="ro-MD"/>
              </w:rPr>
              <w:t xml:space="preserve"> </w:t>
            </w:r>
            <w:proofErr w:type="spellStart"/>
            <w:r w:rsidRPr="00EE7C9B">
              <w:rPr>
                <w:b/>
                <w:sz w:val="26"/>
                <w:szCs w:val="26"/>
                <w:lang w:val="ro-MD"/>
              </w:rPr>
              <w:t>naţionale</w:t>
            </w:r>
            <w:proofErr w:type="spellEnd"/>
            <w:r w:rsidRPr="00EE7C9B">
              <w:rPr>
                <w:b/>
                <w:sz w:val="26"/>
                <w:szCs w:val="26"/>
                <w:lang w:val="ro-MD"/>
              </w:rPr>
              <w:t xml:space="preserve"> cu </w:t>
            </w:r>
            <w:proofErr w:type="spellStart"/>
            <w:r w:rsidRPr="00EE7C9B">
              <w:rPr>
                <w:b/>
                <w:sz w:val="26"/>
                <w:szCs w:val="26"/>
                <w:lang w:val="ro-MD"/>
              </w:rPr>
              <w:t>legislaţia</w:t>
            </w:r>
            <w:proofErr w:type="spellEnd"/>
            <w:r w:rsidRPr="00EE7C9B">
              <w:rPr>
                <w:b/>
                <w:sz w:val="26"/>
                <w:szCs w:val="26"/>
                <w:lang w:val="ro-MD"/>
              </w:rPr>
              <w:t xml:space="preserve"> Uniunii Europene</w:t>
            </w:r>
          </w:p>
        </w:tc>
      </w:tr>
      <w:tr w:rsidR="00547B57" w:rsidRPr="00EE7C9B" w:rsidTr="00547B57">
        <w:tc>
          <w:tcPr>
            <w:tcW w:w="5000" w:type="pct"/>
          </w:tcPr>
          <w:p w:rsidR="005D0BA0" w:rsidRPr="00EE7C9B" w:rsidRDefault="00EE7C9B" w:rsidP="00227EF6">
            <w:pPr>
              <w:jc w:val="both"/>
              <w:rPr>
                <w:color w:val="000000"/>
                <w:sz w:val="26"/>
                <w:szCs w:val="26"/>
                <w:lang w:val="ro-MD"/>
              </w:rPr>
            </w:pPr>
            <w:r w:rsidRPr="00EE7C9B">
              <w:rPr>
                <w:color w:val="000000"/>
                <w:sz w:val="26"/>
                <w:szCs w:val="26"/>
                <w:lang w:val="ro-MD"/>
              </w:rPr>
              <w:t xml:space="preserve">          </w:t>
            </w:r>
            <w:r w:rsidR="00CB3DC7" w:rsidRPr="00EE7C9B">
              <w:rPr>
                <w:color w:val="000000"/>
                <w:sz w:val="26"/>
                <w:szCs w:val="26"/>
                <w:lang w:val="ro-MD"/>
              </w:rPr>
              <w:t>Proiectul nu transpune prevederi</w:t>
            </w:r>
            <w:r w:rsidR="00C961DF" w:rsidRPr="00EE7C9B">
              <w:rPr>
                <w:color w:val="000000"/>
                <w:sz w:val="26"/>
                <w:szCs w:val="26"/>
                <w:lang w:val="ro-MD"/>
              </w:rPr>
              <w:t xml:space="preserve"> al</w:t>
            </w:r>
            <w:r w:rsidR="00CB3DC7" w:rsidRPr="00EE7C9B">
              <w:rPr>
                <w:color w:val="000000"/>
                <w:sz w:val="26"/>
                <w:szCs w:val="26"/>
                <w:lang w:val="ro-MD"/>
              </w:rPr>
              <w:t>e legislației UE.</w:t>
            </w:r>
          </w:p>
        </w:tc>
      </w:tr>
      <w:tr w:rsidR="00547B57" w:rsidRPr="00EE7C9B" w:rsidTr="00682D8D">
        <w:trPr>
          <w:trHeight w:val="378"/>
        </w:trPr>
        <w:tc>
          <w:tcPr>
            <w:tcW w:w="5000" w:type="pct"/>
          </w:tcPr>
          <w:p w:rsidR="00682D8D" w:rsidRPr="00EE7C9B" w:rsidRDefault="00547B57" w:rsidP="00682D8D">
            <w:pPr>
              <w:tabs>
                <w:tab w:val="left" w:pos="884"/>
                <w:tab w:val="left" w:pos="1196"/>
              </w:tabs>
              <w:jc w:val="both"/>
              <w:rPr>
                <w:sz w:val="26"/>
                <w:szCs w:val="26"/>
                <w:lang w:val="ro-MD"/>
              </w:rPr>
            </w:pPr>
            <w:r w:rsidRPr="00EE7C9B">
              <w:rPr>
                <w:b/>
                <w:sz w:val="26"/>
                <w:szCs w:val="26"/>
                <w:lang w:val="ro-MD"/>
              </w:rPr>
              <w:t xml:space="preserve">4. Principalele prevederi ale proiectului </w:t>
            </w:r>
            <w:proofErr w:type="spellStart"/>
            <w:r w:rsidRPr="00EE7C9B">
              <w:rPr>
                <w:b/>
                <w:sz w:val="26"/>
                <w:szCs w:val="26"/>
                <w:lang w:val="ro-MD"/>
              </w:rPr>
              <w:t>şi</w:t>
            </w:r>
            <w:proofErr w:type="spellEnd"/>
            <w:r w:rsidRPr="00EE7C9B">
              <w:rPr>
                <w:b/>
                <w:sz w:val="26"/>
                <w:szCs w:val="26"/>
                <w:lang w:val="ro-MD"/>
              </w:rPr>
              <w:t xml:space="preserve"> </w:t>
            </w:r>
            <w:proofErr w:type="spellStart"/>
            <w:r w:rsidRPr="00EE7C9B">
              <w:rPr>
                <w:b/>
                <w:sz w:val="26"/>
                <w:szCs w:val="26"/>
                <w:lang w:val="ro-MD"/>
              </w:rPr>
              <w:t>evidenţierea</w:t>
            </w:r>
            <w:proofErr w:type="spellEnd"/>
            <w:r w:rsidRPr="00EE7C9B">
              <w:rPr>
                <w:b/>
                <w:sz w:val="26"/>
                <w:szCs w:val="26"/>
                <w:lang w:val="ro-MD"/>
              </w:rPr>
              <w:t xml:space="preserve"> elementelor noi</w:t>
            </w:r>
          </w:p>
        </w:tc>
      </w:tr>
      <w:tr w:rsidR="00547B57" w:rsidRPr="00EE7C9B" w:rsidTr="00547B57">
        <w:tc>
          <w:tcPr>
            <w:tcW w:w="5000" w:type="pct"/>
          </w:tcPr>
          <w:p w:rsidR="005D0BA0" w:rsidRPr="00EE7C9B" w:rsidRDefault="005D0BA0" w:rsidP="00D52387">
            <w:pPr>
              <w:tabs>
                <w:tab w:val="left" w:pos="993"/>
              </w:tabs>
              <w:jc w:val="both"/>
              <w:rPr>
                <w:sz w:val="26"/>
                <w:szCs w:val="26"/>
                <w:lang w:val="ro-MD"/>
              </w:rPr>
            </w:pPr>
            <w:r w:rsidRPr="00EE7C9B">
              <w:rPr>
                <w:sz w:val="26"/>
                <w:szCs w:val="26"/>
                <w:lang w:val="ro-MD"/>
              </w:rPr>
              <w:t xml:space="preserve">        - reglementare</w:t>
            </w:r>
            <w:r w:rsidR="006C1DB2" w:rsidRPr="00EE7C9B">
              <w:rPr>
                <w:sz w:val="26"/>
                <w:szCs w:val="26"/>
                <w:lang w:val="ro-MD"/>
              </w:rPr>
              <w:t xml:space="preserve">a procedurii audierii scrise a solicitantului înainte de </w:t>
            </w:r>
            <w:r w:rsidR="007B7612" w:rsidRPr="00EE7C9B">
              <w:rPr>
                <w:sz w:val="26"/>
                <w:szCs w:val="26"/>
                <w:lang w:val="ro-MD"/>
              </w:rPr>
              <w:t>adoptarea unei decizii privind o cerere de aprobare prealabilă, de eliberare a unei permisiuni prealabile, licențe sau autorizații, care afectează negativ drepturile solicitantului. În aceste situații, persoanei i se va oferi posibilitatea de a transmite Băncii Naționale comentarii în scris cu privire la faptele, circumstanțele, obiecțiile și temeiul juridic relevant pentru decizia Băncii Naționale. Remarcăm că această formă de audiere scrisă este aplicată și de Banca Centrală Europeană în exercitarea atribuțiilor de supraveghere la nivel european (art.31, art.126 din Regulamentul (UE) nr. 468/2014 al Băncii Centrale Europene din 16 aprilie 2014 de instituire a cadrului de cooperare la nivelul Mecanismului unic de supraveghere între Banca Centrală Europeană și autoritățile naționale competente și cu autoritățile naționale desemnate</w:t>
            </w:r>
            <w:r w:rsidR="00E35990" w:rsidRPr="00EE7C9B">
              <w:rPr>
                <w:sz w:val="26"/>
                <w:szCs w:val="26"/>
                <w:lang w:val="ro-MD"/>
              </w:rPr>
              <w:t xml:space="preserve">; art.22 din </w:t>
            </w:r>
            <w:r w:rsidR="007B7612" w:rsidRPr="00EE7C9B">
              <w:rPr>
                <w:sz w:val="26"/>
                <w:szCs w:val="26"/>
                <w:lang w:val="ro-MD"/>
              </w:rPr>
              <w:t xml:space="preserve"> Regulamentul (UE) nr. 1024/2013 al Consiliului din 15 octombrie 2013 de conferire a unor atribuții specifice Băncii Centrale Europene în ceea ce privește politicile legate de supravegherea prudențială a instituțiilor de credit).</w:t>
            </w:r>
          </w:p>
          <w:p w:rsidR="006C1DB2" w:rsidRPr="00EE7C9B" w:rsidRDefault="005D0BA0" w:rsidP="00D52387">
            <w:pPr>
              <w:tabs>
                <w:tab w:val="left" w:pos="993"/>
              </w:tabs>
              <w:jc w:val="both"/>
              <w:rPr>
                <w:sz w:val="26"/>
                <w:szCs w:val="26"/>
                <w:lang w:val="ro-MD"/>
              </w:rPr>
            </w:pPr>
            <w:r w:rsidRPr="00EE7C9B">
              <w:rPr>
                <w:sz w:val="26"/>
                <w:szCs w:val="26"/>
                <w:lang w:val="ro-MD"/>
              </w:rPr>
              <w:t xml:space="preserve">          - reglementarea </w:t>
            </w:r>
            <w:r w:rsidR="00E35990" w:rsidRPr="00EE7C9B">
              <w:rPr>
                <w:sz w:val="26"/>
                <w:szCs w:val="26"/>
                <w:lang w:val="ro-MD"/>
              </w:rPr>
              <w:t>detaliat</w:t>
            </w:r>
            <w:r w:rsidRPr="00EE7C9B">
              <w:rPr>
                <w:sz w:val="26"/>
                <w:szCs w:val="26"/>
                <w:lang w:val="ro-MD"/>
              </w:rPr>
              <w:t>ă a modalității</w:t>
            </w:r>
            <w:r w:rsidR="00E35990" w:rsidRPr="00EE7C9B">
              <w:rPr>
                <w:sz w:val="26"/>
                <w:szCs w:val="26"/>
                <w:lang w:val="ro-MD"/>
              </w:rPr>
              <w:t xml:space="preserve"> de notificare a actelor Băncii Naționale către destinatarii acestora, </w:t>
            </w:r>
            <w:r w:rsidR="005929E1" w:rsidRPr="00EE7C9B">
              <w:rPr>
                <w:sz w:val="26"/>
                <w:szCs w:val="26"/>
                <w:lang w:val="ro-MD"/>
              </w:rPr>
              <w:t xml:space="preserve">precum și </w:t>
            </w:r>
            <w:r w:rsidR="00E35990" w:rsidRPr="00EE7C9B">
              <w:rPr>
                <w:sz w:val="26"/>
                <w:szCs w:val="26"/>
                <w:lang w:val="ro-MD"/>
              </w:rPr>
              <w:t>notificarea înscrisurilor către Banca Națională în cadrul procedurilor administrative, deopotrivă cu precizarea momentului comunicării în fiecare situație. La reglementarea acestor aspecte, la fel, s-au luat în considerare practicile BCE (spre ex. art.35 din Regulamentul 468/2014/UE).</w:t>
            </w:r>
          </w:p>
          <w:p w:rsidR="00470117" w:rsidRPr="00EE7C9B" w:rsidRDefault="005D0BA0" w:rsidP="00D52387">
            <w:pPr>
              <w:tabs>
                <w:tab w:val="left" w:pos="993"/>
              </w:tabs>
              <w:jc w:val="both"/>
              <w:rPr>
                <w:sz w:val="26"/>
                <w:szCs w:val="26"/>
                <w:lang w:val="ro-MD"/>
              </w:rPr>
            </w:pPr>
            <w:r w:rsidRPr="00EE7C9B">
              <w:rPr>
                <w:sz w:val="26"/>
                <w:szCs w:val="26"/>
                <w:lang w:val="ro-MD"/>
              </w:rPr>
              <w:t xml:space="preserve">           - clarificarea</w:t>
            </w:r>
            <w:r w:rsidR="00470117" w:rsidRPr="00EE7C9B">
              <w:rPr>
                <w:sz w:val="26"/>
                <w:szCs w:val="26"/>
                <w:lang w:val="ro-MD"/>
              </w:rPr>
              <w:t xml:space="preserve"> procesul</w:t>
            </w:r>
            <w:r w:rsidRPr="00EE7C9B">
              <w:rPr>
                <w:sz w:val="26"/>
                <w:szCs w:val="26"/>
                <w:lang w:val="ro-MD"/>
              </w:rPr>
              <w:t>ui</w:t>
            </w:r>
            <w:r w:rsidR="00470117" w:rsidRPr="00EE7C9B">
              <w:rPr>
                <w:sz w:val="26"/>
                <w:szCs w:val="26"/>
                <w:lang w:val="ro-MD"/>
              </w:rPr>
              <w:t xml:space="preserve"> de constatare a încălcărilor urmare monitorizării permanente a activității entităților licențiate de Banca Națională și a respectării cerințelor autorizațiilor pentru operațiuni valutare eliberate de Banca Națională, acesta fiind efectuat continuu. În funcție de tipul și certitudinea încălcărilor constatate în cadrul acestei monitorizări, fie se </w:t>
            </w:r>
            <w:r w:rsidR="00470117" w:rsidRPr="00EE7C9B">
              <w:rPr>
                <w:sz w:val="26"/>
                <w:szCs w:val="26"/>
                <w:lang w:val="ro-MD"/>
              </w:rPr>
              <w:lastRenderedPageBreak/>
              <w:t xml:space="preserve">informează persoana vizată asupra încălcărilor constatate și se solicită înlăturarea acestora, fie se inițiază adițional un control din oficiu sau pe teren. </w:t>
            </w:r>
          </w:p>
          <w:p w:rsidR="00470117" w:rsidRPr="00EE7C9B" w:rsidRDefault="005D0BA0" w:rsidP="00D52387">
            <w:pPr>
              <w:tabs>
                <w:tab w:val="left" w:pos="993"/>
              </w:tabs>
              <w:jc w:val="both"/>
              <w:rPr>
                <w:sz w:val="26"/>
                <w:szCs w:val="26"/>
                <w:lang w:val="ro-MD"/>
              </w:rPr>
            </w:pPr>
            <w:r w:rsidRPr="00EE7C9B">
              <w:rPr>
                <w:sz w:val="26"/>
                <w:szCs w:val="26"/>
                <w:lang w:val="ro-MD"/>
              </w:rPr>
              <w:t xml:space="preserve">            -</w:t>
            </w:r>
            <w:r w:rsidR="003725D6" w:rsidRPr="00EE7C9B">
              <w:rPr>
                <w:sz w:val="26"/>
                <w:szCs w:val="26"/>
                <w:lang w:val="ro-MD"/>
              </w:rPr>
              <w:t xml:space="preserve"> obligația transmiterii</w:t>
            </w:r>
            <w:r w:rsidR="00F969AA" w:rsidRPr="00EE7C9B">
              <w:rPr>
                <w:sz w:val="26"/>
                <w:szCs w:val="26"/>
                <w:lang w:val="ro-MD"/>
              </w:rPr>
              <w:t xml:space="preserve"> unui extras al</w:t>
            </w:r>
            <w:r w:rsidR="003725D6" w:rsidRPr="00EE7C9B">
              <w:rPr>
                <w:sz w:val="26"/>
                <w:szCs w:val="26"/>
                <w:lang w:val="ro-MD"/>
              </w:rPr>
              <w:t xml:space="preserve"> actului privind rezultatele controlului pe teren și către persoanele cu funcții-cheie (administratorii) și membrii organelor de conducere ale persoanei supuse controlului, dacă actul conține încălcări imputabile acestora.</w:t>
            </w:r>
          </w:p>
          <w:p w:rsidR="005D0BA0" w:rsidRPr="00EE7C9B" w:rsidRDefault="00601147" w:rsidP="007B6E29">
            <w:pPr>
              <w:tabs>
                <w:tab w:val="left" w:pos="993"/>
              </w:tabs>
              <w:jc w:val="both"/>
              <w:rPr>
                <w:sz w:val="26"/>
                <w:szCs w:val="26"/>
                <w:lang w:val="ro-MD"/>
              </w:rPr>
            </w:pPr>
            <w:r w:rsidRPr="00EE7C9B">
              <w:rPr>
                <w:sz w:val="26"/>
                <w:szCs w:val="26"/>
                <w:lang w:val="ro-MD"/>
              </w:rPr>
              <w:t xml:space="preserve">            </w:t>
            </w:r>
            <w:r w:rsidR="005D0BA0" w:rsidRPr="00EE7C9B">
              <w:rPr>
                <w:sz w:val="26"/>
                <w:szCs w:val="26"/>
                <w:lang w:val="ro-MD"/>
              </w:rPr>
              <w:t xml:space="preserve">- </w:t>
            </w:r>
            <w:r w:rsidR="00470117" w:rsidRPr="00EE7C9B">
              <w:rPr>
                <w:sz w:val="26"/>
                <w:szCs w:val="26"/>
                <w:lang w:val="ro-MD"/>
              </w:rPr>
              <w:t>institui</w:t>
            </w:r>
            <w:r w:rsidR="005D0BA0" w:rsidRPr="00EE7C9B">
              <w:rPr>
                <w:sz w:val="26"/>
                <w:szCs w:val="26"/>
                <w:lang w:val="ro-MD"/>
              </w:rPr>
              <w:t>r</w:t>
            </w:r>
            <w:r w:rsidR="00470117" w:rsidRPr="00EE7C9B">
              <w:rPr>
                <w:sz w:val="26"/>
                <w:szCs w:val="26"/>
                <w:lang w:val="ro-MD"/>
              </w:rPr>
              <w:t>e</w:t>
            </w:r>
            <w:r w:rsidR="005D0BA0" w:rsidRPr="00EE7C9B">
              <w:rPr>
                <w:sz w:val="26"/>
                <w:szCs w:val="26"/>
                <w:lang w:val="ro-MD"/>
              </w:rPr>
              <w:t>a</w:t>
            </w:r>
            <w:r w:rsidR="00470117" w:rsidRPr="00EE7C9B">
              <w:rPr>
                <w:sz w:val="26"/>
                <w:szCs w:val="26"/>
                <w:lang w:val="ro-MD"/>
              </w:rPr>
              <w:t xml:space="preserve"> termene</w:t>
            </w:r>
            <w:r w:rsidR="005D0BA0" w:rsidRPr="00EE7C9B">
              <w:rPr>
                <w:sz w:val="26"/>
                <w:szCs w:val="26"/>
                <w:lang w:val="ro-MD"/>
              </w:rPr>
              <w:t>lor</w:t>
            </w:r>
            <w:r w:rsidR="00470117" w:rsidRPr="00EE7C9B">
              <w:rPr>
                <w:sz w:val="26"/>
                <w:szCs w:val="26"/>
                <w:lang w:val="ro-MD"/>
              </w:rPr>
              <w:t xml:space="preserve"> procedurale pentru fiecare etapă a controlului din oficiu sau pe teren desfășurat de Banca Națională în privința entităților licențiate și supravegheate de aceasta, precum și termene de finalizare a control</w:t>
            </w:r>
            <w:r w:rsidR="00C95CB8" w:rsidRPr="00EE7C9B">
              <w:rPr>
                <w:sz w:val="26"/>
                <w:szCs w:val="26"/>
                <w:lang w:val="ro-MD"/>
              </w:rPr>
              <w:t>ului din oficiu sau pe teren</w:t>
            </w:r>
            <w:r w:rsidR="00470117" w:rsidRPr="00EE7C9B">
              <w:rPr>
                <w:sz w:val="26"/>
                <w:szCs w:val="26"/>
                <w:lang w:val="ro-MD"/>
              </w:rPr>
              <w:t>.</w:t>
            </w:r>
          </w:p>
          <w:p w:rsidR="007B6E29" w:rsidRPr="00EE7C9B" w:rsidRDefault="005D0BA0" w:rsidP="007B6E29">
            <w:pPr>
              <w:tabs>
                <w:tab w:val="left" w:pos="993"/>
              </w:tabs>
              <w:jc w:val="both"/>
              <w:rPr>
                <w:sz w:val="26"/>
                <w:szCs w:val="26"/>
                <w:lang w:val="ro-MD"/>
              </w:rPr>
            </w:pPr>
            <w:r w:rsidRPr="00EE7C9B">
              <w:rPr>
                <w:sz w:val="26"/>
                <w:szCs w:val="26"/>
                <w:lang w:val="ro-MD"/>
              </w:rPr>
              <w:t xml:space="preserve">            - păstrarea</w:t>
            </w:r>
            <w:r w:rsidR="003E2AEC" w:rsidRPr="00EE7C9B">
              <w:rPr>
                <w:sz w:val="26"/>
                <w:szCs w:val="26"/>
                <w:lang w:val="ro-MD"/>
              </w:rPr>
              <w:t xml:space="preserve"> statutul</w:t>
            </w:r>
            <w:r w:rsidRPr="00EE7C9B">
              <w:rPr>
                <w:sz w:val="26"/>
                <w:szCs w:val="26"/>
                <w:lang w:val="ro-MD"/>
              </w:rPr>
              <w:t>ui</w:t>
            </w:r>
            <w:r w:rsidR="003E2AEC" w:rsidRPr="00EE7C9B">
              <w:rPr>
                <w:sz w:val="26"/>
                <w:szCs w:val="26"/>
                <w:lang w:val="ro-MD"/>
              </w:rPr>
              <w:t xml:space="preserve"> special al măsurilor de stabilizare financiară ce pot fi aplicate de Banca Națională</w:t>
            </w:r>
            <w:r w:rsidR="00EB1D6E" w:rsidRPr="00EE7C9B">
              <w:rPr>
                <w:sz w:val="26"/>
                <w:szCs w:val="26"/>
                <w:lang w:val="ro-MD"/>
              </w:rPr>
              <w:t>, după consultarea Guvernului,</w:t>
            </w:r>
            <w:r w:rsidR="003E2AEC" w:rsidRPr="00EE7C9B">
              <w:rPr>
                <w:sz w:val="26"/>
                <w:szCs w:val="26"/>
                <w:lang w:val="ro-MD"/>
              </w:rPr>
              <w:t xml:space="preserve"> conform art.5 alin.(5) din Legea 548/1995</w:t>
            </w:r>
            <w:r w:rsidR="007B6E29" w:rsidRPr="00EE7C9B">
              <w:rPr>
                <w:sz w:val="26"/>
                <w:szCs w:val="26"/>
                <w:lang w:val="ro-MD"/>
              </w:rPr>
              <w:t xml:space="preserve"> cu privire la Banca Națională a Moldovei</w:t>
            </w:r>
            <w:r w:rsidR="003E2AEC" w:rsidRPr="00EE7C9B">
              <w:rPr>
                <w:sz w:val="26"/>
                <w:szCs w:val="26"/>
                <w:lang w:val="ro-MD"/>
              </w:rPr>
              <w:t xml:space="preserve"> și al măsurilor de salvgardare aplicate în baza art.56 alin.(</w:t>
            </w:r>
            <w:r w:rsidR="007B6E29" w:rsidRPr="00EE7C9B">
              <w:rPr>
                <w:sz w:val="26"/>
                <w:szCs w:val="26"/>
                <w:lang w:val="ro-MD"/>
              </w:rPr>
              <w:t>51</w:t>
            </w:r>
            <w:r w:rsidR="003E2AEC" w:rsidRPr="00EE7C9B">
              <w:rPr>
                <w:sz w:val="26"/>
                <w:szCs w:val="26"/>
                <w:lang w:val="ro-MD"/>
              </w:rPr>
              <w:t xml:space="preserve">) din Legea 62/2008 </w:t>
            </w:r>
            <w:r w:rsidR="007B6E29" w:rsidRPr="00EE7C9B">
              <w:rPr>
                <w:sz w:val="26"/>
                <w:szCs w:val="26"/>
                <w:lang w:val="ro-MD"/>
              </w:rPr>
              <w:t xml:space="preserve">privind reglementarea valutară, ambele </w:t>
            </w:r>
            <w:r w:rsidR="00F969AA" w:rsidRPr="00EE7C9B">
              <w:rPr>
                <w:sz w:val="26"/>
                <w:szCs w:val="26"/>
                <w:lang w:val="ro-MD"/>
              </w:rPr>
              <w:t>fiind introduse</w:t>
            </w:r>
            <w:r w:rsidR="007B6E29" w:rsidRPr="00EE7C9B">
              <w:rPr>
                <w:sz w:val="26"/>
                <w:szCs w:val="26"/>
                <w:lang w:val="ro-MD"/>
              </w:rPr>
              <w:t xml:space="preserve"> în situații de criză financiară sistemică întru protecția unor interese publice. Ținând cont de specificul acestor măsuri și de situațiile în care pot interveni</w:t>
            </w:r>
            <w:r w:rsidR="00F969AA" w:rsidRPr="00EE7C9B">
              <w:rPr>
                <w:sz w:val="26"/>
                <w:szCs w:val="26"/>
                <w:lang w:val="ro-MD"/>
              </w:rPr>
              <w:t>,</w:t>
            </w:r>
            <w:r w:rsidR="007B6E29" w:rsidRPr="00EE7C9B">
              <w:rPr>
                <w:sz w:val="26"/>
                <w:szCs w:val="26"/>
                <w:lang w:val="ro-MD"/>
              </w:rPr>
              <w:t xml:space="preserve"> este imposibilă aplicarea cerințelor Codului administrativ privind modul de inițiere și derulare a procedurii administrative. Remediul contestării acestor acte la Comitetul Executiv al Băncii Naționale </w:t>
            </w:r>
            <w:r w:rsidR="00EB1D6E" w:rsidRPr="00EE7C9B">
              <w:rPr>
                <w:sz w:val="26"/>
                <w:szCs w:val="26"/>
                <w:lang w:val="ro-MD"/>
              </w:rPr>
              <w:t xml:space="preserve">prin depunerea unei cereri prealabile </w:t>
            </w:r>
            <w:r w:rsidR="007B6E29" w:rsidRPr="00EE7C9B">
              <w:rPr>
                <w:sz w:val="26"/>
                <w:szCs w:val="26"/>
                <w:lang w:val="ro-MD"/>
              </w:rPr>
              <w:t>și cel al controlului judiciar rămâne la îndemâna persoanelor care se consideră prejudiciate prin asemenea acte.</w:t>
            </w:r>
          </w:p>
          <w:p w:rsidR="00601147" w:rsidRPr="00EE7C9B" w:rsidRDefault="00601147" w:rsidP="004769C2">
            <w:pPr>
              <w:tabs>
                <w:tab w:val="left" w:pos="993"/>
              </w:tabs>
              <w:jc w:val="both"/>
              <w:rPr>
                <w:sz w:val="26"/>
                <w:szCs w:val="26"/>
                <w:lang w:val="ro-MD"/>
              </w:rPr>
            </w:pPr>
            <w:r w:rsidRPr="00EE7C9B">
              <w:rPr>
                <w:sz w:val="26"/>
                <w:szCs w:val="26"/>
                <w:lang w:val="ro-MD"/>
              </w:rPr>
              <w:t xml:space="preserve">         - specificarea faptului că depunerea unei cereri de suspendare a executării actului Băncii Naționale nu implică suspendarea de drept a efectelor actului contestat. O asemenea soluție este prevăzută și în Decizia Băncii Centrale Europene din 14 aprilie 2014 privind </w:t>
            </w:r>
            <w:proofErr w:type="spellStart"/>
            <w:r w:rsidRPr="00EE7C9B">
              <w:rPr>
                <w:sz w:val="26"/>
                <w:szCs w:val="26"/>
                <w:lang w:val="ro-MD"/>
              </w:rPr>
              <w:t>privind</w:t>
            </w:r>
            <w:proofErr w:type="spellEnd"/>
            <w:r w:rsidRPr="00EE7C9B">
              <w:rPr>
                <w:sz w:val="26"/>
                <w:szCs w:val="26"/>
                <w:lang w:val="ro-MD"/>
              </w:rPr>
              <w:t xml:space="preserve"> instituirea unui comitet administrativ de control și normele de funcționare ale acestuia, care la art.8 prevede că depunerea contestației nu are efect suspensiv asupra aplicării deciziei contestate. </w:t>
            </w:r>
            <w:r w:rsidR="007340AA" w:rsidRPr="00EE7C9B">
              <w:rPr>
                <w:sz w:val="26"/>
                <w:szCs w:val="26"/>
                <w:lang w:val="ro-MD"/>
              </w:rPr>
              <w:t xml:space="preserve">Ținând cont de caracterul sui generis al actelor de autoritate de politică monetară și de </w:t>
            </w:r>
            <w:r w:rsidR="00F969AA" w:rsidRPr="00EE7C9B">
              <w:rPr>
                <w:sz w:val="26"/>
                <w:szCs w:val="26"/>
                <w:lang w:val="ro-MD"/>
              </w:rPr>
              <w:t>s</w:t>
            </w:r>
            <w:r w:rsidR="007340AA" w:rsidRPr="00EE7C9B">
              <w:rPr>
                <w:sz w:val="26"/>
                <w:szCs w:val="26"/>
                <w:lang w:val="ro-MD"/>
              </w:rPr>
              <w:t xml:space="preserve">upraveghetor, </w:t>
            </w:r>
            <w:r w:rsidR="004B728B" w:rsidRPr="00EE7C9B">
              <w:rPr>
                <w:sz w:val="26"/>
                <w:szCs w:val="26"/>
                <w:lang w:val="ro-MD"/>
              </w:rPr>
              <w:t xml:space="preserve">având în vedere domeniile sensibile în care intervine o bancă centrală, care au un rol deosebit pentru economia </w:t>
            </w:r>
            <w:proofErr w:type="spellStart"/>
            <w:r w:rsidR="004B728B" w:rsidRPr="00EE7C9B">
              <w:rPr>
                <w:sz w:val="26"/>
                <w:szCs w:val="26"/>
                <w:lang w:val="ro-MD"/>
              </w:rPr>
              <w:t>ţării</w:t>
            </w:r>
            <w:proofErr w:type="spellEnd"/>
            <w:r w:rsidR="004B728B" w:rsidRPr="00EE7C9B">
              <w:rPr>
                <w:sz w:val="26"/>
                <w:szCs w:val="26"/>
                <w:lang w:val="ro-MD"/>
              </w:rPr>
              <w:t xml:space="preserve">, precum </w:t>
            </w:r>
            <w:proofErr w:type="spellStart"/>
            <w:r w:rsidR="004B728B" w:rsidRPr="00EE7C9B">
              <w:rPr>
                <w:sz w:val="26"/>
                <w:szCs w:val="26"/>
                <w:lang w:val="ro-MD"/>
              </w:rPr>
              <w:t>şi</w:t>
            </w:r>
            <w:proofErr w:type="spellEnd"/>
            <w:r w:rsidR="004B728B" w:rsidRPr="00EE7C9B">
              <w:rPr>
                <w:sz w:val="26"/>
                <w:szCs w:val="26"/>
                <w:lang w:val="ro-MD"/>
              </w:rPr>
              <w:t xml:space="preserve"> interesul public major în realizarea neîntreruptă </w:t>
            </w:r>
            <w:proofErr w:type="spellStart"/>
            <w:r w:rsidR="004B728B" w:rsidRPr="00EE7C9B">
              <w:rPr>
                <w:sz w:val="26"/>
                <w:szCs w:val="26"/>
                <w:lang w:val="ro-MD"/>
              </w:rPr>
              <w:t>şi</w:t>
            </w:r>
            <w:proofErr w:type="spellEnd"/>
            <w:r w:rsidR="004B728B" w:rsidRPr="00EE7C9B">
              <w:rPr>
                <w:sz w:val="26"/>
                <w:szCs w:val="26"/>
                <w:lang w:val="ro-MD"/>
              </w:rPr>
              <w:t xml:space="preserve">  necondiționată a </w:t>
            </w:r>
            <w:proofErr w:type="spellStart"/>
            <w:r w:rsidR="004B728B" w:rsidRPr="00EE7C9B">
              <w:rPr>
                <w:sz w:val="26"/>
                <w:szCs w:val="26"/>
                <w:lang w:val="ro-MD"/>
              </w:rPr>
              <w:t>atribuţiilor</w:t>
            </w:r>
            <w:proofErr w:type="spellEnd"/>
            <w:r w:rsidR="004B728B" w:rsidRPr="00EE7C9B">
              <w:rPr>
                <w:sz w:val="26"/>
                <w:szCs w:val="26"/>
                <w:lang w:val="ro-MD"/>
              </w:rPr>
              <w:t xml:space="preserve"> acesteia, </w:t>
            </w:r>
            <w:r w:rsidR="007340AA" w:rsidRPr="00EE7C9B">
              <w:rPr>
                <w:sz w:val="26"/>
                <w:szCs w:val="26"/>
                <w:lang w:val="ro-MD"/>
              </w:rPr>
              <w:t xml:space="preserve">suspendarea acestor acte, fie și temporară, ar periclita interesele publice protejate prin aceste acte. </w:t>
            </w:r>
          </w:p>
          <w:p w:rsidR="003D0718" w:rsidRPr="00EE7C9B" w:rsidRDefault="00601147" w:rsidP="009F7984">
            <w:pPr>
              <w:jc w:val="both"/>
              <w:rPr>
                <w:sz w:val="26"/>
                <w:szCs w:val="26"/>
                <w:lang w:val="ro-MD"/>
              </w:rPr>
            </w:pPr>
            <w:r w:rsidRPr="00EE7C9B">
              <w:rPr>
                <w:sz w:val="26"/>
                <w:szCs w:val="26"/>
                <w:lang w:val="ro-MD"/>
              </w:rPr>
              <w:t xml:space="preserve">          - exceptarea de la necesitatea de aplicare a prevederilor Codului administrativ </w:t>
            </w:r>
            <w:r w:rsidR="003D0718" w:rsidRPr="00EE7C9B">
              <w:rPr>
                <w:sz w:val="26"/>
                <w:szCs w:val="26"/>
                <w:lang w:val="ro-MD"/>
              </w:rPr>
              <w:t xml:space="preserve">în procesul de </w:t>
            </w:r>
            <w:proofErr w:type="spellStart"/>
            <w:r w:rsidR="003D0718" w:rsidRPr="00EE7C9B">
              <w:rPr>
                <w:sz w:val="26"/>
                <w:szCs w:val="26"/>
                <w:lang w:val="ro-MD"/>
              </w:rPr>
              <w:t>intervenţie</w:t>
            </w:r>
            <w:proofErr w:type="spellEnd"/>
            <w:r w:rsidR="003D0718" w:rsidRPr="00EE7C9B">
              <w:rPr>
                <w:sz w:val="26"/>
                <w:szCs w:val="26"/>
                <w:lang w:val="ro-MD"/>
              </w:rPr>
              <w:t xml:space="preserve"> timpurie </w:t>
            </w:r>
            <w:proofErr w:type="spellStart"/>
            <w:r w:rsidR="003D0718" w:rsidRPr="00EE7C9B">
              <w:rPr>
                <w:sz w:val="26"/>
                <w:szCs w:val="26"/>
                <w:lang w:val="ro-MD"/>
              </w:rPr>
              <w:t>şi</w:t>
            </w:r>
            <w:proofErr w:type="spellEnd"/>
            <w:r w:rsidR="003D0718" w:rsidRPr="00EE7C9B">
              <w:rPr>
                <w:sz w:val="26"/>
                <w:szCs w:val="26"/>
                <w:lang w:val="ro-MD"/>
              </w:rPr>
              <w:t xml:space="preserve"> </w:t>
            </w:r>
            <w:proofErr w:type="spellStart"/>
            <w:r w:rsidR="003D0718" w:rsidRPr="00EE7C9B">
              <w:rPr>
                <w:sz w:val="26"/>
                <w:szCs w:val="26"/>
                <w:lang w:val="ro-MD"/>
              </w:rPr>
              <w:t>rezoluţie</w:t>
            </w:r>
            <w:proofErr w:type="spellEnd"/>
            <w:r w:rsidR="003D0718" w:rsidRPr="00EE7C9B">
              <w:rPr>
                <w:sz w:val="26"/>
                <w:szCs w:val="26"/>
                <w:lang w:val="ro-MD"/>
              </w:rPr>
              <w:t xml:space="preserve"> bancară, având în vedere necesitatea intervenției prompte a Băncii Naționale, pentru a salva viabilitatea băncii. Pentru persoanele care se consideră afectate prin redresarea sau rezoluția băncii, art.292-293 din Legea 232/2016 prevăd dreptul la contestarea deciziilor Băncii Naționale.</w:t>
            </w:r>
          </w:p>
          <w:p w:rsidR="00BE65C6" w:rsidRPr="00EE7C9B" w:rsidRDefault="00601147" w:rsidP="009F7984">
            <w:pPr>
              <w:jc w:val="both"/>
              <w:rPr>
                <w:sz w:val="26"/>
                <w:szCs w:val="26"/>
                <w:lang w:val="ro-MD"/>
              </w:rPr>
            </w:pPr>
            <w:r w:rsidRPr="00EE7C9B">
              <w:rPr>
                <w:sz w:val="26"/>
                <w:szCs w:val="26"/>
                <w:lang w:val="ro-MD"/>
              </w:rPr>
              <w:t xml:space="preserve">          - </w:t>
            </w:r>
            <w:r w:rsidR="003D0718" w:rsidRPr="00EE7C9B">
              <w:rPr>
                <w:sz w:val="26"/>
                <w:szCs w:val="26"/>
                <w:lang w:val="ro-MD"/>
              </w:rPr>
              <w:t>institui</w:t>
            </w:r>
            <w:r w:rsidRPr="00EE7C9B">
              <w:rPr>
                <w:sz w:val="26"/>
                <w:szCs w:val="26"/>
                <w:lang w:val="ro-MD"/>
              </w:rPr>
              <w:t>r</w:t>
            </w:r>
            <w:r w:rsidR="003D0718" w:rsidRPr="00EE7C9B">
              <w:rPr>
                <w:sz w:val="26"/>
                <w:szCs w:val="26"/>
                <w:lang w:val="ro-MD"/>
              </w:rPr>
              <w:t>e</w:t>
            </w:r>
            <w:r w:rsidRPr="00EE7C9B">
              <w:rPr>
                <w:sz w:val="26"/>
                <w:szCs w:val="26"/>
                <w:lang w:val="ro-MD"/>
              </w:rPr>
              <w:t>a</w:t>
            </w:r>
            <w:r w:rsidR="003D0718" w:rsidRPr="00EE7C9B">
              <w:rPr>
                <w:sz w:val="26"/>
                <w:szCs w:val="26"/>
                <w:lang w:val="ro-MD"/>
              </w:rPr>
              <w:t xml:space="preserve"> </w:t>
            </w:r>
            <w:r w:rsidRPr="00EE7C9B">
              <w:rPr>
                <w:sz w:val="26"/>
                <w:szCs w:val="26"/>
                <w:lang w:val="ro-MD"/>
              </w:rPr>
              <w:t>termenelor</w:t>
            </w:r>
            <w:r w:rsidR="003D0718" w:rsidRPr="00EE7C9B">
              <w:rPr>
                <w:sz w:val="26"/>
                <w:szCs w:val="26"/>
                <w:lang w:val="ro-MD"/>
              </w:rPr>
              <w:t xml:space="preserve"> pe</w:t>
            </w:r>
            <w:r w:rsidR="00804052" w:rsidRPr="00EE7C9B">
              <w:rPr>
                <w:sz w:val="26"/>
                <w:szCs w:val="26"/>
                <w:lang w:val="ro-MD"/>
              </w:rPr>
              <w:t>ntru finalizarea procedurilor a</w:t>
            </w:r>
            <w:r w:rsidR="003D0718" w:rsidRPr="00EE7C9B">
              <w:rPr>
                <w:sz w:val="26"/>
                <w:szCs w:val="26"/>
                <w:lang w:val="ro-MD"/>
              </w:rPr>
              <w:t>d</w:t>
            </w:r>
            <w:r w:rsidR="00804052" w:rsidRPr="00EE7C9B">
              <w:rPr>
                <w:sz w:val="26"/>
                <w:szCs w:val="26"/>
                <w:lang w:val="ro-MD"/>
              </w:rPr>
              <w:t>m</w:t>
            </w:r>
            <w:r w:rsidR="003D0718" w:rsidRPr="00EE7C9B">
              <w:rPr>
                <w:sz w:val="26"/>
                <w:szCs w:val="26"/>
                <w:lang w:val="ro-MD"/>
              </w:rPr>
              <w:t xml:space="preserve">inistrative derulate în baza Legii 202/2017 privind activitatea băncilor, cum ar fi </w:t>
            </w:r>
            <w:r w:rsidR="00804052" w:rsidRPr="00EE7C9B">
              <w:rPr>
                <w:sz w:val="26"/>
                <w:szCs w:val="26"/>
                <w:lang w:val="ro-MD"/>
              </w:rPr>
              <w:t>obținerea aprobării prealabile a Băncii Naționale pentru deschiderea sucursalelor pe teritoriul altor state, pentru realizarea fuziunii sau dezmembrării băncii, pentru schimbarea societății de audit, pentru achiziționarea de dețineri în alte întreprinderi, aprobările prealabile aferente fondurilor proprii, aprobări prealabile pentru externalizarea activităților de importanță materială, procedurile administrative corespunzătoare fiind stabilite în reglementările Băncii Naționale.</w:t>
            </w:r>
          </w:p>
          <w:p w:rsidR="00804052" w:rsidRPr="00EE7C9B" w:rsidRDefault="00601147" w:rsidP="009F7984">
            <w:pPr>
              <w:jc w:val="both"/>
              <w:rPr>
                <w:sz w:val="26"/>
                <w:szCs w:val="26"/>
                <w:lang w:val="ro-MD"/>
              </w:rPr>
            </w:pPr>
            <w:r w:rsidRPr="00EE7C9B">
              <w:rPr>
                <w:sz w:val="26"/>
                <w:szCs w:val="26"/>
                <w:lang w:val="ro-MD"/>
              </w:rPr>
              <w:t xml:space="preserve">         - efectuarea</w:t>
            </w:r>
            <w:r w:rsidR="00804052" w:rsidRPr="00EE7C9B">
              <w:rPr>
                <w:sz w:val="26"/>
                <w:szCs w:val="26"/>
                <w:lang w:val="ro-MD"/>
              </w:rPr>
              <w:t xml:space="preserve"> precizări</w:t>
            </w:r>
            <w:r w:rsidRPr="00EE7C9B">
              <w:rPr>
                <w:sz w:val="26"/>
                <w:szCs w:val="26"/>
                <w:lang w:val="ro-MD"/>
              </w:rPr>
              <w:t>lor</w:t>
            </w:r>
            <w:r w:rsidR="00804052" w:rsidRPr="00EE7C9B">
              <w:rPr>
                <w:sz w:val="26"/>
                <w:szCs w:val="26"/>
                <w:lang w:val="ro-MD"/>
              </w:rPr>
              <w:t xml:space="preserve"> legate de aplicarea prevederilor Codului Administrativ în domeniile licențiate, reglementate și supravegheate de Banca Națională. Astfel, la art.44 alin.(3) din Cod se clarifică faptul că în procedurile legate de retragerea licenței pentru activitate bancară, activitate de prestare a serviciilor de plată și emitere a monedei electronice și procedurilor legate de aplicarea măsurilor și instrumentelor prevăzute de Legea nr.232/2016 privind redresarea și rezoluția băncilor nu este obligatorie atrag</w:t>
            </w:r>
            <w:r w:rsidRPr="00EE7C9B">
              <w:rPr>
                <w:sz w:val="26"/>
                <w:szCs w:val="26"/>
                <w:lang w:val="ro-MD"/>
              </w:rPr>
              <w:t>e</w:t>
            </w:r>
            <w:r w:rsidR="00804052" w:rsidRPr="00EE7C9B">
              <w:rPr>
                <w:sz w:val="26"/>
                <w:szCs w:val="26"/>
                <w:lang w:val="ro-MD"/>
              </w:rPr>
              <w:t>rea tuturor persoanelor ale căror drepturi pot fi afecta</w:t>
            </w:r>
            <w:r w:rsidR="005929E1" w:rsidRPr="00EE7C9B">
              <w:rPr>
                <w:sz w:val="26"/>
                <w:szCs w:val="26"/>
                <w:lang w:val="ro-MD"/>
              </w:rPr>
              <w:t>te prin procedura administrativă</w:t>
            </w:r>
            <w:r w:rsidR="00804052" w:rsidRPr="00EE7C9B">
              <w:rPr>
                <w:sz w:val="26"/>
                <w:szCs w:val="26"/>
                <w:lang w:val="ro-MD"/>
              </w:rPr>
              <w:t xml:space="preserve">. Or, în asemenea cazuri, pot fi afectați toți acționarii, deponenții și alți clienți sau creditori ai unei bănci, acționarii/asociații unei societăți de plată/emitent de monedă </w:t>
            </w:r>
            <w:r w:rsidRPr="00EE7C9B">
              <w:rPr>
                <w:sz w:val="26"/>
                <w:szCs w:val="26"/>
                <w:lang w:val="ro-MD"/>
              </w:rPr>
              <w:t>electronică și utilizatorii ace</w:t>
            </w:r>
            <w:r w:rsidR="00804052" w:rsidRPr="00EE7C9B">
              <w:rPr>
                <w:sz w:val="26"/>
                <w:szCs w:val="26"/>
                <w:lang w:val="ro-MD"/>
              </w:rPr>
              <w:t>s</w:t>
            </w:r>
            <w:r w:rsidRPr="00EE7C9B">
              <w:rPr>
                <w:sz w:val="26"/>
                <w:szCs w:val="26"/>
                <w:lang w:val="ro-MD"/>
              </w:rPr>
              <w:t>t</w:t>
            </w:r>
            <w:r w:rsidR="00804052" w:rsidRPr="00EE7C9B">
              <w:rPr>
                <w:sz w:val="26"/>
                <w:szCs w:val="26"/>
                <w:lang w:val="ro-MD"/>
              </w:rPr>
              <w:t>or servicii, iar atragerea tuturor în procedura administrativă ar crea impedimente semnificative pentru derularea acesteia.</w:t>
            </w:r>
            <w:r w:rsidR="00F77148" w:rsidRPr="00EE7C9B">
              <w:rPr>
                <w:sz w:val="26"/>
                <w:szCs w:val="26"/>
                <w:lang w:val="ro-MD"/>
              </w:rPr>
              <w:t xml:space="preserve"> Remarcăm că protecția drepturilor acestor persoane </w:t>
            </w:r>
            <w:r w:rsidR="00F77148" w:rsidRPr="00EE7C9B">
              <w:rPr>
                <w:sz w:val="26"/>
                <w:szCs w:val="26"/>
                <w:lang w:val="ro-MD"/>
              </w:rPr>
              <w:lastRenderedPageBreak/>
              <w:t>este asigurată prin alte instituții juridice, cum ar fi ordinea priorității creanțelor, obligația lichidatorului/comisiei de lichidare de realizare a informărilor prin intermediul mijloacelor de presă, realiz</w:t>
            </w:r>
            <w:r w:rsidR="005929E1" w:rsidRPr="00EE7C9B">
              <w:rPr>
                <w:sz w:val="26"/>
                <w:szCs w:val="26"/>
                <w:lang w:val="ro-MD"/>
              </w:rPr>
              <w:t>area</w:t>
            </w:r>
            <w:r w:rsidR="00F77148" w:rsidRPr="00EE7C9B">
              <w:rPr>
                <w:sz w:val="26"/>
                <w:szCs w:val="26"/>
                <w:lang w:val="ro-MD"/>
              </w:rPr>
              <w:t xml:space="preserve"> evaluării înainte de aplicarea instrumentelor de rezoluție bancară pentru a stabili eventuala diferență de tratament în cazul lichidării și acordarea despăgubirilor, dreptul oricărei persoane afectate de o decizie a Băncii Naționale de a o contesta în prealabil la Comitetul Executiv al acesteia și în instanța de judecată. </w:t>
            </w:r>
          </w:p>
          <w:p w:rsidR="00EE7C9B" w:rsidRPr="00EE7C9B" w:rsidRDefault="00601147" w:rsidP="009F7984">
            <w:pPr>
              <w:jc w:val="both"/>
              <w:rPr>
                <w:sz w:val="26"/>
                <w:szCs w:val="26"/>
                <w:lang w:val="ro-MD"/>
              </w:rPr>
            </w:pPr>
            <w:r w:rsidRPr="00EE7C9B">
              <w:rPr>
                <w:sz w:val="26"/>
                <w:szCs w:val="26"/>
                <w:lang w:val="ro-MD"/>
              </w:rPr>
              <w:t xml:space="preserve">         - </w:t>
            </w:r>
            <w:r w:rsidR="00EE7C9B" w:rsidRPr="00EE7C9B">
              <w:rPr>
                <w:sz w:val="26"/>
                <w:szCs w:val="26"/>
                <w:lang w:val="ro-MD"/>
              </w:rPr>
              <w:t>neaplicabilitatea termenului de un an stabilit pentru retragerea/revocarea unui act administrativ, prevăzut la art.144 alin.(6) și art.146 alin.(3) din Codul administrativ, ț</w:t>
            </w:r>
            <w:r w:rsidR="0089421B" w:rsidRPr="00EE7C9B">
              <w:rPr>
                <w:sz w:val="26"/>
                <w:szCs w:val="26"/>
                <w:lang w:val="ro-MD"/>
              </w:rPr>
              <w:t>inând cont de posibilitatea intervenției preliminare a unei rezoluții bancare și de caracterul sensibil al unei decizii de retragere a unei licențe bancare, situație în care factorul temporal joacă un rol determinant</w:t>
            </w:r>
            <w:r w:rsidR="00EE7C9B" w:rsidRPr="00EE7C9B">
              <w:rPr>
                <w:sz w:val="26"/>
                <w:szCs w:val="26"/>
                <w:lang w:val="ro-MD"/>
              </w:rPr>
              <w:t xml:space="preserve">. </w:t>
            </w:r>
          </w:p>
          <w:p w:rsidR="00F77148" w:rsidRPr="00EE7C9B" w:rsidRDefault="00EE7C9B" w:rsidP="009F7984">
            <w:pPr>
              <w:jc w:val="both"/>
              <w:rPr>
                <w:sz w:val="26"/>
                <w:szCs w:val="26"/>
                <w:lang w:val="ro-MD"/>
              </w:rPr>
            </w:pPr>
            <w:r w:rsidRPr="00EE7C9B">
              <w:rPr>
                <w:sz w:val="26"/>
                <w:szCs w:val="26"/>
                <w:lang w:val="ro-MD"/>
              </w:rPr>
              <w:t xml:space="preserve">        - condiționare</w:t>
            </w:r>
            <w:r w:rsidR="00F77148" w:rsidRPr="00EE7C9B">
              <w:rPr>
                <w:sz w:val="26"/>
                <w:szCs w:val="26"/>
                <w:lang w:val="ro-MD"/>
              </w:rPr>
              <w:t>a solicitării unei ordonanțe provizorii în cazurile ce vizează activitatea administrativă a Băncii Naționale a Moldovei, și anume</w:t>
            </w:r>
            <w:r w:rsidRPr="00EE7C9B">
              <w:rPr>
                <w:sz w:val="26"/>
                <w:szCs w:val="26"/>
                <w:lang w:val="ro-MD"/>
              </w:rPr>
              <w:t>,</w:t>
            </w:r>
            <w:r w:rsidR="00F77148" w:rsidRPr="00EE7C9B">
              <w:rPr>
                <w:sz w:val="26"/>
                <w:szCs w:val="26"/>
                <w:lang w:val="ro-MD"/>
              </w:rPr>
              <w:t xml:space="preserve"> proiectul prevede că ordonanța provizorie poate fi solicitată doar odată cu sau după înaintarea unei acțiuni în contencios administrativ împotriva Băncii Naționale.</w:t>
            </w:r>
          </w:p>
          <w:p w:rsidR="006C1DB2" w:rsidRPr="00EE7C9B" w:rsidRDefault="00EE7C9B" w:rsidP="00EE7C9B">
            <w:pPr>
              <w:jc w:val="both"/>
              <w:rPr>
                <w:sz w:val="26"/>
                <w:szCs w:val="26"/>
                <w:lang w:val="ro-MD"/>
              </w:rPr>
            </w:pPr>
            <w:r w:rsidRPr="00EE7C9B">
              <w:rPr>
                <w:sz w:val="26"/>
                <w:szCs w:val="26"/>
                <w:lang w:val="ro-MD"/>
              </w:rPr>
              <w:t xml:space="preserve">       - </w:t>
            </w:r>
            <w:r w:rsidR="00F77148" w:rsidRPr="00EE7C9B">
              <w:rPr>
                <w:sz w:val="26"/>
                <w:szCs w:val="26"/>
                <w:lang w:val="ro-MD"/>
              </w:rPr>
              <w:t>reglem</w:t>
            </w:r>
            <w:r w:rsidR="0089421B" w:rsidRPr="00EE7C9B">
              <w:rPr>
                <w:sz w:val="26"/>
                <w:szCs w:val="26"/>
                <w:lang w:val="ro-MD"/>
              </w:rPr>
              <w:t>e</w:t>
            </w:r>
            <w:r w:rsidR="00F77148" w:rsidRPr="00EE7C9B">
              <w:rPr>
                <w:sz w:val="26"/>
                <w:szCs w:val="26"/>
                <w:lang w:val="ro-MD"/>
              </w:rPr>
              <w:t>ntarea expresă a acordării accesului par</w:t>
            </w:r>
            <w:r w:rsidR="005929E1" w:rsidRPr="00EE7C9B">
              <w:rPr>
                <w:sz w:val="26"/>
                <w:szCs w:val="26"/>
                <w:lang w:val="ro-MD"/>
              </w:rPr>
              <w:t>ț</w:t>
            </w:r>
            <w:r w:rsidR="00F77148" w:rsidRPr="00EE7C9B">
              <w:rPr>
                <w:sz w:val="26"/>
                <w:szCs w:val="26"/>
                <w:lang w:val="ro-MD"/>
              </w:rPr>
              <w:t>ial la dosarul administr</w:t>
            </w:r>
            <w:r w:rsidR="00601147" w:rsidRPr="00EE7C9B">
              <w:rPr>
                <w:sz w:val="26"/>
                <w:szCs w:val="26"/>
                <w:lang w:val="ro-MD"/>
              </w:rPr>
              <w:t>a</w:t>
            </w:r>
            <w:r w:rsidR="00F77148" w:rsidRPr="00EE7C9B">
              <w:rPr>
                <w:sz w:val="26"/>
                <w:szCs w:val="26"/>
                <w:lang w:val="ro-MD"/>
              </w:rPr>
              <w:t>tiv în cazurile în care aceste conține informații confidențiale, prin furnizarea unui extras.</w:t>
            </w:r>
          </w:p>
        </w:tc>
      </w:tr>
      <w:tr w:rsidR="00547B57" w:rsidRPr="00EE7C9B" w:rsidTr="00547B57">
        <w:tc>
          <w:tcPr>
            <w:tcW w:w="5000" w:type="pct"/>
          </w:tcPr>
          <w:p w:rsidR="00F6775A" w:rsidRPr="00EE7C9B" w:rsidRDefault="00547B57" w:rsidP="00682D8D">
            <w:pPr>
              <w:tabs>
                <w:tab w:val="left" w:pos="884"/>
                <w:tab w:val="left" w:pos="1196"/>
              </w:tabs>
              <w:jc w:val="both"/>
              <w:rPr>
                <w:sz w:val="26"/>
                <w:szCs w:val="26"/>
                <w:lang w:val="ro-MD"/>
              </w:rPr>
            </w:pPr>
            <w:r w:rsidRPr="00EE7C9B">
              <w:rPr>
                <w:b/>
                <w:sz w:val="26"/>
                <w:szCs w:val="26"/>
                <w:lang w:val="ro-MD"/>
              </w:rPr>
              <w:lastRenderedPageBreak/>
              <w:t xml:space="preserve">5. Fundamentarea </w:t>
            </w:r>
            <w:proofErr w:type="spellStart"/>
            <w:r w:rsidRPr="00EE7C9B">
              <w:rPr>
                <w:b/>
                <w:sz w:val="26"/>
                <w:szCs w:val="26"/>
                <w:lang w:val="ro-MD"/>
              </w:rPr>
              <w:t>economico</w:t>
            </w:r>
            <w:proofErr w:type="spellEnd"/>
            <w:r w:rsidRPr="00EE7C9B">
              <w:rPr>
                <w:b/>
                <w:sz w:val="26"/>
                <w:szCs w:val="26"/>
                <w:lang w:val="ro-MD"/>
              </w:rPr>
              <w:t>-financiară</w:t>
            </w:r>
          </w:p>
        </w:tc>
      </w:tr>
      <w:tr w:rsidR="00547B57" w:rsidRPr="00EE7C9B" w:rsidTr="00547B57">
        <w:tc>
          <w:tcPr>
            <w:tcW w:w="5000" w:type="pct"/>
          </w:tcPr>
          <w:p w:rsidR="00547B57" w:rsidRPr="00EE7C9B" w:rsidRDefault="00EE7C9B" w:rsidP="00C87F72">
            <w:pPr>
              <w:jc w:val="both"/>
              <w:rPr>
                <w:sz w:val="26"/>
                <w:szCs w:val="26"/>
                <w:lang w:val="ro-MD"/>
              </w:rPr>
            </w:pPr>
            <w:r w:rsidRPr="00EE7C9B">
              <w:rPr>
                <w:color w:val="000000"/>
                <w:sz w:val="26"/>
                <w:szCs w:val="26"/>
                <w:lang w:val="ro-MD"/>
              </w:rPr>
              <w:t xml:space="preserve">        </w:t>
            </w:r>
            <w:r w:rsidR="00682D8D" w:rsidRPr="00EE7C9B">
              <w:rPr>
                <w:color w:val="000000"/>
                <w:sz w:val="26"/>
                <w:szCs w:val="26"/>
                <w:lang w:val="ro-MD"/>
              </w:rPr>
              <w:t xml:space="preserve">Cheltuielile legate de procedurile administrative derulate de Banca Națională se suportă potrivit prevederilor art.115 din Codul administrativ al Republicii Moldova. </w:t>
            </w:r>
          </w:p>
        </w:tc>
      </w:tr>
      <w:tr w:rsidR="00547B57" w:rsidRPr="00EE7C9B" w:rsidTr="00547B57">
        <w:tc>
          <w:tcPr>
            <w:tcW w:w="5000" w:type="pct"/>
          </w:tcPr>
          <w:p w:rsidR="00F6775A" w:rsidRPr="00EE7C9B" w:rsidRDefault="00547B57" w:rsidP="007473D3">
            <w:pPr>
              <w:tabs>
                <w:tab w:val="left" w:pos="884"/>
                <w:tab w:val="left" w:pos="1196"/>
              </w:tabs>
              <w:jc w:val="both"/>
              <w:rPr>
                <w:sz w:val="26"/>
                <w:szCs w:val="26"/>
                <w:lang w:val="ro-MD"/>
              </w:rPr>
            </w:pPr>
            <w:r w:rsidRPr="00EE7C9B">
              <w:rPr>
                <w:b/>
                <w:sz w:val="26"/>
                <w:szCs w:val="26"/>
                <w:lang w:val="ro-MD"/>
              </w:rPr>
              <w:t>6. Modul de încorporare a actului în cadrul normativ în vigoare</w:t>
            </w:r>
          </w:p>
        </w:tc>
      </w:tr>
      <w:tr w:rsidR="005C6976" w:rsidRPr="00EE7C9B" w:rsidTr="00547B57">
        <w:tc>
          <w:tcPr>
            <w:tcW w:w="5000" w:type="pct"/>
          </w:tcPr>
          <w:p w:rsidR="005C6976" w:rsidRPr="00EE7C9B" w:rsidRDefault="00EE7C9B" w:rsidP="00227EF6">
            <w:pPr>
              <w:jc w:val="both"/>
              <w:rPr>
                <w:b/>
                <w:sz w:val="26"/>
                <w:szCs w:val="26"/>
                <w:lang w:val="ro-MD"/>
              </w:rPr>
            </w:pPr>
            <w:r w:rsidRPr="00EE7C9B">
              <w:rPr>
                <w:color w:val="000000"/>
                <w:sz w:val="26"/>
                <w:szCs w:val="26"/>
                <w:lang w:val="ro-MD"/>
              </w:rPr>
              <w:t xml:space="preserve">         </w:t>
            </w:r>
            <w:r w:rsidR="005C6976" w:rsidRPr="00EE7C9B">
              <w:rPr>
                <w:color w:val="000000"/>
                <w:sz w:val="26"/>
                <w:szCs w:val="26"/>
                <w:lang w:val="ro-MD"/>
              </w:rPr>
              <w:t>Proiectul este corelat cu prevederile actelor legislative în vigoare, care se află în conexiune, iar modificările propuse nu afectează concepția generală ori caracterul unitar al actelor normative amendate.</w:t>
            </w:r>
          </w:p>
        </w:tc>
      </w:tr>
      <w:tr w:rsidR="00547B57" w:rsidRPr="00EE7C9B" w:rsidTr="00547B57">
        <w:tc>
          <w:tcPr>
            <w:tcW w:w="5000" w:type="pct"/>
          </w:tcPr>
          <w:p w:rsidR="00F6775A" w:rsidRPr="00EE7C9B" w:rsidRDefault="00547B57" w:rsidP="00BB014B">
            <w:pPr>
              <w:tabs>
                <w:tab w:val="left" w:pos="884"/>
                <w:tab w:val="left" w:pos="1196"/>
              </w:tabs>
              <w:jc w:val="both"/>
              <w:rPr>
                <w:sz w:val="26"/>
                <w:szCs w:val="26"/>
                <w:lang w:val="ro-MD"/>
              </w:rPr>
            </w:pPr>
            <w:r w:rsidRPr="00EE7C9B">
              <w:rPr>
                <w:b/>
                <w:sz w:val="26"/>
                <w:szCs w:val="26"/>
                <w:lang w:val="ro-MD"/>
              </w:rPr>
              <w:t xml:space="preserve">7. Avizarea </w:t>
            </w:r>
            <w:proofErr w:type="spellStart"/>
            <w:r w:rsidRPr="00EE7C9B">
              <w:rPr>
                <w:b/>
                <w:sz w:val="26"/>
                <w:szCs w:val="26"/>
                <w:lang w:val="ro-MD"/>
              </w:rPr>
              <w:t>şi</w:t>
            </w:r>
            <w:proofErr w:type="spellEnd"/>
            <w:r w:rsidRPr="00EE7C9B">
              <w:rPr>
                <w:b/>
                <w:sz w:val="26"/>
                <w:szCs w:val="26"/>
                <w:lang w:val="ro-MD"/>
              </w:rPr>
              <w:t xml:space="preserve"> consultarea publică a proiectului</w:t>
            </w:r>
          </w:p>
        </w:tc>
      </w:tr>
      <w:tr w:rsidR="00547B57" w:rsidRPr="00EE7C9B" w:rsidTr="00547B57">
        <w:tc>
          <w:tcPr>
            <w:tcW w:w="5000" w:type="pct"/>
          </w:tcPr>
          <w:p w:rsidR="00547B57" w:rsidRPr="00EE7C9B" w:rsidRDefault="00EE7C9B" w:rsidP="00227EF6">
            <w:pPr>
              <w:jc w:val="both"/>
              <w:rPr>
                <w:sz w:val="26"/>
                <w:szCs w:val="26"/>
                <w:lang w:val="ro-MD"/>
              </w:rPr>
            </w:pPr>
            <w:r w:rsidRPr="00EE7C9B">
              <w:rPr>
                <w:color w:val="000000"/>
                <w:sz w:val="26"/>
                <w:szCs w:val="26"/>
                <w:lang w:val="ro-MD"/>
              </w:rPr>
              <w:t xml:space="preserve">         </w:t>
            </w:r>
            <w:r w:rsidR="00BB014B" w:rsidRPr="00EE7C9B">
              <w:rPr>
                <w:color w:val="000000"/>
                <w:sz w:val="26"/>
                <w:szCs w:val="26"/>
                <w:lang w:val="ro-MD"/>
              </w:rPr>
              <w:t>Potrivit art.32 alin.(1)-(3) și art.34 alin.(1) din Legea nr.100/2017 privind actele normative, proiectul de lege se  remite spre avizare și expertiză instituțiilor de resort, și se supune consultărilor publice.</w:t>
            </w:r>
          </w:p>
        </w:tc>
      </w:tr>
      <w:tr w:rsidR="00547B57" w:rsidRPr="00EE7C9B" w:rsidTr="00132111">
        <w:trPr>
          <w:trHeight w:val="294"/>
        </w:trPr>
        <w:tc>
          <w:tcPr>
            <w:tcW w:w="5000" w:type="pct"/>
          </w:tcPr>
          <w:p w:rsidR="00D86DB1" w:rsidRPr="00EE7C9B" w:rsidRDefault="00547B57" w:rsidP="00D86DB1">
            <w:pPr>
              <w:tabs>
                <w:tab w:val="left" w:pos="884"/>
                <w:tab w:val="left" w:pos="1196"/>
              </w:tabs>
              <w:jc w:val="both"/>
              <w:rPr>
                <w:sz w:val="26"/>
                <w:szCs w:val="26"/>
                <w:lang w:val="ro-MD"/>
              </w:rPr>
            </w:pPr>
            <w:r w:rsidRPr="00EE7C9B">
              <w:rPr>
                <w:b/>
                <w:sz w:val="26"/>
                <w:szCs w:val="26"/>
                <w:lang w:val="ro-MD"/>
              </w:rPr>
              <w:t>8. Constatările expertizei anticorupție</w:t>
            </w:r>
          </w:p>
        </w:tc>
      </w:tr>
      <w:tr w:rsidR="00547B57" w:rsidRPr="00EE7C9B" w:rsidTr="00547B57">
        <w:tc>
          <w:tcPr>
            <w:tcW w:w="5000" w:type="pct"/>
          </w:tcPr>
          <w:p w:rsidR="00356BCC" w:rsidRPr="00EE7C9B" w:rsidRDefault="00EE7C9B" w:rsidP="00227EF6">
            <w:pPr>
              <w:jc w:val="both"/>
              <w:rPr>
                <w:sz w:val="26"/>
                <w:szCs w:val="26"/>
                <w:lang w:val="ro-MD"/>
              </w:rPr>
            </w:pPr>
            <w:r w:rsidRPr="00EE7C9B">
              <w:rPr>
                <w:color w:val="000000"/>
                <w:sz w:val="26"/>
                <w:szCs w:val="26"/>
                <w:lang w:val="ro-MD"/>
              </w:rPr>
              <w:t xml:space="preserve">         </w:t>
            </w:r>
            <w:r w:rsidR="00DA37E9" w:rsidRPr="00EE7C9B">
              <w:rPr>
                <w:color w:val="000000"/>
                <w:sz w:val="26"/>
                <w:szCs w:val="26"/>
                <w:lang w:val="ro-MD"/>
              </w:rPr>
              <w:t>Proiectul urmează a fi remis Centrului Național Anticorupție pentru efectuarea expertizei anticorupție.</w:t>
            </w:r>
          </w:p>
        </w:tc>
      </w:tr>
      <w:tr w:rsidR="00547B57" w:rsidRPr="00EE7C9B" w:rsidTr="00132111">
        <w:trPr>
          <w:trHeight w:val="291"/>
        </w:trPr>
        <w:tc>
          <w:tcPr>
            <w:tcW w:w="5000" w:type="pct"/>
          </w:tcPr>
          <w:p w:rsidR="00F6775A" w:rsidRPr="00EE7C9B" w:rsidRDefault="00547B57" w:rsidP="00D86DB1">
            <w:pPr>
              <w:tabs>
                <w:tab w:val="left" w:pos="884"/>
                <w:tab w:val="left" w:pos="1196"/>
              </w:tabs>
              <w:jc w:val="both"/>
              <w:rPr>
                <w:sz w:val="26"/>
                <w:szCs w:val="26"/>
                <w:lang w:val="ro-MD"/>
              </w:rPr>
            </w:pPr>
            <w:r w:rsidRPr="00EE7C9B">
              <w:rPr>
                <w:b/>
                <w:sz w:val="26"/>
                <w:szCs w:val="26"/>
                <w:lang w:val="ro-MD"/>
              </w:rPr>
              <w:t>9. Constatările expertizei de compatibilitate</w:t>
            </w:r>
          </w:p>
        </w:tc>
      </w:tr>
      <w:tr w:rsidR="00547B57" w:rsidRPr="00EE7C9B" w:rsidTr="00547B57">
        <w:tc>
          <w:tcPr>
            <w:tcW w:w="5000" w:type="pct"/>
          </w:tcPr>
          <w:p w:rsidR="00B43D46" w:rsidRPr="00EE7C9B" w:rsidRDefault="00EE7C9B" w:rsidP="00227EF6">
            <w:pPr>
              <w:jc w:val="both"/>
              <w:rPr>
                <w:sz w:val="26"/>
                <w:szCs w:val="26"/>
                <w:lang w:val="ro-MD"/>
              </w:rPr>
            </w:pPr>
            <w:r w:rsidRPr="00EE7C9B">
              <w:rPr>
                <w:color w:val="000000"/>
                <w:sz w:val="26"/>
                <w:szCs w:val="26"/>
                <w:lang w:val="ro-MD"/>
              </w:rPr>
              <w:t xml:space="preserve">         </w:t>
            </w:r>
            <w:r w:rsidR="00CB3DC7" w:rsidRPr="00EE7C9B">
              <w:rPr>
                <w:color w:val="000000"/>
                <w:sz w:val="26"/>
                <w:szCs w:val="26"/>
                <w:lang w:val="ro-MD"/>
              </w:rPr>
              <w:t>Proiectul nu a fost supus expertizei de compatibilitate, deoarece nu transpune prevederile legislației UE</w:t>
            </w:r>
            <w:r w:rsidR="00AA4503" w:rsidRPr="00EE7C9B">
              <w:rPr>
                <w:color w:val="000000"/>
                <w:sz w:val="26"/>
                <w:szCs w:val="26"/>
                <w:lang w:val="ro-MD"/>
              </w:rPr>
              <w:t>.</w:t>
            </w:r>
          </w:p>
        </w:tc>
      </w:tr>
      <w:tr w:rsidR="00547B57" w:rsidRPr="00EE7C9B" w:rsidTr="00132111">
        <w:trPr>
          <w:trHeight w:val="277"/>
        </w:trPr>
        <w:tc>
          <w:tcPr>
            <w:tcW w:w="5000" w:type="pct"/>
          </w:tcPr>
          <w:p w:rsidR="00F6775A" w:rsidRPr="00EE7C9B" w:rsidRDefault="00547B57" w:rsidP="00BB014B">
            <w:pPr>
              <w:tabs>
                <w:tab w:val="left" w:pos="884"/>
                <w:tab w:val="left" w:pos="1196"/>
              </w:tabs>
              <w:jc w:val="both"/>
              <w:rPr>
                <w:sz w:val="26"/>
                <w:szCs w:val="26"/>
                <w:lang w:val="ro-MD"/>
              </w:rPr>
            </w:pPr>
            <w:r w:rsidRPr="00EE7C9B">
              <w:rPr>
                <w:b/>
                <w:sz w:val="26"/>
                <w:szCs w:val="26"/>
                <w:lang w:val="ro-MD"/>
              </w:rPr>
              <w:t>10. Constatările expertizei juridice</w:t>
            </w:r>
          </w:p>
        </w:tc>
      </w:tr>
      <w:tr w:rsidR="00547B57" w:rsidRPr="00EE7C9B" w:rsidTr="00547B57">
        <w:tc>
          <w:tcPr>
            <w:tcW w:w="5000" w:type="pct"/>
          </w:tcPr>
          <w:p w:rsidR="00EE7C9B" w:rsidRPr="00EE7C9B" w:rsidRDefault="00EE7C9B" w:rsidP="00EE7C9B">
            <w:pPr>
              <w:jc w:val="both"/>
              <w:rPr>
                <w:sz w:val="26"/>
                <w:szCs w:val="26"/>
                <w:lang w:val="ro-MD"/>
              </w:rPr>
            </w:pPr>
            <w:r w:rsidRPr="00EE7C9B">
              <w:rPr>
                <w:sz w:val="26"/>
                <w:szCs w:val="26"/>
                <w:lang w:val="ro-MD"/>
              </w:rPr>
              <w:t xml:space="preserve">          </w:t>
            </w:r>
            <w:r w:rsidR="00DA37E9" w:rsidRPr="00EE7C9B">
              <w:rPr>
                <w:sz w:val="26"/>
                <w:szCs w:val="26"/>
                <w:lang w:val="ro-MD"/>
              </w:rPr>
              <w:t>Proiectul urmează a fi remis Ministerului Justiției pentru efectuarea expertizei juridice.</w:t>
            </w:r>
          </w:p>
        </w:tc>
      </w:tr>
    </w:tbl>
    <w:p w:rsidR="008162F4" w:rsidRPr="00EE7C9B" w:rsidRDefault="008162F4" w:rsidP="00B00077">
      <w:pPr>
        <w:rPr>
          <w:lang w:val="ro-MD"/>
        </w:rPr>
      </w:pPr>
    </w:p>
    <w:p w:rsidR="008162F4" w:rsidRPr="00EE7C9B" w:rsidRDefault="008162F4" w:rsidP="00B00077">
      <w:pPr>
        <w:rPr>
          <w:lang w:val="ro-MD"/>
        </w:rPr>
      </w:pPr>
    </w:p>
    <w:p w:rsidR="00691F4E" w:rsidRDefault="00691F4E" w:rsidP="00691F4E">
      <w:pPr>
        <w:shd w:val="clear" w:color="auto" w:fill="FFFFFF"/>
        <w:jc w:val="both"/>
        <w:rPr>
          <w:b/>
          <w:bCs/>
          <w:color w:val="000000"/>
          <w:sz w:val="28"/>
          <w:szCs w:val="28"/>
          <w:lang w:val="en-US" w:eastAsia="ru-RU"/>
        </w:rPr>
      </w:pPr>
      <w:proofErr w:type="spellStart"/>
      <w:r>
        <w:rPr>
          <w:b/>
          <w:bCs/>
          <w:color w:val="000000"/>
          <w:sz w:val="28"/>
          <w:szCs w:val="28"/>
          <w:lang w:val="en-US" w:eastAsia="ru-RU"/>
        </w:rPr>
        <w:t>Viceprim-ministru</w:t>
      </w:r>
      <w:proofErr w:type="spellEnd"/>
      <w:r>
        <w:rPr>
          <w:b/>
          <w:bCs/>
          <w:color w:val="000000"/>
          <w:sz w:val="28"/>
          <w:szCs w:val="28"/>
          <w:lang w:val="en-US" w:eastAsia="ru-RU"/>
        </w:rPr>
        <w:t>,</w:t>
      </w:r>
    </w:p>
    <w:p w:rsidR="008162F4" w:rsidRPr="00EE7C9B" w:rsidRDefault="00691F4E" w:rsidP="00691F4E">
      <w:pPr>
        <w:rPr>
          <w:b/>
          <w:sz w:val="28"/>
          <w:szCs w:val="28"/>
          <w:lang w:val="ro-MD"/>
        </w:rPr>
      </w:pPr>
      <w:proofErr w:type="spellStart"/>
      <w:r>
        <w:rPr>
          <w:b/>
          <w:bCs/>
          <w:color w:val="000000"/>
          <w:sz w:val="28"/>
          <w:szCs w:val="28"/>
          <w:lang w:val="en-US" w:eastAsia="ru-RU"/>
        </w:rPr>
        <w:t>Ministru</w:t>
      </w:r>
      <w:proofErr w:type="spellEnd"/>
      <w:r>
        <w:rPr>
          <w:b/>
          <w:bCs/>
          <w:color w:val="000000"/>
          <w:sz w:val="28"/>
          <w:szCs w:val="28"/>
          <w:lang w:val="en-US" w:eastAsia="ru-RU"/>
        </w:rPr>
        <w:t xml:space="preserve"> al </w:t>
      </w:r>
      <w:proofErr w:type="spellStart"/>
      <w:r>
        <w:rPr>
          <w:b/>
          <w:bCs/>
          <w:color w:val="000000"/>
          <w:sz w:val="28"/>
          <w:szCs w:val="28"/>
          <w:lang w:val="en-US" w:eastAsia="ru-RU"/>
        </w:rPr>
        <w:t>Finanțelor</w:t>
      </w:r>
      <w:proofErr w:type="spellEnd"/>
      <w:r>
        <w:rPr>
          <w:b/>
          <w:bCs/>
          <w:color w:val="000000"/>
          <w:sz w:val="28"/>
          <w:szCs w:val="28"/>
          <w:lang w:val="en-US" w:eastAsia="ru-RU"/>
        </w:rPr>
        <w:t xml:space="preserve">                    </w:t>
      </w:r>
      <w:bookmarkStart w:id="0" w:name="_GoBack"/>
      <w:bookmarkEnd w:id="0"/>
      <w:r w:rsidR="002F7E12" w:rsidRPr="002F7E12">
        <w:rPr>
          <w:rFonts w:asciiTheme="minorHAnsi" w:eastAsiaTheme="minorHAnsi" w:hAnsiTheme="minorHAnsi" w:cstheme="minorBidi"/>
          <w:sz w:val="28"/>
          <w:szCs w:val="28"/>
          <w:lang w:val="en-US"/>
        </w:rPr>
        <w:t xml:space="preserve">                                                  </w:t>
      </w:r>
      <w:proofErr w:type="spellStart"/>
      <w:r w:rsidR="002F7E12" w:rsidRPr="002F7E12">
        <w:rPr>
          <w:b/>
          <w:bCs/>
          <w:color w:val="000000"/>
          <w:sz w:val="28"/>
          <w:szCs w:val="28"/>
          <w:lang w:val="en-US" w:eastAsia="ru-RU"/>
        </w:rPr>
        <w:t>Serghei</w:t>
      </w:r>
      <w:proofErr w:type="spellEnd"/>
      <w:r w:rsidR="002F7E12" w:rsidRPr="002F7E12">
        <w:rPr>
          <w:b/>
          <w:bCs/>
          <w:color w:val="000000"/>
          <w:sz w:val="28"/>
          <w:szCs w:val="28"/>
          <w:lang w:val="en-US" w:eastAsia="ru-RU"/>
        </w:rPr>
        <w:t xml:space="preserve"> PUȘCUȚA</w:t>
      </w:r>
    </w:p>
    <w:sectPr w:rsidR="008162F4" w:rsidRPr="00EE7C9B" w:rsidSect="00E02080">
      <w:headerReference w:type="even" r:id="rId8"/>
      <w:headerReference w:type="default" r:id="rId9"/>
      <w:footerReference w:type="even" r:id="rId10"/>
      <w:footerReference w:type="default" r:id="rId11"/>
      <w:headerReference w:type="first" r:id="rId12"/>
      <w:pgSz w:w="11906" w:h="16838"/>
      <w:pgMar w:top="0" w:right="926" w:bottom="426" w:left="1440"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F3" w:rsidRDefault="007634F3">
      <w:r>
        <w:separator/>
      </w:r>
    </w:p>
  </w:endnote>
  <w:endnote w:type="continuationSeparator" w:id="0">
    <w:p w:rsidR="007634F3" w:rsidRDefault="0076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charset w:val="CC"/>
    <w:family w:val="swiss"/>
    <w:pitch w:val="variable"/>
    <w:sig w:usb0="E5002EFF" w:usb1="C000E47F" w:usb2="0000002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195670"/>
      <w:docPartObj>
        <w:docPartGallery w:val="Page Numbers (Bottom of Page)"/>
        <w:docPartUnique/>
      </w:docPartObj>
    </w:sdtPr>
    <w:sdtEndPr>
      <w:rPr>
        <w:noProof/>
      </w:rPr>
    </w:sdtEndPr>
    <w:sdtContent>
      <w:p w:rsidR="00E02080" w:rsidRDefault="00E0208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863483" w:rsidRDefault="00763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C7" w:rsidRDefault="00CB3DC7" w:rsidP="00CB3DC7">
    <w:pPr>
      <w:pStyle w:val="Footer"/>
      <w:jc w:val="center"/>
    </w:pPr>
    <w:bookmarkStart w:id="3" w:name="TITUS1FooterPrimary"/>
    <w:r>
      <w:t xml:space="preserve"> </w:t>
    </w:r>
  </w:p>
  <w:p w:rsidR="00CB3DC7" w:rsidRDefault="00CB3DC7" w:rsidP="00CB3DC7">
    <w:pPr>
      <w:pStyle w:val="Footer"/>
    </w:pPr>
    <w:r>
      <w:t xml:space="preserve"> </w:t>
    </w:r>
  </w:p>
  <w:bookmarkEnd w:id="3"/>
  <w:p w:rsidR="00863483" w:rsidRDefault="00763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F3" w:rsidRDefault="007634F3">
      <w:r>
        <w:separator/>
      </w:r>
    </w:p>
  </w:footnote>
  <w:footnote w:type="continuationSeparator" w:id="0">
    <w:p w:rsidR="007634F3" w:rsidRDefault="007634F3">
      <w:r>
        <w:continuationSeparator/>
      </w:r>
    </w:p>
  </w:footnote>
  <w:footnote w:id="1">
    <w:p w:rsidR="005D0BA0" w:rsidRPr="00B00077" w:rsidRDefault="005D0BA0" w:rsidP="005D0BA0">
      <w:pPr>
        <w:pStyle w:val="FootnoteText"/>
        <w:jc w:val="both"/>
        <w:rPr>
          <w:rFonts w:ascii="Calibri" w:hAnsi="Calibri"/>
          <w:sz w:val="10"/>
          <w:szCs w:val="10"/>
        </w:rPr>
      </w:pPr>
      <w:r w:rsidRPr="00B00077">
        <w:rPr>
          <w:rStyle w:val="FootnoteReference"/>
          <w:rFonts w:ascii="Calibri" w:hAnsi="Calibri"/>
          <w:sz w:val="10"/>
          <w:szCs w:val="10"/>
        </w:rPr>
        <w:footnoteRef/>
      </w:r>
      <w:r w:rsidRPr="00B00077">
        <w:rPr>
          <w:rFonts w:ascii="Calibri" w:hAnsi="Calibri"/>
          <w:sz w:val="10"/>
          <w:szCs w:val="10"/>
        </w:rPr>
        <w:t xml:space="preserve"> </w:t>
      </w:r>
      <w:proofErr w:type="spellStart"/>
      <w:r w:rsidRPr="00B00077">
        <w:rPr>
          <w:rFonts w:ascii="Calibri" w:hAnsi="Calibri"/>
          <w:sz w:val="10"/>
          <w:szCs w:val="10"/>
        </w:rPr>
        <w:t>Principiile</w:t>
      </w:r>
      <w:proofErr w:type="spellEnd"/>
      <w:r w:rsidRPr="00B00077">
        <w:rPr>
          <w:rFonts w:ascii="Calibri" w:hAnsi="Calibri"/>
          <w:sz w:val="10"/>
          <w:szCs w:val="10"/>
        </w:rPr>
        <w:t xml:space="preserve"> de </w:t>
      </w:r>
      <w:proofErr w:type="spellStart"/>
      <w:r w:rsidRPr="00B00077">
        <w:rPr>
          <w:rFonts w:ascii="Calibri" w:hAnsi="Calibri"/>
          <w:sz w:val="10"/>
          <w:szCs w:val="10"/>
        </w:rPr>
        <w:t>bază</w:t>
      </w:r>
      <w:proofErr w:type="spellEnd"/>
      <w:r w:rsidRPr="00B00077">
        <w:rPr>
          <w:rFonts w:ascii="Calibri" w:hAnsi="Calibri"/>
          <w:sz w:val="10"/>
          <w:szCs w:val="10"/>
        </w:rPr>
        <w:t xml:space="preserve"> </w:t>
      </w:r>
      <w:proofErr w:type="spellStart"/>
      <w:r w:rsidRPr="00B00077">
        <w:rPr>
          <w:rFonts w:ascii="Calibri" w:hAnsi="Calibri"/>
          <w:sz w:val="10"/>
          <w:szCs w:val="10"/>
        </w:rPr>
        <w:t>pentru</w:t>
      </w:r>
      <w:proofErr w:type="spellEnd"/>
      <w:r w:rsidRPr="00B00077">
        <w:rPr>
          <w:rFonts w:ascii="Calibri" w:hAnsi="Calibri"/>
          <w:sz w:val="10"/>
          <w:szCs w:val="10"/>
        </w:rPr>
        <w:t xml:space="preserve"> o </w:t>
      </w:r>
      <w:proofErr w:type="spellStart"/>
      <w:r w:rsidRPr="00B00077">
        <w:rPr>
          <w:rFonts w:ascii="Calibri" w:hAnsi="Calibri"/>
          <w:sz w:val="10"/>
          <w:szCs w:val="10"/>
        </w:rPr>
        <w:t>supraveghere</w:t>
      </w:r>
      <w:proofErr w:type="spellEnd"/>
      <w:r w:rsidRPr="00B00077">
        <w:rPr>
          <w:rFonts w:ascii="Calibri" w:hAnsi="Calibri"/>
          <w:sz w:val="10"/>
          <w:szCs w:val="10"/>
        </w:rPr>
        <w:t xml:space="preserve"> </w:t>
      </w:r>
      <w:proofErr w:type="spellStart"/>
      <w:r w:rsidRPr="00B00077">
        <w:rPr>
          <w:rFonts w:ascii="Calibri" w:hAnsi="Calibri"/>
          <w:sz w:val="10"/>
          <w:szCs w:val="10"/>
        </w:rPr>
        <w:t>bancară</w:t>
      </w:r>
      <w:proofErr w:type="spellEnd"/>
      <w:r w:rsidRPr="00B00077">
        <w:rPr>
          <w:rFonts w:ascii="Calibri" w:hAnsi="Calibri"/>
          <w:sz w:val="10"/>
          <w:szCs w:val="10"/>
        </w:rPr>
        <w:t xml:space="preserve"> </w:t>
      </w:r>
      <w:proofErr w:type="spellStart"/>
      <w:r w:rsidRPr="00B00077">
        <w:rPr>
          <w:rFonts w:ascii="Calibri" w:hAnsi="Calibri"/>
          <w:sz w:val="10"/>
          <w:szCs w:val="10"/>
        </w:rPr>
        <w:t>eficientă</w:t>
      </w:r>
      <w:proofErr w:type="spellEnd"/>
      <w:r w:rsidRPr="00B00077">
        <w:rPr>
          <w:rFonts w:ascii="Calibri" w:hAnsi="Calibri"/>
          <w:sz w:val="10"/>
          <w:szCs w:val="10"/>
        </w:rPr>
        <w:t xml:space="preserve"> </w:t>
      </w:r>
      <w:proofErr w:type="spellStart"/>
      <w:r w:rsidRPr="00B00077">
        <w:rPr>
          <w:rFonts w:ascii="Calibri" w:hAnsi="Calibri"/>
          <w:sz w:val="10"/>
          <w:szCs w:val="10"/>
        </w:rPr>
        <w:t>sunt</w:t>
      </w:r>
      <w:proofErr w:type="spellEnd"/>
      <w:r w:rsidRPr="00B00077">
        <w:rPr>
          <w:rFonts w:ascii="Calibri" w:hAnsi="Calibri"/>
          <w:sz w:val="10"/>
          <w:szCs w:val="10"/>
        </w:rPr>
        <w:t xml:space="preserve"> </w:t>
      </w:r>
      <w:r w:rsidRPr="00B00077">
        <w:rPr>
          <w:rFonts w:ascii="Calibri" w:hAnsi="Calibri"/>
          <w:i/>
          <w:sz w:val="10"/>
          <w:szCs w:val="10"/>
        </w:rPr>
        <w:t>de facto</w:t>
      </w:r>
      <w:r w:rsidRPr="00B00077">
        <w:rPr>
          <w:rFonts w:ascii="Calibri" w:hAnsi="Calibri"/>
          <w:sz w:val="10"/>
          <w:szCs w:val="10"/>
        </w:rPr>
        <w:t xml:space="preserve"> </w:t>
      </w:r>
      <w:proofErr w:type="spellStart"/>
      <w:r w:rsidRPr="00B00077">
        <w:rPr>
          <w:rFonts w:ascii="Calibri" w:hAnsi="Calibri"/>
          <w:sz w:val="10"/>
          <w:szCs w:val="10"/>
        </w:rPr>
        <w:t>standarde</w:t>
      </w:r>
      <w:proofErr w:type="spellEnd"/>
      <w:r w:rsidRPr="00B00077">
        <w:rPr>
          <w:rFonts w:ascii="Calibri" w:hAnsi="Calibri"/>
          <w:sz w:val="10"/>
          <w:szCs w:val="10"/>
        </w:rPr>
        <w:t xml:space="preserve"> </w:t>
      </w:r>
      <w:proofErr w:type="spellStart"/>
      <w:r w:rsidRPr="00B00077">
        <w:rPr>
          <w:rFonts w:ascii="Calibri" w:hAnsi="Calibri"/>
          <w:sz w:val="10"/>
          <w:szCs w:val="10"/>
        </w:rPr>
        <w:t>minime</w:t>
      </w:r>
      <w:proofErr w:type="spellEnd"/>
      <w:r w:rsidRPr="00B00077">
        <w:rPr>
          <w:rFonts w:ascii="Calibri" w:hAnsi="Calibri"/>
          <w:sz w:val="10"/>
          <w:szCs w:val="10"/>
        </w:rPr>
        <w:t xml:space="preserve"> </w:t>
      </w:r>
      <w:proofErr w:type="spellStart"/>
      <w:r w:rsidRPr="00B00077">
        <w:rPr>
          <w:rFonts w:ascii="Calibri" w:hAnsi="Calibri"/>
          <w:sz w:val="10"/>
          <w:szCs w:val="10"/>
        </w:rPr>
        <w:t>pentru</w:t>
      </w:r>
      <w:proofErr w:type="spellEnd"/>
      <w:r w:rsidRPr="00B00077">
        <w:rPr>
          <w:rFonts w:ascii="Calibri" w:hAnsi="Calibri"/>
          <w:sz w:val="10"/>
          <w:szCs w:val="10"/>
        </w:rPr>
        <w:t xml:space="preserve"> o </w:t>
      </w:r>
      <w:proofErr w:type="spellStart"/>
      <w:r w:rsidRPr="00B00077">
        <w:rPr>
          <w:rFonts w:ascii="Calibri" w:hAnsi="Calibri"/>
          <w:sz w:val="10"/>
          <w:szCs w:val="10"/>
        </w:rPr>
        <w:t>reglementare</w:t>
      </w:r>
      <w:proofErr w:type="spellEnd"/>
      <w:r w:rsidRPr="00B00077">
        <w:rPr>
          <w:rFonts w:ascii="Calibri" w:hAnsi="Calibri"/>
          <w:sz w:val="10"/>
          <w:szCs w:val="10"/>
        </w:rPr>
        <w:t xml:space="preserve"> </w:t>
      </w:r>
      <w:proofErr w:type="spellStart"/>
      <w:r w:rsidRPr="00B00077">
        <w:rPr>
          <w:rFonts w:ascii="Calibri" w:hAnsi="Calibri"/>
          <w:sz w:val="10"/>
          <w:szCs w:val="10"/>
        </w:rPr>
        <w:t>prudențială</w:t>
      </w:r>
      <w:proofErr w:type="spellEnd"/>
      <w:r w:rsidRPr="00B00077">
        <w:rPr>
          <w:rFonts w:ascii="Calibri" w:hAnsi="Calibri"/>
          <w:sz w:val="10"/>
          <w:szCs w:val="10"/>
        </w:rPr>
        <w:t xml:space="preserve"> </w:t>
      </w:r>
      <w:proofErr w:type="spellStart"/>
      <w:r w:rsidRPr="00B00077">
        <w:rPr>
          <w:rFonts w:ascii="Calibri" w:hAnsi="Calibri"/>
          <w:sz w:val="10"/>
          <w:szCs w:val="10"/>
        </w:rPr>
        <w:t>și</w:t>
      </w:r>
      <w:proofErr w:type="spellEnd"/>
      <w:r w:rsidRPr="00B00077">
        <w:rPr>
          <w:rFonts w:ascii="Calibri" w:hAnsi="Calibri"/>
          <w:sz w:val="10"/>
          <w:szCs w:val="10"/>
        </w:rPr>
        <w:t xml:space="preserve"> </w:t>
      </w:r>
      <w:proofErr w:type="spellStart"/>
      <w:r w:rsidRPr="00B00077">
        <w:rPr>
          <w:rFonts w:ascii="Calibri" w:hAnsi="Calibri"/>
          <w:sz w:val="10"/>
          <w:szCs w:val="10"/>
        </w:rPr>
        <w:t>supraveghere</w:t>
      </w:r>
      <w:proofErr w:type="spellEnd"/>
      <w:r w:rsidRPr="00B00077">
        <w:rPr>
          <w:rFonts w:ascii="Calibri" w:hAnsi="Calibri"/>
          <w:sz w:val="10"/>
          <w:szCs w:val="10"/>
        </w:rPr>
        <w:t xml:space="preserve"> </w:t>
      </w:r>
      <w:proofErr w:type="spellStart"/>
      <w:r w:rsidRPr="00B00077">
        <w:rPr>
          <w:rFonts w:ascii="Calibri" w:hAnsi="Calibri"/>
          <w:sz w:val="10"/>
          <w:szCs w:val="10"/>
        </w:rPr>
        <w:t>sănătoasă</w:t>
      </w:r>
      <w:proofErr w:type="spellEnd"/>
      <w:r w:rsidRPr="00B00077">
        <w:rPr>
          <w:rFonts w:ascii="Calibri" w:hAnsi="Calibri"/>
          <w:sz w:val="10"/>
          <w:szCs w:val="10"/>
        </w:rPr>
        <w:t xml:space="preserve"> a </w:t>
      </w:r>
      <w:proofErr w:type="spellStart"/>
      <w:r w:rsidRPr="00B00077">
        <w:rPr>
          <w:rFonts w:ascii="Calibri" w:hAnsi="Calibri"/>
          <w:sz w:val="10"/>
          <w:szCs w:val="10"/>
        </w:rPr>
        <w:t>băncilor</w:t>
      </w:r>
      <w:proofErr w:type="spellEnd"/>
      <w:r w:rsidRPr="00B00077">
        <w:rPr>
          <w:rFonts w:ascii="Calibri" w:hAnsi="Calibri"/>
          <w:sz w:val="10"/>
          <w:szCs w:val="10"/>
        </w:rPr>
        <w:t xml:space="preserve"> </w:t>
      </w:r>
      <w:proofErr w:type="spellStart"/>
      <w:r w:rsidRPr="00B00077">
        <w:rPr>
          <w:rFonts w:ascii="Calibri" w:hAnsi="Calibri"/>
          <w:sz w:val="10"/>
          <w:szCs w:val="10"/>
        </w:rPr>
        <w:t>și</w:t>
      </w:r>
      <w:proofErr w:type="spellEnd"/>
      <w:r w:rsidRPr="00B00077">
        <w:rPr>
          <w:rFonts w:ascii="Calibri" w:hAnsi="Calibri"/>
          <w:sz w:val="10"/>
          <w:szCs w:val="10"/>
        </w:rPr>
        <w:t xml:space="preserve"> </w:t>
      </w:r>
      <w:proofErr w:type="spellStart"/>
      <w:r w:rsidRPr="00B00077">
        <w:rPr>
          <w:rFonts w:ascii="Calibri" w:hAnsi="Calibri"/>
          <w:sz w:val="10"/>
          <w:szCs w:val="10"/>
        </w:rPr>
        <w:t>sistemelor</w:t>
      </w:r>
      <w:proofErr w:type="spellEnd"/>
      <w:r w:rsidRPr="00B00077">
        <w:rPr>
          <w:rFonts w:ascii="Calibri" w:hAnsi="Calibri"/>
          <w:sz w:val="10"/>
          <w:szCs w:val="10"/>
        </w:rPr>
        <w:t xml:space="preserve"> </w:t>
      </w:r>
      <w:proofErr w:type="spellStart"/>
      <w:r w:rsidRPr="00B00077">
        <w:rPr>
          <w:rFonts w:ascii="Calibri" w:hAnsi="Calibri"/>
          <w:sz w:val="10"/>
          <w:szCs w:val="10"/>
        </w:rPr>
        <w:t>bancare</w:t>
      </w:r>
      <w:proofErr w:type="spellEnd"/>
      <w:r w:rsidRPr="00B00077">
        <w:rPr>
          <w:rFonts w:ascii="Calibri" w:hAnsi="Calibri"/>
          <w:sz w:val="10"/>
          <w:szCs w:val="10"/>
        </w:rPr>
        <w:t xml:space="preserve">. La </w:t>
      </w:r>
      <w:proofErr w:type="spellStart"/>
      <w:r w:rsidRPr="00B00077">
        <w:rPr>
          <w:rFonts w:ascii="Calibri" w:hAnsi="Calibri"/>
          <w:sz w:val="10"/>
          <w:szCs w:val="10"/>
        </w:rPr>
        <w:t>origine</w:t>
      </w:r>
      <w:proofErr w:type="spellEnd"/>
      <w:r w:rsidRPr="00B00077">
        <w:rPr>
          <w:rFonts w:ascii="Calibri" w:hAnsi="Calibri"/>
          <w:sz w:val="10"/>
          <w:szCs w:val="10"/>
        </w:rPr>
        <w:t xml:space="preserve"> </w:t>
      </w:r>
      <w:proofErr w:type="spellStart"/>
      <w:r w:rsidRPr="00B00077">
        <w:rPr>
          <w:rFonts w:ascii="Calibri" w:hAnsi="Calibri"/>
          <w:sz w:val="10"/>
          <w:szCs w:val="10"/>
        </w:rPr>
        <w:t>fiind</w:t>
      </w:r>
      <w:proofErr w:type="spellEnd"/>
      <w:r w:rsidRPr="00B00077">
        <w:rPr>
          <w:rFonts w:ascii="Calibri" w:hAnsi="Calibri"/>
          <w:sz w:val="10"/>
          <w:szCs w:val="10"/>
        </w:rPr>
        <w:t xml:space="preserve"> </w:t>
      </w:r>
      <w:proofErr w:type="spellStart"/>
      <w:r w:rsidRPr="00B00077">
        <w:rPr>
          <w:rFonts w:ascii="Calibri" w:hAnsi="Calibri"/>
          <w:sz w:val="10"/>
          <w:szCs w:val="10"/>
        </w:rPr>
        <w:t>emise</w:t>
      </w:r>
      <w:proofErr w:type="spellEnd"/>
      <w:r w:rsidRPr="00B00077">
        <w:rPr>
          <w:rFonts w:ascii="Calibri" w:hAnsi="Calibri"/>
          <w:sz w:val="10"/>
          <w:szCs w:val="10"/>
        </w:rPr>
        <w:t xml:space="preserve"> de </w:t>
      </w:r>
      <w:proofErr w:type="spellStart"/>
      <w:r w:rsidRPr="00B00077">
        <w:rPr>
          <w:rFonts w:ascii="Calibri" w:hAnsi="Calibri"/>
          <w:sz w:val="10"/>
          <w:szCs w:val="10"/>
        </w:rPr>
        <w:t>Comitetul</w:t>
      </w:r>
      <w:proofErr w:type="spellEnd"/>
      <w:r w:rsidRPr="00B00077">
        <w:rPr>
          <w:rFonts w:ascii="Calibri" w:hAnsi="Calibri"/>
          <w:sz w:val="10"/>
          <w:szCs w:val="10"/>
        </w:rPr>
        <w:t xml:space="preserve"> Basel </w:t>
      </w:r>
      <w:proofErr w:type="spellStart"/>
      <w:r w:rsidRPr="00B00077">
        <w:rPr>
          <w:rFonts w:ascii="Calibri" w:hAnsi="Calibri"/>
          <w:sz w:val="10"/>
          <w:szCs w:val="10"/>
        </w:rPr>
        <w:t>pentru</w:t>
      </w:r>
      <w:proofErr w:type="spellEnd"/>
      <w:r w:rsidRPr="00B00077">
        <w:rPr>
          <w:rFonts w:ascii="Calibri" w:hAnsi="Calibri"/>
          <w:sz w:val="10"/>
          <w:szCs w:val="10"/>
        </w:rPr>
        <w:t xml:space="preserve"> </w:t>
      </w:r>
      <w:proofErr w:type="spellStart"/>
      <w:r w:rsidRPr="00B00077">
        <w:rPr>
          <w:rFonts w:ascii="Calibri" w:hAnsi="Calibri"/>
          <w:sz w:val="10"/>
          <w:szCs w:val="10"/>
        </w:rPr>
        <w:t>Supraveghere</w:t>
      </w:r>
      <w:proofErr w:type="spellEnd"/>
      <w:r w:rsidRPr="00B00077">
        <w:rPr>
          <w:rFonts w:ascii="Calibri" w:hAnsi="Calibri"/>
          <w:sz w:val="10"/>
          <w:szCs w:val="10"/>
        </w:rPr>
        <w:t xml:space="preserve"> </w:t>
      </w:r>
      <w:proofErr w:type="spellStart"/>
      <w:r w:rsidRPr="00B00077">
        <w:rPr>
          <w:rFonts w:ascii="Calibri" w:hAnsi="Calibri"/>
          <w:sz w:val="10"/>
          <w:szCs w:val="10"/>
        </w:rPr>
        <w:t>Bancară</w:t>
      </w:r>
      <w:proofErr w:type="spellEnd"/>
      <w:r w:rsidRPr="00B00077">
        <w:rPr>
          <w:rFonts w:ascii="Calibri" w:hAnsi="Calibri"/>
          <w:sz w:val="10"/>
          <w:szCs w:val="10"/>
        </w:rPr>
        <w:t xml:space="preserve"> </w:t>
      </w:r>
      <w:proofErr w:type="spellStart"/>
      <w:r w:rsidRPr="00B00077">
        <w:rPr>
          <w:rFonts w:ascii="Calibri" w:hAnsi="Calibri"/>
          <w:sz w:val="10"/>
          <w:szCs w:val="10"/>
        </w:rPr>
        <w:t>în</w:t>
      </w:r>
      <w:proofErr w:type="spellEnd"/>
      <w:r w:rsidRPr="00B00077">
        <w:rPr>
          <w:rFonts w:ascii="Calibri" w:hAnsi="Calibri"/>
          <w:sz w:val="10"/>
          <w:szCs w:val="10"/>
        </w:rPr>
        <w:t xml:space="preserve"> 1997, </w:t>
      </w:r>
      <w:proofErr w:type="spellStart"/>
      <w:r w:rsidRPr="00B00077">
        <w:rPr>
          <w:rFonts w:ascii="Calibri" w:hAnsi="Calibri"/>
          <w:sz w:val="10"/>
          <w:szCs w:val="10"/>
        </w:rPr>
        <w:t>și</w:t>
      </w:r>
      <w:proofErr w:type="spellEnd"/>
      <w:r w:rsidRPr="00B00077">
        <w:rPr>
          <w:rFonts w:ascii="Calibri" w:hAnsi="Calibri"/>
          <w:sz w:val="10"/>
          <w:szCs w:val="10"/>
        </w:rPr>
        <w:t xml:space="preserve"> </w:t>
      </w:r>
      <w:proofErr w:type="spellStart"/>
      <w:r w:rsidRPr="00B00077">
        <w:rPr>
          <w:rFonts w:ascii="Calibri" w:hAnsi="Calibri"/>
          <w:sz w:val="10"/>
          <w:szCs w:val="10"/>
        </w:rPr>
        <w:t>revizuite</w:t>
      </w:r>
      <w:proofErr w:type="spellEnd"/>
      <w:r w:rsidRPr="00B00077">
        <w:rPr>
          <w:rFonts w:ascii="Calibri" w:hAnsi="Calibri"/>
          <w:sz w:val="10"/>
          <w:szCs w:val="10"/>
        </w:rPr>
        <w:t xml:space="preserve"> </w:t>
      </w:r>
      <w:proofErr w:type="spellStart"/>
      <w:r w:rsidRPr="00B00077">
        <w:rPr>
          <w:rFonts w:ascii="Calibri" w:hAnsi="Calibri"/>
          <w:sz w:val="10"/>
          <w:szCs w:val="10"/>
        </w:rPr>
        <w:t>în</w:t>
      </w:r>
      <w:proofErr w:type="spellEnd"/>
      <w:r w:rsidRPr="00B00077">
        <w:rPr>
          <w:rFonts w:ascii="Calibri" w:hAnsi="Calibri"/>
          <w:sz w:val="10"/>
          <w:szCs w:val="10"/>
        </w:rPr>
        <w:t xml:space="preserve"> 2006 </w:t>
      </w:r>
      <w:proofErr w:type="spellStart"/>
      <w:r w:rsidRPr="00B00077">
        <w:rPr>
          <w:rFonts w:ascii="Calibri" w:hAnsi="Calibri"/>
          <w:sz w:val="10"/>
          <w:szCs w:val="10"/>
        </w:rPr>
        <w:t>și</w:t>
      </w:r>
      <w:proofErr w:type="spellEnd"/>
      <w:r w:rsidRPr="00B00077">
        <w:rPr>
          <w:rFonts w:ascii="Calibri" w:hAnsi="Calibri"/>
          <w:sz w:val="10"/>
          <w:szCs w:val="10"/>
        </w:rPr>
        <w:t xml:space="preserve"> 2012, </w:t>
      </w:r>
      <w:proofErr w:type="spellStart"/>
      <w:r w:rsidRPr="00B00077">
        <w:rPr>
          <w:rFonts w:ascii="Calibri" w:hAnsi="Calibri"/>
          <w:sz w:val="10"/>
          <w:szCs w:val="10"/>
        </w:rPr>
        <w:t>aceste</w:t>
      </w:r>
      <w:proofErr w:type="spellEnd"/>
      <w:r w:rsidRPr="00B00077">
        <w:rPr>
          <w:rFonts w:ascii="Calibri" w:hAnsi="Calibri"/>
          <w:sz w:val="10"/>
          <w:szCs w:val="10"/>
        </w:rPr>
        <w:t xml:space="preserve"> </w:t>
      </w:r>
      <w:proofErr w:type="spellStart"/>
      <w:r w:rsidRPr="00B00077">
        <w:rPr>
          <w:rFonts w:ascii="Calibri" w:hAnsi="Calibri"/>
          <w:sz w:val="10"/>
          <w:szCs w:val="10"/>
        </w:rPr>
        <w:t>principii</w:t>
      </w:r>
      <w:proofErr w:type="spellEnd"/>
      <w:r w:rsidRPr="00B00077">
        <w:rPr>
          <w:rFonts w:ascii="Calibri" w:hAnsi="Calibri"/>
          <w:sz w:val="10"/>
          <w:szCs w:val="10"/>
        </w:rPr>
        <w:t xml:space="preserve"> </w:t>
      </w:r>
      <w:proofErr w:type="spellStart"/>
      <w:r w:rsidRPr="00B00077">
        <w:rPr>
          <w:rFonts w:ascii="Calibri" w:hAnsi="Calibri"/>
          <w:sz w:val="10"/>
          <w:szCs w:val="10"/>
        </w:rPr>
        <w:t>sunt</w:t>
      </w:r>
      <w:proofErr w:type="spellEnd"/>
      <w:r w:rsidRPr="00B00077">
        <w:rPr>
          <w:rFonts w:ascii="Calibri" w:hAnsi="Calibri"/>
          <w:sz w:val="10"/>
          <w:szCs w:val="10"/>
        </w:rPr>
        <w:t xml:space="preserve"> </w:t>
      </w:r>
      <w:proofErr w:type="spellStart"/>
      <w:r w:rsidRPr="00B00077">
        <w:rPr>
          <w:rFonts w:ascii="Calibri" w:hAnsi="Calibri"/>
          <w:sz w:val="10"/>
          <w:szCs w:val="10"/>
        </w:rPr>
        <w:t>utilizate</w:t>
      </w:r>
      <w:proofErr w:type="spellEnd"/>
      <w:r w:rsidRPr="00B00077">
        <w:rPr>
          <w:rFonts w:ascii="Calibri" w:hAnsi="Calibri"/>
          <w:sz w:val="10"/>
          <w:szCs w:val="10"/>
        </w:rPr>
        <w:t xml:space="preserve"> de state ca </w:t>
      </w:r>
      <w:proofErr w:type="spellStart"/>
      <w:r w:rsidRPr="00B00077">
        <w:rPr>
          <w:rFonts w:ascii="Calibri" w:hAnsi="Calibri"/>
          <w:sz w:val="10"/>
          <w:szCs w:val="10"/>
        </w:rPr>
        <w:t>repere</w:t>
      </w:r>
      <w:proofErr w:type="spellEnd"/>
      <w:r w:rsidRPr="00B00077">
        <w:rPr>
          <w:rFonts w:ascii="Calibri" w:hAnsi="Calibri"/>
          <w:sz w:val="10"/>
          <w:szCs w:val="10"/>
        </w:rPr>
        <w:t xml:space="preserve"> </w:t>
      </w:r>
      <w:proofErr w:type="spellStart"/>
      <w:r w:rsidRPr="00B00077">
        <w:rPr>
          <w:rFonts w:ascii="Calibri" w:hAnsi="Calibri"/>
          <w:sz w:val="10"/>
          <w:szCs w:val="10"/>
        </w:rPr>
        <w:t>pentru</w:t>
      </w:r>
      <w:proofErr w:type="spellEnd"/>
      <w:r w:rsidRPr="00B00077">
        <w:rPr>
          <w:rFonts w:ascii="Calibri" w:hAnsi="Calibri"/>
          <w:sz w:val="10"/>
          <w:szCs w:val="10"/>
        </w:rPr>
        <w:t xml:space="preserve"> </w:t>
      </w:r>
      <w:proofErr w:type="spellStart"/>
      <w:r w:rsidRPr="00B00077">
        <w:rPr>
          <w:rFonts w:ascii="Calibri" w:hAnsi="Calibri"/>
          <w:sz w:val="10"/>
          <w:szCs w:val="10"/>
        </w:rPr>
        <w:t>evaluarea</w:t>
      </w:r>
      <w:proofErr w:type="spellEnd"/>
      <w:r w:rsidRPr="00B00077">
        <w:rPr>
          <w:rFonts w:ascii="Calibri" w:hAnsi="Calibri"/>
          <w:sz w:val="10"/>
          <w:szCs w:val="10"/>
        </w:rPr>
        <w:t xml:space="preserve"> </w:t>
      </w:r>
      <w:proofErr w:type="spellStart"/>
      <w:r w:rsidRPr="00B00077">
        <w:rPr>
          <w:rFonts w:ascii="Calibri" w:hAnsi="Calibri"/>
          <w:sz w:val="10"/>
          <w:szCs w:val="10"/>
        </w:rPr>
        <w:t>calității</w:t>
      </w:r>
      <w:proofErr w:type="spellEnd"/>
      <w:r w:rsidRPr="00B00077">
        <w:rPr>
          <w:rFonts w:ascii="Calibri" w:hAnsi="Calibri"/>
          <w:sz w:val="10"/>
          <w:szCs w:val="10"/>
        </w:rPr>
        <w:t xml:space="preserve"> </w:t>
      </w:r>
      <w:proofErr w:type="spellStart"/>
      <w:r w:rsidRPr="00B00077">
        <w:rPr>
          <w:rFonts w:ascii="Calibri" w:hAnsi="Calibri"/>
          <w:sz w:val="10"/>
          <w:szCs w:val="10"/>
        </w:rPr>
        <w:t>sistemelor</w:t>
      </w:r>
      <w:proofErr w:type="spellEnd"/>
      <w:r w:rsidRPr="00B00077">
        <w:rPr>
          <w:rFonts w:ascii="Calibri" w:hAnsi="Calibri"/>
          <w:sz w:val="10"/>
          <w:szCs w:val="10"/>
        </w:rPr>
        <w:t xml:space="preserve"> </w:t>
      </w:r>
      <w:proofErr w:type="spellStart"/>
      <w:r w:rsidRPr="00B00077">
        <w:rPr>
          <w:rFonts w:ascii="Calibri" w:hAnsi="Calibri"/>
          <w:sz w:val="10"/>
          <w:szCs w:val="10"/>
        </w:rPr>
        <w:t>lor</w:t>
      </w:r>
      <w:proofErr w:type="spellEnd"/>
      <w:r w:rsidRPr="00B00077">
        <w:rPr>
          <w:rFonts w:ascii="Calibri" w:hAnsi="Calibri"/>
          <w:sz w:val="10"/>
          <w:szCs w:val="10"/>
        </w:rPr>
        <w:t xml:space="preserve"> de </w:t>
      </w:r>
      <w:proofErr w:type="spellStart"/>
      <w:r w:rsidRPr="00B00077">
        <w:rPr>
          <w:rFonts w:ascii="Calibri" w:hAnsi="Calibri"/>
          <w:sz w:val="10"/>
          <w:szCs w:val="10"/>
        </w:rPr>
        <w:t>supraveghere</w:t>
      </w:r>
      <w:proofErr w:type="spellEnd"/>
      <w:r w:rsidRPr="00B00077">
        <w:rPr>
          <w:rFonts w:ascii="Calibri" w:hAnsi="Calibri"/>
          <w:sz w:val="10"/>
          <w:szCs w:val="10"/>
        </w:rPr>
        <w:t xml:space="preserve"> </w:t>
      </w:r>
      <w:proofErr w:type="spellStart"/>
      <w:r w:rsidRPr="00B00077">
        <w:rPr>
          <w:rFonts w:ascii="Calibri" w:hAnsi="Calibri"/>
          <w:sz w:val="10"/>
          <w:szCs w:val="10"/>
        </w:rPr>
        <w:t>și</w:t>
      </w:r>
      <w:proofErr w:type="spellEnd"/>
      <w:r w:rsidRPr="00B00077">
        <w:rPr>
          <w:rFonts w:ascii="Calibri" w:hAnsi="Calibri"/>
          <w:sz w:val="10"/>
          <w:szCs w:val="10"/>
        </w:rPr>
        <w:t xml:space="preserve"> </w:t>
      </w:r>
      <w:proofErr w:type="spellStart"/>
      <w:r w:rsidRPr="00B00077">
        <w:rPr>
          <w:rFonts w:ascii="Calibri" w:hAnsi="Calibri"/>
          <w:sz w:val="10"/>
          <w:szCs w:val="10"/>
        </w:rPr>
        <w:t>pentru</w:t>
      </w:r>
      <w:proofErr w:type="spellEnd"/>
      <w:r w:rsidRPr="00B00077">
        <w:rPr>
          <w:rFonts w:ascii="Calibri" w:hAnsi="Calibri"/>
          <w:sz w:val="10"/>
          <w:szCs w:val="10"/>
        </w:rPr>
        <w:t xml:space="preserve"> </w:t>
      </w:r>
      <w:proofErr w:type="spellStart"/>
      <w:r w:rsidRPr="00B00077">
        <w:rPr>
          <w:rFonts w:ascii="Calibri" w:hAnsi="Calibri"/>
          <w:sz w:val="10"/>
          <w:szCs w:val="10"/>
        </w:rPr>
        <w:t>identificarea</w:t>
      </w:r>
      <w:proofErr w:type="spellEnd"/>
      <w:r w:rsidRPr="00B00077">
        <w:rPr>
          <w:rFonts w:ascii="Calibri" w:hAnsi="Calibri"/>
          <w:sz w:val="10"/>
          <w:szCs w:val="10"/>
        </w:rPr>
        <w:t xml:space="preserve"> </w:t>
      </w:r>
      <w:proofErr w:type="spellStart"/>
      <w:r w:rsidRPr="00B00077">
        <w:rPr>
          <w:rFonts w:ascii="Calibri" w:hAnsi="Calibri"/>
          <w:sz w:val="10"/>
          <w:szCs w:val="10"/>
        </w:rPr>
        <w:t>eforutirlor</w:t>
      </w:r>
      <w:proofErr w:type="spellEnd"/>
      <w:r w:rsidRPr="00B00077">
        <w:rPr>
          <w:rFonts w:ascii="Calibri" w:hAnsi="Calibri"/>
          <w:sz w:val="10"/>
          <w:szCs w:val="10"/>
        </w:rPr>
        <w:t xml:space="preserve"> </w:t>
      </w:r>
      <w:proofErr w:type="spellStart"/>
      <w:r w:rsidRPr="00B00077">
        <w:rPr>
          <w:rFonts w:ascii="Calibri" w:hAnsi="Calibri"/>
          <w:sz w:val="10"/>
          <w:szCs w:val="10"/>
        </w:rPr>
        <w:t>necesare</w:t>
      </w:r>
      <w:proofErr w:type="spellEnd"/>
      <w:r w:rsidRPr="00B00077">
        <w:rPr>
          <w:rFonts w:ascii="Calibri" w:hAnsi="Calibri"/>
          <w:sz w:val="10"/>
          <w:szCs w:val="10"/>
        </w:rPr>
        <w:t xml:space="preserve"> </w:t>
      </w:r>
      <w:proofErr w:type="spellStart"/>
      <w:r w:rsidRPr="00B00077">
        <w:rPr>
          <w:rFonts w:ascii="Calibri" w:hAnsi="Calibri"/>
          <w:sz w:val="10"/>
          <w:szCs w:val="10"/>
        </w:rPr>
        <w:t>în</w:t>
      </w:r>
      <w:proofErr w:type="spellEnd"/>
      <w:r w:rsidRPr="00B00077">
        <w:rPr>
          <w:rFonts w:ascii="Calibri" w:hAnsi="Calibri"/>
          <w:sz w:val="10"/>
          <w:szCs w:val="10"/>
        </w:rPr>
        <w:t xml:space="preserve"> </w:t>
      </w:r>
      <w:proofErr w:type="spellStart"/>
      <w:r w:rsidRPr="00B00077">
        <w:rPr>
          <w:rFonts w:ascii="Calibri" w:hAnsi="Calibri"/>
          <w:sz w:val="10"/>
          <w:szCs w:val="10"/>
        </w:rPr>
        <w:t>viitor</w:t>
      </w:r>
      <w:proofErr w:type="spellEnd"/>
      <w:r w:rsidRPr="00B00077">
        <w:rPr>
          <w:rFonts w:ascii="Calibri" w:hAnsi="Calibri"/>
          <w:sz w:val="10"/>
          <w:szCs w:val="10"/>
        </w:rPr>
        <w:t xml:space="preserve"> </w:t>
      </w:r>
      <w:proofErr w:type="spellStart"/>
      <w:r w:rsidRPr="00B00077">
        <w:rPr>
          <w:rFonts w:ascii="Calibri" w:hAnsi="Calibri"/>
          <w:sz w:val="10"/>
          <w:szCs w:val="10"/>
        </w:rPr>
        <w:t>pentru</w:t>
      </w:r>
      <w:proofErr w:type="spellEnd"/>
      <w:r w:rsidRPr="00B00077">
        <w:rPr>
          <w:rFonts w:ascii="Calibri" w:hAnsi="Calibri"/>
          <w:sz w:val="10"/>
          <w:szCs w:val="10"/>
        </w:rPr>
        <w:t xml:space="preserve"> a </w:t>
      </w:r>
      <w:proofErr w:type="spellStart"/>
      <w:r w:rsidRPr="00B00077">
        <w:rPr>
          <w:rFonts w:ascii="Calibri" w:hAnsi="Calibri"/>
          <w:sz w:val="10"/>
          <w:szCs w:val="10"/>
        </w:rPr>
        <w:t>atinge</w:t>
      </w:r>
      <w:proofErr w:type="spellEnd"/>
      <w:r w:rsidRPr="00B00077">
        <w:rPr>
          <w:rFonts w:ascii="Calibri" w:hAnsi="Calibri"/>
          <w:sz w:val="10"/>
          <w:szCs w:val="10"/>
        </w:rPr>
        <w:t xml:space="preserve"> un </w:t>
      </w:r>
      <w:proofErr w:type="spellStart"/>
      <w:r w:rsidRPr="00B00077">
        <w:rPr>
          <w:rFonts w:ascii="Calibri" w:hAnsi="Calibri"/>
          <w:sz w:val="10"/>
          <w:szCs w:val="10"/>
        </w:rPr>
        <w:t>nivel</w:t>
      </w:r>
      <w:proofErr w:type="spellEnd"/>
      <w:r w:rsidRPr="00B00077">
        <w:rPr>
          <w:rFonts w:ascii="Calibri" w:hAnsi="Calibri"/>
          <w:sz w:val="10"/>
          <w:szCs w:val="10"/>
        </w:rPr>
        <w:t xml:space="preserve"> minim al </w:t>
      </w:r>
      <w:proofErr w:type="spellStart"/>
      <w:r w:rsidRPr="00B00077">
        <w:rPr>
          <w:rFonts w:ascii="Calibri" w:hAnsi="Calibri"/>
          <w:sz w:val="10"/>
          <w:szCs w:val="10"/>
        </w:rPr>
        <w:t>practicilor</w:t>
      </w:r>
      <w:proofErr w:type="spellEnd"/>
      <w:r w:rsidRPr="00B00077">
        <w:rPr>
          <w:rFonts w:ascii="Calibri" w:hAnsi="Calibri"/>
          <w:sz w:val="10"/>
          <w:szCs w:val="10"/>
        </w:rPr>
        <w:t xml:space="preserve"> de </w:t>
      </w:r>
      <w:proofErr w:type="spellStart"/>
      <w:r w:rsidRPr="00B00077">
        <w:rPr>
          <w:rFonts w:ascii="Calibri" w:hAnsi="Calibri"/>
          <w:sz w:val="10"/>
          <w:szCs w:val="10"/>
        </w:rPr>
        <w:t>supraveghere</w:t>
      </w:r>
      <w:proofErr w:type="spellEnd"/>
      <w:r w:rsidRPr="00B00077">
        <w:rPr>
          <w:rFonts w:ascii="Calibri" w:hAnsi="Calibri"/>
          <w:sz w:val="10"/>
          <w:szCs w:val="10"/>
        </w:rPr>
        <w:t xml:space="preserve"> </w:t>
      </w:r>
      <w:proofErr w:type="spellStart"/>
      <w:r w:rsidRPr="00B00077">
        <w:rPr>
          <w:rFonts w:ascii="Calibri" w:hAnsi="Calibri"/>
          <w:sz w:val="10"/>
          <w:szCs w:val="10"/>
        </w:rPr>
        <w:t>sănătoase</w:t>
      </w:r>
      <w:proofErr w:type="spellEnd"/>
      <w:r w:rsidRPr="00B00077">
        <w:rPr>
          <w:rFonts w:ascii="Calibri" w:hAnsi="Calibri"/>
          <w:sz w:val="10"/>
          <w:szCs w:val="10"/>
        </w:rPr>
        <w:t xml:space="preserve">. </w:t>
      </w:r>
      <w:proofErr w:type="spellStart"/>
      <w:r w:rsidRPr="00B00077">
        <w:rPr>
          <w:rFonts w:ascii="Calibri" w:hAnsi="Calibri"/>
          <w:sz w:val="10"/>
          <w:szCs w:val="10"/>
        </w:rPr>
        <w:t>Principiile</w:t>
      </w:r>
      <w:proofErr w:type="spellEnd"/>
      <w:r w:rsidRPr="00B00077">
        <w:rPr>
          <w:rFonts w:ascii="Calibri" w:hAnsi="Calibri"/>
          <w:sz w:val="10"/>
          <w:szCs w:val="10"/>
        </w:rPr>
        <w:t xml:space="preserve"> de </w:t>
      </w:r>
      <w:proofErr w:type="spellStart"/>
      <w:r w:rsidRPr="00B00077">
        <w:rPr>
          <w:rFonts w:ascii="Calibri" w:hAnsi="Calibri"/>
          <w:sz w:val="10"/>
          <w:szCs w:val="10"/>
        </w:rPr>
        <w:t>bază</w:t>
      </w:r>
      <w:proofErr w:type="spellEnd"/>
      <w:r w:rsidRPr="00B00077">
        <w:rPr>
          <w:rFonts w:ascii="Calibri" w:hAnsi="Calibri"/>
          <w:sz w:val="10"/>
          <w:szCs w:val="10"/>
        </w:rPr>
        <w:t xml:space="preserve"> </w:t>
      </w:r>
      <w:proofErr w:type="spellStart"/>
      <w:r w:rsidRPr="00B00077">
        <w:rPr>
          <w:rFonts w:ascii="Calibri" w:hAnsi="Calibri"/>
          <w:sz w:val="10"/>
          <w:szCs w:val="10"/>
        </w:rPr>
        <w:t>sunt</w:t>
      </w:r>
      <w:proofErr w:type="spellEnd"/>
      <w:r w:rsidRPr="00B00077">
        <w:rPr>
          <w:rFonts w:ascii="Calibri" w:hAnsi="Calibri"/>
          <w:sz w:val="10"/>
          <w:szCs w:val="10"/>
        </w:rPr>
        <w:t xml:space="preserve">, de </w:t>
      </w:r>
      <w:proofErr w:type="spellStart"/>
      <w:r w:rsidRPr="00B00077">
        <w:rPr>
          <w:rFonts w:ascii="Calibri" w:hAnsi="Calibri"/>
          <w:sz w:val="10"/>
          <w:szCs w:val="10"/>
        </w:rPr>
        <w:t>asemenea</w:t>
      </w:r>
      <w:proofErr w:type="spellEnd"/>
      <w:r w:rsidRPr="00B00077">
        <w:rPr>
          <w:rFonts w:ascii="Calibri" w:hAnsi="Calibri"/>
          <w:sz w:val="10"/>
          <w:szCs w:val="10"/>
        </w:rPr>
        <w:t xml:space="preserve">, </w:t>
      </w:r>
      <w:proofErr w:type="spellStart"/>
      <w:r w:rsidRPr="00B00077">
        <w:rPr>
          <w:rFonts w:ascii="Calibri" w:hAnsi="Calibri"/>
          <w:sz w:val="10"/>
          <w:szCs w:val="10"/>
        </w:rPr>
        <w:t>utilizate</w:t>
      </w:r>
      <w:proofErr w:type="spellEnd"/>
      <w:r w:rsidRPr="00B00077">
        <w:rPr>
          <w:rFonts w:ascii="Calibri" w:hAnsi="Calibri"/>
          <w:sz w:val="10"/>
          <w:szCs w:val="10"/>
        </w:rPr>
        <w:t xml:space="preserve"> de </w:t>
      </w:r>
      <w:proofErr w:type="spellStart"/>
      <w:r w:rsidRPr="00B00077">
        <w:rPr>
          <w:rFonts w:ascii="Calibri" w:hAnsi="Calibri"/>
          <w:sz w:val="10"/>
          <w:szCs w:val="10"/>
        </w:rPr>
        <w:t>Fondul</w:t>
      </w:r>
      <w:proofErr w:type="spellEnd"/>
      <w:r w:rsidRPr="00B00077">
        <w:rPr>
          <w:rFonts w:ascii="Calibri" w:hAnsi="Calibri"/>
          <w:sz w:val="10"/>
          <w:szCs w:val="10"/>
        </w:rPr>
        <w:t xml:space="preserve"> </w:t>
      </w:r>
      <w:proofErr w:type="spellStart"/>
      <w:r w:rsidRPr="00B00077">
        <w:rPr>
          <w:rFonts w:ascii="Calibri" w:hAnsi="Calibri"/>
          <w:sz w:val="10"/>
          <w:szCs w:val="10"/>
        </w:rPr>
        <w:t>Monetar</w:t>
      </w:r>
      <w:proofErr w:type="spellEnd"/>
      <w:r w:rsidRPr="00B00077">
        <w:rPr>
          <w:rFonts w:ascii="Calibri" w:hAnsi="Calibri"/>
          <w:sz w:val="10"/>
          <w:szCs w:val="10"/>
        </w:rPr>
        <w:t xml:space="preserve"> </w:t>
      </w:r>
      <w:proofErr w:type="spellStart"/>
      <w:r w:rsidRPr="00B00077">
        <w:rPr>
          <w:rFonts w:ascii="Calibri" w:hAnsi="Calibri"/>
          <w:sz w:val="10"/>
          <w:szCs w:val="10"/>
        </w:rPr>
        <w:t>Internațional</w:t>
      </w:r>
      <w:proofErr w:type="spellEnd"/>
      <w:r w:rsidRPr="00B00077">
        <w:rPr>
          <w:rFonts w:ascii="Calibri" w:hAnsi="Calibri"/>
          <w:sz w:val="10"/>
          <w:szCs w:val="10"/>
        </w:rPr>
        <w:t xml:space="preserve"> </w:t>
      </w:r>
      <w:proofErr w:type="spellStart"/>
      <w:r w:rsidRPr="00B00077">
        <w:rPr>
          <w:rFonts w:ascii="Calibri" w:hAnsi="Calibri"/>
          <w:sz w:val="10"/>
          <w:szCs w:val="10"/>
        </w:rPr>
        <w:t>și</w:t>
      </w:r>
      <w:proofErr w:type="spellEnd"/>
      <w:r w:rsidRPr="00B00077">
        <w:rPr>
          <w:rFonts w:ascii="Calibri" w:hAnsi="Calibri"/>
          <w:sz w:val="10"/>
          <w:szCs w:val="10"/>
        </w:rPr>
        <w:t xml:space="preserve"> de Banca </w:t>
      </w:r>
      <w:proofErr w:type="spellStart"/>
      <w:r w:rsidRPr="00B00077">
        <w:rPr>
          <w:rFonts w:ascii="Calibri" w:hAnsi="Calibri"/>
          <w:sz w:val="10"/>
          <w:szCs w:val="10"/>
        </w:rPr>
        <w:t>Mondială</w:t>
      </w:r>
      <w:proofErr w:type="spellEnd"/>
      <w:r w:rsidRPr="00B00077">
        <w:rPr>
          <w:rFonts w:ascii="Calibri" w:hAnsi="Calibri"/>
          <w:sz w:val="10"/>
          <w:szCs w:val="10"/>
        </w:rPr>
        <w:t xml:space="preserve"> </w:t>
      </w:r>
      <w:proofErr w:type="spellStart"/>
      <w:r w:rsidRPr="00B00077">
        <w:rPr>
          <w:rFonts w:ascii="Calibri" w:hAnsi="Calibri"/>
          <w:sz w:val="10"/>
          <w:szCs w:val="10"/>
        </w:rPr>
        <w:t>în</w:t>
      </w:r>
      <w:proofErr w:type="spellEnd"/>
      <w:r w:rsidRPr="00B00077">
        <w:rPr>
          <w:rFonts w:ascii="Calibri" w:hAnsi="Calibri"/>
          <w:sz w:val="10"/>
          <w:szCs w:val="10"/>
        </w:rPr>
        <w:t xml:space="preserve"> </w:t>
      </w:r>
      <w:proofErr w:type="spellStart"/>
      <w:r w:rsidRPr="00B00077">
        <w:rPr>
          <w:rFonts w:ascii="Calibri" w:hAnsi="Calibri"/>
          <w:sz w:val="10"/>
          <w:szCs w:val="10"/>
        </w:rPr>
        <w:t>contetxul</w:t>
      </w:r>
      <w:proofErr w:type="spellEnd"/>
      <w:r w:rsidRPr="00B00077">
        <w:rPr>
          <w:rFonts w:ascii="Calibri" w:hAnsi="Calibri"/>
          <w:sz w:val="10"/>
          <w:szCs w:val="10"/>
        </w:rPr>
        <w:t xml:space="preserve"> </w:t>
      </w:r>
      <w:proofErr w:type="spellStart"/>
      <w:r w:rsidRPr="00B00077">
        <w:rPr>
          <w:rFonts w:ascii="Calibri" w:hAnsi="Calibri"/>
          <w:sz w:val="10"/>
          <w:szCs w:val="10"/>
        </w:rPr>
        <w:t>Programului</w:t>
      </w:r>
      <w:proofErr w:type="spellEnd"/>
      <w:r w:rsidRPr="00B00077">
        <w:rPr>
          <w:rFonts w:ascii="Calibri" w:hAnsi="Calibri"/>
          <w:sz w:val="10"/>
          <w:szCs w:val="10"/>
        </w:rPr>
        <w:t xml:space="preserve"> de </w:t>
      </w:r>
      <w:proofErr w:type="spellStart"/>
      <w:r w:rsidRPr="00B00077">
        <w:rPr>
          <w:rFonts w:ascii="Calibri" w:hAnsi="Calibri"/>
          <w:sz w:val="10"/>
          <w:szCs w:val="10"/>
        </w:rPr>
        <w:t>Evaluare</w:t>
      </w:r>
      <w:proofErr w:type="spellEnd"/>
      <w:r w:rsidRPr="00B00077">
        <w:rPr>
          <w:rFonts w:ascii="Calibri" w:hAnsi="Calibri"/>
          <w:sz w:val="10"/>
          <w:szCs w:val="10"/>
        </w:rPr>
        <w:t xml:space="preserve"> a </w:t>
      </w:r>
      <w:proofErr w:type="spellStart"/>
      <w:r w:rsidRPr="00B00077">
        <w:rPr>
          <w:rFonts w:ascii="Calibri" w:hAnsi="Calibri"/>
          <w:sz w:val="10"/>
          <w:szCs w:val="10"/>
        </w:rPr>
        <w:t>Sectorului</w:t>
      </w:r>
      <w:proofErr w:type="spellEnd"/>
      <w:r w:rsidRPr="00B00077">
        <w:rPr>
          <w:rFonts w:ascii="Calibri" w:hAnsi="Calibri"/>
          <w:sz w:val="10"/>
          <w:szCs w:val="10"/>
        </w:rPr>
        <w:t xml:space="preserve"> </w:t>
      </w:r>
      <w:proofErr w:type="spellStart"/>
      <w:r w:rsidRPr="00B00077">
        <w:rPr>
          <w:rFonts w:ascii="Calibri" w:hAnsi="Calibri"/>
          <w:sz w:val="10"/>
          <w:szCs w:val="10"/>
        </w:rPr>
        <w:t>Financiar</w:t>
      </w:r>
      <w:proofErr w:type="spellEnd"/>
      <w:r w:rsidRPr="00B00077">
        <w:rPr>
          <w:rFonts w:ascii="Calibri" w:hAnsi="Calibri"/>
          <w:sz w:val="10"/>
          <w:szCs w:val="10"/>
        </w:rPr>
        <w:t xml:space="preserve"> (FSAP), </w:t>
      </w:r>
      <w:proofErr w:type="spellStart"/>
      <w:r w:rsidRPr="00B00077">
        <w:rPr>
          <w:rFonts w:ascii="Calibri" w:hAnsi="Calibri"/>
          <w:sz w:val="10"/>
          <w:szCs w:val="10"/>
        </w:rPr>
        <w:t>pentru</w:t>
      </w:r>
      <w:proofErr w:type="spellEnd"/>
      <w:r w:rsidRPr="00B00077">
        <w:rPr>
          <w:rFonts w:ascii="Calibri" w:hAnsi="Calibri"/>
          <w:sz w:val="10"/>
          <w:szCs w:val="10"/>
        </w:rPr>
        <w:t xml:space="preserve"> a </w:t>
      </w:r>
      <w:proofErr w:type="spellStart"/>
      <w:r w:rsidRPr="00B00077">
        <w:rPr>
          <w:rFonts w:ascii="Calibri" w:hAnsi="Calibri"/>
          <w:sz w:val="10"/>
          <w:szCs w:val="10"/>
        </w:rPr>
        <w:t>evalua</w:t>
      </w:r>
      <w:proofErr w:type="spellEnd"/>
      <w:r w:rsidRPr="00B00077">
        <w:rPr>
          <w:rFonts w:ascii="Calibri" w:hAnsi="Calibri"/>
          <w:sz w:val="10"/>
          <w:szCs w:val="10"/>
        </w:rPr>
        <w:t xml:space="preserve"> </w:t>
      </w:r>
      <w:proofErr w:type="spellStart"/>
      <w:r w:rsidRPr="00B00077">
        <w:rPr>
          <w:rFonts w:ascii="Calibri" w:hAnsi="Calibri"/>
          <w:sz w:val="10"/>
          <w:szCs w:val="10"/>
        </w:rPr>
        <w:t>eficacitatea</w:t>
      </w:r>
      <w:proofErr w:type="spellEnd"/>
      <w:r w:rsidRPr="00B00077">
        <w:rPr>
          <w:rFonts w:ascii="Calibri" w:hAnsi="Calibri"/>
          <w:sz w:val="10"/>
          <w:szCs w:val="10"/>
        </w:rPr>
        <w:t xml:space="preserve"> </w:t>
      </w:r>
      <w:proofErr w:type="spellStart"/>
      <w:r w:rsidRPr="00B00077">
        <w:rPr>
          <w:rFonts w:ascii="Calibri" w:hAnsi="Calibri"/>
          <w:sz w:val="10"/>
          <w:szCs w:val="10"/>
        </w:rPr>
        <w:t>sistemelor</w:t>
      </w:r>
      <w:proofErr w:type="spellEnd"/>
      <w:r w:rsidRPr="00B00077">
        <w:rPr>
          <w:rFonts w:ascii="Calibri" w:hAnsi="Calibri"/>
          <w:sz w:val="10"/>
          <w:szCs w:val="10"/>
        </w:rPr>
        <w:t xml:space="preserve"> </w:t>
      </w:r>
      <w:proofErr w:type="spellStart"/>
      <w:r w:rsidRPr="00B00077">
        <w:rPr>
          <w:rFonts w:ascii="Calibri" w:hAnsi="Calibri"/>
          <w:sz w:val="10"/>
          <w:szCs w:val="10"/>
        </w:rPr>
        <w:t>și</w:t>
      </w:r>
      <w:proofErr w:type="spellEnd"/>
      <w:r w:rsidRPr="00B00077">
        <w:rPr>
          <w:rFonts w:ascii="Calibri" w:hAnsi="Calibri"/>
          <w:sz w:val="10"/>
          <w:szCs w:val="10"/>
        </w:rPr>
        <w:t xml:space="preserve"> </w:t>
      </w:r>
      <w:proofErr w:type="spellStart"/>
      <w:r w:rsidRPr="00B00077">
        <w:rPr>
          <w:rFonts w:ascii="Calibri" w:hAnsi="Calibri"/>
          <w:sz w:val="10"/>
          <w:szCs w:val="10"/>
        </w:rPr>
        <w:t>practicilor</w:t>
      </w:r>
      <w:proofErr w:type="spellEnd"/>
      <w:r w:rsidRPr="00B00077">
        <w:rPr>
          <w:rFonts w:ascii="Calibri" w:hAnsi="Calibri"/>
          <w:sz w:val="10"/>
          <w:szCs w:val="10"/>
        </w:rPr>
        <w:t xml:space="preserve"> de </w:t>
      </w:r>
      <w:proofErr w:type="spellStart"/>
      <w:r w:rsidRPr="00B00077">
        <w:rPr>
          <w:rFonts w:ascii="Calibri" w:hAnsi="Calibri"/>
          <w:sz w:val="10"/>
          <w:szCs w:val="10"/>
        </w:rPr>
        <w:t>supraveghere</w:t>
      </w:r>
      <w:proofErr w:type="spellEnd"/>
      <w:r w:rsidRPr="00B00077">
        <w:rPr>
          <w:rFonts w:ascii="Calibri" w:hAnsi="Calibri"/>
          <w:sz w:val="10"/>
          <w:szCs w:val="10"/>
        </w:rPr>
        <w:t xml:space="preserve"> </w:t>
      </w:r>
      <w:proofErr w:type="spellStart"/>
      <w:r w:rsidRPr="00B00077">
        <w:rPr>
          <w:rFonts w:ascii="Calibri" w:hAnsi="Calibri"/>
          <w:sz w:val="10"/>
          <w:szCs w:val="10"/>
        </w:rPr>
        <w:t>bancară</w:t>
      </w:r>
      <w:proofErr w:type="spellEnd"/>
      <w:r w:rsidRPr="00B00077">
        <w:rPr>
          <w:rFonts w:ascii="Calibri" w:hAnsi="Calibri"/>
          <w:sz w:val="10"/>
          <w:szCs w:val="10"/>
        </w:rPr>
        <w:t xml:space="preserve"> ale </w:t>
      </w:r>
      <w:proofErr w:type="spellStart"/>
      <w:r w:rsidRPr="00B00077">
        <w:rPr>
          <w:rFonts w:ascii="Calibri" w:hAnsi="Calibri"/>
          <w:sz w:val="10"/>
          <w:szCs w:val="10"/>
        </w:rPr>
        <w:t>statelor</w:t>
      </w:r>
      <w:proofErr w:type="spellEnd"/>
      <w:r w:rsidRPr="00B00077">
        <w:rPr>
          <w:rFonts w:ascii="Calibri" w:hAnsi="Calibri"/>
          <w:sz w:val="10"/>
          <w:szCs w:val="10"/>
        </w:rPr>
        <w:t xml:space="preserve">.  </w:t>
      </w:r>
    </w:p>
  </w:footnote>
  <w:footnote w:id="2">
    <w:p w:rsidR="005D0BA0" w:rsidRPr="00B00077" w:rsidRDefault="005D0BA0" w:rsidP="005D0BA0">
      <w:pPr>
        <w:pStyle w:val="FootnoteText"/>
        <w:jc w:val="both"/>
        <w:rPr>
          <w:sz w:val="10"/>
          <w:szCs w:val="10"/>
        </w:rPr>
      </w:pPr>
      <w:r w:rsidRPr="00B00077">
        <w:rPr>
          <w:rStyle w:val="FootnoteReference"/>
          <w:sz w:val="10"/>
          <w:szCs w:val="10"/>
        </w:rPr>
        <w:footnoteRef/>
      </w:r>
      <w:r w:rsidRPr="00B00077">
        <w:rPr>
          <w:sz w:val="10"/>
          <w:szCs w:val="10"/>
        </w:rPr>
        <w:t xml:space="preserve"> </w:t>
      </w:r>
      <w:r w:rsidRPr="00B00077">
        <w:rPr>
          <w:i/>
          <w:iCs/>
          <w:color w:val="353838"/>
          <w:sz w:val="10"/>
          <w:szCs w:val="10"/>
        </w:rPr>
        <w:t>Bank for International Settlements</w:t>
      </w:r>
      <w:r w:rsidRPr="00B00077">
        <w:rPr>
          <w:color w:val="353838"/>
          <w:sz w:val="10"/>
          <w:szCs w:val="10"/>
        </w:rPr>
        <w:t xml:space="preserve"> (BIS) </w:t>
      </w:r>
      <w:proofErr w:type="spellStart"/>
      <w:r w:rsidRPr="00B00077">
        <w:rPr>
          <w:color w:val="353838"/>
          <w:sz w:val="10"/>
          <w:szCs w:val="10"/>
        </w:rPr>
        <w:t>şi</w:t>
      </w:r>
      <w:proofErr w:type="spellEnd"/>
      <w:r w:rsidRPr="00B00077">
        <w:rPr>
          <w:color w:val="353838"/>
          <w:sz w:val="10"/>
          <w:szCs w:val="10"/>
        </w:rPr>
        <w:t xml:space="preserve"> </w:t>
      </w:r>
      <w:r w:rsidRPr="00B00077">
        <w:rPr>
          <w:i/>
          <w:iCs/>
          <w:color w:val="353838"/>
          <w:sz w:val="10"/>
          <w:szCs w:val="10"/>
        </w:rPr>
        <w:t>International Organization of Securities Commissions</w:t>
      </w:r>
      <w:r w:rsidRPr="00B00077">
        <w:rPr>
          <w:color w:val="353838"/>
          <w:sz w:val="10"/>
          <w:szCs w:val="10"/>
        </w:rPr>
        <w:t xml:space="preserve"> (IOSCO)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83" w:rsidRDefault="00CB3DC7" w:rsidP="00CB3DC7">
    <w:pPr>
      <w:pStyle w:val="Header"/>
      <w:jc w:val="right"/>
    </w:pPr>
    <w:bookmarkStart w:id="1" w:name="TITUS1HeaderEvenPages"/>
    <w:r>
      <w:t xml:space="preserve"> </w:t>
    </w:r>
  </w:p>
  <w:bookmarkEnd w:id="1"/>
  <w:p w:rsidR="00CB3DC7" w:rsidRDefault="00CB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C7" w:rsidRDefault="00CB3DC7" w:rsidP="00CB3DC7">
    <w:pPr>
      <w:pStyle w:val="Header"/>
      <w:jc w:val="right"/>
    </w:pPr>
    <w:bookmarkStart w:id="2" w:name="TITUS1HeaderPrimary"/>
    <w:r>
      <w:t xml:space="preserve"> </w:t>
    </w:r>
  </w:p>
  <w:bookmarkEnd w:id="2"/>
  <w:p w:rsidR="00CB3DC7" w:rsidRDefault="00CB3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080" w:rsidRDefault="00E02080">
    <w:pPr>
      <w:pStyle w:val="Header"/>
      <w:jc w:val="right"/>
    </w:pPr>
  </w:p>
  <w:p w:rsidR="00E02080" w:rsidRDefault="00E02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75AB"/>
    <w:multiLevelType w:val="hybridMultilevel"/>
    <w:tmpl w:val="E918E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010D7"/>
    <w:multiLevelType w:val="hybridMultilevel"/>
    <w:tmpl w:val="952C3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AF1656"/>
    <w:multiLevelType w:val="hybridMultilevel"/>
    <w:tmpl w:val="6560A1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E7A46"/>
    <w:multiLevelType w:val="hybridMultilevel"/>
    <w:tmpl w:val="C55C0D80"/>
    <w:lvl w:ilvl="0" w:tplc="611A7C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51B3D"/>
    <w:multiLevelType w:val="hybridMultilevel"/>
    <w:tmpl w:val="30A246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BFA38A4"/>
    <w:multiLevelType w:val="hybridMultilevel"/>
    <w:tmpl w:val="E918E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03032"/>
    <w:multiLevelType w:val="hybridMultilevel"/>
    <w:tmpl w:val="59C65AC4"/>
    <w:lvl w:ilvl="0" w:tplc="72F4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07FAC"/>
    <w:multiLevelType w:val="hybridMultilevel"/>
    <w:tmpl w:val="729E80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32006EE"/>
    <w:multiLevelType w:val="hybridMultilevel"/>
    <w:tmpl w:val="5E56899C"/>
    <w:lvl w:ilvl="0" w:tplc="8BBACD1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6A71455B"/>
    <w:multiLevelType w:val="hybridMultilevel"/>
    <w:tmpl w:val="7C567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F5B25"/>
    <w:multiLevelType w:val="hybridMultilevel"/>
    <w:tmpl w:val="C5447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10"/>
  </w:num>
  <w:num w:numId="6">
    <w:abstractNumId w:val="8"/>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A2"/>
    <w:rsid w:val="000109A9"/>
    <w:rsid w:val="000821A2"/>
    <w:rsid w:val="000A49CC"/>
    <w:rsid w:val="000B0B2D"/>
    <w:rsid w:val="000C4F8C"/>
    <w:rsid w:val="000C7259"/>
    <w:rsid w:val="000D6FE5"/>
    <w:rsid w:val="000E3048"/>
    <w:rsid w:val="00100128"/>
    <w:rsid w:val="00132111"/>
    <w:rsid w:val="00160072"/>
    <w:rsid w:val="00173014"/>
    <w:rsid w:val="001A1998"/>
    <w:rsid w:val="001F7815"/>
    <w:rsid w:val="00205B27"/>
    <w:rsid w:val="00227EF6"/>
    <w:rsid w:val="00235546"/>
    <w:rsid w:val="00254ACB"/>
    <w:rsid w:val="0027487A"/>
    <w:rsid w:val="00292791"/>
    <w:rsid w:val="00294791"/>
    <w:rsid w:val="00294929"/>
    <w:rsid w:val="002A148D"/>
    <w:rsid w:val="002A3B9A"/>
    <w:rsid w:val="002B1B16"/>
    <w:rsid w:val="002C01EA"/>
    <w:rsid w:val="002F3B32"/>
    <w:rsid w:val="002F7E12"/>
    <w:rsid w:val="00305F62"/>
    <w:rsid w:val="00313A6D"/>
    <w:rsid w:val="003302FA"/>
    <w:rsid w:val="0033635B"/>
    <w:rsid w:val="003463A3"/>
    <w:rsid w:val="00356BCC"/>
    <w:rsid w:val="003725D6"/>
    <w:rsid w:val="003B1E68"/>
    <w:rsid w:val="003C4BA9"/>
    <w:rsid w:val="003C6101"/>
    <w:rsid w:val="003D0718"/>
    <w:rsid w:val="003E2AEC"/>
    <w:rsid w:val="004054A9"/>
    <w:rsid w:val="00470117"/>
    <w:rsid w:val="004769C2"/>
    <w:rsid w:val="00491E69"/>
    <w:rsid w:val="004B728B"/>
    <w:rsid w:val="004D08E5"/>
    <w:rsid w:val="004D5037"/>
    <w:rsid w:val="005109EC"/>
    <w:rsid w:val="005154DD"/>
    <w:rsid w:val="00547B57"/>
    <w:rsid w:val="005536F3"/>
    <w:rsid w:val="005651C0"/>
    <w:rsid w:val="00577076"/>
    <w:rsid w:val="005929E1"/>
    <w:rsid w:val="005C6976"/>
    <w:rsid w:val="005D0BA0"/>
    <w:rsid w:val="00601147"/>
    <w:rsid w:val="0060534C"/>
    <w:rsid w:val="00626CF9"/>
    <w:rsid w:val="00647CEC"/>
    <w:rsid w:val="0067552F"/>
    <w:rsid w:val="00682D8D"/>
    <w:rsid w:val="00691F4E"/>
    <w:rsid w:val="00697C9D"/>
    <w:rsid w:val="006A0C39"/>
    <w:rsid w:val="006A2550"/>
    <w:rsid w:val="006C1DB2"/>
    <w:rsid w:val="006C3109"/>
    <w:rsid w:val="006C7CFE"/>
    <w:rsid w:val="006E279B"/>
    <w:rsid w:val="006E749E"/>
    <w:rsid w:val="00714C7F"/>
    <w:rsid w:val="00730B9D"/>
    <w:rsid w:val="007340AA"/>
    <w:rsid w:val="007473D3"/>
    <w:rsid w:val="007521B7"/>
    <w:rsid w:val="007634F3"/>
    <w:rsid w:val="0077545D"/>
    <w:rsid w:val="007968F3"/>
    <w:rsid w:val="007B33F2"/>
    <w:rsid w:val="007B6E29"/>
    <w:rsid w:val="007B7612"/>
    <w:rsid w:val="00804052"/>
    <w:rsid w:val="00805151"/>
    <w:rsid w:val="008162F4"/>
    <w:rsid w:val="0084049A"/>
    <w:rsid w:val="00841BFC"/>
    <w:rsid w:val="00892E29"/>
    <w:rsid w:val="0089421B"/>
    <w:rsid w:val="008A6D2F"/>
    <w:rsid w:val="008B0FCC"/>
    <w:rsid w:val="008D3ACC"/>
    <w:rsid w:val="0090106E"/>
    <w:rsid w:val="00954190"/>
    <w:rsid w:val="009628C0"/>
    <w:rsid w:val="00977AD5"/>
    <w:rsid w:val="009874C5"/>
    <w:rsid w:val="009C72D0"/>
    <w:rsid w:val="009D0E6B"/>
    <w:rsid w:val="009D4D88"/>
    <w:rsid w:val="009F7984"/>
    <w:rsid w:val="00A018B9"/>
    <w:rsid w:val="00A130AE"/>
    <w:rsid w:val="00A1536C"/>
    <w:rsid w:val="00A547F7"/>
    <w:rsid w:val="00A63593"/>
    <w:rsid w:val="00A90179"/>
    <w:rsid w:val="00AA4503"/>
    <w:rsid w:val="00AF42A2"/>
    <w:rsid w:val="00B00077"/>
    <w:rsid w:val="00B00882"/>
    <w:rsid w:val="00B420B6"/>
    <w:rsid w:val="00B43D46"/>
    <w:rsid w:val="00B520D5"/>
    <w:rsid w:val="00B80936"/>
    <w:rsid w:val="00B82EF6"/>
    <w:rsid w:val="00B97D76"/>
    <w:rsid w:val="00BB014B"/>
    <w:rsid w:val="00BE0E34"/>
    <w:rsid w:val="00BE65C6"/>
    <w:rsid w:val="00BF08D8"/>
    <w:rsid w:val="00C046DE"/>
    <w:rsid w:val="00C374A7"/>
    <w:rsid w:val="00C41B64"/>
    <w:rsid w:val="00C60C51"/>
    <w:rsid w:val="00C677AE"/>
    <w:rsid w:val="00C842D0"/>
    <w:rsid w:val="00C87F18"/>
    <w:rsid w:val="00C87F72"/>
    <w:rsid w:val="00C95CB8"/>
    <w:rsid w:val="00C961DF"/>
    <w:rsid w:val="00CA7E22"/>
    <w:rsid w:val="00CB3DC7"/>
    <w:rsid w:val="00CC13A4"/>
    <w:rsid w:val="00CF2702"/>
    <w:rsid w:val="00CF7E92"/>
    <w:rsid w:val="00D36040"/>
    <w:rsid w:val="00D45467"/>
    <w:rsid w:val="00D45542"/>
    <w:rsid w:val="00D52387"/>
    <w:rsid w:val="00D56BE6"/>
    <w:rsid w:val="00D6162E"/>
    <w:rsid w:val="00D71429"/>
    <w:rsid w:val="00D86DB1"/>
    <w:rsid w:val="00D90BD2"/>
    <w:rsid w:val="00D945DC"/>
    <w:rsid w:val="00DA24A3"/>
    <w:rsid w:val="00DA37E9"/>
    <w:rsid w:val="00DC0D0C"/>
    <w:rsid w:val="00E02080"/>
    <w:rsid w:val="00E26016"/>
    <w:rsid w:val="00E31D01"/>
    <w:rsid w:val="00E35990"/>
    <w:rsid w:val="00E444D5"/>
    <w:rsid w:val="00E5523C"/>
    <w:rsid w:val="00E60817"/>
    <w:rsid w:val="00E678F4"/>
    <w:rsid w:val="00E67F4C"/>
    <w:rsid w:val="00EA6E4B"/>
    <w:rsid w:val="00EB1D6E"/>
    <w:rsid w:val="00EE4B18"/>
    <w:rsid w:val="00EE7C9B"/>
    <w:rsid w:val="00F37502"/>
    <w:rsid w:val="00F408C5"/>
    <w:rsid w:val="00F544AB"/>
    <w:rsid w:val="00F65D95"/>
    <w:rsid w:val="00F6608E"/>
    <w:rsid w:val="00F6775A"/>
    <w:rsid w:val="00F77148"/>
    <w:rsid w:val="00F969AA"/>
    <w:rsid w:val="00FB7E9E"/>
    <w:rsid w:val="00FD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813BF"/>
  <w15:chartTrackingRefBased/>
  <w15:docId w15:val="{0038D7D6-59ED-4273-BF17-79C63336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072"/>
    <w:rPr>
      <w:sz w:val="24"/>
      <w:szCs w:val="24"/>
      <w:lang w:val="en-GB"/>
    </w:rPr>
  </w:style>
  <w:style w:type="paragraph" w:styleId="Heading1">
    <w:name w:val="heading 1"/>
    <w:basedOn w:val="Normal"/>
    <w:next w:val="Normal"/>
    <w:link w:val="Heading1Char"/>
    <w:qFormat/>
    <w:rsid w:val="00160072"/>
    <w:pPr>
      <w:keepNext/>
      <w:jc w:val="center"/>
      <w:outlineLvl w:val="0"/>
    </w:pPr>
    <w:rPr>
      <w:b/>
      <w:bCs/>
      <w:lang w:val="ro-RO"/>
    </w:rPr>
  </w:style>
  <w:style w:type="paragraph" w:styleId="Heading2">
    <w:name w:val="heading 2"/>
    <w:basedOn w:val="Normal"/>
    <w:next w:val="Normal"/>
    <w:link w:val="Heading2Char"/>
    <w:qFormat/>
    <w:rsid w:val="00160072"/>
    <w:pPr>
      <w:keepNext/>
      <w:ind w:firstLine="5040"/>
      <w:outlineLvl w:val="1"/>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072"/>
    <w:rPr>
      <w:b/>
      <w:bCs/>
      <w:sz w:val="24"/>
      <w:szCs w:val="24"/>
      <w:lang w:val="ro-RO"/>
    </w:rPr>
  </w:style>
  <w:style w:type="character" w:customStyle="1" w:styleId="Heading2Char">
    <w:name w:val="Heading 2 Char"/>
    <w:basedOn w:val="DefaultParagraphFont"/>
    <w:link w:val="Heading2"/>
    <w:rsid w:val="00160072"/>
    <w:rPr>
      <w:b/>
      <w:bCs/>
      <w:sz w:val="24"/>
      <w:szCs w:val="24"/>
      <w:lang w:val="ro-RO"/>
    </w:rPr>
  </w:style>
  <w:style w:type="paragraph" w:styleId="BodyText">
    <w:name w:val="Body Text"/>
    <w:basedOn w:val="Normal"/>
    <w:link w:val="BodyTextChar"/>
    <w:rsid w:val="00160072"/>
    <w:pPr>
      <w:numPr>
        <w:ilvl w:val="12"/>
      </w:numPr>
      <w:jc w:val="center"/>
    </w:pPr>
    <w:rPr>
      <w:b/>
      <w:szCs w:val="20"/>
      <w:lang w:val="ro-RO"/>
    </w:rPr>
  </w:style>
  <w:style w:type="character" w:customStyle="1" w:styleId="BodyTextChar">
    <w:name w:val="Body Text Char"/>
    <w:basedOn w:val="DefaultParagraphFont"/>
    <w:link w:val="BodyText"/>
    <w:rsid w:val="00160072"/>
    <w:rPr>
      <w:b/>
      <w:sz w:val="24"/>
      <w:lang w:val="ro-RO"/>
    </w:rPr>
  </w:style>
  <w:style w:type="paragraph" w:styleId="NormalWeb">
    <w:name w:val="Normal (Web)"/>
    <w:aliases w:val="webb, webb"/>
    <w:basedOn w:val="Normal"/>
    <w:link w:val="NormalWebChar"/>
    <w:qFormat/>
    <w:rsid w:val="00160072"/>
    <w:pPr>
      <w:ind w:firstLine="567"/>
      <w:jc w:val="both"/>
    </w:pPr>
    <w:rPr>
      <w:lang w:val="ru-RU" w:eastAsia="ru-RU"/>
    </w:rPr>
  </w:style>
  <w:style w:type="paragraph" w:styleId="Header">
    <w:name w:val="header"/>
    <w:basedOn w:val="Normal"/>
    <w:link w:val="HeaderChar"/>
    <w:uiPriority w:val="99"/>
    <w:rsid w:val="00160072"/>
    <w:pPr>
      <w:tabs>
        <w:tab w:val="center" w:pos="4844"/>
        <w:tab w:val="right" w:pos="9689"/>
      </w:tabs>
    </w:pPr>
  </w:style>
  <w:style w:type="character" w:customStyle="1" w:styleId="HeaderChar">
    <w:name w:val="Header Char"/>
    <w:basedOn w:val="DefaultParagraphFont"/>
    <w:link w:val="Header"/>
    <w:uiPriority w:val="99"/>
    <w:rsid w:val="00160072"/>
    <w:rPr>
      <w:sz w:val="24"/>
      <w:szCs w:val="24"/>
      <w:lang w:val="en-GB"/>
    </w:rPr>
  </w:style>
  <w:style w:type="paragraph" w:styleId="Footer">
    <w:name w:val="footer"/>
    <w:basedOn w:val="Normal"/>
    <w:link w:val="FooterChar"/>
    <w:uiPriority w:val="99"/>
    <w:rsid w:val="00160072"/>
    <w:pPr>
      <w:tabs>
        <w:tab w:val="center" w:pos="4844"/>
        <w:tab w:val="right" w:pos="9689"/>
      </w:tabs>
    </w:pPr>
  </w:style>
  <w:style w:type="character" w:customStyle="1" w:styleId="FooterChar">
    <w:name w:val="Footer Char"/>
    <w:basedOn w:val="DefaultParagraphFont"/>
    <w:link w:val="Footer"/>
    <w:uiPriority w:val="99"/>
    <w:rsid w:val="00160072"/>
    <w:rPr>
      <w:sz w:val="24"/>
      <w:szCs w:val="24"/>
      <w:lang w:val="en-GB"/>
    </w:rPr>
  </w:style>
  <w:style w:type="character" w:customStyle="1" w:styleId="NormalWebChar">
    <w:name w:val="Normal (Web) Char"/>
    <w:aliases w:val="webb Char, webb Char"/>
    <w:link w:val="NormalWeb"/>
    <w:uiPriority w:val="99"/>
    <w:locked/>
    <w:rsid w:val="00160072"/>
    <w:rPr>
      <w:sz w:val="24"/>
      <w:szCs w:val="24"/>
      <w:lang w:val="ru-RU" w:eastAsia="ru-RU"/>
    </w:rPr>
  </w:style>
  <w:style w:type="paragraph" w:styleId="BodyTextIndent">
    <w:name w:val="Body Text Indent"/>
    <w:basedOn w:val="Normal"/>
    <w:link w:val="BodyTextIndentChar"/>
    <w:rsid w:val="00C374A7"/>
    <w:pPr>
      <w:spacing w:after="120"/>
      <w:ind w:left="283"/>
    </w:pPr>
  </w:style>
  <w:style w:type="character" w:customStyle="1" w:styleId="BodyTextIndentChar">
    <w:name w:val="Body Text Indent Char"/>
    <w:basedOn w:val="DefaultParagraphFont"/>
    <w:link w:val="BodyTextIndent"/>
    <w:rsid w:val="00C374A7"/>
    <w:rPr>
      <w:sz w:val="24"/>
      <w:szCs w:val="24"/>
      <w:lang w:val="en-GB"/>
    </w:rPr>
  </w:style>
  <w:style w:type="paragraph" w:styleId="ListParagraph">
    <w:name w:val="List Paragraph"/>
    <w:basedOn w:val="Normal"/>
    <w:uiPriority w:val="34"/>
    <w:qFormat/>
    <w:rsid w:val="00C374A7"/>
    <w:pPr>
      <w:ind w:left="720"/>
      <w:contextualSpacing/>
    </w:pPr>
  </w:style>
  <w:style w:type="paragraph" w:styleId="BalloonText">
    <w:name w:val="Balloon Text"/>
    <w:basedOn w:val="Normal"/>
    <w:link w:val="BalloonTextChar"/>
    <w:rsid w:val="009D4D88"/>
    <w:rPr>
      <w:rFonts w:ascii="Segoe UI" w:hAnsi="Segoe UI" w:cs="Segoe UI"/>
      <w:sz w:val="18"/>
      <w:szCs w:val="18"/>
    </w:rPr>
  </w:style>
  <w:style w:type="character" w:customStyle="1" w:styleId="BalloonTextChar">
    <w:name w:val="Balloon Text Char"/>
    <w:basedOn w:val="DefaultParagraphFont"/>
    <w:link w:val="BalloonText"/>
    <w:rsid w:val="009D4D88"/>
    <w:rPr>
      <w:rFonts w:ascii="Segoe UI" w:hAnsi="Segoe UI" w:cs="Segoe UI"/>
      <w:sz w:val="18"/>
      <w:szCs w:val="18"/>
      <w:lang w:val="en-GB"/>
    </w:rPr>
  </w:style>
  <w:style w:type="paragraph" w:customStyle="1" w:styleId="a">
    <w:name w:val="Знак"/>
    <w:basedOn w:val="Normal"/>
    <w:rsid w:val="0090106E"/>
    <w:pPr>
      <w:spacing w:after="160" w:line="240" w:lineRule="exact"/>
    </w:pPr>
    <w:rPr>
      <w:rFonts w:ascii="Arial" w:eastAsia="Batang" w:hAnsi="Arial" w:cs="Arial"/>
      <w:sz w:val="20"/>
      <w:szCs w:val="20"/>
      <w:lang w:val="en-US"/>
    </w:rPr>
  </w:style>
  <w:style w:type="character" w:styleId="Strong">
    <w:name w:val="Strong"/>
    <w:basedOn w:val="DefaultParagraphFont"/>
    <w:uiPriority w:val="22"/>
    <w:qFormat/>
    <w:rsid w:val="00CB3DC7"/>
    <w:rPr>
      <w:b/>
      <w:bCs/>
    </w:rPr>
  </w:style>
  <w:style w:type="character" w:styleId="CommentReference">
    <w:name w:val="annotation reference"/>
    <w:basedOn w:val="DefaultParagraphFont"/>
    <w:rsid w:val="007B33F2"/>
    <w:rPr>
      <w:sz w:val="16"/>
      <w:szCs w:val="16"/>
    </w:rPr>
  </w:style>
  <w:style w:type="paragraph" w:styleId="CommentText">
    <w:name w:val="annotation text"/>
    <w:basedOn w:val="Normal"/>
    <w:link w:val="CommentTextChar"/>
    <w:rsid w:val="007B33F2"/>
    <w:rPr>
      <w:sz w:val="20"/>
      <w:szCs w:val="20"/>
    </w:rPr>
  </w:style>
  <w:style w:type="character" w:customStyle="1" w:styleId="CommentTextChar">
    <w:name w:val="Comment Text Char"/>
    <w:basedOn w:val="DefaultParagraphFont"/>
    <w:link w:val="CommentText"/>
    <w:rsid w:val="007B33F2"/>
    <w:rPr>
      <w:lang w:val="en-GB"/>
    </w:rPr>
  </w:style>
  <w:style w:type="paragraph" w:styleId="CommentSubject">
    <w:name w:val="annotation subject"/>
    <w:basedOn w:val="CommentText"/>
    <w:next w:val="CommentText"/>
    <w:link w:val="CommentSubjectChar"/>
    <w:rsid w:val="007B33F2"/>
    <w:rPr>
      <w:b/>
      <w:bCs/>
    </w:rPr>
  </w:style>
  <w:style w:type="character" w:customStyle="1" w:styleId="CommentSubjectChar">
    <w:name w:val="Comment Subject Char"/>
    <w:basedOn w:val="CommentTextChar"/>
    <w:link w:val="CommentSubject"/>
    <w:rsid w:val="007B33F2"/>
    <w:rPr>
      <w:b/>
      <w:bCs/>
      <w:lang w:val="en-GB"/>
    </w:rPr>
  </w:style>
  <w:style w:type="paragraph" w:styleId="FootnoteText">
    <w:name w:val="footnote text"/>
    <w:basedOn w:val="Normal"/>
    <w:link w:val="FootnoteTextChar"/>
    <w:rsid w:val="00626CF9"/>
    <w:rPr>
      <w:sz w:val="20"/>
      <w:szCs w:val="20"/>
      <w:lang w:val="en-US"/>
    </w:rPr>
  </w:style>
  <w:style w:type="character" w:customStyle="1" w:styleId="FootnoteTextChar">
    <w:name w:val="Footnote Text Char"/>
    <w:basedOn w:val="DefaultParagraphFont"/>
    <w:link w:val="FootnoteText"/>
    <w:uiPriority w:val="99"/>
    <w:rsid w:val="00626CF9"/>
  </w:style>
  <w:style w:type="character" w:styleId="FootnoteReference">
    <w:name w:val="footnote reference"/>
    <w:rsid w:val="00626CF9"/>
    <w:rPr>
      <w:vertAlign w:val="superscript"/>
    </w:rPr>
  </w:style>
  <w:style w:type="character" w:styleId="Hyperlink">
    <w:name w:val="Hyperlink"/>
    <w:rsid w:val="00626CF9"/>
    <w:rPr>
      <w:color w:val="0000FF"/>
      <w:u w:val="single"/>
    </w:rPr>
  </w:style>
  <w:style w:type="character" w:styleId="Emphasis">
    <w:name w:val="Emphasis"/>
    <w:qFormat/>
    <w:rsid w:val="004B728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46">
      <w:bodyDiv w:val="1"/>
      <w:marLeft w:val="0"/>
      <w:marRight w:val="0"/>
      <w:marTop w:val="0"/>
      <w:marBottom w:val="0"/>
      <w:divBdr>
        <w:top w:val="none" w:sz="0" w:space="0" w:color="auto"/>
        <w:left w:val="none" w:sz="0" w:space="0" w:color="auto"/>
        <w:bottom w:val="none" w:sz="0" w:space="0" w:color="auto"/>
        <w:right w:val="none" w:sz="0" w:space="0" w:color="auto"/>
      </w:divBdr>
    </w:div>
    <w:div w:id="72433158">
      <w:bodyDiv w:val="1"/>
      <w:marLeft w:val="0"/>
      <w:marRight w:val="0"/>
      <w:marTop w:val="0"/>
      <w:marBottom w:val="0"/>
      <w:divBdr>
        <w:top w:val="none" w:sz="0" w:space="0" w:color="auto"/>
        <w:left w:val="none" w:sz="0" w:space="0" w:color="auto"/>
        <w:bottom w:val="none" w:sz="0" w:space="0" w:color="auto"/>
        <w:right w:val="none" w:sz="0" w:space="0" w:color="auto"/>
      </w:divBdr>
    </w:div>
    <w:div w:id="237249831">
      <w:bodyDiv w:val="1"/>
      <w:marLeft w:val="0"/>
      <w:marRight w:val="0"/>
      <w:marTop w:val="0"/>
      <w:marBottom w:val="0"/>
      <w:divBdr>
        <w:top w:val="none" w:sz="0" w:space="0" w:color="auto"/>
        <w:left w:val="none" w:sz="0" w:space="0" w:color="auto"/>
        <w:bottom w:val="none" w:sz="0" w:space="0" w:color="auto"/>
        <w:right w:val="none" w:sz="0" w:space="0" w:color="auto"/>
      </w:divBdr>
    </w:div>
    <w:div w:id="898711654">
      <w:bodyDiv w:val="1"/>
      <w:marLeft w:val="0"/>
      <w:marRight w:val="0"/>
      <w:marTop w:val="0"/>
      <w:marBottom w:val="0"/>
      <w:divBdr>
        <w:top w:val="none" w:sz="0" w:space="0" w:color="auto"/>
        <w:left w:val="none" w:sz="0" w:space="0" w:color="auto"/>
        <w:bottom w:val="none" w:sz="0" w:space="0" w:color="auto"/>
        <w:right w:val="none" w:sz="0" w:space="0" w:color="auto"/>
      </w:divBdr>
    </w:div>
    <w:div w:id="934820855">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367562086">
      <w:bodyDiv w:val="1"/>
      <w:marLeft w:val="0"/>
      <w:marRight w:val="0"/>
      <w:marTop w:val="0"/>
      <w:marBottom w:val="0"/>
      <w:divBdr>
        <w:top w:val="none" w:sz="0" w:space="0" w:color="auto"/>
        <w:left w:val="none" w:sz="0" w:space="0" w:color="auto"/>
        <w:bottom w:val="none" w:sz="0" w:space="0" w:color="auto"/>
        <w:right w:val="none" w:sz="0" w:space="0" w:color="auto"/>
      </w:divBdr>
    </w:div>
    <w:div w:id="1418672572">
      <w:bodyDiv w:val="1"/>
      <w:marLeft w:val="0"/>
      <w:marRight w:val="0"/>
      <w:marTop w:val="0"/>
      <w:marBottom w:val="0"/>
      <w:divBdr>
        <w:top w:val="none" w:sz="0" w:space="0" w:color="auto"/>
        <w:left w:val="none" w:sz="0" w:space="0" w:color="auto"/>
        <w:bottom w:val="none" w:sz="0" w:space="0" w:color="auto"/>
        <w:right w:val="none" w:sz="0" w:space="0" w:color="auto"/>
      </w:divBdr>
    </w:div>
    <w:div w:id="1481461305">
      <w:bodyDiv w:val="1"/>
      <w:marLeft w:val="0"/>
      <w:marRight w:val="0"/>
      <w:marTop w:val="0"/>
      <w:marBottom w:val="0"/>
      <w:divBdr>
        <w:top w:val="none" w:sz="0" w:space="0" w:color="auto"/>
        <w:left w:val="none" w:sz="0" w:space="0" w:color="auto"/>
        <w:bottom w:val="none" w:sz="0" w:space="0" w:color="auto"/>
        <w:right w:val="none" w:sz="0" w:space="0" w:color="auto"/>
      </w:divBdr>
    </w:div>
    <w:div w:id="20200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13EE-3E53-4F30-BC79-1DB00713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GIB4</dc:creator>
  <cp:keywords/>
  <dc:description/>
  <cp:lastModifiedBy>Lilia Rimar</cp:lastModifiedBy>
  <cp:revision>27</cp:revision>
  <cp:lastPrinted>2019-11-18T06:41:00Z</cp:lastPrinted>
  <dcterms:created xsi:type="dcterms:W3CDTF">2019-07-19T06:27:00Z</dcterms:created>
  <dcterms:modified xsi:type="dcterms:W3CDTF">2019-11-18T06:41:00Z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c8c39a7c-1316-42e1-9209-3166298ee55d</vt:lpwstr>
  </property>
  <property fmtid="{D5CDD505-2E9C-101B-9397-08002B2CF9AE}" pid="3" name="Clasificare">
    <vt:lpwstr>NONE</vt:lpwstr>
  </property>
</Properties>
</file>