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FE" w:rsidRPr="00BB37D9" w:rsidRDefault="00C82FFE" w:rsidP="00C82FFE">
      <w:pPr>
        <w:spacing w:after="0" w:line="240" w:lineRule="auto"/>
        <w:jc w:val="center"/>
        <w:rPr>
          <w:rFonts w:ascii="Times New Roman" w:eastAsia="Times New Roman" w:hAnsi="Times New Roman" w:cs="Times New Roman"/>
          <w:sz w:val="20"/>
          <w:szCs w:val="20"/>
        </w:rPr>
      </w:pPr>
      <w:r w:rsidRPr="00BB37D9">
        <w:rPr>
          <w:rFonts w:ascii="Times New Roman" w:eastAsia="Times New Roman" w:hAnsi="Times New Roman" w:cs="Times New Roman"/>
          <w:b/>
          <w:bCs/>
          <w:sz w:val="20"/>
          <w:szCs w:val="20"/>
        </w:rPr>
        <w:t>SINTEZA</w:t>
      </w:r>
    </w:p>
    <w:p w:rsidR="00C82FFE" w:rsidRPr="00BB37D9" w:rsidRDefault="00C82FFE" w:rsidP="00C82FFE">
      <w:pPr>
        <w:spacing w:after="0" w:line="240" w:lineRule="auto"/>
        <w:jc w:val="center"/>
        <w:rPr>
          <w:rFonts w:ascii="Times New Roman" w:eastAsia="Times New Roman" w:hAnsi="Times New Roman" w:cs="Times New Roman"/>
          <w:sz w:val="20"/>
          <w:szCs w:val="20"/>
        </w:rPr>
      </w:pPr>
      <w:r w:rsidRPr="00BB37D9">
        <w:rPr>
          <w:rFonts w:ascii="Times New Roman" w:eastAsia="Times New Roman" w:hAnsi="Times New Roman" w:cs="Times New Roman"/>
          <w:b/>
          <w:bCs/>
          <w:sz w:val="20"/>
          <w:szCs w:val="20"/>
        </w:rPr>
        <w:t>obiecţiilor şi propunerilor/recomandărilor</w:t>
      </w:r>
    </w:p>
    <w:p w:rsidR="00C82FFE" w:rsidRDefault="00C82FFE" w:rsidP="00975AA9">
      <w:pPr>
        <w:spacing w:after="0" w:line="240" w:lineRule="auto"/>
        <w:jc w:val="center"/>
        <w:rPr>
          <w:rFonts w:ascii="Times New Roman" w:eastAsia="Times New Roman" w:hAnsi="Times New Roman" w:cs="Times New Roman"/>
          <w:sz w:val="20"/>
          <w:szCs w:val="20"/>
          <w:lang w:val="ro-MD"/>
        </w:rPr>
      </w:pPr>
      <w:r w:rsidRPr="00BB37D9">
        <w:rPr>
          <w:rFonts w:ascii="Times New Roman" w:eastAsia="Times New Roman" w:hAnsi="Times New Roman" w:cs="Times New Roman"/>
          <w:b/>
          <w:bCs/>
          <w:sz w:val="20"/>
          <w:szCs w:val="20"/>
        </w:rPr>
        <w:t xml:space="preserve">la proiectul </w:t>
      </w:r>
      <w:r w:rsidR="00A1498E">
        <w:rPr>
          <w:rFonts w:ascii="Times New Roman" w:eastAsia="Times New Roman" w:hAnsi="Times New Roman" w:cs="Times New Roman"/>
          <w:b/>
          <w:bCs/>
          <w:sz w:val="20"/>
          <w:szCs w:val="20"/>
        </w:rPr>
        <w:t xml:space="preserve">de Hotărâre a Guvernului </w:t>
      </w:r>
      <w:r w:rsidR="00975AA9">
        <w:rPr>
          <w:rFonts w:ascii="Times New Roman" w:eastAsia="Times New Roman" w:hAnsi="Times New Roman" w:cs="Times New Roman"/>
          <w:b/>
          <w:bCs/>
          <w:sz w:val="20"/>
          <w:szCs w:val="20"/>
        </w:rPr>
        <w:t>cu privire la</w:t>
      </w:r>
      <w:r w:rsidR="00A1498E">
        <w:rPr>
          <w:rFonts w:ascii="Times New Roman" w:eastAsia="Times New Roman" w:hAnsi="Times New Roman" w:cs="Times New Roman"/>
          <w:b/>
          <w:bCs/>
          <w:sz w:val="20"/>
          <w:szCs w:val="20"/>
        </w:rPr>
        <w:t xml:space="preserve"> aprobarea proiectului </w:t>
      </w:r>
      <w:r w:rsidRPr="00BB37D9">
        <w:rPr>
          <w:rFonts w:ascii="Times New Roman" w:eastAsia="Times New Roman" w:hAnsi="Times New Roman" w:cs="Times New Roman"/>
          <w:b/>
          <w:bCs/>
          <w:sz w:val="20"/>
          <w:szCs w:val="20"/>
        </w:rPr>
        <w:t>Legii pentru modificarea unor acte legislative (</w:t>
      </w:r>
      <w:r w:rsidR="00975AA9">
        <w:rPr>
          <w:rFonts w:ascii="Times New Roman" w:eastAsia="Times New Roman" w:hAnsi="Times New Roman" w:cs="Times New Roman"/>
          <w:b/>
          <w:bCs/>
          <w:sz w:val="20"/>
          <w:szCs w:val="20"/>
        </w:rPr>
        <w:t>nr</w:t>
      </w:r>
      <w:proofErr w:type="gramStart"/>
      <w:r w:rsidR="00975AA9">
        <w:rPr>
          <w:rFonts w:ascii="Times New Roman" w:eastAsia="Times New Roman" w:hAnsi="Times New Roman" w:cs="Times New Roman"/>
          <w:b/>
          <w:bCs/>
          <w:sz w:val="20"/>
          <w:szCs w:val="20"/>
        </w:rPr>
        <w:t xml:space="preserve">. </w:t>
      </w:r>
      <w:proofErr w:type="gramEnd"/>
      <w:r w:rsidR="00975AA9">
        <w:rPr>
          <w:rFonts w:ascii="Times New Roman" w:eastAsia="Times New Roman" w:hAnsi="Times New Roman" w:cs="Times New Roman"/>
          <w:b/>
          <w:bCs/>
          <w:sz w:val="20"/>
          <w:szCs w:val="20"/>
        </w:rPr>
        <w:t>unic 719/MF/BNM/2019</w:t>
      </w:r>
      <w:r w:rsidRPr="00BB37D9">
        <w:rPr>
          <w:rFonts w:ascii="Times New Roman" w:eastAsia="Times New Roman" w:hAnsi="Times New Roman" w:cs="Times New Roman"/>
          <w:b/>
          <w:bCs/>
          <w:sz w:val="20"/>
          <w:szCs w:val="20"/>
        </w:rPr>
        <w:t>)</w:t>
      </w:r>
    </w:p>
    <w:p w:rsidR="00975AA9" w:rsidRPr="00975AA9" w:rsidRDefault="00975AA9" w:rsidP="00975AA9">
      <w:pPr>
        <w:spacing w:after="0" w:line="240" w:lineRule="auto"/>
        <w:jc w:val="center"/>
        <w:rPr>
          <w:rFonts w:ascii="Times New Roman" w:eastAsia="Times New Roman" w:hAnsi="Times New Roman" w:cs="Times New Roman"/>
          <w:sz w:val="20"/>
          <w:szCs w:val="20"/>
          <w:lang w:val="ro-MD"/>
        </w:rPr>
      </w:pPr>
      <w:bookmarkStart w:id="0" w:name="_GoBack"/>
      <w:bookmarkEnd w:id="0"/>
    </w:p>
    <w:tbl>
      <w:tblPr>
        <w:tblStyle w:val="TableGrid"/>
        <w:tblW w:w="5078" w:type="pct"/>
        <w:tblLook w:val="04A0" w:firstRow="1" w:lastRow="0" w:firstColumn="1" w:lastColumn="0" w:noHBand="0" w:noVBand="1"/>
      </w:tblPr>
      <w:tblGrid>
        <w:gridCol w:w="3489"/>
        <w:gridCol w:w="2264"/>
        <w:gridCol w:w="1372"/>
        <w:gridCol w:w="4162"/>
        <w:gridCol w:w="2996"/>
        <w:gridCol w:w="9"/>
      </w:tblGrid>
      <w:tr w:rsidR="00004102" w:rsidRPr="00252BD5" w:rsidTr="00004102">
        <w:trPr>
          <w:gridAfter w:val="1"/>
          <w:wAfter w:w="3" w:type="pct"/>
        </w:trPr>
        <w:tc>
          <w:tcPr>
            <w:tcW w:w="1221" w:type="pct"/>
          </w:tcPr>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b/>
                <w:bCs/>
                <w:sz w:val="20"/>
                <w:szCs w:val="20"/>
              </w:rPr>
              <w:t>Conţinutul articolelor/</w:t>
            </w:r>
            <w:r w:rsidRPr="00252BD5">
              <w:rPr>
                <w:rFonts w:ascii="Times New Roman" w:hAnsi="Times New Roman" w:cs="Times New Roman"/>
                <w:b/>
                <w:bCs/>
                <w:sz w:val="20"/>
                <w:szCs w:val="20"/>
              </w:rPr>
              <w:br/>
              <w:t>punctelor din proiectul</w:t>
            </w:r>
            <w:r w:rsidRPr="00252BD5">
              <w:rPr>
                <w:rFonts w:ascii="Times New Roman" w:hAnsi="Times New Roman" w:cs="Times New Roman"/>
                <w:b/>
                <w:bCs/>
                <w:sz w:val="20"/>
                <w:szCs w:val="20"/>
              </w:rPr>
              <w:br/>
              <w:t>prezentat spre avizare</w:t>
            </w:r>
            <w:r w:rsidRPr="00252BD5">
              <w:rPr>
                <w:rFonts w:ascii="Times New Roman" w:hAnsi="Times New Roman" w:cs="Times New Roman"/>
                <w:b/>
                <w:bCs/>
                <w:sz w:val="20"/>
                <w:szCs w:val="20"/>
              </w:rPr>
              <w:br/>
            </w:r>
          </w:p>
        </w:tc>
        <w:tc>
          <w:tcPr>
            <w:tcW w:w="792" w:type="pct"/>
          </w:tcPr>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b/>
                <w:bCs/>
                <w:sz w:val="20"/>
                <w:szCs w:val="20"/>
              </w:rPr>
              <w:t>Participantul la avizare</w:t>
            </w:r>
            <w:r w:rsidRPr="00252BD5">
              <w:rPr>
                <w:rFonts w:ascii="Times New Roman" w:hAnsi="Times New Roman" w:cs="Times New Roman"/>
                <w:b/>
                <w:bCs/>
                <w:sz w:val="20"/>
                <w:szCs w:val="20"/>
              </w:rPr>
              <w:br/>
              <w:t>(expertizare)/consultare</w:t>
            </w:r>
            <w:r w:rsidRPr="00252BD5">
              <w:rPr>
                <w:rFonts w:ascii="Times New Roman" w:hAnsi="Times New Roman" w:cs="Times New Roman"/>
                <w:b/>
                <w:bCs/>
                <w:sz w:val="20"/>
                <w:szCs w:val="20"/>
              </w:rPr>
              <w:br/>
              <w:t>publică</w:t>
            </w:r>
            <w:r w:rsidRPr="00252BD5">
              <w:rPr>
                <w:rFonts w:ascii="Times New Roman" w:hAnsi="Times New Roman" w:cs="Times New Roman"/>
                <w:sz w:val="20"/>
                <w:szCs w:val="20"/>
              </w:rPr>
              <w:br/>
            </w:r>
          </w:p>
        </w:tc>
        <w:tc>
          <w:tcPr>
            <w:tcW w:w="480" w:type="pct"/>
          </w:tcPr>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b/>
                <w:bCs/>
                <w:sz w:val="20"/>
                <w:szCs w:val="20"/>
              </w:rPr>
              <w:t>Nr. obiecţiei/</w:t>
            </w:r>
            <w:r w:rsidRPr="00252BD5">
              <w:rPr>
                <w:rFonts w:ascii="Times New Roman" w:hAnsi="Times New Roman" w:cs="Times New Roman"/>
                <w:b/>
                <w:bCs/>
                <w:sz w:val="20"/>
                <w:szCs w:val="20"/>
              </w:rPr>
              <w:br/>
              <w:t>propunerii/</w:t>
            </w:r>
            <w:r w:rsidRPr="00252BD5">
              <w:rPr>
                <w:rFonts w:ascii="Times New Roman" w:hAnsi="Times New Roman" w:cs="Times New Roman"/>
                <w:b/>
                <w:bCs/>
                <w:sz w:val="20"/>
                <w:szCs w:val="20"/>
              </w:rPr>
              <w:br/>
              <w:t>recomandării</w:t>
            </w:r>
            <w:r w:rsidRPr="00252BD5">
              <w:rPr>
                <w:rFonts w:ascii="Times New Roman" w:hAnsi="Times New Roman" w:cs="Times New Roman"/>
                <w:sz w:val="20"/>
                <w:szCs w:val="20"/>
              </w:rPr>
              <w:br/>
            </w:r>
          </w:p>
        </w:tc>
        <w:tc>
          <w:tcPr>
            <w:tcW w:w="1456" w:type="pct"/>
          </w:tcPr>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b/>
                <w:bCs/>
                <w:sz w:val="20"/>
                <w:szCs w:val="20"/>
              </w:rPr>
              <w:t>Conţinutul</w:t>
            </w:r>
            <w:r w:rsidRPr="00252BD5">
              <w:rPr>
                <w:rFonts w:ascii="Times New Roman" w:hAnsi="Times New Roman" w:cs="Times New Roman"/>
                <w:b/>
                <w:bCs/>
                <w:sz w:val="20"/>
                <w:szCs w:val="20"/>
              </w:rPr>
              <w:br/>
              <w:t>obiecţiei/</w:t>
            </w:r>
            <w:r w:rsidRPr="00252BD5">
              <w:rPr>
                <w:rFonts w:ascii="Times New Roman" w:hAnsi="Times New Roman" w:cs="Times New Roman"/>
                <w:b/>
                <w:bCs/>
                <w:sz w:val="20"/>
                <w:szCs w:val="20"/>
              </w:rPr>
              <w:br/>
              <w:t>propunerii/</w:t>
            </w:r>
            <w:r w:rsidRPr="00252BD5">
              <w:rPr>
                <w:rFonts w:ascii="Times New Roman" w:hAnsi="Times New Roman" w:cs="Times New Roman"/>
                <w:b/>
                <w:bCs/>
                <w:sz w:val="20"/>
                <w:szCs w:val="20"/>
              </w:rPr>
              <w:br/>
              <w:t>recomandării</w:t>
            </w:r>
            <w:r w:rsidRPr="00252BD5">
              <w:rPr>
                <w:rFonts w:ascii="Times New Roman" w:hAnsi="Times New Roman" w:cs="Times New Roman"/>
                <w:sz w:val="20"/>
                <w:szCs w:val="20"/>
              </w:rPr>
              <w:br/>
            </w:r>
          </w:p>
        </w:tc>
        <w:tc>
          <w:tcPr>
            <w:tcW w:w="1048" w:type="pct"/>
          </w:tcPr>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b/>
                <w:bCs/>
                <w:sz w:val="20"/>
                <w:szCs w:val="20"/>
              </w:rPr>
              <w:t>Argumentarea</w:t>
            </w:r>
            <w:r w:rsidRPr="00252BD5">
              <w:rPr>
                <w:rFonts w:ascii="Times New Roman" w:hAnsi="Times New Roman" w:cs="Times New Roman"/>
                <w:b/>
                <w:bCs/>
                <w:sz w:val="20"/>
                <w:szCs w:val="20"/>
              </w:rPr>
              <w:br/>
              <w:t>autorului</w:t>
            </w:r>
            <w:r w:rsidRPr="00252BD5">
              <w:rPr>
                <w:rFonts w:ascii="Times New Roman" w:hAnsi="Times New Roman" w:cs="Times New Roman"/>
                <w:b/>
                <w:bCs/>
                <w:sz w:val="20"/>
                <w:szCs w:val="20"/>
              </w:rPr>
              <w:br/>
              <w:t>proiectului</w:t>
            </w:r>
            <w:r w:rsidRPr="00252BD5">
              <w:rPr>
                <w:rFonts w:ascii="Times New Roman" w:hAnsi="Times New Roman" w:cs="Times New Roman"/>
                <w:sz w:val="20"/>
                <w:szCs w:val="20"/>
              </w:rPr>
              <w:br/>
            </w:r>
          </w:p>
        </w:tc>
      </w:tr>
      <w:tr w:rsidR="00004102" w:rsidRPr="00252BD5" w:rsidTr="00004102">
        <w:tc>
          <w:tcPr>
            <w:tcW w:w="5000" w:type="pct"/>
            <w:gridSpan w:val="6"/>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Obiec</w:t>
            </w:r>
            <w:r w:rsidRPr="00252BD5">
              <w:rPr>
                <w:rFonts w:ascii="Times New Roman" w:hAnsi="Times New Roman" w:cs="Times New Roman"/>
                <w:b/>
                <w:sz w:val="20"/>
                <w:szCs w:val="20"/>
                <w:lang w:val="ro-MD"/>
              </w:rPr>
              <w:t>ții și propuneri de ordin general</w:t>
            </w:r>
          </w:p>
          <w:p w:rsidR="00004102" w:rsidRPr="00252BD5" w:rsidRDefault="00004102" w:rsidP="00252BD5">
            <w:pPr>
              <w:pStyle w:val="NoSpacing"/>
              <w:rPr>
                <w:rFonts w:ascii="Times New Roman" w:hAnsi="Times New Roman" w:cs="Times New Roman"/>
                <w:b/>
                <w:sz w:val="20"/>
                <w:szCs w:val="20"/>
              </w:rPr>
            </w:pPr>
          </w:p>
        </w:tc>
      </w:tr>
      <w:tr w:rsidR="00004102" w:rsidRPr="00252BD5" w:rsidTr="00004102">
        <w:trPr>
          <w:gridAfter w:val="1"/>
          <w:wAfter w:w="3" w:type="pct"/>
        </w:trPr>
        <w:tc>
          <w:tcPr>
            <w:tcW w:w="1221" w:type="pct"/>
          </w:tcPr>
          <w:p w:rsidR="00004102" w:rsidRPr="00252BD5" w:rsidRDefault="00004102" w:rsidP="00252BD5">
            <w:pPr>
              <w:pStyle w:val="NoSpacing"/>
              <w:jc w:val="center"/>
              <w:rPr>
                <w:rFonts w:ascii="Times New Roman" w:hAnsi="Times New Roman" w:cs="Times New Roman"/>
                <w:b/>
                <w:sz w:val="20"/>
                <w:szCs w:val="20"/>
              </w:rPr>
            </w:pPr>
            <w:r w:rsidRPr="00252BD5">
              <w:rPr>
                <w:rFonts w:ascii="Times New Roman" w:hAnsi="Times New Roman" w:cs="Times New Roman"/>
                <w:b/>
                <w:sz w:val="20"/>
                <w:szCs w:val="20"/>
              </w:rPr>
              <w:t>GUVERNUL REPUBLICII MOLDOVA</w:t>
            </w:r>
          </w:p>
          <w:p w:rsidR="00004102" w:rsidRPr="00252BD5" w:rsidRDefault="00004102" w:rsidP="00252BD5">
            <w:pPr>
              <w:pStyle w:val="NoSpacing"/>
              <w:jc w:val="center"/>
              <w:rPr>
                <w:rFonts w:ascii="Times New Roman" w:hAnsi="Times New Roman" w:cs="Times New Roman"/>
                <w:sz w:val="20"/>
                <w:szCs w:val="20"/>
              </w:rPr>
            </w:pPr>
            <w:r w:rsidRPr="00252BD5">
              <w:rPr>
                <w:rFonts w:ascii="Times New Roman" w:hAnsi="Times New Roman" w:cs="Times New Roman"/>
                <w:sz w:val="20"/>
                <w:szCs w:val="20"/>
              </w:rPr>
              <w:t xml:space="preserve">HOTARÂRE </w:t>
            </w:r>
            <w:proofErr w:type="gramStart"/>
            <w:r w:rsidRPr="00252BD5">
              <w:rPr>
                <w:rFonts w:ascii="Times New Roman" w:hAnsi="Times New Roman" w:cs="Times New Roman"/>
                <w:sz w:val="20"/>
                <w:szCs w:val="20"/>
              </w:rPr>
              <w:t>nr._</w:t>
            </w:r>
            <w:proofErr w:type="gramEnd"/>
            <w:r w:rsidRPr="00252BD5">
              <w:rPr>
                <w:rFonts w:ascii="Times New Roman" w:hAnsi="Times New Roman" w:cs="Times New Roman"/>
                <w:sz w:val="20"/>
                <w:szCs w:val="20"/>
              </w:rPr>
              <w:t>__</w:t>
            </w:r>
          </w:p>
          <w:p w:rsidR="00004102" w:rsidRPr="00252BD5" w:rsidRDefault="00004102" w:rsidP="00252BD5">
            <w:pPr>
              <w:pStyle w:val="NoSpacing"/>
              <w:jc w:val="center"/>
              <w:rPr>
                <w:rFonts w:ascii="Times New Roman" w:hAnsi="Times New Roman" w:cs="Times New Roman"/>
                <w:sz w:val="20"/>
                <w:szCs w:val="20"/>
              </w:rPr>
            </w:pPr>
            <w:r w:rsidRPr="00252BD5">
              <w:rPr>
                <w:rFonts w:ascii="Times New Roman" w:hAnsi="Times New Roman" w:cs="Times New Roman"/>
                <w:sz w:val="20"/>
                <w:szCs w:val="20"/>
              </w:rPr>
              <w:t>din ________</w:t>
            </w:r>
          </w:p>
          <w:p w:rsidR="00004102" w:rsidRPr="00252BD5" w:rsidRDefault="00004102" w:rsidP="00252BD5">
            <w:pPr>
              <w:pStyle w:val="NoSpacing"/>
              <w:jc w:val="center"/>
              <w:rPr>
                <w:rFonts w:ascii="Times New Roman" w:hAnsi="Times New Roman" w:cs="Times New Roman"/>
                <w:sz w:val="20"/>
                <w:szCs w:val="20"/>
              </w:rPr>
            </w:pPr>
            <w:r w:rsidRPr="00252BD5">
              <w:rPr>
                <w:rFonts w:ascii="Times New Roman" w:hAnsi="Times New Roman" w:cs="Times New Roman"/>
                <w:sz w:val="20"/>
                <w:szCs w:val="20"/>
              </w:rPr>
              <w:t>Chișinău</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 xml:space="preserve">pentru aprobarea proiectului de Lege pentru modificarea unor acte legislative </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 xml:space="preserve">Guvernul </w:t>
            </w:r>
          </w:p>
          <w:p w:rsidR="00004102" w:rsidRPr="00252BD5" w:rsidRDefault="00004102" w:rsidP="00252BD5">
            <w:pPr>
              <w:pStyle w:val="NoSpacing"/>
              <w:jc w:val="center"/>
              <w:rPr>
                <w:rFonts w:ascii="Times New Roman" w:hAnsi="Times New Roman" w:cs="Times New Roman"/>
                <w:sz w:val="20"/>
                <w:szCs w:val="20"/>
              </w:rPr>
            </w:pPr>
            <w:r w:rsidRPr="00252BD5">
              <w:rPr>
                <w:rFonts w:ascii="Times New Roman" w:hAnsi="Times New Roman" w:cs="Times New Roman"/>
                <w:b/>
                <w:sz w:val="20"/>
                <w:szCs w:val="20"/>
              </w:rPr>
              <w:t>HOTARĂȘTE</w:t>
            </w:r>
            <w:r w:rsidRPr="00252BD5">
              <w:rPr>
                <w:rFonts w:ascii="Times New Roman" w:hAnsi="Times New Roman" w:cs="Times New Roman"/>
                <w:sz w:val="20"/>
                <w:szCs w:val="20"/>
              </w:rPr>
              <w:t>:</w:t>
            </w:r>
          </w:p>
          <w:p w:rsidR="00004102"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Se aprobă proiectul de Lege pentru modificarea unor acte legislative.</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 xml:space="preserve"> </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 xml:space="preserve">PRIM-MINISTRU                  Ion CHICU </w:t>
            </w:r>
          </w:p>
          <w:p w:rsidR="00004102" w:rsidRDefault="00004102" w:rsidP="00252BD5">
            <w:pPr>
              <w:pStyle w:val="NoSpacing"/>
              <w:rPr>
                <w:rFonts w:ascii="Times New Roman" w:hAnsi="Times New Roman" w:cs="Times New Roman"/>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Contrasemnează</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Vice prim-ministru,</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Ministru al finantelor</w:t>
            </w:r>
            <w:r>
              <w:rPr>
                <w:rFonts w:ascii="Times New Roman" w:hAnsi="Times New Roman" w:cs="Times New Roman"/>
                <w:sz w:val="20"/>
                <w:szCs w:val="20"/>
              </w:rPr>
              <w:t xml:space="preserve"> </w:t>
            </w:r>
            <w:r w:rsidRPr="00252BD5">
              <w:rPr>
                <w:rFonts w:ascii="Times New Roman" w:hAnsi="Times New Roman" w:cs="Times New Roman"/>
                <w:sz w:val="20"/>
                <w:szCs w:val="20"/>
              </w:rPr>
              <w:t xml:space="preserve">  Serghei PUȘCUTA </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Ministrul justiț</w:t>
            </w:r>
            <w:r>
              <w:rPr>
                <w:rFonts w:ascii="Times New Roman" w:hAnsi="Times New Roman" w:cs="Times New Roman"/>
                <w:sz w:val="20"/>
                <w:szCs w:val="20"/>
              </w:rPr>
              <w:t>iei</w:t>
            </w:r>
            <w:r w:rsidRPr="00252BD5">
              <w:rPr>
                <w:rFonts w:ascii="Times New Roman" w:hAnsi="Times New Roman" w:cs="Times New Roman"/>
                <w:sz w:val="20"/>
                <w:szCs w:val="20"/>
              </w:rPr>
              <w:t xml:space="preserve">   Fadei NAGACEVSCHI</w:t>
            </w: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Ministerul Justiției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nr.04/121371 din 17.12.2019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252BD5">
            <w:pPr>
              <w:pStyle w:val="NoSpacing"/>
              <w:jc w:val="both"/>
              <w:rPr>
                <w:rFonts w:ascii="Times New Roman" w:eastAsia="Lucida Sans Unicode" w:hAnsi="Times New Roman" w:cs="Times New Roman"/>
                <w:kern w:val="1"/>
                <w:sz w:val="20"/>
                <w:szCs w:val="20"/>
                <w:lang w:eastAsia="ar-SA"/>
              </w:rPr>
            </w:pPr>
            <w:r w:rsidRPr="00252BD5">
              <w:rPr>
                <w:rFonts w:ascii="Times New Roman" w:eastAsia="Lucida Sans Unicode" w:hAnsi="Times New Roman" w:cs="Times New Roman"/>
                <w:kern w:val="1"/>
                <w:sz w:val="20"/>
                <w:szCs w:val="20"/>
                <w:lang w:eastAsia="ar-SA"/>
              </w:rPr>
              <w:t xml:space="preserve">La formula de atestare a autenticității actului normativ menționăm că, Viceprim-miniștrii reprezintă o funcție în Guvern, instituită pentru coordonarea anumitor domenii ale politicii Guvernului, coordonarea activității miniștrilor și </w:t>
            </w:r>
            <w:proofErr w:type="gramStart"/>
            <w:r w:rsidRPr="00252BD5">
              <w:rPr>
                <w:rFonts w:ascii="Times New Roman" w:eastAsia="Lucida Sans Unicode" w:hAnsi="Times New Roman" w:cs="Times New Roman"/>
                <w:kern w:val="1"/>
                <w:sz w:val="20"/>
                <w:szCs w:val="20"/>
                <w:lang w:eastAsia="ar-SA"/>
              </w:rPr>
              <w:t>a  ministerelor</w:t>
            </w:r>
            <w:proofErr w:type="gramEnd"/>
            <w:r w:rsidRPr="00252BD5">
              <w:rPr>
                <w:rFonts w:ascii="Times New Roman" w:eastAsia="Lucida Sans Unicode" w:hAnsi="Times New Roman" w:cs="Times New Roman"/>
                <w:kern w:val="1"/>
                <w:sz w:val="20"/>
                <w:szCs w:val="20"/>
                <w:lang w:eastAsia="ar-SA"/>
              </w:rPr>
              <w:t xml:space="preserve">, a altor autorități administrative centrale subordonate Guvernului în  domeniile de activitate date în competență, în conformitate cu art. 25 alin. (2) din </w:t>
            </w:r>
            <w:r w:rsidRPr="00252BD5">
              <w:rPr>
                <w:rFonts w:ascii="Times New Roman" w:eastAsia="Lucida Sans Unicode" w:hAnsi="Times New Roman" w:cs="Times New Roman"/>
                <w:i/>
                <w:iCs/>
                <w:kern w:val="1"/>
                <w:sz w:val="20"/>
                <w:szCs w:val="20"/>
                <w:lang w:eastAsia="ar-SA"/>
              </w:rPr>
              <w:t>Legea nr. 136/2017 cu privire la Guvern</w:t>
            </w:r>
            <w:r w:rsidRPr="00252BD5">
              <w:rPr>
                <w:rFonts w:ascii="Times New Roman" w:eastAsia="Lucida Sans Unicode" w:hAnsi="Times New Roman" w:cs="Times New Roman"/>
                <w:kern w:val="1"/>
                <w:sz w:val="20"/>
                <w:szCs w:val="20"/>
                <w:lang w:eastAsia="ar-SA"/>
              </w:rPr>
              <w:t xml:space="preserve">, și care nu este instituită pentru conducerea unui minister concret. Astfel, în procedura de contrasemnare a hotărîrilor Guvernului, în temeiul dispozițiilor legale menționate mai sus, miniștrii care potrivit structurii generale a Guvernului dețin concomitent și funcția de viceprim-ministru, contrasemnează hotărîrile Guvernului în virtutea funcției de ministru. În acest context din proiectul hotărîrii se va exclude referința la funcția de viceprim-ministru. </w:t>
            </w:r>
          </w:p>
        </w:tc>
        <w:tc>
          <w:tcPr>
            <w:tcW w:w="1048"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Se acceptă.</w:t>
            </w:r>
          </w:p>
        </w:tc>
      </w:tr>
      <w:tr w:rsidR="00004102" w:rsidRPr="00252BD5" w:rsidTr="00004102">
        <w:trPr>
          <w:gridAfter w:val="1"/>
          <w:wAfter w:w="3" w:type="pct"/>
        </w:trPr>
        <w:tc>
          <w:tcPr>
            <w:tcW w:w="1221" w:type="pct"/>
          </w:tcPr>
          <w:p w:rsidR="00004102" w:rsidRPr="00252BD5" w:rsidRDefault="00004102" w:rsidP="00252BD5">
            <w:pPr>
              <w:pStyle w:val="NoSpacing"/>
              <w:rPr>
                <w:rFonts w:ascii="Times New Roman" w:hAnsi="Times New Roman" w:cs="Times New Roman"/>
                <w:b/>
                <w:sz w:val="20"/>
                <w:szCs w:val="20"/>
              </w:rPr>
            </w:pP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Centrul Național pentru Protecția Datelor cu Caracter Personal</w:t>
            </w:r>
          </w:p>
          <w:p w:rsidR="00004102" w:rsidRPr="00252BD5" w:rsidRDefault="00004102" w:rsidP="00252BD5">
            <w:pPr>
              <w:pStyle w:val="NoSpacing"/>
              <w:rPr>
                <w:rFonts w:ascii="Times New Roman" w:hAnsi="Times New Roman" w:cs="Times New Roman"/>
                <w:b/>
                <w:sz w:val="20"/>
                <w:szCs w:val="20"/>
              </w:rPr>
            </w:pPr>
          </w:p>
          <w:p w:rsidR="00004102"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nr.04-01/133 din 16.01.2020</w:t>
            </w:r>
          </w:p>
          <w:p w:rsidR="00004102" w:rsidRDefault="00004102" w:rsidP="00252BD5">
            <w:pPr>
              <w:pStyle w:val="NoSpacing"/>
              <w:rPr>
                <w:rFonts w:ascii="Times New Roman" w:hAnsi="Times New Roman" w:cs="Times New Roman"/>
                <w:sz w:val="20"/>
                <w:szCs w:val="20"/>
              </w:rPr>
            </w:pPr>
            <w:r>
              <w:rPr>
                <w:rFonts w:ascii="Times New Roman" w:hAnsi="Times New Roman" w:cs="Times New Roman"/>
                <w:sz w:val="20"/>
                <w:szCs w:val="20"/>
              </w:rPr>
              <w:t>Aviz nr.04-01/133 din 10 februarie 2020</w:t>
            </w:r>
          </w:p>
          <w:p w:rsidR="00004102" w:rsidRDefault="00004102" w:rsidP="00252BD5">
            <w:pPr>
              <w:pStyle w:val="NoSpacing"/>
              <w:rPr>
                <w:rFonts w:ascii="Times New Roman" w:hAnsi="Times New Roman" w:cs="Times New Roman"/>
                <w:sz w:val="20"/>
                <w:szCs w:val="20"/>
              </w:rPr>
            </w:pPr>
          </w:p>
          <w:p w:rsidR="00004102" w:rsidRPr="00252BD5" w:rsidRDefault="00004102" w:rsidP="00252BD5">
            <w:pPr>
              <w:pStyle w:val="NoSpacing"/>
              <w:rPr>
                <w:rFonts w:ascii="Times New Roman" w:hAnsi="Times New Roman" w:cs="Times New Roman"/>
                <w:sz w:val="20"/>
                <w:szCs w:val="20"/>
              </w:rPr>
            </w:pPr>
            <w:r>
              <w:rPr>
                <w:rFonts w:ascii="Times New Roman" w:hAnsi="Times New Roman" w:cs="Times New Roman"/>
                <w:sz w:val="20"/>
                <w:szCs w:val="20"/>
              </w:rPr>
              <w:t>Divergențele au fost soluționate în cadrul ședinței din 14 februarie 2020 (conform procesului-verbal)</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eastAsia="Lucida Sans Unicode" w:hAnsi="Times New Roman" w:cs="Times New Roman"/>
                <w:kern w:val="1"/>
                <w:sz w:val="20"/>
                <w:szCs w:val="20"/>
                <w:lang w:eastAsia="ar-SA"/>
              </w:rPr>
            </w:pPr>
            <w:r w:rsidRPr="00252BD5">
              <w:rPr>
                <w:rFonts w:ascii="Times New Roman" w:eastAsia="Lucida Sans Unicode" w:hAnsi="Times New Roman" w:cs="Times New Roman"/>
                <w:kern w:val="1"/>
                <w:sz w:val="20"/>
                <w:szCs w:val="20"/>
                <w:lang w:eastAsia="ar-SA"/>
              </w:rPr>
              <w:t>În vederea ajustării cadrului legal la principiile de protecție a datelor cu caracter personal, CNPDCP propune suplimentar modificarea Legii nr.548-XIII din 21.06.1995 cu privire la Banca Nțaională, după cum urmează:</w:t>
            </w:r>
          </w:p>
          <w:p w:rsidR="00004102" w:rsidRPr="00252BD5" w:rsidRDefault="00004102" w:rsidP="00004102">
            <w:pPr>
              <w:pStyle w:val="NoSpacing"/>
              <w:jc w:val="both"/>
              <w:rPr>
                <w:rFonts w:ascii="Times New Roman" w:eastAsia="Lucida Sans Unicode" w:hAnsi="Times New Roman" w:cs="Times New Roman"/>
                <w:kern w:val="1"/>
                <w:sz w:val="20"/>
                <w:szCs w:val="20"/>
                <w:lang w:eastAsia="ar-SA"/>
              </w:rPr>
            </w:pPr>
            <w:r w:rsidRPr="00252BD5">
              <w:rPr>
                <w:rFonts w:ascii="Times New Roman" w:eastAsia="Lucida Sans Unicode" w:hAnsi="Times New Roman" w:cs="Times New Roman"/>
                <w:kern w:val="1"/>
                <w:sz w:val="20"/>
                <w:szCs w:val="20"/>
                <w:lang w:eastAsia="ar-SA"/>
              </w:rPr>
              <w:t xml:space="preserve">Articolul 5 al acestei legi include anumite elemente de garanții pentru prelucrarea datelor cu caracter personal. Alineatul (3) prevede interzicerea completă a dreptului de a se opune </w:t>
            </w:r>
            <w:r w:rsidRPr="00252BD5">
              <w:rPr>
                <w:rFonts w:ascii="Times New Roman" w:eastAsia="Lucida Sans Unicode" w:hAnsi="Times New Roman" w:cs="Times New Roman"/>
                <w:kern w:val="1"/>
                <w:sz w:val="20"/>
                <w:szCs w:val="20"/>
                <w:lang w:eastAsia="ar-SA"/>
              </w:rPr>
              <w:lastRenderedPageBreak/>
              <w:t>prelucrării datelor cu caracter personal. O asemenea interdicție este în contradicție cu prevederile Legii nr.133 din 08 iulie 2011 privind protecția datelor cu character personal și art.28 al Constituției Republicii Moldova, potrivit căreia statul respect și ocrotește viața intimă, familială și privată.</w:t>
            </w:r>
          </w:p>
          <w:p w:rsidR="00004102" w:rsidRPr="00252BD5" w:rsidRDefault="00004102" w:rsidP="00004102">
            <w:pPr>
              <w:pStyle w:val="NoSpacing"/>
              <w:jc w:val="both"/>
              <w:rPr>
                <w:rFonts w:ascii="Times New Roman" w:eastAsia="Lucida Sans Unicode" w:hAnsi="Times New Roman" w:cs="Times New Roman"/>
                <w:kern w:val="1"/>
                <w:sz w:val="20"/>
                <w:szCs w:val="20"/>
                <w:lang w:eastAsia="ar-SA"/>
              </w:rPr>
            </w:pPr>
            <w:r w:rsidRPr="00252BD5">
              <w:rPr>
                <w:rFonts w:ascii="Times New Roman" w:eastAsia="Lucida Sans Unicode" w:hAnsi="Times New Roman" w:cs="Times New Roman"/>
                <w:kern w:val="1"/>
                <w:sz w:val="20"/>
                <w:szCs w:val="20"/>
                <w:lang w:eastAsia="ar-SA"/>
              </w:rPr>
              <w:t>Astfel, atât Legea nr.133/2011, cât și GDPR (General Data Protection Regulation – Regulamentul (UE) 2016/679 al Parla,mentului European și al Consiliului din 27 aprilie 2016 privind protecția persoanelor fizice în ceea c eprivește prelucrarea datelor cu acracter personal și privind libera circulație a acestor date și de abrogare a Directivei 95/46/CE) recunoaște dreptul subiecților de a se opune prelucrării datelor cu caracter personal în unele circumstanțe, inclusiv în cazurile în care prelucrarea se efectuează în cadrul unei sarcini îndeplinite în interes public. În conformitate cu art.16 al Legii privind protecția datelor cu character personal, Legea nr.548/1995 poate stipula excepții la acest drept, însă astfel de excepții nu trebuie să fie abuzive și să prejudicieze drepturile și libertățile fundamentale ale persoanei fizice.</w:t>
            </w:r>
          </w:p>
          <w:p w:rsidR="00004102" w:rsidRPr="00252BD5" w:rsidRDefault="00004102" w:rsidP="00004102">
            <w:pPr>
              <w:pStyle w:val="NoSpacing"/>
              <w:jc w:val="both"/>
              <w:rPr>
                <w:rFonts w:ascii="Times New Roman" w:eastAsia="Lucida Sans Unicode" w:hAnsi="Times New Roman" w:cs="Times New Roman"/>
                <w:kern w:val="1"/>
                <w:sz w:val="20"/>
                <w:szCs w:val="20"/>
                <w:lang w:eastAsia="ar-SA"/>
              </w:rPr>
            </w:pPr>
            <w:r w:rsidRPr="00252BD5">
              <w:rPr>
                <w:rFonts w:ascii="Times New Roman" w:eastAsia="Lucida Sans Unicode" w:hAnsi="Times New Roman" w:cs="Times New Roman"/>
                <w:kern w:val="1"/>
                <w:sz w:val="20"/>
                <w:szCs w:val="20"/>
                <w:lang w:eastAsia="ar-SA"/>
              </w:rPr>
              <w:t xml:space="preserve">Astfel, art.5 al Legii nr.548/1995, nu prevede nici o limită pentru această interdicție. Prin urmare, art.5 </w:t>
            </w:r>
            <w:proofErr w:type="gramStart"/>
            <w:r w:rsidRPr="00252BD5">
              <w:rPr>
                <w:rFonts w:ascii="Times New Roman" w:eastAsia="Lucida Sans Unicode" w:hAnsi="Times New Roman" w:cs="Times New Roman"/>
                <w:kern w:val="1"/>
                <w:sz w:val="20"/>
                <w:szCs w:val="20"/>
                <w:lang w:eastAsia="ar-SA"/>
              </w:rPr>
              <w:t>alin.(</w:t>
            </w:r>
            <w:proofErr w:type="gramEnd"/>
            <w:r w:rsidRPr="00252BD5">
              <w:rPr>
                <w:rFonts w:ascii="Times New Roman" w:eastAsia="Lucida Sans Unicode" w:hAnsi="Times New Roman" w:cs="Times New Roman"/>
                <w:kern w:val="1"/>
                <w:sz w:val="20"/>
                <w:szCs w:val="20"/>
                <w:lang w:eastAsia="ar-SA"/>
              </w:rPr>
              <w:t xml:space="preserve">3) trebuie amendat pentru excluderea interzicerii dreptului de a se opune prelucrării datelor de către BNM. În baza celor expuse mai sus, propunem redactarea </w:t>
            </w:r>
            <w:proofErr w:type="gramStart"/>
            <w:r w:rsidRPr="00252BD5">
              <w:rPr>
                <w:rFonts w:ascii="Times New Roman" w:eastAsia="Lucida Sans Unicode" w:hAnsi="Times New Roman" w:cs="Times New Roman"/>
                <w:kern w:val="1"/>
                <w:sz w:val="20"/>
                <w:szCs w:val="20"/>
                <w:lang w:eastAsia="ar-SA"/>
              </w:rPr>
              <w:t>alin.(</w:t>
            </w:r>
            <w:proofErr w:type="gramEnd"/>
            <w:r w:rsidRPr="00252BD5">
              <w:rPr>
                <w:rFonts w:ascii="Times New Roman" w:eastAsia="Lucida Sans Unicode" w:hAnsi="Times New Roman" w:cs="Times New Roman"/>
                <w:kern w:val="1"/>
                <w:sz w:val="20"/>
                <w:szCs w:val="20"/>
                <w:lang w:eastAsia="ar-SA"/>
              </w:rPr>
              <w:t xml:space="preserve">3) al art.5, după cum urmează: </w:t>
            </w:r>
            <w:r w:rsidRPr="00252BD5">
              <w:rPr>
                <w:rFonts w:ascii="Times New Roman" w:eastAsia="Lucida Sans Unicode" w:hAnsi="Times New Roman" w:cs="Times New Roman"/>
                <w:b/>
                <w:kern w:val="1"/>
                <w:sz w:val="20"/>
                <w:szCs w:val="20"/>
                <w:lang w:eastAsia="ar-SA"/>
              </w:rPr>
              <w:t>(3)</w:t>
            </w:r>
            <w:r w:rsidRPr="00252BD5">
              <w:rPr>
                <w:rFonts w:ascii="Times New Roman" w:eastAsia="Lucida Sans Unicode" w:hAnsi="Times New Roman" w:cs="Times New Roman"/>
                <w:kern w:val="1"/>
                <w:sz w:val="20"/>
                <w:szCs w:val="20"/>
                <w:lang w:eastAsia="ar-SA"/>
              </w:rPr>
              <w:t xml:space="preserve"> </w:t>
            </w:r>
            <w:r w:rsidRPr="00252BD5">
              <w:rPr>
                <w:rFonts w:ascii="Times New Roman" w:eastAsia="Lucida Sans Unicode" w:hAnsi="Times New Roman" w:cs="Times New Roman"/>
                <w:b/>
                <w:kern w:val="1"/>
                <w:sz w:val="20"/>
                <w:szCs w:val="20"/>
                <w:lang w:eastAsia="ar-SA"/>
              </w:rPr>
              <w:t>Prelucrarea datelor cu caracter personal în scopul exercitării atribuțiilor Băncii Naționale a Moldovei va fi efectuată cu respectarea prevederilor Legii privind protecția datelor cu caracter persona</w:t>
            </w:r>
            <w:r w:rsidRPr="00252BD5">
              <w:rPr>
                <w:rFonts w:ascii="Times New Roman" w:eastAsia="Lucida Sans Unicode" w:hAnsi="Times New Roman" w:cs="Times New Roman"/>
                <w:kern w:val="1"/>
                <w:sz w:val="20"/>
                <w:szCs w:val="20"/>
                <w:lang w:eastAsia="ar-SA"/>
              </w:rPr>
              <w:t>l.</w:t>
            </w:r>
          </w:p>
          <w:p w:rsidR="00004102" w:rsidRPr="00252BD5" w:rsidRDefault="00004102" w:rsidP="00004102">
            <w:pPr>
              <w:pStyle w:val="NoSpacing"/>
              <w:jc w:val="both"/>
              <w:rPr>
                <w:rFonts w:ascii="Times New Roman" w:eastAsia="Lucida Sans Unicode" w:hAnsi="Times New Roman" w:cs="Times New Roman"/>
                <w:kern w:val="1"/>
                <w:sz w:val="20"/>
                <w:szCs w:val="20"/>
                <w:lang w:eastAsia="ar-SA"/>
              </w:rPr>
            </w:pPr>
            <w:r w:rsidRPr="00252BD5">
              <w:rPr>
                <w:rFonts w:ascii="Times New Roman" w:eastAsia="Lucida Sans Unicode" w:hAnsi="Times New Roman" w:cs="Times New Roman"/>
                <w:kern w:val="1"/>
                <w:sz w:val="20"/>
                <w:szCs w:val="20"/>
                <w:lang w:eastAsia="ar-SA"/>
              </w:rPr>
              <w:t>În această ordine de idei, având în vedere cele expuse supra, considerăm necesară ajustarea proiectului și prezentarea spre avizare repetată.</w:t>
            </w:r>
          </w:p>
        </w:tc>
        <w:tc>
          <w:tcPr>
            <w:tcW w:w="1048" w:type="pct"/>
            <w:shd w:val="clear" w:color="auto" w:fill="auto"/>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lastRenderedPageBreak/>
              <w:t>Nu se acceptă.</w:t>
            </w:r>
          </w:p>
          <w:p w:rsidR="00004102" w:rsidRPr="00252BD5" w:rsidRDefault="00004102" w:rsidP="00252BD5">
            <w:pPr>
              <w:pStyle w:val="NoSpacing"/>
              <w:jc w:val="both"/>
              <w:rPr>
                <w:rFonts w:ascii="Times New Roman" w:hAnsi="Times New Roman" w:cs="Times New Roman"/>
                <w:sz w:val="20"/>
                <w:szCs w:val="20"/>
                <w:lang w:val="ro-MD"/>
              </w:rPr>
            </w:pPr>
            <w:r w:rsidRPr="00252BD5">
              <w:rPr>
                <w:rFonts w:ascii="Times New Roman" w:hAnsi="Times New Roman" w:cs="Times New Roman"/>
                <w:sz w:val="20"/>
                <w:szCs w:val="20"/>
              </w:rPr>
              <w:t>Prevederea propus</w:t>
            </w:r>
            <w:r w:rsidRPr="00252BD5">
              <w:rPr>
                <w:rFonts w:ascii="Times New Roman" w:hAnsi="Times New Roman" w:cs="Times New Roman"/>
                <w:sz w:val="20"/>
                <w:szCs w:val="20"/>
                <w:lang w:val="ro-MD"/>
              </w:rPr>
              <w:t xml:space="preserve">ă pentru </w:t>
            </w:r>
            <w:proofErr w:type="gramStart"/>
            <w:r w:rsidRPr="00252BD5">
              <w:rPr>
                <w:rFonts w:ascii="Times New Roman" w:hAnsi="Times New Roman" w:cs="Times New Roman"/>
                <w:sz w:val="20"/>
                <w:szCs w:val="20"/>
                <w:lang w:val="ro-MD"/>
              </w:rPr>
              <w:t>alin.(</w:t>
            </w:r>
            <w:proofErr w:type="gramEnd"/>
            <w:r w:rsidRPr="00252BD5">
              <w:rPr>
                <w:rFonts w:ascii="Times New Roman" w:hAnsi="Times New Roman" w:cs="Times New Roman"/>
                <w:sz w:val="20"/>
                <w:szCs w:val="20"/>
                <w:lang w:val="ro-MD"/>
              </w:rPr>
              <w:t>3) al art.5 din Legea nr.548/1995 se regăsește deja la alin.(4) al aceluiași articol.</w:t>
            </w:r>
          </w:p>
          <w:p w:rsidR="00004102" w:rsidRPr="00252BD5" w:rsidRDefault="00004102" w:rsidP="00252BD5">
            <w:pPr>
              <w:pStyle w:val="NoSpacing"/>
              <w:jc w:val="both"/>
              <w:rPr>
                <w:rFonts w:ascii="Times New Roman" w:hAnsi="Times New Roman" w:cs="Times New Roman"/>
                <w:sz w:val="20"/>
                <w:szCs w:val="20"/>
                <w:lang w:val="ro-MD"/>
              </w:rPr>
            </w:pPr>
            <w:r w:rsidRPr="00252BD5">
              <w:rPr>
                <w:rFonts w:ascii="Times New Roman" w:hAnsi="Times New Roman" w:cs="Times New Roman"/>
                <w:sz w:val="20"/>
                <w:szCs w:val="20"/>
                <w:lang w:val="ro-MD"/>
              </w:rPr>
              <w:t xml:space="preserve">Art.5 din legea citată a fost completat cu alin.(3) în redacția actuală prin Legea nr.31/2013 pentru modificarea și completarea </w:t>
            </w:r>
            <w:r w:rsidRPr="00252BD5">
              <w:rPr>
                <w:rFonts w:ascii="Times New Roman" w:hAnsi="Times New Roman" w:cs="Times New Roman"/>
                <w:sz w:val="20"/>
                <w:szCs w:val="20"/>
                <w:lang w:val="ro-MD"/>
              </w:rPr>
              <w:lastRenderedPageBreak/>
              <w:t xml:space="preserve">unor acte legislative, proiectul de lege respectiv fiind avizat pozitiv de către CNPDCP. </w:t>
            </w:r>
          </w:p>
          <w:p w:rsidR="00004102" w:rsidRPr="00252BD5" w:rsidRDefault="00004102" w:rsidP="00252BD5">
            <w:pPr>
              <w:pStyle w:val="NoSpacing"/>
              <w:jc w:val="both"/>
              <w:rPr>
                <w:rFonts w:ascii="Times New Roman" w:hAnsi="Times New Roman" w:cs="Times New Roman"/>
                <w:sz w:val="20"/>
                <w:szCs w:val="20"/>
                <w:lang w:val="ro-MD"/>
              </w:rPr>
            </w:pPr>
            <w:r w:rsidRPr="00252BD5">
              <w:rPr>
                <w:rFonts w:ascii="Times New Roman" w:hAnsi="Times New Roman" w:cs="Times New Roman"/>
                <w:sz w:val="20"/>
                <w:szCs w:val="20"/>
                <w:lang w:val="ro-MD"/>
              </w:rPr>
              <w:t xml:space="preserve">Art.16 alin.(1) al Legii nr.133/2011 privind protecția datelor cu caracter personal prevede că </w:t>
            </w:r>
          </w:p>
          <w:p w:rsidR="00004102" w:rsidRPr="00252BD5" w:rsidRDefault="00004102" w:rsidP="00252BD5">
            <w:pPr>
              <w:pStyle w:val="NoSpacing"/>
              <w:jc w:val="both"/>
              <w:rPr>
                <w:rFonts w:ascii="Times New Roman" w:hAnsi="Times New Roman" w:cs="Times New Roman"/>
                <w:sz w:val="20"/>
                <w:szCs w:val="20"/>
                <w:lang w:val="ro-MD"/>
              </w:rPr>
            </w:pPr>
            <w:r w:rsidRPr="00252BD5">
              <w:rPr>
                <w:rFonts w:ascii="Times New Roman" w:hAnsi="Times New Roman" w:cs="Times New Roman"/>
                <w:sz w:val="20"/>
                <w:szCs w:val="20"/>
                <w:lang w:val="ro-MD"/>
              </w:rPr>
              <w:t xml:space="preserve">„Subiectul datelor cu caracter personal are dreptul de a se opune în orice moment, </w:t>
            </w:r>
            <w:r w:rsidRPr="00252BD5">
              <w:rPr>
                <w:rFonts w:ascii="Times New Roman" w:hAnsi="Times New Roman" w:cs="Times New Roman"/>
                <w:sz w:val="20"/>
                <w:szCs w:val="20"/>
              </w:rPr>
              <w:t xml:space="preserve">[…], </w:t>
            </w:r>
            <w:r w:rsidRPr="00252BD5">
              <w:rPr>
                <w:rFonts w:ascii="Times New Roman" w:hAnsi="Times New Roman" w:cs="Times New Roman"/>
                <w:b/>
                <w:sz w:val="20"/>
                <w:szCs w:val="20"/>
                <w:lang w:val="ro-MD"/>
              </w:rPr>
              <w:t>cu excepţia cazurilor în care legea stabileşte altfel</w:t>
            </w:r>
            <w:r w:rsidRPr="00252BD5">
              <w:rPr>
                <w:rFonts w:ascii="Times New Roman" w:hAnsi="Times New Roman" w:cs="Times New Roman"/>
                <w:sz w:val="20"/>
                <w:szCs w:val="20"/>
                <w:lang w:val="ro-MD"/>
              </w:rPr>
              <w:t xml:space="preserve">.” </w:t>
            </w:r>
          </w:p>
          <w:p w:rsidR="00004102" w:rsidRPr="00252BD5" w:rsidRDefault="00004102" w:rsidP="00252BD5">
            <w:pPr>
              <w:pStyle w:val="NoSpacing"/>
              <w:jc w:val="both"/>
              <w:rPr>
                <w:rFonts w:ascii="Times New Roman" w:hAnsi="Times New Roman" w:cs="Times New Roman"/>
                <w:sz w:val="20"/>
                <w:szCs w:val="20"/>
              </w:rPr>
            </w:pPr>
            <w:r w:rsidRPr="00252BD5">
              <w:rPr>
                <w:rFonts w:ascii="Times New Roman" w:hAnsi="Times New Roman" w:cs="Times New Roman"/>
                <w:sz w:val="20"/>
                <w:szCs w:val="20"/>
                <w:lang w:val="ro-MD"/>
              </w:rPr>
              <w:t xml:space="preserve">Prevederea de la art.5 alin.(3) interzice opoziția față de prelucrarea datelor </w:t>
            </w:r>
            <w:r w:rsidRPr="00252BD5">
              <w:rPr>
                <w:rFonts w:ascii="Times New Roman" w:hAnsi="Times New Roman" w:cs="Times New Roman"/>
                <w:sz w:val="20"/>
                <w:szCs w:val="20"/>
              </w:rPr>
              <w:t>“</w:t>
            </w:r>
            <w:r w:rsidRPr="00252BD5">
              <w:rPr>
                <w:rFonts w:ascii="Times New Roman" w:hAnsi="Times New Roman" w:cs="Times New Roman"/>
                <w:b/>
                <w:sz w:val="20"/>
                <w:szCs w:val="20"/>
              </w:rPr>
              <w:t>circumscrise exercitării atribuţiilor Băncii Naţionale prevăzute de prezenta lege</w:t>
            </w:r>
            <w:r w:rsidRPr="00252BD5">
              <w:rPr>
                <w:rFonts w:ascii="Times New Roman" w:hAnsi="Times New Roman" w:cs="Times New Roman"/>
                <w:sz w:val="20"/>
                <w:szCs w:val="20"/>
              </w:rPr>
              <w:t>”, pentru a nu admite împiedicarea exercitării atribuțiilor Băncii Naționale.</w:t>
            </w:r>
          </w:p>
          <w:p w:rsidR="00004102" w:rsidRPr="00252BD5" w:rsidRDefault="00004102" w:rsidP="00252BD5">
            <w:pPr>
              <w:pStyle w:val="NoSpacing"/>
              <w:jc w:val="both"/>
              <w:rPr>
                <w:rFonts w:ascii="Times New Roman" w:eastAsia="Lucida Sans Unicode" w:hAnsi="Times New Roman" w:cs="Times New Roman"/>
                <w:kern w:val="1"/>
                <w:sz w:val="20"/>
                <w:szCs w:val="20"/>
                <w:lang w:eastAsia="ar-SA"/>
              </w:rPr>
            </w:pPr>
            <w:r w:rsidRPr="00252BD5">
              <w:rPr>
                <w:rFonts w:ascii="Times New Roman" w:hAnsi="Times New Roman" w:cs="Times New Roman"/>
                <w:sz w:val="20"/>
                <w:szCs w:val="20"/>
              </w:rPr>
              <w:t xml:space="preserve">Remarcăm că și </w:t>
            </w:r>
            <w:r w:rsidRPr="00252BD5">
              <w:rPr>
                <w:rFonts w:ascii="Times New Roman" w:eastAsia="Lucida Sans Unicode" w:hAnsi="Times New Roman" w:cs="Times New Roman"/>
                <w:kern w:val="1"/>
                <w:sz w:val="20"/>
                <w:szCs w:val="20"/>
                <w:lang w:eastAsia="ar-SA"/>
              </w:rPr>
              <w:t>Regulamentul (UE) 2016/679, care urmează a fi preluat în legislația națională, prevede posibilitatea restricționării, prin dreptul intern, a unor drepturi și obligații (inclusiv a dreptului la opoziție), dacă aceasta constituie o măsură necesară pentru obiective de interes public, inclusiv un interes economic sau financiar important.</w:t>
            </w:r>
          </w:p>
          <w:p w:rsidR="00004102" w:rsidRPr="00252BD5" w:rsidRDefault="00004102" w:rsidP="00252BD5">
            <w:pPr>
              <w:pStyle w:val="NoSpacing"/>
              <w:rPr>
                <w:rFonts w:ascii="Times New Roman" w:hAnsi="Times New Roman" w:cs="Times New Roman"/>
                <w:sz w:val="20"/>
                <w:szCs w:val="20"/>
              </w:rPr>
            </w:pPr>
          </w:p>
        </w:tc>
      </w:tr>
      <w:tr w:rsidR="00004102" w:rsidRPr="00252BD5" w:rsidTr="00004102">
        <w:trPr>
          <w:gridAfter w:val="1"/>
          <w:wAfter w:w="3" w:type="pct"/>
        </w:trPr>
        <w:tc>
          <w:tcPr>
            <w:tcW w:w="1221" w:type="pct"/>
          </w:tcPr>
          <w:p w:rsidR="00004102" w:rsidRPr="00252BD5" w:rsidRDefault="00004102" w:rsidP="00252BD5">
            <w:pPr>
              <w:pStyle w:val="NoSpacing"/>
              <w:rPr>
                <w:rFonts w:ascii="Times New Roman" w:hAnsi="Times New Roman" w:cs="Times New Roman"/>
                <w:b/>
                <w:sz w:val="20"/>
                <w:szCs w:val="20"/>
              </w:rPr>
            </w:pP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 xml:space="preserve">Centrul Național pentru Protecția </w:t>
            </w:r>
            <w:r w:rsidRPr="00252BD5">
              <w:rPr>
                <w:rFonts w:ascii="Times New Roman" w:hAnsi="Times New Roman" w:cs="Times New Roman"/>
                <w:b/>
                <w:sz w:val="20"/>
                <w:szCs w:val="20"/>
              </w:rPr>
              <w:lastRenderedPageBreak/>
              <w:t>Datelor cu Caracter Personal</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nr.04-01/133 din 16.01.2020</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eastAsia="Lucida Sans Unicode" w:hAnsi="Times New Roman" w:cs="Times New Roman"/>
                <w:kern w:val="1"/>
                <w:sz w:val="20"/>
                <w:szCs w:val="20"/>
                <w:lang w:eastAsia="ar-SA"/>
              </w:rPr>
            </w:pPr>
            <w:r w:rsidRPr="00252BD5">
              <w:rPr>
                <w:rFonts w:ascii="Times New Roman" w:eastAsia="Lucida Sans Unicode" w:hAnsi="Times New Roman" w:cs="Times New Roman"/>
                <w:kern w:val="1"/>
                <w:sz w:val="20"/>
                <w:szCs w:val="20"/>
                <w:lang w:eastAsia="ar-SA"/>
              </w:rPr>
              <w:t xml:space="preserve">CNPDCP intervine cu propunerea de a transmite proiectul examinat spre avizare Avocatului </w:t>
            </w:r>
            <w:r w:rsidRPr="00252BD5">
              <w:rPr>
                <w:rFonts w:ascii="Times New Roman" w:eastAsia="Lucida Sans Unicode" w:hAnsi="Times New Roman" w:cs="Times New Roman"/>
                <w:kern w:val="1"/>
                <w:sz w:val="20"/>
                <w:szCs w:val="20"/>
                <w:lang w:eastAsia="ar-SA"/>
              </w:rPr>
              <w:lastRenderedPageBreak/>
              <w:t>Poporului, prin prisma asigurării respectării drepturilor și libertăților fundamentale ale omului.</w:t>
            </w:r>
          </w:p>
        </w:tc>
        <w:tc>
          <w:tcPr>
            <w:tcW w:w="1048"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lastRenderedPageBreak/>
              <w:t>Se acceptă.</w:t>
            </w:r>
          </w:p>
        </w:tc>
      </w:tr>
      <w:tr w:rsidR="00004102" w:rsidRPr="00252BD5" w:rsidTr="00004102">
        <w:trPr>
          <w:gridAfter w:val="1"/>
          <w:wAfter w:w="3" w:type="pct"/>
        </w:trPr>
        <w:tc>
          <w:tcPr>
            <w:tcW w:w="1221" w:type="pct"/>
          </w:tcPr>
          <w:p w:rsidR="00004102" w:rsidRPr="00252BD5" w:rsidRDefault="00004102" w:rsidP="00252BD5">
            <w:pPr>
              <w:pStyle w:val="NoSpacing"/>
              <w:rPr>
                <w:rFonts w:ascii="Times New Roman" w:hAnsi="Times New Roman" w:cs="Times New Roman"/>
                <w:sz w:val="20"/>
                <w:szCs w:val="20"/>
              </w:rPr>
            </w:pP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Consiliul Concurenței</w:t>
            </w:r>
            <w:r w:rsidRPr="00252BD5">
              <w:rPr>
                <w:rFonts w:ascii="Times New Roman" w:hAnsi="Times New Roman" w:cs="Times New Roman"/>
                <w:sz w:val="20"/>
                <w:szCs w:val="20"/>
              </w:rPr>
              <w:t xml:space="preserve"> Aviz nr.DJ-06/06 din 13.01.2020</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eastAsia="Lucida Sans Unicode" w:hAnsi="Times New Roman" w:cs="Times New Roman"/>
                <w:kern w:val="1"/>
                <w:sz w:val="20"/>
                <w:szCs w:val="20"/>
                <w:lang w:val="ro-MD" w:eastAsia="ar-SA"/>
              </w:rPr>
            </w:pPr>
            <w:r w:rsidRPr="00252BD5">
              <w:rPr>
                <w:rFonts w:ascii="Times New Roman" w:eastAsia="Lucida Sans Unicode" w:hAnsi="Times New Roman" w:cs="Times New Roman"/>
                <w:kern w:val="1"/>
                <w:sz w:val="20"/>
                <w:szCs w:val="20"/>
                <w:lang w:val="ro-MD" w:eastAsia="ar-SA"/>
              </w:rPr>
              <w:t>Lipsa obiecțiilor și propunerilor</w:t>
            </w:r>
          </w:p>
        </w:tc>
        <w:tc>
          <w:tcPr>
            <w:tcW w:w="1048" w:type="pct"/>
          </w:tcPr>
          <w:p w:rsidR="00004102" w:rsidRPr="00252BD5" w:rsidRDefault="00004102" w:rsidP="00252BD5">
            <w:pPr>
              <w:pStyle w:val="NoSpacing"/>
              <w:rPr>
                <w:rFonts w:ascii="Times New Roman" w:hAnsi="Times New Roman" w:cs="Times New Roman"/>
                <w:b/>
                <w:sz w:val="20"/>
                <w:szCs w:val="20"/>
              </w:rPr>
            </w:pPr>
          </w:p>
        </w:tc>
      </w:tr>
      <w:tr w:rsidR="00004102" w:rsidRPr="00252BD5" w:rsidTr="00004102">
        <w:tc>
          <w:tcPr>
            <w:tcW w:w="5000" w:type="pct"/>
            <w:gridSpan w:val="6"/>
          </w:tcPr>
          <w:p w:rsidR="00004102" w:rsidRPr="00252BD5" w:rsidRDefault="00004102" w:rsidP="00004102">
            <w:pPr>
              <w:pStyle w:val="NoSpacing"/>
              <w:jc w:val="both"/>
              <w:rPr>
                <w:rFonts w:ascii="Times New Roman" w:hAnsi="Times New Roman" w:cs="Times New Roman"/>
                <w:b/>
                <w:sz w:val="20"/>
                <w:szCs w:val="20"/>
              </w:rPr>
            </w:pPr>
            <w:r w:rsidRPr="00252BD5">
              <w:rPr>
                <w:rFonts w:ascii="Times New Roman" w:hAnsi="Times New Roman" w:cs="Times New Roman"/>
                <w:b/>
                <w:sz w:val="20"/>
                <w:szCs w:val="20"/>
              </w:rPr>
              <w:t>Obiec</w:t>
            </w:r>
            <w:r w:rsidRPr="00252BD5">
              <w:rPr>
                <w:rFonts w:ascii="Times New Roman" w:hAnsi="Times New Roman" w:cs="Times New Roman"/>
                <w:b/>
                <w:sz w:val="20"/>
                <w:szCs w:val="20"/>
                <w:lang w:val="ro-MD"/>
              </w:rPr>
              <w:t>ții și propuneri la anumite prevederi ale proiectului</w:t>
            </w:r>
          </w:p>
          <w:p w:rsidR="00004102" w:rsidRPr="00252BD5" w:rsidRDefault="00004102" w:rsidP="00004102">
            <w:pPr>
              <w:pStyle w:val="NoSpacing"/>
              <w:jc w:val="both"/>
              <w:rPr>
                <w:rFonts w:ascii="Times New Roman" w:hAnsi="Times New Roman" w:cs="Times New Roman"/>
                <w:b/>
                <w:sz w:val="20"/>
                <w:szCs w:val="20"/>
              </w:rPr>
            </w:pPr>
          </w:p>
        </w:tc>
      </w:tr>
      <w:tr w:rsidR="00004102" w:rsidRPr="00252BD5" w:rsidTr="00004102">
        <w:trPr>
          <w:gridAfter w:val="1"/>
          <w:wAfter w:w="3" w:type="pct"/>
        </w:trPr>
        <w:tc>
          <w:tcPr>
            <w:tcW w:w="1221" w:type="pct"/>
            <w:vMerge w:val="restart"/>
          </w:tcPr>
          <w:p w:rsidR="00004102" w:rsidRPr="00252BD5" w:rsidRDefault="00004102" w:rsidP="00975AA9">
            <w:pPr>
              <w:pStyle w:val="NoSpacing"/>
              <w:jc w:val="both"/>
              <w:rPr>
                <w:rFonts w:ascii="Times New Roman" w:hAnsi="Times New Roman" w:cs="Times New Roman"/>
                <w:sz w:val="20"/>
                <w:szCs w:val="20"/>
              </w:rPr>
            </w:pPr>
            <w:r w:rsidRPr="00975AA9">
              <w:rPr>
                <w:rFonts w:ascii="Times New Roman" w:hAnsi="Times New Roman" w:cs="Times New Roman"/>
                <w:b/>
                <w:sz w:val="20"/>
                <w:szCs w:val="20"/>
              </w:rPr>
              <w:t>Art.I. – Legea nr.548/1995 cu privire la Banca Națională a Moldovei (republicată în Monitorul Oficial al Republicii Moldova din 30.10.2015, nr.297-300, art.544)</w:t>
            </w:r>
            <w:r w:rsidRPr="00252BD5">
              <w:rPr>
                <w:rFonts w:ascii="Times New Roman" w:hAnsi="Times New Roman" w:cs="Times New Roman"/>
                <w:sz w:val="20"/>
                <w:szCs w:val="20"/>
              </w:rPr>
              <w:t xml:space="preserve"> cu modificările ulterioare, se modifică după cum urmează:</w:t>
            </w:r>
          </w:p>
          <w:p w:rsidR="00004102" w:rsidRPr="00252BD5" w:rsidRDefault="00004102" w:rsidP="00252BD5">
            <w:pPr>
              <w:pStyle w:val="NoSpacing"/>
              <w:rPr>
                <w:rFonts w:ascii="Times New Roman" w:hAnsi="Times New Roman" w:cs="Times New Roman"/>
                <w:b/>
                <w:sz w:val="20"/>
                <w:szCs w:val="20"/>
              </w:rPr>
            </w:pP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Ministerul Justiției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nr.04/121371 din 17.12.2019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La </w:t>
            </w:r>
            <w:r w:rsidRPr="00252BD5">
              <w:rPr>
                <w:rFonts w:ascii="Times New Roman" w:hAnsi="Times New Roman" w:cs="Times New Roman"/>
                <w:b/>
                <w:bCs/>
                <w:sz w:val="20"/>
                <w:szCs w:val="20"/>
              </w:rPr>
              <w:t>Art. I</w:t>
            </w:r>
            <w:r w:rsidRPr="00252BD5">
              <w:rPr>
                <w:rFonts w:ascii="Times New Roman" w:hAnsi="Times New Roman" w:cs="Times New Roman"/>
                <w:sz w:val="20"/>
                <w:szCs w:val="20"/>
              </w:rPr>
              <w:t xml:space="preserve">: </w:t>
            </w: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După indicarea actului normativ supus modificării cuvintele „cu modificările ulterioare” nu sunt necesare, deoarece potrvit art. 64 alin. (1) din </w:t>
            </w:r>
            <w:r w:rsidRPr="00252BD5">
              <w:rPr>
                <w:rFonts w:ascii="Times New Roman" w:hAnsi="Times New Roman" w:cs="Times New Roman"/>
                <w:i/>
                <w:iCs/>
                <w:sz w:val="20"/>
                <w:szCs w:val="20"/>
              </w:rPr>
              <w:t>Legea nr.100/2017 cu privire la actele normative</w:t>
            </w:r>
            <w:r w:rsidRPr="00252BD5">
              <w:rPr>
                <w:rFonts w:ascii="Times New Roman" w:hAnsi="Times New Roman" w:cs="Times New Roman"/>
                <w:sz w:val="20"/>
                <w:szCs w:val="20"/>
              </w:rPr>
              <w:t xml:space="preserve"> modificările se încorporează, de la </w:t>
            </w:r>
            <w:proofErr w:type="gramStart"/>
            <w:r w:rsidRPr="00252BD5">
              <w:rPr>
                <w:rFonts w:ascii="Times New Roman" w:hAnsi="Times New Roman" w:cs="Times New Roman"/>
                <w:sz w:val="20"/>
                <w:szCs w:val="20"/>
              </w:rPr>
              <w:t>data  intrării</w:t>
            </w:r>
            <w:proofErr w:type="gramEnd"/>
            <w:r w:rsidRPr="00252BD5">
              <w:rPr>
                <w:rFonts w:ascii="Times New Roman" w:hAnsi="Times New Roman" w:cs="Times New Roman"/>
                <w:sz w:val="20"/>
                <w:szCs w:val="20"/>
              </w:rPr>
              <w:t xml:space="preserve"> în vigoare a dispoziţiilor de modificare, în actul de bază, identificîndu-se cu  acesta. Observația este valabilă pentru tot textul proiectului.</w:t>
            </w:r>
          </w:p>
        </w:tc>
        <w:tc>
          <w:tcPr>
            <w:tcW w:w="1048" w:type="pct"/>
          </w:tcPr>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b/>
                <w:sz w:val="20"/>
                <w:szCs w:val="20"/>
              </w:rPr>
              <w:t>Se acceptă.</w:t>
            </w:r>
          </w:p>
        </w:tc>
      </w:tr>
      <w:tr w:rsidR="00004102" w:rsidRPr="00252BD5" w:rsidTr="00004102">
        <w:trPr>
          <w:gridAfter w:val="1"/>
          <w:wAfter w:w="3" w:type="pct"/>
        </w:trPr>
        <w:tc>
          <w:tcPr>
            <w:tcW w:w="1221" w:type="pct"/>
            <w:vMerge/>
          </w:tcPr>
          <w:p w:rsidR="00004102" w:rsidRPr="00252BD5" w:rsidRDefault="00004102" w:rsidP="00252BD5">
            <w:pPr>
              <w:pStyle w:val="NoSpacing"/>
              <w:rPr>
                <w:rFonts w:ascii="Times New Roman" w:hAnsi="Times New Roman" w:cs="Times New Roman"/>
                <w:b/>
                <w:sz w:val="20"/>
                <w:szCs w:val="20"/>
              </w:rPr>
            </w:pP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Ministerul Economiei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nr.06/1-23-8512 din 18.12.2019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Întru respectarea principiilor  transparenței și predictibilității actului normativ,  consacrat de lit.d) și lit.e) art.3 al Legii nr.100/2017 cu privire la actele normative  considerăm oportun revizuirea sintagmelor: „poate adopta” și ”poate confirma,  modifica, revoca sau înlocui” </w:t>
            </w:r>
            <w:r w:rsidRPr="00252BD5">
              <w:rPr>
                <w:rFonts w:ascii="Times New Roman" w:hAnsi="Times New Roman" w:cs="Times New Roman"/>
                <w:i/>
                <w:iCs/>
                <w:sz w:val="20"/>
                <w:szCs w:val="20"/>
              </w:rPr>
              <w:t>la pct.2 art.11 alin.( 3</w:t>
            </w:r>
            <w:r w:rsidRPr="00252BD5">
              <w:rPr>
                <w:rFonts w:ascii="Times New Roman" w:hAnsi="Times New Roman" w:cs="Times New Roman"/>
                <w:i/>
                <w:iCs/>
                <w:sz w:val="20"/>
                <w:szCs w:val="20"/>
                <w:vertAlign w:val="superscript"/>
              </w:rPr>
              <w:t>6</w:t>
            </w:r>
            <w:r w:rsidRPr="00252BD5">
              <w:rPr>
                <w:rFonts w:ascii="Times New Roman" w:hAnsi="Times New Roman" w:cs="Times New Roman"/>
                <w:i/>
                <w:iCs/>
                <w:sz w:val="20"/>
                <w:szCs w:val="20"/>
              </w:rPr>
              <w:t xml:space="preserve"> );</w:t>
            </w:r>
            <w:r w:rsidRPr="00252BD5">
              <w:rPr>
                <w:rFonts w:ascii="Times New Roman" w:hAnsi="Times New Roman" w:cs="Times New Roman"/>
                <w:sz w:val="20"/>
                <w:szCs w:val="20"/>
              </w:rPr>
              <w:t xml:space="preserve"> „poate notifica” </w:t>
            </w:r>
            <w:r w:rsidRPr="00252BD5">
              <w:rPr>
                <w:rFonts w:ascii="Times New Roman" w:hAnsi="Times New Roman" w:cs="Times New Roman"/>
                <w:i/>
                <w:iCs/>
                <w:sz w:val="20"/>
                <w:szCs w:val="20"/>
              </w:rPr>
              <w:t>la pct.4 art.11</w:t>
            </w:r>
            <w:r w:rsidRPr="00252BD5">
              <w:rPr>
                <w:rFonts w:ascii="Times New Roman" w:hAnsi="Times New Roman" w:cs="Times New Roman"/>
                <w:i/>
                <w:iCs/>
                <w:sz w:val="20"/>
                <w:szCs w:val="20"/>
                <w:vertAlign w:val="superscript"/>
              </w:rPr>
              <w:t>2</w:t>
            </w:r>
            <w:r w:rsidRPr="00252BD5">
              <w:rPr>
                <w:rFonts w:ascii="Times New Roman" w:hAnsi="Times New Roman" w:cs="Times New Roman"/>
                <w:i/>
                <w:iCs/>
                <w:sz w:val="20"/>
                <w:szCs w:val="20"/>
              </w:rPr>
              <w:t xml:space="preserve">  alin(2) și alin.(7);</w:t>
            </w:r>
            <w:r w:rsidRPr="00252BD5">
              <w:rPr>
                <w:rFonts w:ascii="Times New Roman" w:hAnsi="Times New Roman" w:cs="Times New Roman"/>
                <w:sz w:val="20"/>
                <w:szCs w:val="20"/>
              </w:rPr>
              <w:t xml:space="preserve"> „pot fi comunicate” </w:t>
            </w:r>
            <w:r w:rsidRPr="00252BD5">
              <w:rPr>
                <w:rFonts w:ascii="Times New Roman" w:hAnsi="Times New Roman" w:cs="Times New Roman"/>
                <w:i/>
                <w:iCs/>
                <w:sz w:val="20"/>
                <w:szCs w:val="20"/>
              </w:rPr>
              <w:t>la pct.4 art.11</w:t>
            </w:r>
            <w:r w:rsidRPr="00252BD5">
              <w:rPr>
                <w:rFonts w:ascii="Times New Roman" w:hAnsi="Times New Roman" w:cs="Times New Roman"/>
                <w:i/>
                <w:iCs/>
                <w:sz w:val="20"/>
                <w:szCs w:val="20"/>
                <w:vertAlign w:val="superscript"/>
              </w:rPr>
              <w:t>3</w:t>
            </w:r>
            <w:r w:rsidRPr="00252BD5">
              <w:rPr>
                <w:rFonts w:ascii="Times New Roman" w:hAnsi="Times New Roman" w:cs="Times New Roman"/>
                <w:i/>
                <w:iCs/>
                <w:sz w:val="20"/>
                <w:szCs w:val="20"/>
              </w:rPr>
              <w:t xml:space="preserve"> alin.(4); </w:t>
            </w:r>
            <w:r w:rsidRPr="00252BD5">
              <w:rPr>
                <w:rFonts w:ascii="Times New Roman" w:hAnsi="Times New Roman" w:cs="Times New Roman"/>
                <w:sz w:val="20"/>
                <w:szCs w:val="20"/>
              </w:rPr>
              <w:t>„poate fi făcută” și  “poate iniția”</w:t>
            </w:r>
            <w:r w:rsidRPr="00252BD5">
              <w:rPr>
                <w:rFonts w:ascii="Times New Roman" w:hAnsi="Times New Roman" w:cs="Times New Roman"/>
                <w:i/>
                <w:iCs/>
                <w:sz w:val="20"/>
                <w:szCs w:val="20"/>
              </w:rPr>
              <w:t xml:space="preserve"> la pct.10 art.75</w:t>
            </w:r>
            <w:r w:rsidRPr="00252BD5">
              <w:rPr>
                <w:rFonts w:ascii="Times New Roman" w:hAnsi="Times New Roman" w:cs="Times New Roman"/>
                <w:i/>
                <w:iCs/>
                <w:sz w:val="20"/>
                <w:szCs w:val="20"/>
                <w:vertAlign w:val="superscript"/>
              </w:rPr>
              <w:t xml:space="preserve">1 </w:t>
            </w:r>
            <w:r w:rsidRPr="00252BD5">
              <w:rPr>
                <w:rFonts w:ascii="Times New Roman" w:hAnsi="Times New Roman" w:cs="Times New Roman"/>
                <w:i/>
                <w:iCs/>
                <w:sz w:val="20"/>
                <w:szCs w:val="20"/>
              </w:rPr>
              <w:t>alin.(4</w:t>
            </w:r>
            <w:r w:rsidRPr="00252BD5">
              <w:rPr>
                <w:rFonts w:ascii="Times New Roman" w:hAnsi="Times New Roman" w:cs="Times New Roman"/>
                <w:i/>
                <w:iCs/>
                <w:sz w:val="20"/>
                <w:szCs w:val="20"/>
                <w:vertAlign w:val="superscript"/>
              </w:rPr>
              <w:t>1</w:t>
            </w:r>
            <w:r w:rsidRPr="00252BD5">
              <w:rPr>
                <w:rFonts w:ascii="Times New Roman" w:hAnsi="Times New Roman" w:cs="Times New Roman"/>
                <w:sz w:val="20"/>
                <w:szCs w:val="20"/>
              </w:rPr>
              <w:t xml:space="preserve">); ”poate fi realizată” și „poate fi amânată” </w:t>
            </w:r>
            <w:r w:rsidRPr="00252BD5">
              <w:rPr>
                <w:rFonts w:ascii="Times New Roman" w:hAnsi="Times New Roman" w:cs="Times New Roman"/>
                <w:i/>
                <w:iCs/>
                <w:sz w:val="20"/>
                <w:szCs w:val="20"/>
              </w:rPr>
              <w:t>la  pct.10 art. 75</w:t>
            </w:r>
            <w:r w:rsidRPr="00252BD5">
              <w:rPr>
                <w:rFonts w:ascii="Times New Roman" w:hAnsi="Times New Roman" w:cs="Times New Roman"/>
                <w:i/>
                <w:iCs/>
                <w:sz w:val="20"/>
                <w:szCs w:val="20"/>
                <w:vertAlign w:val="superscript"/>
              </w:rPr>
              <w:t>1</w:t>
            </w:r>
            <w:r w:rsidRPr="00252BD5">
              <w:rPr>
                <w:rFonts w:ascii="Times New Roman" w:hAnsi="Times New Roman" w:cs="Times New Roman"/>
                <w:i/>
                <w:iCs/>
                <w:sz w:val="20"/>
                <w:szCs w:val="20"/>
              </w:rPr>
              <w:t xml:space="preserve"> alin. (6</w:t>
            </w:r>
            <w:r w:rsidRPr="00252BD5">
              <w:rPr>
                <w:rFonts w:ascii="Times New Roman" w:hAnsi="Times New Roman" w:cs="Times New Roman"/>
                <w:i/>
                <w:iCs/>
                <w:sz w:val="20"/>
                <w:szCs w:val="20"/>
                <w:vertAlign w:val="superscript"/>
              </w:rPr>
              <w:t>1</w:t>
            </w:r>
            <w:r w:rsidRPr="00252BD5">
              <w:rPr>
                <w:rFonts w:ascii="Times New Roman" w:hAnsi="Times New Roman" w:cs="Times New Roman"/>
                <w:i/>
                <w:iCs/>
                <w:sz w:val="20"/>
                <w:szCs w:val="20"/>
              </w:rPr>
              <w:t>);</w:t>
            </w:r>
            <w:r w:rsidRPr="00252BD5">
              <w:rPr>
                <w:rFonts w:ascii="Times New Roman" w:hAnsi="Times New Roman" w:cs="Times New Roman"/>
                <w:sz w:val="20"/>
                <w:szCs w:val="20"/>
              </w:rPr>
              <w:t xml:space="preserve"> „pot prezenta „ </w:t>
            </w:r>
            <w:r w:rsidRPr="00252BD5">
              <w:rPr>
                <w:rFonts w:ascii="Times New Roman" w:hAnsi="Times New Roman" w:cs="Times New Roman"/>
                <w:i/>
                <w:iCs/>
                <w:sz w:val="20"/>
                <w:szCs w:val="20"/>
              </w:rPr>
              <w:t>la pct.10 art. 75</w:t>
            </w:r>
            <w:r w:rsidRPr="00252BD5">
              <w:rPr>
                <w:rFonts w:ascii="Times New Roman" w:hAnsi="Times New Roman" w:cs="Times New Roman"/>
                <w:i/>
                <w:iCs/>
                <w:sz w:val="20"/>
                <w:szCs w:val="20"/>
                <w:vertAlign w:val="superscript"/>
              </w:rPr>
              <w:t>1</w:t>
            </w:r>
            <w:proofErr w:type="gramStart"/>
            <w:r w:rsidRPr="00252BD5">
              <w:rPr>
                <w:rFonts w:ascii="Times New Roman" w:hAnsi="Times New Roman" w:cs="Times New Roman"/>
                <w:i/>
                <w:iCs/>
                <w:sz w:val="20"/>
                <w:szCs w:val="20"/>
              </w:rPr>
              <w:t>alin.(</w:t>
            </w:r>
            <w:proofErr w:type="gramEnd"/>
            <w:r w:rsidRPr="00252BD5">
              <w:rPr>
                <w:rFonts w:ascii="Times New Roman" w:hAnsi="Times New Roman" w:cs="Times New Roman"/>
                <w:i/>
                <w:iCs/>
                <w:sz w:val="20"/>
                <w:szCs w:val="20"/>
              </w:rPr>
              <w:t xml:space="preserve">8); </w:t>
            </w:r>
            <w:r w:rsidRPr="00252BD5">
              <w:rPr>
                <w:rFonts w:ascii="Times New Roman" w:hAnsi="Times New Roman" w:cs="Times New Roman"/>
                <w:sz w:val="20"/>
                <w:szCs w:val="20"/>
              </w:rPr>
              <w:t xml:space="preserve">„ pot fi prelungite”  </w:t>
            </w:r>
            <w:r w:rsidRPr="00252BD5">
              <w:rPr>
                <w:rFonts w:ascii="Times New Roman" w:hAnsi="Times New Roman" w:cs="Times New Roman"/>
                <w:i/>
                <w:iCs/>
                <w:sz w:val="20"/>
                <w:szCs w:val="20"/>
              </w:rPr>
              <w:t>la pct.10 art. 75</w:t>
            </w:r>
            <w:r w:rsidRPr="00252BD5">
              <w:rPr>
                <w:rFonts w:ascii="Times New Roman" w:hAnsi="Times New Roman" w:cs="Times New Roman"/>
                <w:i/>
                <w:iCs/>
                <w:sz w:val="20"/>
                <w:szCs w:val="20"/>
                <w:vertAlign w:val="superscript"/>
              </w:rPr>
              <w:t>1</w:t>
            </w:r>
            <w:r w:rsidRPr="00252BD5">
              <w:rPr>
                <w:rFonts w:ascii="Times New Roman" w:hAnsi="Times New Roman" w:cs="Times New Roman"/>
                <w:i/>
                <w:iCs/>
                <w:sz w:val="20"/>
                <w:szCs w:val="20"/>
              </w:rPr>
              <w:t>alin.(9</w:t>
            </w:r>
            <w:r w:rsidRPr="00252BD5">
              <w:rPr>
                <w:rFonts w:ascii="Times New Roman" w:hAnsi="Times New Roman" w:cs="Times New Roman"/>
                <w:i/>
                <w:iCs/>
                <w:sz w:val="20"/>
                <w:szCs w:val="20"/>
                <w:vertAlign w:val="superscript"/>
              </w:rPr>
              <w:t>1</w:t>
            </w:r>
            <w:r w:rsidRPr="00252BD5">
              <w:rPr>
                <w:rFonts w:ascii="Times New Roman" w:hAnsi="Times New Roman" w:cs="Times New Roman"/>
                <w:i/>
                <w:iCs/>
                <w:sz w:val="20"/>
                <w:szCs w:val="20"/>
              </w:rPr>
              <w:t>).</w:t>
            </w:r>
            <w:r w:rsidRPr="00252BD5">
              <w:rPr>
                <w:rFonts w:ascii="Times New Roman" w:hAnsi="Times New Roman" w:cs="Times New Roman"/>
                <w:sz w:val="20"/>
                <w:szCs w:val="20"/>
              </w:rPr>
              <w:t xml:space="preserve"> </w:t>
            </w: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 Aplicarea normelor propuse va genera divergențe în interpretare, precum și o aplicare ulterioară defectuoasă în implementare. </w:t>
            </w:r>
          </w:p>
          <w:p w:rsidR="00004102" w:rsidRPr="00252BD5" w:rsidRDefault="00004102" w:rsidP="00004102">
            <w:pPr>
              <w:pStyle w:val="NoSpacing"/>
              <w:jc w:val="both"/>
              <w:rPr>
                <w:rFonts w:ascii="Times New Roman" w:hAnsi="Times New Roman" w:cs="Times New Roman"/>
                <w:sz w:val="20"/>
                <w:szCs w:val="20"/>
              </w:rPr>
            </w:pPr>
          </w:p>
        </w:tc>
        <w:tc>
          <w:tcPr>
            <w:tcW w:w="1048"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Se acceptă parțial.</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La pct.4 art.11</w:t>
            </w:r>
            <w:r w:rsidRPr="00252BD5">
              <w:rPr>
                <w:rFonts w:ascii="Times New Roman" w:hAnsi="Times New Roman" w:cs="Times New Roman"/>
                <w:sz w:val="20"/>
                <w:szCs w:val="20"/>
                <w:vertAlign w:val="superscript"/>
              </w:rPr>
              <w:t>2</w:t>
            </w:r>
            <w:r w:rsidRPr="00252BD5">
              <w:rPr>
                <w:rFonts w:ascii="Times New Roman" w:hAnsi="Times New Roman" w:cs="Times New Roman"/>
                <w:sz w:val="20"/>
                <w:szCs w:val="20"/>
              </w:rPr>
              <w:t xml:space="preserve"> se </w:t>
            </w:r>
            <w:proofErr w:type="gramStart"/>
            <w:r w:rsidRPr="00252BD5">
              <w:rPr>
                <w:rFonts w:ascii="Times New Roman" w:hAnsi="Times New Roman" w:cs="Times New Roman"/>
                <w:sz w:val="20"/>
                <w:szCs w:val="20"/>
              </w:rPr>
              <w:t>substituie ”poate</w:t>
            </w:r>
            <w:proofErr w:type="gramEnd"/>
            <w:r w:rsidRPr="00252BD5">
              <w:rPr>
                <w:rFonts w:ascii="Times New Roman" w:hAnsi="Times New Roman" w:cs="Times New Roman"/>
                <w:sz w:val="20"/>
                <w:szCs w:val="20"/>
              </w:rPr>
              <w:t>” cu ”va” la alin.(2) și alin.(7).</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Sintagmele utilizate în celelalte cazuri enumerate, corespund sensului și scopului normelor respective și se referă la două categorii de situații: stipularea unor drepturi al participantului la procedura administrativă, exprimată prin utilizarea cuvântului “poate…”, și statuarea discreției Băncii Naționale în privința adoptării unor decizii în situații urgente sau care reclamă flexibilitate în comunicarea cu participantul la procedură (ex. pct.2 </w:t>
            </w:r>
            <w:r w:rsidRPr="00252BD5">
              <w:rPr>
                <w:rFonts w:ascii="Times New Roman" w:hAnsi="Times New Roman" w:cs="Times New Roman"/>
                <w:iCs/>
                <w:sz w:val="20"/>
                <w:szCs w:val="20"/>
              </w:rPr>
              <w:t>art.11 alin.( 3</w:t>
            </w:r>
            <w:r w:rsidRPr="00252BD5">
              <w:rPr>
                <w:rFonts w:ascii="Times New Roman" w:hAnsi="Times New Roman" w:cs="Times New Roman"/>
                <w:iCs/>
                <w:sz w:val="20"/>
                <w:szCs w:val="20"/>
                <w:vertAlign w:val="superscript"/>
              </w:rPr>
              <w:t>6</w:t>
            </w:r>
            <w:r w:rsidRPr="00252BD5">
              <w:rPr>
                <w:rFonts w:ascii="Times New Roman" w:hAnsi="Times New Roman" w:cs="Times New Roman"/>
                <w:sz w:val="20"/>
                <w:szCs w:val="20"/>
              </w:rPr>
              <w:t xml:space="preserve">) – Banca </w:t>
            </w:r>
            <w:r w:rsidRPr="00252BD5">
              <w:rPr>
                <w:rFonts w:ascii="Times New Roman" w:hAnsi="Times New Roman" w:cs="Times New Roman"/>
                <w:sz w:val="20"/>
                <w:szCs w:val="20"/>
              </w:rPr>
              <w:lastRenderedPageBreak/>
              <w:t>Națională poate adopta o decizie în regim de urgență fără a acorda posibilitatea comentariilor – dacă se va substitui textul  “poate adopta” cu textul “va adopta”, după cum se propune,  chiar și în situațiile care permit acest lucru, nu se vor mai solicita comentariile persoanei; la fel, textul “poate confirma,  modifica, revoca sau înlocui” enumeră opțiunile posibile; pct.4 art.11</w:t>
            </w:r>
            <w:r w:rsidRPr="00252BD5">
              <w:rPr>
                <w:rFonts w:ascii="Times New Roman" w:hAnsi="Times New Roman" w:cs="Times New Roman"/>
                <w:sz w:val="20"/>
                <w:szCs w:val="20"/>
                <w:vertAlign w:val="superscript"/>
              </w:rPr>
              <w:t>3</w:t>
            </w:r>
            <w:r w:rsidRPr="00252BD5">
              <w:rPr>
                <w:rFonts w:ascii="Times New Roman" w:hAnsi="Times New Roman" w:cs="Times New Roman"/>
                <w:sz w:val="20"/>
                <w:szCs w:val="20"/>
              </w:rPr>
              <w:t xml:space="preserve"> alin.(4) – stipulează un drept al participantului la procedură; </w:t>
            </w:r>
            <w:r w:rsidRPr="00252BD5">
              <w:rPr>
                <w:rFonts w:ascii="Times New Roman" w:hAnsi="Times New Roman" w:cs="Times New Roman"/>
                <w:iCs/>
                <w:sz w:val="20"/>
                <w:szCs w:val="20"/>
              </w:rPr>
              <w:t>pct.10 art.75</w:t>
            </w:r>
            <w:r w:rsidRPr="00252BD5">
              <w:rPr>
                <w:rFonts w:ascii="Times New Roman" w:hAnsi="Times New Roman" w:cs="Times New Roman"/>
                <w:iCs/>
                <w:sz w:val="20"/>
                <w:szCs w:val="20"/>
                <w:vertAlign w:val="superscript"/>
              </w:rPr>
              <w:t xml:space="preserve">1 </w:t>
            </w:r>
            <w:r w:rsidRPr="00252BD5">
              <w:rPr>
                <w:rFonts w:ascii="Times New Roman" w:hAnsi="Times New Roman" w:cs="Times New Roman"/>
                <w:iCs/>
                <w:sz w:val="20"/>
                <w:szCs w:val="20"/>
              </w:rPr>
              <w:t>alin.(4</w:t>
            </w:r>
            <w:r w:rsidRPr="00252BD5">
              <w:rPr>
                <w:rFonts w:ascii="Times New Roman" w:hAnsi="Times New Roman" w:cs="Times New Roman"/>
                <w:iCs/>
                <w:sz w:val="20"/>
                <w:szCs w:val="20"/>
                <w:vertAlign w:val="superscript"/>
              </w:rPr>
              <w:t>1</w:t>
            </w:r>
            <w:r w:rsidRPr="00252BD5">
              <w:rPr>
                <w:rFonts w:ascii="Times New Roman" w:hAnsi="Times New Roman" w:cs="Times New Roman"/>
                <w:sz w:val="20"/>
                <w:szCs w:val="20"/>
              </w:rPr>
              <w:t xml:space="preserve">) – textul “poate fi făcută” se referă la o opțiune de constatare a încălcărilor (monitorizarea permanentă), pe lângă controalele pe teren și din oficiu, iar textul ”poate iniția” stipulează posibilitatea, nu și obligația, inițierii unui control din oficiu/pe teren urmare monitorizării permanente; </w:t>
            </w:r>
            <w:r w:rsidRPr="00252BD5">
              <w:rPr>
                <w:rFonts w:ascii="Times New Roman" w:hAnsi="Times New Roman" w:cs="Times New Roman"/>
                <w:iCs/>
                <w:sz w:val="20"/>
                <w:szCs w:val="20"/>
              </w:rPr>
              <w:t>pct.10 art.75</w:t>
            </w:r>
            <w:r w:rsidRPr="00252BD5">
              <w:rPr>
                <w:rFonts w:ascii="Times New Roman" w:hAnsi="Times New Roman" w:cs="Times New Roman"/>
                <w:iCs/>
                <w:sz w:val="20"/>
                <w:szCs w:val="20"/>
                <w:vertAlign w:val="superscript"/>
              </w:rPr>
              <w:t>1</w:t>
            </w:r>
            <w:r w:rsidRPr="00252BD5">
              <w:rPr>
                <w:rFonts w:ascii="Times New Roman" w:hAnsi="Times New Roman" w:cs="Times New Roman"/>
                <w:iCs/>
                <w:sz w:val="20"/>
                <w:szCs w:val="20"/>
              </w:rPr>
              <w:t xml:space="preserve"> alin. (6</w:t>
            </w:r>
            <w:r w:rsidRPr="00252BD5">
              <w:rPr>
                <w:rFonts w:ascii="Times New Roman" w:hAnsi="Times New Roman" w:cs="Times New Roman"/>
                <w:iCs/>
                <w:sz w:val="20"/>
                <w:szCs w:val="20"/>
                <w:vertAlign w:val="superscript"/>
              </w:rPr>
              <w:t>1</w:t>
            </w:r>
            <w:r w:rsidRPr="00252BD5">
              <w:rPr>
                <w:rFonts w:ascii="Times New Roman" w:hAnsi="Times New Roman" w:cs="Times New Roman"/>
                <w:iCs/>
                <w:sz w:val="20"/>
                <w:szCs w:val="20"/>
              </w:rPr>
              <w:t>) – textele criticate se referă la posibilitatea de a nu notifica din timp controlul inopinat sau off-site, în cazurile în care există un asemenea interes; pct.10 art. 75</w:t>
            </w:r>
            <w:r w:rsidRPr="00252BD5">
              <w:rPr>
                <w:rFonts w:ascii="Times New Roman" w:hAnsi="Times New Roman" w:cs="Times New Roman"/>
                <w:iCs/>
                <w:sz w:val="20"/>
                <w:szCs w:val="20"/>
                <w:vertAlign w:val="superscript"/>
              </w:rPr>
              <w:t>1</w:t>
            </w:r>
            <w:proofErr w:type="gramStart"/>
            <w:r w:rsidRPr="00252BD5">
              <w:rPr>
                <w:rFonts w:ascii="Times New Roman" w:hAnsi="Times New Roman" w:cs="Times New Roman"/>
                <w:iCs/>
                <w:sz w:val="20"/>
                <w:szCs w:val="20"/>
              </w:rPr>
              <w:t>alin.(</w:t>
            </w:r>
            <w:proofErr w:type="gramEnd"/>
            <w:r w:rsidRPr="00252BD5">
              <w:rPr>
                <w:rFonts w:ascii="Times New Roman" w:hAnsi="Times New Roman" w:cs="Times New Roman"/>
                <w:iCs/>
                <w:sz w:val="20"/>
                <w:szCs w:val="20"/>
              </w:rPr>
              <w:t>8) – stipulează un drept al participantului la procedură (de a prezenta dezacordul); pct.10 art. 75</w:t>
            </w:r>
            <w:r w:rsidRPr="00252BD5">
              <w:rPr>
                <w:rFonts w:ascii="Times New Roman" w:hAnsi="Times New Roman" w:cs="Times New Roman"/>
                <w:iCs/>
                <w:sz w:val="20"/>
                <w:szCs w:val="20"/>
                <w:vertAlign w:val="superscript"/>
              </w:rPr>
              <w:t>1</w:t>
            </w:r>
            <w:r w:rsidRPr="00252BD5">
              <w:rPr>
                <w:rFonts w:ascii="Times New Roman" w:hAnsi="Times New Roman" w:cs="Times New Roman"/>
                <w:iCs/>
                <w:sz w:val="20"/>
                <w:szCs w:val="20"/>
              </w:rPr>
              <w:t>alin.(9</w:t>
            </w:r>
            <w:r w:rsidRPr="00252BD5">
              <w:rPr>
                <w:rFonts w:ascii="Times New Roman" w:hAnsi="Times New Roman" w:cs="Times New Roman"/>
                <w:iCs/>
                <w:sz w:val="20"/>
                <w:szCs w:val="20"/>
                <w:vertAlign w:val="superscript"/>
              </w:rPr>
              <w:t>1</w:t>
            </w:r>
            <w:r w:rsidRPr="00252BD5">
              <w:rPr>
                <w:rFonts w:ascii="Times New Roman" w:hAnsi="Times New Roman" w:cs="Times New Roman"/>
                <w:iCs/>
                <w:sz w:val="20"/>
                <w:szCs w:val="20"/>
              </w:rPr>
              <w:t>) – reglementează opțiunea prelungirii termenului).</w:t>
            </w:r>
            <w:r w:rsidRPr="00252BD5">
              <w:rPr>
                <w:rFonts w:ascii="Times New Roman" w:hAnsi="Times New Roman" w:cs="Times New Roman"/>
                <w:sz w:val="20"/>
                <w:szCs w:val="20"/>
              </w:rPr>
              <w:t xml:space="preserve"> </w:t>
            </w:r>
          </w:p>
          <w:p w:rsidR="00004102" w:rsidRPr="00252BD5" w:rsidRDefault="00004102" w:rsidP="00252BD5">
            <w:pPr>
              <w:pStyle w:val="NoSpacing"/>
              <w:rPr>
                <w:rFonts w:ascii="Times New Roman" w:hAnsi="Times New Roman" w:cs="Times New Roman"/>
                <w:sz w:val="20"/>
                <w:szCs w:val="20"/>
              </w:rPr>
            </w:pPr>
          </w:p>
        </w:tc>
      </w:tr>
      <w:tr w:rsidR="00004102" w:rsidRPr="00252BD5" w:rsidTr="00004102">
        <w:trPr>
          <w:gridAfter w:val="1"/>
          <w:wAfter w:w="3" w:type="pct"/>
        </w:trPr>
        <w:tc>
          <w:tcPr>
            <w:tcW w:w="1221" w:type="pct"/>
          </w:tcPr>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lastRenderedPageBreak/>
              <w:t>Articolul 5 se modifică după cum urmează:</w:t>
            </w:r>
          </w:p>
          <w:p w:rsidR="00004102" w:rsidRPr="00252BD5" w:rsidRDefault="00004102" w:rsidP="00975AA9">
            <w:pPr>
              <w:pStyle w:val="NoSpacing"/>
              <w:jc w:val="both"/>
              <w:rPr>
                <w:rFonts w:ascii="Times New Roman" w:hAnsi="Times New Roman" w:cs="Times New Roman"/>
                <w:sz w:val="20"/>
                <w:szCs w:val="20"/>
                <w:lang w:val="ro-MD"/>
              </w:rPr>
            </w:pPr>
            <w:r w:rsidRPr="00252BD5">
              <w:rPr>
                <w:rFonts w:ascii="Times New Roman" w:hAnsi="Times New Roman" w:cs="Times New Roman"/>
                <w:sz w:val="20"/>
                <w:szCs w:val="20"/>
              </w:rPr>
              <w:t xml:space="preserve">     articolul se completea</w:t>
            </w:r>
            <w:r w:rsidRPr="00252BD5">
              <w:rPr>
                <w:rFonts w:ascii="Times New Roman" w:hAnsi="Times New Roman" w:cs="Times New Roman"/>
                <w:sz w:val="20"/>
                <w:szCs w:val="20"/>
                <w:lang w:val="ro-MD"/>
              </w:rPr>
              <w:t>ză cu alineatul (</w:t>
            </w:r>
            <w:proofErr w:type="gramStart"/>
            <w:r w:rsidRPr="00252BD5">
              <w:rPr>
                <w:rFonts w:ascii="Times New Roman" w:hAnsi="Times New Roman" w:cs="Times New Roman"/>
                <w:sz w:val="20"/>
                <w:szCs w:val="20"/>
                <w:lang w:val="ro-MD"/>
              </w:rPr>
              <w:t>1</w:t>
            </w:r>
            <w:r w:rsidRPr="00252BD5">
              <w:rPr>
                <w:rFonts w:ascii="Times New Roman" w:hAnsi="Times New Roman" w:cs="Times New Roman"/>
                <w:sz w:val="20"/>
                <w:szCs w:val="20"/>
                <w:vertAlign w:val="superscript"/>
                <w:lang w:val="ro-MD"/>
              </w:rPr>
              <w:t>1</w:t>
            </w:r>
            <w:r w:rsidRPr="00252BD5">
              <w:rPr>
                <w:rFonts w:ascii="Times New Roman" w:hAnsi="Times New Roman" w:cs="Times New Roman"/>
                <w:sz w:val="20"/>
                <w:szCs w:val="20"/>
                <w:lang w:val="ro-MD"/>
              </w:rPr>
              <w:t>)-(</w:t>
            </w:r>
            <w:proofErr w:type="gramEnd"/>
            <w:r w:rsidRPr="00252BD5">
              <w:rPr>
                <w:rFonts w:ascii="Times New Roman" w:hAnsi="Times New Roman" w:cs="Times New Roman"/>
                <w:sz w:val="20"/>
                <w:szCs w:val="20"/>
                <w:lang w:val="ro-MD"/>
              </w:rPr>
              <w:t>1</w:t>
            </w:r>
            <w:r w:rsidRPr="00252BD5">
              <w:rPr>
                <w:rFonts w:ascii="Times New Roman" w:hAnsi="Times New Roman" w:cs="Times New Roman"/>
                <w:sz w:val="20"/>
                <w:szCs w:val="20"/>
                <w:vertAlign w:val="superscript"/>
                <w:lang w:val="ro-MD"/>
              </w:rPr>
              <w:t>2</w:t>
            </w:r>
            <w:r w:rsidRPr="00252BD5">
              <w:rPr>
                <w:rFonts w:ascii="Times New Roman" w:hAnsi="Times New Roman" w:cs="Times New Roman"/>
                <w:sz w:val="20"/>
                <w:szCs w:val="20"/>
                <w:lang w:val="ro-MD"/>
              </w:rPr>
              <w:t>) cu următorul cuprins:</w:t>
            </w:r>
          </w:p>
          <w:p w:rsidR="00004102" w:rsidRPr="00252BD5" w:rsidRDefault="00004102" w:rsidP="00975AA9">
            <w:pPr>
              <w:pStyle w:val="NoSpacing"/>
              <w:jc w:val="both"/>
              <w:rPr>
                <w:rFonts w:ascii="Times New Roman" w:hAnsi="Times New Roman" w:cs="Times New Roman"/>
                <w:sz w:val="20"/>
                <w:szCs w:val="20"/>
                <w:lang w:val="ro-MD"/>
              </w:rPr>
            </w:pPr>
            <w:r w:rsidRPr="00252BD5">
              <w:rPr>
                <w:rFonts w:ascii="Times New Roman" w:hAnsi="Times New Roman" w:cs="Times New Roman"/>
                <w:sz w:val="20"/>
                <w:szCs w:val="20"/>
                <w:lang w:val="ro-MD"/>
              </w:rPr>
              <w:lastRenderedPageBreak/>
              <w:t xml:space="preserve"> „(1</w:t>
            </w:r>
            <w:r w:rsidRPr="00252BD5">
              <w:rPr>
                <w:rFonts w:ascii="Times New Roman" w:hAnsi="Times New Roman" w:cs="Times New Roman"/>
                <w:sz w:val="20"/>
                <w:szCs w:val="20"/>
                <w:vertAlign w:val="superscript"/>
                <w:lang w:val="ro-MD"/>
              </w:rPr>
              <w:t>1</w:t>
            </w:r>
            <w:r w:rsidRPr="00252BD5">
              <w:rPr>
                <w:rFonts w:ascii="Times New Roman" w:hAnsi="Times New Roman" w:cs="Times New Roman"/>
                <w:sz w:val="20"/>
                <w:szCs w:val="20"/>
                <w:lang w:val="ro-MD"/>
              </w:rPr>
              <w:t>) În exercitarea atribuțiilor prevăzute de alin.(1), actele sau înscrisurile care nu pot fi obținute de Banca Națională de la alte autorități publice vor fi solicitate de la participanții procedurilor administrative.</w:t>
            </w:r>
          </w:p>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lang w:val="ro-MD"/>
              </w:rPr>
              <w:t>(1</w:t>
            </w:r>
            <w:r w:rsidRPr="00252BD5">
              <w:rPr>
                <w:rFonts w:ascii="Times New Roman" w:hAnsi="Times New Roman" w:cs="Times New Roman"/>
                <w:sz w:val="20"/>
                <w:szCs w:val="20"/>
                <w:vertAlign w:val="superscript"/>
                <w:lang w:val="ro-MD"/>
              </w:rPr>
              <w:t>2</w:t>
            </w:r>
            <w:r w:rsidRPr="00252BD5">
              <w:rPr>
                <w:rFonts w:ascii="Times New Roman" w:hAnsi="Times New Roman" w:cs="Times New Roman"/>
                <w:sz w:val="20"/>
                <w:szCs w:val="20"/>
                <w:lang w:val="ro-MD"/>
              </w:rPr>
              <w:t>) Dacă legea prevede consultarea obligatorie a altor autorități publice sau dreptul Băncii Naționale de a se consulta cu alte autorități publice înainte de adoptarea unui act al Băncii Naționale, termenul în care trebuie finalizată procedura administrativă se suspendă pe perioada consultării, cu informarea participantului la procedură despre acest fapt.”</w:t>
            </w:r>
          </w:p>
          <w:p w:rsidR="00004102" w:rsidRPr="00004102"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t>alineatul (5) se completeaz</w:t>
            </w:r>
            <w:r w:rsidRPr="00252BD5">
              <w:rPr>
                <w:rFonts w:ascii="Times New Roman" w:hAnsi="Times New Roman" w:cs="Times New Roman"/>
                <w:sz w:val="20"/>
                <w:szCs w:val="20"/>
                <w:lang w:val="ro-MD"/>
              </w:rPr>
              <w:t xml:space="preserve">ă cu textul </w:t>
            </w:r>
            <w:r w:rsidRPr="00252BD5">
              <w:rPr>
                <w:rFonts w:ascii="Times New Roman" w:hAnsi="Times New Roman" w:cs="Times New Roman"/>
                <w:sz w:val="20"/>
                <w:szCs w:val="20"/>
              </w:rPr>
              <w:t>“</w:t>
            </w:r>
            <w:r w:rsidRPr="00252BD5">
              <w:rPr>
                <w:rFonts w:ascii="Times New Roman" w:hAnsi="Times New Roman" w:cs="Times New Roman"/>
                <w:sz w:val="20"/>
                <w:szCs w:val="20"/>
                <w:lang w:val="ro-MD"/>
              </w:rPr>
              <w:t>Prevederile Codului Administrativ nu sunt aplicabile procedurii de elaborare, aprobare, aplicare și retragere sau revocare a  m</w:t>
            </w:r>
            <w:r w:rsidRPr="00252BD5">
              <w:rPr>
                <w:rFonts w:ascii="Times New Roman" w:eastAsia="Times New Roman" w:hAnsi="Times New Roman" w:cs="Times New Roman"/>
                <w:color w:val="353838"/>
                <w:sz w:val="20"/>
                <w:szCs w:val="20"/>
              </w:rPr>
              <w:t>ăsurilor prevăzute în</w:t>
            </w:r>
            <w:r w:rsidRPr="00252BD5">
              <w:rPr>
                <w:rFonts w:ascii="Times New Roman" w:hAnsi="Times New Roman" w:cs="Times New Roman"/>
                <w:sz w:val="20"/>
                <w:szCs w:val="20"/>
              </w:rPr>
              <w:t xml:space="preserve"> prezentul alineat”.</w:t>
            </w: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lastRenderedPageBreak/>
              <w:t>Ministerul Justiției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nr.04/121371 din 17.12.2019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t>Referitor la redacţia propusă pentru art. 5 alin. (1</w:t>
            </w:r>
            <w:r w:rsidRPr="00252BD5">
              <w:rPr>
                <w:rFonts w:ascii="Times New Roman" w:hAnsi="Times New Roman" w:cs="Times New Roman"/>
                <w:sz w:val="20"/>
                <w:szCs w:val="20"/>
                <w:vertAlign w:val="superscript"/>
              </w:rPr>
              <w:t>1</w:t>
            </w:r>
            <w:r w:rsidRPr="00252BD5">
              <w:rPr>
                <w:rFonts w:ascii="Times New Roman" w:hAnsi="Times New Roman" w:cs="Times New Roman"/>
                <w:sz w:val="20"/>
                <w:szCs w:val="20"/>
              </w:rPr>
              <w:t xml:space="preserve">) se va revedea </w:t>
            </w:r>
            <w:proofErr w:type="gramStart"/>
            <w:r w:rsidRPr="00252BD5">
              <w:rPr>
                <w:rFonts w:ascii="Times New Roman" w:hAnsi="Times New Roman" w:cs="Times New Roman"/>
                <w:sz w:val="20"/>
                <w:szCs w:val="20"/>
              </w:rPr>
              <w:t>textul  „</w:t>
            </w:r>
            <w:proofErr w:type="gramEnd"/>
            <w:r w:rsidRPr="00252BD5">
              <w:rPr>
                <w:rFonts w:ascii="Times New Roman" w:hAnsi="Times New Roman" w:cs="Times New Roman"/>
                <w:sz w:val="20"/>
                <w:szCs w:val="20"/>
              </w:rPr>
              <w:t xml:space="preserve">actele sau înscrisurile care nu pot fi obţinute de Banca Naţională de la alte  autorităţi publice” în contextul în care autorităţile publice nu emit înscrisuri. </w:t>
            </w:r>
          </w:p>
          <w:p w:rsidR="00004102" w:rsidRPr="00252BD5" w:rsidRDefault="00004102" w:rsidP="00004102">
            <w:pPr>
              <w:pStyle w:val="NoSpacing"/>
              <w:jc w:val="both"/>
              <w:rPr>
                <w:rFonts w:ascii="Times New Roman" w:hAnsi="Times New Roman" w:cs="Times New Roman"/>
                <w:sz w:val="20"/>
                <w:szCs w:val="20"/>
              </w:rPr>
            </w:pP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Redacţia art. 5 alin. (1</w:t>
            </w:r>
            <w:r w:rsidRPr="00252BD5">
              <w:rPr>
                <w:rFonts w:ascii="Times New Roman" w:hAnsi="Times New Roman" w:cs="Times New Roman"/>
                <w:sz w:val="20"/>
                <w:szCs w:val="20"/>
                <w:vertAlign w:val="superscript"/>
              </w:rPr>
              <w:t>2</w:t>
            </w:r>
            <w:r w:rsidRPr="00252BD5">
              <w:rPr>
                <w:rFonts w:ascii="Times New Roman" w:hAnsi="Times New Roman" w:cs="Times New Roman"/>
                <w:sz w:val="20"/>
                <w:szCs w:val="20"/>
              </w:rPr>
              <w:t xml:space="preserve">) necesită a fi reformulată. Or, cuvintele „consultarea obligatorie a altor autorităţi publice sau” sunt inutile, fapt pentru care se vor exclude. Totodată, se vor revedea cuvintele „termenul în care trebuie finalizată procedura administrativă se suspendă pe perioada consultării”. Or, potrivit art. </w:t>
            </w:r>
            <w:proofErr w:type="gramStart"/>
            <w:r w:rsidRPr="00252BD5">
              <w:rPr>
                <w:rFonts w:ascii="Times New Roman" w:hAnsi="Times New Roman" w:cs="Times New Roman"/>
                <w:sz w:val="20"/>
                <w:szCs w:val="20"/>
              </w:rPr>
              <w:t>81  alin</w:t>
            </w:r>
            <w:proofErr w:type="gramEnd"/>
            <w:r w:rsidRPr="00252BD5">
              <w:rPr>
                <w:rFonts w:ascii="Times New Roman" w:hAnsi="Times New Roman" w:cs="Times New Roman"/>
                <w:sz w:val="20"/>
                <w:szCs w:val="20"/>
              </w:rPr>
              <w:t xml:space="preserve">. (2) şi (4) al </w:t>
            </w:r>
            <w:r w:rsidRPr="00252BD5">
              <w:rPr>
                <w:rFonts w:ascii="Times New Roman" w:hAnsi="Times New Roman" w:cs="Times New Roman"/>
                <w:i/>
                <w:iCs/>
                <w:sz w:val="20"/>
                <w:szCs w:val="20"/>
              </w:rPr>
              <w:t>Codului administrativ</w:t>
            </w:r>
            <w:r w:rsidRPr="00252BD5">
              <w:rPr>
                <w:rFonts w:ascii="Times New Roman" w:hAnsi="Times New Roman" w:cs="Times New Roman"/>
                <w:sz w:val="20"/>
                <w:szCs w:val="20"/>
              </w:rPr>
              <w:t xml:space="preserve"> procedura administrativa se suspendă, </w:t>
            </w:r>
            <w:proofErr w:type="gramStart"/>
            <w:r w:rsidRPr="00252BD5">
              <w:rPr>
                <w:rFonts w:ascii="Times New Roman" w:hAnsi="Times New Roman" w:cs="Times New Roman"/>
                <w:sz w:val="20"/>
                <w:szCs w:val="20"/>
              </w:rPr>
              <w:t>iar  termenul</w:t>
            </w:r>
            <w:proofErr w:type="gramEnd"/>
            <w:r w:rsidRPr="00252BD5">
              <w:rPr>
                <w:rFonts w:ascii="Times New Roman" w:hAnsi="Times New Roman" w:cs="Times New Roman"/>
                <w:sz w:val="20"/>
                <w:szCs w:val="20"/>
              </w:rPr>
              <w:t xml:space="preserve"> pe perioada suspendării procedurii nu curge.</w:t>
            </w:r>
          </w:p>
          <w:p w:rsidR="00004102" w:rsidRPr="00252BD5" w:rsidRDefault="00004102" w:rsidP="00252BD5">
            <w:pPr>
              <w:pStyle w:val="NoSpacing"/>
              <w:rPr>
                <w:rFonts w:ascii="Times New Roman" w:hAnsi="Times New Roman" w:cs="Times New Roman"/>
                <w:sz w:val="20"/>
                <w:szCs w:val="20"/>
              </w:rPr>
            </w:pPr>
          </w:p>
        </w:tc>
        <w:tc>
          <w:tcPr>
            <w:tcW w:w="1048"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lastRenderedPageBreak/>
              <w:t>Nu se acceptă.</w:t>
            </w: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A vedea, spre ex., art.96-114 din Codul administrativ care reglementează notificarea </w:t>
            </w:r>
            <w:r w:rsidRPr="00252BD5">
              <w:rPr>
                <w:rFonts w:ascii="Times New Roman" w:hAnsi="Times New Roman" w:cs="Times New Roman"/>
                <w:i/>
                <w:sz w:val="20"/>
                <w:szCs w:val="20"/>
              </w:rPr>
              <w:lastRenderedPageBreak/>
              <w:t xml:space="preserve">înscrisurilor </w:t>
            </w:r>
            <w:r w:rsidRPr="00252BD5">
              <w:rPr>
                <w:rFonts w:ascii="Times New Roman" w:hAnsi="Times New Roman" w:cs="Times New Roman"/>
                <w:sz w:val="20"/>
                <w:szCs w:val="20"/>
              </w:rPr>
              <w:t>emise de autoritățile publice.</w:t>
            </w:r>
          </w:p>
          <w:p w:rsidR="00004102" w:rsidRPr="00252BD5" w:rsidRDefault="00004102" w:rsidP="00004102">
            <w:pPr>
              <w:pStyle w:val="NoSpacing"/>
              <w:jc w:val="both"/>
              <w:rPr>
                <w:rFonts w:ascii="Times New Roman" w:hAnsi="Times New Roman" w:cs="Times New Roman"/>
                <w:sz w:val="20"/>
                <w:szCs w:val="20"/>
              </w:rPr>
            </w:pPr>
          </w:p>
          <w:p w:rsidR="00004102" w:rsidRPr="00252BD5" w:rsidRDefault="00004102" w:rsidP="00004102">
            <w:pPr>
              <w:pStyle w:val="NoSpacing"/>
              <w:jc w:val="both"/>
              <w:rPr>
                <w:rFonts w:ascii="Times New Roman" w:hAnsi="Times New Roman" w:cs="Times New Roman"/>
                <w:b/>
                <w:sz w:val="20"/>
                <w:szCs w:val="20"/>
              </w:rPr>
            </w:pPr>
            <w:r w:rsidRPr="00CC0B1B">
              <w:rPr>
                <w:rFonts w:ascii="Times New Roman" w:hAnsi="Times New Roman" w:cs="Times New Roman"/>
                <w:b/>
                <w:sz w:val="20"/>
                <w:szCs w:val="20"/>
              </w:rPr>
              <w:t>Nu se acceptă.</w:t>
            </w: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Textul „consultarea obligatorie a altor autorităţi publice sau” nu poate fi exclus, întrucât ipoteza normei se referă la două situații distincte: obligația consultării unei alte autorități înainte de adoptarea unui act și dreptul/opțiunea consultării unei autorități. Referitor la stipularea suspendării termenului procedurii, întrucât norma criticată reglementează o situație distinctă de cea prevăzută la art.81 (2) din Codul administrativ, este necesar a se preciza aspectul suspendării termenului.</w:t>
            </w:r>
          </w:p>
          <w:p w:rsidR="00004102" w:rsidRPr="00252BD5" w:rsidRDefault="00004102" w:rsidP="00252BD5">
            <w:pPr>
              <w:pStyle w:val="NoSpacing"/>
              <w:rPr>
                <w:rFonts w:ascii="Times New Roman" w:hAnsi="Times New Roman" w:cs="Times New Roman"/>
                <w:sz w:val="20"/>
                <w:szCs w:val="20"/>
              </w:rPr>
            </w:pPr>
          </w:p>
        </w:tc>
      </w:tr>
      <w:tr w:rsidR="00004102" w:rsidRPr="00252BD5" w:rsidTr="00004102">
        <w:trPr>
          <w:gridAfter w:val="1"/>
          <w:wAfter w:w="3" w:type="pct"/>
        </w:trPr>
        <w:tc>
          <w:tcPr>
            <w:tcW w:w="1221" w:type="pct"/>
          </w:tcPr>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lastRenderedPageBreak/>
              <w:t>Articolul 11 se modifică după cum urmează:</w:t>
            </w:r>
          </w:p>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t>alineatul (4) se modifică după cum urmează:</w:t>
            </w:r>
          </w:p>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textul “Legea contenciosului” se substituie cu </w:t>
            </w:r>
            <w:proofErr w:type="gramStart"/>
            <w:r w:rsidRPr="00252BD5">
              <w:rPr>
                <w:rFonts w:ascii="Times New Roman" w:hAnsi="Times New Roman" w:cs="Times New Roman"/>
                <w:sz w:val="20"/>
                <w:szCs w:val="20"/>
              </w:rPr>
              <w:t xml:space="preserve">cuvântul </w:t>
            </w:r>
            <w:r w:rsidRPr="00252BD5">
              <w:rPr>
                <w:rFonts w:ascii="Times New Roman" w:hAnsi="Times New Roman" w:cs="Times New Roman"/>
                <w:sz w:val="20"/>
                <w:szCs w:val="20"/>
                <w:lang w:val="ro-MD"/>
              </w:rPr>
              <w:t xml:space="preserve"> </w:t>
            </w:r>
            <w:r w:rsidRPr="00252BD5">
              <w:rPr>
                <w:rFonts w:ascii="Times New Roman" w:hAnsi="Times New Roman" w:cs="Times New Roman"/>
                <w:sz w:val="20"/>
                <w:szCs w:val="20"/>
              </w:rPr>
              <w:t>“</w:t>
            </w:r>
            <w:proofErr w:type="gramEnd"/>
            <w:r w:rsidRPr="00252BD5">
              <w:rPr>
                <w:rFonts w:ascii="Times New Roman" w:hAnsi="Times New Roman" w:cs="Times New Roman"/>
                <w:sz w:val="20"/>
                <w:szCs w:val="20"/>
              </w:rPr>
              <w:t xml:space="preserve">Codul”, iar după cuvântul </w:t>
            </w:r>
            <w:r w:rsidRPr="00252BD5">
              <w:rPr>
                <w:rFonts w:ascii="Times New Roman" w:hAnsi="Times New Roman" w:cs="Times New Roman"/>
                <w:sz w:val="20"/>
                <w:szCs w:val="20"/>
                <w:lang w:val="ro-MD"/>
              </w:rPr>
              <w:t xml:space="preserve"> </w:t>
            </w:r>
            <w:r w:rsidRPr="00252BD5">
              <w:rPr>
                <w:rFonts w:ascii="Times New Roman" w:hAnsi="Times New Roman" w:cs="Times New Roman"/>
                <w:sz w:val="20"/>
                <w:szCs w:val="20"/>
              </w:rPr>
              <w:t xml:space="preserve">“cerințelor” se introduc cuvintele </w:t>
            </w:r>
            <w:r w:rsidRPr="00252BD5">
              <w:rPr>
                <w:rFonts w:ascii="Times New Roman" w:hAnsi="Times New Roman" w:cs="Times New Roman"/>
                <w:sz w:val="20"/>
                <w:szCs w:val="20"/>
                <w:lang w:val="ro-MD"/>
              </w:rPr>
              <w:t xml:space="preserve"> </w:t>
            </w:r>
            <w:r w:rsidRPr="00252BD5">
              <w:rPr>
                <w:rFonts w:ascii="Times New Roman" w:hAnsi="Times New Roman" w:cs="Times New Roman"/>
                <w:sz w:val="20"/>
                <w:szCs w:val="20"/>
              </w:rPr>
              <w:t>“speciale ale”.</w:t>
            </w:r>
          </w:p>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t>alineatul se completeaz</w:t>
            </w:r>
            <w:r w:rsidRPr="00252BD5">
              <w:rPr>
                <w:rFonts w:ascii="Times New Roman" w:hAnsi="Times New Roman" w:cs="Times New Roman"/>
                <w:sz w:val="20"/>
                <w:szCs w:val="20"/>
                <w:lang w:val="ro-MD"/>
              </w:rPr>
              <w:t xml:space="preserve">ă cu textul </w:t>
            </w:r>
            <w:r w:rsidRPr="00252BD5">
              <w:rPr>
                <w:rFonts w:ascii="Times New Roman" w:hAnsi="Times New Roman" w:cs="Times New Roman"/>
                <w:sz w:val="20"/>
                <w:szCs w:val="20"/>
              </w:rPr>
              <w:t xml:space="preserve">“Dacă instanța de judecată anulează în tot sau în parte actul administrativ individual de respingere a solicitării sau o eventuală decizie adoptată în procedura prealabilă și obligă Banca Națională să emită un act administrativ individual, Banca Națională aplică termenul prevăzut de lege pentru examinarea unei asemenea solicitări din partea unui participant al procedurii administrative și evaluările de </w:t>
            </w:r>
            <w:r w:rsidRPr="00252BD5">
              <w:rPr>
                <w:rFonts w:ascii="Times New Roman" w:hAnsi="Times New Roman" w:cs="Times New Roman"/>
                <w:sz w:val="20"/>
                <w:szCs w:val="20"/>
              </w:rPr>
              <w:lastRenderedPageBreak/>
              <w:t>oportunitate cerute de lege, inclusiv cu luarea în considerare a circumstanțelor de oportunitate noi.”</w:t>
            </w:r>
          </w:p>
          <w:p w:rsidR="00004102" w:rsidRPr="00252BD5" w:rsidRDefault="00004102" w:rsidP="00CC0B1B">
            <w:pPr>
              <w:pStyle w:val="NoSpacing"/>
              <w:rPr>
                <w:rFonts w:ascii="Times New Roman" w:hAnsi="Times New Roman" w:cs="Times New Roman"/>
                <w:sz w:val="20"/>
                <w:szCs w:val="20"/>
              </w:rPr>
            </w:pP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lastRenderedPageBreak/>
              <w:t>Ministerul Justiției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i/>
                <w:sz w:val="20"/>
                <w:szCs w:val="20"/>
              </w:rPr>
            </w:pPr>
            <w:r w:rsidRPr="00252BD5">
              <w:rPr>
                <w:rFonts w:ascii="Times New Roman" w:hAnsi="Times New Roman" w:cs="Times New Roman"/>
                <w:sz w:val="20"/>
                <w:szCs w:val="20"/>
              </w:rPr>
              <w:t>Aviz nr.04/121371 din 17.12.2019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Referitor la propunerea de modificare a art. 11 alin. (4) din </w:t>
            </w:r>
            <w:r w:rsidRPr="00252BD5">
              <w:rPr>
                <w:rFonts w:ascii="Times New Roman" w:hAnsi="Times New Roman" w:cs="Times New Roman"/>
                <w:i/>
                <w:iCs/>
                <w:sz w:val="20"/>
                <w:szCs w:val="20"/>
              </w:rPr>
              <w:t>Legea nr.548/1995 cu privire la Banca Națională</w:t>
            </w:r>
            <w:r w:rsidRPr="00252BD5">
              <w:rPr>
                <w:rFonts w:ascii="Times New Roman" w:hAnsi="Times New Roman" w:cs="Times New Roman"/>
                <w:sz w:val="20"/>
                <w:szCs w:val="20"/>
              </w:rPr>
              <w:t xml:space="preserve"> menționăm că, completarea cu </w:t>
            </w:r>
            <w:proofErr w:type="gramStart"/>
            <w:r w:rsidRPr="00252BD5">
              <w:rPr>
                <w:rFonts w:ascii="Times New Roman" w:hAnsi="Times New Roman" w:cs="Times New Roman"/>
                <w:sz w:val="20"/>
                <w:szCs w:val="20"/>
              </w:rPr>
              <w:t>cuvintele  „</w:t>
            </w:r>
            <w:proofErr w:type="gramEnd"/>
            <w:r w:rsidRPr="00252BD5">
              <w:rPr>
                <w:rFonts w:ascii="Times New Roman" w:hAnsi="Times New Roman" w:cs="Times New Roman"/>
                <w:sz w:val="20"/>
                <w:szCs w:val="20"/>
              </w:rPr>
              <w:t xml:space="preserve">speciale ale” nu este necesară, în contextul prevederilor art. 5 alin. (3) din </w:t>
            </w:r>
            <w:proofErr w:type="gramStart"/>
            <w:r w:rsidRPr="00252BD5">
              <w:rPr>
                <w:rFonts w:ascii="Times New Roman" w:hAnsi="Times New Roman" w:cs="Times New Roman"/>
                <w:i/>
                <w:iCs/>
                <w:sz w:val="20"/>
                <w:szCs w:val="20"/>
              </w:rPr>
              <w:t>Legea  nr</w:t>
            </w:r>
            <w:proofErr w:type="gramEnd"/>
            <w:r w:rsidRPr="00252BD5">
              <w:rPr>
                <w:rFonts w:ascii="Times New Roman" w:hAnsi="Times New Roman" w:cs="Times New Roman"/>
                <w:i/>
                <w:iCs/>
                <w:sz w:val="20"/>
                <w:szCs w:val="20"/>
              </w:rPr>
              <w:t xml:space="preserve">. 100/2017 </w:t>
            </w:r>
            <w:r w:rsidRPr="00252BD5">
              <w:rPr>
                <w:rFonts w:ascii="Times New Roman" w:hAnsi="Times New Roman" w:cs="Times New Roman"/>
                <w:sz w:val="20"/>
                <w:szCs w:val="20"/>
              </w:rPr>
              <w:t xml:space="preserve">potrivit cărora normele juridice speciale sunt aplicabile </w:t>
            </w:r>
            <w:proofErr w:type="gramStart"/>
            <w:r w:rsidRPr="00252BD5">
              <w:rPr>
                <w:rFonts w:ascii="Times New Roman" w:hAnsi="Times New Roman" w:cs="Times New Roman"/>
                <w:sz w:val="20"/>
                <w:szCs w:val="20"/>
              </w:rPr>
              <w:t>în  exclusivitate</w:t>
            </w:r>
            <w:proofErr w:type="gramEnd"/>
            <w:r w:rsidRPr="00252BD5">
              <w:rPr>
                <w:rFonts w:ascii="Times New Roman" w:hAnsi="Times New Roman" w:cs="Times New Roman"/>
                <w:sz w:val="20"/>
                <w:szCs w:val="20"/>
              </w:rPr>
              <w:t xml:space="preserve"> anumitor categorii de raporturi sociale sau subiecţi strict determinaţi.  În caz de divergenţă între o normă generală şi o normă specială, care se conţin </w:t>
            </w:r>
            <w:proofErr w:type="gramStart"/>
            <w:r w:rsidRPr="00252BD5">
              <w:rPr>
                <w:rFonts w:ascii="Times New Roman" w:hAnsi="Times New Roman" w:cs="Times New Roman"/>
                <w:sz w:val="20"/>
                <w:szCs w:val="20"/>
              </w:rPr>
              <w:t>în  acte</w:t>
            </w:r>
            <w:proofErr w:type="gramEnd"/>
            <w:r w:rsidRPr="00252BD5">
              <w:rPr>
                <w:rFonts w:ascii="Times New Roman" w:hAnsi="Times New Roman" w:cs="Times New Roman"/>
                <w:sz w:val="20"/>
                <w:szCs w:val="20"/>
              </w:rPr>
              <w:t xml:space="preserve"> normative de acelaşi nivel, se aplică norma specială.</w:t>
            </w:r>
          </w:p>
          <w:p w:rsidR="00004102" w:rsidRPr="00252BD5" w:rsidRDefault="00004102" w:rsidP="00252BD5">
            <w:pPr>
              <w:pStyle w:val="NoSpacing"/>
              <w:rPr>
                <w:rFonts w:ascii="Times New Roman" w:hAnsi="Times New Roman" w:cs="Times New Roman"/>
                <w:sz w:val="20"/>
                <w:szCs w:val="20"/>
              </w:rPr>
            </w:pP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De asemenea, la propunerea de completare a art. 11 alin. (4) din </w:t>
            </w:r>
            <w:r w:rsidRPr="00252BD5">
              <w:rPr>
                <w:rFonts w:ascii="Times New Roman" w:hAnsi="Times New Roman" w:cs="Times New Roman"/>
                <w:i/>
                <w:iCs/>
                <w:sz w:val="20"/>
                <w:szCs w:val="20"/>
              </w:rPr>
              <w:t>Legea nr. 548/1995</w:t>
            </w:r>
            <w:r w:rsidRPr="00252BD5">
              <w:rPr>
                <w:rFonts w:ascii="Times New Roman" w:hAnsi="Times New Roman" w:cs="Times New Roman"/>
                <w:sz w:val="20"/>
                <w:szCs w:val="20"/>
              </w:rPr>
              <w:t xml:space="preserve"> menționăm că, din textul propus spre completare nu reiese clar că, Banca Națională va emite actul administrativ individual, din moment ce este o hotătîre a instanței în acest sens. Astfel, se va ține cont de </w:t>
            </w:r>
            <w:r w:rsidRPr="00252BD5">
              <w:rPr>
                <w:rFonts w:ascii="Times New Roman" w:hAnsi="Times New Roman" w:cs="Times New Roman"/>
                <w:sz w:val="20"/>
                <w:szCs w:val="20"/>
              </w:rPr>
              <w:lastRenderedPageBreak/>
              <w:t xml:space="preserve">prevederile art. 120 din </w:t>
            </w:r>
            <w:r w:rsidRPr="00252BD5">
              <w:rPr>
                <w:rFonts w:ascii="Times New Roman" w:hAnsi="Times New Roman" w:cs="Times New Roman"/>
                <w:i/>
                <w:iCs/>
                <w:sz w:val="20"/>
                <w:szCs w:val="20"/>
              </w:rPr>
              <w:t xml:space="preserve">Constituție </w:t>
            </w:r>
            <w:r w:rsidRPr="00252BD5">
              <w:rPr>
                <w:rFonts w:ascii="Times New Roman" w:hAnsi="Times New Roman" w:cs="Times New Roman"/>
                <w:sz w:val="20"/>
                <w:szCs w:val="20"/>
              </w:rPr>
              <w:t>care consacră obligativitatea hotărârilor judecătorești definitive potrivit căruia, este  obligatorie respectarea sentinţelor şi a altor hotărîri definitive ale instanţelor  judecătoreşti, precum şi colaborarea solicitată de acestea în timpul procesului, al  executării sentinţelor şi a altor hotărîri judecătoreşti definitive.</w:t>
            </w:r>
          </w:p>
        </w:tc>
        <w:tc>
          <w:tcPr>
            <w:tcW w:w="1048"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lastRenderedPageBreak/>
              <w:t>Se acceptă.</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b/>
                <w:sz w:val="20"/>
                <w:szCs w:val="20"/>
              </w:rPr>
            </w:pPr>
          </w:p>
          <w:p w:rsidR="00004102" w:rsidRPr="00CC0B1B" w:rsidRDefault="00004102" w:rsidP="00252BD5">
            <w:pPr>
              <w:pStyle w:val="NoSpacing"/>
              <w:rPr>
                <w:rFonts w:ascii="Times New Roman" w:hAnsi="Times New Roman" w:cs="Times New Roman"/>
                <w:b/>
                <w:sz w:val="20"/>
                <w:szCs w:val="20"/>
              </w:rPr>
            </w:pPr>
            <w:r w:rsidRPr="00CC0B1B">
              <w:rPr>
                <w:rFonts w:ascii="Times New Roman" w:hAnsi="Times New Roman" w:cs="Times New Roman"/>
                <w:b/>
                <w:sz w:val="20"/>
                <w:szCs w:val="20"/>
              </w:rPr>
              <w:t>Se acceptă parțial.</w:t>
            </w:r>
          </w:p>
          <w:p w:rsidR="00004102" w:rsidRPr="00CC0B1B" w:rsidRDefault="00004102" w:rsidP="00004102">
            <w:pPr>
              <w:pStyle w:val="NoSpacing"/>
              <w:jc w:val="both"/>
              <w:rPr>
                <w:rFonts w:ascii="Times New Roman" w:hAnsi="Times New Roman" w:cs="Times New Roman"/>
                <w:sz w:val="20"/>
                <w:szCs w:val="20"/>
              </w:rPr>
            </w:pPr>
            <w:proofErr w:type="gramStart"/>
            <w:r w:rsidRPr="00CC0B1B">
              <w:rPr>
                <w:rFonts w:ascii="Times New Roman" w:hAnsi="Times New Roman" w:cs="Times New Roman"/>
                <w:sz w:val="20"/>
                <w:szCs w:val="20"/>
              </w:rPr>
              <w:t>Propunerea  de</w:t>
            </w:r>
            <w:proofErr w:type="gramEnd"/>
            <w:r w:rsidRPr="00CC0B1B">
              <w:rPr>
                <w:rFonts w:ascii="Times New Roman" w:hAnsi="Times New Roman" w:cs="Times New Roman"/>
                <w:sz w:val="20"/>
                <w:szCs w:val="20"/>
              </w:rPr>
              <w:t xml:space="preserve"> completare este corelată cu prevederile actuale ale art.11 alin.(4)-(5) din Legea nr.548/1995, potrivit cărora actele Băncii Naționale se supun </w:t>
            </w:r>
            <w:r w:rsidRPr="00CC0B1B">
              <w:rPr>
                <w:rFonts w:ascii="Times New Roman" w:hAnsi="Times New Roman" w:cs="Times New Roman"/>
                <w:sz w:val="20"/>
                <w:szCs w:val="20"/>
              </w:rPr>
              <w:lastRenderedPageBreak/>
              <w:t>controlului de legalitate în instanțele de contencios administrativ, dar nu și controlului de oportunitate.</w:t>
            </w:r>
          </w:p>
          <w:p w:rsidR="00004102" w:rsidRPr="00252BD5" w:rsidRDefault="00004102" w:rsidP="00252BD5">
            <w:pPr>
              <w:pStyle w:val="NoSpacing"/>
              <w:rPr>
                <w:rFonts w:ascii="Times New Roman" w:hAnsi="Times New Roman" w:cs="Times New Roman"/>
                <w:b/>
                <w:sz w:val="20"/>
                <w:szCs w:val="20"/>
              </w:rPr>
            </w:pPr>
            <w:r w:rsidRPr="00CC0B1B">
              <w:rPr>
                <w:rFonts w:ascii="Times New Roman" w:hAnsi="Times New Roman" w:cs="Times New Roman"/>
                <w:sz w:val="20"/>
                <w:szCs w:val="20"/>
              </w:rPr>
              <w:t>Prevederea propusă a fost precizată și, pentru claritate, transferată la alin.(5).</w:t>
            </w:r>
          </w:p>
        </w:tc>
      </w:tr>
      <w:tr w:rsidR="00004102" w:rsidRPr="00252BD5" w:rsidTr="00004102">
        <w:trPr>
          <w:gridAfter w:val="1"/>
          <w:wAfter w:w="3" w:type="pct"/>
        </w:trPr>
        <w:tc>
          <w:tcPr>
            <w:tcW w:w="1221" w:type="pct"/>
          </w:tcPr>
          <w:p w:rsidR="00004102" w:rsidRPr="00252BD5" w:rsidRDefault="00004102" w:rsidP="00CC0B1B">
            <w:pPr>
              <w:pStyle w:val="NoSpacing"/>
              <w:rPr>
                <w:rFonts w:ascii="Times New Roman" w:hAnsi="Times New Roman" w:cs="Times New Roman"/>
                <w:sz w:val="20"/>
                <w:szCs w:val="20"/>
              </w:rPr>
            </w:pPr>
            <w:r w:rsidRPr="00252BD5">
              <w:rPr>
                <w:rFonts w:ascii="Times New Roman" w:hAnsi="Times New Roman" w:cs="Times New Roman"/>
                <w:sz w:val="20"/>
                <w:szCs w:val="20"/>
              </w:rPr>
              <w:lastRenderedPageBreak/>
              <w:t>Se completează cu articolele 11</w:t>
            </w:r>
            <w:r w:rsidRPr="00252BD5">
              <w:rPr>
                <w:rFonts w:ascii="Times New Roman" w:hAnsi="Times New Roman" w:cs="Times New Roman"/>
                <w:sz w:val="20"/>
                <w:szCs w:val="20"/>
                <w:vertAlign w:val="superscript"/>
              </w:rPr>
              <w:t>2</w:t>
            </w:r>
            <w:r w:rsidRPr="00252BD5">
              <w:rPr>
                <w:rFonts w:ascii="Times New Roman" w:hAnsi="Times New Roman" w:cs="Times New Roman"/>
                <w:sz w:val="20"/>
                <w:szCs w:val="20"/>
              </w:rPr>
              <w:t xml:space="preserve"> </w:t>
            </w: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(7) Atunci când persoana care este destinatarul unui act al Băncii Naționale a furnizat Băncii Naționale un număr de fax, Banca Națională poate notifica actul său prin transmiterea prin telefax a unei copii a actului. Actul Băncii Naționale este considerat ca fiind notificat destinatarului dacă Banca Națională a primit raportul pentru verificarea transmiterii ce confirmă transmiterea cu succes a faxului.</w:t>
            </w: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Ministerul Justiției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nr.04/121371 din 17.12.2019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t>La propunerea de completare cu art. 11</w:t>
            </w:r>
            <w:r w:rsidRPr="00252BD5">
              <w:rPr>
                <w:rFonts w:ascii="Times New Roman" w:hAnsi="Times New Roman" w:cs="Times New Roman"/>
                <w:sz w:val="20"/>
                <w:szCs w:val="20"/>
                <w:vertAlign w:val="superscript"/>
              </w:rPr>
              <w:t>2</w:t>
            </w:r>
            <w:r w:rsidRPr="00252BD5">
              <w:rPr>
                <w:rFonts w:ascii="Times New Roman" w:hAnsi="Times New Roman" w:cs="Times New Roman"/>
                <w:sz w:val="20"/>
                <w:szCs w:val="20"/>
              </w:rPr>
              <w:t xml:space="preserve"> la alin. (7) întru asigurarea </w:t>
            </w:r>
            <w:proofErr w:type="gramStart"/>
            <w:r w:rsidRPr="00252BD5">
              <w:rPr>
                <w:rFonts w:ascii="Times New Roman" w:hAnsi="Times New Roman" w:cs="Times New Roman"/>
                <w:sz w:val="20"/>
                <w:szCs w:val="20"/>
              </w:rPr>
              <w:t>condiției  preciziei</w:t>
            </w:r>
            <w:proofErr w:type="gramEnd"/>
            <w:r w:rsidRPr="00252BD5">
              <w:rPr>
                <w:rFonts w:ascii="Times New Roman" w:hAnsi="Times New Roman" w:cs="Times New Roman"/>
                <w:sz w:val="20"/>
                <w:szCs w:val="20"/>
              </w:rPr>
              <w:t xml:space="preserve"> normei juridice cuvîntul „poate” urmează a fi substituit cu cuvîntul „va”.  </w:t>
            </w:r>
          </w:p>
        </w:tc>
        <w:tc>
          <w:tcPr>
            <w:tcW w:w="1048"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Se acceptă.</w:t>
            </w:r>
          </w:p>
          <w:p w:rsidR="00004102" w:rsidRPr="00252BD5" w:rsidRDefault="00004102" w:rsidP="00252BD5">
            <w:pPr>
              <w:pStyle w:val="NoSpacing"/>
              <w:rPr>
                <w:rFonts w:ascii="Times New Roman" w:hAnsi="Times New Roman" w:cs="Times New Roman"/>
                <w:b/>
                <w:sz w:val="20"/>
                <w:szCs w:val="20"/>
              </w:rPr>
            </w:pPr>
          </w:p>
        </w:tc>
      </w:tr>
      <w:tr w:rsidR="00004102" w:rsidRPr="00252BD5" w:rsidTr="00004102">
        <w:trPr>
          <w:gridAfter w:val="1"/>
          <w:wAfter w:w="3" w:type="pct"/>
        </w:trPr>
        <w:tc>
          <w:tcPr>
            <w:tcW w:w="1221" w:type="pct"/>
          </w:tcPr>
          <w:p w:rsidR="00004102" w:rsidRPr="00252BD5" w:rsidRDefault="00004102" w:rsidP="00975AA9">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Articolul </w:t>
            </w:r>
            <w:proofErr w:type="gramStart"/>
            <w:r w:rsidRPr="00252BD5">
              <w:rPr>
                <w:rFonts w:ascii="Times New Roman" w:hAnsi="Times New Roman" w:cs="Times New Roman"/>
                <w:sz w:val="20"/>
                <w:szCs w:val="20"/>
              </w:rPr>
              <w:t>75</w:t>
            </w:r>
            <w:r w:rsidRPr="00252BD5">
              <w:rPr>
                <w:rFonts w:ascii="Times New Roman" w:hAnsi="Times New Roman" w:cs="Times New Roman"/>
                <w:sz w:val="20"/>
                <w:szCs w:val="20"/>
                <w:vertAlign w:val="superscript"/>
              </w:rPr>
              <w:t xml:space="preserve">1 </w:t>
            </w:r>
            <w:r w:rsidRPr="00252BD5">
              <w:rPr>
                <w:rFonts w:ascii="Times New Roman" w:hAnsi="Times New Roman" w:cs="Times New Roman"/>
                <w:sz w:val="20"/>
                <w:szCs w:val="20"/>
              </w:rPr>
              <w:t xml:space="preserve"> se</w:t>
            </w:r>
            <w:proofErr w:type="gramEnd"/>
            <w:r w:rsidRPr="00252BD5">
              <w:rPr>
                <w:rFonts w:ascii="Times New Roman" w:hAnsi="Times New Roman" w:cs="Times New Roman"/>
                <w:sz w:val="20"/>
                <w:szCs w:val="20"/>
              </w:rPr>
              <w:t xml:space="preserve"> modifică după cum urmează:</w:t>
            </w:r>
          </w:p>
          <w:p w:rsidR="00004102" w:rsidRPr="00252BD5" w:rsidRDefault="00004102" w:rsidP="00004102">
            <w:pPr>
              <w:pStyle w:val="NoSpacing"/>
              <w:jc w:val="both"/>
              <w:rPr>
                <w:rFonts w:ascii="Times New Roman" w:hAnsi="Times New Roman" w:cs="Times New Roman"/>
                <w:sz w:val="20"/>
                <w:szCs w:val="20"/>
                <w:lang w:val="ro-MD"/>
              </w:rPr>
            </w:pPr>
            <w:r w:rsidRPr="00252BD5">
              <w:rPr>
                <w:rFonts w:ascii="Times New Roman" w:hAnsi="Times New Roman" w:cs="Times New Roman"/>
                <w:sz w:val="20"/>
                <w:szCs w:val="20"/>
              </w:rPr>
              <w:t>se completeaz</w:t>
            </w:r>
            <w:r w:rsidRPr="00252BD5">
              <w:rPr>
                <w:rFonts w:ascii="Times New Roman" w:hAnsi="Times New Roman" w:cs="Times New Roman"/>
                <w:sz w:val="20"/>
                <w:szCs w:val="20"/>
                <w:lang w:val="ro-MD"/>
              </w:rPr>
              <w:t>ă cu alineatul (2</w:t>
            </w:r>
            <w:r w:rsidRPr="00252BD5">
              <w:rPr>
                <w:rFonts w:ascii="Times New Roman" w:hAnsi="Times New Roman" w:cs="Times New Roman"/>
                <w:sz w:val="20"/>
                <w:szCs w:val="20"/>
                <w:vertAlign w:val="superscript"/>
                <w:lang w:val="ro-MD"/>
              </w:rPr>
              <w:t>1</w:t>
            </w:r>
            <w:r w:rsidRPr="00252BD5">
              <w:rPr>
                <w:rFonts w:ascii="Times New Roman" w:hAnsi="Times New Roman" w:cs="Times New Roman"/>
                <w:sz w:val="20"/>
                <w:szCs w:val="20"/>
                <w:lang w:val="ro-MD"/>
              </w:rPr>
              <w:t xml:space="preserve">) cu următorul cuprins: </w:t>
            </w:r>
            <w:r w:rsidRPr="00252BD5">
              <w:rPr>
                <w:rFonts w:ascii="Times New Roman" w:hAnsi="Times New Roman" w:cs="Times New Roman"/>
                <w:sz w:val="20"/>
                <w:szCs w:val="20"/>
              </w:rPr>
              <w:t>“(2</w:t>
            </w:r>
            <w:r w:rsidRPr="00252BD5">
              <w:rPr>
                <w:rFonts w:ascii="Times New Roman" w:hAnsi="Times New Roman" w:cs="Times New Roman"/>
                <w:sz w:val="20"/>
                <w:szCs w:val="20"/>
                <w:vertAlign w:val="superscript"/>
              </w:rPr>
              <w:t>1</w:t>
            </w:r>
            <w:r w:rsidRPr="00252BD5">
              <w:rPr>
                <w:rFonts w:ascii="Times New Roman" w:hAnsi="Times New Roman" w:cs="Times New Roman"/>
                <w:sz w:val="20"/>
                <w:szCs w:val="20"/>
              </w:rPr>
              <w:t>) Persoana supusă controlului este obligată să ofere inspectorilor acces direct și liber, în timp util, la informațiile digitalizate, programele și aplicațiile, bazele de date necesare efectuării controlului”.</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br/>
            </w: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Centrul Național pentru Protecția Datelor cu Caracter Personal</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nr.04-01/133 din 16.01.2020</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Întru respectarea drepturilor subiecților de date cu caracter personal, în procesul efectuării controlului din partea BNM, CNPDCP intervine cu recomandarea de a complete art.75</w:t>
            </w:r>
            <w:r w:rsidRPr="00252BD5">
              <w:rPr>
                <w:rFonts w:ascii="Times New Roman" w:hAnsi="Times New Roman" w:cs="Times New Roman"/>
                <w:sz w:val="20"/>
                <w:szCs w:val="20"/>
                <w:vertAlign w:val="superscript"/>
              </w:rPr>
              <w:t>1</w:t>
            </w:r>
            <w:r w:rsidRPr="00252BD5">
              <w:rPr>
                <w:rFonts w:ascii="Times New Roman" w:hAnsi="Times New Roman" w:cs="Times New Roman"/>
                <w:sz w:val="20"/>
                <w:szCs w:val="20"/>
              </w:rPr>
              <w:t xml:space="preserve"> alin.(2</w:t>
            </w:r>
            <w:r w:rsidRPr="00252BD5">
              <w:rPr>
                <w:rFonts w:ascii="Times New Roman" w:hAnsi="Times New Roman" w:cs="Times New Roman"/>
                <w:sz w:val="20"/>
                <w:szCs w:val="20"/>
                <w:vertAlign w:val="superscript"/>
              </w:rPr>
              <w:t>1</w:t>
            </w:r>
            <w:r w:rsidRPr="00252BD5">
              <w:rPr>
                <w:rFonts w:ascii="Times New Roman" w:hAnsi="Times New Roman" w:cs="Times New Roman"/>
                <w:sz w:val="20"/>
                <w:szCs w:val="20"/>
              </w:rPr>
              <w:t>) cu următorul cuprins: “În procesul efectuării controlului, vor fi prelucrate doar date cu caracter personal strict necesare, neexcesive scopului stabilit, conform competențelor atribuite inspectorilor, asigurându-se un nivel de securitate și confidențialitate adecvat în ceea ce privește riscurile prezentate de prelucrare și caracterul datelor, conform principiilor stabilite de legislația privind protecția datelor cu caracter personal.”</w:t>
            </w:r>
          </w:p>
        </w:tc>
        <w:tc>
          <w:tcPr>
            <w:tcW w:w="1048" w:type="pct"/>
            <w:shd w:val="clear" w:color="auto" w:fill="auto"/>
          </w:tcPr>
          <w:p w:rsidR="00004102" w:rsidRPr="00CC0B1B" w:rsidRDefault="00004102" w:rsidP="00252BD5">
            <w:pPr>
              <w:pStyle w:val="NoSpacing"/>
              <w:rPr>
                <w:rFonts w:ascii="Times New Roman" w:hAnsi="Times New Roman" w:cs="Times New Roman"/>
                <w:b/>
                <w:sz w:val="20"/>
                <w:szCs w:val="20"/>
              </w:rPr>
            </w:pPr>
            <w:r w:rsidRPr="00CC0B1B">
              <w:rPr>
                <w:rFonts w:ascii="Times New Roman" w:hAnsi="Times New Roman" w:cs="Times New Roman"/>
                <w:b/>
                <w:sz w:val="20"/>
                <w:szCs w:val="20"/>
              </w:rPr>
              <w:t>Nu se acceptă.</w:t>
            </w:r>
          </w:p>
          <w:p w:rsidR="00004102" w:rsidRPr="00CC0B1B" w:rsidRDefault="00004102" w:rsidP="00CC0B1B">
            <w:pPr>
              <w:pStyle w:val="NoSpacing"/>
              <w:jc w:val="both"/>
              <w:rPr>
                <w:rFonts w:ascii="Times New Roman" w:hAnsi="Times New Roman" w:cs="Times New Roman"/>
                <w:sz w:val="20"/>
                <w:szCs w:val="20"/>
              </w:rPr>
            </w:pPr>
            <w:r w:rsidRPr="00CC0B1B">
              <w:rPr>
                <w:rFonts w:ascii="Times New Roman" w:hAnsi="Times New Roman" w:cs="Times New Roman"/>
                <w:sz w:val="20"/>
                <w:szCs w:val="20"/>
              </w:rPr>
              <w:t>Norma propusă va încărca inutil textul art.75</w:t>
            </w:r>
            <w:r w:rsidRPr="00CC0B1B">
              <w:rPr>
                <w:rFonts w:ascii="Times New Roman" w:hAnsi="Times New Roman" w:cs="Times New Roman"/>
                <w:sz w:val="20"/>
                <w:szCs w:val="20"/>
                <w:vertAlign w:val="superscript"/>
              </w:rPr>
              <w:t>1</w:t>
            </w:r>
            <w:r w:rsidRPr="00CC0B1B">
              <w:rPr>
                <w:rFonts w:ascii="Times New Roman" w:hAnsi="Times New Roman" w:cs="Times New Roman"/>
                <w:sz w:val="20"/>
                <w:szCs w:val="20"/>
              </w:rPr>
              <w:t xml:space="preserve">, iar expresia acesteia se regăsește deja la art.5 </w:t>
            </w:r>
            <w:proofErr w:type="gramStart"/>
            <w:r w:rsidRPr="00CC0B1B">
              <w:rPr>
                <w:rFonts w:ascii="Times New Roman" w:hAnsi="Times New Roman" w:cs="Times New Roman"/>
                <w:sz w:val="20"/>
                <w:szCs w:val="20"/>
              </w:rPr>
              <w:t>alin.(</w:t>
            </w:r>
            <w:proofErr w:type="gramEnd"/>
            <w:r w:rsidRPr="00CC0B1B">
              <w:rPr>
                <w:rFonts w:ascii="Times New Roman" w:hAnsi="Times New Roman" w:cs="Times New Roman"/>
                <w:sz w:val="20"/>
                <w:szCs w:val="20"/>
              </w:rPr>
              <w:t>4) din Legea nr.548/1995. În plus, propunerea enumeră, în esență, principiile care trebuie respectate conform Legii nr.133/2011 privind protecția datelor cu caracter personal, fără a fi necesară reiterarea acestei obligații și în Legea nr.548/1995.</w:t>
            </w:r>
          </w:p>
        </w:tc>
      </w:tr>
      <w:tr w:rsidR="00975AA9" w:rsidRPr="00252BD5" w:rsidTr="00004102">
        <w:trPr>
          <w:gridAfter w:val="1"/>
          <w:wAfter w:w="3" w:type="pct"/>
        </w:trPr>
        <w:tc>
          <w:tcPr>
            <w:tcW w:w="1221" w:type="pct"/>
          </w:tcPr>
          <w:p w:rsid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b/>
                <w:sz w:val="20"/>
                <w:szCs w:val="20"/>
              </w:rPr>
              <w:t>Art.V – Articolul 23 alineatul (7) din Legea nr.234/2016 cu privire la cu privire la Depozitarul central unic al valorilor mobiliare (publicată în Monitorul Oficial al Republicii Moldova, 2016, nr.343-346, art.711),</w:t>
            </w:r>
            <w:r>
              <w:rPr>
                <w:rFonts w:ascii="Times New Roman" w:hAnsi="Times New Roman" w:cs="Times New Roman"/>
                <w:b/>
                <w:sz w:val="20"/>
                <w:szCs w:val="20"/>
              </w:rPr>
              <w:t xml:space="preserve"> </w:t>
            </w:r>
            <w:r w:rsidRPr="00975AA9">
              <w:rPr>
                <w:rFonts w:ascii="Times New Roman" w:hAnsi="Times New Roman" w:cs="Times New Roman"/>
                <w:sz w:val="20"/>
                <w:szCs w:val="20"/>
              </w:rPr>
              <w:t>se modifică după cum urmează</w:t>
            </w:r>
            <w:r>
              <w:rPr>
                <w:rFonts w:ascii="Times New Roman" w:hAnsi="Times New Roman" w:cs="Times New Roman"/>
                <w:sz w:val="20"/>
                <w:szCs w:val="20"/>
              </w:rPr>
              <w:t>:</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lastRenderedPageBreak/>
              <w:t>1. La art. 23 alineatul (7) va avea următorul cuprins:</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“(7) Banca Naţională a Moldovei efectuează controlul activităţii Depozitarului central, care se realizează de către personalul Băncii Naționale, împuternicit în acest sens, sau de către experți numiți de Banca Națională. La solicitarea Bancii Naționale, în echipa de control din oficiu sau pe teren, pot fi delegați angajați ai Comisiei Naţionale a Pieţei Financiare sau ex</w:t>
            </w:r>
            <w:r>
              <w:rPr>
                <w:rFonts w:ascii="Times New Roman" w:hAnsi="Times New Roman" w:cs="Times New Roman"/>
                <w:sz w:val="20"/>
                <w:szCs w:val="20"/>
              </w:rPr>
              <w:t>perți numiți de către aceasta.”</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2. Se completează cu articolul 231 cu următorul cuprins:</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“Articolul 231. Constatarea încălcărilor</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 xml:space="preserve">(1) Constatarea faptelor ce constituie încălcări se face de către personalul Băncii Naționale, împuternicit în acest sens, sau de către auditori financiari autorizați sau alți experți numiți de Banca Națională și (denumiți în continuare inspectori), în baza rapoartelor și a altor date prezentate potrivit legii și actelor normative ale Băncii Naționale sau la solicitarea expresă scrisă a Băncii Naționale (control din oficiu) ori în cursul inspecțiilor desfășurate la sediul Depozitarului central (control pe teren). </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(2) Constatarea încălcărilor se face, după caz, prin studiere și analiză a actelor de constituire, a regulamentelor și politicilor interne, a rapoartelor și dărilor de seamă, a actelor interne întocmite ca rezultat al operațiunilor efectuate, a actelor de evidență contabilă, a actelor de afaceri</w:t>
            </w:r>
            <w:r w:rsidRPr="00975AA9">
              <w:rPr>
                <w:rFonts w:ascii="Times New Roman" w:hAnsi="Times New Roman" w:cs="Times New Roman"/>
                <w:b/>
                <w:sz w:val="20"/>
                <w:szCs w:val="20"/>
              </w:rPr>
              <w:t xml:space="preserve"> </w:t>
            </w:r>
            <w:r w:rsidRPr="00975AA9">
              <w:rPr>
                <w:rFonts w:ascii="Times New Roman" w:hAnsi="Times New Roman" w:cs="Times New Roman"/>
                <w:sz w:val="20"/>
                <w:szCs w:val="20"/>
              </w:rPr>
              <w:t xml:space="preserve">cu caracter extern și intern (contracte, certificate, procese-verbale, cereri, note informative etc.), inclusiv referitoare la participanții Depozitarului și clienții acestora, a altor documente și date, pe </w:t>
            </w:r>
            <w:r w:rsidRPr="00975AA9">
              <w:rPr>
                <w:rFonts w:ascii="Times New Roman" w:hAnsi="Times New Roman" w:cs="Times New Roman"/>
                <w:sz w:val="20"/>
                <w:szCs w:val="20"/>
              </w:rPr>
              <w:lastRenderedPageBreak/>
              <w:t>suport de hârtie și/sau în formă electronică. Depozitarul central este obligat să ofere inspectorilor Băncii Naționale acces direct și liber, în timp util, la informațiile digitalizate, programele și aplicațiile, bazele de date necesare efectuării controlului.</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(3) Constatarea încălcărilor poate fi făcută pe baza rapoartelor și informațiilor analizate în cadrul monitorizării permanente din oficiu a activității Depozitarului central. În cadrul monitorizării permanente, Banca Națională poate iniția un control din oficiu sau pe teren. Monitorizarea permanentă din oficiu nu cade sub incidența prevederilor Codului administrativ.</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(4) Contro lul din oficiu și pe teren asupra Depozitarului central se efectuează conform particularităților și termenelor prevăzute de Legea nr.548/1995 cu privire la Banca Națională și de actele normative ale Băncii Naționale. Prevederile Codului administrativ nu se aplică controlului din oficiu</w:t>
            </w:r>
          </w:p>
          <w:p w:rsidR="00975AA9" w:rsidRPr="00975AA9" w:rsidRDefault="00975AA9" w:rsidP="00975AA9">
            <w:pPr>
              <w:pStyle w:val="NoSpacing"/>
              <w:jc w:val="both"/>
              <w:rPr>
                <w:rFonts w:ascii="Times New Roman" w:hAnsi="Times New Roman" w:cs="Times New Roman"/>
                <w:b/>
                <w:sz w:val="20"/>
                <w:szCs w:val="20"/>
              </w:rPr>
            </w:pPr>
            <w:r w:rsidRPr="00975AA9">
              <w:rPr>
                <w:rFonts w:ascii="Times New Roman" w:hAnsi="Times New Roman" w:cs="Times New Roman"/>
                <w:sz w:val="20"/>
                <w:szCs w:val="20"/>
              </w:rPr>
              <w:t>(5) Angajații delegați de către Comisia Naţională a Pieţei Financiare sau experții numiți de către aceasta să participe la efectuarea controlului vor emite o opinie consultativă privind aspectele pentru care au fost solicitați, care se semnează și se anexează la actul privind rezultatele controlului.”</w:t>
            </w:r>
          </w:p>
        </w:tc>
        <w:tc>
          <w:tcPr>
            <w:tcW w:w="792" w:type="pct"/>
          </w:tcPr>
          <w:p w:rsidR="00975AA9" w:rsidRPr="00252BD5" w:rsidRDefault="00975AA9" w:rsidP="00252BD5">
            <w:pPr>
              <w:pStyle w:val="NoSpacing"/>
              <w:rPr>
                <w:rFonts w:ascii="Times New Roman" w:hAnsi="Times New Roman" w:cs="Times New Roman"/>
                <w:b/>
                <w:sz w:val="20"/>
                <w:szCs w:val="20"/>
              </w:rPr>
            </w:pPr>
            <w:r w:rsidRPr="00975AA9">
              <w:rPr>
                <w:rFonts w:ascii="Times New Roman" w:hAnsi="Times New Roman" w:cs="Times New Roman"/>
                <w:b/>
                <w:sz w:val="20"/>
                <w:szCs w:val="20"/>
              </w:rPr>
              <w:lastRenderedPageBreak/>
              <w:t>Comisia Națională a Pieței Financiare</w:t>
            </w:r>
          </w:p>
        </w:tc>
        <w:tc>
          <w:tcPr>
            <w:tcW w:w="480" w:type="pct"/>
          </w:tcPr>
          <w:p w:rsidR="00975AA9" w:rsidRPr="00252BD5" w:rsidRDefault="00975AA9" w:rsidP="00252BD5">
            <w:pPr>
              <w:pStyle w:val="NoSpacing"/>
              <w:rPr>
                <w:rFonts w:ascii="Times New Roman" w:hAnsi="Times New Roman" w:cs="Times New Roman"/>
                <w:sz w:val="20"/>
                <w:szCs w:val="20"/>
              </w:rPr>
            </w:pPr>
          </w:p>
        </w:tc>
        <w:tc>
          <w:tcPr>
            <w:tcW w:w="1456" w:type="pct"/>
          </w:tcPr>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Stăruim să sensibilizăm atenția autorităților de resort asupra faptu</w:t>
            </w:r>
            <w:r>
              <w:rPr>
                <w:rFonts w:ascii="Times New Roman" w:hAnsi="Times New Roman" w:cs="Times New Roman"/>
                <w:sz w:val="20"/>
                <w:szCs w:val="20"/>
              </w:rPr>
              <w:t xml:space="preserve">lui că BNM, prin </w:t>
            </w:r>
            <w:r w:rsidRPr="00975AA9">
              <w:rPr>
                <w:rFonts w:ascii="Times New Roman" w:hAnsi="Times New Roman" w:cs="Times New Roman"/>
                <w:sz w:val="20"/>
                <w:szCs w:val="20"/>
              </w:rPr>
              <w:t>normele propuse, pretinde a i se conferi (în exclusivit</w:t>
            </w:r>
            <w:r>
              <w:rPr>
                <w:rFonts w:ascii="Times New Roman" w:hAnsi="Times New Roman" w:cs="Times New Roman"/>
                <w:sz w:val="20"/>
                <w:szCs w:val="20"/>
              </w:rPr>
              <w:t xml:space="preserve">ate) prerogative în calitate de </w:t>
            </w:r>
            <w:r w:rsidRPr="00975AA9">
              <w:rPr>
                <w:rFonts w:ascii="Times New Roman" w:hAnsi="Times New Roman" w:cs="Times New Roman"/>
                <w:sz w:val="20"/>
                <w:szCs w:val="20"/>
              </w:rPr>
              <w:t>unică autoritate publică în aplicarea dispozițiilor Legii nr.234/2016. În această ordine</w:t>
            </w:r>
            <w:r>
              <w:rPr>
                <w:rFonts w:ascii="Times New Roman" w:hAnsi="Times New Roman" w:cs="Times New Roman"/>
                <w:sz w:val="20"/>
                <w:szCs w:val="20"/>
              </w:rPr>
              <w:t xml:space="preserve"> </w:t>
            </w:r>
            <w:r w:rsidRPr="00975AA9">
              <w:rPr>
                <w:rFonts w:ascii="Times New Roman" w:hAnsi="Times New Roman" w:cs="Times New Roman"/>
                <w:sz w:val="20"/>
                <w:szCs w:val="20"/>
              </w:rPr>
              <w:t>de idei, CNPF reține atenția asupra faptului că în practica int</w:t>
            </w:r>
            <w:r>
              <w:rPr>
                <w:rFonts w:ascii="Times New Roman" w:hAnsi="Times New Roman" w:cs="Times New Roman"/>
                <w:sz w:val="20"/>
                <w:szCs w:val="20"/>
              </w:rPr>
              <w:t xml:space="preserve">ernațională, în special </w:t>
            </w:r>
            <w:r w:rsidRPr="00975AA9">
              <w:rPr>
                <w:rFonts w:ascii="Times New Roman" w:hAnsi="Times New Roman" w:cs="Times New Roman"/>
                <w:sz w:val="20"/>
                <w:szCs w:val="20"/>
              </w:rPr>
              <w:t>aquis-ul comunitar de nivelul II – Regulamentu</w:t>
            </w:r>
            <w:r>
              <w:rPr>
                <w:rFonts w:ascii="Times New Roman" w:hAnsi="Times New Roman" w:cs="Times New Roman"/>
                <w:sz w:val="20"/>
                <w:szCs w:val="20"/>
              </w:rPr>
              <w:t xml:space="preserve">l </w:t>
            </w:r>
            <w:r>
              <w:rPr>
                <w:rFonts w:ascii="Times New Roman" w:hAnsi="Times New Roman" w:cs="Times New Roman"/>
                <w:sz w:val="20"/>
                <w:szCs w:val="20"/>
              </w:rPr>
              <w:lastRenderedPageBreak/>
              <w:t xml:space="preserve">nr.909/2014 din 23.07.2014 al </w:t>
            </w:r>
            <w:r w:rsidRPr="00975AA9">
              <w:rPr>
                <w:rFonts w:ascii="Times New Roman" w:hAnsi="Times New Roman" w:cs="Times New Roman"/>
                <w:sz w:val="20"/>
                <w:szCs w:val="20"/>
              </w:rPr>
              <w:t>Parlamentului European și al Consiliului privind îmbunăt</w:t>
            </w:r>
            <w:r>
              <w:rPr>
                <w:rFonts w:ascii="Times New Roman" w:hAnsi="Times New Roman" w:cs="Times New Roman"/>
                <w:sz w:val="20"/>
                <w:szCs w:val="20"/>
              </w:rPr>
              <w:t xml:space="preserve">ățirea decontării titlurilor de </w:t>
            </w:r>
            <w:r w:rsidRPr="00975AA9">
              <w:rPr>
                <w:rFonts w:ascii="Times New Roman" w:hAnsi="Times New Roman" w:cs="Times New Roman"/>
                <w:sz w:val="20"/>
                <w:szCs w:val="20"/>
              </w:rPr>
              <w:t>valoare în Uniunea Europeană și privind depozitarii centrali de ti</w:t>
            </w:r>
            <w:r>
              <w:rPr>
                <w:rFonts w:ascii="Times New Roman" w:hAnsi="Times New Roman" w:cs="Times New Roman"/>
                <w:sz w:val="20"/>
                <w:szCs w:val="20"/>
              </w:rPr>
              <w:t xml:space="preserve">tluri de valoare și de </w:t>
            </w:r>
            <w:r w:rsidRPr="00975AA9">
              <w:rPr>
                <w:rFonts w:ascii="Times New Roman" w:hAnsi="Times New Roman" w:cs="Times New Roman"/>
                <w:sz w:val="20"/>
                <w:szCs w:val="20"/>
              </w:rPr>
              <w:t>modificare a Directivelor 98/26/CE și 2014</w:t>
            </w:r>
            <w:r>
              <w:rPr>
                <w:rFonts w:ascii="Times New Roman" w:hAnsi="Times New Roman" w:cs="Times New Roman"/>
                <w:sz w:val="20"/>
                <w:szCs w:val="20"/>
              </w:rPr>
              <w:t xml:space="preserve">/65/UE și a Regulamentului (UE) </w:t>
            </w:r>
            <w:r w:rsidRPr="00975AA9">
              <w:rPr>
                <w:rFonts w:ascii="Times New Roman" w:hAnsi="Times New Roman" w:cs="Times New Roman"/>
                <w:sz w:val="20"/>
                <w:szCs w:val="20"/>
              </w:rPr>
              <w:t>nr.236/2012, preluat ca bază pentru elaborarea Legii</w:t>
            </w:r>
            <w:r>
              <w:rPr>
                <w:rFonts w:ascii="Times New Roman" w:hAnsi="Times New Roman" w:cs="Times New Roman"/>
                <w:sz w:val="20"/>
                <w:szCs w:val="20"/>
              </w:rPr>
              <w:t xml:space="preserve"> nr.234/2016, responsabilitatea </w:t>
            </w:r>
            <w:r w:rsidRPr="00975AA9">
              <w:rPr>
                <w:rFonts w:ascii="Times New Roman" w:hAnsi="Times New Roman" w:cs="Times New Roman"/>
                <w:sz w:val="20"/>
                <w:szCs w:val="20"/>
              </w:rPr>
              <w:t>față de infrastructurile piețelor financiare este întotdeauna</w:t>
            </w:r>
            <w:r>
              <w:rPr>
                <w:rFonts w:ascii="Times New Roman" w:hAnsi="Times New Roman" w:cs="Times New Roman"/>
                <w:sz w:val="20"/>
                <w:szCs w:val="20"/>
              </w:rPr>
              <w:t xml:space="preserve"> partajată de către autoritatea </w:t>
            </w:r>
            <w:r w:rsidRPr="00975AA9">
              <w:rPr>
                <w:rFonts w:ascii="Times New Roman" w:hAnsi="Times New Roman" w:cs="Times New Roman"/>
                <w:sz w:val="20"/>
                <w:szCs w:val="20"/>
              </w:rPr>
              <w:t>responsabilă pentru piețele de instrumente financiare</w:t>
            </w:r>
            <w:r>
              <w:rPr>
                <w:rFonts w:ascii="Times New Roman" w:hAnsi="Times New Roman" w:cs="Times New Roman"/>
                <w:sz w:val="20"/>
                <w:szCs w:val="20"/>
              </w:rPr>
              <w:t xml:space="preserve"> și autoritatea responsabilă de </w:t>
            </w:r>
            <w:r w:rsidRPr="00975AA9">
              <w:rPr>
                <w:rFonts w:ascii="Times New Roman" w:hAnsi="Times New Roman" w:cs="Times New Roman"/>
                <w:sz w:val="20"/>
                <w:szCs w:val="20"/>
              </w:rPr>
              <w:t>sectorul bancar - de exemplu: ESMA în cooperare EBA.</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Corespunzător, băncilor centrale le sunt rezervate responsabilitățile și instrumentele specifice pe care le au în ceea ce privește evaluarea solidității sistemelor de plăți și de decontare - un control numit în ansamblu supraveghere macro-prudențială, implicit în speță, BNM are responsabilitatea primară pentru autorizarea, supravegherea, reglementarea și sancționarea DCU.</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A se avea în vedere, că autoritățile de reglementare și supraveghere a piețelor de capital</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sunt, de regulă, responsabile de buna funcționare a piețelor valorilor mobiliare și, prin urmare, acestea reglementează și supraveghează participanții și conduita (acestora) pe piețele respective (bursele de valori, intermediarii, investitorii, precum și alți participanți la piața de capital).</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Potrivit cadrului legal în vigoare, supravegherea pieței de capital este o funcție de bază a CNPF, iar DCU prestând servicii pe piața de capital (clearing și decontare întranzacțiile realizate pe BVM, evidența centralizată a</w:t>
            </w:r>
            <w:r>
              <w:rPr>
                <w:rFonts w:ascii="Times New Roman" w:hAnsi="Times New Roman" w:cs="Times New Roman"/>
                <w:sz w:val="20"/>
                <w:szCs w:val="20"/>
              </w:rPr>
              <w:t xml:space="preserve"> conturilor de valori mobiliare </w:t>
            </w:r>
            <w:r w:rsidRPr="00975AA9">
              <w:rPr>
                <w:rFonts w:ascii="Times New Roman" w:hAnsi="Times New Roman" w:cs="Times New Roman"/>
                <w:sz w:val="20"/>
                <w:szCs w:val="20"/>
              </w:rPr>
              <w:t>corporative), în mod inerent (firesc) devine element de infrastructură al acestei pieți.</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 xml:space="preserve">Prin urmare, BNM și CNPF trebuie să conlucreze în a </w:t>
            </w:r>
            <w:r>
              <w:rPr>
                <w:rFonts w:ascii="Times New Roman" w:hAnsi="Times New Roman" w:cs="Times New Roman"/>
                <w:sz w:val="20"/>
                <w:szCs w:val="20"/>
              </w:rPr>
              <w:t xml:space="preserve">promova siguranța, eficiența și </w:t>
            </w:r>
            <w:r w:rsidRPr="00975AA9">
              <w:rPr>
                <w:rFonts w:ascii="Times New Roman" w:hAnsi="Times New Roman" w:cs="Times New Roman"/>
                <w:sz w:val="20"/>
                <w:szCs w:val="20"/>
              </w:rPr>
              <w:t>integritatea pieței de capital și a sistemelor de decontar</w:t>
            </w:r>
            <w:r>
              <w:rPr>
                <w:rFonts w:ascii="Times New Roman" w:hAnsi="Times New Roman" w:cs="Times New Roman"/>
                <w:sz w:val="20"/>
                <w:szCs w:val="20"/>
              </w:rPr>
              <w:t xml:space="preserve">e a </w:t>
            </w:r>
            <w:r>
              <w:rPr>
                <w:rFonts w:ascii="Times New Roman" w:hAnsi="Times New Roman" w:cs="Times New Roman"/>
                <w:sz w:val="20"/>
                <w:szCs w:val="20"/>
              </w:rPr>
              <w:lastRenderedPageBreak/>
              <w:t xml:space="preserve">valorilor mobiliare astfel, </w:t>
            </w:r>
            <w:r w:rsidRPr="00975AA9">
              <w:rPr>
                <w:rFonts w:ascii="Times New Roman" w:hAnsi="Times New Roman" w:cs="Times New Roman"/>
                <w:sz w:val="20"/>
                <w:szCs w:val="20"/>
              </w:rPr>
              <w:t>încât o infrastructură a pieței financiare, așa cum est</w:t>
            </w:r>
            <w:r>
              <w:rPr>
                <w:rFonts w:ascii="Times New Roman" w:hAnsi="Times New Roman" w:cs="Times New Roman"/>
                <w:sz w:val="20"/>
                <w:szCs w:val="20"/>
              </w:rPr>
              <w:t xml:space="preserve">e definit prin lege DCU, să fie </w:t>
            </w:r>
            <w:r w:rsidRPr="00975AA9">
              <w:rPr>
                <w:rFonts w:ascii="Times New Roman" w:hAnsi="Times New Roman" w:cs="Times New Roman"/>
                <w:sz w:val="20"/>
                <w:szCs w:val="20"/>
              </w:rPr>
              <w:t>supravegheată și prin prisma activității sale pe piața de</w:t>
            </w:r>
            <w:r>
              <w:rPr>
                <w:rFonts w:ascii="Times New Roman" w:hAnsi="Times New Roman" w:cs="Times New Roman"/>
                <w:sz w:val="20"/>
                <w:szCs w:val="20"/>
              </w:rPr>
              <w:t xml:space="preserve"> capital (procedurile elaborate </w:t>
            </w:r>
            <w:r w:rsidRPr="00975AA9">
              <w:rPr>
                <w:rFonts w:ascii="Times New Roman" w:hAnsi="Times New Roman" w:cs="Times New Roman"/>
                <w:sz w:val="20"/>
                <w:szCs w:val="20"/>
              </w:rPr>
              <w:t>pe piața de capital, evidența conturilor de valori mob</w:t>
            </w:r>
            <w:r>
              <w:rPr>
                <w:rFonts w:ascii="Times New Roman" w:hAnsi="Times New Roman" w:cs="Times New Roman"/>
                <w:sz w:val="20"/>
                <w:szCs w:val="20"/>
              </w:rPr>
              <w:t xml:space="preserve">iliare corporative, decontarile </w:t>
            </w:r>
            <w:r w:rsidRPr="00975AA9">
              <w:rPr>
                <w:rFonts w:ascii="Times New Roman" w:hAnsi="Times New Roman" w:cs="Times New Roman"/>
                <w:sz w:val="20"/>
                <w:szCs w:val="20"/>
              </w:rPr>
              <w:t>efectuate pe piața de capital, transferurile directe reali</w:t>
            </w:r>
            <w:r>
              <w:rPr>
                <w:rFonts w:ascii="Times New Roman" w:hAnsi="Times New Roman" w:cs="Times New Roman"/>
                <w:sz w:val="20"/>
                <w:szCs w:val="20"/>
              </w:rPr>
              <w:t xml:space="preserve">zate OTC, etc). Or, în cazul în </w:t>
            </w:r>
            <w:r w:rsidRPr="00975AA9">
              <w:rPr>
                <w:rFonts w:ascii="Times New Roman" w:hAnsi="Times New Roman" w:cs="Times New Roman"/>
                <w:sz w:val="20"/>
                <w:szCs w:val="20"/>
              </w:rPr>
              <w:t xml:space="preserve">care această responsabilitate de supraveghere nu </w:t>
            </w:r>
            <w:r>
              <w:rPr>
                <w:rFonts w:ascii="Times New Roman" w:hAnsi="Times New Roman" w:cs="Times New Roman"/>
                <w:sz w:val="20"/>
                <w:szCs w:val="20"/>
              </w:rPr>
              <w:t xml:space="preserve">derivă dintr-un mandat specific </w:t>
            </w:r>
            <w:r w:rsidRPr="00975AA9">
              <w:rPr>
                <w:rFonts w:ascii="Times New Roman" w:hAnsi="Times New Roman" w:cs="Times New Roman"/>
                <w:sz w:val="20"/>
                <w:szCs w:val="20"/>
              </w:rPr>
              <w:t>legislativ va desconsidera (ignora) obiectivele de re</w:t>
            </w:r>
            <w:r>
              <w:rPr>
                <w:rFonts w:ascii="Times New Roman" w:hAnsi="Times New Roman" w:cs="Times New Roman"/>
                <w:sz w:val="20"/>
                <w:szCs w:val="20"/>
              </w:rPr>
              <w:t xml:space="preserve">glementare ale CNPF în domeniul </w:t>
            </w:r>
            <w:r w:rsidRPr="00975AA9">
              <w:rPr>
                <w:rFonts w:ascii="Times New Roman" w:hAnsi="Times New Roman" w:cs="Times New Roman"/>
                <w:sz w:val="20"/>
                <w:szCs w:val="20"/>
              </w:rPr>
              <w:t xml:space="preserve">de competență, inclusiv va devia de la „CPSS-IOSCO </w:t>
            </w:r>
            <w:r>
              <w:rPr>
                <w:rFonts w:ascii="Times New Roman" w:hAnsi="Times New Roman" w:cs="Times New Roman"/>
                <w:sz w:val="20"/>
                <w:szCs w:val="20"/>
              </w:rPr>
              <w:t xml:space="preserve">Principles for financial market </w:t>
            </w:r>
            <w:r w:rsidRPr="00975AA9">
              <w:rPr>
                <w:rFonts w:ascii="Times New Roman" w:hAnsi="Times New Roman" w:cs="Times New Roman"/>
                <w:sz w:val="20"/>
                <w:szCs w:val="20"/>
              </w:rPr>
              <w:t>infrastructures” în materia responsabilităților bănc</w:t>
            </w:r>
            <w:r>
              <w:rPr>
                <w:rFonts w:ascii="Times New Roman" w:hAnsi="Times New Roman" w:cs="Times New Roman"/>
                <w:sz w:val="20"/>
                <w:szCs w:val="20"/>
              </w:rPr>
              <w:t xml:space="preserve">ilor centrale, autorităților de </w:t>
            </w:r>
            <w:r w:rsidRPr="00975AA9">
              <w:rPr>
                <w:rFonts w:ascii="Times New Roman" w:hAnsi="Times New Roman" w:cs="Times New Roman"/>
                <w:sz w:val="20"/>
                <w:szCs w:val="20"/>
              </w:rPr>
              <w:t>reglementare a piețelor de capital, de reglementare și s</w:t>
            </w:r>
            <w:r>
              <w:rPr>
                <w:rFonts w:ascii="Times New Roman" w:hAnsi="Times New Roman" w:cs="Times New Roman"/>
                <w:sz w:val="20"/>
                <w:szCs w:val="20"/>
              </w:rPr>
              <w:t xml:space="preserve">upraveghere a infrastructurilor </w:t>
            </w:r>
            <w:r w:rsidRPr="00975AA9">
              <w:rPr>
                <w:rFonts w:ascii="Times New Roman" w:hAnsi="Times New Roman" w:cs="Times New Roman"/>
                <w:sz w:val="20"/>
                <w:szCs w:val="20"/>
              </w:rPr>
              <w:t>piețelor financiare.</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În susținerea celor consemnate, CNPF se pronunță pentru excluderea din proiectul de</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lege (număr unic 719/MF/BNM/2019) a amendament</w:t>
            </w:r>
            <w:r>
              <w:rPr>
                <w:rFonts w:ascii="Times New Roman" w:hAnsi="Times New Roman" w:cs="Times New Roman"/>
                <w:sz w:val="20"/>
                <w:szCs w:val="20"/>
              </w:rPr>
              <w:t xml:space="preserve">elor (inițiate de BNM) aferente </w:t>
            </w:r>
            <w:r w:rsidRPr="00975AA9">
              <w:rPr>
                <w:rFonts w:ascii="Times New Roman" w:hAnsi="Times New Roman" w:cs="Times New Roman"/>
                <w:sz w:val="20"/>
                <w:szCs w:val="20"/>
              </w:rPr>
              <w:t>Legii nr.234/2016 (art.23 - Supravegherea Depozitarulu</w:t>
            </w:r>
            <w:r>
              <w:rPr>
                <w:rFonts w:ascii="Times New Roman" w:hAnsi="Times New Roman" w:cs="Times New Roman"/>
                <w:sz w:val="20"/>
                <w:szCs w:val="20"/>
              </w:rPr>
              <w:t xml:space="preserve">i central), avându-se în vedere </w:t>
            </w:r>
            <w:r w:rsidRPr="00975AA9">
              <w:rPr>
                <w:rFonts w:ascii="Times New Roman" w:hAnsi="Times New Roman" w:cs="Times New Roman"/>
                <w:sz w:val="20"/>
                <w:szCs w:val="20"/>
              </w:rPr>
              <w:t>și considerentele, potrivit cărora:</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 xml:space="preserve">- CNPF și BNM în consultare cu FMI sunt în proces de </w:t>
            </w:r>
            <w:r>
              <w:rPr>
                <w:rFonts w:ascii="Times New Roman" w:hAnsi="Times New Roman" w:cs="Times New Roman"/>
                <w:sz w:val="20"/>
                <w:szCs w:val="20"/>
              </w:rPr>
              <w:t xml:space="preserve">revizuire a mai multor articole </w:t>
            </w:r>
            <w:r w:rsidRPr="00975AA9">
              <w:rPr>
                <w:rFonts w:ascii="Times New Roman" w:hAnsi="Times New Roman" w:cs="Times New Roman"/>
                <w:sz w:val="20"/>
                <w:szCs w:val="20"/>
              </w:rPr>
              <w:t>din Legea nr.234/2016, inclusiv pe partea supravegherii DCU;</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 xml:space="preserve">- Ministerul Finanțelor (la inițiativa CNPF) a înaintat pentru avizare proiectul </w:t>
            </w:r>
            <w:r>
              <w:rPr>
                <w:rFonts w:ascii="Times New Roman" w:hAnsi="Times New Roman" w:cs="Times New Roman"/>
                <w:sz w:val="20"/>
                <w:szCs w:val="20"/>
              </w:rPr>
              <w:t xml:space="preserve">de lege </w:t>
            </w:r>
            <w:r w:rsidRPr="00975AA9">
              <w:rPr>
                <w:rFonts w:ascii="Times New Roman" w:hAnsi="Times New Roman" w:cs="Times New Roman"/>
                <w:sz w:val="20"/>
                <w:szCs w:val="20"/>
              </w:rPr>
              <w:t>pentru modificarea Legii nr.171/2012 privi</w:t>
            </w:r>
            <w:r>
              <w:rPr>
                <w:rFonts w:ascii="Times New Roman" w:hAnsi="Times New Roman" w:cs="Times New Roman"/>
                <w:sz w:val="20"/>
                <w:szCs w:val="20"/>
              </w:rPr>
              <w:t xml:space="preserve">nd piața de capital (număr unic </w:t>
            </w:r>
            <w:r w:rsidRPr="00975AA9">
              <w:rPr>
                <w:rFonts w:ascii="Times New Roman" w:hAnsi="Times New Roman" w:cs="Times New Roman"/>
                <w:sz w:val="20"/>
                <w:szCs w:val="20"/>
              </w:rPr>
              <w:t>5/MF/CNPF/2020), care de asemenea conține element</w:t>
            </w:r>
            <w:r>
              <w:rPr>
                <w:rFonts w:ascii="Times New Roman" w:hAnsi="Times New Roman" w:cs="Times New Roman"/>
                <w:sz w:val="20"/>
                <w:szCs w:val="20"/>
              </w:rPr>
              <w:t xml:space="preserve">e de amendare în aspecte legate </w:t>
            </w:r>
            <w:r w:rsidRPr="00975AA9">
              <w:rPr>
                <w:rFonts w:ascii="Times New Roman" w:hAnsi="Times New Roman" w:cs="Times New Roman"/>
                <w:sz w:val="20"/>
                <w:szCs w:val="20"/>
              </w:rPr>
              <w:t>de supravegherea DCU din partea CNPF.</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În sensul celor expuse, propunem în Legea nr.234/2016 cu privire la Depozitarul</w:t>
            </w:r>
            <w:r>
              <w:rPr>
                <w:rFonts w:ascii="Times New Roman" w:hAnsi="Times New Roman" w:cs="Times New Roman"/>
                <w:sz w:val="20"/>
                <w:szCs w:val="20"/>
              </w:rPr>
              <w:t xml:space="preserve"> </w:t>
            </w:r>
            <w:r w:rsidRPr="00975AA9">
              <w:rPr>
                <w:rFonts w:ascii="Times New Roman" w:hAnsi="Times New Roman" w:cs="Times New Roman"/>
                <w:sz w:val="20"/>
                <w:szCs w:val="20"/>
              </w:rPr>
              <w:t>central unic al valorilor mobiliare (Monitorul Ofici</w:t>
            </w:r>
            <w:r>
              <w:rPr>
                <w:rFonts w:ascii="Times New Roman" w:hAnsi="Times New Roman" w:cs="Times New Roman"/>
                <w:sz w:val="20"/>
                <w:szCs w:val="20"/>
              </w:rPr>
              <w:t xml:space="preserve">al al Republicii Moldova, 2016, </w:t>
            </w:r>
            <w:r w:rsidRPr="00975AA9">
              <w:rPr>
                <w:rFonts w:ascii="Times New Roman" w:hAnsi="Times New Roman" w:cs="Times New Roman"/>
                <w:sz w:val="20"/>
                <w:szCs w:val="20"/>
              </w:rPr>
              <w:t xml:space="preserve">nr.343–346, art.711), </w:t>
            </w:r>
            <w:r w:rsidRPr="00975AA9">
              <w:rPr>
                <w:rFonts w:ascii="Times New Roman" w:hAnsi="Times New Roman" w:cs="Times New Roman"/>
                <w:sz w:val="20"/>
                <w:szCs w:val="20"/>
              </w:rPr>
              <w:lastRenderedPageBreak/>
              <w:t>cu modificările ulterioare, a se modifică după cum urmează:</w:t>
            </w:r>
          </w:p>
          <w:p w:rsidR="00975AA9" w:rsidRPr="00975AA9" w:rsidRDefault="00975AA9" w:rsidP="00975AA9">
            <w:pPr>
              <w:pStyle w:val="NoSpacing"/>
              <w:jc w:val="both"/>
              <w:rPr>
                <w:rFonts w:ascii="Times New Roman" w:hAnsi="Times New Roman" w:cs="Times New Roman"/>
                <w:sz w:val="20"/>
                <w:szCs w:val="20"/>
              </w:rPr>
            </w:pPr>
            <w:r w:rsidRPr="00975AA9">
              <w:rPr>
                <w:rFonts w:ascii="Times New Roman" w:hAnsi="Times New Roman" w:cs="Times New Roman"/>
                <w:sz w:val="20"/>
                <w:szCs w:val="20"/>
              </w:rPr>
              <w:t>1. La articolul 23. Supravegherea Depozitarului cent</w:t>
            </w:r>
            <w:r>
              <w:rPr>
                <w:rFonts w:ascii="Times New Roman" w:hAnsi="Times New Roman" w:cs="Times New Roman"/>
                <w:sz w:val="20"/>
                <w:szCs w:val="20"/>
              </w:rPr>
              <w:t>ral se completează cu alineatul (11</w:t>
            </w:r>
            <w:r w:rsidRPr="00975AA9">
              <w:rPr>
                <w:rFonts w:ascii="Times New Roman" w:hAnsi="Times New Roman" w:cs="Times New Roman"/>
                <w:sz w:val="20"/>
                <w:szCs w:val="20"/>
              </w:rPr>
              <w:t>), cu următorul cuprins:</w:t>
            </w:r>
          </w:p>
          <w:p w:rsidR="00975AA9" w:rsidRPr="00252BD5" w:rsidRDefault="00975AA9" w:rsidP="00975AA9">
            <w:pPr>
              <w:pStyle w:val="NoSpacing"/>
              <w:jc w:val="both"/>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11</w:t>
            </w:r>
            <w:r w:rsidRPr="00975AA9">
              <w:rPr>
                <w:rFonts w:ascii="Times New Roman" w:hAnsi="Times New Roman" w:cs="Times New Roman"/>
                <w:sz w:val="20"/>
                <w:szCs w:val="20"/>
              </w:rPr>
              <w:t>) Fără a aduce atingere competențelor Bănci</w:t>
            </w:r>
            <w:r>
              <w:rPr>
                <w:rFonts w:ascii="Times New Roman" w:hAnsi="Times New Roman" w:cs="Times New Roman"/>
                <w:sz w:val="20"/>
                <w:szCs w:val="20"/>
              </w:rPr>
              <w:t xml:space="preserve">i Naționale a Moldovei, Comisia </w:t>
            </w:r>
            <w:r w:rsidRPr="00975AA9">
              <w:rPr>
                <w:rFonts w:ascii="Times New Roman" w:hAnsi="Times New Roman" w:cs="Times New Roman"/>
                <w:sz w:val="20"/>
                <w:szCs w:val="20"/>
              </w:rPr>
              <w:t>Națională a Pieței Financiare supraveghează activitatea Depozitarului cen</w:t>
            </w:r>
            <w:r>
              <w:rPr>
                <w:rFonts w:ascii="Times New Roman" w:hAnsi="Times New Roman" w:cs="Times New Roman"/>
                <w:sz w:val="20"/>
                <w:szCs w:val="20"/>
              </w:rPr>
              <w:t xml:space="preserve">tral în partea </w:t>
            </w:r>
            <w:r w:rsidRPr="00975AA9">
              <w:rPr>
                <w:rFonts w:ascii="Times New Roman" w:hAnsi="Times New Roman" w:cs="Times New Roman"/>
                <w:sz w:val="20"/>
                <w:szCs w:val="20"/>
              </w:rPr>
              <w:t>ce ține de înregistrarea, circulația și evidența valoril</w:t>
            </w:r>
            <w:r>
              <w:rPr>
                <w:rFonts w:ascii="Times New Roman" w:hAnsi="Times New Roman" w:cs="Times New Roman"/>
                <w:sz w:val="20"/>
                <w:szCs w:val="20"/>
              </w:rPr>
              <w:t xml:space="preserve">or mobiliare corporative. Întru </w:t>
            </w:r>
            <w:r w:rsidRPr="00975AA9">
              <w:rPr>
                <w:rFonts w:ascii="Times New Roman" w:hAnsi="Times New Roman" w:cs="Times New Roman"/>
                <w:sz w:val="20"/>
                <w:szCs w:val="20"/>
              </w:rPr>
              <w:t>aplicarea prevederilor prezentului alineat, Depozit</w:t>
            </w:r>
            <w:r>
              <w:rPr>
                <w:rFonts w:ascii="Times New Roman" w:hAnsi="Times New Roman" w:cs="Times New Roman"/>
                <w:sz w:val="20"/>
                <w:szCs w:val="20"/>
              </w:rPr>
              <w:t xml:space="preserve">arul central respectă cerințele </w:t>
            </w:r>
            <w:r w:rsidRPr="00975AA9">
              <w:rPr>
                <w:rFonts w:ascii="Times New Roman" w:hAnsi="Times New Roman" w:cs="Times New Roman"/>
                <w:sz w:val="20"/>
                <w:szCs w:val="20"/>
              </w:rPr>
              <w:t>actelor normative ale Comisiei Naționale a Pieței Financiare coordonat</w:t>
            </w:r>
            <w:r>
              <w:rPr>
                <w:rFonts w:ascii="Times New Roman" w:hAnsi="Times New Roman" w:cs="Times New Roman"/>
                <w:sz w:val="20"/>
                <w:szCs w:val="20"/>
              </w:rPr>
              <w:t xml:space="preserve">e cu Banca </w:t>
            </w:r>
            <w:r w:rsidRPr="00975AA9">
              <w:rPr>
                <w:rFonts w:ascii="Times New Roman" w:hAnsi="Times New Roman" w:cs="Times New Roman"/>
                <w:sz w:val="20"/>
                <w:szCs w:val="20"/>
              </w:rPr>
              <w:t xml:space="preserve">Națională a Moldovei, inclusiv de prezentare </w:t>
            </w:r>
            <w:r>
              <w:rPr>
                <w:rFonts w:ascii="Times New Roman" w:hAnsi="Times New Roman" w:cs="Times New Roman"/>
                <w:sz w:val="20"/>
                <w:szCs w:val="20"/>
              </w:rPr>
              <w:t xml:space="preserve">a informației periodice privind </w:t>
            </w:r>
            <w:r w:rsidRPr="00975AA9">
              <w:rPr>
                <w:rFonts w:ascii="Times New Roman" w:hAnsi="Times New Roman" w:cs="Times New Roman"/>
                <w:sz w:val="20"/>
                <w:szCs w:val="20"/>
              </w:rPr>
              <w:t>tranzacțiile cu valorile mobiliare corporative admise p</w:t>
            </w:r>
            <w:r>
              <w:rPr>
                <w:rFonts w:ascii="Times New Roman" w:hAnsi="Times New Roman" w:cs="Times New Roman"/>
                <w:sz w:val="20"/>
                <w:szCs w:val="20"/>
              </w:rPr>
              <w:t xml:space="preserve">e piața reglementată/MTF sau în </w:t>
            </w:r>
            <w:r w:rsidRPr="00975AA9">
              <w:rPr>
                <w:rFonts w:ascii="Times New Roman" w:hAnsi="Times New Roman" w:cs="Times New Roman"/>
                <w:sz w:val="20"/>
                <w:szCs w:val="20"/>
              </w:rPr>
              <w:t>afara acestora, executate pe aceste piețe și decontate prin intermediul Depozitar</w:t>
            </w:r>
            <w:r>
              <w:rPr>
                <w:rFonts w:ascii="Times New Roman" w:hAnsi="Times New Roman" w:cs="Times New Roman"/>
                <w:sz w:val="20"/>
                <w:szCs w:val="20"/>
              </w:rPr>
              <w:t>ului central.</w:t>
            </w:r>
            <w:r w:rsidRPr="00975AA9">
              <w:rPr>
                <w:rFonts w:ascii="Times New Roman" w:hAnsi="Times New Roman" w:cs="Times New Roman"/>
                <w:sz w:val="20"/>
                <w:szCs w:val="20"/>
              </w:rPr>
              <w:t>”</w:t>
            </w:r>
          </w:p>
        </w:tc>
        <w:tc>
          <w:tcPr>
            <w:tcW w:w="1048" w:type="pct"/>
            <w:shd w:val="clear" w:color="auto" w:fill="auto"/>
          </w:tcPr>
          <w:p w:rsidR="00975AA9" w:rsidRPr="00975AA9" w:rsidRDefault="00975AA9" w:rsidP="00975AA9">
            <w:pPr>
              <w:pStyle w:val="NoSpacing"/>
              <w:rPr>
                <w:rFonts w:ascii="Times New Roman" w:hAnsi="Times New Roman" w:cs="Times New Roman"/>
                <w:b/>
                <w:sz w:val="20"/>
                <w:szCs w:val="20"/>
              </w:rPr>
            </w:pPr>
            <w:r w:rsidRPr="00975AA9">
              <w:rPr>
                <w:rFonts w:ascii="Times New Roman" w:hAnsi="Times New Roman" w:cs="Times New Roman"/>
                <w:b/>
                <w:sz w:val="20"/>
                <w:szCs w:val="20"/>
              </w:rPr>
              <w:lastRenderedPageBreak/>
              <w:t>Se acceptă parțial</w:t>
            </w:r>
          </w:p>
          <w:p w:rsidR="00975AA9" w:rsidRPr="00975AA9" w:rsidRDefault="00975AA9" w:rsidP="00975AA9">
            <w:pPr>
              <w:pStyle w:val="NoSpacing"/>
              <w:rPr>
                <w:rFonts w:ascii="Times New Roman" w:hAnsi="Times New Roman" w:cs="Times New Roman"/>
                <w:sz w:val="20"/>
                <w:szCs w:val="20"/>
              </w:rPr>
            </w:pPr>
            <w:r w:rsidRPr="00975AA9">
              <w:rPr>
                <w:rFonts w:ascii="Times New Roman" w:hAnsi="Times New Roman" w:cs="Times New Roman"/>
                <w:sz w:val="20"/>
                <w:szCs w:val="20"/>
              </w:rPr>
              <w:t>Prevederile de modificare a Legii nr.234/2016 au fost excluse din proiect, cu excepția celor ce țin de prelungirea termenului de efectuare a controlului.</w:t>
            </w:r>
          </w:p>
        </w:tc>
      </w:tr>
      <w:tr w:rsidR="00004102" w:rsidRPr="00252BD5" w:rsidTr="00004102">
        <w:trPr>
          <w:gridAfter w:val="1"/>
          <w:wAfter w:w="3" w:type="pct"/>
        </w:trPr>
        <w:tc>
          <w:tcPr>
            <w:tcW w:w="1221" w:type="pct"/>
          </w:tcPr>
          <w:p w:rsidR="00975AA9" w:rsidRPr="00975AA9" w:rsidRDefault="00975AA9" w:rsidP="00975AA9">
            <w:pPr>
              <w:pStyle w:val="NoSpacing"/>
              <w:jc w:val="both"/>
              <w:rPr>
                <w:rFonts w:ascii="Times New Roman" w:hAnsi="Times New Roman" w:cs="Times New Roman"/>
                <w:b/>
                <w:sz w:val="20"/>
                <w:szCs w:val="20"/>
              </w:rPr>
            </w:pPr>
            <w:proofErr w:type="gramStart"/>
            <w:r w:rsidRPr="00975AA9">
              <w:rPr>
                <w:rFonts w:ascii="Times New Roman" w:hAnsi="Times New Roman" w:cs="Times New Roman"/>
                <w:b/>
                <w:sz w:val="20"/>
                <w:szCs w:val="20"/>
              </w:rPr>
              <w:lastRenderedPageBreak/>
              <w:t>Art.IX.</w:t>
            </w:r>
            <w:proofErr w:type="gramEnd"/>
            <w:r w:rsidRPr="00975AA9">
              <w:rPr>
                <w:rFonts w:ascii="Times New Roman" w:hAnsi="Times New Roman" w:cs="Times New Roman"/>
                <w:b/>
                <w:sz w:val="20"/>
                <w:szCs w:val="20"/>
              </w:rPr>
              <w:t xml:space="preserve"> – Codul administrativ al Republicii Moldova nr. 116/2018 (publicat în Monitorul Oficial al Republicii Moldova, 2018, nr.309-320, art.466), se modifică după cum urmează:</w:t>
            </w: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Articolul 33 se completează cu textul “, cu respectarea art.96-114”.</w:t>
            </w:r>
          </w:p>
          <w:p w:rsidR="00004102" w:rsidRPr="00252BD5" w:rsidRDefault="00004102" w:rsidP="00252BD5">
            <w:pPr>
              <w:pStyle w:val="NoSpacing"/>
              <w:rPr>
                <w:rFonts w:ascii="Times New Roman" w:eastAsia="Times New Roman" w:hAnsi="Times New Roman" w:cs="Times New Roman"/>
                <w:sz w:val="20"/>
                <w:szCs w:val="20"/>
              </w:rPr>
            </w:pP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Ministerul Justiției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nr.04/121371 din 17.12.2019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Propunerea de completare a art. 33 din </w:t>
            </w:r>
            <w:r w:rsidRPr="00252BD5">
              <w:rPr>
                <w:rFonts w:ascii="Times New Roman" w:hAnsi="Times New Roman" w:cs="Times New Roman"/>
                <w:i/>
                <w:iCs/>
                <w:sz w:val="20"/>
                <w:szCs w:val="20"/>
              </w:rPr>
              <w:t>Codul administrativ</w:t>
            </w:r>
            <w:r w:rsidRPr="00252BD5">
              <w:rPr>
                <w:rFonts w:ascii="Times New Roman" w:hAnsi="Times New Roman" w:cs="Times New Roman"/>
                <w:sz w:val="20"/>
                <w:szCs w:val="20"/>
              </w:rPr>
              <w:t xml:space="preserve"> nu este necesară, deoarece este clar că, comunicarea interinstituțională și comunicarea </w:t>
            </w:r>
            <w:proofErr w:type="gramStart"/>
            <w:r w:rsidRPr="00252BD5">
              <w:rPr>
                <w:rFonts w:ascii="Times New Roman" w:hAnsi="Times New Roman" w:cs="Times New Roman"/>
                <w:sz w:val="20"/>
                <w:szCs w:val="20"/>
              </w:rPr>
              <w:t>cu  participanții</w:t>
            </w:r>
            <w:proofErr w:type="gramEnd"/>
            <w:r w:rsidRPr="00252BD5">
              <w:rPr>
                <w:rFonts w:ascii="Times New Roman" w:hAnsi="Times New Roman" w:cs="Times New Roman"/>
                <w:sz w:val="20"/>
                <w:szCs w:val="20"/>
              </w:rPr>
              <w:t xml:space="preserve"> sau cu publicul în cadrul procedurii administrative se va face cu  respectarea prevederilor stipulate în art. 96-114 din </w:t>
            </w:r>
            <w:r w:rsidRPr="00252BD5">
              <w:rPr>
                <w:rFonts w:ascii="Times New Roman" w:hAnsi="Times New Roman" w:cs="Times New Roman"/>
                <w:i/>
                <w:iCs/>
                <w:sz w:val="20"/>
                <w:szCs w:val="20"/>
              </w:rPr>
              <w:t>Codul administrativ</w:t>
            </w:r>
            <w:r w:rsidRPr="00252BD5">
              <w:rPr>
                <w:rFonts w:ascii="Times New Roman" w:hAnsi="Times New Roman" w:cs="Times New Roman"/>
                <w:sz w:val="20"/>
                <w:szCs w:val="20"/>
              </w:rPr>
              <w:t xml:space="preserve">. </w:t>
            </w:r>
          </w:p>
        </w:tc>
        <w:tc>
          <w:tcPr>
            <w:tcW w:w="1048" w:type="pct"/>
            <w:shd w:val="clear" w:color="auto" w:fill="auto"/>
          </w:tcPr>
          <w:p w:rsidR="00004102" w:rsidRPr="00CC0B1B" w:rsidRDefault="00004102" w:rsidP="00252BD5">
            <w:pPr>
              <w:pStyle w:val="NoSpacing"/>
              <w:rPr>
                <w:rFonts w:ascii="Times New Roman" w:hAnsi="Times New Roman" w:cs="Times New Roman"/>
                <w:b/>
                <w:sz w:val="20"/>
                <w:szCs w:val="20"/>
              </w:rPr>
            </w:pPr>
            <w:r w:rsidRPr="00CC0B1B">
              <w:rPr>
                <w:rFonts w:ascii="Times New Roman" w:hAnsi="Times New Roman" w:cs="Times New Roman"/>
                <w:b/>
                <w:sz w:val="20"/>
                <w:szCs w:val="20"/>
              </w:rPr>
              <w:t>Se acceptă.</w:t>
            </w:r>
          </w:p>
        </w:tc>
      </w:tr>
      <w:tr w:rsidR="00004102" w:rsidRPr="00252BD5" w:rsidTr="00004102">
        <w:trPr>
          <w:gridAfter w:val="1"/>
          <w:wAfter w:w="3" w:type="pct"/>
        </w:trPr>
        <w:tc>
          <w:tcPr>
            <w:tcW w:w="1221" w:type="pct"/>
          </w:tcPr>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Articolul 83 se modifică după cum urmează:</w:t>
            </w:r>
          </w:p>
          <w:p w:rsidR="00004102" w:rsidRPr="00004102"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alineatul (3) se completează cu textul “Autoritatea publică poate acorda acces partial la dosar sau poate furniza un rezumat ne-confidențial al documentelor dosarului, dacă este posibil fără a afecta integritatea dosarului și dacă accesul partial sau rezumatul prezintă interes pentru participant, fapt ce va fi confirmat de către solicitant prin mențiune și semnătură într-o fișă întocmită cu </w:t>
            </w:r>
            <w:r w:rsidRPr="00252BD5">
              <w:rPr>
                <w:rFonts w:ascii="Times New Roman" w:hAnsi="Times New Roman" w:cs="Times New Roman"/>
                <w:sz w:val="20"/>
                <w:szCs w:val="20"/>
              </w:rPr>
              <w:lastRenderedPageBreak/>
              <w:t>aplicarea corespunzătoare a prevederilor art.82 alin.(3)”.</w:t>
            </w: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lastRenderedPageBreak/>
              <w:t>Ministerul Justiției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nr.04/121371 din 17.12.2019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La propunerea de completare a art. 83 alin. (3)  din </w:t>
            </w:r>
            <w:r w:rsidRPr="00252BD5">
              <w:rPr>
                <w:rFonts w:ascii="Times New Roman" w:hAnsi="Times New Roman" w:cs="Times New Roman"/>
                <w:i/>
                <w:iCs/>
                <w:sz w:val="20"/>
                <w:szCs w:val="20"/>
              </w:rPr>
              <w:t>Codul administrativ,</w:t>
            </w:r>
            <w:r w:rsidRPr="00252BD5">
              <w:rPr>
                <w:rFonts w:ascii="Times New Roman" w:hAnsi="Times New Roman" w:cs="Times New Roman"/>
                <w:sz w:val="20"/>
                <w:szCs w:val="20"/>
              </w:rPr>
              <w:t xml:space="preserve"> întru asigurarea </w:t>
            </w:r>
            <w:proofErr w:type="gramStart"/>
            <w:r w:rsidRPr="00252BD5">
              <w:rPr>
                <w:rFonts w:ascii="Times New Roman" w:hAnsi="Times New Roman" w:cs="Times New Roman"/>
                <w:sz w:val="20"/>
                <w:szCs w:val="20"/>
              </w:rPr>
              <w:t>condiției  preciziei</w:t>
            </w:r>
            <w:proofErr w:type="gramEnd"/>
            <w:r w:rsidRPr="00252BD5">
              <w:rPr>
                <w:rFonts w:ascii="Times New Roman" w:hAnsi="Times New Roman" w:cs="Times New Roman"/>
                <w:sz w:val="20"/>
                <w:szCs w:val="20"/>
              </w:rPr>
              <w:t xml:space="preserve"> normei juridice cuvîntul „poate” urmează a fi substituit cu cuvîntul „va”.  </w:t>
            </w:r>
          </w:p>
        </w:tc>
        <w:tc>
          <w:tcPr>
            <w:tcW w:w="1048"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Se acceptă.</w:t>
            </w:r>
          </w:p>
        </w:tc>
      </w:tr>
      <w:tr w:rsidR="00004102" w:rsidRPr="00252BD5" w:rsidTr="00004102">
        <w:trPr>
          <w:gridAfter w:val="1"/>
          <w:wAfter w:w="3" w:type="pct"/>
        </w:trPr>
        <w:tc>
          <w:tcPr>
            <w:tcW w:w="1221" w:type="pct"/>
          </w:tcPr>
          <w:p w:rsidR="00004102" w:rsidRPr="00252BD5" w:rsidRDefault="00004102" w:rsidP="00975AA9">
            <w:pPr>
              <w:pStyle w:val="NoSpacing"/>
              <w:jc w:val="both"/>
              <w:rPr>
                <w:rFonts w:ascii="Times New Roman" w:eastAsia="Calibri" w:hAnsi="Times New Roman" w:cs="Times New Roman"/>
                <w:sz w:val="20"/>
                <w:szCs w:val="20"/>
              </w:rPr>
            </w:pPr>
            <w:r w:rsidRPr="00252BD5">
              <w:rPr>
                <w:rFonts w:ascii="Times New Roman" w:eastAsia="Calibri" w:hAnsi="Times New Roman" w:cs="Times New Roman"/>
                <w:sz w:val="20"/>
                <w:szCs w:val="20"/>
              </w:rPr>
              <w:lastRenderedPageBreak/>
              <w:t>Articolul 222 se completează cu alineatul (4) cu următorul cuprins:</w:t>
            </w:r>
          </w:p>
          <w:p w:rsidR="00004102" w:rsidRPr="00252BD5" w:rsidRDefault="00004102" w:rsidP="00975AA9">
            <w:pPr>
              <w:pStyle w:val="NoSpacing"/>
              <w:jc w:val="both"/>
              <w:rPr>
                <w:rFonts w:ascii="Times New Roman" w:eastAsia="Calibri" w:hAnsi="Times New Roman" w:cs="Times New Roman"/>
                <w:sz w:val="20"/>
                <w:szCs w:val="20"/>
              </w:rPr>
            </w:pPr>
            <w:r w:rsidRPr="00252BD5">
              <w:rPr>
                <w:rFonts w:ascii="Times New Roman" w:eastAsia="Calibri" w:hAnsi="Times New Roman" w:cs="Times New Roman"/>
                <w:sz w:val="20"/>
                <w:szCs w:val="20"/>
              </w:rPr>
              <w:t xml:space="preserve">“(4) Prevederile art.83 </w:t>
            </w:r>
            <w:proofErr w:type="gramStart"/>
            <w:r w:rsidRPr="00252BD5">
              <w:rPr>
                <w:rFonts w:ascii="Times New Roman" w:eastAsia="Calibri" w:hAnsi="Times New Roman" w:cs="Times New Roman"/>
                <w:sz w:val="20"/>
                <w:szCs w:val="20"/>
              </w:rPr>
              <w:t>alin.(</w:t>
            </w:r>
            <w:proofErr w:type="gramEnd"/>
            <w:r w:rsidRPr="00252BD5">
              <w:rPr>
                <w:rFonts w:ascii="Times New Roman" w:eastAsia="Calibri" w:hAnsi="Times New Roman" w:cs="Times New Roman"/>
                <w:sz w:val="20"/>
                <w:szCs w:val="20"/>
              </w:rPr>
              <w:t xml:space="preserve">3) și (5) se aplică </w:t>
            </w:r>
            <w:r w:rsidRPr="00252BD5">
              <w:rPr>
                <w:rFonts w:ascii="Times New Roman" w:eastAsia="Calibri" w:hAnsi="Times New Roman" w:cs="Times New Roman"/>
                <w:i/>
                <w:sz w:val="20"/>
                <w:szCs w:val="20"/>
              </w:rPr>
              <w:t>mutatis mutandis</w:t>
            </w:r>
            <w:r w:rsidRPr="00252BD5">
              <w:rPr>
                <w:rFonts w:ascii="Times New Roman" w:eastAsia="Calibri" w:hAnsi="Times New Roman" w:cs="Times New Roman"/>
                <w:sz w:val="20"/>
                <w:szCs w:val="20"/>
              </w:rPr>
              <w:t xml:space="preserve"> de către instanța de judecată”.</w:t>
            </w:r>
          </w:p>
          <w:p w:rsidR="00004102" w:rsidRPr="00252BD5" w:rsidRDefault="00004102" w:rsidP="00252BD5">
            <w:pPr>
              <w:pStyle w:val="NoSpacing"/>
              <w:rPr>
                <w:rFonts w:ascii="Times New Roman" w:eastAsia="Calibri" w:hAnsi="Times New Roman" w:cs="Times New Roman"/>
                <w:sz w:val="20"/>
                <w:szCs w:val="20"/>
              </w:rPr>
            </w:pPr>
          </w:p>
          <w:p w:rsidR="00004102" w:rsidRPr="00252BD5" w:rsidRDefault="00004102" w:rsidP="00252BD5">
            <w:pPr>
              <w:pStyle w:val="NoSpacing"/>
              <w:rPr>
                <w:rFonts w:ascii="Times New Roman" w:hAnsi="Times New Roman" w:cs="Times New Roman"/>
                <w:sz w:val="20"/>
                <w:szCs w:val="20"/>
              </w:rPr>
            </w:pPr>
          </w:p>
        </w:tc>
        <w:tc>
          <w:tcPr>
            <w:tcW w:w="792"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Ministerul Justiției al Republicii Moldova</w:t>
            </w:r>
          </w:p>
          <w:p w:rsidR="00004102" w:rsidRPr="00252BD5" w:rsidRDefault="00004102" w:rsidP="00252BD5">
            <w:pPr>
              <w:pStyle w:val="NoSpacing"/>
              <w:rPr>
                <w:rFonts w:ascii="Times New Roman" w:hAnsi="Times New Roman" w:cs="Times New Roman"/>
                <w:b/>
                <w:sz w:val="20"/>
                <w:szCs w:val="20"/>
              </w:rPr>
            </w:pPr>
          </w:p>
          <w:p w:rsidR="00004102" w:rsidRPr="00252BD5" w:rsidRDefault="00004102" w:rsidP="00252BD5">
            <w:pPr>
              <w:pStyle w:val="NoSpacing"/>
              <w:rPr>
                <w:rFonts w:ascii="Times New Roman" w:hAnsi="Times New Roman" w:cs="Times New Roman"/>
                <w:sz w:val="20"/>
                <w:szCs w:val="20"/>
              </w:rPr>
            </w:pPr>
            <w:r w:rsidRPr="00252BD5">
              <w:rPr>
                <w:rFonts w:ascii="Times New Roman" w:hAnsi="Times New Roman" w:cs="Times New Roman"/>
                <w:sz w:val="20"/>
                <w:szCs w:val="20"/>
              </w:rPr>
              <w:t>Aviz nr.04/121371 din 17.12.2019</w:t>
            </w:r>
          </w:p>
        </w:tc>
        <w:tc>
          <w:tcPr>
            <w:tcW w:w="480" w:type="pct"/>
          </w:tcPr>
          <w:p w:rsidR="00004102" w:rsidRPr="00252BD5" w:rsidRDefault="00004102" w:rsidP="00252BD5">
            <w:pPr>
              <w:pStyle w:val="NoSpacing"/>
              <w:rPr>
                <w:rFonts w:ascii="Times New Roman" w:hAnsi="Times New Roman" w:cs="Times New Roman"/>
                <w:sz w:val="20"/>
                <w:szCs w:val="20"/>
              </w:rPr>
            </w:pPr>
          </w:p>
        </w:tc>
        <w:tc>
          <w:tcPr>
            <w:tcW w:w="1456" w:type="pct"/>
          </w:tcPr>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 xml:space="preserve">La propunerea de completare a art. 222 alin. (4) din </w:t>
            </w:r>
            <w:r w:rsidRPr="00252BD5">
              <w:rPr>
                <w:rFonts w:ascii="Times New Roman" w:hAnsi="Times New Roman" w:cs="Times New Roman"/>
                <w:i/>
                <w:iCs/>
                <w:sz w:val="20"/>
                <w:szCs w:val="20"/>
              </w:rPr>
              <w:t>Codul administrativ</w:t>
            </w:r>
            <w:r w:rsidRPr="00252BD5">
              <w:rPr>
                <w:rFonts w:ascii="Times New Roman" w:hAnsi="Times New Roman" w:cs="Times New Roman"/>
                <w:sz w:val="20"/>
                <w:szCs w:val="20"/>
              </w:rPr>
              <w:t xml:space="preserve"> cuvintele „mutatis mutandis” se vor exclude sau se vor substitui cu echivalentul </w:t>
            </w:r>
            <w:proofErr w:type="gramStart"/>
            <w:r w:rsidRPr="00252BD5">
              <w:rPr>
                <w:rFonts w:ascii="Times New Roman" w:hAnsi="Times New Roman" w:cs="Times New Roman"/>
                <w:sz w:val="20"/>
                <w:szCs w:val="20"/>
              </w:rPr>
              <w:t>în  limba</w:t>
            </w:r>
            <w:proofErr w:type="gramEnd"/>
            <w:r w:rsidRPr="00252BD5">
              <w:rPr>
                <w:rFonts w:ascii="Times New Roman" w:hAnsi="Times New Roman" w:cs="Times New Roman"/>
                <w:sz w:val="20"/>
                <w:szCs w:val="20"/>
              </w:rPr>
              <w:t xml:space="preserve"> română. Or, potrivit art. 54 lit. e) al </w:t>
            </w:r>
            <w:r w:rsidRPr="00252BD5">
              <w:rPr>
                <w:rFonts w:ascii="Times New Roman" w:hAnsi="Times New Roman" w:cs="Times New Roman"/>
                <w:i/>
                <w:iCs/>
                <w:sz w:val="20"/>
                <w:szCs w:val="20"/>
              </w:rPr>
              <w:t>Legii nr. 100/2017</w:t>
            </w:r>
            <w:r w:rsidRPr="00252BD5">
              <w:rPr>
                <w:rFonts w:ascii="Times New Roman" w:hAnsi="Times New Roman" w:cs="Times New Roman"/>
                <w:sz w:val="20"/>
                <w:szCs w:val="20"/>
              </w:rPr>
              <w:t xml:space="preserve">, se interzice </w:t>
            </w:r>
            <w:proofErr w:type="gramStart"/>
            <w:r w:rsidRPr="00252BD5">
              <w:rPr>
                <w:rFonts w:ascii="Times New Roman" w:hAnsi="Times New Roman" w:cs="Times New Roman"/>
                <w:sz w:val="20"/>
                <w:szCs w:val="20"/>
              </w:rPr>
              <w:t>folosirea  neologismelor</w:t>
            </w:r>
            <w:proofErr w:type="gramEnd"/>
            <w:r w:rsidRPr="00252BD5">
              <w:rPr>
                <w:rFonts w:ascii="Times New Roman" w:hAnsi="Times New Roman" w:cs="Times New Roman"/>
                <w:sz w:val="20"/>
                <w:szCs w:val="20"/>
              </w:rPr>
              <w:t xml:space="preserve"> dacă există sinonime de largă răspîndire. În cazul în care se impune folosirea unor termeni şi expresii din alte limbi, se indică, după </w:t>
            </w:r>
            <w:proofErr w:type="gramStart"/>
            <w:r w:rsidRPr="00252BD5">
              <w:rPr>
                <w:rFonts w:ascii="Times New Roman" w:hAnsi="Times New Roman" w:cs="Times New Roman"/>
                <w:sz w:val="20"/>
                <w:szCs w:val="20"/>
              </w:rPr>
              <w:t>caz,  corespondentul</w:t>
            </w:r>
            <w:proofErr w:type="gramEnd"/>
            <w:r w:rsidRPr="00252BD5">
              <w:rPr>
                <w:rFonts w:ascii="Times New Roman" w:hAnsi="Times New Roman" w:cs="Times New Roman"/>
                <w:sz w:val="20"/>
                <w:szCs w:val="20"/>
              </w:rPr>
              <w:t xml:space="preserve"> acestora în limba română. </w:t>
            </w:r>
          </w:p>
          <w:p w:rsidR="00004102" w:rsidRPr="00252BD5" w:rsidRDefault="00004102" w:rsidP="00252BD5">
            <w:pPr>
              <w:pStyle w:val="NoSpacing"/>
              <w:rPr>
                <w:rFonts w:ascii="Times New Roman" w:hAnsi="Times New Roman" w:cs="Times New Roman"/>
                <w:sz w:val="20"/>
                <w:szCs w:val="20"/>
              </w:rPr>
            </w:pPr>
          </w:p>
        </w:tc>
        <w:tc>
          <w:tcPr>
            <w:tcW w:w="1048" w:type="pct"/>
          </w:tcPr>
          <w:p w:rsidR="00004102" w:rsidRPr="00252BD5" w:rsidRDefault="00004102" w:rsidP="00252BD5">
            <w:pPr>
              <w:pStyle w:val="NoSpacing"/>
              <w:rPr>
                <w:rFonts w:ascii="Times New Roman" w:hAnsi="Times New Roman" w:cs="Times New Roman"/>
                <w:b/>
                <w:sz w:val="20"/>
                <w:szCs w:val="20"/>
              </w:rPr>
            </w:pPr>
            <w:r w:rsidRPr="00252BD5">
              <w:rPr>
                <w:rFonts w:ascii="Times New Roman" w:hAnsi="Times New Roman" w:cs="Times New Roman"/>
                <w:b/>
                <w:sz w:val="20"/>
                <w:szCs w:val="20"/>
              </w:rPr>
              <w:t>Nu se acceptă.</w:t>
            </w:r>
          </w:p>
          <w:p w:rsidR="00004102" w:rsidRPr="00252BD5" w:rsidRDefault="00004102" w:rsidP="00004102">
            <w:pPr>
              <w:pStyle w:val="NoSpacing"/>
              <w:jc w:val="both"/>
              <w:rPr>
                <w:rFonts w:ascii="Times New Roman" w:hAnsi="Times New Roman" w:cs="Times New Roman"/>
                <w:sz w:val="20"/>
                <w:szCs w:val="20"/>
              </w:rPr>
            </w:pPr>
            <w:r w:rsidRPr="00252BD5">
              <w:rPr>
                <w:rFonts w:ascii="Times New Roman" w:hAnsi="Times New Roman" w:cs="Times New Roman"/>
                <w:sz w:val="20"/>
                <w:szCs w:val="20"/>
              </w:rPr>
              <w:t>Expresia “mutatis mutandis” este răspândită în actele normative ale Republicii Moldova (a se vedea, spre ex.art.1809 (3) din Codul civil, art.174 (2) din Codul de procedură civilă, art.27 (10) din Legea nr.139/2010 privind drepturile de  autor și drepturile conexe, art.16 (2) din Legea nr.50/2008 privind protecția invențiilor etc).</w:t>
            </w:r>
          </w:p>
        </w:tc>
      </w:tr>
    </w:tbl>
    <w:p w:rsidR="002B7516" w:rsidRPr="00BB37D9" w:rsidRDefault="002B7516" w:rsidP="00004102">
      <w:pPr>
        <w:jc w:val="both"/>
        <w:rPr>
          <w:rFonts w:ascii="Times New Roman" w:hAnsi="Times New Roman" w:cs="Times New Roman"/>
          <w:sz w:val="20"/>
          <w:szCs w:val="20"/>
        </w:rPr>
      </w:pPr>
    </w:p>
    <w:sectPr w:rsidR="002B7516" w:rsidRPr="00BB37D9" w:rsidSect="00252BD5">
      <w:headerReference w:type="even" r:id="rId8"/>
      <w:headerReference w:type="default" r:id="rId9"/>
      <w:footerReference w:type="even" r:id="rId10"/>
      <w:footerReference w:type="default" r:id="rId11"/>
      <w:pgSz w:w="15840" w:h="12240" w:orient="landscape" w:code="1"/>
      <w:pgMar w:top="568" w:right="1134" w:bottom="426"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58A" w:rsidRDefault="00B7158A" w:rsidP="00D22F2D">
      <w:pPr>
        <w:spacing w:after="0" w:line="240" w:lineRule="auto"/>
      </w:pPr>
      <w:r>
        <w:separator/>
      </w:r>
    </w:p>
  </w:endnote>
  <w:endnote w:type="continuationSeparator" w:id="0">
    <w:p w:rsidR="00B7158A" w:rsidRDefault="00B7158A" w:rsidP="00D2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86" w:rsidRDefault="00D57786" w:rsidP="00D22F2D">
    <w:pPr>
      <w:pStyle w:val="Footer"/>
      <w:jc w:val="center"/>
    </w:pPr>
    <w:bookmarkStart w:id="3" w:name="TITUS1FooterEvenPages"/>
    <w:r>
      <w:t xml:space="preserve"> </w:t>
    </w:r>
  </w:p>
  <w:p w:rsidR="00D57786" w:rsidRDefault="00D57786" w:rsidP="00D22F2D">
    <w:pPr>
      <w:pStyle w:val="Footer"/>
    </w:pPr>
    <w:r>
      <w:t xml:space="preserve"> </w:t>
    </w:r>
  </w:p>
  <w:bookmarkEnd w:id="3"/>
  <w:p w:rsidR="00D57786" w:rsidRDefault="00D577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86" w:rsidRDefault="00D57786" w:rsidP="00D22F2D">
    <w:pPr>
      <w:pStyle w:val="Footer"/>
      <w:jc w:val="center"/>
    </w:pPr>
    <w:bookmarkStart w:id="4" w:name="TITUS1FooterPrimary"/>
    <w:r>
      <w:t xml:space="preserve"> </w:t>
    </w:r>
  </w:p>
  <w:p w:rsidR="00D57786" w:rsidRDefault="00D57786" w:rsidP="00D22F2D">
    <w:pPr>
      <w:pStyle w:val="Footer"/>
    </w:pPr>
    <w:r>
      <w:t xml:space="preserve"> </w:t>
    </w:r>
  </w:p>
  <w:bookmarkEnd w:id="4"/>
  <w:p w:rsidR="00D57786" w:rsidRDefault="00D577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58A" w:rsidRDefault="00B7158A" w:rsidP="00D22F2D">
      <w:pPr>
        <w:spacing w:after="0" w:line="240" w:lineRule="auto"/>
      </w:pPr>
      <w:r>
        <w:separator/>
      </w:r>
    </w:p>
  </w:footnote>
  <w:footnote w:type="continuationSeparator" w:id="0">
    <w:p w:rsidR="00B7158A" w:rsidRDefault="00B7158A" w:rsidP="00D22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86" w:rsidRDefault="00D57786" w:rsidP="00D22F2D">
    <w:pPr>
      <w:pStyle w:val="Header"/>
      <w:jc w:val="right"/>
    </w:pPr>
    <w:bookmarkStart w:id="1" w:name="TITUS1HeaderEvenPages"/>
    <w:r>
      <w:t xml:space="preserve"> </w:t>
    </w:r>
  </w:p>
  <w:bookmarkEnd w:id="1"/>
  <w:p w:rsidR="00D57786" w:rsidRDefault="00D5778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86" w:rsidRDefault="00D57786" w:rsidP="00D22F2D">
    <w:pPr>
      <w:pStyle w:val="Header"/>
      <w:jc w:val="right"/>
    </w:pPr>
    <w:bookmarkStart w:id="2" w:name="TITUS1HeaderPrimary"/>
    <w:r>
      <w:t xml:space="preserve"> </w:t>
    </w:r>
  </w:p>
  <w:bookmarkEnd w:id="2"/>
  <w:p w:rsidR="00D57786" w:rsidRDefault="00D577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B54"/>
    <w:multiLevelType w:val="hybridMultilevel"/>
    <w:tmpl w:val="3D4CEF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33256"/>
    <w:multiLevelType w:val="multilevel"/>
    <w:tmpl w:val="4A36607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F62E62"/>
    <w:multiLevelType w:val="hybridMultilevel"/>
    <w:tmpl w:val="4C281C72"/>
    <w:lvl w:ilvl="0" w:tplc="9A1003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37F5A"/>
    <w:multiLevelType w:val="hybridMultilevel"/>
    <w:tmpl w:val="5B702C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7D0B2A"/>
    <w:multiLevelType w:val="hybridMultilevel"/>
    <w:tmpl w:val="ACA0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A150F"/>
    <w:multiLevelType w:val="hybridMultilevel"/>
    <w:tmpl w:val="13529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3D2629"/>
    <w:multiLevelType w:val="hybridMultilevel"/>
    <w:tmpl w:val="528EA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86DFB"/>
    <w:multiLevelType w:val="hybridMultilevel"/>
    <w:tmpl w:val="7EC4CC2A"/>
    <w:lvl w:ilvl="0" w:tplc="0C6E2BAA">
      <w:start w:val="1"/>
      <w:numFmt w:val="decimal"/>
      <w:lvlText w:val="4.%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3B7EA0"/>
    <w:multiLevelType w:val="hybridMultilevel"/>
    <w:tmpl w:val="61AC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1504E"/>
    <w:multiLevelType w:val="hybridMultilevel"/>
    <w:tmpl w:val="25D81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423CE"/>
    <w:multiLevelType w:val="hybridMultilevel"/>
    <w:tmpl w:val="E2845D50"/>
    <w:lvl w:ilvl="0" w:tplc="43A2E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9C18CC"/>
    <w:multiLevelType w:val="hybridMultilevel"/>
    <w:tmpl w:val="FCD66776"/>
    <w:lvl w:ilvl="0" w:tplc="BE4E3D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55265B"/>
    <w:multiLevelType w:val="hybridMultilevel"/>
    <w:tmpl w:val="63064E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563722"/>
    <w:multiLevelType w:val="hybridMultilevel"/>
    <w:tmpl w:val="FCD66776"/>
    <w:lvl w:ilvl="0" w:tplc="BE4E3D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A60D8"/>
    <w:multiLevelType w:val="hybridMultilevel"/>
    <w:tmpl w:val="528EA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031B0"/>
    <w:multiLevelType w:val="hybridMultilevel"/>
    <w:tmpl w:val="156076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1"/>
  </w:num>
  <w:num w:numId="4">
    <w:abstractNumId w:val="10"/>
  </w:num>
  <w:num w:numId="5">
    <w:abstractNumId w:val="1"/>
  </w:num>
  <w:num w:numId="6">
    <w:abstractNumId w:val="3"/>
  </w:num>
  <w:num w:numId="7">
    <w:abstractNumId w:val="8"/>
  </w:num>
  <w:num w:numId="8">
    <w:abstractNumId w:val="14"/>
  </w:num>
  <w:num w:numId="9">
    <w:abstractNumId w:val="2"/>
  </w:num>
  <w:num w:numId="10">
    <w:abstractNumId w:val="4"/>
  </w:num>
  <w:num w:numId="11">
    <w:abstractNumId w:val="7"/>
  </w:num>
  <w:num w:numId="12">
    <w:abstractNumId w:val="5"/>
  </w:num>
  <w:num w:numId="13">
    <w:abstractNumId w:val="12"/>
  </w:num>
  <w:num w:numId="14">
    <w:abstractNumId w:val="15"/>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A8"/>
    <w:rsid w:val="00004102"/>
    <w:rsid w:val="000422D4"/>
    <w:rsid w:val="000623BF"/>
    <w:rsid w:val="0007155B"/>
    <w:rsid w:val="0011002F"/>
    <w:rsid w:val="001116A1"/>
    <w:rsid w:val="00145870"/>
    <w:rsid w:val="00196C3C"/>
    <w:rsid w:val="001D0FF9"/>
    <w:rsid w:val="001E3AA8"/>
    <w:rsid w:val="002201D5"/>
    <w:rsid w:val="00252BD5"/>
    <w:rsid w:val="002B7516"/>
    <w:rsid w:val="003859F2"/>
    <w:rsid w:val="00395329"/>
    <w:rsid w:val="00440DCF"/>
    <w:rsid w:val="00443547"/>
    <w:rsid w:val="004473B0"/>
    <w:rsid w:val="0045693A"/>
    <w:rsid w:val="004832E9"/>
    <w:rsid w:val="004C3D73"/>
    <w:rsid w:val="004C7569"/>
    <w:rsid w:val="00504B79"/>
    <w:rsid w:val="00517730"/>
    <w:rsid w:val="00567D2E"/>
    <w:rsid w:val="00587FC7"/>
    <w:rsid w:val="005B28F8"/>
    <w:rsid w:val="005E344C"/>
    <w:rsid w:val="00600D60"/>
    <w:rsid w:val="006437E4"/>
    <w:rsid w:val="006722BA"/>
    <w:rsid w:val="006D14CD"/>
    <w:rsid w:val="006D6B3D"/>
    <w:rsid w:val="006F1D1F"/>
    <w:rsid w:val="00755A0E"/>
    <w:rsid w:val="00760C67"/>
    <w:rsid w:val="007806B1"/>
    <w:rsid w:val="007955DC"/>
    <w:rsid w:val="007C254B"/>
    <w:rsid w:val="007E7CE6"/>
    <w:rsid w:val="008E1CF2"/>
    <w:rsid w:val="0090510B"/>
    <w:rsid w:val="0096668E"/>
    <w:rsid w:val="00975AA9"/>
    <w:rsid w:val="009C1A3E"/>
    <w:rsid w:val="009E716D"/>
    <w:rsid w:val="00A1498E"/>
    <w:rsid w:val="00A93E76"/>
    <w:rsid w:val="00AA7D52"/>
    <w:rsid w:val="00AD5853"/>
    <w:rsid w:val="00AD5DFF"/>
    <w:rsid w:val="00B14013"/>
    <w:rsid w:val="00B14354"/>
    <w:rsid w:val="00B7158A"/>
    <w:rsid w:val="00B77429"/>
    <w:rsid w:val="00BB37D9"/>
    <w:rsid w:val="00BE14C5"/>
    <w:rsid w:val="00C82FFE"/>
    <w:rsid w:val="00C956FE"/>
    <w:rsid w:val="00CC0B1B"/>
    <w:rsid w:val="00CD4028"/>
    <w:rsid w:val="00D0259E"/>
    <w:rsid w:val="00D22F2D"/>
    <w:rsid w:val="00D33436"/>
    <w:rsid w:val="00D406B0"/>
    <w:rsid w:val="00D46E1A"/>
    <w:rsid w:val="00D57786"/>
    <w:rsid w:val="00D62102"/>
    <w:rsid w:val="00DB1E52"/>
    <w:rsid w:val="00E11081"/>
    <w:rsid w:val="00E21301"/>
    <w:rsid w:val="00E45D0B"/>
    <w:rsid w:val="00E97A8D"/>
    <w:rsid w:val="00EA1BAE"/>
    <w:rsid w:val="00F55280"/>
    <w:rsid w:val="00FE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7F66"/>
  <w15:chartTrackingRefBased/>
  <w15:docId w15:val="{3265167D-452C-4BF7-8DED-29E463D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FFE"/>
    <w:pPr>
      <w:ind w:left="720"/>
      <w:contextualSpacing/>
    </w:pPr>
  </w:style>
  <w:style w:type="paragraph" w:styleId="Header">
    <w:name w:val="header"/>
    <w:basedOn w:val="Normal"/>
    <w:link w:val="HeaderChar"/>
    <w:uiPriority w:val="99"/>
    <w:unhideWhenUsed/>
    <w:rsid w:val="00D22F2D"/>
    <w:pPr>
      <w:tabs>
        <w:tab w:val="center" w:pos="4844"/>
        <w:tab w:val="right" w:pos="9689"/>
      </w:tabs>
      <w:spacing w:after="0" w:line="240" w:lineRule="auto"/>
    </w:pPr>
  </w:style>
  <w:style w:type="character" w:customStyle="1" w:styleId="HeaderChar">
    <w:name w:val="Header Char"/>
    <w:basedOn w:val="DefaultParagraphFont"/>
    <w:link w:val="Header"/>
    <w:uiPriority w:val="99"/>
    <w:rsid w:val="00D22F2D"/>
  </w:style>
  <w:style w:type="paragraph" w:styleId="Footer">
    <w:name w:val="footer"/>
    <w:basedOn w:val="Normal"/>
    <w:link w:val="FooterChar"/>
    <w:uiPriority w:val="99"/>
    <w:unhideWhenUsed/>
    <w:rsid w:val="00D22F2D"/>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2F2D"/>
  </w:style>
  <w:style w:type="paragraph" w:styleId="BalloonText">
    <w:name w:val="Balloon Text"/>
    <w:basedOn w:val="Normal"/>
    <w:link w:val="BalloonTextChar"/>
    <w:uiPriority w:val="99"/>
    <w:semiHidden/>
    <w:unhideWhenUsed/>
    <w:rsid w:val="00BB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D9"/>
    <w:rPr>
      <w:rFonts w:ascii="Segoe UI" w:hAnsi="Segoe UI" w:cs="Segoe UI"/>
      <w:sz w:val="18"/>
      <w:szCs w:val="18"/>
    </w:rPr>
  </w:style>
  <w:style w:type="paragraph" w:styleId="NoSpacing">
    <w:name w:val="No Spacing"/>
    <w:uiPriority w:val="1"/>
    <w:qFormat/>
    <w:rsid w:val="00252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45637">
      <w:bodyDiv w:val="1"/>
      <w:marLeft w:val="0"/>
      <w:marRight w:val="0"/>
      <w:marTop w:val="0"/>
      <w:marBottom w:val="0"/>
      <w:divBdr>
        <w:top w:val="none" w:sz="0" w:space="0" w:color="auto"/>
        <w:left w:val="none" w:sz="0" w:space="0" w:color="auto"/>
        <w:bottom w:val="none" w:sz="0" w:space="0" w:color="auto"/>
        <w:right w:val="none" w:sz="0" w:space="0" w:color="auto"/>
      </w:divBdr>
    </w:div>
    <w:div w:id="1545672360">
      <w:bodyDiv w:val="1"/>
      <w:marLeft w:val="0"/>
      <w:marRight w:val="0"/>
      <w:marTop w:val="0"/>
      <w:marBottom w:val="0"/>
      <w:divBdr>
        <w:top w:val="none" w:sz="0" w:space="0" w:color="auto"/>
        <w:left w:val="none" w:sz="0" w:space="0" w:color="auto"/>
        <w:bottom w:val="none" w:sz="0" w:space="0" w:color="auto"/>
        <w:right w:val="none" w:sz="0" w:space="0" w:color="auto"/>
      </w:divBdr>
    </w:div>
    <w:div w:id="21121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37D9A-3C20-4D0D-B754-5F5FD863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N. Rusu</dc:creator>
  <cp:keywords/>
  <dc:description/>
  <cp:lastModifiedBy>Ana Litocenco</cp:lastModifiedBy>
  <cp:revision>4</cp:revision>
  <cp:lastPrinted>2020-02-19T15:02:00Z</cp:lastPrinted>
  <dcterms:created xsi:type="dcterms:W3CDTF">2020-01-27T09:34:00Z</dcterms:created>
  <dcterms:modified xsi:type="dcterms:W3CDTF">2020-02-20T15:15:00Z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13a46767-0f7c-475d-bca6-0c5b9ee67af1</vt:lpwstr>
  </property>
  <property fmtid="{D5CDD505-2E9C-101B-9397-08002B2CF9AE}" pid="3" name="Clasificare">
    <vt:lpwstr>NONE</vt:lpwstr>
  </property>
</Properties>
</file>