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7F" w:rsidRPr="00985275" w:rsidRDefault="0035317F" w:rsidP="0035317F">
      <w:pPr>
        <w:pStyle w:val="tt"/>
        <w:rPr>
          <w:sz w:val="28"/>
          <w:szCs w:val="28"/>
        </w:rPr>
      </w:pPr>
      <w:r w:rsidRPr="00985275">
        <w:rPr>
          <w:sz w:val="28"/>
          <w:szCs w:val="28"/>
        </w:rPr>
        <w:t xml:space="preserve">Nota </w:t>
      </w:r>
      <w:proofErr w:type="spellStart"/>
      <w:r w:rsidRPr="00985275">
        <w:rPr>
          <w:sz w:val="28"/>
          <w:szCs w:val="28"/>
        </w:rPr>
        <w:t>informativă</w:t>
      </w:r>
      <w:proofErr w:type="spellEnd"/>
      <w:r w:rsidRPr="00985275">
        <w:rPr>
          <w:sz w:val="28"/>
          <w:szCs w:val="28"/>
        </w:rPr>
        <w:t xml:space="preserve"> la </w:t>
      </w:r>
      <w:proofErr w:type="spellStart"/>
      <w:r w:rsidRPr="00985275">
        <w:rPr>
          <w:sz w:val="28"/>
          <w:szCs w:val="28"/>
        </w:rPr>
        <w:t>proiectul</w:t>
      </w:r>
      <w:proofErr w:type="spellEnd"/>
      <w:r w:rsidRPr="00985275">
        <w:rPr>
          <w:sz w:val="28"/>
          <w:szCs w:val="28"/>
        </w:rPr>
        <w:t xml:space="preserve"> </w:t>
      </w:r>
      <w:proofErr w:type="spellStart"/>
      <w:r w:rsidRPr="00985275">
        <w:rPr>
          <w:sz w:val="28"/>
          <w:szCs w:val="28"/>
        </w:rPr>
        <w:t>Legii</w:t>
      </w:r>
      <w:proofErr w:type="spellEnd"/>
      <w:r w:rsidRPr="00985275">
        <w:rPr>
          <w:sz w:val="28"/>
          <w:szCs w:val="28"/>
        </w:rPr>
        <w:t xml:space="preserve"> </w:t>
      </w:r>
      <w:proofErr w:type="spellStart"/>
      <w:r w:rsidRPr="00985275">
        <w:rPr>
          <w:sz w:val="28"/>
          <w:szCs w:val="28"/>
        </w:rPr>
        <w:t>pentru</w:t>
      </w:r>
      <w:proofErr w:type="spellEnd"/>
      <w:r w:rsidRPr="00985275">
        <w:rPr>
          <w:sz w:val="28"/>
          <w:szCs w:val="28"/>
        </w:rPr>
        <w:t xml:space="preserve"> </w:t>
      </w:r>
      <w:proofErr w:type="spellStart"/>
      <w:r w:rsidRPr="00985275">
        <w:rPr>
          <w:sz w:val="28"/>
          <w:szCs w:val="28"/>
        </w:rPr>
        <w:t>modificarea</w:t>
      </w:r>
      <w:proofErr w:type="spellEnd"/>
      <w:r w:rsidRPr="00985275">
        <w:rPr>
          <w:sz w:val="28"/>
          <w:szCs w:val="28"/>
        </w:rPr>
        <w:t xml:space="preserve"> </w:t>
      </w:r>
      <w:proofErr w:type="spellStart"/>
      <w:r w:rsidRPr="00985275">
        <w:rPr>
          <w:sz w:val="28"/>
          <w:szCs w:val="28"/>
        </w:rPr>
        <w:t>Legii</w:t>
      </w:r>
      <w:proofErr w:type="spellEnd"/>
      <w:r w:rsidRPr="00985275">
        <w:rPr>
          <w:sz w:val="28"/>
          <w:szCs w:val="28"/>
        </w:rPr>
        <w:t xml:space="preserve"> </w:t>
      </w:r>
      <w:proofErr w:type="spellStart"/>
      <w:r w:rsidRPr="00985275">
        <w:rPr>
          <w:sz w:val="28"/>
          <w:szCs w:val="28"/>
        </w:rPr>
        <w:t>nr</w:t>
      </w:r>
      <w:proofErr w:type="spellEnd"/>
      <w:r w:rsidRPr="00985275">
        <w:rPr>
          <w:sz w:val="28"/>
          <w:szCs w:val="28"/>
        </w:rPr>
        <w:t xml:space="preserve">. 231/2010 cu </w:t>
      </w:r>
      <w:proofErr w:type="spellStart"/>
      <w:r w:rsidRPr="00985275">
        <w:rPr>
          <w:sz w:val="28"/>
          <w:szCs w:val="28"/>
        </w:rPr>
        <w:t>privire</w:t>
      </w:r>
      <w:proofErr w:type="spellEnd"/>
      <w:r w:rsidRPr="00985275">
        <w:rPr>
          <w:sz w:val="28"/>
          <w:szCs w:val="28"/>
        </w:rPr>
        <w:t xml:space="preserve"> la </w:t>
      </w:r>
      <w:proofErr w:type="spellStart"/>
      <w:r w:rsidRPr="00985275">
        <w:rPr>
          <w:sz w:val="28"/>
          <w:szCs w:val="28"/>
        </w:rPr>
        <w:t>comerțul</w:t>
      </w:r>
      <w:proofErr w:type="spellEnd"/>
      <w:r w:rsidRPr="00985275">
        <w:rPr>
          <w:sz w:val="28"/>
          <w:szCs w:val="28"/>
        </w:rPr>
        <w:t xml:space="preserve"> interior</w:t>
      </w:r>
    </w:p>
    <w:p w:rsidR="0035317F" w:rsidRPr="00985275" w:rsidRDefault="0035317F" w:rsidP="0035317F">
      <w:pPr>
        <w:spacing w:after="0" w:line="240" w:lineRule="auto"/>
        <w:ind w:firstLine="708"/>
        <w:jc w:val="center"/>
        <w:rPr>
          <w:sz w:val="28"/>
          <w:szCs w:val="28"/>
        </w:rPr>
      </w:pPr>
    </w:p>
    <w:tbl>
      <w:tblPr>
        <w:tblW w:w="5318" w:type="pct"/>
        <w:jc w:val="center"/>
        <w:tblCellMar>
          <w:top w:w="15" w:type="dxa"/>
          <w:left w:w="15" w:type="dxa"/>
          <w:bottom w:w="15" w:type="dxa"/>
          <w:right w:w="15" w:type="dxa"/>
        </w:tblCellMar>
        <w:tblLook w:val="04A0" w:firstRow="1" w:lastRow="0" w:firstColumn="1" w:lastColumn="0" w:noHBand="0" w:noVBand="1"/>
      </w:tblPr>
      <w:tblGrid>
        <w:gridCol w:w="9938"/>
      </w:tblGrid>
      <w:tr w:rsidR="0035317F" w:rsidRPr="00985275" w:rsidTr="00E22F23">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1.</w:t>
            </w:r>
            <w:r w:rsidRPr="00985275">
              <w:rPr>
                <w:rFonts w:ascii="Times New Roman" w:eastAsia="Times New Roman" w:hAnsi="Times New Roman" w:cs="Times New Roman"/>
                <w:b/>
                <w:sz w:val="28"/>
                <w:szCs w:val="28"/>
                <w:lang w:val="ro-RO" w:eastAsia="ro-RO"/>
              </w:rPr>
              <w:t xml:space="preserve"> Denumirea autorului </w:t>
            </w:r>
            <w:proofErr w:type="spellStart"/>
            <w:r w:rsidRPr="00985275">
              <w:rPr>
                <w:rFonts w:ascii="Times New Roman" w:eastAsia="Times New Roman" w:hAnsi="Times New Roman" w:cs="Times New Roman"/>
                <w:b/>
                <w:sz w:val="28"/>
                <w:szCs w:val="28"/>
                <w:lang w:val="ro-RO" w:eastAsia="ro-RO"/>
              </w:rPr>
              <w:t>şi</w:t>
            </w:r>
            <w:proofErr w:type="spellEnd"/>
            <w:r w:rsidRPr="00985275">
              <w:rPr>
                <w:rFonts w:ascii="Times New Roman" w:eastAsia="Times New Roman" w:hAnsi="Times New Roman" w:cs="Times New Roman"/>
                <w:b/>
                <w:sz w:val="28"/>
                <w:szCs w:val="28"/>
                <w:lang w:val="ro-RO" w:eastAsia="ro-RO"/>
              </w:rPr>
              <w:t xml:space="preserve">, după caz, a </w:t>
            </w:r>
            <w:proofErr w:type="spellStart"/>
            <w:r w:rsidRPr="00985275">
              <w:rPr>
                <w:rFonts w:ascii="Times New Roman" w:eastAsia="Times New Roman" w:hAnsi="Times New Roman" w:cs="Times New Roman"/>
                <w:b/>
                <w:sz w:val="28"/>
                <w:szCs w:val="28"/>
                <w:lang w:val="ro-RO" w:eastAsia="ro-RO"/>
              </w:rPr>
              <w:t>participanţilor</w:t>
            </w:r>
            <w:proofErr w:type="spellEnd"/>
            <w:r w:rsidRPr="00985275">
              <w:rPr>
                <w:rFonts w:ascii="Times New Roman" w:eastAsia="Times New Roman" w:hAnsi="Times New Roman" w:cs="Times New Roman"/>
                <w:b/>
                <w:sz w:val="28"/>
                <w:szCs w:val="28"/>
                <w:lang w:val="ro-RO" w:eastAsia="ro-RO"/>
              </w:rPr>
              <w:t xml:space="preserve"> la elaborarea proiectului</w:t>
            </w:r>
          </w:p>
        </w:tc>
      </w:tr>
      <w:tr w:rsidR="0035317F" w:rsidRPr="00985275" w:rsidTr="00E22F23">
        <w:trPr>
          <w:trHeight w:val="21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Proiectul de lege este elaborat de către Ministerul Economiei și Infrastructurii.</w:t>
            </w:r>
          </w:p>
        </w:tc>
      </w:tr>
      <w:tr w:rsidR="0035317F" w:rsidRPr="00985275" w:rsidTr="00E22F23">
        <w:trPr>
          <w:trHeight w:val="219"/>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 xml:space="preserve">2. </w:t>
            </w:r>
            <w:proofErr w:type="spellStart"/>
            <w:r w:rsidRPr="00985275">
              <w:rPr>
                <w:rFonts w:ascii="Times New Roman" w:eastAsia="Times New Roman" w:hAnsi="Times New Roman" w:cs="Times New Roman"/>
                <w:b/>
                <w:sz w:val="28"/>
                <w:szCs w:val="28"/>
                <w:lang w:val="ro-RO" w:eastAsia="ro-RO"/>
              </w:rPr>
              <w:t>Condiţiile</w:t>
            </w:r>
            <w:proofErr w:type="spellEnd"/>
            <w:r w:rsidRPr="00985275">
              <w:rPr>
                <w:rFonts w:ascii="Times New Roman" w:eastAsia="Times New Roman" w:hAnsi="Times New Roman" w:cs="Times New Roman"/>
                <w:b/>
                <w:sz w:val="28"/>
                <w:szCs w:val="28"/>
                <w:lang w:val="ro-RO" w:eastAsia="ro-RO"/>
              </w:rPr>
              <w:t xml:space="preserve"> ce au impus elaborarea proiectului de act normativ </w:t>
            </w:r>
            <w:proofErr w:type="spellStart"/>
            <w:r w:rsidRPr="00985275">
              <w:rPr>
                <w:rFonts w:ascii="Times New Roman" w:eastAsia="Times New Roman" w:hAnsi="Times New Roman" w:cs="Times New Roman"/>
                <w:b/>
                <w:sz w:val="28"/>
                <w:szCs w:val="28"/>
                <w:lang w:val="ro-RO" w:eastAsia="ro-RO"/>
              </w:rPr>
              <w:t>şi</w:t>
            </w:r>
            <w:proofErr w:type="spellEnd"/>
            <w:r w:rsidRPr="00985275">
              <w:rPr>
                <w:rFonts w:ascii="Times New Roman" w:eastAsia="Times New Roman" w:hAnsi="Times New Roman" w:cs="Times New Roman"/>
                <w:b/>
                <w:sz w:val="28"/>
                <w:szCs w:val="28"/>
                <w:lang w:val="ro-RO" w:eastAsia="ro-RO"/>
              </w:rPr>
              <w:t xml:space="preserve"> </w:t>
            </w:r>
            <w:proofErr w:type="spellStart"/>
            <w:r w:rsidRPr="00985275">
              <w:rPr>
                <w:rFonts w:ascii="Times New Roman" w:eastAsia="Times New Roman" w:hAnsi="Times New Roman" w:cs="Times New Roman"/>
                <w:b/>
                <w:sz w:val="28"/>
                <w:szCs w:val="28"/>
                <w:lang w:val="ro-RO" w:eastAsia="ro-RO"/>
              </w:rPr>
              <w:t>finalităţile</w:t>
            </w:r>
            <w:proofErr w:type="spellEnd"/>
            <w:r w:rsidRPr="00985275">
              <w:rPr>
                <w:rFonts w:ascii="Times New Roman" w:eastAsia="Times New Roman" w:hAnsi="Times New Roman" w:cs="Times New Roman"/>
                <w:b/>
                <w:sz w:val="28"/>
                <w:szCs w:val="28"/>
                <w:lang w:val="ro-RO" w:eastAsia="ro-RO"/>
              </w:rPr>
              <w:t xml:space="preserve"> urmărite</w:t>
            </w:r>
          </w:p>
        </w:tc>
      </w:tr>
      <w:tr w:rsidR="0035317F" w:rsidRPr="00985275" w:rsidTr="009E6E8B">
        <w:trPr>
          <w:trHeight w:val="132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Drept temei pentru </w:t>
            </w:r>
            <w:proofErr w:type="spellStart"/>
            <w:r w:rsidRPr="00985275">
              <w:rPr>
                <w:rFonts w:ascii="Times New Roman" w:hAnsi="Times New Roman" w:cs="Times New Roman"/>
                <w:sz w:val="28"/>
                <w:szCs w:val="28"/>
                <w:lang w:val="ro-RO"/>
              </w:rPr>
              <w:t>iniţierea</w:t>
            </w:r>
            <w:proofErr w:type="spellEnd"/>
            <w:r w:rsidRPr="00985275">
              <w:rPr>
                <w:rFonts w:ascii="Times New Roman" w:hAnsi="Times New Roman" w:cs="Times New Roman"/>
                <w:sz w:val="28"/>
                <w:szCs w:val="28"/>
                <w:lang w:val="ro-RO"/>
              </w:rPr>
              <w:t xml:space="preserve"> procesului de revizuire a Legii  nr.231/2010 cu privire la comerțul interior (Legea nr.231/2010) au constituit:</w:t>
            </w:r>
          </w:p>
          <w:p w:rsidR="0035317F" w:rsidRPr="00985275" w:rsidRDefault="0035317F" w:rsidP="00E22F23">
            <w:pPr>
              <w:spacing w:after="0" w:line="240" w:lineRule="auto"/>
              <w:ind w:firstLine="644"/>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1. Lansarea utilizării </w:t>
            </w:r>
            <w:r w:rsidRPr="00985275">
              <w:rPr>
                <w:rFonts w:ascii="Times New Roman" w:hAnsi="Times New Roman" w:cs="Times New Roman"/>
                <w:i/>
                <w:sz w:val="28"/>
                <w:szCs w:val="28"/>
                <w:lang w:val="ro-RO"/>
              </w:rPr>
              <w:t>sistemului informațional automatizat de gestionare și eliberare a actelor permisive (SIA GEAP)</w:t>
            </w:r>
            <w:r w:rsidRPr="00985275">
              <w:rPr>
                <w:rFonts w:ascii="Times New Roman" w:hAnsi="Times New Roman" w:cs="Times New Roman"/>
                <w:sz w:val="28"/>
                <w:szCs w:val="28"/>
                <w:lang w:val="ro-RO"/>
              </w:rPr>
              <w:t xml:space="preserve"> în calitate de platformă informațională pentru resursa informațională în domeniul comerțului, aprobată prin </w:t>
            </w:r>
            <w:proofErr w:type="spellStart"/>
            <w:r w:rsidRPr="00985275">
              <w:rPr>
                <w:rFonts w:ascii="Times New Roman" w:hAnsi="Times New Roman" w:cs="Times New Roman"/>
                <w:sz w:val="28"/>
                <w:szCs w:val="28"/>
                <w:lang w:val="ro-RO"/>
              </w:rPr>
              <w:t>Hotărîrea</w:t>
            </w:r>
            <w:proofErr w:type="spellEnd"/>
            <w:r w:rsidRPr="00985275">
              <w:rPr>
                <w:rFonts w:ascii="Times New Roman" w:hAnsi="Times New Roman" w:cs="Times New Roman"/>
                <w:sz w:val="28"/>
                <w:szCs w:val="28"/>
                <w:lang w:val="ro-RO"/>
              </w:rPr>
              <w:t xml:space="preserve"> Guvernului nr. 1236/2018 cu privire la instituirea resursei informaționale în domeniul comerțului (</w:t>
            </w:r>
            <w:proofErr w:type="spellStart"/>
            <w:r w:rsidRPr="00985275">
              <w:rPr>
                <w:rFonts w:ascii="Times New Roman" w:hAnsi="Times New Roman" w:cs="Times New Roman"/>
                <w:sz w:val="28"/>
                <w:szCs w:val="28"/>
                <w:lang w:val="ro-RO"/>
              </w:rPr>
              <w:t>Hotărîrea</w:t>
            </w:r>
            <w:proofErr w:type="spellEnd"/>
            <w:r w:rsidRPr="00985275">
              <w:rPr>
                <w:rFonts w:ascii="Times New Roman" w:hAnsi="Times New Roman" w:cs="Times New Roman"/>
                <w:sz w:val="28"/>
                <w:szCs w:val="28"/>
                <w:lang w:val="ro-RO"/>
              </w:rPr>
              <w:t xml:space="preserve"> Guvernului nr. 1236/2018), în baza art. 3 și art. 15 alin. (3) din Legea nr.231/2010.</w:t>
            </w:r>
          </w:p>
          <w:p w:rsidR="0035317F" w:rsidRPr="00985275" w:rsidRDefault="0035317F" w:rsidP="00E22F23">
            <w:pPr>
              <w:spacing w:after="0" w:line="240" w:lineRule="auto"/>
              <w:ind w:firstLine="644"/>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Astfel, în conformitate cu art. 3 și art. 15 alin. (3) din Legea nr.231/2010, Guvernul urma să creeze și administreze o resursă informațională de stat în domeniul comerțului, care să asigure printre altele și depunerea notificării privind inițierea activității de comerț on-line prin intermediul unui ghișeu unic. Lipsa resursei informaționale și a ghișeului unic împiedica aplicarea completă a prevederilor de procedură privind depunerea notificării și excluderea procedurii alternative prevăzute de art. X alin. (3) din Legea nr. 153/2016 pentru modificarea </w:t>
            </w:r>
            <w:proofErr w:type="spellStart"/>
            <w:r w:rsidRPr="00985275">
              <w:rPr>
                <w:rFonts w:ascii="Times New Roman" w:hAnsi="Times New Roman" w:cs="Times New Roman"/>
                <w:sz w:val="28"/>
                <w:szCs w:val="28"/>
                <w:lang w:val="ro-RO"/>
              </w:rPr>
              <w:t>şi</w:t>
            </w:r>
            <w:proofErr w:type="spellEnd"/>
            <w:r w:rsidRPr="00985275">
              <w:rPr>
                <w:rFonts w:ascii="Times New Roman" w:hAnsi="Times New Roman" w:cs="Times New Roman"/>
                <w:sz w:val="28"/>
                <w:szCs w:val="28"/>
                <w:lang w:val="ro-RO"/>
              </w:rPr>
              <w:t xml:space="preserve"> completarea unor acte legislative. Prin adoptarea </w:t>
            </w:r>
            <w:proofErr w:type="spellStart"/>
            <w:r w:rsidRPr="00985275">
              <w:rPr>
                <w:rFonts w:ascii="Times New Roman" w:hAnsi="Times New Roman" w:cs="Times New Roman"/>
                <w:sz w:val="28"/>
                <w:szCs w:val="28"/>
                <w:lang w:val="ro-RO"/>
              </w:rPr>
              <w:t>Hotărîrii</w:t>
            </w:r>
            <w:proofErr w:type="spellEnd"/>
            <w:r w:rsidRPr="00985275">
              <w:rPr>
                <w:rFonts w:ascii="Times New Roman" w:hAnsi="Times New Roman" w:cs="Times New Roman"/>
                <w:sz w:val="28"/>
                <w:szCs w:val="28"/>
                <w:lang w:val="ro-RO"/>
              </w:rPr>
              <w:t xml:space="preserve"> Guvernului nr. 1236/2018, situația relatată mai sus a fost depășită.</w:t>
            </w:r>
          </w:p>
          <w:p w:rsidR="0035317F" w:rsidRPr="00985275" w:rsidRDefault="0035317F" w:rsidP="00E22F23">
            <w:pPr>
              <w:spacing w:after="0" w:line="240" w:lineRule="auto"/>
              <w:ind w:firstLine="644"/>
              <w:jc w:val="both"/>
              <w:rPr>
                <w:rFonts w:ascii="Times New Roman" w:hAnsi="Times New Roman" w:cs="Times New Roman"/>
                <w:sz w:val="28"/>
                <w:szCs w:val="28"/>
                <w:lang w:val="ro-RO"/>
              </w:rPr>
            </w:pPr>
            <w:r w:rsidRPr="00985275">
              <w:rPr>
                <w:rFonts w:ascii="Times New Roman" w:eastAsia="Times New Roman" w:hAnsi="Times New Roman" w:cs="Times New Roman"/>
                <w:sz w:val="28"/>
                <w:szCs w:val="28"/>
                <w:lang w:val="ro-RO"/>
              </w:rPr>
              <w:t xml:space="preserve">Totodată, odată cu punerea în aplicare a </w:t>
            </w:r>
            <w:proofErr w:type="spellStart"/>
            <w:r w:rsidRPr="00985275">
              <w:rPr>
                <w:rFonts w:ascii="Times New Roman" w:hAnsi="Times New Roman" w:cs="Times New Roman"/>
                <w:sz w:val="28"/>
                <w:szCs w:val="28"/>
                <w:lang w:val="ro-RO"/>
              </w:rPr>
              <w:t>Hotărîrii</w:t>
            </w:r>
            <w:proofErr w:type="spellEnd"/>
            <w:r w:rsidRPr="00985275">
              <w:rPr>
                <w:rFonts w:ascii="Times New Roman" w:hAnsi="Times New Roman" w:cs="Times New Roman"/>
                <w:sz w:val="28"/>
                <w:szCs w:val="28"/>
                <w:lang w:val="ro-RO"/>
              </w:rPr>
              <w:t xml:space="preserve"> Guvernului nr. 1236/2018</w:t>
            </w:r>
            <w:r w:rsidRPr="00985275">
              <w:rPr>
                <w:rFonts w:ascii="Times New Roman" w:eastAsia="Times New Roman" w:hAnsi="Times New Roman" w:cs="Times New Roman"/>
                <w:sz w:val="28"/>
                <w:szCs w:val="28"/>
                <w:lang w:val="ro-RO"/>
              </w:rPr>
              <w:t xml:space="preserve">, care a intrat în vigoare la data de 26.03.2019, </w:t>
            </w:r>
            <w:r w:rsidRPr="00985275">
              <w:rPr>
                <w:rFonts w:ascii="Times New Roman" w:hAnsi="Times New Roman" w:cs="Times New Roman"/>
                <w:sz w:val="28"/>
                <w:szCs w:val="28"/>
                <w:lang w:val="ro-RO"/>
              </w:rPr>
              <w:t>au fost constatate un șir de ambiguități sau discrepanțe în procesul aplicării unor prevederi din Legea nr.231/2010, ce urmează a fi remediate conform procedurilor legal stabilite.</w:t>
            </w:r>
          </w:p>
          <w:p w:rsidR="0035317F" w:rsidRPr="00985275" w:rsidRDefault="0035317F" w:rsidP="00E22F23">
            <w:pPr>
              <w:spacing w:after="0" w:line="240" w:lineRule="auto"/>
              <w:ind w:firstLine="644"/>
              <w:jc w:val="both"/>
              <w:rPr>
                <w:rFonts w:ascii="Times New Roman" w:eastAsia="Calibri" w:hAnsi="Times New Roman" w:cs="Times New Roman"/>
                <w:sz w:val="28"/>
                <w:szCs w:val="28"/>
                <w:lang w:val="ro-MD"/>
              </w:rPr>
            </w:pPr>
            <w:r w:rsidRPr="00985275">
              <w:rPr>
                <w:rFonts w:ascii="Times New Roman" w:hAnsi="Times New Roman" w:cs="Times New Roman"/>
                <w:sz w:val="28"/>
                <w:szCs w:val="28"/>
                <w:lang w:val="ro-RO"/>
              </w:rPr>
              <w:t xml:space="preserve">2. </w:t>
            </w:r>
            <w:r w:rsidRPr="00985275">
              <w:rPr>
                <w:rFonts w:ascii="Times New Roman" w:hAnsi="Times New Roman" w:cs="Times New Roman"/>
                <w:i/>
                <w:sz w:val="28"/>
                <w:szCs w:val="28"/>
                <w:lang w:val="ro-RO"/>
              </w:rPr>
              <w:t xml:space="preserve">Studiul de analiză a reglementărilor din </w:t>
            </w:r>
            <w:r w:rsidRPr="00985275">
              <w:rPr>
                <w:rFonts w:ascii="Times New Roman" w:eastAsia="Calibri" w:hAnsi="Times New Roman" w:cs="Times New Roman"/>
                <w:i/>
                <w:sz w:val="28"/>
                <w:szCs w:val="28"/>
                <w:lang w:val="ro-MD"/>
              </w:rPr>
              <w:t>domeniul comerțului interior</w:t>
            </w:r>
            <w:r w:rsidRPr="00985275">
              <w:rPr>
                <w:rFonts w:ascii="Times New Roman" w:eastAsia="Calibri" w:hAnsi="Times New Roman" w:cs="Times New Roman"/>
                <w:sz w:val="28"/>
                <w:szCs w:val="28"/>
                <w:lang w:val="ro-MD"/>
              </w:rPr>
              <w:t>, elaborat în cadrul Proiectului Consilierea Guvernului Republicii Moldova în Politici Economice, GIZ Moldova, la solicitarea Ministerului Economiei și Infrastructurii. Analiza a avut ca scop evaluarea actelor normative primare și secundare în domeniul comerțului interior în vederea identificării normelor deficitare sau contradictorii care, eventual, afectează dezvoltarea comerțului interior în Republica Moldova, precum și inventarierea cadrului normativ primar și secundar în domeniul comerțului interior în scopul asigurării previzibilității și a asigurării sincronizării normelor legale. Constatările  generice ale proiectului denotă caracterul declarativ al mai multor prevederi ale legii propuse spre modificare, care duc la inaplicabilitatea acestora, inconsistența reglementărilor secundare, precum și lipsa unor reglementări necesare.</w:t>
            </w:r>
          </w:p>
          <w:p w:rsidR="0035317F" w:rsidRPr="00985275" w:rsidRDefault="0035317F" w:rsidP="00E22F23">
            <w:pPr>
              <w:spacing w:after="0" w:line="240" w:lineRule="auto"/>
              <w:jc w:val="both"/>
              <w:rPr>
                <w:rFonts w:ascii="Times New Roman" w:eastAsia="Calibri" w:hAnsi="Times New Roman" w:cs="Times New Roman"/>
                <w:sz w:val="28"/>
                <w:szCs w:val="28"/>
                <w:lang w:val="ro-MD"/>
              </w:rPr>
            </w:pPr>
            <w:r w:rsidRPr="00985275">
              <w:rPr>
                <w:rFonts w:ascii="Times New Roman" w:eastAsia="Calibri" w:hAnsi="Times New Roman" w:cs="Times New Roman"/>
                <w:sz w:val="28"/>
                <w:szCs w:val="28"/>
                <w:lang w:val="ro-MD"/>
              </w:rPr>
              <w:lastRenderedPageBreak/>
              <w:t xml:space="preserve">           </w:t>
            </w:r>
            <w:r w:rsidRPr="00985275">
              <w:rPr>
                <w:rFonts w:ascii="Times New Roman" w:eastAsia="Times New Roman" w:hAnsi="Times New Roman" w:cs="Times New Roman"/>
                <w:sz w:val="28"/>
                <w:szCs w:val="28"/>
                <w:lang w:val="ro-RO" w:eastAsia="ro-RO"/>
              </w:rPr>
              <w:t xml:space="preserve">3. </w:t>
            </w:r>
            <w:r w:rsidRPr="00985275">
              <w:rPr>
                <w:rFonts w:ascii="Times New Roman" w:eastAsia="Calibri" w:hAnsi="Times New Roman" w:cs="Times New Roman"/>
                <w:sz w:val="28"/>
                <w:szCs w:val="28"/>
                <w:lang w:val="ro-MD"/>
              </w:rPr>
              <w:t xml:space="preserve">Perfecționarea continuă a cadrului normativ și instituțional de reglementare a activităților din comerț, în special, prin elaborarea amendamentelor la Legea nr.231/2010, </w:t>
            </w:r>
            <w:r w:rsidRPr="00985275">
              <w:rPr>
                <w:rFonts w:ascii="Times New Roman" w:hAnsi="Times New Roman" w:cs="Times New Roman"/>
                <w:sz w:val="28"/>
                <w:szCs w:val="28"/>
                <w:lang w:val="ro-MD"/>
              </w:rPr>
              <w:t xml:space="preserve">constituie un </w:t>
            </w:r>
            <w:r w:rsidRPr="00985275">
              <w:rPr>
                <w:rFonts w:ascii="Times New Roman" w:hAnsi="Times New Roman" w:cs="Times New Roman"/>
                <w:i/>
                <w:sz w:val="28"/>
                <w:szCs w:val="28"/>
                <w:lang w:val="ro-MD"/>
              </w:rPr>
              <w:t>obiectiv</w:t>
            </w:r>
            <w:r w:rsidRPr="00985275">
              <w:rPr>
                <w:rFonts w:ascii="Times New Roman" w:hAnsi="Times New Roman" w:cs="Times New Roman"/>
                <w:sz w:val="28"/>
                <w:szCs w:val="28"/>
                <w:lang w:val="ro-MD"/>
              </w:rPr>
              <w:t xml:space="preserve"> ce derivă </w:t>
            </w:r>
            <w:r w:rsidRPr="00985275">
              <w:rPr>
                <w:rFonts w:ascii="Times New Roman" w:hAnsi="Times New Roman" w:cs="Times New Roman"/>
                <w:i/>
                <w:sz w:val="28"/>
                <w:szCs w:val="28"/>
                <w:lang w:val="ro-MD"/>
              </w:rPr>
              <w:t xml:space="preserve">din </w:t>
            </w:r>
            <w:r w:rsidRPr="00985275">
              <w:rPr>
                <w:rFonts w:ascii="Times New Roman" w:eastAsia="Calibri" w:hAnsi="Times New Roman" w:cs="Times New Roman"/>
                <w:i/>
                <w:sz w:val="28"/>
                <w:szCs w:val="28"/>
                <w:lang w:val="ro-MD"/>
              </w:rPr>
              <w:t>Strategia de dezvoltare a comerțului interior în Republica Moldova</w:t>
            </w:r>
            <w:r w:rsidRPr="00985275">
              <w:rPr>
                <w:rFonts w:ascii="Times New Roman" w:eastAsia="Calibri" w:hAnsi="Times New Roman" w:cs="Times New Roman"/>
                <w:sz w:val="28"/>
                <w:szCs w:val="28"/>
                <w:lang w:val="ro-MD"/>
              </w:rPr>
              <w:t xml:space="preserve"> pentru anii 2014-2020 și Planul de acțiuni pentru anii 2017-2018 privind implementarea acesteia (pct.1.1.8), aprobată prin </w:t>
            </w:r>
            <w:proofErr w:type="spellStart"/>
            <w:r w:rsidRPr="00985275">
              <w:rPr>
                <w:rFonts w:ascii="Times New Roman" w:eastAsia="Calibri" w:hAnsi="Times New Roman" w:cs="Times New Roman"/>
                <w:sz w:val="28"/>
                <w:szCs w:val="28"/>
                <w:lang w:val="ro-MD"/>
              </w:rPr>
              <w:t>Hotărîrea</w:t>
            </w:r>
            <w:proofErr w:type="spellEnd"/>
            <w:r w:rsidRPr="00985275">
              <w:rPr>
                <w:rFonts w:ascii="Times New Roman" w:eastAsia="Calibri" w:hAnsi="Times New Roman" w:cs="Times New Roman"/>
                <w:sz w:val="28"/>
                <w:szCs w:val="28"/>
                <w:lang w:val="ro-MD"/>
              </w:rPr>
              <w:t xml:space="preserve"> Guvernului nr.948/2013. </w:t>
            </w:r>
          </w:p>
          <w:p w:rsidR="0035317F" w:rsidRPr="00985275" w:rsidRDefault="0035317F" w:rsidP="00E22F23">
            <w:pPr>
              <w:spacing w:after="0" w:line="240" w:lineRule="auto"/>
              <w:jc w:val="both"/>
              <w:rPr>
                <w:rFonts w:ascii="Times New Roman" w:eastAsia="Times New Roman" w:hAnsi="Times New Roman" w:cs="Times New Roman"/>
                <w:sz w:val="28"/>
                <w:szCs w:val="28"/>
                <w:lang w:val="ro-RO" w:eastAsia="ro-RO"/>
              </w:rPr>
            </w:pPr>
            <w:r w:rsidRPr="00985275">
              <w:rPr>
                <w:rFonts w:ascii="Times New Roman" w:eastAsia="Calibri" w:hAnsi="Times New Roman" w:cs="Times New Roman"/>
                <w:sz w:val="28"/>
                <w:szCs w:val="28"/>
                <w:lang w:val="ro-MD"/>
              </w:rPr>
              <w:t xml:space="preserve">           De asemenea, scopul inițierii proiectului propus</w:t>
            </w:r>
            <w:r w:rsidRPr="00985275">
              <w:rPr>
                <w:rFonts w:ascii="Times New Roman" w:eastAsia="Calibri" w:hAnsi="Times New Roman" w:cs="Times New Roman"/>
                <w:i/>
                <w:sz w:val="28"/>
                <w:szCs w:val="28"/>
                <w:lang w:val="ro-MD"/>
              </w:rPr>
              <w:t xml:space="preserve"> </w:t>
            </w:r>
            <w:r w:rsidRPr="00985275">
              <w:rPr>
                <w:rFonts w:ascii="Times New Roman" w:eastAsia="Calibri" w:hAnsi="Times New Roman" w:cs="Times New Roman"/>
                <w:sz w:val="28"/>
                <w:szCs w:val="28"/>
                <w:lang w:val="ro-MD"/>
              </w:rPr>
              <w:t>corespunde obiectivelor</w:t>
            </w:r>
            <w:r w:rsidRPr="00985275">
              <w:rPr>
                <w:rFonts w:ascii="Times New Roman" w:eastAsia="Calibri" w:hAnsi="Times New Roman" w:cs="Times New Roman"/>
                <w:i/>
                <w:sz w:val="28"/>
                <w:szCs w:val="28"/>
                <w:lang w:val="ro-MD"/>
              </w:rPr>
              <w:t xml:space="preserve"> </w:t>
            </w:r>
            <w:r w:rsidRPr="00985275">
              <w:rPr>
                <w:rFonts w:ascii="Times New Roman" w:eastAsia="Calibri" w:hAnsi="Times New Roman" w:cs="Times New Roman"/>
                <w:sz w:val="28"/>
                <w:szCs w:val="28"/>
                <w:lang w:val="ro-MD"/>
              </w:rPr>
              <w:t xml:space="preserve">prioritare în vederea  </w:t>
            </w:r>
            <w:r w:rsidRPr="00985275">
              <w:rPr>
                <w:rFonts w:ascii="Times New Roman" w:eastAsia="Times New Roman" w:hAnsi="Times New Roman" w:cs="Times New Roman"/>
                <w:sz w:val="28"/>
                <w:szCs w:val="28"/>
                <w:lang w:val="ro-RO" w:eastAsia="ro-RO"/>
              </w:rPr>
              <w:t xml:space="preserve">realizării reformei cadrului de reglementare a mediului de afaceri stabilite prin Strategia reformei cadrului de reglementare a </w:t>
            </w:r>
            <w:proofErr w:type="spellStart"/>
            <w:r w:rsidRPr="00985275">
              <w:rPr>
                <w:rFonts w:ascii="Times New Roman" w:eastAsia="Times New Roman" w:hAnsi="Times New Roman" w:cs="Times New Roman"/>
                <w:sz w:val="28"/>
                <w:szCs w:val="28"/>
                <w:lang w:val="ro-RO" w:eastAsia="ro-RO"/>
              </w:rPr>
              <w:t>activităţii</w:t>
            </w:r>
            <w:proofErr w:type="spellEnd"/>
            <w:r w:rsidRPr="00985275">
              <w:rPr>
                <w:rFonts w:ascii="Times New Roman" w:eastAsia="Times New Roman" w:hAnsi="Times New Roman" w:cs="Times New Roman"/>
                <w:sz w:val="28"/>
                <w:szCs w:val="28"/>
                <w:lang w:val="ro-RO" w:eastAsia="ro-RO"/>
              </w:rPr>
              <w:t xml:space="preserve"> de întreprinzător pentru anii 2013-2020, aprobată prin </w:t>
            </w:r>
            <w:hyperlink r:id="rId5" w:history="1">
              <w:proofErr w:type="spellStart"/>
              <w:r w:rsidRPr="00985275">
                <w:rPr>
                  <w:rStyle w:val="Hyperlink"/>
                  <w:rFonts w:ascii="Times New Roman" w:eastAsia="Times New Roman" w:hAnsi="Times New Roman" w:cs="Times New Roman"/>
                  <w:sz w:val="28"/>
                  <w:szCs w:val="28"/>
                  <w:lang w:val="ro-RO" w:eastAsia="ro-RO"/>
                </w:rPr>
                <w:t>Hotărîrea</w:t>
              </w:r>
              <w:proofErr w:type="spellEnd"/>
              <w:r w:rsidRPr="00985275">
                <w:rPr>
                  <w:rStyle w:val="Hyperlink"/>
                  <w:rFonts w:ascii="Times New Roman" w:eastAsia="Times New Roman" w:hAnsi="Times New Roman" w:cs="Times New Roman"/>
                  <w:sz w:val="28"/>
                  <w:szCs w:val="28"/>
                  <w:lang w:val="ro-RO" w:eastAsia="ro-RO"/>
                </w:rPr>
                <w:t xml:space="preserve"> Guvernului nr.1021/2013</w:t>
              </w:r>
            </w:hyperlink>
            <w:r w:rsidRPr="00985275">
              <w:rPr>
                <w:rFonts w:ascii="Times New Roman" w:eastAsia="Times New Roman" w:hAnsi="Times New Roman" w:cs="Times New Roman"/>
                <w:sz w:val="28"/>
                <w:szCs w:val="28"/>
                <w:lang w:val="ro-RO" w:eastAsia="ro-RO"/>
              </w:rPr>
              <w:t xml:space="preserve">, precum și prin Legile nr. 160/2011 privind reglementarea prin autorizare a </w:t>
            </w:r>
            <w:proofErr w:type="spellStart"/>
            <w:r w:rsidRPr="00985275">
              <w:rPr>
                <w:rFonts w:ascii="Times New Roman" w:eastAsia="Times New Roman" w:hAnsi="Times New Roman" w:cs="Times New Roman"/>
                <w:sz w:val="28"/>
                <w:szCs w:val="28"/>
                <w:lang w:val="ro-RO" w:eastAsia="ro-RO"/>
              </w:rPr>
              <w:t>activităţii</w:t>
            </w:r>
            <w:proofErr w:type="spellEnd"/>
            <w:r w:rsidRPr="00985275">
              <w:rPr>
                <w:rFonts w:ascii="Times New Roman" w:eastAsia="Times New Roman" w:hAnsi="Times New Roman" w:cs="Times New Roman"/>
                <w:sz w:val="28"/>
                <w:szCs w:val="28"/>
                <w:lang w:val="ro-RO" w:eastAsia="ro-RO"/>
              </w:rPr>
              <w:t xml:space="preserve"> de întreprinzător și nr. 161/2011 privind implementarea ghișeului unic în desfășurarea </w:t>
            </w:r>
            <w:proofErr w:type="spellStart"/>
            <w:r w:rsidRPr="00985275">
              <w:rPr>
                <w:rFonts w:ascii="Times New Roman" w:eastAsia="Times New Roman" w:hAnsi="Times New Roman" w:cs="Times New Roman"/>
                <w:sz w:val="28"/>
                <w:szCs w:val="28"/>
                <w:lang w:val="ro-RO" w:eastAsia="ro-RO"/>
              </w:rPr>
              <w:t>activităţii</w:t>
            </w:r>
            <w:proofErr w:type="spellEnd"/>
            <w:r w:rsidRPr="00985275">
              <w:rPr>
                <w:rFonts w:ascii="Times New Roman" w:eastAsia="Times New Roman" w:hAnsi="Times New Roman" w:cs="Times New Roman"/>
                <w:sz w:val="28"/>
                <w:szCs w:val="28"/>
                <w:lang w:val="ro-RO" w:eastAsia="ro-RO"/>
              </w:rPr>
              <w:t xml:space="preserve"> de întreprinzător, Hotărârea Guvernului nr. 753/2016 pentru aprobarea Conceptului mecanismului de gestionare </w:t>
            </w:r>
            <w:proofErr w:type="spellStart"/>
            <w:r w:rsidRPr="00985275">
              <w:rPr>
                <w:rFonts w:ascii="Times New Roman" w:eastAsia="Times New Roman" w:hAnsi="Times New Roman" w:cs="Times New Roman"/>
                <w:sz w:val="28"/>
                <w:szCs w:val="28"/>
                <w:lang w:val="ro-RO" w:eastAsia="ro-RO"/>
              </w:rPr>
              <w:t>şi</w:t>
            </w:r>
            <w:proofErr w:type="spellEnd"/>
            <w:r w:rsidRPr="00985275">
              <w:rPr>
                <w:rFonts w:ascii="Times New Roman" w:eastAsia="Times New Roman" w:hAnsi="Times New Roman" w:cs="Times New Roman"/>
                <w:sz w:val="28"/>
                <w:szCs w:val="28"/>
                <w:lang w:val="ro-RO" w:eastAsia="ro-RO"/>
              </w:rPr>
              <w:t xml:space="preserve"> eliberare a actelor permisive </w:t>
            </w:r>
            <w:proofErr w:type="spellStart"/>
            <w:r w:rsidRPr="00985275">
              <w:rPr>
                <w:rFonts w:ascii="Times New Roman" w:eastAsia="Times New Roman" w:hAnsi="Times New Roman" w:cs="Times New Roman"/>
                <w:sz w:val="28"/>
                <w:szCs w:val="28"/>
                <w:lang w:val="ro-RO" w:eastAsia="ro-RO"/>
              </w:rPr>
              <w:t>şi</w:t>
            </w:r>
            <w:proofErr w:type="spellEnd"/>
            <w:r w:rsidRPr="00985275">
              <w:rPr>
                <w:rFonts w:ascii="Times New Roman" w:eastAsia="Times New Roman" w:hAnsi="Times New Roman" w:cs="Times New Roman"/>
                <w:sz w:val="28"/>
                <w:szCs w:val="28"/>
                <w:lang w:val="ro-RO" w:eastAsia="ro-RO"/>
              </w:rPr>
              <w:t xml:space="preserve"> a Planului de </w:t>
            </w:r>
            <w:proofErr w:type="spellStart"/>
            <w:r w:rsidRPr="00985275">
              <w:rPr>
                <w:rFonts w:ascii="Times New Roman" w:eastAsia="Times New Roman" w:hAnsi="Times New Roman" w:cs="Times New Roman"/>
                <w:sz w:val="28"/>
                <w:szCs w:val="28"/>
                <w:lang w:val="ro-RO" w:eastAsia="ro-RO"/>
              </w:rPr>
              <w:t>acţiuni</w:t>
            </w:r>
            <w:proofErr w:type="spellEnd"/>
            <w:r w:rsidRPr="00985275">
              <w:rPr>
                <w:rFonts w:ascii="Times New Roman" w:eastAsia="Times New Roman" w:hAnsi="Times New Roman" w:cs="Times New Roman"/>
                <w:sz w:val="28"/>
                <w:szCs w:val="28"/>
                <w:lang w:val="ro-RO" w:eastAsia="ro-RO"/>
              </w:rPr>
              <w:t xml:space="preserve"> privind implementarea </w:t>
            </w:r>
            <w:proofErr w:type="spellStart"/>
            <w:r w:rsidRPr="00985275">
              <w:rPr>
                <w:rFonts w:ascii="Times New Roman" w:eastAsia="Times New Roman" w:hAnsi="Times New Roman" w:cs="Times New Roman"/>
                <w:sz w:val="28"/>
                <w:szCs w:val="28"/>
                <w:lang w:val="ro-RO" w:eastAsia="ro-RO"/>
              </w:rPr>
              <w:t>soluţiilor</w:t>
            </w:r>
            <w:proofErr w:type="spellEnd"/>
            <w:r w:rsidRPr="00985275">
              <w:rPr>
                <w:rFonts w:ascii="Times New Roman" w:eastAsia="Times New Roman" w:hAnsi="Times New Roman" w:cs="Times New Roman"/>
                <w:sz w:val="28"/>
                <w:szCs w:val="28"/>
                <w:lang w:val="ro-RO" w:eastAsia="ro-RO"/>
              </w:rPr>
              <w:t xml:space="preserve"> de </w:t>
            </w:r>
            <w:proofErr w:type="spellStart"/>
            <w:r w:rsidRPr="00985275">
              <w:rPr>
                <w:rFonts w:ascii="Times New Roman" w:eastAsia="Times New Roman" w:hAnsi="Times New Roman" w:cs="Times New Roman"/>
                <w:sz w:val="28"/>
                <w:szCs w:val="28"/>
                <w:lang w:val="ro-RO" w:eastAsia="ro-RO"/>
              </w:rPr>
              <w:t>ghişeu</w:t>
            </w:r>
            <w:proofErr w:type="spellEnd"/>
            <w:r w:rsidRPr="00985275">
              <w:rPr>
                <w:rFonts w:ascii="Times New Roman" w:eastAsia="Times New Roman" w:hAnsi="Times New Roman" w:cs="Times New Roman"/>
                <w:sz w:val="28"/>
                <w:szCs w:val="28"/>
                <w:lang w:val="ro-RO" w:eastAsia="ro-RO"/>
              </w:rPr>
              <w:t xml:space="preserve"> unic, Hotărârea Guvernului nr. 550/2018 cu privire la aprobarea Conceptului tehnic al Sistemului </w:t>
            </w:r>
            <w:proofErr w:type="spellStart"/>
            <w:r w:rsidRPr="00985275">
              <w:rPr>
                <w:rFonts w:ascii="Times New Roman" w:eastAsia="Times New Roman" w:hAnsi="Times New Roman" w:cs="Times New Roman"/>
                <w:sz w:val="28"/>
                <w:szCs w:val="28"/>
                <w:lang w:val="ro-RO" w:eastAsia="ro-RO"/>
              </w:rPr>
              <w:t>informaţional</w:t>
            </w:r>
            <w:proofErr w:type="spellEnd"/>
            <w:r w:rsidRPr="00985275">
              <w:rPr>
                <w:rFonts w:ascii="Times New Roman" w:eastAsia="Times New Roman" w:hAnsi="Times New Roman" w:cs="Times New Roman"/>
                <w:sz w:val="28"/>
                <w:szCs w:val="28"/>
                <w:lang w:val="ro-RO" w:eastAsia="ro-RO"/>
              </w:rPr>
              <w:t xml:space="preserve"> automatizat de gestionare </w:t>
            </w:r>
            <w:proofErr w:type="spellStart"/>
            <w:r w:rsidRPr="00985275">
              <w:rPr>
                <w:rFonts w:ascii="Times New Roman" w:eastAsia="Times New Roman" w:hAnsi="Times New Roman" w:cs="Times New Roman"/>
                <w:sz w:val="28"/>
                <w:szCs w:val="28"/>
                <w:lang w:val="ro-RO" w:eastAsia="ro-RO"/>
              </w:rPr>
              <w:t>şi</w:t>
            </w:r>
            <w:proofErr w:type="spellEnd"/>
            <w:r w:rsidRPr="00985275">
              <w:rPr>
                <w:rFonts w:ascii="Times New Roman" w:eastAsia="Times New Roman" w:hAnsi="Times New Roman" w:cs="Times New Roman"/>
                <w:sz w:val="28"/>
                <w:szCs w:val="28"/>
                <w:lang w:val="ro-RO" w:eastAsia="ro-RO"/>
              </w:rPr>
              <w:t xml:space="preserve"> eliberare a actelor permisive.</w:t>
            </w:r>
          </w:p>
          <w:p w:rsidR="0035317F" w:rsidRPr="00985275" w:rsidRDefault="0035317F" w:rsidP="00E22F23">
            <w:pPr>
              <w:spacing w:after="0" w:line="240" w:lineRule="auto"/>
              <w:ind w:firstLine="644"/>
              <w:jc w:val="both"/>
              <w:rPr>
                <w:rFonts w:ascii="Times New Roman" w:hAnsi="Times New Roman" w:cs="Times New Roman"/>
                <w:sz w:val="28"/>
                <w:szCs w:val="28"/>
                <w:lang w:val="ro-RO"/>
              </w:rPr>
            </w:pPr>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contextul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celor</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expuse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prin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adoptarea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actului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legislativ</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respectiv</w:t>
            </w:r>
            <w:proofErr w:type="spellEnd"/>
            <w:r w:rsidRPr="00985275">
              <w:rPr>
                <w:rFonts w:ascii="Times New Roman" w:hAnsi="Times New Roman" w:cs="Times New Roman"/>
                <w:sz w:val="28"/>
                <w:szCs w:val="28"/>
                <w:lang w:val="ro-RO"/>
              </w:rPr>
              <w:t xml:space="preserve"> se prezumă următoarele finalități: </w:t>
            </w:r>
          </w:p>
          <w:p w:rsidR="0035317F" w:rsidRPr="00985275" w:rsidRDefault="0035317F" w:rsidP="0035317F">
            <w:pPr>
              <w:pStyle w:val="ListParagraph"/>
              <w:numPr>
                <w:ilvl w:val="0"/>
                <w:numId w:val="3"/>
              </w:numPr>
              <w:spacing w:after="0" w:line="240" w:lineRule="auto"/>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excluderea discrepanțelor normative depistate;</w:t>
            </w:r>
          </w:p>
          <w:p w:rsidR="0035317F" w:rsidRPr="00985275" w:rsidRDefault="0035317F" w:rsidP="00E22F23">
            <w:pPr>
              <w:pStyle w:val="ListParagraph"/>
              <w:spacing w:after="0" w:line="240" w:lineRule="auto"/>
              <w:ind w:left="0"/>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           - ajustarea reglementărilor procedurale din Legea nr.231/2010 cu cele din Legile nr. 160/2011 privind reglementarea prin autorizare a activității de întreprinzător și nr. 235/2006 cu privire la principiile de bază de reglementare a activității de întreprinzător;</w:t>
            </w:r>
          </w:p>
          <w:p w:rsidR="0035317F" w:rsidRPr="00985275" w:rsidRDefault="0035317F" w:rsidP="0035317F">
            <w:pPr>
              <w:pStyle w:val="ListParagraph"/>
              <w:numPr>
                <w:ilvl w:val="0"/>
                <w:numId w:val="3"/>
              </w:numPr>
              <w:spacing w:after="0" w:line="240" w:lineRule="auto"/>
              <w:ind w:left="37" w:firstLine="683"/>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stabilirea clară a temeiurilor de refuz pentru notificarea în comerț și a activităților autorităților privind operarea cu notificările în comerț, precum și procedura de recepționare, prelucrare și emitere a înștiințărilor de recepționare;</w:t>
            </w:r>
          </w:p>
          <w:p w:rsidR="0035317F" w:rsidRPr="00985275" w:rsidRDefault="0035317F" w:rsidP="0035317F">
            <w:pPr>
              <w:pStyle w:val="ListParagraph"/>
              <w:numPr>
                <w:ilvl w:val="0"/>
                <w:numId w:val="3"/>
              </w:numPr>
              <w:spacing w:after="0" w:line="240" w:lineRule="auto"/>
              <w:ind w:left="37" w:firstLine="683"/>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excluderea posibilităților de eschivare de la plata taxelor locale, inclusiv prin înglobarea în conținutul Legii a tipologiei unităților de comerț prin sistematizarea (codificarea) și suplinirea acestora;</w:t>
            </w:r>
          </w:p>
          <w:p w:rsidR="0035317F" w:rsidRPr="00985275" w:rsidRDefault="0035317F" w:rsidP="0035317F">
            <w:pPr>
              <w:pStyle w:val="ListParagraph"/>
              <w:numPr>
                <w:ilvl w:val="0"/>
                <w:numId w:val="3"/>
              </w:numPr>
              <w:spacing w:after="0" w:line="240" w:lineRule="auto"/>
              <w:ind w:left="37" w:firstLine="683"/>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asigurarea reglementării prin lege a unor fenomene sociale existente </w:t>
            </w:r>
            <w:r w:rsidRPr="00985275">
              <w:rPr>
                <w:rFonts w:ascii="Times New Roman" w:hAnsi="Times New Roman" w:cs="Times New Roman"/>
                <w:i/>
                <w:sz w:val="28"/>
                <w:szCs w:val="28"/>
                <w:lang w:val="ro-RO"/>
              </w:rPr>
              <w:t>de facto;</w:t>
            </w:r>
          </w:p>
          <w:p w:rsidR="0035317F" w:rsidRPr="00985275" w:rsidRDefault="0035317F" w:rsidP="0035317F">
            <w:pPr>
              <w:pStyle w:val="ListParagraph"/>
              <w:numPr>
                <w:ilvl w:val="0"/>
                <w:numId w:val="3"/>
              </w:numPr>
              <w:spacing w:after="0" w:line="240" w:lineRule="auto"/>
              <w:ind w:left="37" w:firstLine="683"/>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înglobarea unor propuneri anterioare de modificare a Legii nr.231/2010 referitoare la c</w:t>
            </w:r>
            <w:r w:rsidRPr="00985275">
              <w:rPr>
                <w:rFonts w:ascii="Times New Roman" w:hAnsi="Times New Roman" w:cs="Times New Roman"/>
                <w:noProof/>
                <w:sz w:val="28"/>
                <w:szCs w:val="28"/>
              </w:rPr>
              <w:t>omercializarea produselor/serviciilor la preţ redus</w:t>
            </w:r>
            <w:r w:rsidRPr="00985275">
              <w:rPr>
                <w:rFonts w:ascii="Times New Roman" w:hAnsi="Times New Roman" w:cs="Times New Roman"/>
                <w:sz w:val="28"/>
                <w:szCs w:val="28"/>
                <w:lang w:val="ro-RO"/>
              </w:rPr>
              <w:t xml:space="preserve"> (prin introducerea unui capitol nou - Capitolului V</w:t>
            </w:r>
            <w:r w:rsidRPr="00985275">
              <w:rPr>
                <w:rFonts w:ascii="Times New Roman" w:hAnsi="Times New Roman" w:cs="Times New Roman"/>
                <w:sz w:val="28"/>
                <w:szCs w:val="28"/>
                <w:vertAlign w:val="superscript"/>
                <w:lang w:val="ro-RO"/>
              </w:rPr>
              <w:t>1</w:t>
            </w:r>
            <w:r w:rsidRPr="00985275">
              <w:rPr>
                <w:rFonts w:ascii="Times New Roman" w:hAnsi="Times New Roman" w:cs="Times New Roman"/>
                <w:sz w:val="28"/>
                <w:szCs w:val="28"/>
                <w:lang w:val="ro-RO"/>
              </w:rPr>
              <w:t>).</w:t>
            </w:r>
          </w:p>
          <w:p w:rsidR="0035317F" w:rsidRPr="00985275" w:rsidRDefault="0035317F" w:rsidP="00E22F23">
            <w:pPr>
              <w:pStyle w:val="ListParagraph"/>
              <w:spacing w:after="0" w:line="240" w:lineRule="auto"/>
              <w:ind w:left="0"/>
              <w:jc w:val="both"/>
              <w:rPr>
                <w:rFonts w:ascii="Times New Roman" w:eastAsia="Times New Roman" w:hAnsi="Times New Roman" w:cs="Times New Roman"/>
                <w:sz w:val="28"/>
                <w:szCs w:val="28"/>
                <w:lang w:val="ro-RO" w:eastAsia="ro-RO"/>
              </w:rPr>
            </w:pPr>
            <w:r w:rsidRPr="00985275">
              <w:rPr>
                <w:rFonts w:ascii="Times New Roman" w:hAnsi="Times New Roman" w:cs="Times New Roman"/>
                <w:sz w:val="28"/>
                <w:szCs w:val="28"/>
                <w:lang w:val="ro-RO"/>
              </w:rPr>
              <w:t xml:space="preserve">          </w:t>
            </w:r>
            <w:r w:rsidRPr="00985275">
              <w:rPr>
                <w:rFonts w:ascii="Times New Roman" w:eastAsia="Times New Roman" w:hAnsi="Times New Roman" w:cs="Times New Roman"/>
                <w:sz w:val="28"/>
                <w:szCs w:val="28"/>
                <w:lang w:val="ro-RO" w:eastAsia="ro-RO"/>
              </w:rPr>
              <w:t xml:space="preserve">În procesul elaborării s-a conlucrat intens cu </w:t>
            </w:r>
            <w:r w:rsidRPr="00985275">
              <w:rPr>
                <w:rFonts w:ascii="Times New Roman" w:hAnsi="Times New Roman" w:cs="Times New Roman"/>
                <w:sz w:val="28"/>
                <w:szCs w:val="28"/>
                <w:lang w:val="ro-RO"/>
              </w:rPr>
              <w:t xml:space="preserve">Direcția generală comerț, alimentație publică și prestări servicii a primăriei mun. Chișinău, ceea ce a permis utilizarea experienței practice din domeniul comerțului, bazată pe prelucrarea a circa 80 de procente din toate notificările din țară. De asemenea, a fost luată în calcul experiența implementării resursei informaționale în domeniul comerțului. Opiniile specialiștilor din cadrul Direcției, precum și adresările oficiale ale Primăriei mun. Chișinău cu propunerile </w:t>
            </w:r>
            <w:r w:rsidRPr="00985275">
              <w:rPr>
                <w:rFonts w:ascii="Times New Roman" w:hAnsi="Times New Roman" w:cs="Times New Roman"/>
                <w:sz w:val="28"/>
                <w:szCs w:val="28"/>
                <w:lang w:val="ro-RO"/>
              </w:rPr>
              <w:lastRenderedPageBreak/>
              <w:t>de modificare a Legii nr.231/2010, au fost luate în considerare prin prisma necesității respectării echilibrului dintre interesele statului, a autorităților administrației publice locale vis-a-vis de interesele mediului de afaceri, inclusiv prin minimizarea oricăror cerințe inutile.</w:t>
            </w:r>
          </w:p>
        </w:tc>
      </w:tr>
      <w:tr w:rsidR="0035317F" w:rsidRPr="00985275" w:rsidTr="00E22F23">
        <w:trPr>
          <w:trHeight w:val="45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lastRenderedPageBreak/>
              <w:t>3.</w:t>
            </w:r>
            <w:r w:rsidRPr="00985275">
              <w:rPr>
                <w:rFonts w:ascii="Times New Roman" w:eastAsia="Times New Roman" w:hAnsi="Times New Roman" w:cs="Times New Roman"/>
                <w:b/>
                <w:sz w:val="28"/>
                <w:szCs w:val="28"/>
                <w:lang w:val="ro-RO" w:eastAsia="ro-RO"/>
              </w:rPr>
              <w:t xml:space="preserve"> Descrierea gradului de compatibilitate pentru proiectele care au ca scop armonizarea </w:t>
            </w:r>
            <w:proofErr w:type="spellStart"/>
            <w:r w:rsidRPr="00985275">
              <w:rPr>
                <w:rFonts w:ascii="Times New Roman" w:eastAsia="Times New Roman" w:hAnsi="Times New Roman" w:cs="Times New Roman"/>
                <w:b/>
                <w:sz w:val="28"/>
                <w:szCs w:val="28"/>
                <w:lang w:val="ro-RO" w:eastAsia="ro-RO"/>
              </w:rPr>
              <w:t>legislaţiei</w:t>
            </w:r>
            <w:proofErr w:type="spellEnd"/>
            <w:r w:rsidRPr="00985275">
              <w:rPr>
                <w:rFonts w:ascii="Times New Roman" w:eastAsia="Times New Roman" w:hAnsi="Times New Roman" w:cs="Times New Roman"/>
                <w:b/>
                <w:sz w:val="28"/>
                <w:szCs w:val="28"/>
                <w:lang w:val="ro-RO" w:eastAsia="ro-RO"/>
              </w:rPr>
              <w:t xml:space="preserve"> </w:t>
            </w:r>
            <w:proofErr w:type="spellStart"/>
            <w:r w:rsidRPr="00985275">
              <w:rPr>
                <w:rFonts w:ascii="Times New Roman" w:eastAsia="Times New Roman" w:hAnsi="Times New Roman" w:cs="Times New Roman"/>
                <w:b/>
                <w:sz w:val="28"/>
                <w:szCs w:val="28"/>
                <w:lang w:val="ro-RO" w:eastAsia="ro-RO"/>
              </w:rPr>
              <w:t>naţionale</w:t>
            </w:r>
            <w:proofErr w:type="spellEnd"/>
            <w:r w:rsidRPr="00985275">
              <w:rPr>
                <w:rFonts w:ascii="Times New Roman" w:eastAsia="Times New Roman" w:hAnsi="Times New Roman" w:cs="Times New Roman"/>
                <w:b/>
                <w:sz w:val="28"/>
                <w:szCs w:val="28"/>
                <w:lang w:val="ro-RO" w:eastAsia="ro-RO"/>
              </w:rPr>
              <w:t xml:space="preserve"> cu </w:t>
            </w:r>
            <w:proofErr w:type="spellStart"/>
            <w:r w:rsidRPr="00985275">
              <w:rPr>
                <w:rFonts w:ascii="Times New Roman" w:eastAsia="Times New Roman" w:hAnsi="Times New Roman" w:cs="Times New Roman"/>
                <w:b/>
                <w:sz w:val="28"/>
                <w:szCs w:val="28"/>
                <w:lang w:val="ro-RO" w:eastAsia="ro-RO"/>
              </w:rPr>
              <w:t>legislaţia</w:t>
            </w:r>
            <w:proofErr w:type="spellEnd"/>
            <w:r w:rsidRPr="00985275">
              <w:rPr>
                <w:rFonts w:ascii="Times New Roman" w:eastAsia="Times New Roman" w:hAnsi="Times New Roman" w:cs="Times New Roman"/>
                <w:b/>
                <w:sz w:val="28"/>
                <w:szCs w:val="28"/>
                <w:lang w:val="ro-RO" w:eastAsia="ro-RO"/>
              </w:rPr>
              <w:t xml:space="preserve"> Uniunii Europene</w:t>
            </w:r>
          </w:p>
        </w:tc>
      </w:tr>
      <w:tr w:rsidR="0035317F" w:rsidRPr="00985275" w:rsidTr="00E22F23">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 xml:space="preserve">Proiectul de lege nu conține norme privind armonizarea legislației naționale cu </w:t>
            </w:r>
            <w:proofErr w:type="spellStart"/>
            <w:r w:rsidRPr="00985275">
              <w:rPr>
                <w:rFonts w:ascii="Times New Roman" w:eastAsia="Times New Roman" w:hAnsi="Times New Roman" w:cs="Times New Roman"/>
                <w:sz w:val="28"/>
                <w:szCs w:val="28"/>
                <w:lang w:val="ro-RO" w:eastAsia="ro-RO"/>
              </w:rPr>
              <w:t>legislaţia</w:t>
            </w:r>
            <w:proofErr w:type="spellEnd"/>
            <w:r w:rsidRPr="00985275">
              <w:rPr>
                <w:rFonts w:ascii="Times New Roman" w:eastAsia="Times New Roman" w:hAnsi="Times New Roman" w:cs="Times New Roman"/>
                <w:sz w:val="28"/>
                <w:szCs w:val="28"/>
                <w:lang w:val="ro-RO" w:eastAsia="ro-RO"/>
              </w:rPr>
              <w:t xml:space="preserve"> Uniunii Europene.</w:t>
            </w:r>
          </w:p>
        </w:tc>
      </w:tr>
      <w:tr w:rsidR="0035317F" w:rsidRPr="00985275" w:rsidTr="00E22F23">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4.</w:t>
            </w:r>
            <w:r w:rsidRPr="00985275">
              <w:rPr>
                <w:rFonts w:ascii="Times New Roman" w:eastAsia="Times New Roman" w:hAnsi="Times New Roman" w:cs="Times New Roman"/>
                <w:b/>
                <w:sz w:val="28"/>
                <w:szCs w:val="28"/>
                <w:lang w:val="ro-RO" w:eastAsia="ro-RO"/>
              </w:rPr>
              <w:t xml:space="preserve"> Principalele prevederi ale proiectului </w:t>
            </w:r>
            <w:proofErr w:type="spellStart"/>
            <w:r w:rsidRPr="00985275">
              <w:rPr>
                <w:rFonts w:ascii="Times New Roman" w:eastAsia="Times New Roman" w:hAnsi="Times New Roman" w:cs="Times New Roman"/>
                <w:b/>
                <w:sz w:val="28"/>
                <w:szCs w:val="28"/>
                <w:lang w:val="ro-RO" w:eastAsia="ro-RO"/>
              </w:rPr>
              <w:t>şi</w:t>
            </w:r>
            <w:proofErr w:type="spellEnd"/>
            <w:r w:rsidRPr="00985275">
              <w:rPr>
                <w:rFonts w:ascii="Times New Roman" w:eastAsia="Times New Roman" w:hAnsi="Times New Roman" w:cs="Times New Roman"/>
                <w:b/>
                <w:sz w:val="28"/>
                <w:szCs w:val="28"/>
                <w:lang w:val="ro-RO" w:eastAsia="ro-RO"/>
              </w:rPr>
              <w:t xml:space="preserve"> </w:t>
            </w:r>
            <w:proofErr w:type="spellStart"/>
            <w:r w:rsidRPr="00985275">
              <w:rPr>
                <w:rFonts w:ascii="Times New Roman" w:eastAsia="Times New Roman" w:hAnsi="Times New Roman" w:cs="Times New Roman"/>
                <w:b/>
                <w:sz w:val="28"/>
                <w:szCs w:val="28"/>
                <w:lang w:val="ro-RO" w:eastAsia="ro-RO"/>
              </w:rPr>
              <w:t>evidenţierea</w:t>
            </w:r>
            <w:proofErr w:type="spellEnd"/>
            <w:r w:rsidRPr="00985275">
              <w:rPr>
                <w:rFonts w:ascii="Times New Roman" w:eastAsia="Times New Roman" w:hAnsi="Times New Roman" w:cs="Times New Roman"/>
                <w:b/>
                <w:sz w:val="28"/>
                <w:szCs w:val="28"/>
                <w:lang w:val="ro-RO" w:eastAsia="ro-RO"/>
              </w:rPr>
              <w:t xml:space="preserve"> elementelor noi </w:t>
            </w:r>
          </w:p>
        </w:tc>
      </w:tr>
      <w:tr w:rsidR="0035317F" w:rsidRPr="00985275" w:rsidTr="004D0D26">
        <w:trPr>
          <w:trHeight w:val="168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hAnsi="Times New Roman" w:cs="Times New Roman"/>
                <w:sz w:val="28"/>
                <w:szCs w:val="28"/>
                <w:lang w:val="ro-RO"/>
              </w:rPr>
            </w:pPr>
            <w:r w:rsidRPr="00985275">
              <w:rPr>
                <w:rFonts w:ascii="Times New Roman" w:hAnsi="Times New Roman" w:cs="Times New Roman"/>
                <w:sz w:val="28"/>
                <w:szCs w:val="28"/>
                <w:lang w:val="ro-RO"/>
              </w:rPr>
              <w:t xml:space="preserve">Aspectul principal de noutate al proiectului constă în aducerea prevederilor legale actuale în concordanță cu cadrul general de reglementare a mediului de afaceri și schimbarea situației actuale de digitizare a proceselor de notificare a activității de comerț prin instituirea resursei informaționale în domeniul comerțului, a monitorizării și evidenței notificărilor, precum și asigurării implementării soluției de ghișeu unic pe platforma SIA GEAP. </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În mod special, prevederile propuse spre revizuire se referă la:</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1) modificarea unor noțiuni de bază, inclusiv prin detalierea și expunerea explicită a  acestora, precum și completarea cu unele noțiuni noi relevante;</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2) reformularea prevederilor interpretabile în vederea asigurării respectării principiilor generale ale reglementării activității de întreprinzător, precum și excluderea unor prevederi caduce și declarative;</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3) revizuirea unor reglementări normative urmare implementării legilor noi în domeniul mediului de afaceri;</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 xml:space="preserve">4) ajustarea textului legii conform specificului tehnic al resursei informaționale </w:t>
            </w:r>
            <w:r w:rsidRPr="00985275">
              <w:rPr>
                <w:rFonts w:ascii="Times New Roman" w:hAnsi="Times New Roman" w:cs="Times New Roman"/>
                <w:sz w:val="28"/>
                <w:szCs w:val="28"/>
                <w:lang w:val="ro-RO"/>
              </w:rPr>
              <w:t>în domeniul comerțului</w:t>
            </w:r>
            <w:r w:rsidRPr="00985275">
              <w:rPr>
                <w:rFonts w:ascii="Times New Roman" w:eastAsia="Times New Roman" w:hAnsi="Times New Roman" w:cs="Times New Roman"/>
                <w:sz w:val="28"/>
                <w:szCs w:val="28"/>
                <w:lang w:val="ro-RO" w:eastAsia="ro-RO"/>
              </w:rPr>
              <w:t>;</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5) stabilirea și aprobarea la nivel de lege a Nomenclatorului unităților comerciale;</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 xml:space="preserve">6) stabilirea unor reguli clare pentru </w:t>
            </w:r>
            <w:proofErr w:type="spellStart"/>
            <w:r w:rsidRPr="00985275">
              <w:rPr>
                <w:rFonts w:ascii="Times New Roman" w:eastAsia="Times New Roman" w:hAnsi="Times New Roman" w:cs="Times New Roman"/>
                <w:sz w:val="28"/>
                <w:szCs w:val="28"/>
                <w:lang w:val="ro-RO" w:eastAsia="ro-RO"/>
              </w:rPr>
              <w:t>vînzările</w:t>
            </w:r>
            <w:proofErr w:type="spellEnd"/>
            <w:r w:rsidRPr="00985275">
              <w:rPr>
                <w:rFonts w:ascii="Times New Roman" w:eastAsia="Times New Roman" w:hAnsi="Times New Roman" w:cs="Times New Roman"/>
                <w:sz w:val="28"/>
                <w:szCs w:val="28"/>
                <w:lang w:val="ro-RO" w:eastAsia="ro-RO"/>
              </w:rPr>
              <w:t xml:space="preserve"> cu reducere de preț în vederea excluderii inducerii în eroare a consumatorilor.</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De menționat că proiectul nu conține revizuiri conceptuale ale prevederilor existente, venind, în special, cu precizări și rectificări ale reglementărilor existente, în vederea excluderii ambiguităților, posibilității interpretărilor eronate și a normelor declarative, precum și cu următoarele elemente noi:</w:t>
            </w:r>
          </w:p>
          <w:p w:rsidR="0035317F" w:rsidRPr="00985275" w:rsidRDefault="0035317F" w:rsidP="0035317F">
            <w:pPr>
              <w:pStyle w:val="ListParagraph"/>
              <w:keepNext/>
              <w:keepLines/>
              <w:numPr>
                <w:ilvl w:val="0"/>
                <w:numId w:val="2"/>
              </w:numPr>
              <w:spacing w:after="0" w:line="240" w:lineRule="auto"/>
              <w:ind w:left="0" w:firstLine="100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lastRenderedPageBreak/>
              <w:t>introducerea unui capitol nou - Capitolul V</w:t>
            </w:r>
            <w:r w:rsidRPr="00985275">
              <w:rPr>
                <w:rFonts w:ascii="Times New Roman" w:eastAsia="Times New Roman" w:hAnsi="Times New Roman" w:cs="Times New Roman"/>
                <w:sz w:val="28"/>
                <w:szCs w:val="28"/>
                <w:vertAlign w:val="superscript"/>
                <w:lang w:val="ro-RO" w:eastAsia="ro-RO"/>
              </w:rPr>
              <w:t>1</w:t>
            </w:r>
            <w:r w:rsidRPr="00985275">
              <w:rPr>
                <w:rFonts w:ascii="Times New Roman" w:eastAsia="Times New Roman" w:hAnsi="Times New Roman" w:cs="Times New Roman"/>
                <w:sz w:val="28"/>
                <w:szCs w:val="28"/>
                <w:lang w:val="ro-RO" w:eastAsia="ro-RO"/>
              </w:rPr>
              <w:t xml:space="preserve"> ”</w:t>
            </w:r>
            <w:r w:rsidRPr="00985275">
              <w:rPr>
                <w:rFonts w:ascii="Times New Roman" w:hAnsi="Times New Roman" w:cs="Times New Roman"/>
                <w:noProof/>
                <w:sz w:val="28"/>
                <w:szCs w:val="28"/>
              </w:rPr>
              <w:t xml:space="preserve">Comercializarea produselor/serviciilor la preţ redus”, </w:t>
            </w:r>
            <w:r w:rsidRPr="00985275">
              <w:rPr>
                <w:rFonts w:ascii="Times New Roman" w:eastAsia="Times New Roman" w:hAnsi="Times New Roman" w:cs="Times New Roman"/>
                <w:sz w:val="28"/>
                <w:szCs w:val="28"/>
                <w:lang w:val="ro-RO" w:eastAsia="ro-RO"/>
              </w:rPr>
              <w:t xml:space="preserve">fiind necesară din motivul existenței cazurilor de practici neloiale ale comercianților prin anunțarea unor reduceri de preț sau lichidări de stocuri false, prin publicitate de forme diferite, inclusiv aplicate pe vitrinele magazinelor care nu corespund realității, prețurile cu reduceri </w:t>
            </w:r>
            <w:r w:rsidRPr="00985275">
              <w:rPr>
                <w:rFonts w:ascii="Times New Roman" w:eastAsia="Times New Roman" w:hAnsi="Times New Roman" w:cs="Times New Roman"/>
                <w:i/>
                <w:sz w:val="28"/>
                <w:szCs w:val="28"/>
                <w:lang w:val="ro-RO" w:eastAsia="ro-RO"/>
              </w:rPr>
              <w:t>de facto</w:t>
            </w:r>
            <w:r w:rsidRPr="00985275">
              <w:rPr>
                <w:rFonts w:ascii="Times New Roman" w:eastAsia="Times New Roman" w:hAnsi="Times New Roman" w:cs="Times New Roman"/>
                <w:sz w:val="28"/>
                <w:szCs w:val="28"/>
                <w:lang w:val="ro-RO" w:eastAsia="ro-RO"/>
              </w:rPr>
              <w:t xml:space="preserve"> nefiind schimbate sau fiind schimbate neesențial. Totodată, din publicitatea anunțată nu este clară limita stocului de mărfuri și sortimentul acestora, reducerile anunțate rămânând în mare parte o aparență menită să atragă consumatorul în magazin sau pe pagina web, unde pot fi aplicate tehnicile de a ”convinge” spre o procurare. Astfel de prevederi se regăsesc și în legislația mai multor state europene (spre exemplu, în România, la Capitolul V al </w:t>
            </w:r>
            <w:proofErr w:type="spellStart"/>
            <w:r w:rsidRPr="00985275">
              <w:rPr>
                <w:rFonts w:ascii="Times New Roman" w:eastAsia="Times New Roman" w:hAnsi="Times New Roman" w:cs="Times New Roman"/>
                <w:sz w:val="28"/>
                <w:szCs w:val="28"/>
                <w:lang w:val="ro-RO" w:eastAsia="ro-RO"/>
              </w:rPr>
              <w:t>Ordonanţei</w:t>
            </w:r>
            <w:proofErr w:type="spellEnd"/>
            <w:r w:rsidRPr="00985275">
              <w:rPr>
                <w:rFonts w:ascii="Times New Roman" w:eastAsia="Times New Roman" w:hAnsi="Times New Roman" w:cs="Times New Roman"/>
                <w:sz w:val="28"/>
                <w:szCs w:val="28"/>
                <w:lang w:val="ro-RO" w:eastAsia="ro-RO"/>
              </w:rPr>
              <w:t xml:space="preserve"> Guvernului nr. 99/2000 privind comercializarea produselor </w:t>
            </w:r>
            <w:proofErr w:type="spellStart"/>
            <w:r w:rsidRPr="00985275">
              <w:rPr>
                <w:rFonts w:ascii="Times New Roman" w:eastAsia="Times New Roman" w:hAnsi="Times New Roman" w:cs="Times New Roman"/>
                <w:sz w:val="28"/>
                <w:szCs w:val="28"/>
                <w:lang w:val="ro-RO" w:eastAsia="ro-RO"/>
              </w:rPr>
              <w:t>şi</w:t>
            </w:r>
            <w:proofErr w:type="spellEnd"/>
            <w:r w:rsidRPr="00985275">
              <w:rPr>
                <w:rFonts w:ascii="Times New Roman" w:eastAsia="Times New Roman" w:hAnsi="Times New Roman" w:cs="Times New Roman"/>
                <w:sz w:val="28"/>
                <w:szCs w:val="28"/>
                <w:lang w:val="ro-RO" w:eastAsia="ro-RO"/>
              </w:rPr>
              <w:t xml:space="preserve"> serviciilor de </w:t>
            </w:r>
            <w:proofErr w:type="spellStart"/>
            <w:r w:rsidRPr="00985275">
              <w:rPr>
                <w:rFonts w:ascii="Times New Roman" w:eastAsia="Times New Roman" w:hAnsi="Times New Roman" w:cs="Times New Roman"/>
                <w:sz w:val="28"/>
                <w:szCs w:val="28"/>
                <w:lang w:val="ro-RO" w:eastAsia="ro-RO"/>
              </w:rPr>
              <w:t>piaţă</w:t>
            </w:r>
            <w:proofErr w:type="spellEnd"/>
            <w:r w:rsidRPr="00985275">
              <w:rPr>
                <w:rFonts w:ascii="Times New Roman" w:eastAsia="Times New Roman" w:hAnsi="Times New Roman" w:cs="Times New Roman"/>
                <w:sz w:val="28"/>
                <w:szCs w:val="28"/>
                <w:lang w:val="ro-RO" w:eastAsia="ro-RO"/>
              </w:rPr>
              <w:t>).</w:t>
            </w:r>
          </w:p>
          <w:p w:rsidR="0035317F" w:rsidRPr="00985275" w:rsidRDefault="0035317F" w:rsidP="0035317F">
            <w:pPr>
              <w:pStyle w:val="ListParagraph"/>
              <w:numPr>
                <w:ilvl w:val="0"/>
                <w:numId w:val="2"/>
              </w:numPr>
              <w:spacing w:after="0" w:line="240" w:lineRule="auto"/>
              <w:ind w:left="37" w:firstLine="967"/>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 xml:space="preserve">suplinirea cu reglementările noi privind producătorii casnici și a procedurii de realizare a surplusurilor de produse obținute de pe loturile aferente locuinței (gospodăriile casnice) sau cele deținute în întovărășiri </w:t>
            </w:r>
            <w:proofErr w:type="spellStart"/>
            <w:r w:rsidRPr="00985275">
              <w:rPr>
                <w:rFonts w:ascii="Times New Roman" w:eastAsia="Times New Roman" w:hAnsi="Times New Roman" w:cs="Times New Roman"/>
                <w:sz w:val="28"/>
                <w:szCs w:val="28"/>
                <w:lang w:val="ro-RO" w:eastAsia="ro-RO"/>
              </w:rPr>
              <w:t>pomilegumicole</w:t>
            </w:r>
            <w:proofErr w:type="spellEnd"/>
            <w:r w:rsidRPr="00985275">
              <w:rPr>
                <w:rFonts w:ascii="Times New Roman" w:eastAsia="Times New Roman" w:hAnsi="Times New Roman" w:cs="Times New Roman"/>
                <w:sz w:val="28"/>
                <w:szCs w:val="28"/>
                <w:lang w:val="ro-RO" w:eastAsia="ro-RO"/>
              </w:rPr>
              <w:t xml:space="preserve"> (vile). Aceste prevederi noi vin în calitate de reacție la o realitate socială iminentă cu referire la realizarea surplusurilor de producție agroalimentară de sezon, pe care o practică persoanele care posedă case de locuit din localitățile rurale sau cei care dețin ”vile”, unele din ele fiind în etate, având pensia ca unica sursă de mijloace bănești. Conform informației privind beneficiarii de pensii, aflați la evidență Casei Naționale de Asigurări Sociale, la situația de la 01.07.2019 (</w:t>
            </w:r>
            <w:hyperlink r:id="rId6" w:history="1">
              <w:r w:rsidRPr="00985275">
                <w:rPr>
                  <w:rStyle w:val="Hyperlink"/>
                  <w:rFonts w:ascii="Times New Roman" w:eastAsia="Times New Roman" w:hAnsi="Times New Roman" w:cs="Times New Roman"/>
                  <w:sz w:val="28"/>
                  <w:szCs w:val="28"/>
                  <w:lang w:val="ro-RO" w:eastAsia="ro-RO"/>
                </w:rPr>
                <w:t>www.cnas.md</w:t>
              </w:r>
            </w:hyperlink>
            <w:r w:rsidRPr="00985275">
              <w:rPr>
                <w:rFonts w:ascii="Times New Roman" w:eastAsia="Times New Roman" w:hAnsi="Times New Roman" w:cs="Times New Roman"/>
                <w:sz w:val="28"/>
                <w:szCs w:val="28"/>
                <w:lang w:val="ro-RO" w:eastAsia="ro-RO"/>
              </w:rPr>
              <w:t xml:space="preserve">), pensia medie pe țară constituie circa 1895 lei per lună, în localitățile rurale aceasta fiind mult mai mică comparativ cu municipiile Chișinău și Bălți – circa 2300 lei, în celelalte localități circa 1600 lei. Sumele pensiilor fiind comparabile minimului de existență. Însă minimul de existență, deși acoperă cheltuielile de întreținere a locuințelor sau transport public, nu este normat și se calculează prin metoda statistică, în baza datelor Cercetării Bugetelor Gospodăriilor Casnice, fără a include cele pentru odihnă sau alte cheltuieli aferente vieții sociale și de familie. Cheltuielile pentru încălzirea locuinței ar ajunge la circa 30% din suma pensiei anuale, ce ar însemna că </w:t>
            </w:r>
            <w:r w:rsidRPr="00985275">
              <w:rPr>
                <w:rFonts w:ascii="Times New Roman" w:eastAsia="Times New Roman" w:hAnsi="Times New Roman" w:cs="Times New Roman"/>
                <w:i/>
                <w:sz w:val="28"/>
                <w:szCs w:val="28"/>
                <w:lang w:val="ro-RO" w:eastAsia="ro-RO"/>
              </w:rPr>
              <w:t>per lună</w:t>
            </w:r>
            <w:r w:rsidRPr="00985275">
              <w:rPr>
                <w:rFonts w:ascii="Times New Roman" w:eastAsia="Times New Roman" w:hAnsi="Times New Roman" w:cs="Times New Roman"/>
                <w:sz w:val="28"/>
                <w:szCs w:val="28"/>
                <w:lang w:val="ro-RO" w:eastAsia="ro-RO"/>
              </w:rPr>
              <w:t xml:space="preserve"> ar rămâne circa 1200 lei pentru existență. Prin urmare, comercializarea produselor de sezon ar permite acoperirea deficitului de existență în perioada rece a anului. </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eastAsia="ro-RO"/>
              </w:rPr>
            </w:pPr>
            <w:r w:rsidRPr="00985275">
              <w:rPr>
                <w:rFonts w:ascii="Times New Roman" w:eastAsia="Times New Roman" w:hAnsi="Times New Roman" w:cs="Times New Roman"/>
                <w:sz w:val="28"/>
                <w:szCs w:val="28"/>
                <w:lang w:val="ro-RO" w:eastAsia="ro-RO"/>
              </w:rPr>
              <w:t xml:space="preserve">Din perspectiva situației financiare precare a păturilor social vulnerabile și a veniturilor salariale din localitățile rurale reduse în raport cu cele din municipii, considerăm necesară acoperirea legală a fenomenului abordat. Lipsa  unor reglementări normative și a unui statut legal al persoanelor vizate comportă imposibilitatea protejării acestora. În acest caz, este necesară formalizarea evidenței persoanelor și produselor în vederea neadmiterii utilizării instrumentului propus în scopuri de practicare a </w:t>
            </w:r>
            <w:proofErr w:type="spellStart"/>
            <w:r w:rsidRPr="00985275">
              <w:rPr>
                <w:rFonts w:ascii="Times New Roman" w:eastAsia="Times New Roman" w:hAnsi="Times New Roman" w:cs="Times New Roman"/>
                <w:sz w:val="28"/>
                <w:szCs w:val="28"/>
                <w:lang w:val="ro-RO" w:eastAsia="ro-RO"/>
              </w:rPr>
              <w:t>antreprenoriatului</w:t>
            </w:r>
            <w:proofErr w:type="spellEnd"/>
            <w:r w:rsidRPr="00985275">
              <w:rPr>
                <w:rFonts w:ascii="Times New Roman" w:eastAsia="Times New Roman" w:hAnsi="Times New Roman" w:cs="Times New Roman"/>
                <w:sz w:val="28"/>
                <w:szCs w:val="28"/>
                <w:lang w:val="ro-RO" w:eastAsia="ro-RO"/>
              </w:rPr>
              <w:t xml:space="preserve"> voalat (ilegal), prin introducerea unor criterii de reglementare. În acest sens, se propune reglementarea unei proceduri de eliberare a Certificatului de producător casnic, care presupune evidența producătorilor casnici și a produselor comercializate de </w:t>
            </w:r>
            <w:proofErr w:type="spellStart"/>
            <w:r w:rsidRPr="00985275">
              <w:rPr>
                <w:rFonts w:ascii="Times New Roman" w:eastAsia="Times New Roman" w:hAnsi="Times New Roman" w:cs="Times New Roman"/>
                <w:sz w:val="28"/>
                <w:szCs w:val="28"/>
                <w:lang w:val="ro-RO" w:eastAsia="ro-RO"/>
              </w:rPr>
              <w:t>aceștea</w:t>
            </w:r>
            <w:proofErr w:type="spellEnd"/>
            <w:r w:rsidRPr="00985275">
              <w:rPr>
                <w:rFonts w:ascii="Times New Roman" w:eastAsia="Times New Roman" w:hAnsi="Times New Roman" w:cs="Times New Roman"/>
                <w:sz w:val="28"/>
                <w:szCs w:val="28"/>
                <w:lang w:val="ro-RO" w:eastAsia="ro-RO"/>
              </w:rPr>
              <w:t xml:space="preserve"> </w:t>
            </w:r>
            <w:proofErr w:type="spellStart"/>
            <w:r w:rsidRPr="00985275">
              <w:rPr>
                <w:rFonts w:ascii="Times New Roman" w:eastAsia="Times New Roman" w:hAnsi="Times New Roman" w:cs="Times New Roman"/>
                <w:sz w:val="28"/>
                <w:szCs w:val="28"/>
                <w:lang w:val="ro-RO" w:eastAsia="ro-RO"/>
              </w:rPr>
              <w:t>atît</w:t>
            </w:r>
            <w:proofErr w:type="spellEnd"/>
            <w:r w:rsidRPr="00985275">
              <w:rPr>
                <w:rFonts w:ascii="Times New Roman" w:eastAsia="Times New Roman" w:hAnsi="Times New Roman" w:cs="Times New Roman"/>
                <w:sz w:val="28"/>
                <w:szCs w:val="28"/>
                <w:lang w:val="ro-RO" w:eastAsia="ro-RO"/>
              </w:rPr>
              <w:t xml:space="preserve"> la primării (pentru volumul de produse destinate comercializării), precum și </w:t>
            </w:r>
            <w:r w:rsidRPr="00985275">
              <w:rPr>
                <w:rFonts w:ascii="Times New Roman" w:eastAsia="Times New Roman" w:hAnsi="Times New Roman" w:cs="Times New Roman"/>
                <w:sz w:val="28"/>
                <w:szCs w:val="28"/>
                <w:lang w:val="ro-RO" w:eastAsia="ro-RO"/>
              </w:rPr>
              <w:lastRenderedPageBreak/>
              <w:t xml:space="preserve">în piețe (pentru volumul de produse comercializate). Se consideră că acest instrument va permite AAPL să organizeze, prin prevederile Regulamentului de comerț local, activitatea producătorilor casnici în piețe, târguri sezoniere sau amplasamente, precum și să excludă comerțul neautorizat stradal și factorii favorizanți sau capabili de a favoriza </w:t>
            </w:r>
            <w:proofErr w:type="spellStart"/>
            <w:r w:rsidRPr="00985275">
              <w:rPr>
                <w:rFonts w:ascii="Times New Roman" w:eastAsia="Times New Roman" w:hAnsi="Times New Roman" w:cs="Times New Roman"/>
                <w:sz w:val="28"/>
                <w:szCs w:val="28"/>
                <w:lang w:val="ro-RO" w:eastAsia="ro-RO"/>
              </w:rPr>
              <w:t>corupţia</w:t>
            </w:r>
            <w:proofErr w:type="spellEnd"/>
            <w:r w:rsidRPr="00985275">
              <w:rPr>
                <w:rFonts w:ascii="Times New Roman" w:eastAsia="Times New Roman" w:hAnsi="Times New Roman" w:cs="Times New Roman"/>
                <w:sz w:val="28"/>
                <w:szCs w:val="28"/>
                <w:lang w:val="ro-RO" w:eastAsia="ro-RO"/>
              </w:rPr>
              <w:t xml:space="preserve"> în </w:t>
            </w:r>
            <w:proofErr w:type="spellStart"/>
            <w:r w:rsidRPr="00985275">
              <w:rPr>
                <w:rFonts w:ascii="Times New Roman" w:eastAsia="Times New Roman" w:hAnsi="Times New Roman" w:cs="Times New Roman"/>
                <w:sz w:val="28"/>
                <w:szCs w:val="28"/>
                <w:lang w:val="ro-RO" w:eastAsia="ro-RO"/>
              </w:rPr>
              <w:t>rîndul</w:t>
            </w:r>
            <w:proofErr w:type="spellEnd"/>
            <w:r w:rsidRPr="00985275">
              <w:rPr>
                <w:rFonts w:ascii="Times New Roman" w:eastAsia="Times New Roman" w:hAnsi="Times New Roman" w:cs="Times New Roman"/>
                <w:sz w:val="28"/>
                <w:szCs w:val="28"/>
                <w:lang w:val="ro-RO" w:eastAsia="ro-RO"/>
              </w:rPr>
              <w:t xml:space="preserve"> funcționarilor publici.</w:t>
            </w:r>
          </w:p>
        </w:tc>
      </w:tr>
      <w:tr w:rsidR="0035317F" w:rsidRPr="00985275" w:rsidTr="00E22F23">
        <w:trPr>
          <w:trHeight w:val="25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lastRenderedPageBreak/>
              <w:t>5.</w:t>
            </w:r>
            <w:r w:rsidRPr="00985275">
              <w:rPr>
                <w:rFonts w:ascii="Times New Roman" w:eastAsia="Times New Roman" w:hAnsi="Times New Roman" w:cs="Times New Roman"/>
                <w:b/>
                <w:sz w:val="28"/>
                <w:szCs w:val="28"/>
                <w:lang w:val="ro-RO" w:eastAsia="ro-RO"/>
              </w:rPr>
              <w:t xml:space="preserve"> Fundamentarea </w:t>
            </w:r>
            <w:proofErr w:type="spellStart"/>
            <w:r w:rsidRPr="00985275">
              <w:rPr>
                <w:rFonts w:ascii="Times New Roman" w:eastAsia="Times New Roman" w:hAnsi="Times New Roman" w:cs="Times New Roman"/>
                <w:b/>
                <w:sz w:val="28"/>
                <w:szCs w:val="28"/>
                <w:lang w:val="ro-RO" w:eastAsia="ro-RO"/>
              </w:rPr>
              <w:t>economico</w:t>
            </w:r>
            <w:proofErr w:type="spellEnd"/>
            <w:r w:rsidRPr="00985275">
              <w:rPr>
                <w:rFonts w:ascii="Times New Roman" w:eastAsia="Times New Roman" w:hAnsi="Times New Roman" w:cs="Times New Roman"/>
                <w:b/>
                <w:sz w:val="28"/>
                <w:szCs w:val="28"/>
                <w:lang w:val="ro-RO" w:eastAsia="ro-RO"/>
              </w:rPr>
              <w:t>-financiară</w:t>
            </w:r>
          </w:p>
        </w:tc>
      </w:tr>
      <w:tr w:rsidR="0035317F" w:rsidRPr="00985275" w:rsidTr="00E22F23">
        <w:trPr>
          <w:trHeight w:val="909"/>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 xml:space="preserve">Conform celor relevate </w:t>
            </w:r>
            <w:r w:rsidRPr="00985275">
              <w:rPr>
                <w:rFonts w:ascii="Times New Roman" w:eastAsia="Times New Roman" w:hAnsi="Times New Roman" w:cs="Times New Roman"/>
                <w:i/>
                <w:sz w:val="28"/>
                <w:szCs w:val="28"/>
                <w:lang w:val="ro-RO" w:eastAsia="ro-RO"/>
              </w:rPr>
              <w:t>supra</w:t>
            </w:r>
            <w:r w:rsidRPr="00985275">
              <w:rPr>
                <w:rFonts w:ascii="Times New Roman" w:eastAsia="Times New Roman" w:hAnsi="Times New Roman" w:cs="Times New Roman"/>
                <w:sz w:val="28"/>
                <w:szCs w:val="28"/>
                <w:lang w:val="ro-RO" w:eastAsia="ro-RO"/>
              </w:rPr>
              <w:t>, inițiativa în cauză nu comportă cheltuieli pentru mediul de afaceri/business.</w:t>
            </w:r>
          </w:p>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t>Din perspectiva bugetului de stat, cheltuielile sunt similare celor pentru realizarea ghișeului unic SIA GEAP în vederea implementării reformei regulatorii și asigurării continuității mentenanței sistemului, precum și operării de modificări, la necesitate.</w:t>
            </w:r>
          </w:p>
        </w:tc>
      </w:tr>
      <w:tr w:rsidR="0035317F" w:rsidRPr="00985275" w:rsidTr="00E22F23">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6.</w:t>
            </w:r>
            <w:r w:rsidRPr="00985275">
              <w:rPr>
                <w:rFonts w:ascii="Times New Roman" w:eastAsia="Times New Roman" w:hAnsi="Times New Roman" w:cs="Times New Roman"/>
                <w:b/>
                <w:sz w:val="28"/>
                <w:szCs w:val="28"/>
                <w:lang w:val="ro-RO" w:eastAsia="ro-RO"/>
              </w:rPr>
              <w:t xml:space="preserve"> Modul de încorporare a actului în cadrul normativ în vigoare </w:t>
            </w:r>
          </w:p>
        </w:tc>
      </w:tr>
      <w:tr w:rsidR="0035317F" w:rsidRPr="00985275" w:rsidTr="00E22F23">
        <w:trPr>
          <w:trHeight w:val="22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pStyle w:val="cb"/>
              <w:ind w:firstLine="644"/>
              <w:jc w:val="both"/>
              <w:rPr>
                <w:b w:val="0"/>
                <w:sz w:val="28"/>
                <w:szCs w:val="28"/>
                <w:lang w:val="ro-RO"/>
              </w:rPr>
            </w:pPr>
            <w:r w:rsidRPr="00985275">
              <w:rPr>
                <w:b w:val="0"/>
                <w:sz w:val="28"/>
                <w:szCs w:val="28"/>
                <w:lang w:val="ro-RO"/>
              </w:rPr>
              <w:t>Inițiativa în cauză vine să asigure încorporarea amendamentelor propuse în cadrul legal existent fără necesitatea modificării altor acte legislative, dar care va impune revizuirea cadrului normativ guvernamental și anume:</w:t>
            </w:r>
          </w:p>
          <w:p w:rsidR="0035317F" w:rsidRPr="00985275" w:rsidRDefault="0035317F" w:rsidP="0035317F">
            <w:pPr>
              <w:pStyle w:val="cb"/>
              <w:numPr>
                <w:ilvl w:val="0"/>
                <w:numId w:val="1"/>
              </w:numPr>
              <w:jc w:val="both"/>
              <w:rPr>
                <w:b w:val="0"/>
                <w:sz w:val="28"/>
                <w:szCs w:val="28"/>
                <w:lang w:val="ro-RO" w:eastAsia="ro-RO"/>
              </w:rPr>
            </w:pPr>
            <w:r w:rsidRPr="00985275">
              <w:rPr>
                <w:b w:val="0"/>
                <w:sz w:val="28"/>
                <w:szCs w:val="28"/>
                <w:lang w:val="ro-RO" w:eastAsia="ro-RO"/>
              </w:rPr>
              <w:t xml:space="preserve">Hotărârea Guvernului nr. 517/1996 ”Cu privire la aprobarea Regulilor de </w:t>
            </w:r>
            <w:proofErr w:type="spellStart"/>
            <w:r w:rsidRPr="00985275">
              <w:rPr>
                <w:b w:val="0"/>
                <w:sz w:val="28"/>
                <w:szCs w:val="28"/>
                <w:lang w:val="ro-RO" w:eastAsia="ro-RO"/>
              </w:rPr>
              <w:t>funcţionare</w:t>
            </w:r>
            <w:proofErr w:type="spellEnd"/>
            <w:r w:rsidRPr="00985275">
              <w:rPr>
                <w:b w:val="0"/>
                <w:sz w:val="28"/>
                <w:szCs w:val="28"/>
                <w:lang w:val="ro-RO" w:eastAsia="ro-RO"/>
              </w:rPr>
              <w:t xml:space="preserve"> a </w:t>
            </w:r>
            <w:proofErr w:type="spellStart"/>
            <w:r w:rsidRPr="00985275">
              <w:rPr>
                <w:b w:val="0"/>
                <w:sz w:val="28"/>
                <w:szCs w:val="28"/>
                <w:lang w:val="ro-RO" w:eastAsia="ro-RO"/>
              </w:rPr>
              <w:t>reţelei</w:t>
            </w:r>
            <w:proofErr w:type="spellEnd"/>
            <w:r w:rsidRPr="00985275">
              <w:rPr>
                <w:b w:val="0"/>
                <w:sz w:val="28"/>
                <w:szCs w:val="28"/>
                <w:lang w:val="ro-RO" w:eastAsia="ro-RO"/>
              </w:rPr>
              <w:t xml:space="preserve"> de </w:t>
            </w:r>
            <w:proofErr w:type="spellStart"/>
            <w:r w:rsidRPr="00985275">
              <w:rPr>
                <w:b w:val="0"/>
                <w:sz w:val="28"/>
                <w:szCs w:val="28"/>
                <w:lang w:val="ro-RO" w:eastAsia="ro-RO"/>
              </w:rPr>
              <w:t>comerţ</w:t>
            </w:r>
            <w:proofErr w:type="spellEnd"/>
            <w:r w:rsidRPr="00985275">
              <w:rPr>
                <w:b w:val="0"/>
                <w:sz w:val="28"/>
                <w:szCs w:val="28"/>
                <w:lang w:val="ro-RO" w:eastAsia="ro-RO"/>
              </w:rPr>
              <w:t xml:space="preserve"> ambulant </w:t>
            </w:r>
            <w:proofErr w:type="spellStart"/>
            <w:r w:rsidRPr="00985275">
              <w:rPr>
                <w:b w:val="0"/>
                <w:sz w:val="28"/>
                <w:szCs w:val="28"/>
                <w:lang w:val="ro-RO" w:eastAsia="ro-RO"/>
              </w:rPr>
              <w:t>şi</w:t>
            </w:r>
            <w:proofErr w:type="spellEnd"/>
            <w:r w:rsidRPr="00985275">
              <w:rPr>
                <w:b w:val="0"/>
                <w:sz w:val="28"/>
                <w:szCs w:val="28"/>
                <w:lang w:val="ro-RO" w:eastAsia="ro-RO"/>
              </w:rPr>
              <w:t xml:space="preserve"> a Regulilor de </w:t>
            </w:r>
            <w:proofErr w:type="spellStart"/>
            <w:r w:rsidRPr="00985275">
              <w:rPr>
                <w:b w:val="0"/>
                <w:sz w:val="28"/>
                <w:szCs w:val="28"/>
                <w:lang w:val="ro-RO" w:eastAsia="ro-RO"/>
              </w:rPr>
              <w:t>comerţ</w:t>
            </w:r>
            <w:proofErr w:type="spellEnd"/>
            <w:r w:rsidRPr="00985275">
              <w:rPr>
                <w:b w:val="0"/>
                <w:sz w:val="28"/>
                <w:szCs w:val="28"/>
                <w:lang w:val="ro-RO" w:eastAsia="ro-RO"/>
              </w:rPr>
              <w:t xml:space="preserve"> în </w:t>
            </w:r>
            <w:proofErr w:type="spellStart"/>
            <w:r w:rsidRPr="00985275">
              <w:rPr>
                <w:b w:val="0"/>
                <w:sz w:val="28"/>
                <w:szCs w:val="28"/>
                <w:lang w:val="ro-RO" w:eastAsia="ro-RO"/>
              </w:rPr>
              <w:t>pieţele</w:t>
            </w:r>
            <w:proofErr w:type="spellEnd"/>
            <w:r w:rsidRPr="00985275">
              <w:rPr>
                <w:b w:val="0"/>
                <w:sz w:val="28"/>
                <w:szCs w:val="28"/>
                <w:lang w:val="ro-RO" w:eastAsia="ro-RO"/>
              </w:rPr>
              <w:t xml:space="preserve"> din Republica Moldova”;</w:t>
            </w:r>
          </w:p>
          <w:p w:rsidR="0035317F" w:rsidRPr="00985275" w:rsidRDefault="0035317F" w:rsidP="0035317F">
            <w:pPr>
              <w:pStyle w:val="cb"/>
              <w:numPr>
                <w:ilvl w:val="0"/>
                <w:numId w:val="1"/>
              </w:numPr>
              <w:jc w:val="both"/>
              <w:rPr>
                <w:b w:val="0"/>
                <w:sz w:val="28"/>
                <w:szCs w:val="28"/>
                <w:lang w:val="ro-RO" w:eastAsia="ro-RO"/>
              </w:rPr>
            </w:pPr>
            <w:r w:rsidRPr="00985275">
              <w:rPr>
                <w:b w:val="0"/>
                <w:sz w:val="28"/>
                <w:szCs w:val="28"/>
                <w:lang w:val="ro-RO" w:eastAsia="ro-RO"/>
              </w:rPr>
              <w:t>Hotărârea Guvernului nr. 427/2001 „Privind importul și comercializarea unor mărfuri de uz personal folosite”;</w:t>
            </w:r>
          </w:p>
          <w:p w:rsidR="0035317F" w:rsidRPr="00985275" w:rsidRDefault="0035317F" w:rsidP="0035317F">
            <w:pPr>
              <w:pStyle w:val="cb"/>
              <w:numPr>
                <w:ilvl w:val="0"/>
                <w:numId w:val="1"/>
              </w:numPr>
              <w:jc w:val="both"/>
              <w:rPr>
                <w:b w:val="0"/>
                <w:sz w:val="28"/>
                <w:szCs w:val="28"/>
                <w:lang w:val="ro-RO" w:eastAsia="ro-RO"/>
              </w:rPr>
            </w:pPr>
            <w:r w:rsidRPr="00985275">
              <w:rPr>
                <w:b w:val="0"/>
                <w:sz w:val="28"/>
                <w:szCs w:val="28"/>
                <w:lang w:val="ro-RO" w:eastAsia="ro-RO"/>
              </w:rPr>
              <w:t xml:space="preserve">Hotărârea Guvernului nr. 955/2004 ”Despre aprobarea Regulamentului-tip de </w:t>
            </w:r>
            <w:proofErr w:type="spellStart"/>
            <w:r w:rsidRPr="00985275">
              <w:rPr>
                <w:b w:val="0"/>
                <w:sz w:val="28"/>
                <w:szCs w:val="28"/>
                <w:lang w:val="ro-RO" w:eastAsia="ro-RO"/>
              </w:rPr>
              <w:t>funcţionare</w:t>
            </w:r>
            <w:proofErr w:type="spellEnd"/>
            <w:r w:rsidRPr="00985275">
              <w:rPr>
                <w:b w:val="0"/>
                <w:sz w:val="28"/>
                <w:szCs w:val="28"/>
                <w:lang w:val="ro-RO" w:eastAsia="ro-RO"/>
              </w:rPr>
              <w:t xml:space="preserve"> a </w:t>
            </w:r>
            <w:proofErr w:type="spellStart"/>
            <w:r w:rsidRPr="00985275">
              <w:rPr>
                <w:b w:val="0"/>
                <w:sz w:val="28"/>
                <w:szCs w:val="28"/>
                <w:lang w:val="ro-RO" w:eastAsia="ro-RO"/>
              </w:rPr>
              <w:t>pieţelor</w:t>
            </w:r>
            <w:proofErr w:type="spellEnd"/>
            <w:r w:rsidRPr="00985275">
              <w:rPr>
                <w:b w:val="0"/>
                <w:sz w:val="28"/>
                <w:szCs w:val="28"/>
                <w:lang w:val="ro-RO" w:eastAsia="ro-RO"/>
              </w:rPr>
              <w:t>”;</w:t>
            </w:r>
          </w:p>
          <w:p w:rsidR="0035317F" w:rsidRPr="00985275" w:rsidRDefault="0035317F" w:rsidP="0035317F">
            <w:pPr>
              <w:pStyle w:val="cb"/>
              <w:numPr>
                <w:ilvl w:val="0"/>
                <w:numId w:val="1"/>
              </w:numPr>
              <w:jc w:val="both"/>
              <w:rPr>
                <w:b w:val="0"/>
                <w:sz w:val="28"/>
                <w:szCs w:val="28"/>
                <w:lang w:val="ro-RO" w:eastAsia="ro-RO"/>
              </w:rPr>
            </w:pPr>
            <w:r w:rsidRPr="00985275">
              <w:rPr>
                <w:b w:val="0"/>
                <w:sz w:val="28"/>
                <w:szCs w:val="28"/>
                <w:lang w:val="ro-RO" w:eastAsia="ro-RO"/>
              </w:rPr>
              <w:t xml:space="preserve">Hotărârea Guvernului nr. 1209/2007 ”Cu privire la prestarea serviciilor de </w:t>
            </w:r>
            <w:proofErr w:type="spellStart"/>
            <w:r w:rsidRPr="00985275">
              <w:rPr>
                <w:b w:val="0"/>
                <w:sz w:val="28"/>
                <w:szCs w:val="28"/>
                <w:lang w:val="ro-RO" w:eastAsia="ro-RO"/>
              </w:rPr>
              <w:t>alimentaţie</w:t>
            </w:r>
            <w:proofErr w:type="spellEnd"/>
            <w:r w:rsidRPr="00985275">
              <w:rPr>
                <w:b w:val="0"/>
                <w:sz w:val="28"/>
                <w:szCs w:val="28"/>
                <w:lang w:val="ro-RO" w:eastAsia="ro-RO"/>
              </w:rPr>
              <w:t xml:space="preserve"> publică”;</w:t>
            </w:r>
          </w:p>
          <w:p w:rsidR="0035317F" w:rsidRPr="00985275" w:rsidRDefault="0035317F" w:rsidP="0035317F">
            <w:pPr>
              <w:pStyle w:val="cb"/>
              <w:numPr>
                <w:ilvl w:val="0"/>
                <w:numId w:val="1"/>
              </w:numPr>
              <w:jc w:val="both"/>
              <w:rPr>
                <w:b w:val="0"/>
                <w:sz w:val="28"/>
                <w:szCs w:val="28"/>
                <w:lang w:val="ro-RO" w:eastAsia="ro-RO"/>
              </w:rPr>
            </w:pPr>
            <w:r w:rsidRPr="00985275">
              <w:rPr>
                <w:b w:val="0"/>
                <w:bCs w:val="0"/>
                <w:sz w:val="28"/>
                <w:szCs w:val="28"/>
                <w:lang w:val="ro-RO" w:eastAsia="ro-RO"/>
              </w:rPr>
              <w:t xml:space="preserve">Hotărârea Guvernului nr. 931/2011 ”Cu privire la </w:t>
            </w:r>
            <w:proofErr w:type="spellStart"/>
            <w:r w:rsidRPr="00985275">
              <w:rPr>
                <w:b w:val="0"/>
                <w:bCs w:val="0"/>
                <w:sz w:val="28"/>
                <w:szCs w:val="28"/>
                <w:lang w:val="ro-RO" w:eastAsia="ro-RO"/>
              </w:rPr>
              <w:t>desfăşurarea</w:t>
            </w:r>
            <w:proofErr w:type="spellEnd"/>
            <w:r w:rsidRPr="00985275">
              <w:rPr>
                <w:b w:val="0"/>
                <w:bCs w:val="0"/>
                <w:sz w:val="28"/>
                <w:szCs w:val="28"/>
                <w:lang w:val="ro-RO" w:eastAsia="ro-RO"/>
              </w:rPr>
              <w:t xml:space="preserve"> </w:t>
            </w:r>
            <w:proofErr w:type="spellStart"/>
            <w:r w:rsidRPr="00985275">
              <w:rPr>
                <w:b w:val="0"/>
                <w:bCs w:val="0"/>
                <w:sz w:val="28"/>
                <w:szCs w:val="28"/>
                <w:lang w:val="ro-RO" w:eastAsia="ro-RO"/>
              </w:rPr>
              <w:t>comerţului</w:t>
            </w:r>
            <w:proofErr w:type="spellEnd"/>
            <w:r w:rsidRPr="00985275">
              <w:rPr>
                <w:b w:val="0"/>
                <w:bCs w:val="0"/>
                <w:sz w:val="28"/>
                <w:szCs w:val="28"/>
                <w:lang w:val="ro-RO" w:eastAsia="ro-RO"/>
              </w:rPr>
              <w:t xml:space="preserve"> cu amănuntul”</w:t>
            </w:r>
            <w:r w:rsidRPr="00985275">
              <w:rPr>
                <w:rFonts w:ascii="Georgia" w:hAnsi="Georgia"/>
                <w:b w:val="0"/>
                <w:color w:val="333333"/>
                <w:sz w:val="28"/>
                <w:szCs w:val="28"/>
                <w:shd w:val="clear" w:color="auto" w:fill="FFFFFF"/>
                <w:lang w:val="en-US"/>
              </w:rPr>
              <w:t>.</w:t>
            </w:r>
          </w:p>
        </w:tc>
      </w:tr>
      <w:tr w:rsidR="0035317F" w:rsidRPr="00985275" w:rsidTr="00E22F23">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7.</w:t>
            </w:r>
            <w:r w:rsidRPr="00985275">
              <w:rPr>
                <w:rFonts w:ascii="Times New Roman" w:eastAsia="Times New Roman" w:hAnsi="Times New Roman" w:cs="Times New Roman"/>
                <w:b/>
                <w:sz w:val="28"/>
                <w:szCs w:val="28"/>
                <w:lang w:val="ro-RO" w:eastAsia="ro-RO"/>
              </w:rPr>
              <w:t xml:space="preserve"> Avizarea </w:t>
            </w:r>
            <w:proofErr w:type="spellStart"/>
            <w:r w:rsidRPr="00985275">
              <w:rPr>
                <w:rFonts w:ascii="Times New Roman" w:eastAsia="Times New Roman" w:hAnsi="Times New Roman" w:cs="Times New Roman"/>
                <w:b/>
                <w:sz w:val="28"/>
                <w:szCs w:val="28"/>
                <w:lang w:val="ro-RO" w:eastAsia="ro-RO"/>
              </w:rPr>
              <w:t>şi</w:t>
            </w:r>
            <w:proofErr w:type="spellEnd"/>
            <w:r w:rsidRPr="00985275">
              <w:rPr>
                <w:rFonts w:ascii="Times New Roman" w:eastAsia="Times New Roman" w:hAnsi="Times New Roman" w:cs="Times New Roman"/>
                <w:b/>
                <w:sz w:val="28"/>
                <w:szCs w:val="28"/>
                <w:lang w:val="ro-RO" w:eastAsia="ro-RO"/>
              </w:rPr>
              <w:t xml:space="preserve"> consultarea publică a proiectului </w:t>
            </w:r>
          </w:p>
        </w:tc>
      </w:tr>
      <w:tr w:rsidR="0035317F" w:rsidRPr="00985275" w:rsidTr="00E22F23">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scopul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respectării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prevederilor</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Legii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nr</w:t>
            </w:r>
            <w:proofErr w:type="spellEnd"/>
            <w:r w:rsidRPr="00985275">
              <w:rPr>
                <w:rFonts w:ascii="Times New Roman" w:hAnsi="Times New Roman" w:cs="Times New Roman"/>
                <w:sz w:val="28"/>
                <w:szCs w:val="28"/>
              </w:rPr>
              <w:t xml:space="preserve">. 239/2008 </w:t>
            </w:r>
            <w:proofErr w:type="spellStart"/>
            <w:r w:rsidRPr="00985275">
              <w:rPr>
                <w:rFonts w:ascii="Times New Roman" w:hAnsi="Times New Roman" w:cs="Times New Roman"/>
                <w:sz w:val="28"/>
                <w:szCs w:val="28"/>
              </w:rPr>
              <w:t>privind</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transparenţa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procesul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decizional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anunțul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privind</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inițierea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elaborării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proiectului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Legii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propus</w:t>
            </w:r>
            <w:proofErr w:type="spellEnd"/>
            <w:r w:rsidRPr="00985275">
              <w:rPr>
                <w:rFonts w:ascii="Times New Roman" w:hAnsi="Times New Roman" w:cs="Times New Roman"/>
                <w:sz w:val="28"/>
                <w:szCs w:val="28"/>
              </w:rPr>
              <w:t xml:space="preserve"> a </w:t>
            </w:r>
            <w:proofErr w:type="spellStart"/>
            <w:r w:rsidRPr="00985275">
              <w:rPr>
                <w:rFonts w:ascii="Times New Roman" w:hAnsi="Times New Roman" w:cs="Times New Roman"/>
                <w:sz w:val="28"/>
                <w:szCs w:val="28"/>
              </w:rPr>
              <w:t>fost</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plasat</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pagina</w:t>
            </w:r>
            <w:proofErr w:type="spellEnd"/>
            <w:r w:rsidRPr="00985275">
              <w:rPr>
                <w:rFonts w:ascii="Times New Roman" w:hAnsi="Times New Roman" w:cs="Times New Roman"/>
                <w:sz w:val="28"/>
                <w:szCs w:val="28"/>
              </w:rPr>
              <w:t xml:space="preserve"> web </w:t>
            </w:r>
            <w:proofErr w:type="spellStart"/>
            <w:r w:rsidRPr="00985275">
              <w:rPr>
                <w:rFonts w:ascii="Times New Roman" w:hAnsi="Times New Roman" w:cs="Times New Roman"/>
                <w:sz w:val="28"/>
                <w:szCs w:val="28"/>
              </w:rPr>
              <w:t>oficială</w:t>
            </w:r>
            <w:proofErr w:type="spellEnd"/>
            <w:r w:rsidRPr="00985275">
              <w:rPr>
                <w:rFonts w:ascii="Times New Roman" w:hAnsi="Times New Roman" w:cs="Times New Roman"/>
                <w:sz w:val="28"/>
                <w:szCs w:val="28"/>
              </w:rPr>
              <w:t xml:space="preserve"> a </w:t>
            </w:r>
            <w:proofErr w:type="spellStart"/>
            <w:r w:rsidRPr="00985275">
              <w:rPr>
                <w:rFonts w:ascii="Times New Roman" w:hAnsi="Times New Roman" w:cs="Times New Roman"/>
                <w:sz w:val="28"/>
                <w:szCs w:val="28"/>
              </w:rPr>
              <w:t>Ministerului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Economiei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și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Infrastructurii</w:t>
            </w:r>
            <w:proofErr w:type="spellEnd"/>
            <w:r w:rsidRPr="00985275">
              <w:rPr>
                <w:rFonts w:ascii="Times New Roman" w:hAnsi="Times New Roman" w:cs="Times New Roman"/>
                <w:sz w:val="28"/>
                <w:szCs w:val="28"/>
              </w:rPr>
              <w:t xml:space="preserve"> www.mei.gov.md, </w:t>
            </w:r>
            <w:proofErr w:type="spellStart"/>
            <w:r w:rsidRPr="00985275">
              <w:rPr>
                <w:rFonts w:ascii="Times New Roman" w:hAnsi="Times New Roman" w:cs="Times New Roman"/>
                <w:sz w:val="28"/>
                <w:szCs w:val="28"/>
              </w:rPr>
              <w:t>compartimentul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Transparenţa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decizională</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directoriul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Anunțuri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privind</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inițierea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elaborării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deciziei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Proiectul</w:t>
            </w:r>
            <w:proofErr w:type="spellEnd"/>
            <w:r w:rsidRPr="00985275">
              <w:rPr>
                <w:rFonts w:ascii="Times New Roman" w:hAnsi="Times New Roman" w:cs="Times New Roman"/>
                <w:sz w:val="28"/>
                <w:szCs w:val="28"/>
              </w:rPr>
              <w:t xml:space="preserve"> de </w:t>
            </w:r>
            <w:proofErr w:type="spellStart"/>
            <w:proofErr w:type="gramStart"/>
            <w:r w:rsidRPr="00985275">
              <w:rPr>
                <w:rFonts w:ascii="Times New Roman" w:hAnsi="Times New Roman" w:cs="Times New Roman"/>
                <w:sz w:val="28"/>
                <w:szCs w:val="28"/>
              </w:rPr>
              <w:t>lege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urmează</w:t>
            </w:r>
            <w:proofErr w:type="spellEnd"/>
            <w:proofErr w:type="gramEnd"/>
            <w:r w:rsidRPr="00985275">
              <w:rPr>
                <w:rFonts w:ascii="Times New Roman" w:hAnsi="Times New Roman" w:cs="Times New Roman"/>
                <w:sz w:val="28"/>
                <w:szCs w:val="28"/>
              </w:rPr>
              <w:t xml:space="preserve"> a fi </w:t>
            </w:r>
            <w:proofErr w:type="spellStart"/>
            <w:r w:rsidRPr="00985275">
              <w:rPr>
                <w:rFonts w:ascii="Times New Roman" w:hAnsi="Times New Roman" w:cs="Times New Roman"/>
                <w:sz w:val="28"/>
                <w:szCs w:val="28"/>
              </w:rPr>
              <w:t>supus</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avizării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și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consultării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publice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conformitate</w:t>
            </w:r>
            <w:proofErr w:type="spellEnd"/>
            <w:r w:rsidRPr="00985275">
              <w:rPr>
                <w:rFonts w:ascii="Times New Roman" w:hAnsi="Times New Roman" w:cs="Times New Roman"/>
                <w:sz w:val="28"/>
                <w:szCs w:val="28"/>
              </w:rPr>
              <w:t xml:space="preserve"> cu </w:t>
            </w:r>
            <w:proofErr w:type="spellStart"/>
            <w:r w:rsidRPr="00985275">
              <w:rPr>
                <w:rFonts w:ascii="Times New Roman" w:hAnsi="Times New Roman" w:cs="Times New Roman"/>
                <w:sz w:val="28"/>
                <w:szCs w:val="28"/>
              </w:rPr>
              <w:t>procedura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stabilită</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prin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Legea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nr</w:t>
            </w:r>
            <w:proofErr w:type="spellEnd"/>
            <w:r w:rsidRPr="00985275">
              <w:rPr>
                <w:rFonts w:ascii="Times New Roman" w:hAnsi="Times New Roman" w:cs="Times New Roman"/>
                <w:sz w:val="28"/>
                <w:szCs w:val="28"/>
              </w:rPr>
              <w:t xml:space="preserve">. 100/2017 cu </w:t>
            </w:r>
            <w:proofErr w:type="spellStart"/>
            <w:r w:rsidRPr="00985275">
              <w:rPr>
                <w:rFonts w:ascii="Times New Roman" w:hAnsi="Times New Roman" w:cs="Times New Roman"/>
                <w:sz w:val="28"/>
                <w:szCs w:val="28"/>
              </w:rPr>
              <w:t>privire</w:t>
            </w:r>
            <w:proofErr w:type="spellEnd"/>
            <w:r w:rsidRPr="00985275">
              <w:rPr>
                <w:rFonts w:ascii="Times New Roman" w:hAnsi="Times New Roman" w:cs="Times New Roman"/>
                <w:sz w:val="28"/>
                <w:szCs w:val="28"/>
              </w:rPr>
              <w:t xml:space="preserve"> la </w:t>
            </w:r>
            <w:proofErr w:type="spellStart"/>
            <w:r w:rsidRPr="00985275">
              <w:rPr>
                <w:rFonts w:ascii="Times New Roman" w:hAnsi="Times New Roman" w:cs="Times New Roman"/>
                <w:sz w:val="28"/>
                <w:szCs w:val="28"/>
              </w:rPr>
              <w:t>actele</w:t>
            </w:r>
            <w:proofErr w:type="spellEnd"/>
            <w:r w:rsidRPr="00985275">
              <w:rPr>
                <w:rFonts w:ascii="Times New Roman" w:hAnsi="Times New Roman" w:cs="Times New Roman"/>
                <w:sz w:val="28"/>
                <w:szCs w:val="28"/>
              </w:rPr>
              <w:t xml:space="preserve"> normative</w:t>
            </w:r>
            <w:r w:rsidRPr="00985275">
              <w:rPr>
                <w:rFonts w:ascii="Times New Roman" w:eastAsia="Times New Roman" w:hAnsi="Times New Roman" w:cs="Times New Roman"/>
                <w:sz w:val="28"/>
                <w:szCs w:val="28"/>
                <w:lang w:val="ro-RO" w:eastAsia="ro-RO"/>
              </w:rPr>
              <w:t xml:space="preserve">. </w:t>
            </w:r>
          </w:p>
        </w:tc>
      </w:tr>
      <w:tr w:rsidR="0035317F" w:rsidRPr="00985275" w:rsidTr="00E22F23">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8.</w:t>
            </w:r>
            <w:r w:rsidRPr="00985275">
              <w:rPr>
                <w:rFonts w:ascii="Times New Roman" w:eastAsia="Times New Roman" w:hAnsi="Times New Roman" w:cs="Times New Roman"/>
                <w:b/>
                <w:sz w:val="28"/>
                <w:szCs w:val="28"/>
                <w:lang w:val="ro-RO" w:eastAsia="ro-RO"/>
              </w:rPr>
              <w:t xml:space="preserve"> Constatările expertizei </w:t>
            </w:r>
            <w:proofErr w:type="spellStart"/>
            <w:r w:rsidRPr="00985275">
              <w:rPr>
                <w:rFonts w:ascii="Times New Roman" w:eastAsia="Times New Roman" w:hAnsi="Times New Roman" w:cs="Times New Roman"/>
                <w:b/>
                <w:sz w:val="28"/>
                <w:szCs w:val="28"/>
                <w:lang w:val="ro-RO" w:eastAsia="ro-RO"/>
              </w:rPr>
              <w:t>anticorupţie</w:t>
            </w:r>
            <w:proofErr w:type="spellEnd"/>
          </w:p>
        </w:tc>
      </w:tr>
      <w:tr w:rsidR="0035317F" w:rsidRPr="00985275" w:rsidTr="00E22F23">
        <w:trPr>
          <w:trHeight w:val="462"/>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proofErr w:type="spellStart"/>
            <w:r w:rsidRPr="00985275">
              <w:rPr>
                <w:rFonts w:ascii="Times New Roman" w:eastAsia="Times New Roman" w:hAnsi="Times New Roman" w:cs="Times New Roman"/>
                <w:sz w:val="28"/>
                <w:szCs w:val="28"/>
                <w:lang w:val="ro-RO" w:eastAsia="ro-RO"/>
              </w:rPr>
              <w:t>Informaţia</w:t>
            </w:r>
            <w:proofErr w:type="spellEnd"/>
            <w:r w:rsidRPr="00985275">
              <w:rPr>
                <w:rFonts w:ascii="Times New Roman" w:eastAsia="Times New Roman" w:hAnsi="Times New Roman" w:cs="Times New Roman"/>
                <w:sz w:val="28"/>
                <w:szCs w:val="28"/>
                <w:lang w:val="ro-RO" w:eastAsia="ro-RO"/>
              </w:rPr>
              <w:t xml:space="preserve"> privind rezultatele expertizei </w:t>
            </w:r>
            <w:proofErr w:type="spellStart"/>
            <w:r w:rsidRPr="00985275">
              <w:rPr>
                <w:rFonts w:ascii="Times New Roman" w:eastAsia="Times New Roman" w:hAnsi="Times New Roman" w:cs="Times New Roman"/>
                <w:sz w:val="28"/>
                <w:szCs w:val="28"/>
                <w:lang w:val="ro-RO" w:eastAsia="ro-RO"/>
              </w:rPr>
              <w:t>anticorupţie</w:t>
            </w:r>
            <w:proofErr w:type="spellEnd"/>
            <w:r w:rsidRPr="00985275">
              <w:rPr>
                <w:rFonts w:ascii="Times New Roman" w:eastAsia="Times New Roman" w:hAnsi="Times New Roman" w:cs="Times New Roman"/>
                <w:sz w:val="28"/>
                <w:szCs w:val="28"/>
                <w:lang w:val="ro-RO" w:eastAsia="ro-RO"/>
              </w:rPr>
              <w:t xml:space="preserve"> va fi inclusă după </w:t>
            </w:r>
            <w:proofErr w:type="spellStart"/>
            <w:r w:rsidRPr="00985275">
              <w:rPr>
                <w:rFonts w:ascii="Times New Roman" w:eastAsia="Times New Roman" w:hAnsi="Times New Roman" w:cs="Times New Roman"/>
                <w:sz w:val="28"/>
                <w:szCs w:val="28"/>
                <w:lang w:val="ro-RO" w:eastAsia="ro-RO"/>
              </w:rPr>
              <w:t>recepţionarea</w:t>
            </w:r>
            <w:proofErr w:type="spellEnd"/>
            <w:r w:rsidRPr="00985275">
              <w:rPr>
                <w:rFonts w:ascii="Times New Roman" w:eastAsia="Times New Roman" w:hAnsi="Times New Roman" w:cs="Times New Roman"/>
                <w:sz w:val="28"/>
                <w:szCs w:val="28"/>
                <w:lang w:val="ro-RO" w:eastAsia="ro-RO"/>
              </w:rPr>
              <w:t xml:space="preserve"> raportului de expertiză </w:t>
            </w:r>
            <w:proofErr w:type="spellStart"/>
            <w:r w:rsidRPr="00985275">
              <w:rPr>
                <w:rFonts w:ascii="Times New Roman" w:eastAsia="Times New Roman" w:hAnsi="Times New Roman" w:cs="Times New Roman"/>
                <w:sz w:val="28"/>
                <w:szCs w:val="28"/>
                <w:lang w:val="ro-RO" w:eastAsia="ro-RO"/>
              </w:rPr>
              <w:t>anticorupţie</w:t>
            </w:r>
            <w:proofErr w:type="spellEnd"/>
            <w:r w:rsidRPr="00985275">
              <w:rPr>
                <w:rFonts w:ascii="Times New Roman" w:eastAsia="Times New Roman" w:hAnsi="Times New Roman" w:cs="Times New Roman"/>
                <w:sz w:val="28"/>
                <w:szCs w:val="28"/>
                <w:lang w:val="ro-RO" w:eastAsia="ro-RO"/>
              </w:rPr>
              <w:t xml:space="preserve">. </w:t>
            </w:r>
          </w:p>
        </w:tc>
      </w:tr>
      <w:tr w:rsidR="0035317F" w:rsidRPr="00985275" w:rsidTr="00E22F23">
        <w:trPr>
          <w:trHeight w:val="22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9.</w:t>
            </w:r>
            <w:r w:rsidRPr="00985275">
              <w:rPr>
                <w:rFonts w:ascii="Times New Roman" w:eastAsia="Times New Roman" w:hAnsi="Times New Roman" w:cs="Times New Roman"/>
                <w:b/>
                <w:sz w:val="28"/>
                <w:szCs w:val="28"/>
                <w:lang w:val="ro-RO" w:eastAsia="ro-RO"/>
              </w:rPr>
              <w:t xml:space="preserve"> Constatările expertizei de compatibilitate</w:t>
            </w:r>
          </w:p>
        </w:tc>
      </w:tr>
      <w:tr w:rsidR="0035317F" w:rsidRPr="00985275" w:rsidTr="00E22F23">
        <w:trPr>
          <w:trHeight w:val="45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sz w:val="28"/>
                <w:szCs w:val="28"/>
                <w:lang w:val="ro-RO" w:eastAsia="ro-RO"/>
              </w:rPr>
              <w:lastRenderedPageBreak/>
              <w:t xml:space="preserve">Proiectul de lege nu conține norme privind armonizarea legislației naționale cu </w:t>
            </w:r>
            <w:proofErr w:type="spellStart"/>
            <w:r w:rsidRPr="00985275">
              <w:rPr>
                <w:rFonts w:ascii="Times New Roman" w:eastAsia="Times New Roman" w:hAnsi="Times New Roman" w:cs="Times New Roman"/>
                <w:sz w:val="28"/>
                <w:szCs w:val="28"/>
                <w:lang w:val="ro-RO" w:eastAsia="ro-RO"/>
              </w:rPr>
              <w:t>legislaţia</w:t>
            </w:r>
            <w:proofErr w:type="spellEnd"/>
            <w:r w:rsidRPr="00985275">
              <w:rPr>
                <w:rFonts w:ascii="Times New Roman" w:eastAsia="Times New Roman" w:hAnsi="Times New Roman" w:cs="Times New Roman"/>
                <w:sz w:val="28"/>
                <w:szCs w:val="28"/>
                <w:lang w:val="ro-RO" w:eastAsia="ro-RO"/>
              </w:rPr>
              <w:t xml:space="preserve"> Uniunii Europene.</w:t>
            </w:r>
          </w:p>
        </w:tc>
      </w:tr>
      <w:tr w:rsidR="0035317F" w:rsidRPr="00985275" w:rsidTr="00E22F23">
        <w:trPr>
          <w:trHeight w:val="234"/>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35317F" w:rsidRPr="00985275" w:rsidRDefault="0035317F" w:rsidP="00E22F23">
            <w:pPr>
              <w:spacing w:after="0" w:line="240" w:lineRule="auto"/>
              <w:ind w:firstLine="644"/>
              <w:rPr>
                <w:rFonts w:ascii="Times New Roman" w:eastAsia="Times New Roman" w:hAnsi="Times New Roman" w:cs="Times New Roman"/>
                <w:b/>
                <w:sz w:val="28"/>
                <w:szCs w:val="28"/>
                <w:lang w:val="ro-RO" w:eastAsia="ro-RO"/>
              </w:rPr>
            </w:pPr>
            <w:r w:rsidRPr="00985275">
              <w:rPr>
                <w:rFonts w:ascii="Times New Roman" w:eastAsia="Times New Roman" w:hAnsi="Times New Roman" w:cs="Times New Roman"/>
                <w:b/>
                <w:bCs/>
                <w:sz w:val="28"/>
                <w:szCs w:val="28"/>
                <w:lang w:val="ro-RO" w:eastAsia="ro-RO"/>
              </w:rPr>
              <w:t>10.</w:t>
            </w:r>
            <w:r w:rsidRPr="00985275">
              <w:rPr>
                <w:rFonts w:ascii="Times New Roman" w:eastAsia="Times New Roman" w:hAnsi="Times New Roman" w:cs="Times New Roman"/>
                <w:b/>
                <w:sz w:val="28"/>
                <w:szCs w:val="28"/>
                <w:lang w:val="ro-RO" w:eastAsia="ro-RO"/>
              </w:rPr>
              <w:t xml:space="preserve"> Constatările expertizei juridice</w:t>
            </w:r>
          </w:p>
        </w:tc>
      </w:tr>
      <w:tr w:rsidR="0035317F" w:rsidRPr="00985275" w:rsidTr="00E22F23">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proofErr w:type="spellStart"/>
            <w:r w:rsidRPr="00985275">
              <w:rPr>
                <w:rFonts w:ascii="Times New Roman" w:eastAsia="Times New Roman" w:hAnsi="Times New Roman" w:cs="Times New Roman"/>
                <w:sz w:val="28"/>
                <w:szCs w:val="28"/>
                <w:lang w:val="ro-RO" w:eastAsia="ro-RO"/>
              </w:rPr>
              <w:t>Informaţia</w:t>
            </w:r>
            <w:proofErr w:type="spellEnd"/>
            <w:r w:rsidRPr="00985275">
              <w:rPr>
                <w:rFonts w:ascii="Times New Roman" w:eastAsia="Times New Roman" w:hAnsi="Times New Roman" w:cs="Times New Roman"/>
                <w:sz w:val="28"/>
                <w:szCs w:val="28"/>
                <w:lang w:val="ro-RO" w:eastAsia="ro-RO"/>
              </w:rPr>
              <w:t xml:space="preserve"> referitoare la concluziile expertizei privind compatibilitatea proiectului cu alte acte normative în vigoare, precum </w:t>
            </w:r>
            <w:proofErr w:type="spellStart"/>
            <w:r w:rsidRPr="00985275">
              <w:rPr>
                <w:rFonts w:ascii="Times New Roman" w:eastAsia="Times New Roman" w:hAnsi="Times New Roman" w:cs="Times New Roman"/>
                <w:sz w:val="28"/>
                <w:szCs w:val="28"/>
                <w:lang w:val="ro-RO" w:eastAsia="ro-RO"/>
              </w:rPr>
              <w:t>şi</w:t>
            </w:r>
            <w:proofErr w:type="spellEnd"/>
            <w:r w:rsidRPr="00985275">
              <w:rPr>
                <w:rFonts w:ascii="Times New Roman" w:eastAsia="Times New Roman" w:hAnsi="Times New Roman" w:cs="Times New Roman"/>
                <w:sz w:val="28"/>
                <w:szCs w:val="28"/>
                <w:lang w:val="ro-RO" w:eastAsia="ro-RO"/>
              </w:rPr>
              <w:t xml:space="preserve"> respectarea normelor de tehnică legislativă va fi inclusă după </w:t>
            </w:r>
            <w:proofErr w:type="spellStart"/>
            <w:r w:rsidRPr="00985275">
              <w:rPr>
                <w:rFonts w:ascii="Times New Roman" w:eastAsia="Times New Roman" w:hAnsi="Times New Roman" w:cs="Times New Roman"/>
                <w:sz w:val="28"/>
                <w:szCs w:val="28"/>
                <w:lang w:val="ro-RO" w:eastAsia="ro-RO"/>
              </w:rPr>
              <w:t>recepţionarea</w:t>
            </w:r>
            <w:proofErr w:type="spellEnd"/>
            <w:r w:rsidRPr="00985275">
              <w:rPr>
                <w:rFonts w:ascii="Times New Roman" w:eastAsia="Times New Roman" w:hAnsi="Times New Roman" w:cs="Times New Roman"/>
                <w:sz w:val="28"/>
                <w:szCs w:val="28"/>
                <w:lang w:val="ro-RO" w:eastAsia="ro-RO"/>
              </w:rPr>
              <w:t xml:space="preserve"> avizului Ministerului Justiției.</w:t>
            </w:r>
          </w:p>
        </w:tc>
      </w:tr>
      <w:tr w:rsidR="0035317F" w:rsidRPr="00985275" w:rsidTr="00E22F23">
        <w:trPr>
          <w:trHeight w:val="312"/>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45" w:type="dxa"/>
              <w:bottom w:w="15" w:type="dxa"/>
              <w:right w:w="45" w:type="dxa"/>
            </w:tcMar>
          </w:tcPr>
          <w:p w:rsidR="0035317F" w:rsidRPr="00985275" w:rsidRDefault="0035317F" w:rsidP="00E22F23">
            <w:pPr>
              <w:spacing w:after="0" w:line="240" w:lineRule="auto"/>
              <w:ind w:firstLine="644"/>
              <w:jc w:val="both"/>
              <w:rPr>
                <w:rFonts w:ascii="Times New Roman" w:eastAsia="Times New Roman" w:hAnsi="Times New Roman" w:cs="Times New Roman"/>
                <w:sz w:val="28"/>
                <w:szCs w:val="28"/>
                <w:lang w:val="ro-RO" w:eastAsia="ro-RO"/>
              </w:rPr>
            </w:pPr>
            <w:r w:rsidRPr="00985275">
              <w:rPr>
                <w:rFonts w:ascii="Times New Roman" w:eastAsia="Times New Roman" w:hAnsi="Times New Roman" w:cs="Times New Roman"/>
                <w:b/>
                <w:bCs/>
                <w:sz w:val="28"/>
                <w:szCs w:val="28"/>
                <w:lang w:val="ro-RO" w:eastAsia="ro-RO"/>
              </w:rPr>
              <w:t>11.</w:t>
            </w:r>
            <w:r w:rsidRPr="00985275">
              <w:rPr>
                <w:rFonts w:ascii="Times New Roman" w:eastAsia="Times New Roman" w:hAnsi="Times New Roman" w:cs="Times New Roman"/>
                <w:b/>
                <w:sz w:val="28"/>
                <w:szCs w:val="28"/>
                <w:lang w:val="ro-RO" w:eastAsia="ro-RO"/>
              </w:rPr>
              <w:t xml:space="preserve"> Constatările altor expertize</w:t>
            </w:r>
          </w:p>
        </w:tc>
      </w:tr>
      <w:tr w:rsidR="0035317F" w:rsidRPr="00985275" w:rsidTr="00E22F23">
        <w:trPr>
          <w:trHeight w:val="681"/>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5317F" w:rsidRPr="00985275" w:rsidRDefault="0035317F" w:rsidP="00C02C0D">
            <w:pPr>
              <w:spacing w:after="0" w:line="240" w:lineRule="auto"/>
              <w:ind w:firstLine="644"/>
              <w:jc w:val="both"/>
              <w:rPr>
                <w:rFonts w:ascii="Times New Roman" w:eastAsia="Times New Roman" w:hAnsi="Times New Roman" w:cs="Times New Roman"/>
                <w:b/>
                <w:bCs/>
                <w:sz w:val="28"/>
                <w:szCs w:val="28"/>
                <w:lang w:val="ro-RO" w:eastAsia="ro-RO"/>
              </w:rPr>
            </w:pPr>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scopul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asigurării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principiului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transparenţei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decizionale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şi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respectării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intereselor</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societăţii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şi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drepturilor</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întreprinzătorilor</w:t>
            </w:r>
            <w:proofErr w:type="spellEnd"/>
            <w:r w:rsidRPr="00985275">
              <w:rPr>
                <w:rFonts w:ascii="Times New Roman" w:hAnsi="Times New Roman" w:cs="Times New Roman"/>
                <w:sz w:val="28"/>
                <w:szCs w:val="28"/>
              </w:rPr>
              <w:t xml:space="preserve">, conform </w:t>
            </w:r>
            <w:proofErr w:type="spellStart"/>
            <w:r w:rsidRPr="00985275">
              <w:rPr>
                <w:rFonts w:ascii="Times New Roman" w:hAnsi="Times New Roman" w:cs="Times New Roman"/>
                <w:sz w:val="28"/>
                <w:szCs w:val="28"/>
              </w:rPr>
              <w:t>Legii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nr</w:t>
            </w:r>
            <w:proofErr w:type="spellEnd"/>
            <w:r w:rsidRPr="00985275">
              <w:rPr>
                <w:rFonts w:ascii="Times New Roman" w:hAnsi="Times New Roman" w:cs="Times New Roman"/>
                <w:sz w:val="28"/>
                <w:szCs w:val="28"/>
              </w:rPr>
              <w:t xml:space="preserve">. 235/2006 cu </w:t>
            </w:r>
            <w:proofErr w:type="spellStart"/>
            <w:r w:rsidRPr="00985275">
              <w:rPr>
                <w:rFonts w:ascii="Times New Roman" w:hAnsi="Times New Roman" w:cs="Times New Roman"/>
                <w:sz w:val="28"/>
                <w:szCs w:val="28"/>
              </w:rPr>
              <w:t>privire</w:t>
            </w:r>
            <w:proofErr w:type="spellEnd"/>
            <w:r w:rsidRPr="00985275">
              <w:rPr>
                <w:rFonts w:ascii="Times New Roman" w:hAnsi="Times New Roman" w:cs="Times New Roman"/>
                <w:sz w:val="28"/>
                <w:szCs w:val="28"/>
              </w:rPr>
              <w:t xml:space="preserve"> la </w:t>
            </w:r>
            <w:proofErr w:type="spellStart"/>
            <w:r w:rsidRPr="00985275">
              <w:rPr>
                <w:rFonts w:ascii="Times New Roman" w:hAnsi="Times New Roman" w:cs="Times New Roman"/>
                <w:sz w:val="28"/>
                <w:szCs w:val="28"/>
              </w:rPr>
              <w:t>principiile</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reglementare</w:t>
            </w:r>
            <w:proofErr w:type="spellEnd"/>
            <w:r w:rsidRPr="00985275">
              <w:rPr>
                <w:rFonts w:ascii="Times New Roman" w:hAnsi="Times New Roman" w:cs="Times New Roman"/>
                <w:sz w:val="28"/>
                <w:szCs w:val="28"/>
              </w:rPr>
              <w:t xml:space="preserve"> a </w:t>
            </w:r>
            <w:proofErr w:type="spellStart"/>
            <w:r w:rsidRPr="00985275">
              <w:rPr>
                <w:rFonts w:ascii="Times New Roman" w:hAnsi="Times New Roman" w:cs="Times New Roman"/>
                <w:sz w:val="28"/>
                <w:szCs w:val="28"/>
              </w:rPr>
              <w:t>activității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întreprinzător</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și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Metodologiei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analiză</w:t>
            </w:r>
            <w:proofErr w:type="spellEnd"/>
            <w:r w:rsidRPr="00985275">
              <w:rPr>
                <w:rFonts w:ascii="Times New Roman" w:hAnsi="Times New Roman" w:cs="Times New Roman"/>
                <w:sz w:val="28"/>
                <w:szCs w:val="28"/>
              </w:rPr>
              <w:t xml:space="preserve"> a </w:t>
            </w:r>
            <w:proofErr w:type="spellStart"/>
            <w:r w:rsidRPr="00985275">
              <w:rPr>
                <w:rFonts w:ascii="Times New Roman" w:hAnsi="Times New Roman" w:cs="Times New Roman"/>
                <w:sz w:val="28"/>
                <w:szCs w:val="28"/>
              </w:rPr>
              <w:t>impactului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reglementare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și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monitorizare</w:t>
            </w:r>
            <w:proofErr w:type="spellEnd"/>
            <w:r w:rsidRPr="00985275">
              <w:rPr>
                <w:rFonts w:ascii="Times New Roman" w:hAnsi="Times New Roman" w:cs="Times New Roman"/>
                <w:sz w:val="28"/>
                <w:szCs w:val="28"/>
              </w:rPr>
              <w:t xml:space="preserve"> a </w:t>
            </w:r>
            <w:proofErr w:type="spellStart"/>
            <w:r w:rsidRPr="00985275">
              <w:rPr>
                <w:rFonts w:ascii="Times New Roman" w:hAnsi="Times New Roman" w:cs="Times New Roman"/>
                <w:sz w:val="28"/>
                <w:szCs w:val="28"/>
              </w:rPr>
              <w:t>eficienței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actului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reglementare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Hotărîrea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Guvernului</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nr</w:t>
            </w:r>
            <w:proofErr w:type="spellEnd"/>
            <w:r w:rsidRPr="00985275">
              <w:rPr>
                <w:rFonts w:ascii="Times New Roman" w:hAnsi="Times New Roman" w:cs="Times New Roman"/>
                <w:sz w:val="28"/>
                <w:szCs w:val="28"/>
              </w:rPr>
              <w:t xml:space="preserve">. 1230/2006), a </w:t>
            </w:r>
            <w:proofErr w:type="spellStart"/>
            <w:r w:rsidRPr="00985275">
              <w:rPr>
                <w:rFonts w:ascii="Times New Roman" w:hAnsi="Times New Roman" w:cs="Times New Roman"/>
                <w:sz w:val="28"/>
                <w:szCs w:val="28"/>
              </w:rPr>
              <w:t>fost</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elaborată</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Analiza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impactului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reglementare</w:t>
            </w:r>
            <w:proofErr w:type="spellEnd"/>
            <w:r w:rsidRPr="00985275">
              <w:rPr>
                <w:rFonts w:ascii="Times New Roman" w:hAnsi="Times New Roman" w:cs="Times New Roman"/>
                <w:sz w:val="28"/>
                <w:szCs w:val="28"/>
              </w:rPr>
              <w:t xml:space="preserve"> la </w:t>
            </w:r>
            <w:proofErr w:type="spellStart"/>
            <w:r w:rsidRPr="00985275">
              <w:rPr>
                <w:rFonts w:ascii="Times New Roman" w:hAnsi="Times New Roman" w:cs="Times New Roman"/>
                <w:sz w:val="28"/>
                <w:szCs w:val="28"/>
              </w:rPr>
              <w:t>proiectul</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lege</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propus</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examinată</w:t>
            </w:r>
            <w:proofErr w:type="spellEnd"/>
            <w:r w:rsidRPr="00985275">
              <w:rPr>
                <w:rFonts w:ascii="Times New Roman" w:hAnsi="Times New Roman" w:cs="Times New Roman"/>
                <w:sz w:val="28"/>
                <w:szCs w:val="28"/>
              </w:rPr>
              <w:t xml:space="preserve"> </w:t>
            </w:r>
            <w:proofErr w:type="spellStart"/>
            <w:r w:rsidR="00C02C0D">
              <w:rPr>
                <w:rFonts w:ascii="Times New Roman" w:hAnsi="Times New Roman" w:cs="Times New Roman"/>
                <w:sz w:val="28"/>
                <w:szCs w:val="28"/>
              </w:rPr>
              <w:t>și</w:t>
            </w:r>
            <w:proofErr w:type="spellEnd"/>
            <w:r w:rsidR="00C02C0D">
              <w:rPr>
                <w:rFonts w:ascii="Times New Roman" w:hAnsi="Times New Roman" w:cs="Times New Roman"/>
                <w:sz w:val="28"/>
                <w:szCs w:val="28"/>
              </w:rPr>
              <w:t xml:space="preserve"> </w:t>
            </w:r>
            <w:proofErr w:type="spellStart"/>
            <w:r w:rsidR="00C02C0D">
              <w:rPr>
                <w:rFonts w:ascii="Times New Roman" w:hAnsi="Times New Roman" w:cs="Times New Roman"/>
                <w:sz w:val="28"/>
                <w:szCs w:val="28"/>
              </w:rPr>
              <w:t>avizată</w:t>
            </w:r>
            <w:proofErr w:type="spellEnd"/>
            <w:r w:rsidR="00C02C0D">
              <w:rPr>
                <w:rFonts w:ascii="Times New Roman" w:hAnsi="Times New Roman" w:cs="Times New Roman"/>
                <w:sz w:val="28"/>
                <w:szCs w:val="28"/>
              </w:rPr>
              <w:t xml:space="preserve"> </w:t>
            </w:r>
            <w:proofErr w:type="spellStart"/>
            <w:r w:rsidR="00C02C0D">
              <w:rPr>
                <w:rFonts w:ascii="Times New Roman" w:hAnsi="Times New Roman" w:cs="Times New Roman"/>
                <w:sz w:val="28"/>
                <w:szCs w:val="28"/>
              </w:rPr>
              <w:t>pozitiv</w:t>
            </w:r>
            <w:proofErr w:type="spellEnd"/>
            <w:r w:rsidR="00C02C0D">
              <w:rPr>
                <w:rFonts w:ascii="Times New Roman" w:hAnsi="Times New Roman" w:cs="Times New Roman"/>
                <w:sz w:val="28"/>
                <w:szCs w:val="28"/>
              </w:rPr>
              <w:t xml:space="preserve"> </w:t>
            </w:r>
            <w:bookmarkStart w:id="0" w:name="_GoBack"/>
            <w:bookmarkEnd w:id="0"/>
            <w:proofErr w:type="spellStart"/>
            <w:r w:rsidRPr="00985275">
              <w:rPr>
                <w:rFonts w:ascii="Times New Roman" w:hAnsi="Times New Roman" w:cs="Times New Roman"/>
                <w:sz w:val="28"/>
                <w:szCs w:val="28"/>
              </w:rPr>
              <w:t>în</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cadrul</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Grupului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lucru</w:t>
            </w:r>
            <w:proofErr w:type="spellEnd"/>
            <w:r w:rsidRPr="00985275">
              <w:rPr>
                <w:rFonts w:ascii="Times New Roman" w:hAnsi="Times New Roman" w:cs="Times New Roman"/>
                <w:sz w:val="28"/>
                <w:szCs w:val="28"/>
              </w:rPr>
              <w:t xml:space="preserve"> al </w:t>
            </w:r>
            <w:proofErr w:type="spellStart"/>
            <w:r w:rsidRPr="00985275">
              <w:rPr>
                <w:rFonts w:ascii="Times New Roman" w:hAnsi="Times New Roman" w:cs="Times New Roman"/>
                <w:sz w:val="28"/>
                <w:szCs w:val="28"/>
              </w:rPr>
              <w:t>Comisiei</w:t>
            </w:r>
            <w:proofErr w:type="spellEnd"/>
            <w:r w:rsidRPr="00985275">
              <w:rPr>
                <w:rFonts w:ascii="Times New Roman" w:hAnsi="Times New Roman" w:cs="Times New Roman"/>
                <w:sz w:val="28"/>
                <w:szCs w:val="28"/>
              </w:rPr>
              <w:t xml:space="preserve"> de stat </w:t>
            </w:r>
            <w:proofErr w:type="spellStart"/>
            <w:r w:rsidRPr="00985275">
              <w:rPr>
                <w:rFonts w:ascii="Times New Roman" w:hAnsi="Times New Roman" w:cs="Times New Roman"/>
                <w:sz w:val="28"/>
                <w:szCs w:val="28"/>
              </w:rPr>
              <w:t>pentru</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reglementarea</w:t>
            </w:r>
            <w:proofErr w:type="spellEnd"/>
            <w:r w:rsidRPr="00985275">
              <w:rPr>
                <w:rFonts w:ascii="Times New Roman" w:hAnsi="Times New Roman" w:cs="Times New Roman"/>
                <w:sz w:val="28"/>
                <w:szCs w:val="28"/>
              </w:rPr>
              <w:t xml:space="preserve"> </w:t>
            </w:r>
            <w:proofErr w:type="spellStart"/>
            <w:r w:rsidRPr="00985275">
              <w:rPr>
                <w:rFonts w:ascii="Times New Roman" w:hAnsi="Times New Roman" w:cs="Times New Roman"/>
                <w:sz w:val="28"/>
                <w:szCs w:val="28"/>
              </w:rPr>
              <w:t>activității</w:t>
            </w:r>
            <w:proofErr w:type="spellEnd"/>
            <w:r w:rsidRPr="00985275">
              <w:rPr>
                <w:rFonts w:ascii="Times New Roman" w:hAnsi="Times New Roman" w:cs="Times New Roman"/>
                <w:sz w:val="28"/>
                <w:szCs w:val="28"/>
              </w:rPr>
              <w:t xml:space="preserve"> de </w:t>
            </w:r>
            <w:proofErr w:type="spellStart"/>
            <w:r w:rsidRPr="00985275">
              <w:rPr>
                <w:rFonts w:ascii="Times New Roman" w:hAnsi="Times New Roman" w:cs="Times New Roman"/>
                <w:sz w:val="28"/>
                <w:szCs w:val="28"/>
              </w:rPr>
              <w:t>întreprinzător</w:t>
            </w:r>
            <w:proofErr w:type="spellEnd"/>
            <w:r w:rsidRPr="00985275">
              <w:rPr>
                <w:rFonts w:ascii="Times New Roman" w:hAnsi="Times New Roman" w:cs="Times New Roman"/>
                <w:sz w:val="28"/>
                <w:szCs w:val="28"/>
              </w:rPr>
              <w:t xml:space="preserve"> </w:t>
            </w:r>
            <w:r w:rsidR="00C02C0D">
              <w:rPr>
                <w:rFonts w:ascii="Times New Roman" w:hAnsi="Times New Roman" w:cs="Times New Roman"/>
                <w:sz w:val="28"/>
                <w:szCs w:val="28"/>
              </w:rPr>
              <w:t xml:space="preserve">la data </w:t>
            </w:r>
            <w:proofErr w:type="spellStart"/>
            <w:r w:rsidR="00C02C0D">
              <w:rPr>
                <w:rFonts w:ascii="Times New Roman" w:hAnsi="Times New Roman" w:cs="Times New Roman"/>
                <w:sz w:val="28"/>
                <w:szCs w:val="28"/>
              </w:rPr>
              <w:t>de</w:t>
            </w:r>
            <w:proofErr w:type="spellEnd"/>
            <w:r w:rsidR="00C02C0D">
              <w:rPr>
                <w:rFonts w:ascii="Times New Roman" w:hAnsi="Times New Roman" w:cs="Times New Roman"/>
                <w:sz w:val="28"/>
                <w:szCs w:val="28"/>
              </w:rPr>
              <w:t xml:space="preserve"> 02.10.2019 </w:t>
            </w:r>
            <w:r w:rsidRPr="00985275">
              <w:rPr>
                <w:rFonts w:ascii="Times New Roman" w:hAnsi="Times New Roman" w:cs="Times New Roman"/>
                <w:sz w:val="28"/>
                <w:szCs w:val="28"/>
              </w:rPr>
              <w:t>(</w:t>
            </w:r>
            <w:r w:rsidRPr="00985275">
              <w:rPr>
                <w:rFonts w:ascii="Times New Roman" w:hAnsi="Times New Roman" w:cs="Times New Roman"/>
                <w:i/>
                <w:sz w:val="28"/>
                <w:szCs w:val="28"/>
              </w:rPr>
              <w:t xml:space="preserve">se </w:t>
            </w:r>
            <w:proofErr w:type="spellStart"/>
            <w:r w:rsidRPr="00985275">
              <w:rPr>
                <w:rFonts w:ascii="Times New Roman" w:hAnsi="Times New Roman" w:cs="Times New Roman"/>
                <w:i/>
                <w:sz w:val="28"/>
                <w:szCs w:val="28"/>
              </w:rPr>
              <w:t>anexează</w:t>
            </w:r>
            <w:proofErr w:type="spellEnd"/>
            <w:r w:rsidRPr="00985275">
              <w:rPr>
                <w:rFonts w:ascii="Times New Roman" w:hAnsi="Times New Roman" w:cs="Times New Roman"/>
                <w:sz w:val="28"/>
                <w:szCs w:val="28"/>
              </w:rPr>
              <w:t>).</w:t>
            </w:r>
          </w:p>
        </w:tc>
      </w:tr>
    </w:tbl>
    <w:p w:rsidR="0035317F" w:rsidRPr="00985275" w:rsidRDefault="0035317F" w:rsidP="0035317F">
      <w:pPr>
        <w:tabs>
          <w:tab w:val="left" w:pos="884"/>
          <w:tab w:val="left" w:pos="1196"/>
        </w:tabs>
        <w:spacing w:after="0" w:line="240" w:lineRule="auto"/>
        <w:ind w:firstLine="540"/>
        <w:jc w:val="both"/>
        <w:rPr>
          <w:rFonts w:ascii="Times New Roman" w:hAnsi="Times New Roman" w:cs="Times New Roman"/>
          <w:sz w:val="28"/>
          <w:szCs w:val="28"/>
          <w:lang w:val="ro-RO"/>
        </w:rPr>
      </w:pPr>
    </w:p>
    <w:p w:rsidR="0035317F" w:rsidRPr="00985275" w:rsidRDefault="0035317F" w:rsidP="0035317F">
      <w:pPr>
        <w:tabs>
          <w:tab w:val="left" w:pos="884"/>
          <w:tab w:val="left" w:pos="1196"/>
        </w:tabs>
        <w:spacing w:after="0" w:line="240" w:lineRule="auto"/>
        <w:ind w:firstLine="540"/>
        <w:jc w:val="both"/>
        <w:rPr>
          <w:rFonts w:ascii="Times New Roman" w:hAnsi="Times New Roman" w:cs="Times New Roman"/>
          <w:sz w:val="28"/>
          <w:szCs w:val="28"/>
          <w:lang w:val="ro-RO"/>
        </w:rPr>
      </w:pPr>
    </w:p>
    <w:p w:rsidR="0035317F" w:rsidRDefault="0035317F" w:rsidP="0035317F">
      <w:pPr>
        <w:spacing w:after="0" w:line="240" w:lineRule="auto"/>
        <w:ind w:firstLine="720"/>
        <w:jc w:val="both"/>
        <w:rPr>
          <w:rFonts w:ascii="Times New Roman" w:hAnsi="Times New Roman" w:cs="Times New Roman"/>
          <w:b/>
          <w:sz w:val="28"/>
          <w:szCs w:val="28"/>
          <w:lang w:val="ro-RO"/>
        </w:rPr>
      </w:pPr>
      <w:r w:rsidRPr="00985275">
        <w:rPr>
          <w:rFonts w:ascii="Times New Roman" w:hAnsi="Times New Roman" w:cs="Times New Roman"/>
          <w:b/>
          <w:sz w:val="28"/>
          <w:szCs w:val="28"/>
          <w:lang w:val="ro-RO"/>
        </w:rPr>
        <w:t>Ministru</w:t>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r>
      <w:r w:rsidRPr="00985275">
        <w:rPr>
          <w:rFonts w:ascii="Times New Roman" w:hAnsi="Times New Roman" w:cs="Times New Roman"/>
          <w:b/>
          <w:sz w:val="28"/>
          <w:szCs w:val="28"/>
          <w:lang w:val="ro-RO"/>
        </w:rPr>
        <w:tab/>
        <w:t>Vadim BRÎNZAN</w:t>
      </w:r>
    </w:p>
    <w:p w:rsidR="0035317F" w:rsidRDefault="0035317F" w:rsidP="0035317F">
      <w:pPr>
        <w:spacing w:after="0" w:line="240" w:lineRule="auto"/>
        <w:ind w:firstLine="720"/>
        <w:jc w:val="both"/>
        <w:rPr>
          <w:rFonts w:ascii="Times New Roman" w:hAnsi="Times New Roman" w:cs="Times New Roman"/>
          <w:b/>
          <w:sz w:val="28"/>
          <w:szCs w:val="28"/>
          <w:lang w:val="ro-RO"/>
        </w:rPr>
      </w:pPr>
    </w:p>
    <w:p w:rsidR="00BD6FE1" w:rsidRDefault="00BD6FE1"/>
    <w:sectPr w:rsidR="00BD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C5CA9"/>
    <w:multiLevelType w:val="hybridMultilevel"/>
    <w:tmpl w:val="1A0202DA"/>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59B41227"/>
    <w:multiLevelType w:val="hybridMultilevel"/>
    <w:tmpl w:val="C6006C28"/>
    <w:lvl w:ilvl="0" w:tplc="981CDE34">
      <w:start w:val="1"/>
      <w:numFmt w:val="decimal"/>
      <w:lvlText w:val="%1)"/>
      <w:lvlJc w:val="left"/>
      <w:pPr>
        <w:ind w:left="1364" w:hanging="360"/>
      </w:pPr>
      <w:rPr>
        <w:rFonts w:ascii="Times New Roman" w:eastAsia="Times New Roman" w:hAnsi="Times New Roman" w:cs="Times New Roman"/>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2" w15:restartNumberingAfterBreak="0">
    <w:nsid w:val="7E0319B8"/>
    <w:multiLevelType w:val="hybridMultilevel"/>
    <w:tmpl w:val="1B3C0BB4"/>
    <w:lvl w:ilvl="0" w:tplc="2650410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7F"/>
    <w:rsid w:val="0035317F"/>
    <w:rsid w:val="004D0D26"/>
    <w:rsid w:val="009E6E8B"/>
    <w:rsid w:val="00BD6FE1"/>
    <w:rsid w:val="00C0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0CF9D-1BBB-4137-9F14-4881A00F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317F"/>
    <w:rPr>
      <w:color w:val="0000FF"/>
      <w:u w:val="single"/>
    </w:rPr>
  </w:style>
  <w:style w:type="paragraph" w:styleId="ListParagraph">
    <w:name w:val="List Paragraph"/>
    <w:aliases w:val="HotarirePunct1"/>
    <w:basedOn w:val="Normal"/>
    <w:uiPriority w:val="34"/>
    <w:qFormat/>
    <w:rsid w:val="0035317F"/>
    <w:pPr>
      <w:ind w:left="720"/>
      <w:contextualSpacing/>
    </w:pPr>
  </w:style>
  <w:style w:type="paragraph" w:customStyle="1" w:styleId="tt">
    <w:name w:val="tt"/>
    <w:basedOn w:val="Normal"/>
    <w:rsid w:val="0035317F"/>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uiPriority w:val="99"/>
    <w:rsid w:val="0035317F"/>
    <w:pPr>
      <w:spacing w:after="0" w:line="240" w:lineRule="auto"/>
      <w:jc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s.md" TargetMode="External"/><Relationship Id="rId5" Type="http://schemas.openxmlformats.org/officeDocument/2006/relationships/hyperlink" Target="file:///C:\Users\operator\AppData\Roaming\Microsoft\Word\TEXT=HGHG201312161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4</cp:revision>
  <dcterms:created xsi:type="dcterms:W3CDTF">2019-10-04T13:49:00Z</dcterms:created>
  <dcterms:modified xsi:type="dcterms:W3CDTF">2019-10-04T13:52:00Z</dcterms:modified>
</cp:coreProperties>
</file>