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E1" w:rsidRPr="002E2ACC" w:rsidRDefault="00F52FE1" w:rsidP="00F52FE1">
      <w:pPr>
        <w:pStyle w:val="a3"/>
        <w:spacing w:line="276" w:lineRule="auto"/>
        <w:ind w:firstLine="0"/>
        <w:rPr>
          <w:b/>
          <w:sz w:val="26"/>
          <w:szCs w:val="26"/>
          <w:lang w:val="ro-RO"/>
        </w:rPr>
      </w:pPr>
      <w:bookmarkStart w:id="0" w:name="_GoBack"/>
      <w:bookmarkEnd w:id="0"/>
    </w:p>
    <w:p w:rsidR="00F52FE1" w:rsidRPr="002E2ACC" w:rsidRDefault="00F52FE1" w:rsidP="00BB0517">
      <w:pPr>
        <w:tabs>
          <w:tab w:val="left" w:pos="-142"/>
        </w:tabs>
        <w:spacing w:line="276" w:lineRule="auto"/>
        <w:jc w:val="center"/>
        <w:rPr>
          <w:b/>
          <w:bCs/>
          <w:sz w:val="28"/>
          <w:szCs w:val="28"/>
          <w:lang w:val="ro-RO" w:eastAsia="ro-RO"/>
        </w:rPr>
      </w:pPr>
      <w:r w:rsidRPr="002E2ACC">
        <w:rPr>
          <w:b/>
          <w:bCs/>
          <w:sz w:val="28"/>
          <w:szCs w:val="28"/>
          <w:lang w:val="ro-RO" w:eastAsia="ro-RO"/>
        </w:rPr>
        <w:t>Notă informativă</w:t>
      </w:r>
    </w:p>
    <w:p w:rsidR="00F52FE1" w:rsidRPr="002E2ACC" w:rsidRDefault="008F4C14" w:rsidP="008F4C14">
      <w:pPr>
        <w:spacing w:line="276" w:lineRule="auto"/>
        <w:contextualSpacing/>
        <w:jc w:val="center"/>
        <w:rPr>
          <w:rFonts w:eastAsia="Batang"/>
          <w:b/>
          <w:bCs/>
          <w:sz w:val="28"/>
          <w:szCs w:val="28"/>
          <w:lang w:val="ro-RO" w:eastAsia="ru-RU"/>
        </w:rPr>
      </w:pPr>
      <w:r>
        <w:rPr>
          <w:b/>
          <w:bCs/>
          <w:sz w:val="28"/>
          <w:szCs w:val="28"/>
          <w:lang w:val="ro-RO" w:eastAsia="ro-RO"/>
        </w:rPr>
        <w:t xml:space="preserve">la proiectul </w:t>
      </w:r>
      <w:r w:rsidR="00827581">
        <w:rPr>
          <w:b/>
          <w:bCs/>
          <w:sz w:val="28"/>
          <w:szCs w:val="28"/>
          <w:lang w:val="ro-RO" w:eastAsia="ro-RO"/>
        </w:rPr>
        <w:t>cu privire la procedura de executare a creanțelor bănești bazate pe dispoziții de drept public</w:t>
      </w:r>
    </w:p>
    <w:p w:rsidR="00BB0517" w:rsidRDefault="00BB0517" w:rsidP="00BB0517">
      <w:pPr>
        <w:tabs>
          <w:tab w:val="left" w:pos="0"/>
          <w:tab w:val="left" w:pos="567"/>
          <w:tab w:val="left" w:pos="1080"/>
          <w:tab w:val="left" w:pos="1843"/>
        </w:tabs>
        <w:autoSpaceDE w:val="0"/>
        <w:autoSpaceDN w:val="0"/>
        <w:adjustRightInd w:val="0"/>
        <w:spacing w:after="120" w:line="276" w:lineRule="auto"/>
        <w:jc w:val="both"/>
        <w:rPr>
          <w:rFonts w:eastAsia="Calibri"/>
          <w:sz w:val="28"/>
          <w:szCs w:val="28"/>
          <w:lang w:val="ro-RO"/>
        </w:rPr>
      </w:pPr>
    </w:p>
    <w:p w:rsidR="008600F7" w:rsidRPr="008600F7" w:rsidRDefault="008600F7" w:rsidP="008600F7">
      <w:pPr>
        <w:spacing w:line="276" w:lineRule="auto"/>
        <w:ind w:firstLine="708"/>
        <w:jc w:val="both"/>
        <w:rPr>
          <w:sz w:val="26"/>
          <w:szCs w:val="26"/>
          <w:lang w:val="ro-RO"/>
        </w:rPr>
      </w:pPr>
      <w:r w:rsidRPr="008600F7">
        <w:rPr>
          <w:sz w:val="26"/>
          <w:szCs w:val="26"/>
          <w:lang w:val="ro-RO"/>
        </w:rPr>
        <w:t xml:space="preserve">Prezentul proiect de hotărîre este elaborat în scopul </w:t>
      </w:r>
      <w:r w:rsidR="00BA50C4">
        <w:rPr>
          <w:sz w:val="26"/>
          <w:szCs w:val="26"/>
          <w:lang w:val="ro-RO"/>
        </w:rPr>
        <w:t xml:space="preserve">punerii în aplicare </w:t>
      </w:r>
      <w:r w:rsidRPr="008600F7">
        <w:rPr>
          <w:sz w:val="26"/>
          <w:szCs w:val="26"/>
          <w:lang w:val="ro-RO"/>
        </w:rPr>
        <w:t xml:space="preserve">a prevederilor Titlului VII, Capitolul II din Codul administrativ, în vigoare din 01 aprilie 2019. </w:t>
      </w:r>
    </w:p>
    <w:p w:rsidR="008600F7" w:rsidRPr="008600F7" w:rsidRDefault="008600F7" w:rsidP="008600F7">
      <w:pPr>
        <w:spacing w:line="276" w:lineRule="auto"/>
        <w:ind w:firstLine="708"/>
        <w:jc w:val="both"/>
        <w:rPr>
          <w:i/>
          <w:sz w:val="26"/>
          <w:szCs w:val="26"/>
          <w:lang w:val="ro-MD"/>
        </w:rPr>
      </w:pPr>
      <w:r w:rsidRPr="008600F7">
        <w:rPr>
          <w:sz w:val="26"/>
          <w:szCs w:val="26"/>
          <w:lang w:val="ro-MD"/>
        </w:rPr>
        <w:t xml:space="preserve">Potrivit art.257 alin.(3) lit.a) din Codul administrativ, </w:t>
      </w:r>
      <w:r w:rsidRPr="008600F7">
        <w:rPr>
          <w:i/>
          <w:sz w:val="26"/>
          <w:szCs w:val="26"/>
          <w:lang w:val="ro-MD"/>
        </w:rPr>
        <w:t>Guvernul, în termen de 6 luni de la publicarea prezentului cod, va elabora şi va prezenta Parlamentului propuneri privind aducerea legislaţiei în vigoare în concordanţă cu prezentul cod.</w:t>
      </w:r>
    </w:p>
    <w:p w:rsidR="008600F7" w:rsidRPr="008600F7" w:rsidRDefault="008600F7" w:rsidP="008600F7">
      <w:pPr>
        <w:pStyle w:val="a6"/>
        <w:spacing w:line="276" w:lineRule="auto"/>
        <w:ind w:firstLine="708"/>
        <w:jc w:val="both"/>
        <w:rPr>
          <w:sz w:val="26"/>
          <w:szCs w:val="26"/>
          <w:lang w:val="ro-MD"/>
        </w:rPr>
      </w:pPr>
      <w:r w:rsidRPr="008600F7">
        <w:rPr>
          <w:sz w:val="26"/>
          <w:szCs w:val="26"/>
          <w:lang w:val="ro-MD"/>
        </w:rPr>
        <w:t>Prevederile Codului administrativ, Capitolul II al Cărții I, reglementează executarea creanţelor băneşti bazate pe dispoziţii de drept public, competenţa pentru executarea cărora revine Serviciului Fiscal de Stat.</w:t>
      </w:r>
    </w:p>
    <w:p w:rsidR="008600F7" w:rsidRPr="008600F7" w:rsidRDefault="008600F7" w:rsidP="008600F7">
      <w:pPr>
        <w:pStyle w:val="a6"/>
        <w:spacing w:line="276" w:lineRule="auto"/>
        <w:ind w:firstLine="708"/>
        <w:jc w:val="both"/>
        <w:rPr>
          <w:sz w:val="26"/>
          <w:szCs w:val="26"/>
          <w:lang w:val="ro-MD"/>
        </w:rPr>
      </w:pPr>
      <w:r w:rsidRPr="008600F7">
        <w:rPr>
          <w:sz w:val="26"/>
          <w:szCs w:val="26"/>
          <w:lang w:val="ro-MD"/>
        </w:rPr>
        <w:t xml:space="preserve">Conform art.175 din Codul administrativ este prevăzut: </w:t>
      </w:r>
    </w:p>
    <w:p w:rsidR="008600F7" w:rsidRPr="008600F7" w:rsidRDefault="008600F7" w:rsidP="008600F7">
      <w:pPr>
        <w:pStyle w:val="a6"/>
        <w:spacing w:line="276" w:lineRule="auto"/>
        <w:ind w:firstLine="708"/>
        <w:jc w:val="both"/>
        <w:rPr>
          <w:i/>
          <w:sz w:val="26"/>
          <w:szCs w:val="26"/>
          <w:lang w:val="ro-MD"/>
        </w:rPr>
      </w:pPr>
      <w:r w:rsidRPr="008600F7">
        <w:rPr>
          <w:i/>
          <w:sz w:val="26"/>
          <w:szCs w:val="26"/>
          <w:lang w:val="ro-MD"/>
        </w:rPr>
        <w:t>(1)</w:t>
      </w:r>
      <w:r w:rsidRPr="008600F7">
        <w:rPr>
          <w:sz w:val="26"/>
          <w:szCs w:val="26"/>
          <w:lang w:val="ro-MD"/>
        </w:rPr>
        <w:t xml:space="preserve"> </w:t>
      </w:r>
      <w:r w:rsidRPr="008600F7">
        <w:rPr>
          <w:i/>
          <w:sz w:val="26"/>
          <w:szCs w:val="26"/>
          <w:lang w:val="ro-MD"/>
        </w:rPr>
        <w:t>Prevederile prezentului capitol se aplică numai executării creanţelor băneşti bazate pe dispoziţii de drept public, cu excepţia creanţelor băneşti bazate pe dreptul statului de a percepe impozite, taxe şi alte plăţi cărora li se aplică prevederile Codului fiscal.</w:t>
      </w:r>
    </w:p>
    <w:p w:rsidR="008600F7" w:rsidRPr="008600F7" w:rsidRDefault="008600F7" w:rsidP="008600F7">
      <w:pPr>
        <w:pStyle w:val="a6"/>
        <w:spacing w:line="276" w:lineRule="auto"/>
        <w:ind w:firstLine="708"/>
        <w:jc w:val="both"/>
        <w:rPr>
          <w:i/>
          <w:sz w:val="26"/>
          <w:szCs w:val="26"/>
          <w:lang w:val="ro-MD"/>
        </w:rPr>
      </w:pPr>
      <w:r w:rsidRPr="008600F7">
        <w:rPr>
          <w:i/>
          <w:sz w:val="26"/>
          <w:szCs w:val="26"/>
          <w:lang w:val="ro-MD"/>
        </w:rPr>
        <w:lastRenderedPageBreak/>
        <w:t>(2) Competenţa pentru executarea creanţelor băneşti în sensul alin.(1) îi revine Serviciului Fiscal de Stat. Prevederile titlului V cap. 9 din Codul fiscal se aplică suplimentar la prevederile prezentului cod.</w:t>
      </w:r>
    </w:p>
    <w:p w:rsidR="008600F7" w:rsidRPr="008600F7" w:rsidRDefault="008600F7" w:rsidP="008600F7">
      <w:pPr>
        <w:pStyle w:val="a6"/>
        <w:spacing w:line="276" w:lineRule="auto"/>
        <w:ind w:firstLine="708"/>
        <w:jc w:val="both"/>
        <w:rPr>
          <w:sz w:val="26"/>
          <w:szCs w:val="26"/>
          <w:lang w:val="ro-MD"/>
        </w:rPr>
      </w:pPr>
      <w:r w:rsidRPr="008600F7">
        <w:rPr>
          <w:sz w:val="26"/>
          <w:szCs w:val="26"/>
          <w:lang w:val="ro-MD"/>
        </w:rPr>
        <w:t>După cum stipulează dispozițiile legale respective, autoritatea de executare a creanțelor bănești bazate pe dispoziții de drept public este Serviciul Fiscal de Stat, iar executarea acestor creanțe se efectuează în conformitate cu prevederile titlului V cap. 9 din Codul fiscal.</w:t>
      </w:r>
    </w:p>
    <w:p w:rsidR="008600F7" w:rsidRPr="008600F7" w:rsidRDefault="008600F7" w:rsidP="008600F7">
      <w:pPr>
        <w:pStyle w:val="a6"/>
        <w:spacing w:line="276" w:lineRule="auto"/>
        <w:ind w:firstLine="708"/>
        <w:jc w:val="both"/>
        <w:rPr>
          <w:i/>
          <w:sz w:val="26"/>
          <w:szCs w:val="26"/>
          <w:lang w:val="ro-MD"/>
        </w:rPr>
      </w:pPr>
      <w:r w:rsidRPr="008600F7">
        <w:rPr>
          <w:sz w:val="26"/>
          <w:szCs w:val="26"/>
          <w:lang w:val="ro-MD"/>
        </w:rPr>
        <w:t xml:space="preserve">Conform art.177 alin.(1) și (2) din Codul de executare, </w:t>
      </w:r>
      <w:r w:rsidRPr="008600F7">
        <w:rPr>
          <w:i/>
          <w:sz w:val="26"/>
          <w:szCs w:val="26"/>
          <w:lang w:val="ro-MD"/>
        </w:rPr>
        <w:t>autoritatea publică îndreptăţită să revendice dreptul supus executării emite pentru autoritatea de executare un mandat de executare.</w:t>
      </w:r>
    </w:p>
    <w:p w:rsidR="008600F7" w:rsidRPr="008600F7" w:rsidRDefault="008600F7" w:rsidP="008600F7">
      <w:pPr>
        <w:pStyle w:val="a6"/>
        <w:spacing w:line="276" w:lineRule="auto"/>
        <w:ind w:firstLine="708"/>
        <w:jc w:val="both"/>
        <w:rPr>
          <w:i/>
          <w:sz w:val="26"/>
          <w:szCs w:val="26"/>
          <w:lang w:val="ro-MD"/>
        </w:rPr>
      </w:pPr>
      <w:r w:rsidRPr="008600F7">
        <w:rPr>
          <w:i/>
          <w:sz w:val="26"/>
          <w:szCs w:val="26"/>
          <w:lang w:val="ro-MD"/>
        </w:rPr>
        <w:t>Emiterea mandatului de executare presupune că:</w:t>
      </w:r>
    </w:p>
    <w:p w:rsidR="008600F7" w:rsidRPr="008600F7" w:rsidRDefault="008600F7" w:rsidP="008600F7">
      <w:pPr>
        <w:pStyle w:val="a6"/>
        <w:spacing w:line="276" w:lineRule="auto"/>
        <w:ind w:firstLine="708"/>
        <w:jc w:val="both"/>
        <w:rPr>
          <w:i/>
          <w:sz w:val="26"/>
          <w:szCs w:val="26"/>
          <w:lang w:val="ro-MD"/>
        </w:rPr>
      </w:pPr>
      <w:r w:rsidRPr="008600F7">
        <w:rPr>
          <w:i/>
          <w:sz w:val="26"/>
          <w:szCs w:val="26"/>
          <w:lang w:val="ro-MD"/>
        </w:rPr>
        <w:t>a) există un act administrativ individual care obligă debitorul să realizeze prestaţia bănească sau un contract administrativ care obligă la realizarea unei prestaţii băneşti supuse executării imediate;</w:t>
      </w:r>
    </w:p>
    <w:p w:rsidR="008600F7" w:rsidRPr="008600F7" w:rsidRDefault="008600F7" w:rsidP="008600F7">
      <w:pPr>
        <w:pStyle w:val="a6"/>
        <w:spacing w:line="276" w:lineRule="auto"/>
        <w:ind w:firstLine="708"/>
        <w:jc w:val="both"/>
        <w:rPr>
          <w:i/>
          <w:sz w:val="26"/>
          <w:szCs w:val="26"/>
          <w:lang w:val="ro-MD"/>
        </w:rPr>
      </w:pPr>
      <w:r w:rsidRPr="008600F7">
        <w:rPr>
          <w:i/>
          <w:sz w:val="26"/>
          <w:szCs w:val="26"/>
          <w:lang w:val="ro-MD"/>
        </w:rPr>
        <w:t>b) prestaţia este scadentă;</w:t>
      </w:r>
    </w:p>
    <w:p w:rsidR="008600F7" w:rsidRPr="008600F7" w:rsidRDefault="008600F7" w:rsidP="008600F7">
      <w:pPr>
        <w:pStyle w:val="a6"/>
        <w:spacing w:line="276" w:lineRule="auto"/>
        <w:ind w:firstLine="708"/>
        <w:jc w:val="both"/>
        <w:rPr>
          <w:sz w:val="26"/>
          <w:szCs w:val="26"/>
          <w:lang w:val="ro-MD"/>
        </w:rPr>
      </w:pPr>
      <w:r w:rsidRPr="008600F7">
        <w:rPr>
          <w:i/>
          <w:sz w:val="26"/>
          <w:szCs w:val="26"/>
          <w:lang w:val="ro-MD"/>
        </w:rPr>
        <w:t>c) debitorul, după trecerea termenului de scadenţă, a fost somat să realizeze prestaţia bănească în termen de o săptămînă.</w:t>
      </w:r>
    </w:p>
    <w:p w:rsidR="00406AC8" w:rsidRDefault="00BA50C4" w:rsidP="00406AC8">
      <w:pPr>
        <w:spacing w:line="276" w:lineRule="auto"/>
        <w:ind w:firstLine="708"/>
        <w:jc w:val="both"/>
        <w:rPr>
          <w:rFonts w:eastAsia="Calibri"/>
          <w:sz w:val="26"/>
          <w:szCs w:val="26"/>
          <w:lang w:val="ro-RO"/>
        </w:rPr>
      </w:pPr>
      <w:r>
        <w:rPr>
          <w:sz w:val="26"/>
          <w:szCs w:val="26"/>
          <w:lang w:val="ro-MD"/>
        </w:rPr>
        <w:t xml:space="preserve">În scopul punerii în aplicare a prevederilor respective, prezentul proiect </w:t>
      </w:r>
      <w:r w:rsidR="00406AC8">
        <w:rPr>
          <w:sz w:val="26"/>
          <w:szCs w:val="26"/>
          <w:lang w:val="ro-MD"/>
        </w:rPr>
        <w:t xml:space="preserve">propune reglementarea procedurii de executare a creanțelor bănești bazate pe dispoziții de drept, precum și modul de </w:t>
      </w:r>
      <w:r w:rsidR="000112A4" w:rsidRPr="008600F7">
        <w:rPr>
          <w:rFonts w:eastAsia="Calibri"/>
          <w:sz w:val="26"/>
          <w:szCs w:val="26"/>
          <w:lang w:val="ro-RO"/>
        </w:rPr>
        <w:t xml:space="preserve">interacțiune dintre autoritățile </w:t>
      </w:r>
      <w:r w:rsidR="000922BB" w:rsidRPr="008600F7">
        <w:rPr>
          <w:rFonts w:eastAsia="Calibri"/>
          <w:sz w:val="26"/>
          <w:szCs w:val="26"/>
          <w:lang w:val="ro-RO"/>
        </w:rPr>
        <w:t>publice îndreptățite să revendice dreptul supus executării, cu autoritatea de executare (Serviciul Fiscal de Stat).</w:t>
      </w:r>
    </w:p>
    <w:p w:rsidR="00406AC8" w:rsidRDefault="000922BB" w:rsidP="00406AC8">
      <w:pPr>
        <w:spacing w:line="276" w:lineRule="auto"/>
        <w:ind w:firstLine="708"/>
        <w:jc w:val="both"/>
        <w:rPr>
          <w:rFonts w:eastAsia="Calibri"/>
          <w:sz w:val="26"/>
          <w:szCs w:val="26"/>
          <w:lang w:val="ro-RO"/>
        </w:rPr>
      </w:pPr>
      <w:r w:rsidRPr="008600F7">
        <w:rPr>
          <w:rFonts w:eastAsia="Calibri"/>
          <w:sz w:val="26"/>
          <w:szCs w:val="26"/>
          <w:lang w:val="ro-RO"/>
        </w:rPr>
        <w:lastRenderedPageBreak/>
        <w:t>De asemenea, proiectul prevede aprobarea unui model unic de mandat de executare, care după emitere, va fi remis în mod electronic</w:t>
      </w:r>
      <w:r w:rsidR="00E46C2A" w:rsidRPr="008600F7">
        <w:rPr>
          <w:rFonts w:eastAsia="Calibri"/>
          <w:sz w:val="26"/>
          <w:szCs w:val="26"/>
          <w:lang w:val="ro-RO"/>
        </w:rPr>
        <w:t xml:space="preserve"> către Serviciul Fiscal de Stat, în vederea aplicării măsurilor ce se impun aferent executării creanțelor bănești.</w:t>
      </w:r>
    </w:p>
    <w:p w:rsidR="006D5976" w:rsidRPr="00406AC8" w:rsidRDefault="00026880" w:rsidP="00406AC8">
      <w:pPr>
        <w:spacing w:line="276" w:lineRule="auto"/>
        <w:ind w:firstLine="708"/>
        <w:jc w:val="both"/>
        <w:rPr>
          <w:sz w:val="26"/>
          <w:szCs w:val="26"/>
          <w:lang w:val="ro-MD"/>
        </w:rPr>
      </w:pPr>
      <w:r w:rsidRPr="008600F7">
        <w:rPr>
          <w:rFonts w:eastAsia="Calibri"/>
          <w:sz w:val="26"/>
          <w:szCs w:val="26"/>
          <w:lang w:val="ro-RO"/>
        </w:rPr>
        <w:t>Uniformizarea mandatului de executare presupune crearea unui registru electronic al</w:t>
      </w:r>
      <w:r w:rsidR="006D5976" w:rsidRPr="008600F7">
        <w:rPr>
          <w:rFonts w:eastAsia="Calibri"/>
          <w:sz w:val="26"/>
          <w:szCs w:val="26"/>
          <w:lang w:val="ro-RO"/>
        </w:rPr>
        <w:t xml:space="preserve"> mandatelor de executare, ce v</w:t>
      </w:r>
      <w:r w:rsidRPr="008600F7">
        <w:rPr>
          <w:rFonts w:eastAsia="Calibri"/>
          <w:sz w:val="26"/>
          <w:szCs w:val="26"/>
          <w:lang w:val="ro-RO"/>
        </w:rPr>
        <w:t xml:space="preserve">a face mai ușoară </w:t>
      </w:r>
      <w:r w:rsidR="00204B65" w:rsidRPr="008600F7">
        <w:rPr>
          <w:rFonts w:eastAsia="Calibri"/>
          <w:sz w:val="26"/>
          <w:szCs w:val="26"/>
          <w:lang w:val="ro-RO"/>
        </w:rPr>
        <w:t xml:space="preserve">și mai simplă </w:t>
      </w:r>
      <w:r w:rsidRPr="008600F7">
        <w:rPr>
          <w:rFonts w:eastAsia="Calibri"/>
          <w:sz w:val="26"/>
          <w:szCs w:val="26"/>
          <w:lang w:val="ro-RO"/>
        </w:rPr>
        <w:t>administrarea acestora, avînd în vedere rolul atribuit Serviciului Fiscal de Stat</w:t>
      </w:r>
      <w:r w:rsidR="006D5976" w:rsidRPr="008600F7">
        <w:rPr>
          <w:rFonts w:eastAsia="Calibri"/>
          <w:sz w:val="26"/>
          <w:szCs w:val="26"/>
          <w:lang w:val="ro-RO"/>
        </w:rPr>
        <w:t>.</w:t>
      </w:r>
    </w:p>
    <w:p w:rsidR="00E154CE" w:rsidRDefault="00E154CE" w:rsidP="008600F7">
      <w:pPr>
        <w:pStyle w:val="a6"/>
        <w:spacing w:line="276" w:lineRule="auto"/>
        <w:ind w:firstLine="708"/>
        <w:jc w:val="both"/>
        <w:rPr>
          <w:rFonts w:eastAsia="Calibri"/>
          <w:sz w:val="26"/>
          <w:szCs w:val="26"/>
          <w:lang w:val="ro-RO"/>
        </w:rPr>
      </w:pPr>
      <w:r>
        <w:rPr>
          <w:rFonts w:eastAsia="Calibri"/>
          <w:sz w:val="26"/>
          <w:szCs w:val="26"/>
          <w:lang w:val="ro-RO"/>
        </w:rPr>
        <w:t>Totodată, p</w:t>
      </w:r>
      <w:r w:rsidR="00635916" w:rsidRPr="008600F7">
        <w:rPr>
          <w:rFonts w:eastAsia="Calibri"/>
          <w:sz w:val="26"/>
          <w:szCs w:val="26"/>
          <w:lang w:val="ro-RO"/>
        </w:rPr>
        <w:t>roie</w:t>
      </w:r>
      <w:r w:rsidR="0039538A" w:rsidRPr="008600F7">
        <w:rPr>
          <w:rFonts w:eastAsia="Calibri"/>
          <w:sz w:val="26"/>
          <w:szCs w:val="26"/>
          <w:lang w:val="ro-RO"/>
        </w:rPr>
        <w:t xml:space="preserve">ctul </w:t>
      </w:r>
      <w:r>
        <w:rPr>
          <w:rFonts w:eastAsia="Calibri"/>
          <w:sz w:val="26"/>
          <w:szCs w:val="26"/>
          <w:lang w:val="ro-RO"/>
        </w:rPr>
        <w:t>prevede procedura de executare a creanțelor bănești bazate pe dispoziții de drept public în cazul în care în calitate de debitori sunt persoane juridice de drept public, procedură care este descrisă în strictă concordanță cu prevederile art.178 din Codul administrativ.</w:t>
      </w:r>
    </w:p>
    <w:p w:rsidR="00E154CE" w:rsidRPr="00E154CE" w:rsidRDefault="00E154CE" w:rsidP="00E154CE">
      <w:pPr>
        <w:spacing w:line="276" w:lineRule="auto"/>
        <w:ind w:firstLine="708"/>
        <w:jc w:val="both"/>
        <w:rPr>
          <w:sz w:val="26"/>
          <w:szCs w:val="26"/>
          <w:lang w:val="ro-RO"/>
        </w:rPr>
      </w:pPr>
      <w:r w:rsidRPr="00E154CE">
        <w:rPr>
          <w:rFonts w:eastAsia="Calibri"/>
          <w:sz w:val="26"/>
          <w:szCs w:val="26"/>
          <w:lang w:val="ro-RO"/>
        </w:rPr>
        <w:t xml:space="preserve">Conform proiectului, </w:t>
      </w:r>
      <w:r>
        <w:rPr>
          <w:rFonts w:eastAsia="Calibri"/>
          <w:sz w:val="26"/>
          <w:szCs w:val="26"/>
          <w:lang w:val="ro-RO"/>
        </w:rPr>
        <w:t>s</w:t>
      </w:r>
      <w:r w:rsidRPr="00E154CE">
        <w:rPr>
          <w:rFonts w:eastAsia="Calibri"/>
          <w:sz w:val="26"/>
          <w:szCs w:val="26"/>
          <w:lang w:val="ro-RO"/>
        </w:rPr>
        <w:t>umele încasate din executarea silită a creanțelor bănești bazate pe dispoziții de drept public, se transferă la contul unic trezorerial al Ministerului Finanțelor. Sumele înregistrate la contul unic, se distribuie de către Trezoreria de Stat în modul stabilit de Ministerul Finanțelor, la bugetele respective în baza mandatelor de executare, prezentate de către Serviciul Fiscal de Stat.</w:t>
      </w:r>
    </w:p>
    <w:p w:rsidR="001C7CF7" w:rsidRPr="008600F7" w:rsidRDefault="00297EC2" w:rsidP="00297EC2">
      <w:pPr>
        <w:pStyle w:val="a6"/>
        <w:spacing w:line="276" w:lineRule="auto"/>
        <w:ind w:firstLine="708"/>
        <w:jc w:val="both"/>
        <w:rPr>
          <w:rFonts w:eastAsia="Calibri"/>
          <w:sz w:val="26"/>
          <w:szCs w:val="26"/>
          <w:lang w:val="ro-RO"/>
        </w:rPr>
      </w:pPr>
      <w:r>
        <w:rPr>
          <w:rFonts w:eastAsia="Calibri"/>
          <w:sz w:val="26"/>
          <w:szCs w:val="26"/>
          <w:lang w:val="ro-RO"/>
        </w:rPr>
        <w:t xml:space="preserve">În acest sens, proiectul </w:t>
      </w:r>
      <w:r w:rsidR="0039538A" w:rsidRPr="008600F7">
        <w:rPr>
          <w:rFonts w:eastAsia="Calibri"/>
          <w:sz w:val="26"/>
          <w:szCs w:val="26"/>
          <w:lang w:val="ro-RO"/>
        </w:rPr>
        <w:t xml:space="preserve">reglementează </w:t>
      </w:r>
      <w:r>
        <w:rPr>
          <w:rFonts w:eastAsia="Calibri"/>
          <w:sz w:val="26"/>
          <w:szCs w:val="26"/>
          <w:lang w:val="ro-RO"/>
        </w:rPr>
        <w:t>atribuția</w:t>
      </w:r>
      <w:r w:rsidR="00406AC8">
        <w:rPr>
          <w:rFonts w:eastAsia="Calibri"/>
          <w:sz w:val="26"/>
          <w:szCs w:val="26"/>
          <w:lang w:val="ro-RO"/>
        </w:rPr>
        <w:t xml:space="preserve"> </w:t>
      </w:r>
      <w:r w:rsidR="00635916" w:rsidRPr="008600F7">
        <w:rPr>
          <w:rFonts w:eastAsia="Calibri"/>
          <w:sz w:val="26"/>
          <w:szCs w:val="26"/>
          <w:lang w:val="ro-RO"/>
        </w:rPr>
        <w:t>Trezoreriei de Stat</w:t>
      </w:r>
      <w:r w:rsidR="0039538A" w:rsidRPr="008600F7">
        <w:rPr>
          <w:rFonts w:eastAsia="Calibri"/>
          <w:sz w:val="26"/>
          <w:szCs w:val="26"/>
          <w:lang w:val="ro-RO"/>
        </w:rPr>
        <w:t xml:space="preserve"> </w:t>
      </w:r>
      <w:r w:rsidR="00635916" w:rsidRPr="008600F7">
        <w:rPr>
          <w:rFonts w:eastAsia="Calibri"/>
          <w:sz w:val="26"/>
          <w:szCs w:val="26"/>
          <w:lang w:val="ro-RO"/>
        </w:rPr>
        <w:t>ce țin</w:t>
      </w:r>
      <w:r>
        <w:rPr>
          <w:rFonts w:eastAsia="Calibri"/>
          <w:sz w:val="26"/>
          <w:szCs w:val="26"/>
          <w:lang w:val="ro-RO"/>
        </w:rPr>
        <w:t>e</w:t>
      </w:r>
      <w:r w:rsidR="00635916" w:rsidRPr="008600F7">
        <w:rPr>
          <w:rFonts w:eastAsia="Calibri"/>
          <w:sz w:val="26"/>
          <w:szCs w:val="26"/>
          <w:lang w:val="ro-RO"/>
        </w:rPr>
        <w:t xml:space="preserve"> de </w:t>
      </w:r>
      <w:r w:rsidR="0039538A" w:rsidRPr="008600F7">
        <w:rPr>
          <w:rFonts w:eastAsia="Calibri"/>
          <w:sz w:val="26"/>
          <w:szCs w:val="26"/>
          <w:lang w:val="ro-RO"/>
        </w:rPr>
        <w:t xml:space="preserve">gestionarea contului unic trezorerial și </w:t>
      </w:r>
      <w:r w:rsidR="00635916" w:rsidRPr="008600F7">
        <w:rPr>
          <w:rFonts w:eastAsia="Calibri"/>
          <w:sz w:val="26"/>
          <w:szCs w:val="26"/>
          <w:lang w:val="ro-RO"/>
        </w:rPr>
        <w:t>distribuirea sumelor încasate din executarea creanțelor bănești</w:t>
      </w:r>
      <w:r w:rsidR="0039538A" w:rsidRPr="008600F7">
        <w:rPr>
          <w:rFonts w:eastAsia="Calibri"/>
          <w:sz w:val="26"/>
          <w:szCs w:val="26"/>
          <w:lang w:val="ro-RO"/>
        </w:rPr>
        <w:t>, corespunzător bugetelor respective.</w:t>
      </w:r>
      <w:r w:rsidR="00635916" w:rsidRPr="008600F7">
        <w:rPr>
          <w:rFonts w:eastAsia="Calibri"/>
          <w:sz w:val="26"/>
          <w:szCs w:val="26"/>
          <w:lang w:val="ro-RO"/>
        </w:rPr>
        <w:t xml:space="preserve"> </w:t>
      </w:r>
    </w:p>
    <w:p w:rsidR="00306A05" w:rsidRDefault="00306A05" w:rsidP="008600F7">
      <w:pPr>
        <w:spacing w:line="276" w:lineRule="auto"/>
        <w:ind w:firstLine="567"/>
        <w:jc w:val="both"/>
        <w:rPr>
          <w:rFonts w:eastAsia="Gulim"/>
          <w:sz w:val="26"/>
          <w:szCs w:val="26"/>
          <w:lang w:val="ro-RO" w:eastAsia="ko-KR"/>
        </w:rPr>
      </w:pPr>
      <w:r w:rsidRPr="008600F7">
        <w:rPr>
          <w:rFonts w:eastAsia="Gulim"/>
          <w:sz w:val="26"/>
          <w:szCs w:val="26"/>
          <w:lang w:val="ro-RO" w:eastAsia="ko-KR"/>
        </w:rPr>
        <w:t>Prin urmare, aprobare</w:t>
      </w:r>
      <w:r w:rsidR="000275C3" w:rsidRPr="008600F7">
        <w:rPr>
          <w:rFonts w:eastAsia="Gulim"/>
          <w:sz w:val="26"/>
          <w:szCs w:val="26"/>
          <w:lang w:val="ro-RO" w:eastAsia="ko-KR"/>
        </w:rPr>
        <w:t xml:space="preserve">a respectivului proiect </w:t>
      </w:r>
      <w:r w:rsidR="00584612" w:rsidRPr="008600F7">
        <w:rPr>
          <w:rFonts w:eastAsia="Gulim"/>
          <w:sz w:val="26"/>
          <w:szCs w:val="26"/>
          <w:lang w:val="ro-RO" w:eastAsia="ko-KR"/>
        </w:rPr>
        <w:t>va asigura crearea</w:t>
      </w:r>
      <w:r w:rsidRPr="008600F7">
        <w:rPr>
          <w:rFonts w:eastAsia="Gulim"/>
          <w:sz w:val="26"/>
          <w:szCs w:val="26"/>
          <w:lang w:val="ro-RO" w:eastAsia="ko-KR"/>
        </w:rPr>
        <w:t xml:space="preserve"> în domeniul </w:t>
      </w:r>
      <w:r w:rsidR="000275C3" w:rsidRPr="008600F7">
        <w:rPr>
          <w:rFonts w:eastAsia="Gulim"/>
          <w:sz w:val="26"/>
          <w:szCs w:val="26"/>
          <w:lang w:val="ro-RO" w:eastAsia="ko-KR"/>
        </w:rPr>
        <w:t>executării creanțelor bănești bazate pe dispoziții de drept public</w:t>
      </w:r>
      <w:r w:rsidR="00851276" w:rsidRPr="008600F7">
        <w:rPr>
          <w:rFonts w:eastAsia="Gulim"/>
          <w:sz w:val="26"/>
          <w:szCs w:val="26"/>
          <w:lang w:val="ro-RO" w:eastAsia="ko-KR"/>
        </w:rPr>
        <w:t>, a unui cadru normativ</w:t>
      </w:r>
      <w:r w:rsidR="003B4F71" w:rsidRPr="008600F7">
        <w:rPr>
          <w:rFonts w:eastAsia="Gulim"/>
          <w:sz w:val="26"/>
          <w:szCs w:val="26"/>
          <w:lang w:val="ro-RO" w:eastAsia="ko-KR"/>
        </w:rPr>
        <w:t xml:space="preserve"> și de interacțiune </w:t>
      </w:r>
      <w:r w:rsidR="00851276" w:rsidRPr="008600F7">
        <w:rPr>
          <w:rFonts w:eastAsia="Gulim"/>
          <w:sz w:val="26"/>
          <w:szCs w:val="26"/>
          <w:lang w:val="ro-RO" w:eastAsia="ko-KR"/>
        </w:rPr>
        <w:t xml:space="preserve"> eficient,</w:t>
      </w:r>
      <w:r w:rsidR="00584612" w:rsidRPr="008600F7">
        <w:rPr>
          <w:rFonts w:eastAsia="Gulim"/>
          <w:sz w:val="26"/>
          <w:szCs w:val="26"/>
          <w:lang w:val="ro-RO" w:eastAsia="ko-KR"/>
        </w:rPr>
        <w:t xml:space="preserve"> modern </w:t>
      </w:r>
      <w:r w:rsidR="00584612" w:rsidRPr="008600F7">
        <w:rPr>
          <w:rFonts w:eastAsia="Gulim"/>
          <w:sz w:val="26"/>
          <w:szCs w:val="26"/>
          <w:lang w:val="ro-RO" w:eastAsia="ko-KR"/>
        </w:rPr>
        <w:lastRenderedPageBreak/>
        <w:t>și</w:t>
      </w:r>
      <w:r w:rsidRPr="008600F7">
        <w:rPr>
          <w:rFonts w:eastAsia="Gulim"/>
          <w:sz w:val="26"/>
          <w:szCs w:val="26"/>
          <w:lang w:val="ro-RO" w:eastAsia="ko-KR"/>
        </w:rPr>
        <w:t xml:space="preserve"> flexibil, </w:t>
      </w:r>
      <w:r w:rsidR="00204B65" w:rsidRPr="008600F7">
        <w:rPr>
          <w:rFonts w:eastAsia="Gulim"/>
          <w:sz w:val="26"/>
          <w:szCs w:val="26"/>
          <w:lang w:val="ro-RO" w:eastAsia="ko-KR"/>
        </w:rPr>
        <w:t>ce</w:t>
      </w:r>
      <w:r w:rsidRPr="008600F7">
        <w:rPr>
          <w:rFonts w:eastAsia="Gulim"/>
          <w:sz w:val="26"/>
          <w:szCs w:val="26"/>
          <w:lang w:val="ro-RO" w:eastAsia="ko-KR"/>
        </w:rPr>
        <w:t xml:space="preserve"> va contribui  </w:t>
      </w:r>
      <w:r w:rsidR="00584612" w:rsidRPr="008600F7">
        <w:rPr>
          <w:rFonts w:eastAsia="Gulim"/>
          <w:sz w:val="26"/>
          <w:szCs w:val="26"/>
          <w:lang w:val="ro-RO" w:eastAsia="ko-KR"/>
        </w:rPr>
        <w:t xml:space="preserve">la executarea conformă </w:t>
      </w:r>
      <w:r w:rsidR="00266A08" w:rsidRPr="008600F7">
        <w:rPr>
          <w:rFonts w:eastAsia="Gulim"/>
          <w:sz w:val="26"/>
          <w:szCs w:val="26"/>
          <w:lang w:val="ro-RO" w:eastAsia="ko-KR"/>
        </w:rPr>
        <w:t xml:space="preserve">a prevederilor legale aferent </w:t>
      </w:r>
      <w:r w:rsidR="003B4F71" w:rsidRPr="008600F7">
        <w:rPr>
          <w:rFonts w:eastAsia="Gulim"/>
          <w:sz w:val="26"/>
          <w:szCs w:val="26"/>
          <w:lang w:val="ro-RO" w:eastAsia="ko-KR"/>
        </w:rPr>
        <w:t xml:space="preserve">executării mandatelor de executare și încasării </w:t>
      </w:r>
      <w:r w:rsidR="001B6127" w:rsidRPr="008600F7">
        <w:rPr>
          <w:rFonts w:eastAsia="Gulim"/>
          <w:sz w:val="26"/>
          <w:szCs w:val="26"/>
          <w:lang w:val="ro-RO" w:eastAsia="ko-KR"/>
        </w:rPr>
        <w:t>creanțelor bănești</w:t>
      </w:r>
      <w:r w:rsidR="00297EC2">
        <w:rPr>
          <w:rFonts w:eastAsia="Gulim"/>
          <w:sz w:val="26"/>
          <w:szCs w:val="26"/>
          <w:lang w:val="ro-RO" w:eastAsia="ko-KR"/>
        </w:rPr>
        <w:t xml:space="preserve"> bazate pe dispoziții de drept public</w:t>
      </w:r>
      <w:r w:rsidRPr="008600F7">
        <w:rPr>
          <w:rFonts w:eastAsia="Gulim"/>
          <w:sz w:val="26"/>
          <w:szCs w:val="26"/>
          <w:lang w:val="ro-RO" w:eastAsia="ko-KR"/>
        </w:rPr>
        <w:t>.</w:t>
      </w:r>
    </w:p>
    <w:p w:rsidR="008600F7" w:rsidRDefault="008600F7" w:rsidP="008600F7">
      <w:pPr>
        <w:spacing w:line="276" w:lineRule="auto"/>
        <w:ind w:firstLine="567"/>
        <w:jc w:val="both"/>
        <w:rPr>
          <w:rFonts w:eastAsia="Gulim"/>
          <w:sz w:val="26"/>
          <w:szCs w:val="26"/>
          <w:lang w:val="ro-RO" w:eastAsia="ko-KR"/>
        </w:rPr>
      </w:pPr>
    </w:p>
    <w:p w:rsidR="008600F7" w:rsidRDefault="008600F7" w:rsidP="008600F7">
      <w:pPr>
        <w:spacing w:line="276" w:lineRule="auto"/>
        <w:ind w:firstLine="567"/>
        <w:jc w:val="both"/>
        <w:rPr>
          <w:rFonts w:eastAsia="Gulim"/>
          <w:sz w:val="26"/>
          <w:szCs w:val="26"/>
          <w:lang w:val="ro-RO" w:eastAsia="ko-KR"/>
        </w:rPr>
      </w:pPr>
    </w:p>
    <w:p w:rsidR="008600F7" w:rsidRDefault="008600F7" w:rsidP="008600F7">
      <w:pPr>
        <w:spacing w:line="276" w:lineRule="auto"/>
        <w:ind w:firstLine="567"/>
        <w:jc w:val="both"/>
        <w:rPr>
          <w:rFonts w:eastAsia="Gulim"/>
          <w:sz w:val="26"/>
          <w:szCs w:val="26"/>
          <w:lang w:val="ro-RO" w:eastAsia="ko-KR"/>
        </w:rPr>
      </w:pPr>
    </w:p>
    <w:p w:rsidR="008600F7" w:rsidRDefault="008600F7" w:rsidP="008600F7">
      <w:pPr>
        <w:spacing w:line="276" w:lineRule="auto"/>
        <w:ind w:firstLine="567"/>
        <w:jc w:val="both"/>
        <w:rPr>
          <w:rFonts w:eastAsia="Gulim"/>
          <w:sz w:val="26"/>
          <w:szCs w:val="26"/>
          <w:lang w:val="ro-RO" w:eastAsia="ko-KR"/>
        </w:rPr>
      </w:pPr>
    </w:p>
    <w:p w:rsidR="008600F7" w:rsidRPr="008600F7" w:rsidRDefault="008600F7" w:rsidP="008600F7">
      <w:pPr>
        <w:spacing w:line="276" w:lineRule="auto"/>
        <w:ind w:left="708" w:firstLine="708"/>
        <w:jc w:val="both"/>
        <w:rPr>
          <w:rFonts w:eastAsia="Gulim"/>
          <w:b/>
          <w:sz w:val="26"/>
          <w:szCs w:val="26"/>
          <w:lang w:val="ro-RO" w:eastAsia="ko-KR"/>
        </w:rPr>
      </w:pPr>
      <w:r w:rsidRPr="008600F7">
        <w:rPr>
          <w:rFonts w:eastAsia="Gulim"/>
          <w:b/>
          <w:sz w:val="26"/>
          <w:szCs w:val="26"/>
          <w:lang w:val="ro-RO" w:eastAsia="ko-KR"/>
        </w:rPr>
        <w:t xml:space="preserve">Ministru </w:t>
      </w:r>
      <w:r w:rsidRPr="008600F7">
        <w:rPr>
          <w:rFonts w:eastAsia="Gulim"/>
          <w:b/>
          <w:sz w:val="26"/>
          <w:szCs w:val="26"/>
          <w:lang w:val="ro-RO" w:eastAsia="ko-KR"/>
        </w:rPr>
        <w:tab/>
      </w:r>
      <w:r w:rsidRPr="008600F7">
        <w:rPr>
          <w:rFonts w:eastAsia="Gulim"/>
          <w:b/>
          <w:sz w:val="26"/>
          <w:szCs w:val="26"/>
          <w:lang w:val="ro-RO" w:eastAsia="ko-KR"/>
        </w:rPr>
        <w:tab/>
      </w:r>
      <w:r w:rsidRPr="008600F7">
        <w:rPr>
          <w:rFonts w:eastAsia="Gulim"/>
          <w:b/>
          <w:sz w:val="26"/>
          <w:szCs w:val="26"/>
          <w:lang w:val="ro-RO" w:eastAsia="ko-KR"/>
        </w:rPr>
        <w:tab/>
      </w:r>
      <w:r w:rsidRPr="008600F7">
        <w:rPr>
          <w:rFonts w:eastAsia="Gulim"/>
          <w:b/>
          <w:sz w:val="26"/>
          <w:szCs w:val="26"/>
          <w:lang w:val="ro-RO" w:eastAsia="ko-KR"/>
        </w:rPr>
        <w:tab/>
      </w:r>
      <w:r w:rsidRPr="008600F7">
        <w:rPr>
          <w:rFonts w:eastAsia="Gulim"/>
          <w:b/>
          <w:sz w:val="26"/>
          <w:szCs w:val="26"/>
          <w:lang w:val="ro-RO" w:eastAsia="ko-KR"/>
        </w:rPr>
        <w:tab/>
      </w:r>
      <w:r w:rsidRPr="008600F7">
        <w:rPr>
          <w:rFonts w:eastAsia="Gulim"/>
          <w:b/>
          <w:sz w:val="26"/>
          <w:szCs w:val="26"/>
          <w:lang w:val="ro-RO" w:eastAsia="ko-KR"/>
        </w:rPr>
        <w:tab/>
      </w:r>
      <w:r w:rsidR="00406AC8">
        <w:rPr>
          <w:rFonts w:eastAsia="Gulim"/>
          <w:b/>
          <w:sz w:val="26"/>
          <w:szCs w:val="26"/>
          <w:lang w:val="ro-RO" w:eastAsia="ko-KR"/>
        </w:rPr>
        <w:tab/>
      </w:r>
      <w:r w:rsidRPr="008600F7">
        <w:rPr>
          <w:rFonts w:eastAsia="Gulim"/>
          <w:b/>
          <w:sz w:val="26"/>
          <w:szCs w:val="26"/>
          <w:lang w:val="ro-RO" w:eastAsia="ko-KR"/>
        </w:rPr>
        <w:tab/>
        <w:t>Ion CHICU</w:t>
      </w:r>
    </w:p>
    <w:p w:rsidR="005A6503" w:rsidRPr="0026262B" w:rsidRDefault="005A6503" w:rsidP="00F52FE1">
      <w:pPr>
        <w:tabs>
          <w:tab w:val="left" w:pos="0"/>
          <w:tab w:val="left" w:pos="567"/>
          <w:tab w:val="left" w:pos="1080"/>
          <w:tab w:val="left" w:pos="1843"/>
        </w:tabs>
        <w:autoSpaceDE w:val="0"/>
        <w:autoSpaceDN w:val="0"/>
        <w:adjustRightInd w:val="0"/>
        <w:spacing w:line="276" w:lineRule="auto"/>
        <w:ind w:firstLine="567"/>
        <w:jc w:val="both"/>
        <w:rPr>
          <w:rFonts w:eastAsia="Calibri"/>
          <w:i/>
          <w:sz w:val="28"/>
          <w:szCs w:val="28"/>
          <w:lang w:val="ro-RO"/>
        </w:rPr>
      </w:pPr>
    </w:p>
    <w:sectPr w:rsidR="005A6503" w:rsidRPr="0026262B" w:rsidSect="00BA50C4">
      <w:footerReference w:type="default" r:id="rId7"/>
      <w:pgSz w:w="12240" w:h="15840"/>
      <w:pgMar w:top="709" w:right="758"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F13" w:rsidRDefault="00FC1F13">
      <w:r>
        <w:separator/>
      </w:r>
    </w:p>
  </w:endnote>
  <w:endnote w:type="continuationSeparator" w:id="0">
    <w:p w:rsidR="00FC1F13" w:rsidRDefault="00FC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BEE" w:rsidRPr="001F1720" w:rsidRDefault="00FC1F13" w:rsidP="001F1720">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F13" w:rsidRDefault="00FC1F13">
      <w:r>
        <w:separator/>
      </w:r>
    </w:p>
  </w:footnote>
  <w:footnote w:type="continuationSeparator" w:id="0">
    <w:p w:rsidR="00FC1F13" w:rsidRDefault="00FC1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B7FE9"/>
    <w:multiLevelType w:val="hybridMultilevel"/>
    <w:tmpl w:val="C442B998"/>
    <w:lvl w:ilvl="0" w:tplc="A5F409B6">
      <w:start w:val="1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520A0DFD"/>
    <w:multiLevelType w:val="hybridMultilevel"/>
    <w:tmpl w:val="4EF22334"/>
    <w:lvl w:ilvl="0" w:tplc="D3AA9C5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E0"/>
    <w:rsid w:val="000112A4"/>
    <w:rsid w:val="00026880"/>
    <w:rsid w:val="000275C3"/>
    <w:rsid w:val="0007247E"/>
    <w:rsid w:val="000922BB"/>
    <w:rsid w:val="000D1F32"/>
    <w:rsid w:val="001502C9"/>
    <w:rsid w:val="001B6127"/>
    <w:rsid w:val="001C03DA"/>
    <w:rsid w:val="001C7CF7"/>
    <w:rsid w:val="001E53E0"/>
    <w:rsid w:val="001E7D01"/>
    <w:rsid w:val="001F3694"/>
    <w:rsid w:val="002034E5"/>
    <w:rsid w:val="00204B65"/>
    <w:rsid w:val="0026262B"/>
    <w:rsid w:val="00266A08"/>
    <w:rsid w:val="0028219F"/>
    <w:rsid w:val="00297EC2"/>
    <w:rsid w:val="002A2CD3"/>
    <w:rsid w:val="00306A05"/>
    <w:rsid w:val="0039538A"/>
    <w:rsid w:val="003B4F71"/>
    <w:rsid w:val="003E28A8"/>
    <w:rsid w:val="00406AC8"/>
    <w:rsid w:val="004B1EB1"/>
    <w:rsid w:val="004B2B7C"/>
    <w:rsid w:val="004F1A2C"/>
    <w:rsid w:val="00541CA5"/>
    <w:rsid w:val="00584612"/>
    <w:rsid w:val="00590CFB"/>
    <w:rsid w:val="005944B7"/>
    <w:rsid w:val="005A61F5"/>
    <w:rsid w:val="005A6503"/>
    <w:rsid w:val="006214B9"/>
    <w:rsid w:val="00635916"/>
    <w:rsid w:val="00694EEA"/>
    <w:rsid w:val="006C3328"/>
    <w:rsid w:val="006D5976"/>
    <w:rsid w:val="007C31F1"/>
    <w:rsid w:val="00827581"/>
    <w:rsid w:val="00851276"/>
    <w:rsid w:val="008600F7"/>
    <w:rsid w:val="0087130A"/>
    <w:rsid w:val="008F4C14"/>
    <w:rsid w:val="00942761"/>
    <w:rsid w:val="00947BF8"/>
    <w:rsid w:val="00994C57"/>
    <w:rsid w:val="009E400D"/>
    <w:rsid w:val="009F7C13"/>
    <w:rsid w:val="00A01938"/>
    <w:rsid w:val="00A80039"/>
    <w:rsid w:val="00BA50C4"/>
    <w:rsid w:val="00BB0517"/>
    <w:rsid w:val="00C0751A"/>
    <w:rsid w:val="00C2763D"/>
    <w:rsid w:val="00CB5FA1"/>
    <w:rsid w:val="00CD1448"/>
    <w:rsid w:val="00D31D3C"/>
    <w:rsid w:val="00D61457"/>
    <w:rsid w:val="00DB0AE0"/>
    <w:rsid w:val="00E154CE"/>
    <w:rsid w:val="00E46C2A"/>
    <w:rsid w:val="00E51597"/>
    <w:rsid w:val="00E73B19"/>
    <w:rsid w:val="00E912CD"/>
    <w:rsid w:val="00EA6AF7"/>
    <w:rsid w:val="00F217BA"/>
    <w:rsid w:val="00F52FE1"/>
    <w:rsid w:val="00F5521B"/>
    <w:rsid w:val="00FC1F13"/>
    <w:rsid w:val="00FF0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0BE37-EE5C-4760-80C5-37D93A23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FE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2FE1"/>
    <w:pPr>
      <w:ind w:firstLine="567"/>
      <w:jc w:val="both"/>
    </w:pPr>
  </w:style>
  <w:style w:type="paragraph" w:styleId="a4">
    <w:name w:val="footer"/>
    <w:basedOn w:val="a"/>
    <w:link w:val="a5"/>
    <w:uiPriority w:val="99"/>
    <w:unhideWhenUsed/>
    <w:rsid w:val="00F52FE1"/>
    <w:pPr>
      <w:tabs>
        <w:tab w:val="center" w:pos="4677"/>
        <w:tab w:val="right" w:pos="9355"/>
      </w:tabs>
    </w:pPr>
  </w:style>
  <w:style w:type="character" w:customStyle="1" w:styleId="a5">
    <w:name w:val="Нижний колонтитул Знак"/>
    <w:basedOn w:val="a0"/>
    <w:link w:val="a4"/>
    <w:uiPriority w:val="99"/>
    <w:rsid w:val="00F52FE1"/>
    <w:rPr>
      <w:rFonts w:ascii="Times New Roman" w:eastAsia="Times New Roman" w:hAnsi="Times New Roman" w:cs="Times New Roman"/>
      <w:sz w:val="24"/>
      <w:szCs w:val="24"/>
      <w:lang w:val="en-US"/>
    </w:rPr>
  </w:style>
  <w:style w:type="paragraph" w:styleId="a6">
    <w:name w:val="No Spacing"/>
    <w:uiPriority w:val="1"/>
    <w:qFormat/>
    <w:rsid w:val="00BB0517"/>
    <w:pPr>
      <w:spacing w:after="0" w:line="240" w:lineRule="auto"/>
    </w:pPr>
    <w:rPr>
      <w:rFonts w:ascii="Times New Roman" w:eastAsia="Times New Roman" w:hAnsi="Times New Roman" w:cs="Times New Roman"/>
      <w:sz w:val="24"/>
      <w:szCs w:val="24"/>
      <w:lang w:val="en-US"/>
    </w:rPr>
  </w:style>
  <w:style w:type="paragraph" w:styleId="a7">
    <w:name w:val="header"/>
    <w:basedOn w:val="a"/>
    <w:link w:val="a8"/>
    <w:uiPriority w:val="99"/>
    <w:unhideWhenUsed/>
    <w:rsid w:val="00E154CE"/>
    <w:pPr>
      <w:tabs>
        <w:tab w:val="center" w:pos="4677"/>
        <w:tab w:val="right" w:pos="9355"/>
      </w:tabs>
    </w:pPr>
  </w:style>
  <w:style w:type="character" w:customStyle="1" w:styleId="a8">
    <w:name w:val="Верхний колонтитул Знак"/>
    <w:basedOn w:val="a0"/>
    <w:link w:val="a7"/>
    <w:uiPriority w:val="99"/>
    <w:rsid w:val="00E154CE"/>
    <w:rPr>
      <w:rFonts w:ascii="Times New Roman" w:eastAsia="Times New Roman" w:hAnsi="Times New Roman" w:cs="Times New Roman"/>
      <w:sz w:val="24"/>
      <w:szCs w:val="24"/>
      <w:lang w:val="en-US"/>
    </w:rPr>
  </w:style>
  <w:style w:type="paragraph" w:styleId="a9">
    <w:name w:val="List Paragraph"/>
    <w:basedOn w:val="a"/>
    <w:uiPriority w:val="34"/>
    <w:qFormat/>
    <w:rsid w:val="00E154CE"/>
    <w:pPr>
      <w:ind w:left="720" w:firstLine="720"/>
      <w:contextualSpacing/>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3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Nedelea Valeria</dc:creator>
  <cp:keywords/>
  <dc:description/>
  <cp:lastModifiedBy>Ciobanu Natalia</cp:lastModifiedBy>
  <cp:revision>2</cp:revision>
  <dcterms:created xsi:type="dcterms:W3CDTF">2019-05-14T07:31:00Z</dcterms:created>
  <dcterms:modified xsi:type="dcterms:W3CDTF">2019-05-14T07:31:00Z</dcterms:modified>
</cp:coreProperties>
</file>