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B3" w:rsidRDefault="00D27AAF" w:rsidP="00BD10B3">
      <w:pPr>
        <w:suppressAutoHyphens/>
        <w:spacing w:after="0" w:line="240" w:lineRule="auto"/>
        <w:jc w:val="center"/>
        <w:rPr>
          <w:rFonts w:ascii="Times New Roman" w:eastAsia="SimSun" w:hAnsi="Times New Roman" w:cs="Times New Roman"/>
          <w:b/>
          <w:bCs/>
          <w:sz w:val="24"/>
          <w:szCs w:val="24"/>
          <w:lang w:val="ro-RO" w:eastAsia="ar-SA"/>
        </w:rPr>
      </w:pPr>
      <w:r w:rsidRPr="00972526">
        <w:rPr>
          <w:rFonts w:ascii="Times New Roman" w:eastAsia="SimSun" w:hAnsi="Times New Roman" w:cs="Times New Roman"/>
          <w:b/>
          <w:bCs/>
          <w:sz w:val="24"/>
          <w:szCs w:val="24"/>
          <w:lang w:val="en-US" w:eastAsia="ar-SA"/>
        </w:rPr>
        <w:t>Tabelul de concordanţă</w:t>
      </w:r>
    </w:p>
    <w:p w:rsidR="00BD10B3" w:rsidRDefault="00D71493" w:rsidP="004878E8">
      <w:pPr>
        <w:suppressAutoHyphens/>
        <w:spacing w:after="0" w:line="240" w:lineRule="auto"/>
        <w:jc w:val="center"/>
        <w:rPr>
          <w:rFonts w:ascii="Times New Roman" w:eastAsia="SimSun" w:hAnsi="Times New Roman" w:cs="Times New Roman"/>
          <w:bCs/>
          <w:sz w:val="24"/>
          <w:szCs w:val="24"/>
          <w:lang w:val="en-US" w:eastAsia="ar-SA"/>
        </w:rPr>
      </w:pPr>
      <w:r w:rsidRPr="00D71493">
        <w:rPr>
          <w:rFonts w:ascii="Times New Roman" w:eastAsia="SimSun" w:hAnsi="Times New Roman" w:cs="Times New Roman"/>
          <w:bCs/>
          <w:sz w:val="24"/>
          <w:szCs w:val="24"/>
          <w:lang w:val="en-US" w:eastAsia="ar-SA"/>
        </w:rPr>
        <w:t>la proiectul hotărîrii de Guvern  cu privire la modificarea unor Hotărîri de Guvern</w:t>
      </w:r>
    </w:p>
    <w:p w:rsidR="00D71493" w:rsidRPr="00577305" w:rsidRDefault="00D71493" w:rsidP="004878E8">
      <w:pPr>
        <w:suppressAutoHyphens/>
        <w:spacing w:after="0" w:line="240" w:lineRule="auto"/>
        <w:jc w:val="center"/>
        <w:rPr>
          <w:rFonts w:ascii="Times New Roman" w:eastAsia="SimSun" w:hAnsi="Times New Roman" w:cs="Times New Roman"/>
          <w:b/>
          <w:color w:val="FF0000"/>
          <w:sz w:val="24"/>
          <w:szCs w:val="24"/>
          <w:lang w:val="ro-RO" w:eastAsia="ar-SA"/>
        </w:rPr>
      </w:pPr>
    </w:p>
    <w:tbl>
      <w:tblPr>
        <w:tblStyle w:val="a3"/>
        <w:tblW w:w="14496" w:type="dxa"/>
        <w:tblLayout w:type="fixed"/>
        <w:tblLook w:val="0600" w:firstRow="0" w:lastRow="0" w:firstColumn="0" w:lastColumn="0" w:noHBand="1" w:noVBand="1"/>
      </w:tblPr>
      <w:tblGrid>
        <w:gridCol w:w="4157"/>
        <w:gridCol w:w="4303"/>
        <w:gridCol w:w="2280"/>
        <w:gridCol w:w="1417"/>
        <w:gridCol w:w="992"/>
        <w:gridCol w:w="1347"/>
      </w:tblGrid>
      <w:tr w:rsidR="00D27AAF" w:rsidRPr="00BF7AA0" w:rsidTr="00306809">
        <w:tc>
          <w:tcPr>
            <w:tcW w:w="14496" w:type="dxa"/>
            <w:gridSpan w:val="6"/>
          </w:tcPr>
          <w:p w:rsidR="00D27AAF" w:rsidRPr="00C05F66" w:rsidRDefault="00D27AAF" w:rsidP="00D27AAF">
            <w:pPr>
              <w:suppressLineNumbers/>
              <w:snapToGrid w:val="0"/>
              <w:jc w:val="both"/>
              <w:rPr>
                <w:rFonts w:ascii="Times New Roman" w:eastAsia="SimSun" w:hAnsi="Times New Roman" w:cs="Times New Roman"/>
                <w:b/>
                <w:bCs/>
                <w:color w:val="000000" w:themeColor="text1"/>
                <w:sz w:val="24"/>
                <w:szCs w:val="24"/>
                <w:lang w:val="ro-RO" w:eastAsia="ar-SA"/>
              </w:rPr>
            </w:pPr>
            <w:r w:rsidRPr="00C05F66">
              <w:rPr>
                <w:rFonts w:ascii="Times New Roman" w:eastAsia="SimSun" w:hAnsi="Times New Roman" w:cs="Times New Roman"/>
                <w:b/>
                <w:bCs/>
                <w:color w:val="000000" w:themeColor="text1"/>
                <w:sz w:val="24"/>
                <w:szCs w:val="24"/>
                <w:lang w:val="en-US" w:eastAsia="ar-SA"/>
              </w:rPr>
              <w:t>1. Titlul actului comunitar, subiectul reglementat şi scopul acestuia</w:t>
            </w:r>
          </w:p>
          <w:p w:rsidR="00BD10B3" w:rsidRPr="00C05F66" w:rsidRDefault="00D27AAF" w:rsidP="00D71493">
            <w:pPr>
              <w:suppressLineNumbers/>
              <w:snapToGrid w:val="0"/>
              <w:jc w:val="both"/>
              <w:rPr>
                <w:rFonts w:ascii="Times New Roman" w:eastAsia="SimSun" w:hAnsi="Times New Roman" w:cs="Times New Roman"/>
                <w:bCs/>
                <w:color w:val="000000" w:themeColor="text1"/>
                <w:sz w:val="24"/>
                <w:szCs w:val="24"/>
                <w:lang w:val="ro-RO" w:eastAsia="ar-SA"/>
              </w:rPr>
            </w:pPr>
            <w:r w:rsidRPr="00C05F66">
              <w:rPr>
                <w:rFonts w:ascii="Times New Roman" w:eastAsia="SimSun" w:hAnsi="Times New Roman" w:cs="Times New Roman"/>
                <w:b/>
                <w:bCs/>
                <w:color w:val="000000" w:themeColor="text1"/>
                <w:sz w:val="24"/>
                <w:szCs w:val="24"/>
                <w:lang w:val="ro-RO" w:eastAsia="ar-SA"/>
              </w:rPr>
              <w:t xml:space="preserve">                                                                                                                                                                                                                                                                                                                                                                                                                                                                                                                                                                                                                                                                                                                                                                                                                                                                                                                                                                                                                                                                                                                                                                                                                                                                                                                                                                                                                                                                                                                                                                                                                                                                                                                                                                                                                                                                                                                                                                                                                                                                                                                                                                                                                                                                                                                                                                                                                                                                                                                                                                                                                                                                                                                                                                                                                                                                                                                                                                                                                                                                                                                                                                                                                                                                                                                                                                                                                                                                                                                                                                                                                                                                                                                                                                                                                                                                                                                                                                                                                                                                                                                                                                                                                                                                                                                                                                                                                                                                                                                                                                                                                        </w:t>
            </w:r>
            <w:r w:rsidR="00E9061D">
              <w:rPr>
                <w:rFonts w:ascii="Times New Roman" w:eastAsia="SimSun" w:hAnsi="Times New Roman" w:cs="Times New Roman"/>
                <w:bCs/>
                <w:color w:val="000000" w:themeColor="text1"/>
                <w:sz w:val="24"/>
                <w:szCs w:val="24"/>
                <w:lang w:val="ro-RO" w:eastAsia="ar-SA"/>
              </w:rPr>
              <w:t>Decizia</w:t>
            </w:r>
            <w:r w:rsidR="00E9061D" w:rsidRPr="00E9061D">
              <w:rPr>
                <w:rFonts w:ascii="Times New Roman" w:eastAsia="SimSun" w:hAnsi="Times New Roman" w:cs="Times New Roman"/>
                <w:bCs/>
                <w:color w:val="000000" w:themeColor="text1"/>
                <w:sz w:val="24"/>
                <w:szCs w:val="24"/>
                <w:lang w:val="ro-RO" w:eastAsia="ar-SA"/>
              </w:rPr>
              <w:t xml:space="preserve"> 226/2004/CE din 4 martie 2004 de autorizare a testelor pentru detectarea anticorpilor împotriva brucelozei bovine în cadrul Directivei 64/432/CEE a Consiliului, publicată în Jurnalul Oficial al Uniunii Europene, 2004, seria L 068, p.36</w:t>
            </w:r>
            <w:r w:rsidR="00E9061D">
              <w:rPr>
                <w:rFonts w:ascii="Times New Roman" w:eastAsia="SimSun" w:hAnsi="Times New Roman" w:cs="Times New Roman"/>
                <w:bCs/>
                <w:color w:val="000000" w:themeColor="text1"/>
                <w:sz w:val="24"/>
                <w:szCs w:val="24"/>
                <w:lang w:val="ro-RO" w:eastAsia="ar-SA"/>
              </w:rPr>
              <w:t xml:space="preserve"> </w:t>
            </w:r>
            <w:r w:rsidR="00BD10B3" w:rsidRPr="00E9061D">
              <w:rPr>
                <w:rFonts w:ascii="Times New Roman" w:eastAsia="SimSun" w:hAnsi="Times New Roman" w:cs="Times New Roman"/>
                <w:bCs/>
                <w:color w:val="000000" w:themeColor="text1"/>
                <w:sz w:val="24"/>
                <w:szCs w:val="24"/>
                <w:lang w:val="ro-RO" w:eastAsia="ar-SA"/>
              </w:rPr>
              <w:t>cu modificările ulterioare</w:t>
            </w:r>
            <w:r w:rsidR="00BD10B3" w:rsidRPr="00C05F66">
              <w:rPr>
                <w:rFonts w:ascii="Times New Roman" w:eastAsia="SimSun" w:hAnsi="Times New Roman" w:cs="Times New Roman"/>
                <w:bCs/>
                <w:color w:val="000000" w:themeColor="text1"/>
                <w:sz w:val="24"/>
                <w:szCs w:val="24"/>
                <w:lang w:val="ro-RO" w:eastAsia="ar-SA"/>
              </w:rPr>
              <w:t>.</w:t>
            </w:r>
            <w:r w:rsidR="00BD10B3" w:rsidRPr="00C05F66">
              <w:rPr>
                <w:rFonts w:ascii="Times New Roman" w:eastAsia="SimSun" w:hAnsi="Times New Roman" w:cs="Times New Roman"/>
                <w:b/>
                <w:bCs/>
                <w:color w:val="000000" w:themeColor="text1"/>
                <w:sz w:val="24"/>
                <w:szCs w:val="24"/>
                <w:lang w:val="ro-RO" w:eastAsia="ar-SA"/>
              </w:rPr>
              <w:t xml:space="preserve">                                                                                                                                                                                                                                                                                                                                                                                                                                                                                                                                                                                                                                                                                                                                                                                                                                                                                                                                                                                                                                                                                                                                                                                                                                                                                                                                                                                                                                                                                                                                                                                                                                                                                                                                                                                                                                                                                                                                                                                                                                                                                                                                                                                                                                                                                                                                                                                                                                                                                                                                                                                                                                                                                                                                                                                                                                                                                                                                                                                                                                                                                                                                                                                                                                                                                                                                                                                                                                                                                                                                                                                                                                                                                                                                                                                                                                                                                                                                                                                                                                                                                                                                                                                                                                                                                                                                                                                                                                                                                                                                                                                                            </w:t>
            </w:r>
          </w:p>
          <w:p w:rsidR="00BD10B3" w:rsidRPr="00C05F66" w:rsidRDefault="00BD10B3" w:rsidP="00BD10B3">
            <w:pPr>
              <w:widowControl w:val="0"/>
              <w:autoSpaceDE w:val="0"/>
              <w:autoSpaceDN w:val="0"/>
              <w:adjustRightInd w:val="0"/>
              <w:jc w:val="both"/>
              <w:rPr>
                <w:rFonts w:ascii="Times New Roman" w:eastAsia="Arial Unicode MS" w:hAnsi="Times New Roman" w:cs="Times New Roman"/>
                <w:color w:val="000000" w:themeColor="text1"/>
                <w:sz w:val="24"/>
                <w:szCs w:val="24"/>
                <w:lang w:val="ro-RO"/>
              </w:rPr>
            </w:pPr>
            <w:r w:rsidRPr="00C05F66">
              <w:rPr>
                <w:rFonts w:ascii="Times New Roman" w:eastAsia="SimSun" w:hAnsi="Times New Roman" w:cs="Times New Roman"/>
                <w:i/>
                <w:iCs/>
                <w:color w:val="000000" w:themeColor="text1"/>
                <w:sz w:val="24"/>
                <w:szCs w:val="24"/>
                <w:lang w:val="en-US" w:eastAsia="ar-SA"/>
              </w:rPr>
              <w:t xml:space="preserve">Subiectul </w:t>
            </w:r>
            <w:r w:rsidRPr="00C05F66">
              <w:rPr>
                <w:rFonts w:ascii="Times New Roman" w:eastAsia="SimSun" w:hAnsi="Times New Roman" w:cs="Times New Roman"/>
                <w:color w:val="000000" w:themeColor="text1"/>
                <w:sz w:val="24"/>
                <w:szCs w:val="24"/>
                <w:lang w:val="en-US" w:eastAsia="ar-SA"/>
              </w:rPr>
              <w:t>–</w:t>
            </w:r>
            <w:r w:rsidRPr="00C05F66">
              <w:rPr>
                <w:rFonts w:ascii="Times New Roman" w:eastAsia="SimSun" w:hAnsi="Times New Roman" w:cs="Times New Roman"/>
                <w:color w:val="000000" w:themeColor="text1"/>
                <w:sz w:val="24"/>
                <w:szCs w:val="24"/>
                <w:lang w:val="ro-RO" w:eastAsia="ar-SA"/>
              </w:rPr>
              <w:t xml:space="preserve"> </w:t>
            </w:r>
            <w:r w:rsidRPr="00C05F66">
              <w:rPr>
                <w:rFonts w:ascii="Times New Roman" w:eastAsia="Arial Unicode MS" w:hAnsi="Times New Roman" w:cs="Times New Roman"/>
                <w:color w:val="000000" w:themeColor="text1"/>
                <w:sz w:val="24"/>
                <w:szCs w:val="24"/>
                <w:lang w:val="en-US"/>
              </w:rPr>
              <w:t>stabil</w:t>
            </w:r>
            <w:r w:rsidRPr="00C05F66">
              <w:rPr>
                <w:rFonts w:ascii="Times New Roman" w:eastAsia="Arial Unicode MS" w:hAnsi="Times New Roman" w:cs="Times New Roman"/>
                <w:color w:val="000000" w:themeColor="text1"/>
                <w:sz w:val="24"/>
                <w:szCs w:val="24"/>
                <w:lang w:val="ro-RO"/>
              </w:rPr>
              <w:t>irea</w:t>
            </w:r>
            <w:r w:rsidRPr="00C05F66">
              <w:rPr>
                <w:rFonts w:ascii="Times New Roman" w:eastAsia="Arial Unicode MS" w:hAnsi="Times New Roman" w:cs="Times New Roman"/>
                <w:color w:val="000000" w:themeColor="text1"/>
                <w:sz w:val="24"/>
                <w:szCs w:val="24"/>
                <w:lang w:val="en-US"/>
              </w:rPr>
              <w:t xml:space="preserve"> condițiil</w:t>
            </w:r>
            <w:r w:rsidRPr="00C05F66">
              <w:rPr>
                <w:rFonts w:ascii="Times New Roman" w:eastAsia="Arial Unicode MS" w:hAnsi="Times New Roman" w:cs="Times New Roman"/>
                <w:color w:val="000000" w:themeColor="text1"/>
                <w:sz w:val="24"/>
                <w:szCs w:val="24"/>
                <w:lang w:val="ro-RO"/>
              </w:rPr>
              <w:t>or</w:t>
            </w:r>
            <w:r w:rsidRPr="00C05F66">
              <w:rPr>
                <w:rFonts w:ascii="Times New Roman" w:eastAsia="Arial Unicode MS" w:hAnsi="Times New Roman" w:cs="Times New Roman"/>
                <w:color w:val="000000" w:themeColor="text1"/>
                <w:sz w:val="24"/>
                <w:szCs w:val="24"/>
                <w:lang w:val="en-US"/>
              </w:rPr>
              <w:t xml:space="preserve"> de sănătate</w:t>
            </w:r>
            <w:r w:rsidRPr="00C05F66">
              <w:rPr>
                <w:rFonts w:ascii="Times New Roman" w:eastAsia="Arial Unicode MS" w:hAnsi="Times New Roman" w:cs="Times New Roman"/>
                <w:color w:val="000000" w:themeColor="text1"/>
                <w:sz w:val="24"/>
                <w:szCs w:val="24"/>
                <w:lang w:val="ro-RO"/>
              </w:rPr>
              <w:t xml:space="preserve"> și certificare</w:t>
            </w:r>
            <w:r w:rsidRPr="00C05F66">
              <w:rPr>
                <w:rFonts w:ascii="Times New Roman" w:eastAsia="Arial Unicode MS" w:hAnsi="Times New Roman" w:cs="Times New Roman"/>
                <w:color w:val="000000" w:themeColor="text1"/>
                <w:sz w:val="24"/>
                <w:szCs w:val="24"/>
                <w:lang w:val="en-US"/>
              </w:rPr>
              <w:t xml:space="preserve"> animală </w:t>
            </w:r>
            <w:r w:rsidRPr="00C05F66">
              <w:rPr>
                <w:rFonts w:ascii="Times New Roman" w:eastAsia="Arial Unicode MS" w:hAnsi="Times New Roman" w:cs="Times New Roman"/>
                <w:color w:val="000000" w:themeColor="text1"/>
                <w:sz w:val="24"/>
                <w:szCs w:val="24"/>
                <w:lang w:val="ro-RO"/>
              </w:rPr>
              <w:t xml:space="preserve">la </w:t>
            </w:r>
            <w:r w:rsidRPr="00C05F66">
              <w:rPr>
                <w:rFonts w:ascii="Times New Roman" w:eastAsia="SimSun" w:hAnsi="Times New Roman" w:cs="Times New Roman"/>
                <w:color w:val="000000" w:themeColor="text1"/>
                <w:sz w:val="24"/>
                <w:szCs w:val="24"/>
                <w:lang w:val="ro-RO" w:eastAsia="ar-SA"/>
              </w:rPr>
              <w:t>comerţul de bovine şi porcine,</w:t>
            </w:r>
            <w:r w:rsidRPr="00C05F66">
              <w:rPr>
                <w:rFonts w:ascii="Times New Roman" w:eastAsia="Arial Unicode MS" w:hAnsi="Times New Roman" w:cs="Times New Roman"/>
                <w:color w:val="000000" w:themeColor="text1"/>
                <w:sz w:val="24"/>
                <w:szCs w:val="24"/>
                <w:lang w:val="ro-RO"/>
              </w:rPr>
              <w:t xml:space="preserve"> pentru</w:t>
            </w:r>
            <w:r w:rsidRPr="00C05F66">
              <w:rPr>
                <w:color w:val="000000" w:themeColor="text1"/>
                <w:sz w:val="24"/>
                <w:szCs w:val="24"/>
                <w:lang w:val="en-US"/>
              </w:rPr>
              <w:t xml:space="preserve"> </w:t>
            </w:r>
            <w:r w:rsidRPr="00C05F66">
              <w:rPr>
                <w:rFonts w:ascii="Times New Roman" w:eastAsia="Arial Unicode MS" w:hAnsi="Times New Roman" w:cs="Times New Roman"/>
                <w:color w:val="000000" w:themeColor="text1"/>
                <w:sz w:val="24"/>
                <w:szCs w:val="24"/>
                <w:lang w:val="ro-RO"/>
              </w:rPr>
              <w:t>funcționarea armonioasă a pieței;</w:t>
            </w:r>
          </w:p>
          <w:p w:rsidR="00BD10B3" w:rsidRPr="00C05F66" w:rsidRDefault="00C05F66" w:rsidP="00C05F66">
            <w:pPr>
              <w:widowControl w:val="0"/>
              <w:tabs>
                <w:tab w:val="left" w:pos="1290"/>
              </w:tabs>
              <w:autoSpaceDE w:val="0"/>
              <w:autoSpaceDN w:val="0"/>
              <w:adjustRightInd w:val="0"/>
              <w:spacing w:line="29" w:lineRule="exact"/>
              <w:jc w:val="both"/>
              <w:rPr>
                <w:rFonts w:ascii="Times New Roman" w:eastAsia="SimSun" w:hAnsi="Times New Roman" w:cs="Times New Roman"/>
                <w:color w:val="000000" w:themeColor="text1"/>
                <w:sz w:val="24"/>
                <w:szCs w:val="24"/>
                <w:lang w:val="en-US" w:eastAsia="ar-SA"/>
              </w:rPr>
            </w:pPr>
            <w:r w:rsidRPr="00C05F66">
              <w:rPr>
                <w:rFonts w:ascii="Times New Roman" w:eastAsia="SimSun" w:hAnsi="Times New Roman" w:cs="Times New Roman"/>
                <w:color w:val="000000" w:themeColor="text1"/>
                <w:sz w:val="24"/>
                <w:szCs w:val="24"/>
                <w:lang w:val="en-US" w:eastAsia="ar-SA"/>
              </w:rPr>
              <w:tab/>
            </w:r>
          </w:p>
          <w:p w:rsidR="00BD10B3" w:rsidRDefault="00BD10B3" w:rsidP="00BD10B3">
            <w:pPr>
              <w:suppressLineNumbers/>
              <w:snapToGrid w:val="0"/>
              <w:jc w:val="both"/>
              <w:rPr>
                <w:rFonts w:ascii="Times New Roman" w:eastAsia="SimSun" w:hAnsi="Times New Roman" w:cs="Times New Roman"/>
                <w:iCs/>
                <w:color w:val="000000" w:themeColor="text1"/>
                <w:sz w:val="24"/>
                <w:szCs w:val="24"/>
                <w:lang w:val="en-US" w:eastAsia="ar-SA"/>
              </w:rPr>
            </w:pPr>
            <w:r w:rsidRPr="00C05F66">
              <w:rPr>
                <w:rFonts w:ascii="Times New Roman" w:eastAsia="SimSun" w:hAnsi="Times New Roman" w:cs="Times New Roman"/>
                <w:i/>
                <w:iCs/>
                <w:color w:val="000000" w:themeColor="text1"/>
                <w:sz w:val="24"/>
                <w:szCs w:val="24"/>
                <w:lang w:val="en-US" w:eastAsia="ar-SA"/>
              </w:rPr>
              <w:t>Scopul –</w:t>
            </w:r>
            <w:r w:rsidRPr="00C05F66">
              <w:rPr>
                <w:rFonts w:ascii="Times New Roman" w:eastAsia="SimSun" w:hAnsi="Times New Roman" w:cs="Times New Roman"/>
                <w:iCs/>
                <w:color w:val="000000" w:themeColor="text1"/>
                <w:sz w:val="24"/>
                <w:szCs w:val="24"/>
                <w:lang w:val="en-US" w:eastAsia="ar-SA"/>
              </w:rPr>
              <w:t xml:space="preserve"> oferirea garanțiilor suficiente privind sănătatea şi bunăstarea animalelor în cazul circulației și importului de bovine şi porcine, prevenirea răspîndirii unor eventuale surse de infecţii contagioase, asigurarea protecţiei teritoriului ţării de pătrunderea infecţiilor transfrontaliere. </w:t>
            </w:r>
          </w:p>
          <w:p w:rsidR="00E9061D" w:rsidRDefault="00E9061D" w:rsidP="00BD10B3">
            <w:pPr>
              <w:suppressLineNumbers/>
              <w:snapToGrid w:val="0"/>
              <w:jc w:val="both"/>
              <w:rPr>
                <w:rFonts w:ascii="Times New Roman" w:eastAsia="SimSun" w:hAnsi="Times New Roman" w:cs="Times New Roman"/>
                <w:color w:val="000000" w:themeColor="text1"/>
                <w:sz w:val="24"/>
                <w:szCs w:val="24"/>
                <w:lang w:val="en-US" w:eastAsia="ar-SA"/>
              </w:rPr>
            </w:pPr>
          </w:p>
          <w:p w:rsidR="00E9061D" w:rsidRDefault="00E9061D" w:rsidP="00BD10B3">
            <w:pPr>
              <w:suppressLineNumbers/>
              <w:snapToGrid w:val="0"/>
              <w:jc w:val="both"/>
              <w:rPr>
                <w:rFonts w:ascii="Times New Roman" w:eastAsia="SimSun" w:hAnsi="Times New Roman" w:cs="Times New Roman"/>
                <w:color w:val="000000" w:themeColor="text1"/>
                <w:sz w:val="24"/>
                <w:szCs w:val="24"/>
                <w:lang w:val="en-US" w:eastAsia="ar-SA"/>
              </w:rPr>
            </w:pPr>
            <w:r w:rsidRPr="00E9061D">
              <w:rPr>
                <w:rFonts w:ascii="Times New Roman" w:eastAsia="SimSun" w:hAnsi="Times New Roman" w:cs="Times New Roman"/>
                <w:color w:val="000000" w:themeColor="text1"/>
                <w:sz w:val="24"/>
                <w:szCs w:val="24"/>
                <w:lang w:val="en-US" w:eastAsia="ar-SA"/>
              </w:rPr>
              <w:t>Regulamentul 2017/1495 din 23 august 2017 de modificare a Regulamentului (CE) nr. 2073/2005 în ceea ce privește Campylobacter în carcasele de pui pentru îngrășare, publicat în Jurnalul Oficial al Uniunii Europene L 218/1 din 24 august 2017</w:t>
            </w:r>
          </w:p>
          <w:p w:rsidR="00F12B11" w:rsidRDefault="00F12B11" w:rsidP="00BD10B3">
            <w:pPr>
              <w:suppressLineNumbers/>
              <w:snapToGrid w:val="0"/>
              <w:jc w:val="both"/>
              <w:rPr>
                <w:rFonts w:ascii="Times New Roman" w:eastAsia="SimSun" w:hAnsi="Times New Roman" w:cs="Times New Roman"/>
                <w:i/>
                <w:color w:val="000000" w:themeColor="text1"/>
                <w:sz w:val="24"/>
                <w:szCs w:val="24"/>
                <w:lang w:val="en-US" w:eastAsia="ar-SA"/>
              </w:rPr>
            </w:pPr>
            <w:r>
              <w:rPr>
                <w:rFonts w:ascii="Times New Roman" w:eastAsia="SimSun" w:hAnsi="Times New Roman" w:cs="Times New Roman"/>
                <w:i/>
                <w:color w:val="000000" w:themeColor="text1"/>
                <w:sz w:val="24"/>
                <w:szCs w:val="24"/>
                <w:lang w:val="en-US" w:eastAsia="ar-SA"/>
              </w:rPr>
              <w:t xml:space="preserve">Subiectul – </w:t>
            </w:r>
            <w:r w:rsidR="00A92018">
              <w:rPr>
                <w:rFonts w:ascii="Times New Roman" w:eastAsia="SimSun" w:hAnsi="Times New Roman" w:cs="Times New Roman"/>
                <w:color w:val="000000" w:themeColor="text1"/>
                <w:sz w:val="24"/>
                <w:szCs w:val="24"/>
                <w:lang w:val="en-US" w:eastAsia="ar-SA"/>
              </w:rPr>
              <w:t>stabilirea criteriilor</w:t>
            </w:r>
            <w:r w:rsidR="00A92018" w:rsidRPr="00A92018">
              <w:rPr>
                <w:rFonts w:ascii="Times New Roman" w:eastAsia="SimSun" w:hAnsi="Times New Roman" w:cs="Times New Roman"/>
                <w:color w:val="000000" w:themeColor="text1"/>
                <w:sz w:val="24"/>
                <w:szCs w:val="24"/>
                <w:lang w:val="en-US" w:eastAsia="ar-SA"/>
              </w:rPr>
              <w:t xml:space="preserve"> microbiologice pentru anumite microorganisme și normele de punere în aplicare care trebuie respectate de operatorii din sectorul alimentar în ceea ce privește cerințele de igienă generale și specifice</w:t>
            </w:r>
            <w:r w:rsidR="00A92018">
              <w:rPr>
                <w:rFonts w:ascii="Times New Roman" w:eastAsia="SimSun" w:hAnsi="Times New Roman" w:cs="Times New Roman"/>
                <w:color w:val="000000" w:themeColor="text1"/>
                <w:sz w:val="24"/>
                <w:szCs w:val="24"/>
                <w:lang w:val="en-US" w:eastAsia="ar-SA"/>
              </w:rPr>
              <w:t>.</w:t>
            </w:r>
          </w:p>
          <w:p w:rsidR="00F12B11" w:rsidRPr="00F12B11" w:rsidRDefault="00F12B11" w:rsidP="00BD10B3">
            <w:pPr>
              <w:suppressLineNumbers/>
              <w:snapToGrid w:val="0"/>
              <w:jc w:val="both"/>
              <w:rPr>
                <w:rFonts w:ascii="Times New Roman" w:eastAsia="SimSun" w:hAnsi="Times New Roman" w:cs="Times New Roman"/>
                <w:i/>
                <w:color w:val="000000" w:themeColor="text1"/>
                <w:sz w:val="24"/>
                <w:szCs w:val="24"/>
                <w:lang w:val="en-US" w:eastAsia="ar-SA"/>
              </w:rPr>
            </w:pPr>
            <w:r>
              <w:rPr>
                <w:rFonts w:ascii="Times New Roman" w:eastAsia="SimSun" w:hAnsi="Times New Roman" w:cs="Times New Roman"/>
                <w:i/>
                <w:color w:val="000000" w:themeColor="text1"/>
                <w:sz w:val="24"/>
                <w:szCs w:val="24"/>
                <w:lang w:val="en-US" w:eastAsia="ar-SA"/>
              </w:rPr>
              <w:t xml:space="preserve">Scopul - </w:t>
            </w:r>
            <w:r w:rsidR="00A92018" w:rsidRPr="00A92018">
              <w:rPr>
                <w:rFonts w:ascii="Times New Roman" w:eastAsia="SimSun" w:hAnsi="Times New Roman" w:cs="Times New Roman"/>
                <w:color w:val="000000" w:themeColor="text1"/>
                <w:sz w:val="24"/>
                <w:szCs w:val="24"/>
                <w:lang w:val="en-US" w:eastAsia="ar-SA"/>
              </w:rPr>
              <w:t>stabilirea</w:t>
            </w:r>
            <w:r>
              <w:rPr>
                <w:rFonts w:ascii="Times New Roman" w:eastAsia="SimSun" w:hAnsi="Times New Roman" w:cs="Times New Roman"/>
                <w:i/>
                <w:color w:val="000000" w:themeColor="text1"/>
                <w:sz w:val="24"/>
                <w:szCs w:val="24"/>
                <w:lang w:val="en-US" w:eastAsia="ar-SA"/>
              </w:rPr>
              <w:t xml:space="preserve"> </w:t>
            </w:r>
            <w:r w:rsidR="00A92018" w:rsidRPr="00A92018">
              <w:rPr>
                <w:rFonts w:ascii="Times New Roman" w:eastAsia="SimSun" w:hAnsi="Times New Roman" w:cs="Times New Roman"/>
                <w:color w:val="000000" w:themeColor="text1"/>
                <w:sz w:val="24"/>
                <w:szCs w:val="24"/>
                <w:lang w:val="en-US" w:eastAsia="ar-SA"/>
              </w:rPr>
              <w:t>criterii</w:t>
            </w:r>
            <w:r w:rsidR="00A92018">
              <w:rPr>
                <w:rFonts w:ascii="Times New Roman" w:eastAsia="SimSun" w:hAnsi="Times New Roman" w:cs="Times New Roman"/>
                <w:color w:val="000000" w:themeColor="text1"/>
                <w:sz w:val="24"/>
                <w:szCs w:val="24"/>
                <w:lang w:val="en-US" w:eastAsia="ar-SA"/>
              </w:rPr>
              <w:t>lor</w:t>
            </w:r>
            <w:r w:rsidR="00A92018" w:rsidRPr="00A92018">
              <w:rPr>
                <w:rFonts w:ascii="Times New Roman" w:eastAsia="SimSun" w:hAnsi="Times New Roman" w:cs="Times New Roman"/>
                <w:color w:val="000000" w:themeColor="text1"/>
                <w:sz w:val="24"/>
                <w:szCs w:val="24"/>
                <w:lang w:val="en-US" w:eastAsia="ar-SA"/>
              </w:rPr>
              <w:t xml:space="preserve"> pentru igiena procedeelor care stabilesc valori orientative ale contaminării, la depășirea cărora se impun măsuri corective destinate să mențină igiena pro</w:t>
            </w:r>
            <w:r w:rsidR="00A92018">
              <w:rPr>
                <w:rFonts w:ascii="Times New Roman" w:eastAsia="SimSun" w:hAnsi="Times New Roman" w:cs="Times New Roman"/>
                <w:color w:val="000000" w:themeColor="text1"/>
                <w:sz w:val="24"/>
                <w:szCs w:val="24"/>
                <w:lang w:val="en-US" w:eastAsia="ar-SA"/>
              </w:rPr>
              <w:t>duselor alimentare</w:t>
            </w:r>
            <w:r w:rsidR="00A92018" w:rsidRPr="00A92018">
              <w:rPr>
                <w:rFonts w:ascii="Times New Roman" w:eastAsia="SimSun" w:hAnsi="Times New Roman" w:cs="Times New Roman"/>
                <w:color w:val="000000" w:themeColor="text1"/>
                <w:sz w:val="24"/>
                <w:szCs w:val="24"/>
                <w:lang w:val="en-US" w:eastAsia="ar-SA"/>
              </w:rPr>
              <w:t xml:space="preserve"> în conformitate cu legislația în domeniul alimentar.</w:t>
            </w:r>
          </w:p>
          <w:p w:rsidR="00D27AAF" w:rsidRPr="00C05F66" w:rsidRDefault="00D27AAF" w:rsidP="00D27AAF">
            <w:pPr>
              <w:suppressLineNumbers/>
              <w:snapToGrid w:val="0"/>
              <w:jc w:val="both"/>
              <w:rPr>
                <w:rFonts w:ascii="Times New Roman" w:eastAsia="SimSun" w:hAnsi="Times New Roman" w:cs="Times New Roman"/>
                <w:color w:val="000000" w:themeColor="text1"/>
                <w:sz w:val="24"/>
                <w:szCs w:val="24"/>
                <w:lang w:val="en-US" w:eastAsia="ar-SA"/>
              </w:rPr>
            </w:pPr>
          </w:p>
        </w:tc>
      </w:tr>
      <w:tr w:rsidR="00D27AAF" w:rsidRPr="00BF7AA0" w:rsidTr="00306809">
        <w:tc>
          <w:tcPr>
            <w:tcW w:w="14496" w:type="dxa"/>
            <w:gridSpan w:val="6"/>
          </w:tcPr>
          <w:p w:rsidR="00F0192A" w:rsidRPr="00C05F66" w:rsidRDefault="00F0192A" w:rsidP="00F0192A">
            <w:pPr>
              <w:widowControl w:val="0"/>
              <w:autoSpaceDE w:val="0"/>
              <w:autoSpaceDN w:val="0"/>
              <w:adjustRightInd w:val="0"/>
              <w:jc w:val="both"/>
              <w:rPr>
                <w:rFonts w:ascii="Times New Roman" w:eastAsia="SimSun" w:hAnsi="Times New Roman" w:cs="Times New Roman"/>
                <w:b/>
                <w:color w:val="000000" w:themeColor="text1"/>
                <w:sz w:val="24"/>
                <w:szCs w:val="24"/>
                <w:lang w:val="en-US" w:eastAsia="ar-SA"/>
              </w:rPr>
            </w:pPr>
            <w:r w:rsidRPr="00C05F66">
              <w:rPr>
                <w:rFonts w:ascii="Times New Roman" w:eastAsia="SimSun" w:hAnsi="Times New Roman" w:cs="Times New Roman"/>
                <w:b/>
                <w:color w:val="000000" w:themeColor="text1"/>
                <w:sz w:val="24"/>
                <w:szCs w:val="24"/>
                <w:lang w:val="en-US" w:eastAsia="ar-SA"/>
              </w:rPr>
              <w:t>2.</w:t>
            </w:r>
            <w:r w:rsidRPr="00C05F66">
              <w:rPr>
                <w:rFonts w:ascii="Times New Roman" w:eastAsia="SimSun" w:hAnsi="Times New Roman" w:cs="Times New Roman"/>
                <w:b/>
                <w:i/>
                <w:iCs/>
                <w:color w:val="000000" w:themeColor="text1"/>
                <w:sz w:val="24"/>
                <w:szCs w:val="24"/>
                <w:lang w:val="en-US" w:eastAsia="ar-SA"/>
              </w:rPr>
              <w:t>Titlul actului normativ naţional, subiectul şi scopul reglementat de către actul dat</w:t>
            </w:r>
          </w:p>
          <w:p w:rsidR="0051369B" w:rsidRPr="00C05F66" w:rsidRDefault="00A92018" w:rsidP="0051369B">
            <w:pPr>
              <w:widowControl w:val="0"/>
              <w:autoSpaceDE w:val="0"/>
              <w:autoSpaceDN w:val="0"/>
              <w:adjustRightInd w:val="0"/>
              <w:spacing w:line="226" w:lineRule="exact"/>
              <w:jc w:val="both"/>
              <w:rPr>
                <w:rFonts w:ascii="Times New Roman" w:eastAsia="SimSun" w:hAnsi="Times New Roman" w:cs="Times New Roman"/>
                <w:color w:val="000000" w:themeColor="text1"/>
                <w:sz w:val="24"/>
                <w:szCs w:val="24"/>
                <w:lang w:val="ro-RO" w:eastAsia="ar-SA"/>
              </w:rPr>
            </w:pPr>
            <w:r>
              <w:rPr>
                <w:rFonts w:ascii="Times New Roman" w:eastAsia="SimSun" w:hAnsi="Times New Roman" w:cs="Times New Roman"/>
                <w:bCs/>
                <w:color w:val="000000" w:themeColor="text1"/>
                <w:sz w:val="24"/>
                <w:szCs w:val="24"/>
                <w:lang w:val="en-US" w:eastAsia="ar-SA"/>
              </w:rPr>
              <w:t>P</w:t>
            </w:r>
            <w:r w:rsidR="00D27AAF" w:rsidRPr="00C05F66">
              <w:rPr>
                <w:rFonts w:ascii="Times New Roman" w:eastAsia="SimSun" w:hAnsi="Times New Roman" w:cs="Times New Roman"/>
                <w:bCs/>
                <w:color w:val="000000" w:themeColor="text1"/>
                <w:sz w:val="24"/>
                <w:szCs w:val="24"/>
                <w:lang w:val="en-US" w:eastAsia="ar-SA"/>
              </w:rPr>
              <w:t>roiectul hotărîrii de Guvern</w:t>
            </w:r>
            <w:r w:rsidR="00F12B11">
              <w:rPr>
                <w:rFonts w:ascii="Times New Roman" w:eastAsia="SimSun" w:hAnsi="Times New Roman" w:cs="Times New Roman"/>
                <w:bCs/>
                <w:color w:val="000000" w:themeColor="text1"/>
                <w:sz w:val="24"/>
                <w:szCs w:val="24"/>
                <w:lang w:val="en-US" w:eastAsia="ar-SA"/>
              </w:rPr>
              <w:t xml:space="preserve"> cu privire la modificarea</w:t>
            </w:r>
            <w:r w:rsidR="00D27AAF" w:rsidRPr="00C05F66">
              <w:rPr>
                <w:rFonts w:ascii="Times New Roman" w:eastAsia="SimSun" w:hAnsi="Times New Roman" w:cs="Times New Roman"/>
                <w:bCs/>
                <w:color w:val="000000" w:themeColor="text1"/>
                <w:sz w:val="24"/>
                <w:szCs w:val="24"/>
                <w:lang w:val="en-US" w:eastAsia="ar-SA"/>
              </w:rPr>
              <w:t xml:space="preserve"> </w:t>
            </w:r>
            <w:r w:rsidR="00F12B11">
              <w:rPr>
                <w:rFonts w:ascii="Times New Roman" w:eastAsia="SimSun" w:hAnsi="Times New Roman" w:cs="Times New Roman"/>
                <w:color w:val="000000" w:themeColor="text1"/>
                <w:sz w:val="24"/>
                <w:szCs w:val="24"/>
                <w:lang w:val="ro-RO" w:eastAsia="ar-SA"/>
              </w:rPr>
              <w:t>Hotărîrii</w:t>
            </w:r>
            <w:r w:rsidR="00FA2A6A">
              <w:rPr>
                <w:rFonts w:ascii="Times New Roman" w:eastAsia="SimSun" w:hAnsi="Times New Roman" w:cs="Times New Roman"/>
                <w:color w:val="000000" w:themeColor="text1"/>
                <w:sz w:val="24"/>
                <w:szCs w:val="24"/>
                <w:lang w:val="ro-RO" w:eastAsia="ar-SA"/>
              </w:rPr>
              <w:t xml:space="preserve"> </w:t>
            </w:r>
            <w:r w:rsidR="00F12B11" w:rsidRPr="00F12B11">
              <w:rPr>
                <w:rFonts w:ascii="Times New Roman" w:eastAsia="SimSun" w:hAnsi="Times New Roman" w:cs="Times New Roman"/>
                <w:color w:val="000000" w:themeColor="text1"/>
                <w:sz w:val="24"/>
                <w:szCs w:val="24"/>
                <w:lang w:val="ro-RO" w:eastAsia="ar-SA"/>
              </w:rPr>
              <w:t>de Guvern nr. 913/2018 pentru aprobarea Normei sanitar-veterinare privind condițiile de sănătate și certificare animală la comerţul (importul și exportul) cu bovine și porcine</w:t>
            </w:r>
            <w:r w:rsidR="00FA2A6A">
              <w:rPr>
                <w:rFonts w:ascii="Times New Roman" w:eastAsia="SimSun" w:hAnsi="Times New Roman" w:cs="Times New Roman"/>
                <w:color w:val="000000" w:themeColor="text1"/>
                <w:sz w:val="24"/>
                <w:szCs w:val="24"/>
                <w:lang w:val="ro-RO" w:eastAsia="ar-SA"/>
              </w:rPr>
              <w:t>.</w:t>
            </w:r>
          </w:p>
          <w:p w:rsidR="00D27AAF" w:rsidRPr="00C05F66" w:rsidRDefault="00D27AAF" w:rsidP="0051369B">
            <w:pPr>
              <w:widowControl w:val="0"/>
              <w:autoSpaceDE w:val="0"/>
              <w:autoSpaceDN w:val="0"/>
              <w:adjustRightInd w:val="0"/>
              <w:jc w:val="both"/>
              <w:rPr>
                <w:rFonts w:ascii="Times New Roman" w:eastAsia="Arial Unicode MS" w:hAnsi="Times New Roman" w:cs="Times New Roman"/>
                <w:color w:val="000000" w:themeColor="text1"/>
                <w:sz w:val="24"/>
                <w:szCs w:val="24"/>
                <w:lang w:val="ro-RO"/>
              </w:rPr>
            </w:pPr>
            <w:r w:rsidRPr="00C05F66">
              <w:rPr>
                <w:rFonts w:ascii="Times New Roman" w:eastAsia="SimSun" w:hAnsi="Times New Roman" w:cs="Times New Roman"/>
                <w:i/>
                <w:iCs/>
                <w:color w:val="000000" w:themeColor="text1"/>
                <w:sz w:val="24"/>
                <w:szCs w:val="24"/>
                <w:lang w:val="en-US" w:eastAsia="ar-SA"/>
              </w:rPr>
              <w:t xml:space="preserve">Subiectul </w:t>
            </w:r>
            <w:r w:rsidRPr="00C05F66">
              <w:rPr>
                <w:rFonts w:ascii="Times New Roman" w:eastAsia="SimSun" w:hAnsi="Times New Roman" w:cs="Times New Roman"/>
                <w:color w:val="000000" w:themeColor="text1"/>
                <w:sz w:val="24"/>
                <w:szCs w:val="24"/>
                <w:lang w:val="en-US" w:eastAsia="ar-SA"/>
              </w:rPr>
              <w:t>–</w:t>
            </w:r>
            <w:r w:rsidRPr="00C05F66">
              <w:rPr>
                <w:rFonts w:ascii="Times New Roman" w:eastAsia="SimSun" w:hAnsi="Times New Roman" w:cs="Times New Roman"/>
                <w:color w:val="000000" w:themeColor="text1"/>
                <w:sz w:val="24"/>
                <w:szCs w:val="24"/>
                <w:lang w:val="ro-RO" w:eastAsia="ar-SA"/>
              </w:rPr>
              <w:t xml:space="preserve"> </w:t>
            </w:r>
            <w:r w:rsidRPr="00C05F66">
              <w:rPr>
                <w:rFonts w:ascii="Times New Roman" w:eastAsia="Arial Unicode MS" w:hAnsi="Times New Roman" w:cs="Times New Roman"/>
                <w:color w:val="000000" w:themeColor="text1"/>
                <w:sz w:val="24"/>
                <w:szCs w:val="24"/>
                <w:lang w:val="en-US"/>
              </w:rPr>
              <w:t>stabil</w:t>
            </w:r>
            <w:r w:rsidRPr="00C05F66">
              <w:rPr>
                <w:rFonts w:ascii="Times New Roman" w:eastAsia="Arial Unicode MS" w:hAnsi="Times New Roman" w:cs="Times New Roman"/>
                <w:color w:val="000000" w:themeColor="text1"/>
                <w:sz w:val="24"/>
                <w:szCs w:val="24"/>
                <w:lang w:val="ro-RO"/>
              </w:rPr>
              <w:t>irea</w:t>
            </w:r>
            <w:r w:rsidRPr="00C05F66">
              <w:rPr>
                <w:rFonts w:ascii="Times New Roman" w:eastAsia="Arial Unicode MS" w:hAnsi="Times New Roman" w:cs="Times New Roman"/>
                <w:color w:val="000000" w:themeColor="text1"/>
                <w:sz w:val="24"/>
                <w:szCs w:val="24"/>
                <w:lang w:val="en-US"/>
              </w:rPr>
              <w:t xml:space="preserve"> condițiil</w:t>
            </w:r>
            <w:r w:rsidRPr="00C05F66">
              <w:rPr>
                <w:rFonts w:ascii="Times New Roman" w:eastAsia="Arial Unicode MS" w:hAnsi="Times New Roman" w:cs="Times New Roman"/>
                <w:color w:val="000000" w:themeColor="text1"/>
                <w:sz w:val="24"/>
                <w:szCs w:val="24"/>
                <w:lang w:val="ro-RO"/>
              </w:rPr>
              <w:t>or</w:t>
            </w:r>
            <w:r w:rsidRPr="00C05F66">
              <w:rPr>
                <w:rFonts w:ascii="Times New Roman" w:eastAsia="Arial Unicode MS" w:hAnsi="Times New Roman" w:cs="Times New Roman"/>
                <w:color w:val="000000" w:themeColor="text1"/>
                <w:sz w:val="24"/>
                <w:szCs w:val="24"/>
                <w:lang w:val="en-US"/>
              </w:rPr>
              <w:t xml:space="preserve"> de sănătate</w:t>
            </w:r>
            <w:r w:rsidRPr="00C05F66">
              <w:rPr>
                <w:rFonts w:ascii="Times New Roman" w:eastAsia="Arial Unicode MS" w:hAnsi="Times New Roman" w:cs="Times New Roman"/>
                <w:color w:val="000000" w:themeColor="text1"/>
                <w:sz w:val="24"/>
                <w:szCs w:val="24"/>
                <w:lang w:val="ro-RO"/>
              </w:rPr>
              <w:t xml:space="preserve"> și certificare</w:t>
            </w:r>
            <w:r w:rsidRPr="00C05F66">
              <w:rPr>
                <w:rFonts w:ascii="Times New Roman" w:eastAsia="Arial Unicode MS" w:hAnsi="Times New Roman" w:cs="Times New Roman"/>
                <w:color w:val="000000" w:themeColor="text1"/>
                <w:sz w:val="24"/>
                <w:szCs w:val="24"/>
                <w:lang w:val="en-US"/>
              </w:rPr>
              <w:t xml:space="preserve"> animală naţionale echivalente celor comunitare </w:t>
            </w:r>
            <w:r w:rsidRPr="00C05F66">
              <w:rPr>
                <w:rFonts w:ascii="Times New Roman" w:eastAsia="Arial Unicode MS" w:hAnsi="Times New Roman" w:cs="Times New Roman"/>
                <w:color w:val="000000" w:themeColor="text1"/>
                <w:sz w:val="24"/>
                <w:szCs w:val="24"/>
                <w:lang w:val="ro-RO"/>
              </w:rPr>
              <w:t xml:space="preserve">la </w:t>
            </w:r>
            <w:r w:rsidR="0051369B" w:rsidRPr="00C05F66">
              <w:rPr>
                <w:rFonts w:ascii="Times New Roman" w:eastAsia="SimSun" w:hAnsi="Times New Roman" w:cs="Times New Roman"/>
                <w:color w:val="000000" w:themeColor="text1"/>
                <w:sz w:val="24"/>
                <w:szCs w:val="24"/>
                <w:lang w:val="ro-RO" w:eastAsia="ar-SA"/>
              </w:rPr>
              <w:t>comerţul (importul şi exportul) cu bovine şi porcine</w:t>
            </w:r>
            <w:r w:rsidRPr="00C05F66">
              <w:rPr>
                <w:rFonts w:ascii="Times New Roman" w:eastAsia="Arial Unicode MS" w:hAnsi="Times New Roman" w:cs="Times New Roman"/>
                <w:color w:val="000000" w:themeColor="text1"/>
                <w:sz w:val="24"/>
                <w:szCs w:val="24"/>
                <w:lang w:val="ro-RO"/>
              </w:rPr>
              <w:t>.</w:t>
            </w:r>
          </w:p>
          <w:p w:rsidR="00D27AAF" w:rsidRPr="00C05F66" w:rsidRDefault="00D27AAF" w:rsidP="00D27AAF">
            <w:pPr>
              <w:widowControl w:val="0"/>
              <w:autoSpaceDE w:val="0"/>
              <w:autoSpaceDN w:val="0"/>
              <w:adjustRightInd w:val="0"/>
              <w:spacing w:line="29" w:lineRule="exact"/>
              <w:jc w:val="both"/>
              <w:rPr>
                <w:rFonts w:ascii="Times New Roman" w:eastAsia="SimSun" w:hAnsi="Times New Roman" w:cs="Times New Roman"/>
                <w:color w:val="000000" w:themeColor="text1"/>
                <w:sz w:val="24"/>
                <w:szCs w:val="24"/>
                <w:lang w:val="en-US" w:eastAsia="ar-SA"/>
              </w:rPr>
            </w:pPr>
          </w:p>
          <w:p w:rsidR="00D27AAF" w:rsidRDefault="00D27AAF" w:rsidP="0051369B">
            <w:pPr>
              <w:widowControl w:val="0"/>
              <w:autoSpaceDE w:val="0"/>
              <w:autoSpaceDN w:val="0"/>
              <w:adjustRightInd w:val="0"/>
              <w:jc w:val="both"/>
              <w:rPr>
                <w:rFonts w:ascii="Times New Roman" w:eastAsia="SimSun" w:hAnsi="Times New Roman" w:cs="Times New Roman"/>
                <w:iCs/>
                <w:color w:val="000000" w:themeColor="text1"/>
                <w:sz w:val="24"/>
                <w:szCs w:val="24"/>
                <w:lang w:val="en-US" w:eastAsia="ar-SA"/>
              </w:rPr>
            </w:pPr>
            <w:r w:rsidRPr="00C05F66">
              <w:rPr>
                <w:rFonts w:ascii="Times New Roman" w:eastAsia="SimSun" w:hAnsi="Times New Roman" w:cs="Times New Roman"/>
                <w:i/>
                <w:iCs/>
                <w:color w:val="000000" w:themeColor="text1"/>
                <w:sz w:val="24"/>
                <w:szCs w:val="24"/>
                <w:lang w:val="en-US" w:eastAsia="ar-SA"/>
              </w:rPr>
              <w:t>Scopul –</w:t>
            </w:r>
            <w:r w:rsidRPr="00C05F66">
              <w:rPr>
                <w:rFonts w:ascii="Times New Roman" w:eastAsia="SimSun" w:hAnsi="Times New Roman" w:cs="Times New Roman"/>
                <w:iCs/>
                <w:color w:val="000000" w:themeColor="text1"/>
                <w:sz w:val="24"/>
                <w:szCs w:val="24"/>
                <w:lang w:val="en-US" w:eastAsia="ar-SA"/>
              </w:rPr>
              <w:t xml:space="preserve"> oferirea garanțiilor suficiente privind sănătatea şi bunăstarea animalelor în cazul </w:t>
            </w:r>
            <w:r w:rsidR="0051369B" w:rsidRPr="00C05F66">
              <w:rPr>
                <w:rFonts w:ascii="Times New Roman" w:eastAsia="SimSun" w:hAnsi="Times New Roman" w:cs="Times New Roman"/>
                <w:color w:val="000000" w:themeColor="text1"/>
                <w:sz w:val="24"/>
                <w:szCs w:val="24"/>
                <w:lang w:val="ro-RO" w:eastAsia="ar-SA"/>
              </w:rPr>
              <w:t>comerţului cu bovine şi porcine</w:t>
            </w:r>
            <w:r w:rsidRPr="00C05F66">
              <w:rPr>
                <w:rFonts w:ascii="Times New Roman" w:eastAsia="SimSun" w:hAnsi="Times New Roman" w:cs="Times New Roman"/>
                <w:iCs/>
                <w:color w:val="000000" w:themeColor="text1"/>
                <w:sz w:val="24"/>
                <w:szCs w:val="24"/>
                <w:lang w:val="en-US" w:eastAsia="ar-SA"/>
              </w:rPr>
              <w:t xml:space="preserve">, prevenirea răspîndirii unor eventuale surse de infecţii contagioase la </w:t>
            </w:r>
            <w:r w:rsidR="0051369B" w:rsidRPr="00C05F66">
              <w:rPr>
                <w:rFonts w:ascii="Times New Roman" w:eastAsia="SimSun" w:hAnsi="Times New Roman" w:cs="Times New Roman"/>
                <w:color w:val="000000" w:themeColor="text1"/>
                <w:sz w:val="24"/>
                <w:szCs w:val="24"/>
                <w:lang w:val="ro-RO" w:eastAsia="ar-SA"/>
              </w:rPr>
              <w:t>bovine şi porcine</w:t>
            </w:r>
            <w:r w:rsidRPr="00C05F66">
              <w:rPr>
                <w:rFonts w:ascii="Times New Roman" w:eastAsia="SimSun" w:hAnsi="Times New Roman" w:cs="Times New Roman"/>
                <w:iCs/>
                <w:color w:val="000000" w:themeColor="text1"/>
                <w:sz w:val="24"/>
                <w:szCs w:val="24"/>
                <w:lang w:val="en-US" w:eastAsia="ar-SA"/>
              </w:rPr>
              <w:t>, asigurarea protecţiei teritoriului ţării de pătrunderea infecţiilor transfrontaliere</w:t>
            </w:r>
            <w:r w:rsidR="00A92018">
              <w:rPr>
                <w:rFonts w:ascii="Times New Roman" w:eastAsia="SimSun" w:hAnsi="Times New Roman" w:cs="Times New Roman"/>
                <w:iCs/>
                <w:color w:val="000000" w:themeColor="text1"/>
                <w:sz w:val="24"/>
                <w:szCs w:val="24"/>
                <w:lang w:val="en-US" w:eastAsia="ar-SA"/>
              </w:rPr>
              <w:t>.</w:t>
            </w:r>
          </w:p>
          <w:p w:rsidR="00FA2A6A" w:rsidRDefault="00FA2A6A" w:rsidP="0051369B">
            <w:pPr>
              <w:widowControl w:val="0"/>
              <w:autoSpaceDE w:val="0"/>
              <w:autoSpaceDN w:val="0"/>
              <w:adjustRightInd w:val="0"/>
              <w:jc w:val="both"/>
              <w:rPr>
                <w:rFonts w:ascii="Times New Roman" w:eastAsia="SimSun" w:hAnsi="Times New Roman" w:cs="Times New Roman"/>
                <w:iCs/>
                <w:color w:val="000000" w:themeColor="text1"/>
                <w:sz w:val="24"/>
                <w:szCs w:val="24"/>
                <w:lang w:val="en-US" w:eastAsia="ar-SA"/>
              </w:rPr>
            </w:pPr>
          </w:p>
          <w:p w:rsidR="00FA2A6A" w:rsidRDefault="00A92018" w:rsidP="0051369B">
            <w:pPr>
              <w:widowControl w:val="0"/>
              <w:autoSpaceDE w:val="0"/>
              <w:autoSpaceDN w:val="0"/>
              <w:adjustRightInd w:val="0"/>
              <w:jc w:val="both"/>
              <w:rPr>
                <w:rFonts w:ascii="Times New Roman" w:eastAsia="Arial Unicode MS" w:hAnsi="Times New Roman" w:cs="Times New Roman"/>
                <w:color w:val="000000" w:themeColor="text1"/>
                <w:sz w:val="24"/>
                <w:szCs w:val="24"/>
                <w:lang w:val="ro-RO"/>
              </w:rPr>
            </w:pPr>
            <w:r>
              <w:rPr>
                <w:rFonts w:ascii="Times New Roman" w:eastAsia="SimSun" w:hAnsi="Times New Roman" w:cs="Times New Roman"/>
                <w:bCs/>
                <w:color w:val="000000" w:themeColor="text1"/>
                <w:sz w:val="24"/>
                <w:szCs w:val="24"/>
                <w:lang w:val="en-US" w:eastAsia="ar-SA"/>
              </w:rPr>
              <w:t>P</w:t>
            </w:r>
            <w:r w:rsidRPr="00C05F66">
              <w:rPr>
                <w:rFonts w:ascii="Times New Roman" w:eastAsia="SimSun" w:hAnsi="Times New Roman" w:cs="Times New Roman"/>
                <w:bCs/>
                <w:color w:val="000000" w:themeColor="text1"/>
                <w:sz w:val="24"/>
                <w:szCs w:val="24"/>
                <w:lang w:val="en-US" w:eastAsia="ar-SA"/>
              </w:rPr>
              <w:t>roiectul hotărîrii de Guvern</w:t>
            </w:r>
            <w:r>
              <w:rPr>
                <w:rFonts w:ascii="Times New Roman" w:eastAsia="SimSun" w:hAnsi="Times New Roman" w:cs="Times New Roman"/>
                <w:bCs/>
                <w:color w:val="000000" w:themeColor="text1"/>
                <w:sz w:val="24"/>
                <w:szCs w:val="24"/>
                <w:lang w:val="en-US" w:eastAsia="ar-SA"/>
              </w:rPr>
              <w:t xml:space="preserve"> cu privire la modificarea</w:t>
            </w:r>
            <w:r w:rsidRPr="00FA2A6A">
              <w:rPr>
                <w:rFonts w:ascii="Times New Roman" w:eastAsia="Arial Unicode MS" w:hAnsi="Times New Roman" w:cs="Times New Roman"/>
                <w:color w:val="000000" w:themeColor="text1"/>
                <w:sz w:val="24"/>
                <w:szCs w:val="24"/>
                <w:lang w:val="ro-RO"/>
              </w:rPr>
              <w:t xml:space="preserve"> </w:t>
            </w:r>
            <w:r w:rsidR="00FA2A6A" w:rsidRPr="00FA2A6A">
              <w:rPr>
                <w:rFonts w:ascii="Times New Roman" w:eastAsia="Arial Unicode MS" w:hAnsi="Times New Roman" w:cs="Times New Roman"/>
                <w:color w:val="000000" w:themeColor="text1"/>
                <w:sz w:val="24"/>
                <w:szCs w:val="24"/>
                <w:lang w:val="ro-RO"/>
              </w:rPr>
              <w:t>Hotărîrea de Guvern nr. 221/2009 cu privire la aprobarea Regulilor privind criteriile microbiologice pentru produsele alimentare</w:t>
            </w:r>
          </w:p>
          <w:p w:rsidR="00A92018" w:rsidRPr="00A92018" w:rsidRDefault="00A92018" w:rsidP="0051369B">
            <w:pPr>
              <w:widowControl w:val="0"/>
              <w:autoSpaceDE w:val="0"/>
              <w:autoSpaceDN w:val="0"/>
              <w:adjustRightInd w:val="0"/>
              <w:jc w:val="both"/>
              <w:rPr>
                <w:rFonts w:ascii="Times New Roman" w:eastAsia="Arial Unicode MS" w:hAnsi="Times New Roman" w:cs="Times New Roman"/>
                <w:color w:val="000000" w:themeColor="text1"/>
                <w:sz w:val="24"/>
                <w:szCs w:val="24"/>
                <w:lang w:val="ro-RO"/>
              </w:rPr>
            </w:pPr>
            <w:r>
              <w:rPr>
                <w:rFonts w:ascii="Times New Roman" w:eastAsia="Arial Unicode MS" w:hAnsi="Times New Roman" w:cs="Times New Roman"/>
                <w:i/>
                <w:color w:val="000000" w:themeColor="text1"/>
                <w:sz w:val="24"/>
                <w:szCs w:val="24"/>
                <w:lang w:val="ro-RO"/>
              </w:rPr>
              <w:t xml:space="preserve">Subiectul – </w:t>
            </w:r>
            <w:r w:rsidRPr="00A92018">
              <w:rPr>
                <w:rFonts w:ascii="Times New Roman" w:eastAsia="Arial Unicode MS" w:hAnsi="Times New Roman" w:cs="Times New Roman"/>
                <w:color w:val="000000" w:themeColor="text1"/>
                <w:sz w:val="24"/>
                <w:szCs w:val="24"/>
                <w:lang w:val="ro-RO"/>
              </w:rPr>
              <w:t>stabilirea regulilor privind criteriile microbiologice pentru produsele alimentare</w:t>
            </w:r>
            <w:r>
              <w:rPr>
                <w:rFonts w:ascii="Times New Roman" w:eastAsia="Arial Unicode MS" w:hAnsi="Times New Roman" w:cs="Times New Roman"/>
                <w:color w:val="000000" w:themeColor="text1"/>
                <w:sz w:val="24"/>
                <w:szCs w:val="24"/>
                <w:lang w:val="ro-RO"/>
              </w:rPr>
              <w:t>.</w:t>
            </w:r>
          </w:p>
          <w:p w:rsidR="00A92018" w:rsidRPr="00A92018" w:rsidRDefault="00A92018" w:rsidP="0051369B">
            <w:pPr>
              <w:widowControl w:val="0"/>
              <w:autoSpaceDE w:val="0"/>
              <w:autoSpaceDN w:val="0"/>
              <w:adjustRightInd w:val="0"/>
              <w:jc w:val="both"/>
              <w:rPr>
                <w:rFonts w:ascii="Times New Roman" w:eastAsia="Arial Unicode MS" w:hAnsi="Times New Roman" w:cs="Times New Roman"/>
                <w:color w:val="000000" w:themeColor="text1"/>
                <w:sz w:val="24"/>
                <w:szCs w:val="24"/>
                <w:lang w:val="ro-RO"/>
              </w:rPr>
            </w:pPr>
            <w:r w:rsidRPr="00A92018">
              <w:rPr>
                <w:rFonts w:ascii="Times New Roman" w:eastAsia="Arial Unicode MS" w:hAnsi="Times New Roman" w:cs="Times New Roman"/>
                <w:i/>
                <w:color w:val="000000" w:themeColor="text1"/>
                <w:sz w:val="24"/>
                <w:szCs w:val="24"/>
                <w:lang w:val="ro-RO"/>
              </w:rPr>
              <w:t>Scopul</w:t>
            </w:r>
            <w:r>
              <w:rPr>
                <w:rFonts w:ascii="Times New Roman" w:eastAsia="Arial Unicode MS" w:hAnsi="Times New Roman" w:cs="Times New Roman"/>
                <w:color w:val="000000" w:themeColor="text1"/>
                <w:sz w:val="24"/>
                <w:szCs w:val="24"/>
                <w:lang w:val="ro-RO"/>
              </w:rPr>
              <w:t xml:space="preserve"> - stabilirea</w:t>
            </w:r>
            <w:r w:rsidRPr="00A92018">
              <w:rPr>
                <w:rFonts w:ascii="Times New Roman" w:eastAsia="Arial Unicode MS" w:hAnsi="Times New Roman" w:cs="Times New Roman"/>
                <w:color w:val="000000" w:themeColor="text1"/>
                <w:sz w:val="24"/>
                <w:szCs w:val="24"/>
                <w:lang w:val="ro-RO"/>
              </w:rPr>
              <w:t xml:space="preserve"> criterii</w:t>
            </w:r>
            <w:r>
              <w:rPr>
                <w:rFonts w:ascii="Times New Roman" w:eastAsia="Arial Unicode MS" w:hAnsi="Times New Roman" w:cs="Times New Roman"/>
                <w:color w:val="000000" w:themeColor="text1"/>
                <w:sz w:val="24"/>
                <w:szCs w:val="24"/>
                <w:lang w:val="ro-RO"/>
              </w:rPr>
              <w:t>lor</w:t>
            </w:r>
            <w:r w:rsidRPr="00A92018">
              <w:rPr>
                <w:rFonts w:ascii="Times New Roman" w:eastAsia="Arial Unicode MS" w:hAnsi="Times New Roman" w:cs="Times New Roman"/>
                <w:color w:val="000000" w:themeColor="text1"/>
                <w:sz w:val="24"/>
                <w:szCs w:val="24"/>
                <w:lang w:val="ro-RO"/>
              </w:rPr>
              <w:t xml:space="preserve"> microbiologice pentru anumite microorganisme şi mecanismele de aplicare pe care agenţii economici din sectorul alimentar trebuie să le respecte în cazul în care pun în aplicare măsurile de igienă generale şi speciale</w:t>
            </w:r>
            <w:r>
              <w:rPr>
                <w:rFonts w:ascii="Times New Roman" w:eastAsia="Arial Unicode MS" w:hAnsi="Times New Roman" w:cs="Times New Roman"/>
                <w:color w:val="000000" w:themeColor="text1"/>
                <w:sz w:val="24"/>
                <w:szCs w:val="24"/>
                <w:lang w:val="ro-RO"/>
              </w:rPr>
              <w:t>.</w:t>
            </w:r>
          </w:p>
          <w:p w:rsidR="00D27AAF" w:rsidRPr="00C05F66" w:rsidRDefault="00D27AAF" w:rsidP="0037488A">
            <w:pPr>
              <w:widowControl w:val="0"/>
              <w:autoSpaceDE w:val="0"/>
              <w:autoSpaceDN w:val="0"/>
              <w:adjustRightInd w:val="0"/>
              <w:rPr>
                <w:rFonts w:ascii="Times New Roman" w:eastAsia="SimSun" w:hAnsi="Times New Roman" w:cs="Times New Roman"/>
                <w:iCs/>
                <w:color w:val="000000" w:themeColor="text1"/>
                <w:sz w:val="24"/>
                <w:szCs w:val="24"/>
                <w:lang w:val="en-US" w:eastAsia="ar-SA"/>
              </w:rPr>
            </w:pPr>
          </w:p>
        </w:tc>
      </w:tr>
      <w:tr w:rsidR="00D27AAF" w:rsidRPr="00741890" w:rsidTr="00306809">
        <w:tc>
          <w:tcPr>
            <w:tcW w:w="14496" w:type="dxa"/>
            <w:gridSpan w:val="6"/>
          </w:tcPr>
          <w:p w:rsidR="00FA2A6A" w:rsidRDefault="00FA2A6A" w:rsidP="00D27AAF">
            <w:pPr>
              <w:snapToGrid w:val="0"/>
              <w:rPr>
                <w:rFonts w:ascii="Times New Roman" w:eastAsia="SimSun" w:hAnsi="Times New Roman" w:cs="Times New Roman"/>
                <w:b/>
                <w:sz w:val="24"/>
                <w:szCs w:val="24"/>
                <w:lang w:eastAsia="ar-SA"/>
              </w:rPr>
            </w:pPr>
          </w:p>
          <w:p w:rsidR="00FA2A6A" w:rsidRDefault="00FA2A6A" w:rsidP="00D27AAF">
            <w:pPr>
              <w:snapToGrid w:val="0"/>
              <w:rPr>
                <w:rFonts w:ascii="Times New Roman" w:eastAsia="SimSun" w:hAnsi="Times New Roman" w:cs="Times New Roman"/>
                <w:b/>
                <w:sz w:val="24"/>
                <w:szCs w:val="24"/>
                <w:lang w:eastAsia="ar-SA"/>
              </w:rPr>
            </w:pPr>
          </w:p>
          <w:p w:rsidR="00FA2A6A" w:rsidRDefault="00FA2A6A" w:rsidP="00D27AAF">
            <w:pPr>
              <w:snapToGrid w:val="0"/>
              <w:rPr>
                <w:rFonts w:ascii="Times New Roman" w:eastAsia="SimSun" w:hAnsi="Times New Roman" w:cs="Times New Roman"/>
                <w:b/>
                <w:sz w:val="24"/>
                <w:szCs w:val="24"/>
                <w:lang w:eastAsia="ar-SA"/>
              </w:rPr>
            </w:pPr>
          </w:p>
          <w:p w:rsidR="00FA2A6A" w:rsidRDefault="00FA2A6A" w:rsidP="00D27AAF">
            <w:pPr>
              <w:snapToGrid w:val="0"/>
              <w:rPr>
                <w:rFonts w:ascii="Times New Roman" w:eastAsia="SimSun" w:hAnsi="Times New Roman" w:cs="Times New Roman"/>
                <w:b/>
                <w:sz w:val="24"/>
                <w:szCs w:val="24"/>
                <w:lang w:eastAsia="ar-SA"/>
              </w:rPr>
            </w:pPr>
          </w:p>
          <w:p w:rsidR="00FA2A6A" w:rsidRDefault="00FA2A6A" w:rsidP="00D27AAF">
            <w:pPr>
              <w:snapToGrid w:val="0"/>
              <w:rPr>
                <w:rFonts w:ascii="Times New Roman" w:eastAsia="SimSun" w:hAnsi="Times New Roman" w:cs="Times New Roman"/>
                <w:b/>
                <w:sz w:val="24"/>
                <w:szCs w:val="24"/>
                <w:lang w:eastAsia="ar-SA"/>
              </w:rPr>
            </w:pPr>
          </w:p>
          <w:p w:rsidR="00D27AAF" w:rsidRPr="00741890" w:rsidRDefault="00D27AAF" w:rsidP="00D27AAF">
            <w:pPr>
              <w:snapToGrid w:val="0"/>
              <w:rPr>
                <w:rFonts w:ascii="Times New Roman" w:eastAsia="SimSun" w:hAnsi="Times New Roman" w:cs="Times New Roman"/>
                <w:b/>
                <w:sz w:val="24"/>
                <w:szCs w:val="24"/>
                <w:lang w:eastAsia="ar-SA"/>
              </w:rPr>
            </w:pPr>
            <w:r w:rsidRPr="00741890">
              <w:rPr>
                <w:rFonts w:ascii="Times New Roman" w:eastAsia="SimSun" w:hAnsi="Times New Roman" w:cs="Times New Roman"/>
                <w:b/>
                <w:sz w:val="24"/>
                <w:szCs w:val="24"/>
                <w:lang w:eastAsia="ar-SA"/>
              </w:rPr>
              <w:t>3. Gradul de compatibilitate - compatibil</w:t>
            </w:r>
          </w:p>
        </w:tc>
      </w:tr>
      <w:tr w:rsidR="00D27AAF" w:rsidRPr="00BF7AA0" w:rsidTr="00306809">
        <w:tc>
          <w:tcPr>
            <w:tcW w:w="4157" w:type="dxa"/>
          </w:tcPr>
          <w:p w:rsidR="00FA2A6A" w:rsidRDefault="00FA2A6A" w:rsidP="00D27AAF">
            <w:pPr>
              <w:suppressLineNumbers/>
              <w:snapToGrid w:val="0"/>
              <w:rPr>
                <w:rFonts w:ascii="Times New Roman" w:eastAsia="SimSun" w:hAnsi="Times New Roman" w:cs="Times New Roman"/>
                <w:sz w:val="24"/>
                <w:szCs w:val="24"/>
                <w:lang w:val="en-US" w:eastAsia="ar-SA"/>
              </w:rPr>
            </w:pPr>
          </w:p>
          <w:p w:rsidR="00D27AAF" w:rsidRPr="00972526" w:rsidRDefault="00D27AAF" w:rsidP="00D27AAF">
            <w:pPr>
              <w:suppressLineNumbers/>
              <w:snapToGrid w:val="0"/>
              <w:rPr>
                <w:rFonts w:ascii="Times New Roman" w:eastAsia="SimSun" w:hAnsi="Times New Roman" w:cs="Times New Roman"/>
                <w:b/>
                <w:sz w:val="24"/>
                <w:szCs w:val="24"/>
                <w:lang w:val="en-US" w:eastAsia="ar-SA"/>
              </w:rPr>
            </w:pPr>
            <w:r w:rsidRPr="00972526">
              <w:rPr>
                <w:rFonts w:ascii="Times New Roman" w:eastAsia="SimSun" w:hAnsi="Times New Roman" w:cs="Times New Roman"/>
                <w:sz w:val="24"/>
                <w:szCs w:val="24"/>
                <w:lang w:val="en-US" w:eastAsia="ar-SA"/>
              </w:rPr>
              <w:t xml:space="preserve">4. </w:t>
            </w:r>
            <w:r w:rsidRPr="00972526">
              <w:rPr>
                <w:rFonts w:ascii="Times New Roman" w:eastAsia="SimSun" w:hAnsi="Times New Roman" w:cs="Times New Roman"/>
                <w:b/>
                <w:sz w:val="24"/>
                <w:szCs w:val="24"/>
                <w:lang w:val="en-US" w:eastAsia="ar-SA"/>
              </w:rPr>
              <w:t>Prevederile şi cerinţele reglementărilor comunitare (articolul, paragraful)</w:t>
            </w:r>
          </w:p>
        </w:tc>
        <w:tc>
          <w:tcPr>
            <w:tcW w:w="4303" w:type="dxa"/>
          </w:tcPr>
          <w:p w:rsidR="00D27AAF" w:rsidRPr="00972526" w:rsidRDefault="00D27AAF" w:rsidP="00D27AAF">
            <w:pPr>
              <w:suppressLineNumbers/>
              <w:snapToGrid w:val="0"/>
              <w:rPr>
                <w:rFonts w:ascii="Times New Roman" w:eastAsia="SimSun" w:hAnsi="Times New Roman" w:cs="Times New Roman"/>
                <w:b/>
                <w:sz w:val="24"/>
                <w:szCs w:val="24"/>
                <w:lang w:val="en-US" w:eastAsia="ar-SA"/>
              </w:rPr>
            </w:pPr>
            <w:r w:rsidRPr="00972526">
              <w:rPr>
                <w:rFonts w:ascii="Times New Roman" w:eastAsia="SimSun" w:hAnsi="Times New Roman" w:cs="Times New Roman"/>
                <w:sz w:val="24"/>
                <w:szCs w:val="24"/>
                <w:lang w:val="en-US" w:eastAsia="ar-SA"/>
              </w:rPr>
              <w:t xml:space="preserve">5. </w:t>
            </w:r>
            <w:r w:rsidRPr="00972526">
              <w:rPr>
                <w:rFonts w:ascii="Times New Roman" w:eastAsia="SimSun" w:hAnsi="Times New Roman" w:cs="Times New Roman"/>
                <w:b/>
                <w:sz w:val="24"/>
                <w:szCs w:val="24"/>
                <w:lang w:val="en-US" w:eastAsia="ar-SA"/>
              </w:rPr>
              <w:t>Prevederile actului normativ naţional (capitolul, articolul, subparagraful, punctul etc.)</w:t>
            </w:r>
          </w:p>
        </w:tc>
        <w:tc>
          <w:tcPr>
            <w:tcW w:w="2280" w:type="dxa"/>
          </w:tcPr>
          <w:p w:rsidR="00D27AAF" w:rsidRPr="00972526" w:rsidRDefault="00D27AAF" w:rsidP="00D27AAF">
            <w:pPr>
              <w:ind w:right="42"/>
              <w:jc w:val="both"/>
              <w:rPr>
                <w:rFonts w:ascii="Times New Roman" w:eastAsia="SimSun" w:hAnsi="Times New Roman" w:cs="Times New Roman"/>
                <w:b/>
                <w:sz w:val="24"/>
                <w:szCs w:val="24"/>
                <w:lang w:val="en-US" w:eastAsia="ar-SA"/>
              </w:rPr>
            </w:pPr>
            <w:r w:rsidRPr="00972526">
              <w:rPr>
                <w:rFonts w:ascii="Times New Roman" w:eastAsia="SimSun" w:hAnsi="Times New Roman" w:cs="Times New Roman"/>
                <w:sz w:val="24"/>
                <w:szCs w:val="24"/>
                <w:lang w:val="en-US" w:eastAsia="ar-SA"/>
              </w:rPr>
              <w:t xml:space="preserve">6. </w:t>
            </w:r>
            <w:r w:rsidRPr="00972526">
              <w:rPr>
                <w:rFonts w:ascii="Times New Roman" w:eastAsia="SimSun" w:hAnsi="Times New Roman" w:cs="Times New Roman"/>
                <w:b/>
                <w:sz w:val="24"/>
                <w:szCs w:val="24"/>
                <w:lang w:val="en-US" w:eastAsia="ar-SA"/>
              </w:rPr>
              <w:t xml:space="preserve">Compatibilitatea între proiect şi </w:t>
            </w:r>
          </w:p>
          <w:p w:rsidR="00D27AAF" w:rsidRPr="00972526" w:rsidRDefault="00D27AAF" w:rsidP="00D27AAF">
            <w:pPr>
              <w:ind w:right="-365"/>
              <w:jc w:val="both"/>
              <w:rPr>
                <w:rFonts w:ascii="Times New Roman" w:eastAsia="SimSun" w:hAnsi="Times New Roman" w:cs="Times New Roman"/>
                <w:b/>
                <w:sz w:val="24"/>
                <w:szCs w:val="24"/>
                <w:lang w:val="en-US" w:eastAsia="ar-SA"/>
              </w:rPr>
            </w:pPr>
            <w:r w:rsidRPr="00972526">
              <w:rPr>
                <w:rFonts w:ascii="Times New Roman" w:eastAsia="SimSun" w:hAnsi="Times New Roman" w:cs="Times New Roman"/>
                <w:b/>
                <w:sz w:val="24"/>
                <w:szCs w:val="24"/>
                <w:lang w:val="en-US" w:eastAsia="ar-SA"/>
              </w:rPr>
              <w:t xml:space="preserve">Reglementarea </w:t>
            </w:r>
          </w:p>
          <w:p w:rsidR="00D27AAF" w:rsidRPr="00972526" w:rsidRDefault="00D27AAF" w:rsidP="00D27AAF">
            <w:pPr>
              <w:ind w:right="42"/>
              <w:jc w:val="both"/>
              <w:rPr>
                <w:rFonts w:ascii="Times New Roman" w:eastAsia="SimSun" w:hAnsi="Times New Roman" w:cs="Times New Roman"/>
                <w:b/>
                <w:sz w:val="24"/>
                <w:szCs w:val="24"/>
                <w:lang w:val="en-US" w:eastAsia="ar-SA"/>
              </w:rPr>
            </w:pPr>
            <w:r w:rsidRPr="00972526">
              <w:rPr>
                <w:rFonts w:ascii="Times New Roman" w:eastAsia="SimSun" w:hAnsi="Times New Roman" w:cs="Times New Roman"/>
                <w:b/>
                <w:sz w:val="24"/>
                <w:szCs w:val="24"/>
                <w:lang w:val="en-US" w:eastAsia="ar-SA"/>
              </w:rPr>
              <w:t>Comunitară</w:t>
            </w:r>
          </w:p>
          <w:p w:rsidR="00D27AAF" w:rsidRPr="00972526" w:rsidRDefault="00D27AAF" w:rsidP="00D27AAF">
            <w:pPr>
              <w:ind w:right="-365"/>
              <w:jc w:val="both"/>
              <w:rPr>
                <w:rFonts w:ascii="Times New Roman" w:eastAsia="SimSun" w:hAnsi="Times New Roman" w:cs="Times New Roman"/>
                <w:b/>
                <w:bCs/>
                <w:sz w:val="24"/>
                <w:szCs w:val="24"/>
                <w:lang w:val="en-US" w:eastAsia="ar-SA"/>
              </w:rPr>
            </w:pPr>
            <w:r w:rsidRPr="00972526">
              <w:rPr>
                <w:rFonts w:ascii="Times New Roman" w:eastAsia="SimSun" w:hAnsi="Times New Roman" w:cs="Times New Roman"/>
                <w:b/>
                <w:sz w:val="24"/>
                <w:szCs w:val="24"/>
                <w:lang w:val="en-US" w:eastAsia="ar-SA"/>
              </w:rPr>
              <w:t>(</w:t>
            </w:r>
            <w:r w:rsidRPr="00972526">
              <w:rPr>
                <w:rFonts w:ascii="Times New Roman" w:eastAsia="SimSun" w:hAnsi="Times New Roman" w:cs="Times New Roman"/>
                <w:b/>
                <w:bCs/>
                <w:sz w:val="24"/>
                <w:szCs w:val="24"/>
                <w:lang w:val="en-US" w:eastAsia="ar-SA"/>
              </w:rPr>
              <w:t xml:space="preserve">complet compatibil, </w:t>
            </w:r>
          </w:p>
          <w:p w:rsidR="00D27AAF" w:rsidRPr="00972526" w:rsidRDefault="00D27AAF" w:rsidP="00D27AAF">
            <w:pPr>
              <w:ind w:right="-365"/>
              <w:jc w:val="both"/>
              <w:rPr>
                <w:rFonts w:ascii="Times New Roman" w:eastAsia="SimSun" w:hAnsi="Times New Roman" w:cs="Times New Roman"/>
                <w:b/>
                <w:bCs/>
                <w:sz w:val="24"/>
                <w:szCs w:val="24"/>
                <w:lang w:val="en-US" w:eastAsia="ar-SA"/>
              </w:rPr>
            </w:pPr>
            <w:r w:rsidRPr="00972526">
              <w:rPr>
                <w:rFonts w:ascii="Times New Roman" w:eastAsia="SimSun" w:hAnsi="Times New Roman" w:cs="Times New Roman"/>
                <w:b/>
                <w:bCs/>
                <w:sz w:val="24"/>
                <w:szCs w:val="24"/>
                <w:lang w:val="en-US" w:eastAsia="ar-SA"/>
              </w:rPr>
              <w:t>parţial compatibil, nu</w:t>
            </w:r>
          </w:p>
          <w:p w:rsidR="00D27AAF" w:rsidRPr="00972526" w:rsidRDefault="00D27AAF" w:rsidP="00D27AAF">
            <w:pPr>
              <w:ind w:right="-97"/>
              <w:jc w:val="both"/>
              <w:rPr>
                <w:rFonts w:ascii="Times New Roman" w:eastAsia="SimSun" w:hAnsi="Times New Roman" w:cs="Times New Roman"/>
                <w:b/>
                <w:bCs/>
                <w:sz w:val="24"/>
                <w:szCs w:val="24"/>
                <w:lang w:val="en-US" w:eastAsia="ar-SA"/>
              </w:rPr>
            </w:pPr>
            <w:r w:rsidRPr="00972526">
              <w:rPr>
                <w:rFonts w:ascii="Times New Roman" w:eastAsia="SimSun" w:hAnsi="Times New Roman" w:cs="Times New Roman"/>
                <w:b/>
                <w:bCs/>
                <w:sz w:val="24"/>
                <w:szCs w:val="24"/>
                <w:lang w:val="en-US" w:eastAsia="ar-SA"/>
              </w:rPr>
              <w:t xml:space="preserve">este compatibil, </w:t>
            </w:r>
          </w:p>
          <w:p w:rsidR="00D27AAF" w:rsidRPr="00741890" w:rsidRDefault="00D27AAF" w:rsidP="00D27AAF">
            <w:pPr>
              <w:suppressLineNumbers/>
              <w:snapToGrid w:val="0"/>
              <w:rPr>
                <w:rFonts w:ascii="Times New Roman" w:eastAsia="SimSun" w:hAnsi="Times New Roman" w:cs="Times New Roman"/>
                <w:b/>
                <w:sz w:val="24"/>
                <w:szCs w:val="24"/>
                <w:lang w:eastAsia="ar-SA"/>
              </w:rPr>
            </w:pPr>
            <w:r w:rsidRPr="00741890">
              <w:rPr>
                <w:rFonts w:ascii="Times New Roman" w:eastAsia="SimSun" w:hAnsi="Times New Roman" w:cs="Times New Roman"/>
                <w:b/>
                <w:bCs/>
                <w:sz w:val="24"/>
                <w:szCs w:val="24"/>
                <w:lang w:eastAsia="ar-SA"/>
              </w:rPr>
              <w:t>vid legislativ naţional).</w:t>
            </w:r>
          </w:p>
        </w:tc>
        <w:tc>
          <w:tcPr>
            <w:tcW w:w="1417" w:type="dxa"/>
          </w:tcPr>
          <w:p w:rsidR="00D27AAF" w:rsidRPr="00972526" w:rsidRDefault="00D27AAF" w:rsidP="00D27AAF">
            <w:pPr>
              <w:suppressLineNumbers/>
              <w:snapToGrid w:val="0"/>
              <w:rPr>
                <w:rFonts w:ascii="Times New Roman" w:eastAsia="SimSun" w:hAnsi="Times New Roman" w:cs="Times New Roman"/>
                <w:b/>
                <w:sz w:val="24"/>
                <w:szCs w:val="24"/>
                <w:lang w:val="en-US" w:eastAsia="ar-SA"/>
              </w:rPr>
            </w:pPr>
            <w:r w:rsidRPr="00972526">
              <w:rPr>
                <w:rFonts w:ascii="Times New Roman" w:eastAsia="SimSun" w:hAnsi="Times New Roman" w:cs="Times New Roman"/>
                <w:sz w:val="24"/>
                <w:szCs w:val="24"/>
                <w:lang w:val="en-US" w:eastAsia="ar-SA"/>
              </w:rPr>
              <w:t xml:space="preserve">7. </w:t>
            </w:r>
            <w:r w:rsidRPr="00972526">
              <w:rPr>
                <w:rFonts w:ascii="Times New Roman" w:eastAsia="SimSun" w:hAnsi="Times New Roman" w:cs="Times New Roman"/>
                <w:b/>
                <w:sz w:val="24"/>
                <w:szCs w:val="24"/>
                <w:lang w:val="en-US" w:eastAsia="ar-SA"/>
              </w:rPr>
              <w:t>Motivele ce explică faptul că proiectul este parţial compatibil sau incompatibil</w:t>
            </w:r>
          </w:p>
        </w:tc>
        <w:tc>
          <w:tcPr>
            <w:tcW w:w="992" w:type="dxa"/>
          </w:tcPr>
          <w:p w:rsidR="00D27AAF" w:rsidRPr="00741890" w:rsidRDefault="00D27AAF" w:rsidP="00D27AAF">
            <w:pPr>
              <w:suppressLineNumbers/>
              <w:snapToGrid w:val="0"/>
              <w:rPr>
                <w:rFonts w:ascii="Times New Roman" w:eastAsia="SimSun" w:hAnsi="Times New Roman" w:cs="Times New Roman"/>
                <w:b/>
                <w:sz w:val="24"/>
                <w:szCs w:val="24"/>
                <w:lang w:eastAsia="ar-SA"/>
              </w:rPr>
            </w:pPr>
            <w:r w:rsidRPr="00741890">
              <w:rPr>
                <w:rFonts w:ascii="Times New Roman" w:eastAsia="SimSun" w:hAnsi="Times New Roman" w:cs="Times New Roman"/>
                <w:sz w:val="24"/>
                <w:szCs w:val="24"/>
                <w:lang w:eastAsia="ar-SA"/>
              </w:rPr>
              <w:t xml:space="preserve">8. </w:t>
            </w:r>
            <w:r w:rsidRPr="00741890">
              <w:rPr>
                <w:rFonts w:ascii="Times New Roman" w:eastAsia="SimSun" w:hAnsi="Times New Roman" w:cs="Times New Roman"/>
                <w:b/>
                <w:sz w:val="24"/>
                <w:szCs w:val="24"/>
                <w:lang w:eastAsia="ar-SA"/>
              </w:rPr>
              <w:t>Instituţia responsabilă</w:t>
            </w:r>
          </w:p>
        </w:tc>
        <w:tc>
          <w:tcPr>
            <w:tcW w:w="1347" w:type="dxa"/>
          </w:tcPr>
          <w:p w:rsidR="00D27AAF" w:rsidRPr="00972526" w:rsidRDefault="00D27AAF" w:rsidP="00D27AAF">
            <w:pPr>
              <w:suppressLineNumbers/>
              <w:snapToGrid w:val="0"/>
              <w:rPr>
                <w:rFonts w:ascii="Times New Roman" w:eastAsia="SimSun" w:hAnsi="Times New Roman" w:cs="Times New Roman"/>
                <w:b/>
                <w:sz w:val="24"/>
                <w:szCs w:val="24"/>
                <w:lang w:val="en-US" w:eastAsia="ar-SA"/>
              </w:rPr>
            </w:pPr>
            <w:r w:rsidRPr="00972526">
              <w:rPr>
                <w:rFonts w:ascii="Times New Roman" w:eastAsia="SimSun" w:hAnsi="Times New Roman" w:cs="Times New Roman"/>
                <w:sz w:val="24"/>
                <w:szCs w:val="24"/>
                <w:lang w:val="en-US" w:eastAsia="ar-SA"/>
              </w:rPr>
              <w:t xml:space="preserve">9. </w:t>
            </w:r>
            <w:r w:rsidRPr="00972526">
              <w:rPr>
                <w:rFonts w:ascii="Times New Roman" w:eastAsia="SimSun" w:hAnsi="Times New Roman" w:cs="Times New Roman"/>
                <w:b/>
                <w:sz w:val="24"/>
                <w:szCs w:val="24"/>
                <w:lang w:val="en-US" w:eastAsia="ar-SA"/>
              </w:rPr>
              <w:t>Termenul limită pînă cînd urmează a se asigura compatibilitatea completă a actului naţional</w:t>
            </w:r>
          </w:p>
        </w:tc>
      </w:tr>
      <w:tr w:rsidR="00D27AAF" w:rsidRPr="00BF7AA0" w:rsidTr="00306809">
        <w:trPr>
          <w:trHeight w:val="210"/>
        </w:trPr>
        <w:tc>
          <w:tcPr>
            <w:tcW w:w="4157" w:type="dxa"/>
            <w:shd w:val="clear" w:color="auto" w:fill="D9D9D9" w:themeFill="background1" w:themeFillShade="D9"/>
          </w:tcPr>
          <w:p w:rsidR="00D27AAF" w:rsidRPr="00FA2A6A" w:rsidRDefault="00FA2A6A" w:rsidP="00AF59A3">
            <w:pPr>
              <w:suppressLineNumbers/>
              <w:snapToGrid w:val="0"/>
              <w:spacing w:line="240" w:lineRule="atLeast"/>
              <w:jc w:val="both"/>
              <w:rPr>
                <w:rFonts w:ascii="Times New Roman" w:eastAsia="SimSun" w:hAnsi="Times New Roman" w:cs="Times New Roman"/>
                <w:sz w:val="24"/>
                <w:szCs w:val="24"/>
                <w:lang w:val="en-US" w:eastAsia="ar-SA"/>
              </w:rPr>
            </w:pPr>
            <w:r w:rsidRPr="00FA2A6A">
              <w:rPr>
                <w:rFonts w:ascii="Times New Roman" w:eastAsia="SimSun" w:hAnsi="Times New Roman" w:cs="Times New Roman"/>
                <w:bCs/>
                <w:color w:val="000000" w:themeColor="text1"/>
                <w:sz w:val="24"/>
                <w:szCs w:val="24"/>
                <w:lang w:val="ro-RO" w:eastAsia="ar-SA"/>
              </w:rPr>
              <w:t>1. Decizia 226/2004/CE din 4 martie 2004 de autorizare a testelor pentru detectarea anticorpilor împotriva brucelozei bovine în cadrul Directivei 64/432/CEE a Consiliului, publicată în Jurnalul Oficial al Uniunii Europene, 2004, seria L 068</w:t>
            </w:r>
            <w:r>
              <w:rPr>
                <w:rFonts w:ascii="Times New Roman" w:eastAsia="SimSun" w:hAnsi="Times New Roman" w:cs="Times New Roman"/>
                <w:bCs/>
                <w:color w:val="000000" w:themeColor="text1"/>
                <w:sz w:val="24"/>
                <w:szCs w:val="24"/>
                <w:lang w:val="ro-RO" w:eastAsia="ar-SA"/>
              </w:rPr>
              <w:t xml:space="preserve">, </w:t>
            </w:r>
            <w:r w:rsidRPr="00E9061D">
              <w:rPr>
                <w:rFonts w:ascii="Times New Roman" w:eastAsia="SimSun" w:hAnsi="Times New Roman" w:cs="Times New Roman"/>
                <w:bCs/>
                <w:color w:val="000000" w:themeColor="text1"/>
                <w:sz w:val="24"/>
                <w:szCs w:val="24"/>
                <w:lang w:val="ro-RO" w:eastAsia="ar-SA"/>
              </w:rPr>
              <w:t>p.36</w:t>
            </w:r>
          </w:p>
        </w:tc>
        <w:tc>
          <w:tcPr>
            <w:tcW w:w="4303" w:type="dxa"/>
            <w:shd w:val="clear" w:color="auto" w:fill="D9D9D9" w:themeFill="background1" w:themeFillShade="D9"/>
          </w:tcPr>
          <w:p w:rsidR="00D27AAF" w:rsidRPr="0037488A" w:rsidRDefault="00FA2A6A" w:rsidP="0075203A">
            <w:pPr>
              <w:autoSpaceDE w:val="0"/>
              <w:autoSpaceDN w:val="0"/>
              <w:adjustRightInd w:val="0"/>
              <w:spacing w:line="240" w:lineRule="atLeast"/>
              <w:jc w:val="both"/>
              <w:rPr>
                <w:rFonts w:ascii="Times New Roman" w:eastAsia="Times New Roman" w:hAnsi="Times New Roman" w:cs="Times New Roman"/>
                <w:sz w:val="24"/>
                <w:szCs w:val="24"/>
                <w:lang w:val="ro-RO"/>
              </w:rPr>
            </w:pPr>
            <w:r w:rsidRPr="001064A6">
              <w:rPr>
                <w:rFonts w:ascii="Times New Roman" w:hAnsi="Times New Roman" w:cs="Times New Roman"/>
                <w:sz w:val="28"/>
                <w:szCs w:val="28"/>
              </w:rPr>
              <w:t xml:space="preserve">Hotărîrea de Guvern nr. </w:t>
            </w:r>
            <w:r w:rsidRPr="00F7033B">
              <w:rPr>
                <w:rFonts w:ascii="Times New Roman" w:hAnsi="Times New Roman" w:cs="Times New Roman"/>
                <w:sz w:val="28"/>
                <w:szCs w:val="28"/>
              </w:rPr>
              <w:t>913</w:t>
            </w:r>
            <w:r>
              <w:rPr>
                <w:rFonts w:ascii="Times New Roman" w:hAnsi="Times New Roman" w:cs="Times New Roman"/>
                <w:sz w:val="28"/>
                <w:szCs w:val="28"/>
              </w:rPr>
              <w:t xml:space="preserve">/2018 </w:t>
            </w:r>
            <w:r w:rsidRPr="00F7033B">
              <w:rPr>
                <w:rFonts w:ascii="Times New Roman" w:hAnsi="Times New Roman" w:cs="Times New Roman"/>
                <w:sz w:val="28"/>
                <w:szCs w:val="28"/>
              </w:rPr>
              <w:t>pentru aprobarea Normei sanitar-v</w:t>
            </w:r>
            <w:r>
              <w:rPr>
                <w:rFonts w:ascii="Times New Roman" w:hAnsi="Times New Roman" w:cs="Times New Roman"/>
                <w:sz w:val="28"/>
                <w:szCs w:val="28"/>
              </w:rPr>
              <w:t xml:space="preserve">eterinare privind condițiile de </w:t>
            </w:r>
            <w:r w:rsidRPr="00F7033B">
              <w:rPr>
                <w:rFonts w:ascii="Times New Roman" w:hAnsi="Times New Roman" w:cs="Times New Roman"/>
                <w:sz w:val="28"/>
                <w:szCs w:val="28"/>
              </w:rPr>
              <w:t>sănătate și certificare animală la c</w:t>
            </w:r>
            <w:r>
              <w:rPr>
                <w:rFonts w:ascii="Times New Roman" w:hAnsi="Times New Roman" w:cs="Times New Roman"/>
                <w:sz w:val="28"/>
                <w:szCs w:val="28"/>
              </w:rPr>
              <w:t xml:space="preserve">omerţul (importul și exportul) </w:t>
            </w:r>
            <w:r w:rsidRPr="00F7033B">
              <w:rPr>
                <w:rFonts w:ascii="Times New Roman" w:hAnsi="Times New Roman" w:cs="Times New Roman"/>
                <w:sz w:val="28"/>
                <w:szCs w:val="28"/>
              </w:rPr>
              <w:t>cu bovine și porcine</w:t>
            </w:r>
          </w:p>
        </w:tc>
        <w:tc>
          <w:tcPr>
            <w:tcW w:w="2280" w:type="dxa"/>
            <w:shd w:val="clear" w:color="auto" w:fill="D9D9D9" w:themeFill="background1" w:themeFillShade="D9"/>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417" w:type="dxa"/>
            <w:shd w:val="clear" w:color="auto" w:fill="D9D9D9" w:themeFill="background1" w:themeFillShade="D9"/>
          </w:tcPr>
          <w:p w:rsidR="00D27AAF" w:rsidRPr="00972526" w:rsidRDefault="00D27AAF" w:rsidP="00D27AAF">
            <w:pPr>
              <w:suppressLineNumbers/>
              <w:snapToGrid w:val="0"/>
              <w:ind w:left="-79"/>
              <w:rPr>
                <w:rFonts w:ascii="Times New Roman" w:eastAsia="SimSun" w:hAnsi="Times New Roman" w:cs="Times New Roman"/>
                <w:sz w:val="24"/>
                <w:szCs w:val="24"/>
                <w:lang w:val="en-US" w:eastAsia="ar-SA"/>
              </w:rPr>
            </w:pPr>
          </w:p>
        </w:tc>
        <w:tc>
          <w:tcPr>
            <w:tcW w:w="992" w:type="dxa"/>
            <w:shd w:val="clear" w:color="auto" w:fill="D9D9D9" w:themeFill="background1" w:themeFillShade="D9"/>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347" w:type="dxa"/>
            <w:shd w:val="clear" w:color="auto" w:fill="D9D9D9" w:themeFill="background1" w:themeFillShade="D9"/>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D27AAF" w:rsidRPr="00D23582" w:rsidTr="00306809">
        <w:trPr>
          <w:trHeight w:val="2394"/>
        </w:trPr>
        <w:tc>
          <w:tcPr>
            <w:tcW w:w="4157" w:type="dxa"/>
          </w:tcPr>
          <w:p w:rsidR="00FA2A6A" w:rsidRDefault="00FA2A6A" w:rsidP="00FA2A6A">
            <w:pPr>
              <w:spacing w:line="240" w:lineRule="atLeast"/>
              <w:jc w:val="center"/>
              <w:rPr>
                <w:rFonts w:ascii="Times New Roman" w:eastAsia="SimSun" w:hAnsi="Times New Roman" w:cs="Times New Roman"/>
                <w:sz w:val="24"/>
                <w:szCs w:val="24"/>
                <w:lang w:val="en-US" w:eastAsia="ar-SA"/>
              </w:rPr>
            </w:pPr>
          </w:p>
          <w:p w:rsidR="00FA2A6A" w:rsidRPr="00FA2A6A" w:rsidRDefault="00FA2A6A" w:rsidP="00FA2A6A">
            <w:pPr>
              <w:spacing w:line="240" w:lineRule="atLeast"/>
              <w:jc w:val="center"/>
              <w:rPr>
                <w:rFonts w:ascii="Times New Roman" w:eastAsia="SimSun" w:hAnsi="Times New Roman" w:cs="Times New Roman"/>
                <w:szCs w:val="24"/>
                <w:lang w:val="en-US" w:eastAsia="ar-SA"/>
              </w:rPr>
            </w:pPr>
            <w:r w:rsidRPr="00FA2A6A">
              <w:rPr>
                <w:rFonts w:ascii="Times New Roman" w:eastAsia="SimSun" w:hAnsi="Times New Roman" w:cs="Times New Roman"/>
                <w:szCs w:val="24"/>
                <w:lang w:val="en-US" w:eastAsia="ar-SA"/>
              </w:rPr>
              <w:t>Articolul 1</w:t>
            </w:r>
          </w:p>
          <w:p w:rsidR="00FA2A6A" w:rsidRPr="00FA2A6A" w:rsidRDefault="00FA2A6A" w:rsidP="00FA2A6A">
            <w:pPr>
              <w:spacing w:line="240" w:lineRule="atLeast"/>
              <w:jc w:val="both"/>
              <w:rPr>
                <w:rFonts w:ascii="Times New Roman" w:eastAsia="SimSun" w:hAnsi="Times New Roman" w:cs="Times New Roman"/>
                <w:szCs w:val="24"/>
                <w:lang w:val="en-US" w:eastAsia="ar-SA"/>
              </w:rPr>
            </w:pPr>
          </w:p>
          <w:p w:rsidR="00D27AAF" w:rsidRPr="004D349F" w:rsidRDefault="00FA2A6A" w:rsidP="00FA2A6A">
            <w:pPr>
              <w:spacing w:line="240" w:lineRule="atLeast"/>
              <w:jc w:val="both"/>
              <w:rPr>
                <w:rFonts w:ascii="Times New Roman" w:eastAsia="SimSun" w:hAnsi="Times New Roman" w:cs="Times New Roman"/>
                <w:sz w:val="24"/>
                <w:szCs w:val="24"/>
                <w:lang w:val="en-US" w:eastAsia="ar-SA"/>
              </w:rPr>
            </w:pPr>
            <w:r w:rsidRPr="00FA2A6A">
              <w:rPr>
                <w:rFonts w:ascii="Times New Roman" w:eastAsia="SimSun" w:hAnsi="Times New Roman" w:cs="Times New Roman"/>
                <w:szCs w:val="24"/>
                <w:lang w:val="en-US" w:eastAsia="ar-SA"/>
              </w:rPr>
              <w:t xml:space="preserve">Reacția de fixare a complementului, testul cu antigen brucelic tamponat [testul cu roz Bengal (RBT)], testele ELISA și evaluarea fluorescenței în lumină polarizată (FPA) efectuate în conformitate cu dispozițiile anexei C la Directiva 64/432/CEE sunt </w:t>
            </w:r>
            <w:r w:rsidRPr="00FA2A6A">
              <w:rPr>
                <w:rFonts w:ascii="Times New Roman" w:eastAsia="SimSun" w:hAnsi="Times New Roman" w:cs="Times New Roman"/>
                <w:szCs w:val="24"/>
                <w:lang w:val="en-US" w:eastAsia="ar-SA"/>
              </w:rPr>
              <w:lastRenderedPageBreak/>
              <w:t>autorizate în scopul certificării.</w:t>
            </w:r>
          </w:p>
        </w:tc>
        <w:tc>
          <w:tcPr>
            <w:tcW w:w="4303" w:type="dxa"/>
          </w:tcPr>
          <w:p w:rsidR="00D27AAF" w:rsidRPr="000C7BFA" w:rsidRDefault="00306809" w:rsidP="000C7BFA">
            <w:pPr>
              <w:pStyle w:val="doc-ti"/>
              <w:spacing w:before="0" w:beforeAutospacing="0" w:after="0" w:afterAutospacing="0" w:line="240" w:lineRule="atLeast"/>
              <w:ind w:firstLine="709"/>
              <w:jc w:val="both"/>
              <w:rPr>
                <w:lang w:val="en-US"/>
              </w:rPr>
            </w:pPr>
            <w:r w:rsidRPr="00306809">
              <w:rPr>
                <w:lang w:val="en-US"/>
              </w:rPr>
              <w:lastRenderedPageBreak/>
              <w:t xml:space="preserve">la anexa  nr.3 la Norma sanitar-veterinară privind condițiile de sănătate și certificare animală la comerţul (importul și exportul) cu bovine și porcine, după punctul 4.1 se va copleta cu punctul 4.2 cu următorul conținut : ” Reacția de fixare a complementului, testul cu antigen brucelic tamponat [testul cu roz Bengal </w:t>
            </w:r>
            <w:r w:rsidRPr="00306809">
              <w:rPr>
                <w:lang w:val="en-US"/>
              </w:rPr>
              <w:lastRenderedPageBreak/>
              <w:t>(RBT)], testele ELISA și evaluarea fluorescenței în lumină polarizată (FPA) efectuate în conformitate cu dispozițiile anexei 3 la prezenta normă, sunt autorizate în scopul certificării. „</w:t>
            </w:r>
          </w:p>
        </w:tc>
        <w:tc>
          <w:tcPr>
            <w:tcW w:w="2280" w:type="dxa"/>
          </w:tcPr>
          <w:p w:rsidR="00D27AAF" w:rsidRPr="00306809" w:rsidRDefault="00306809" w:rsidP="00306809">
            <w:pPr>
              <w:suppressLineNumbers/>
              <w:snapToGrid w:val="0"/>
              <w:rPr>
                <w:rFonts w:ascii="Times New Roman" w:eastAsia="SimSun" w:hAnsi="Times New Roman" w:cs="Times New Roman"/>
                <w:b/>
                <w:sz w:val="24"/>
                <w:szCs w:val="24"/>
                <w:lang w:val="ro-RO" w:eastAsia="ar-SA"/>
              </w:rPr>
            </w:pPr>
            <w:r>
              <w:rPr>
                <w:rFonts w:ascii="Times New Roman" w:eastAsia="SimSun" w:hAnsi="Times New Roman" w:cs="Times New Roman"/>
                <w:b/>
                <w:sz w:val="24"/>
                <w:szCs w:val="24"/>
                <w:lang w:val="ro-RO" w:eastAsia="ar-SA"/>
              </w:rPr>
              <w:lastRenderedPageBreak/>
              <w:t>Complet c</w:t>
            </w:r>
            <w:r w:rsidRPr="00306809">
              <w:rPr>
                <w:rFonts w:ascii="Times New Roman" w:eastAsia="SimSun" w:hAnsi="Times New Roman" w:cs="Times New Roman"/>
                <w:b/>
                <w:sz w:val="24"/>
                <w:szCs w:val="24"/>
                <w:lang w:val="ro-RO" w:eastAsia="ar-SA"/>
              </w:rPr>
              <w:t xml:space="preserve">ompatibil </w:t>
            </w:r>
          </w:p>
        </w:tc>
        <w:tc>
          <w:tcPr>
            <w:tcW w:w="1417"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992"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347"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37488A" w:rsidRPr="00BF7AA0" w:rsidTr="00306809">
        <w:trPr>
          <w:trHeight w:val="210"/>
        </w:trPr>
        <w:tc>
          <w:tcPr>
            <w:tcW w:w="4157" w:type="dxa"/>
          </w:tcPr>
          <w:p w:rsidR="00FA2A6A" w:rsidRPr="00FA2A6A" w:rsidRDefault="00FA2A6A" w:rsidP="00FA2A6A">
            <w:pPr>
              <w:shd w:val="clear" w:color="auto" w:fill="FFFFFF"/>
              <w:spacing w:line="240" w:lineRule="atLeast"/>
              <w:jc w:val="center"/>
              <w:textAlignment w:val="baseline"/>
              <w:rPr>
                <w:rFonts w:ascii="Times New Roman" w:eastAsia="Arial Unicode MS" w:hAnsi="Times New Roman" w:cs="Times New Roman"/>
                <w:color w:val="000000" w:themeColor="text1"/>
                <w:szCs w:val="24"/>
                <w:lang w:val="ro-RO"/>
              </w:rPr>
            </w:pPr>
            <w:r w:rsidRPr="00FA2A6A">
              <w:rPr>
                <w:rFonts w:ascii="Times New Roman" w:eastAsia="Arial Unicode MS" w:hAnsi="Times New Roman" w:cs="Times New Roman"/>
                <w:color w:val="000000" w:themeColor="text1"/>
                <w:szCs w:val="24"/>
                <w:lang w:val="ro-RO"/>
              </w:rPr>
              <w:lastRenderedPageBreak/>
              <w:t>Articolul 2</w:t>
            </w:r>
          </w:p>
          <w:p w:rsidR="00FA2A6A" w:rsidRPr="00FA2A6A" w:rsidRDefault="00FA2A6A" w:rsidP="00FA2A6A">
            <w:pPr>
              <w:shd w:val="clear" w:color="auto" w:fill="FFFFFF"/>
              <w:spacing w:line="240" w:lineRule="atLeast"/>
              <w:jc w:val="both"/>
              <w:textAlignment w:val="baseline"/>
              <w:rPr>
                <w:rFonts w:ascii="Times New Roman" w:eastAsia="Arial Unicode MS" w:hAnsi="Times New Roman" w:cs="Times New Roman"/>
                <w:color w:val="000000" w:themeColor="text1"/>
                <w:szCs w:val="24"/>
                <w:lang w:val="ro-RO"/>
              </w:rPr>
            </w:pPr>
          </w:p>
          <w:p w:rsidR="0037488A" w:rsidRPr="004D349F" w:rsidRDefault="00FA2A6A" w:rsidP="00FA2A6A">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r w:rsidRPr="00FA2A6A">
              <w:rPr>
                <w:rFonts w:ascii="Times New Roman" w:eastAsia="Arial Unicode MS" w:hAnsi="Times New Roman" w:cs="Times New Roman"/>
                <w:color w:val="000000" w:themeColor="text1"/>
                <w:szCs w:val="24"/>
                <w:lang w:val="ro-RO"/>
              </w:rPr>
              <w:t>În cazul în care unul dintre testele menționate la articolul 1 al prezentei decizii se utilizează în scopurile enunțate la articolul 6 alineatul (2) litera (b) din Directiva 64/432/CEE, testul este indicat în coloana „Test” a tabelelor care figurează la punctul (3) a doua liniuță și la punctul (5) din secțiunea A a anexei F, modelul 1 (certificat de sănătate) din Directiva 64/432/CEE.</w:t>
            </w:r>
          </w:p>
        </w:tc>
        <w:tc>
          <w:tcPr>
            <w:tcW w:w="4303" w:type="dxa"/>
          </w:tcPr>
          <w:p w:rsidR="0037488A" w:rsidRPr="0000255A" w:rsidRDefault="0037488A" w:rsidP="0037488A">
            <w:pPr>
              <w:spacing w:line="240" w:lineRule="atLeast"/>
              <w:jc w:val="both"/>
              <w:rPr>
                <w:rFonts w:ascii="Times New Roman" w:eastAsia="Times New Roman" w:hAnsi="Times New Roman" w:cs="Times New Roman"/>
                <w:sz w:val="24"/>
                <w:szCs w:val="24"/>
                <w:lang w:val="ro-RO"/>
              </w:rPr>
            </w:pPr>
          </w:p>
        </w:tc>
        <w:tc>
          <w:tcPr>
            <w:tcW w:w="2280" w:type="dxa"/>
          </w:tcPr>
          <w:p w:rsidR="00306809" w:rsidRPr="00306809" w:rsidRDefault="00306809" w:rsidP="00515895">
            <w:pPr>
              <w:suppressLineNumbers/>
              <w:snapToGrid w:val="0"/>
              <w:rPr>
                <w:rFonts w:ascii="Times New Roman" w:eastAsia="SimSun" w:hAnsi="Times New Roman" w:cs="Times New Roman"/>
                <w:b/>
                <w:sz w:val="24"/>
                <w:szCs w:val="24"/>
                <w:lang w:val="ro-RO" w:eastAsia="ar-SA"/>
              </w:rPr>
            </w:pPr>
            <w:r w:rsidRPr="00306809">
              <w:rPr>
                <w:rFonts w:ascii="Times New Roman" w:eastAsia="SimSun" w:hAnsi="Times New Roman" w:cs="Times New Roman"/>
                <w:b/>
                <w:sz w:val="24"/>
                <w:szCs w:val="24"/>
                <w:lang w:val="ro-RO" w:eastAsia="ar-SA"/>
              </w:rPr>
              <w:t>Nu este compatibil, Anexa F a fost modificată complet în anul 2015</w:t>
            </w:r>
          </w:p>
        </w:tc>
        <w:tc>
          <w:tcPr>
            <w:tcW w:w="1417" w:type="dxa"/>
          </w:tcPr>
          <w:p w:rsidR="00515895" w:rsidRPr="00515895" w:rsidRDefault="00515895" w:rsidP="00515895">
            <w:pPr>
              <w:suppressLineNumbers/>
              <w:snapToGrid w:val="0"/>
              <w:rPr>
                <w:rFonts w:ascii="Times New Roman" w:eastAsia="SimSun" w:hAnsi="Times New Roman" w:cs="Times New Roman"/>
                <w:sz w:val="24"/>
                <w:szCs w:val="24"/>
                <w:lang w:val="ro-RO" w:eastAsia="ar-SA"/>
              </w:rPr>
            </w:pPr>
          </w:p>
        </w:tc>
        <w:tc>
          <w:tcPr>
            <w:tcW w:w="992" w:type="dxa"/>
          </w:tcPr>
          <w:p w:rsidR="0037488A" w:rsidRPr="00972526" w:rsidRDefault="0037488A" w:rsidP="00D27AAF">
            <w:pPr>
              <w:suppressLineNumbers/>
              <w:snapToGrid w:val="0"/>
              <w:rPr>
                <w:rFonts w:ascii="Times New Roman" w:eastAsia="SimSun" w:hAnsi="Times New Roman" w:cs="Times New Roman"/>
                <w:sz w:val="24"/>
                <w:szCs w:val="24"/>
                <w:lang w:val="en-US" w:eastAsia="ar-SA"/>
              </w:rPr>
            </w:pPr>
          </w:p>
        </w:tc>
        <w:tc>
          <w:tcPr>
            <w:tcW w:w="1347" w:type="dxa"/>
          </w:tcPr>
          <w:p w:rsidR="0037488A" w:rsidRPr="00972526" w:rsidRDefault="0037488A" w:rsidP="00D27AAF">
            <w:pPr>
              <w:suppressLineNumbers/>
              <w:snapToGrid w:val="0"/>
              <w:rPr>
                <w:rFonts w:ascii="Times New Roman" w:eastAsia="SimSun" w:hAnsi="Times New Roman" w:cs="Times New Roman"/>
                <w:sz w:val="24"/>
                <w:szCs w:val="24"/>
                <w:lang w:val="en-US" w:eastAsia="ar-SA"/>
              </w:rPr>
            </w:pPr>
          </w:p>
        </w:tc>
      </w:tr>
      <w:tr w:rsidR="00211954" w:rsidRPr="00211954" w:rsidTr="00306809">
        <w:trPr>
          <w:trHeight w:val="210"/>
        </w:trPr>
        <w:tc>
          <w:tcPr>
            <w:tcW w:w="4157" w:type="dxa"/>
          </w:tcPr>
          <w:p w:rsidR="00FA2A6A" w:rsidRPr="00FA2A6A" w:rsidRDefault="00FA2A6A" w:rsidP="00FA2A6A">
            <w:pPr>
              <w:spacing w:line="240" w:lineRule="atLeast"/>
              <w:jc w:val="center"/>
              <w:rPr>
                <w:rFonts w:ascii="Times New Roman" w:eastAsia="Times New Roman" w:hAnsi="Times New Roman" w:cs="Times New Roman"/>
                <w:szCs w:val="24"/>
                <w:lang w:val="ro-RO"/>
              </w:rPr>
            </w:pPr>
            <w:r w:rsidRPr="00FA2A6A">
              <w:rPr>
                <w:rFonts w:ascii="Times New Roman" w:eastAsia="Times New Roman" w:hAnsi="Times New Roman" w:cs="Times New Roman"/>
                <w:szCs w:val="24"/>
                <w:lang w:val="ro-RO"/>
              </w:rPr>
              <w:t>Articolul 3</w:t>
            </w:r>
          </w:p>
          <w:p w:rsidR="00FA2A6A" w:rsidRPr="00FA2A6A" w:rsidRDefault="00FA2A6A" w:rsidP="00FA2A6A">
            <w:pPr>
              <w:spacing w:line="240" w:lineRule="atLeast"/>
              <w:jc w:val="both"/>
              <w:rPr>
                <w:rFonts w:ascii="Times New Roman" w:eastAsia="Times New Roman" w:hAnsi="Times New Roman" w:cs="Times New Roman"/>
                <w:szCs w:val="24"/>
                <w:lang w:val="ro-RO"/>
              </w:rPr>
            </w:pPr>
          </w:p>
          <w:p w:rsidR="00FA2A6A" w:rsidRPr="00FA2A6A" w:rsidRDefault="00FA2A6A" w:rsidP="00FA2A6A">
            <w:pPr>
              <w:spacing w:line="240" w:lineRule="atLeast"/>
              <w:jc w:val="both"/>
              <w:rPr>
                <w:rFonts w:ascii="Times New Roman" w:eastAsia="Times New Roman" w:hAnsi="Times New Roman" w:cs="Times New Roman"/>
                <w:szCs w:val="24"/>
                <w:lang w:val="ro-RO"/>
              </w:rPr>
            </w:pPr>
            <w:r w:rsidRPr="00FA2A6A">
              <w:rPr>
                <w:rFonts w:ascii="Times New Roman" w:eastAsia="Times New Roman" w:hAnsi="Times New Roman" w:cs="Times New Roman"/>
                <w:szCs w:val="24"/>
                <w:lang w:val="ro-RO"/>
              </w:rPr>
              <w:t>Decizia 2000/330/CE se abrogă.</w:t>
            </w:r>
          </w:p>
          <w:p w:rsidR="00FA2A6A" w:rsidRPr="00FA2A6A" w:rsidRDefault="00FA2A6A" w:rsidP="00FA2A6A">
            <w:pPr>
              <w:spacing w:line="240" w:lineRule="atLeast"/>
              <w:jc w:val="both"/>
              <w:rPr>
                <w:rFonts w:ascii="Times New Roman" w:eastAsia="Times New Roman" w:hAnsi="Times New Roman" w:cs="Times New Roman"/>
                <w:szCs w:val="24"/>
                <w:lang w:val="ro-RO"/>
              </w:rPr>
            </w:pPr>
          </w:p>
          <w:p w:rsidR="00211954" w:rsidRPr="00FA2A6A" w:rsidRDefault="00FA2A6A" w:rsidP="00FA2A6A">
            <w:pPr>
              <w:spacing w:line="240" w:lineRule="atLeast"/>
              <w:jc w:val="both"/>
              <w:rPr>
                <w:rFonts w:ascii="Times New Roman" w:eastAsia="Times New Roman" w:hAnsi="Times New Roman" w:cs="Times New Roman"/>
                <w:szCs w:val="24"/>
                <w:lang w:val="ro-RO"/>
              </w:rPr>
            </w:pPr>
            <w:r w:rsidRPr="00FA2A6A">
              <w:rPr>
                <w:rFonts w:ascii="Times New Roman" w:eastAsia="Times New Roman" w:hAnsi="Times New Roman" w:cs="Times New Roman"/>
                <w:szCs w:val="24"/>
                <w:lang w:val="ro-RO"/>
              </w:rPr>
              <w:t>Trimiterile la decizia abrogată se interpretează ca trimiteri la prezenta decizie și se citesc în conformitate cu tabelul de corespondență din anexa II.</w:t>
            </w:r>
          </w:p>
        </w:tc>
        <w:tc>
          <w:tcPr>
            <w:tcW w:w="4303" w:type="dxa"/>
          </w:tcPr>
          <w:p w:rsidR="00211954" w:rsidRPr="00211954" w:rsidRDefault="00211954" w:rsidP="00211954">
            <w:pPr>
              <w:spacing w:line="240" w:lineRule="atLeast"/>
              <w:jc w:val="both"/>
              <w:rPr>
                <w:rFonts w:ascii="Times New Roman" w:eastAsia="SimSun" w:hAnsi="Times New Roman" w:cs="Times New Roman"/>
                <w:sz w:val="24"/>
                <w:szCs w:val="24"/>
                <w:lang w:val="ro-RO" w:eastAsia="ar-SA"/>
              </w:rPr>
            </w:pPr>
          </w:p>
        </w:tc>
        <w:tc>
          <w:tcPr>
            <w:tcW w:w="2280" w:type="dxa"/>
          </w:tcPr>
          <w:p w:rsidR="00211954" w:rsidRDefault="00306809" w:rsidP="00D27AAF">
            <w:pPr>
              <w:suppressLineNumbers/>
              <w:snapToGrid w:val="0"/>
              <w:rPr>
                <w:rFonts w:ascii="Times New Roman" w:eastAsia="SimSun" w:hAnsi="Times New Roman" w:cs="Times New Roman"/>
                <w:sz w:val="24"/>
                <w:szCs w:val="24"/>
                <w:lang w:val="en-US" w:eastAsia="ar-SA"/>
              </w:rPr>
            </w:pPr>
            <w:r>
              <w:rPr>
                <w:rFonts w:ascii="Times New Roman" w:eastAsia="SimSun" w:hAnsi="Times New Roman" w:cs="Times New Roman"/>
                <w:sz w:val="24"/>
                <w:szCs w:val="24"/>
                <w:lang w:val="en-US" w:eastAsia="ar-SA"/>
              </w:rPr>
              <w:t>Nu este compatibil</w:t>
            </w:r>
          </w:p>
        </w:tc>
        <w:tc>
          <w:tcPr>
            <w:tcW w:w="1417" w:type="dxa"/>
          </w:tcPr>
          <w:p w:rsidR="00211954" w:rsidRPr="00972526" w:rsidRDefault="00211954" w:rsidP="00D27AAF">
            <w:pPr>
              <w:suppressLineNumbers/>
              <w:snapToGrid w:val="0"/>
              <w:rPr>
                <w:rFonts w:ascii="Times New Roman" w:eastAsia="SimSun" w:hAnsi="Times New Roman" w:cs="Times New Roman"/>
                <w:sz w:val="24"/>
                <w:szCs w:val="24"/>
                <w:lang w:val="en-US" w:eastAsia="ar-SA"/>
              </w:rPr>
            </w:pPr>
          </w:p>
        </w:tc>
        <w:tc>
          <w:tcPr>
            <w:tcW w:w="992" w:type="dxa"/>
          </w:tcPr>
          <w:p w:rsidR="00211954" w:rsidRPr="00972526" w:rsidRDefault="00211954" w:rsidP="00D27AAF">
            <w:pPr>
              <w:suppressLineNumbers/>
              <w:snapToGrid w:val="0"/>
              <w:rPr>
                <w:rFonts w:ascii="Times New Roman" w:eastAsia="SimSun" w:hAnsi="Times New Roman" w:cs="Times New Roman"/>
                <w:sz w:val="24"/>
                <w:szCs w:val="24"/>
                <w:lang w:val="en-US" w:eastAsia="ar-SA"/>
              </w:rPr>
            </w:pPr>
          </w:p>
        </w:tc>
        <w:tc>
          <w:tcPr>
            <w:tcW w:w="1347" w:type="dxa"/>
          </w:tcPr>
          <w:p w:rsidR="00211954" w:rsidRPr="00972526" w:rsidRDefault="00211954" w:rsidP="00D27AAF">
            <w:pPr>
              <w:suppressLineNumbers/>
              <w:snapToGrid w:val="0"/>
              <w:rPr>
                <w:rFonts w:ascii="Times New Roman" w:eastAsia="SimSun" w:hAnsi="Times New Roman" w:cs="Times New Roman"/>
                <w:sz w:val="24"/>
                <w:szCs w:val="24"/>
                <w:lang w:val="en-US" w:eastAsia="ar-SA"/>
              </w:rPr>
            </w:pPr>
          </w:p>
        </w:tc>
      </w:tr>
      <w:tr w:rsidR="00D27AAF" w:rsidRPr="00741890" w:rsidTr="00306809">
        <w:trPr>
          <w:trHeight w:val="210"/>
        </w:trPr>
        <w:tc>
          <w:tcPr>
            <w:tcW w:w="4157" w:type="dxa"/>
          </w:tcPr>
          <w:p w:rsidR="00FA2A6A" w:rsidRPr="00FA2A6A" w:rsidRDefault="00FA2A6A" w:rsidP="00FA2A6A">
            <w:pPr>
              <w:shd w:val="clear" w:color="auto" w:fill="FFFFFF"/>
              <w:spacing w:line="240" w:lineRule="atLeast"/>
              <w:jc w:val="center"/>
              <w:textAlignment w:val="baseline"/>
              <w:rPr>
                <w:rFonts w:ascii="Times New Roman" w:eastAsia="Arial Unicode MS" w:hAnsi="Times New Roman" w:cs="Times New Roman"/>
                <w:color w:val="000000" w:themeColor="text1"/>
                <w:szCs w:val="24"/>
                <w:lang w:val="en-US"/>
              </w:rPr>
            </w:pPr>
            <w:r w:rsidRPr="00FA2A6A">
              <w:rPr>
                <w:rFonts w:ascii="Times New Roman" w:eastAsia="Arial Unicode MS" w:hAnsi="Times New Roman" w:cs="Times New Roman"/>
                <w:color w:val="000000" w:themeColor="text1"/>
                <w:szCs w:val="24"/>
                <w:lang w:val="en-US"/>
              </w:rPr>
              <w:t>Articolul 4</w:t>
            </w:r>
          </w:p>
          <w:p w:rsidR="00FA2A6A" w:rsidRPr="00FA2A6A" w:rsidRDefault="00FA2A6A" w:rsidP="00FA2A6A">
            <w:pPr>
              <w:shd w:val="clear" w:color="auto" w:fill="FFFFFF"/>
              <w:spacing w:line="240" w:lineRule="atLeast"/>
              <w:jc w:val="both"/>
              <w:textAlignment w:val="baseline"/>
              <w:rPr>
                <w:rFonts w:ascii="Times New Roman" w:eastAsia="Arial Unicode MS" w:hAnsi="Times New Roman" w:cs="Times New Roman"/>
                <w:color w:val="000000" w:themeColor="text1"/>
                <w:szCs w:val="24"/>
                <w:lang w:val="en-US"/>
              </w:rPr>
            </w:pPr>
          </w:p>
          <w:p w:rsidR="00D27AAF" w:rsidRPr="00FA2A6A" w:rsidRDefault="00FA2A6A" w:rsidP="00FA2A6A">
            <w:pPr>
              <w:shd w:val="clear" w:color="auto" w:fill="FFFFFF"/>
              <w:spacing w:line="240" w:lineRule="atLeast"/>
              <w:jc w:val="both"/>
              <w:textAlignment w:val="baseline"/>
              <w:rPr>
                <w:rFonts w:ascii="Times New Roman" w:eastAsia="Arial Unicode MS" w:hAnsi="Times New Roman" w:cs="Times New Roman"/>
                <w:color w:val="000000" w:themeColor="text1"/>
                <w:szCs w:val="24"/>
                <w:lang w:val="en-US"/>
              </w:rPr>
            </w:pPr>
            <w:r w:rsidRPr="00FA2A6A">
              <w:rPr>
                <w:rFonts w:ascii="Times New Roman" w:eastAsia="Arial Unicode MS" w:hAnsi="Times New Roman" w:cs="Times New Roman"/>
                <w:color w:val="000000" w:themeColor="text1"/>
                <w:szCs w:val="24"/>
                <w:lang w:val="en-US"/>
              </w:rPr>
              <w:t>Prezenta decizie se adresează statelor membre.</w:t>
            </w:r>
          </w:p>
        </w:tc>
        <w:tc>
          <w:tcPr>
            <w:tcW w:w="4303" w:type="dxa"/>
          </w:tcPr>
          <w:p w:rsidR="00D27AAF" w:rsidRPr="000C7BFA" w:rsidRDefault="00D27AAF" w:rsidP="000C7BFA">
            <w:pPr>
              <w:spacing w:line="240" w:lineRule="atLeast"/>
              <w:ind w:firstLine="708"/>
              <w:jc w:val="both"/>
              <w:rPr>
                <w:rFonts w:ascii="Times New Roman" w:hAnsi="Times New Roman" w:cs="Times New Roman"/>
                <w:sz w:val="24"/>
                <w:szCs w:val="24"/>
                <w:lang w:val="ro-RO"/>
              </w:rPr>
            </w:pPr>
          </w:p>
        </w:tc>
        <w:tc>
          <w:tcPr>
            <w:tcW w:w="2280" w:type="dxa"/>
          </w:tcPr>
          <w:p w:rsidR="00D27AAF" w:rsidRPr="00886458" w:rsidRDefault="00306809"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Nu este compatibil</w:t>
            </w:r>
          </w:p>
        </w:tc>
        <w:tc>
          <w:tcPr>
            <w:tcW w:w="1417" w:type="dxa"/>
          </w:tcPr>
          <w:p w:rsidR="00D27AAF" w:rsidRPr="00741890" w:rsidRDefault="00D27AAF" w:rsidP="00D27AAF">
            <w:pPr>
              <w:suppressLineNumbers/>
              <w:snapToGrid w:val="0"/>
              <w:rPr>
                <w:rFonts w:ascii="Times New Roman" w:eastAsia="SimSun" w:hAnsi="Times New Roman" w:cs="Times New Roman"/>
                <w:sz w:val="24"/>
                <w:szCs w:val="24"/>
                <w:lang w:eastAsia="ar-SA"/>
              </w:rPr>
            </w:pPr>
          </w:p>
        </w:tc>
        <w:tc>
          <w:tcPr>
            <w:tcW w:w="992" w:type="dxa"/>
          </w:tcPr>
          <w:p w:rsidR="00D27AAF" w:rsidRPr="00741890" w:rsidRDefault="00D27AAF" w:rsidP="00D27AAF">
            <w:pPr>
              <w:suppressLineNumbers/>
              <w:snapToGrid w:val="0"/>
              <w:rPr>
                <w:rFonts w:ascii="Times New Roman" w:eastAsia="SimSun" w:hAnsi="Times New Roman" w:cs="Times New Roman"/>
                <w:sz w:val="24"/>
                <w:szCs w:val="24"/>
                <w:lang w:eastAsia="ar-SA"/>
              </w:rPr>
            </w:pPr>
          </w:p>
        </w:tc>
        <w:tc>
          <w:tcPr>
            <w:tcW w:w="1347" w:type="dxa"/>
          </w:tcPr>
          <w:p w:rsidR="00D27AAF" w:rsidRPr="00741890" w:rsidRDefault="00D27AAF" w:rsidP="00D27AAF">
            <w:pPr>
              <w:suppressLineNumbers/>
              <w:snapToGrid w:val="0"/>
              <w:rPr>
                <w:rFonts w:ascii="Times New Roman" w:eastAsia="SimSun" w:hAnsi="Times New Roman" w:cs="Times New Roman"/>
                <w:sz w:val="24"/>
                <w:szCs w:val="24"/>
                <w:lang w:eastAsia="ar-SA"/>
              </w:rPr>
            </w:pPr>
          </w:p>
        </w:tc>
      </w:tr>
      <w:tr w:rsidR="00D27AAF" w:rsidRPr="00741890" w:rsidTr="00561054">
        <w:trPr>
          <w:trHeight w:val="210"/>
        </w:trPr>
        <w:tc>
          <w:tcPr>
            <w:tcW w:w="4157" w:type="dxa"/>
            <w:shd w:val="clear" w:color="auto" w:fill="D9D9D9" w:themeFill="background1" w:themeFillShade="D9"/>
          </w:tcPr>
          <w:p w:rsidR="00D27AAF" w:rsidRPr="00561054" w:rsidRDefault="00306809" w:rsidP="004D349F">
            <w:pPr>
              <w:shd w:val="clear" w:color="auto" w:fill="FFFFFF"/>
              <w:spacing w:line="240" w:lineRule="atLeast"/>
              <w:jc w:val="both"/>
              <w:textAlignment w:val="baseline"/>
              <w:rPr>
                <w:rFonts w:ascii="Times New Roman" w:eastAsia="Arial Unicode MS" w:hAnsi="Times New Roman" w:cs="Times New Roman"/>
                <w:b/>
                <w:color w:val="000000" w:themeColor="text1"/>
                <w:sz w:val="24"/>
                <w:szCs w:val="24"/>
                <w:lang w:val="en-US"/>
              </w:rPr>
            </w:pPr>
            <w:r w:rsidRPr="00561054">
              <w:rPr>
                <w:rFonts w:ascii="Times New Roman" w:eastAsia="Arial Unicode MS" w:hAnsi="Times New Roman" w:cs="Times New Roman"/>
                <w:b/>
                <w:color w:val="000000" w:themeColor="text1"/>
                <w:sz w:val="24"/>
                <w:szCs w:val="24"/>
                <w:lang w:val="en-US"/>
              </w:rPr>
              <w:t xml:space="preserve">Regulamentul 2017/1495 din 23 </w:t>
            </w:r>
            <w:r w:rsidRPr="00561054">
              <w:rPr>
                <w:rFonts w:ascii="Times New Roman" w:eastAsia="Arial Unicode MS" w:hAnsi="Times New Roman" w:cs="Times New Roman"/>
                <w:b/>
                <w:color w:val="000000" w:themeColor="text1"/>
                <w:sz w:val="24"/>
                <w:szCs w:val="24"/>
                <w:lang w:val="en-US"/>
              </w:rPr>
              <w:lastRenderedPageBreak/>
              <w:t>august 2017 de modificare a Regulamentului (CE) nr. 2073/2005 în ceea ce privește Campylobacter în carcasele de pui pentru îngrășare</w:t>
            </w:r>
          </w:p>
        </w:tc>
        <w:tc>
          <w:tcPr>
            <w:tcW w:w="4303" w:type="dxa"/>
            <w:shd w:val="clear" w:color="auto" w:fill="FFFFFF" w:themeFill="background1"/>
          </w:tcPr>
          <w:p w:rsidR="00D27AAF" w:rsidRPr="00561054" w:rsidRDefault="00306809" w:rsidP="00F57DD3">
            <w:pPr>
              <w:suppressLineNumbers/>
              <w:snapToGrid w:val="0"/>
              <w:jc w:val="both"/>
              <w:rPr>
                <w:rFonts w:ascii="Times New Roman" w:eastAsia="SimSun" w:hAnsi="Times New Roman" w:cs="Times New Roman"/>
                <w:b/>
                <w:sz w:val="24"/>
                <w:szCs w:val="24"/>
                <w:lang w:val="ro-RO" w:eastAsia="ar-SA"/>
              </w:rPr>
            </w:pPr>
            <w:r w:rsidRPr="00561054">
              <w:rPr>
                <w:rFonts w:ascii="Times New Roman" w:eastAsia="SimSun" w:hAnsi="Times New Roman" w:cs="Times New Roman"/>
                <w:b/>
                <w:sz w:val="24"/>
                <w:szCs w:val="24"/>
                <w:lang w:val="ro-RO" w:eastAsia="ar-SA"/>
              </w:rPr>
              <w:lastRenderedPageBreak/>
              <w:t xml:space="preserve">Hotărîrea de Guvern nr. 221/2009 cu </w:t>
            </w:r>
            <w:r w:rsidRPr="00561054">
              <w:rPr>
                <w:rFonts w:ascii="Times New Roman" w:eastAsia="SimSun" w:hAnsi="Times New Roman" w:cs="Times New Roman"/>
                <w:b/>
                <w:sz w:val="24"/>
                <w:szCs w:val="24"/>
                <w:lang w:val="ro-RO" w:eastAsia="ar-SA"/>
              </w:rPr>
              <w:lastRenderedPageBreak/>
              <w:t>privire la aprobarea Regulilor privind criteriile microbiologice pentru produsele alimentare</w:t>
            </w:r>
          </w:p>
        </w:tc>
        <w:tc>
          <w:tcPr>
            <w:tcW w:w="2280" w:type="dxa"/>
            <w:shd w:val="clear" w:color="auto" w:fill="FFFFFF" w:themeFill="background1"/>
          </w:tcPr>
          <w:p w:rsidR="00D27AAF" w:rsidRPr="00886458" w:rsidRDefault="00D27AAF" w:rsidP="00D27AAF">
            <w:pPr>
              <w:suppressLineNumbers/>
              <w:snapToGrid w:val="0"/>
              <w:rPr>
                <w:rFonts w:ascii="Times New Roman" w:eastAsia="SimSun" w:hAnsi="Times New Roman" w:cs="Times New Roman"/>
                <w:sz w:val="24"/>
                <w:szCs w:val="24"/>
                <w:lang w:val="ro-RO" w:eastAsia="ar-SA"/>
              </w:rPr>
            </w:pPr>
          </w:p>
        </w:tc>
        <w:tc>
          <w:tcPr>
            <w:tcW w:w="1417" w:type="dxa"/>
            <w:shd w:val="clear" w:color="auto" w:fill="FFFFFF" w:themeFill="background1"/>
          </w:tcPr>
          <w:p w:rsidR="00D27AAF" w:rsidRPr="00741890" w:rsidRDefault="00D27AAF" w:rsidP="00D27AAF">
            <w:pPr>
              <w:suppressLineNumbers/>
              <w:snapToGrid w:val="0"/>
              <w:rPr>
                <w:rFonts w:ascii="Times New Roman" w:eastAsia="SimSun" w:hAnsi="Times New Roman" w:cs="Times New Roman"/>
                <w:sz w:val="24"/>
                <w:szCs w:val="24"/>
                <w:lang w:eastAsia="ar-SA"/>
              </w:rPr>
            </w:pPr>
          </w:p>
        </w:tc>
        <w:tc>
          <w:tcPr>
            <w:tcW w:w="992" w:type="dxa"/>
            <w:shd w:val="clear" w:color="auto" w:fill="FFFFFF" w:themeFill="background1"/>
          </w:tcPr>
          <w:p w:rsidR="00D27AAF" w:rsidRPr="00741890" w:rsidRDefault="00D27AAF" w:rsidP="00D27AAF">
            <w:pPr>
              <w:suppressLineNumbers/>
              <w:snapToGrid w:val="0"/>
              <w:rPr>
                <w:rFonts w:ascii="Times New Roman" w:eastAsia="SimSun" w:hAnsi="Times New Roman" w:cs="Times New Roman"/>
                <w:sz w:val="24"/>
                <w:szCs w:val="24"/>
                <w:lang w:eastAsia="ar-SA"/>
              </w:rPr>
            </w:pPr>
          </w:p>
        </w:tc>
        <w:tc>
          <w:tcPr>
            <w:tcW w:w="1347" w:type="dxa"/>
            <w:shd w:val="clear" w:color="auto" w:fill="FFFFFF" w:themeFill="background1"/>
          </w:tcPr>
          <w:p w:rsidR="00D27AAF" w:rsidRPr="00741890" w:rsidRDefault="00D27AAF" w:rsidP="00D27AAF">
            <w:pPr>
              <w:suppressLineNumbers/>
              <w:snapToGrid w:val="0"/>
              <w:rPr>
                <w:rFonts w:ascii="Times New Roman" w:eastAsia="SimSun" w:hAnsi="Times New Roman" w:cs="Times New Roman"/>
                <w:sz w:val="24"/>
                <w:szCs w:val="24"/>
                <w:lang w:eastAsia="ar-SA"/>
              </w:rPr>
            </w:pPr>
          </w:p>
        </w:tc>
      </w:tr>
      <w:tr w:rsidR="00F57DD3" w:rsidRPr="00F57DD3" w:rsidTr="00306809">
        <w:trPr>
          <w:trHeight w:val="210"/>
        </w:trPr>
        <w:tc>
          <w:tcPr>
            <w:tcW w:w="4157" w:type="dxa"/>
          </w:tcPr>
          <w:p w:rsidR="00561054" w:rsidRPr="00561054" w:rsidRDefault="00561054" w:rsidP="00561054">
            <w:pPr>
              <w:shd w:val="clear" w:color="auto" w:fill="FFFFFF"/>
              <w:spacing w:line="240" w:lineRule="atLeast"/>
              <w:jc w:val="center"/>
              <w:textAlignment w:val="baseline"/>
              <w:rPr>
                <w:rFonts w:ascii="Times New Roman" w:eastAsia="Arial Unicode MS" w:hAnsi="Times New Roman" w:cs="Times New Roman"/>
                <w:color w:val="000000" w:themeColor="text1"/>
                <w:szCs w:val="24"/>
                <w:lang w:val="ro-RO"/>
              </w:rPr>
            </w:pPr>
            <w:r w:rsidRPr="00561054">
              <w:rPr>
                <w:rFonts w:ascii="Times New Roman" w:eastAsia="Arial Unicode MS" w:hAnsi="Times New Roman" w:cs="Times New Roman"/>
                <w:color w:val="000000" w:themeColor="text1"/>
                <w:szCs w:val="24"/>
                <w:lang w:val="ro-RO"/>
              </w:rPr>
              <w:lastRenderedPageBreak/>
              <w:t>Articolul 1</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Cs w:val="24"/>
                <w:lang w:val="ro-RO"/>
              </w:rPr>
            </w:pPr>
          </w:p>
          <w:p w:rsidR="00F57DD3" w:rsidRPr="004D349F"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r w:rsidRPr="00561054">
              <w:rPr>
                <w:rFonts w:ascii="Times New Roman" w:eastAsia="Arial Unicode MS" w:hAnsi="Times New Roman" w:cs="Times New Roman"/>
                <w:color w:val="000000" w:themeColor="text1"/>
                <w:szCs w:val="24"/>
                <w:lang w:val="ro-RO"/>
              </w:rPr>
              <w:t>Anexa I la Regulamentul (CE) nr. 2073/2005 se modifică în conformitate cu anexa la prezentul regulament.</w:t>
            </w:r>
          </w:p>
        </w:tc>
        <w:tc>
          <w:tcPr>
            <w:tcW w:w="4303" w:type="dxa"/>
          </w:tcPr>
          <w:p w:rsidR="00F57DD3" w:rsidRPr="00F57DD3" w:rsidRDefault="00F57DD3" w:rsidP="00FD4E7E">
            <w:pPr>
              <w:suppressLineNumbers/>
              <w:snapToGrid w:val="0"/>
              <w:jc w:val="both"/>
              <w:rPr>
                <w:rFonts w:ascii="Times New Roman" w:eastAsia="SimSun" w:hAnsi="Times New Roman" w:cs="Times New Roman"/>
                <w:sz w:val="24"/>
                <w:szCs w:val="24"/>
                <w:lang w:val="ro-RO" w:eastAsia="ar-SA"/>
              </w:rPr>
            </w:pPr>
          </w:p>
        </w:tc>
        <w:tc>
          <w:tcPr>
            <w:tcW w:w="2280" w:type="dxa"/>
          </w:tcPr>
          <w:p w:rsidR="00F57DD3" w:rsidRDefault="00F57DD3" w:rsidP="00D27AAF">
            <w:pPr>
              <w:suppressLineNumbers/>
              <w:snapToGrid w:val="0"/>
              <w:rPr>
                <w:rFonts w:ascii="Times New Roman" w:eastAsia="SimSun" w:hAnsi="Times New Roman" w:cs="Times New Roman"/>
                <w:sz w:val="24"/>
                <w:szCs w:val="24"/>
                <w:lang w:val="ro-RO" w:eastAsia="ar-SA"/>
              </w:rPr>
            </w:pPr>
          </w:p>
        </w:tc>
        <w:tc>
          <w:tcPr>
            <w:tcW w:w="1417" w:type="dxa"/>
          </w:tcPr>
          <w:p w:rsidR="00F57DD3" w:rsidRPr="00F57DD3" w:rsidRDefault="00F57DD3" w:rsidP="00D27AAF">
            <w:pPr>
              <w:suppressLineNumbers/>
              <w:snapToGrid w:val="0"/>
              <w:rPr>
                <w:rFonts w:ascii="Times New Roman" w:eastAsia="SimSun" w:hAnsi="Times New Roman" w:cs="Times New Roman"/>
                <w:sz w:val="24"/>
                <w:szCs w:val="24"/>
                <w:lang w:val="en-US" w:eastAsia="ar-SA"/>
              </w:rPr>
            </w:pPr>
          </w:p>
        </w:tc>
        <w:tc>
          <w:tcPr>
            <w:tcW w:w="992" w:type="dxa"/>
          </w:tcPr>
          <w:p w:rsidR="00F57DD3" w:rsidRPr="00F57DD3" w:rsidRDefault="00F57DD3" w:rsidP="00D27AAF">
            <w:pPr>
              <w:suppressLineNumbers/>
              <w:snapToGrid w:val="0"/>
              <w:rPr>
                <w:rFonts w:ascii="Times New Roman" w:eastAsia="SimSun" w:hAnsi="Times New Roman" w:cs="Times New Roman"/>
                <w:sz w:val="24"/>
                <w:szCs w:val="24"/>
                <w:lang w:val="en-US" w:eastAsia="ar-SA"/>
              </w:rPr>
            </w:pPr>
          </w:p>
        </w:tc>
        <w:tc>
          <w:tcPr>
            <w:tcW w:w="1347" w:type="dxa"/>
          </w:tcPr>
          <w:p w:rsidR="00F57DD3" w:rsidRPr="00F57DD3" w:rsidRDefault="00F57DD3" w:rsidP="00D27AAF">
            <w:pPr>
              <w:suppressLineNumbers/>
              <w:snapToGrid w:val="0"/>
              <w:rPr>
                <w:rFonts w:ascii="Times New Roman" w:eastAsia="SimSun" w:hAnsi="Times New Roman" w:cs="Times New Roman"/>
                <w:sz w:val="24"/>
                <w:szCs w:val="24"/>
                <w:lang w:val="en-US" w:eastAsia="ar-SA"/>
              </w:rPr>
            </w:pPr>
          </w:p>
        </w:tc>
      </w:tr>
      <w:tr w:rsidR="00D27AAF" w:rsidRPr="00D23582" w:rsidTr="00306809">
        <w:trPr>
          <w:trHeight w:val="210"/>
        </w:trPr>
        <w:tc>
          <w:tcPr>
            <w:tcW w:w="4157" w:type="dxa"/>
          </w:tcPr>
          <w:p w:rsidR="00561054" w:rsidRPr="00561054" w:rsidRDefault="00561054" w:rsidP="00561054">
            <w:pPr>
              <w:shd w:val="clear" w:color="auto" w:fill="FFFFFF"/>
              <w:spacing w:line="240" w:lineRule="atLeast"/>
              <w:jc w:val="center"/>
              <w:textAlignment w:val="baseline"/>
              <w:rPr>
                <w:rFonts w:ascii="Times New Roman" w:eastAsia="Arial Unicode MS" w:hAnsi="Times New Roman" w:cs="Times New Roman"/>
                <w:color w:val="444444"/>
                <w:szCs w:val="28"/>
                <w:lang w:val="en-US"/>
              </w:rPr>
            </w:pPr>
            <w:r w:rsidRPr="00561054">
              <w:rPr>
                <w:rFonts w:ascii="Times New Roman" w:eastAsia="Arial Unicode MS" w:hAnsi="Times New Roman" w:cs="Times New Roman"/>
                <w:color w:val="444444"/>
                <w:szCs w:val="28"/>
                <w:lang w:val="en-US"/>
              </w:rPr>
              <w:t>Articolul 2</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444444"/>
                <w:szCs w:val="28"/>
                <w:lang w:val="en-US"/>
              </w:rPr>
            </w:pPr>
          </w:p>
          <w:p w:rsidR="00D27AAF"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444444"/>
                <w:szCs w:val="28"/>
                <w:lang w:val="en-US"/>
              </w:rPr>
            </w:pPr>
            <w:r w:rsidRPr="00561054">
              <w:rPr>
                <w:rFonts w:ascii="Times New Roman" w:eastAsia="Arial Unicode MS" w:hAnsi="Times New Roman" w:cs="Times New Roman"/>
                <w:color w:val="444444"/>
                <w:szCs w:val="28"/>
                <w:lang w:val="en-US"/>
              </w:rPr>
              <w:t>Prezentul regulament intră în vigoare în a douăzecea zi de la data publicării în Jurnal</w:t>
            </w:r>
            <w:r>
              <w:rPr>
                <w:rFonts w:ascii="Times New Roman" w:eastAsia="Arial Unicode MS" w:hAnsi="Times New Roman" w:cs="Times New Roman"/>
                <w:color w:val="444444"/>
                <w:szCs w:val="28"/>
                <w:lang w:val="en-US"/>
              </w:rPr>
              <w:t>ul Oficial al Uniunii Europene.</w:t>
            </w:r>
          </w:p>
        </w:tc>
        <w:tc>
          <w:tcPr>
            <w:tcW w:w="4303" w:type="dxa"/>
          </w:tcPr>
          <w:p w:rsidR="00D27AAF" w:rsidRPr="003F2A16" w:rsidRDefault="00D27AAF" w:rsidP="00ED7A1A">
            <w:pPr>
              <w:tabs>
                <w:tab w:val="left" w:pos="2740"/>
              </w:tabs>
              <w:spacing w:line="240" w:lineRule="atLeast"/>
              <w:jc w:val="both"/>
              <w:rPr>
                <w:rFonts w:ascii="Times New Roman" w:eastAsia="Times New Roman" w:hAnsi="Times New Roman" w:cs="Times New Roman"/>
                <w:sz w:val="24"/>
                <w:szCs w:val="24"/>
                <w:lang w:val="ro-RO"/>
              </w:rPr>
            </w:pPr>
          </w:p>
        </w:tc>
        <w:tc>
          <w:tcPr>
            <w:tcW w:w="2280" w:type="dxa"/>
          </w:tcPr>
          <w:p w:rsidR="00D27AAF" w:rsidRPr="00970E0D" w:rsidRDefault="00D27AAF" w:rsidP="00D27AAF">
            <w:pPr>
              <w:suppressLineNumbers/>
              <w:snapToGrid w:val="0"/>
              <w:rPr>
                <w:rFonts w:ascii="Times New Roman" w:eastAsia="SimSun" w:hAnsi="Times New Roman" w:cs="Times New Roman"/>
                <w:sz w:val="24"/>
                <w:szCs w:val="24"/>
                <w:lang w:val="ro-RO" w:eastAsia="ar-SA"/>
              </w:rPr>
            </w:pPr>
          </w:p>
        </w:tc>
        <w:tc>
          <w:tcPr>
            <w:tcW w:w="1417"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992"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c>
          <w:tcPr>
            <w:tcW w:w="1347" w:type="dxa"/>
          </w:tcPr>
          <w:p w:rsidR="00D27AAF" w:rsidRPr="00972526" w:rsidRDefault="00D27AAF" w:rsidP="00D27AAF">
            <w:pPr>
              <w:suppressLineNumbers/>
              <w:snapToGrid w:val="0"/>
              <w:rPr>
                <w:rFonts w:ascii="Times New Roman" w:eastAsia="SimSun" w:hAnsi="Times New Roman" w:cs="Times New Roman"/>
                <w:sz w:val="24"/>
                <w:szCs w:val="24"/>
                <w:lang w:val="en-US" w:eastAsia="ar-SA"/>
              </w:rPr>
            </w:pPr>
          </w:p>
        </w:tc>
      </w:tr>
      <w:tr w:rsidR="00ED7A1A" w:rsidRPr="00ED7A1A" w:rsidTr="00306809">
        <w:trPr>
          <w:trHeight w:val="210"/>
        </w:trPr>
        <w:tc>
          <w:tcPr>
            <w:tcW w:w="4157" w:type="dxa"/>
          </w:tcPr>
          <w:p w:rsidR="00561054" w:rsidRPr="00561054" w:rsidRDefault="00561054" w:rsidP="00561054">
            <w:pPr>
              <w:shd w:val="clear" w:color="auto" w:fill="FFFFFF"/>
              <w:spacing w:line="240" w:lineRule="atLeast"/>
              <w:jc w:val="center"/>
              <w:textAlignment w:val="baseline"/>
              <w:rPr>
                <w:rFonts w:ascii="Times New Roman" w:eastAsia="Arial Unicode MS" w:hAnsi="Times New Roman" w:cs="Times New Roman"/>
                <w:color w:val="000000" w:themeColor="text1"/>
                <w:sz w:val="24"/>
                <w:szCs w:val="24"/>
                <w:lang w:val="ro-RO"/>
              </w:rPr>
            </w:pPr>
            <w:r w:rsidRPr="00561054">
              <w:rPr>
                <w:rFonts w:ascii="Times New Roman" w:eastAsia="Arial Unicode MS" w:hAnsi="Times New Roman" w:cs="Times New Roman"/>
                <w:color w:val="000000" w:themeColor="text1"/>
                <w:sz w:val="24"/>
                <w:szCs w:val="24"/>
                <w:lang w:val="ro-RO"/>
              </w:rPr>
              <w:t>ANEXĂ</w:t>
            </w:r>
          </w:p>
          <w:p w:rsidR="00561054" w:rsidRP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ro-RO"/>
              </w:rPr>
            </w:pPr>
          </w:p>
          <w:p w:rsidR="00561054" w:rsidRP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ro-RO"/>
              </w:rPr>
            </w:pPr>
            <w:r w:rsidRPr="00561054">
              <w:rPr>
                <w:rFonts w:ascii="Times New Roman" w:eastAsia="Arial Unicode MS" w:hAnsi="Times New Roman" w:cs="Times New Roman"/>
                <w:color w:val="000000" w:themeColor="text1"/>
                <w:sz w:val="24"/>
                <w:szCs w:val="24"/>
                <w:lang w:val="ro-RO"/>
              </w:rPr>
              <w:t>Anexa I la Regulamentul (CE) nr. 2073/200</w:t>
            </w:r>
            <w:r>
              <w:rPr>
                <w:rFonts w:ascii="Times New Roman" w:eastAsia="Arial Unicode MS" w:hAnsi="Times New Roman" w:cs="Times New Roman"/>
                <w:color w:val="000000" w:themeColor="text1"/>
                <w:sz w:val="24"/>
                <w:szCs w:val="24"/>
                <w:lang w:val="ro-RO"/>
              </w:rPr>
              <w:t>5 se modifică după cum urmează:</w:t>
            </w:r>
          </w:p>
          <w:p w:rsidR="00561054" w:rsidRP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ro-RO"/>
              </w:rPr>
            </w:pPr>
            <w:r>
              <w:rPr>
                <w:rFonts w:ascii="Times New Roman" w:eastAsia="Arial Unicode MS" w:hAnsi="Times New Roman" w:cs="Times New Roman"/>
                <w:color w:val="000000" w:themeColor="text1"/>
                <w:sz w:val="24"/>
                <w:szCs w:val="24"/>
                <w:lang w:val="ro-RO"/>
              </w:rPr>
              <w:t>1.</w:t>
            </w:r>
            <w:r w:rsidRPr="00561054">
              <w:rPr>
                <w:rFonts w:ascii="Times New Roman" w:eastAsia="Arial Unicode MS" w:hAnsi="Times New Roman" w:cs="Times New Roman"/>
                <w:color w:val="000000" w:themeColor="text1"/>
                <w:sz w:val="24"/>
                <w:szCs w:val="24"/>
                <w:lang w:val="ro-RO"/>
              </w:rPr>
              <w:t>La capitolul 2, secțiunea 2.</w:t>
            </w:r>
            <w:r>
              <w:rPr>
                <w:rFonts w:ascii="Times New Roman" w:eastAsia="Arial Unicode MS" w:hAnsi="Times New Roman" w:cs="Times New Roman"/>
                <w:color w:val="000000" w:themeColor="text1"/>
                <w:sz w:val="24"/>
                <w:szCs w:val="24"/>
                <w:lang w:val="ro-RO"/>
              </w:rPr>
              <w:t>1 se modifică după cum urmează:</w:t>
            </w:r>
          </w:p>
          <w:p w:rsidR="00561054" w:rsidRP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ro-RO"/>
              </w:rPr>
            </w:pPr>
            <w:r>
              <w:rPr>
                <w:rFonts w:ascii="Times New Roman" w:eastAsia="Arial Unicode MS" w:hAnsi="Times New Roman" w:cs="Times New Roman"/>
                <w:color w:val="000000" w:themeColor="text1"/>
                <w:sz w:val="24"/>
                <w:szCs w:val="24"/>
                <w:lang w:val="ro-RO"/>
              </w:rPr>
              <w:t>(a)</w:t>
            </w:r>
            <w:r w:rsidRPr="00561054">
              <w:rPr>
                <w:rFonts w:ascii="Times New Roman" w:eastAsia="Arial Unicode MS" w:hAnsi="Times New Roman" w:cs="Times New Roman"/>
                <w:color w:val="000000" w:themeColor="text1"/>
                <w:sz w:val="24"/>
                <w:szCs w:val="24"/>
                <w:lang w:val="ro-RO"/>
              </w:rPr>
              <w:t>tabelu</w:t>
            </w:r>
            <w:r>
              <w:rPr>
                <w:rFonts w:ascii="Times New Roman" w:eastAsia="Arial Unicode MS" w:hAnsi="Times New Roman" w:cs="Times New Roman"/>
                <w:color w:val="000000" w:themeColor="text1"/>
                <w:sz w:val="24"/>
                <w:szCs w:val="24"/>
                <w:lang w:val="ro-RO"/>
              </w:rPr>
              <w:t>l se modifică după cum urmează:</w:t>
            </w:r>
          </w:p>
          <w:p w:rsidR="00ED7A1A"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ro-RO"/>
              </w:rPr>
            </w:pPr>
            <w:r>
              <w:rPr>
                <w:rFonts w:ascii="Times New Roman" w:eastAsia="Arial Unicode MS" w:hAnsi="Times New Roman" w:cs="Times New Roman"/>
                <w:noProof/>
                <w:color w:val="000000" w:themeColor="text1"/>
                <w:sz w:val="24"/>
                <w:szCs w:val="24"/>
              </w:rPr>
              <w:drawing>
                <wp:anchor distT="0" distB="0" distL="114300" distR="114300" simplePos="0" relativeHeight="251656704" behindDoc="0" locked="0" layoutInCell="1" allowOverlap="1" wp14:anchorId="39445E02" wp14:editId="0ED74214">
                  <wp:simplePos x="0" y="0"/>
                  <wp:positionH relativeFrom="margin">
                    <wp:posOffset>-47869</wp:posOffset>
                  </wp:positionH>
                  <wp:positionV relativeFrom="margin">
                    <wp:posOffset>1968793</wp:posOffset>
                  </wp:positionV>
                  <wp:extent cx="2581038" cy="1203960"/>
                  <wp:effectExtent l="0" t="0" r="0" b="0"/>
                  <wp:wrapSquare wrapText="bothSides"/>
                  <wp:docPr id="1" name="Рисунок 1" descr="C:\Users\Diana\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Desktop\Безымянный.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038" cy="1203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Arial Unicode MS" w:hAnsi="Times New Roman" w:cs="Times New Roman"/>
                <w:color w:val="000000" w:themeColor="text1"/>
                <w:sz w:val="24"/>
                <w:szCs w:val="24"/>
                <w:lang w:val="ro-RO"/>
              </w:rPr>
              <w:t>(i)</w:t>
            </w:r>
            <w:r w:rsidRPr="00561054">
              <w:rPr>
                <w:rFonts w:ascii="Times New Roman" w:eastAsia="Arial Unicode MS" w:hAnsi="Times New Roman" w:cs="Times New Roman"/>
                <w:color w:val="000000" w:themeColor="text1"/>
                <w:sz w:val="24"/>
                <w:szCs w:val="24"/>
                <w:lang w:val="ro-RO"/>
              </w:rPr>
              <w:t>se adaugă rândul 2.1.9, cu următorul conținut:</w:t>
            </w:r>
          </w:p>
          <w:p w:rsid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ro-RO"/>
              </w:rPr>
            </w:pPr>
          </w:p>
          <w:p w:rsid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ro-RO"/>
              </w:rPr>
            </w:pPr>
          </w:p>
          <w:p w:rsid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ro-RO"/>
              </w:rPr>
            </w:pPr>
          </w:p>
          <w:p w:rsid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ro-RO"/>
              </w:rPr>
            </w:pPr>
          </w:p>
          <w:p w:rsid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ro-RO"/>
              </w:rPr>
            </w:pPr>
          </w:p>
          <w:p w:rsidR="00561054" w:rsidRPr="004D349F"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ro-RO"/>
              </w:rPr>
            </w:pPr>
          </w:p>
        </w:tc>
        <w:tc>
          <w:tcPr>
            <w:tcW w:w="4303" w:type="dxa"/>
          </w:tcPr>
          <w:p w:rsidR="00DD7D92" w:rsidRDefault="00DD7D92" w:rsidP="00396EEE">
            <w:pPr>
              <w:suppressLineNumbers/>
              <w:snapToGrid w:val="0"/>
              <w:jc w:val="both"/>
              <w:rPr>
                <w:rFonts w:ascii="Times New Roman" w:eastAsia="SimSun" w:hAnsi="Times New Roman" w:cs="Times New Roman"/>
                <w:sz w:val="24"/>
                <w:szCs w:val="24"/>
                <w:lang w:val="ro-RO" w:eastAsia="ar-SA"/>
              </w:rPr>
            </w:pPr>
          </w:p>
          <w:p w:rsidR="00DD7D92" w:rsidRDefault="00DD7D92" w:rsidP="00396EEE">
            <w:pPr>
              <w:suppressLineNumbers/>
              <w:snapToGrid w:val="0"/>
              <w:jc w:val="both"/>
              <w:rPr>
                <w:rFonts w:ascii="Times New Roman" w:eastAsia="SimSun" w:hAnsi="Times New Roman" w:cs="Times New Roman"/>
                <w:sz w:val="24"/>
                <w:szCs w:val="24"/>
                <w:lang w:val="ro-RO" w:eastAsia="ar-SA"/>
              </w:rPr>
            </w:pPr>
          </w:p>
          <w:p w:rsidR="00396EEE" w:rsidRPr="00FD4E7E" w:rsidRDefault="00396EEE" w:rsidP="00396EEE">
            <w:pPr>
              <w:suppressLineNumbers/>
              <w:snapToGrid w:val="0"/>
              <w:jc w:val="both"/>
              <w:rPr>
                <w:rFonts w:ascii="Times New Roman" w:eastAsia="SimSun" w:hAnsi="Times New Roman" w:cs="Times New Roman"/>
                <w:sz w:val="24"/>
                <w:szCs w:val="24"/>
                <w:lang w:val="ro-RO" w:eastAsia="ar-SA"/>
              </w:rPr>
            </w:pPr>
            <w:r w:rsidRPr="00FD4E7E">
              <w:rPr>
                <w:rFonts w:ascii="Times New Roman" w:eastAsia="SimSun" w:hAnsi="Times New Roman" w:cs="Times New Roman"/>
                <w:sz w:val="24"/>
                <w:szCs w:val="24"/>
                <w:lang w:val="ro-RO" w:eastAsia="ar-SA"/>
              </w:rPr>
              <w:t>la anexa nr.1 la Regulile privind criteriile microbiologice pentru produsele alimentare, punctul 2 (Criterii de igienă a procesului de producere) :</w:t>
            </w:r>
          </w:p>
          <w:p w:rsidR="00ED7A1A" w:rsidRPr="00F57DD3" w:rsidRDefault="00396EEE" w:rsidP="00396EEE">
            <w:pPr>
              <w:tabs>
                <w:tab w:val="left" w:pos="2740"/>
              </w:tabs>
              <w:spacing w:line="240" w:lineRule="atLeast"/>
              <w:jc w:val="both"/>
              <w:rPr>
                <w:rFonts w:ascii="Times New Roman" w:eastAsia="Times New Roman" w:hAnsi="Times New Roman" w:cs="Times New Roman"/>
                <w:sz w:val="24"/>
                <w:szCs w:val="24"/>
                <w:lang w:val="ro-RO"/>
              </w:rPr>
            </w:pPr>
            <w:r>
              <w:rPr>
                <w:rFonts w:ascii="Times New Roman" w:eastAsia="Arial Unicode MS" w:hAnsi="Times New Roman" w:cs="Times New Roman"/>
                <w:noProof/>
                <w:color w:val="000000" w:themeColor="text1"/>
                <w:sz w:val="24"/>
                <w:szCs w:val="24"/>
              </w:rPr>
              <w:drawing>
                <wp:anchor distT="0" distB="0" distL="114300" distR="114300" simplePos="0" relativeHeight="251658752" behindDoc="0" locked="0" layoutInCell="1" allowOverlap="1" wp14:anchorId="31F23915" wp14:editId="3484B0DF">
                  <wp:simplePos x="0" y="0"/>
                  <wp:positionH relativeFrom="margin">
                    <wp:posOffset>-65405</wp:posOffset>
                  </wp:positionH>
                  <wp:positionV relativeFrom="margin">
                    <wp:posOffset>1964690</wp:posOffset>
                  </wp:positionV>
                  <wp:extent cx="2697480" cy="1203960"/>
                  <wp:effectExtent l="0" t="0" r="7620" b="0"/>
                  <wp:wrapSquare wrapText="bothSides"/>
                  <wp:docPr id="2" name="Рисунок 2" descr="C:\Users\Diana\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Desktop\Безымянный.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7480" cy="120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4E7E">
              <w:rPr>
                <w:rFonts w:ascii="Times New Roman" w:eastAsia="SimSun" w:hAnsi="Times New Roman" w:cs="Times New Roman"/>
                <w:sz w:val="24"/>
                <w:szCs w:val="24"/>
                <w:lang w:val="ro-RO" w:eastAsia="ar-SA"/>
              </w:rPr>
              <w:t>a)  tabelul se completează la final cu poziția 2.1.9 cu următorul conținut :</w:t>
            </w:r>
          </w:p>
        </w:tc>
        <w:tc>
          <w:tcPr>
            <w:tcW w:w="2280" w:type="dxa"/>
          </w:tcPr>
          <w:p w:rsidR="00ED7A1A" w:rsidRDefault="001408F7"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Complet compatibil</w:t>
            </w:r>
          </w:p>
        </w:tc>
        <w:tc>
          <w:tcPr>
            <w:tcW w:w="1417" w:type="dxa"/>
          </w:tcPr>
          <w:p w:rsidR="00ED7A1A" w:rsidRPr="00972526" w:rsidRDefault="00ED7A1A" w:rsidP="00D27AAF">
            <w:pPr>
              <w:suppressLineNumbers/>
              <w:snapToGrid w:val="0"/>
              <w:rPr>
                <w:rFonts w:ascii="Times New Roman" w:eastAsia="SimSun" w:hAnsi="Times New Roman" w:cs="Times New Roman"/>
                <w:sz w:val="24"/>
                <w:szCs w:val="24"/>
                <w:lang w:val="en-US" w:eastAsia="ar-SA"/>
              </w:rPr>
            </w:pPr>
          </w:p>
        </w:tc>
        <w:tc>
          <w:tcPr>
            <w:tcW w:w="992" w:type="dxa"/>
          </w:tcPr>
          <w:p w:rsidR="00ED7A1A" w:rsidRPr="00972526" w:rsidRDefault="00ED7A1A" w:rsidP="00D27AAF">
            <w:pPr>
              <w:suppressLineNumbers/>
              <w:snapToGrid w:val="0"/>
              <w:rPr>
                <w:rFonts w:ascii="Times New Roman" w:eastAsia="SimSun" w:hAnsi="Times New Roman" w:cs="Times New Roman"/>
                <w:sz w:val="24"/>
                <w:szCs w:val="24"/>
                <w:lang w:val="en-US" w:eastAsia="ar-SA"/>
              </w:rPr>
            </w:pPr>
          </w:p>
        </w:tc>
        <w:tc>
          <w:tcPr>
            <w:tcW w:w="1347" w:type="dxa"/>
          </w:tcPr>
          <w:p w:rsidR="00ED7A1A" w:rsidRPr="00972526" w:rsidRDefault="00ED7A1A" w:rsidP="00D27AAF">
            <w:pPr>
              <w:suppressLineNumbers/>
              <w:snapToGrid w:val="0"/>
              <w:rPr>
                <w:rFonts w:ascii="Times New Roman" w:eastAsia="SimSun" w:hAnsi="Times New Roman" w:cs="Times New Roman"/>
                <w:sz w:val="24"/>
                <w:szCs w:val="24"/>
                <w:lang w:val="en-US" w:eastAsia="ar-SA"/>
              </w:rPr>
            </w:pPr>
          </w:p>
        </w:tc>
      </w:tr>
      <w:tr w:rsidR="00ED7A1A" w:rsidRPr="00ED7A1A" w:rsidTr="00306809">
        <w:trPr>
          <w:trHeight w:val="900"/>
        </w:trPr>
        <w:tc>
          <w:tcPr>
            <w:tcW w:w="4157" w:type="dxa"/>
          </w:tcPr>
          <w:p w:rsidR="00561054" w:rsidRP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lastRenderedPageBreak/>
              <w:t>(ii)</w:t>
            </w:r>
            <w:r>
              <w:rPr>
                <w:rFonts w:ascii="Times New Roman" w:eastAsia="Arial Unicode MS" w:hAnsi="Times New Roman" w:cs="Times New Roman"/>
                <w:color w:val="000000" w:themeColor="text1"/>
                <w:sz w:val="24"/>
                <w:szCs w:val="24"/>
                <w:lang w:val="en-US"/>
              </w:rPr>
              <w:t xml:space="preserve"> </w:t>
            </w:r>
            <w:r w:rsidRPr="00561054">
              <w:rPr>
                <w:rFonts w:ascii="Times New Roman" w:eastAsia="Arial Unicode MS" w:hAnsi="Times New Roman" w:cs="Times New Roman"/>
                <w:color w:val="000000" w:themeColor="text1"/>
                <w:sz w:val="24"/>
                <w:szCs w:val="24"/>
                <w:lang w:val="en-US"/>
              </w:rPr>
              <w:t>nota de subsol 2 se înlocuiește cu următorul text:</w:t>
            </w:r>
          </w:p>
          <w:p w:rsidR="00561054" w:rsidRP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en-US"/>
              </w:rPr>
            </w:pPr>
          </w:p>
          <w:p w:rsidR="00561054" w:rsidRP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en-US"/>
              </w:rPr>
            </w:pPr>
            <w:r>
              <w:rPr>
                <w:rFonts w:ascii="Times New Roman" w:eastAsia="Arial Unicode MS" w:hAnsi="Times New Roman" w:cs="Times New Roman"/>
                <w:color w:val="000000" w:themeColor="text1"/>
                <w:sz w:val="24"/>
                <w:szCs w:val="24"/>
                <w:lang w:val="en-US"/>
              </w:rPr>
              <w:t xml:space="preserve">„(2) </w:t>
            </w:r>
            <w:r w:rsidRPr="00561054">
              <w:rPr>
                <w:rFonts w:ascii="Times New Roman" w:eastAsia="Arial Unicode MS" w:hAnsi="Times New Roman" w:cs="Times New Roman"/>
                <w:color w:val="000000" w:themeColor="text1"/>
                <w:sz w:val="24"/>
                <w:szCs w:val="24"/>
                <w:lang w:val="en-US"/>
              </w:rPr>
              <w:t>Pentru punctel</w:t>
            </w:r>
            <w:r>
              <w:rPr>
                <w:rFonts w:ascii="Times New Roman" w:eastAsia="Arial Unicode MS" w:hAnsi="Times New Roman" w:cs="Times New Roman"/>
                <w:color w:val="000000" w:themeColor="text1"/>
                <w:sz w:val="24"/>
                <w:szCs w:val="24"/>
                <w:lang w:val="en-US"/>
              </w:rPr>
              <w:t>e 2.1.3-2.1.5 și 2.1.9 m = M.”;</w:t>
            </w:r>
          </w:p>
          <w:p w:rsidR="00561054" w:rsidRP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en-US"/>
              </w:rPr>
            </w:pPr>
            <w:r>
              <w:rPr>
                <w:rFonts w:ascii="Times New Roman" w:eastAsia="Arial Unicode MS" w:hAnsi="Times New Roman" w:cs="Times New Roman"/>
                <w:color w:val="000000" w:themeColor="text1"/>
                <w:sz w:val="24"/>
                <w:szCs w:val="24"/>
                <w:lang w:val="en-US"/>
              </w:rPr>
              <w:t xml:space="preserve">(b) </w:t>
            </w:r>
            <w:r w:rsidRPr="00561054">
              <w:rPr>
                <w:rFonts w:ascii="Times New Roman" w:eastAsia="Arial Unicode MS" w:hAnsi="Times New Roman" w:cs="Times New Roman"/>
                <w:color w:val="000000" w:themeColor="text1"/>
                <w:sz w:val="24"/>
                <w:szCs w:val="24"/>
                <w:lang w:val="en-US"/>
              </w:rPr>
              <w:t>la rubrica „interpretarea rezultatelor testului”, se adaugă următorul text:</w:t>
            </w:r>
          </w:p>
          <w:p w:rsidR="00561054" w:rsidRP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en-US"/>
              </w:rPr>
            </w:pPr>
          </w:p>
          <w:p w:rsidR="00561054" w:rsidRP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„Campylobacter spp. în car</w:t>
            </w:r>
            <w:r>
              <w:rPr>
                <w:rFonts w:ascii="Times New Roman" w:eastAsia="Arial Unicode MS" w:hAnsi="Times New Roman" w:cs="Times New Roman"/>
                <w:color w:val="000000" w:themeColor="text1"/>
                <w:sz w:val="24"/>
                <w:szCs w:val="24"/>
                <w:lang w:val="en-US"/>
              </w:rPr>
              <w:t>casele de pui pentru îngrășare:</w:t>
            </w:r>
          </w:p>
          <w:p w:rsidR="00561054" w:rsidRP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en-US"/>
              </w:rPr>
            </w:pPr>
            <w:r>
              <w:rPr>
                <w:rFonts w:ascii="Times New Roman" w:eastAsia="Arial Unicode MS" w:hAnsi="Times New Roman" w:cs="Times New Roman"/>
                <w:color w:val="000000" w:themeColor="text1"/>
                <w:sz w:val="24"/>
                <w:szCs w:val="24"/>
                <w:lang w:val="en-US"/>
              </w:rPr>
              <w:t>—</w:t>
            </w:r>
          </w:p>
          <w:p w:rsidR="00561054" w:rsidRP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satisfăcătoare, dacă un punct m</w:t>
            </w:r>
            <w:r>
              <w:rPr>
                <w:rFonts w:ascii="Times New Roman" w:eastAsia="Arial Unicode MS" w:hAnsi="Times New Roman" w:cs="Times New Roman"/>
                <w:color w:val="000000" w:themeColor="text1"/>
                <w:sz w:val="24"/>
                <w:szCs w:val="24"/>
                <w:lang w:val="en-US"/>
              </w:rPr>
              <w:t>axim al valorilor c/n este &gt; m;</w:t>
            </w:r>
          </w:p>
          <w:p w:rsidR="00561054" w:rsidRPr="00561054"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en-US"/>
              </w:rPr>
            </w:pPr>
            <w:r>
              <w:rPr>
                <w:rFonts w:ascii="Times New Roman" w:eastAsia="Arial Unicode MS" w:hAnsi="Times New Roman" w:cs="Times New Roman"/>
                <w:color w:val="000000" w:themeColor="text1"/>
                <w:sz w:val="24"/>
                <w:szCs w:val="24"/>
                <w:lang w:val="en-US"/>
              </w:rPr>
              <w:t>—</w:t>
            </w:r>
          </w:p>
          <w:p w:rsidR="00ED7A1A" w:rsidRPr="004D349F" w:rsidRDefault="00561054" w:rsidP="00561054">
            <w:pPr>
              <w:shd w:val="clear" w:color="auto" w:fill="FFFFFF"/>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nesatisfăcătoare, dacă mai multe valori c/n sunt &gt; m.”</w:t>
            </w:r>
          </w:p>
        </w:tc>
        <w:tc>
          <w:tcPr>
            <w:tcW w:w="4303" w:type="dxa"/>
          </w:tcPr>
          <w:p w:rsidR="00DD7D92" w:rsidRPr="00DD7D92" w:rsidRDefault="00DD7D92" w:rsidP="00DD7D92">
            <w:pPr>
              <w:spacing w:line="240" w:lineRule="atLeast"/>
              <w:jc w:val="both"/>
              <w:rPr>
                <w:rFonts w:ascii="Times New Roman" w:eastAsia="Times New Roman" w:hAnsi="Times New Roman" w:cs="Times New Roman"/>
                <w:sz w:val="24"/>
                <w:szCs w:val="24"/>
                <w:lang w:val="ro-RO"/>
              </w:rPr>
            </w:pPr>
            <w:r w:rsidRPr="00DD7D92">
              <w:rPr>
                <w:rFonts w:ascii="Times New Roman" w:eastAsia="Times New Roman" w:hAnsi="Times New Roman" w:cs="Times New Roman"/>
                <w:sz w:val="24"/>
                <w:szCs w:val="24"/>
                <w:lang w:val="ro-RO"/>
              </w:rPr>
              <w:t>b) nota de subsol (2) se înlocuiește cu următorul text:</w:t>
            </w:r>
          </w:p>
          <w:p w:rsidR="00DD7D92" w:rsidRPr="00DD7D92" w:rsidRDefault="00DD7D92" w:rsidP="00DD7D92">
            <w:pPr>
              <w:spacing w:line="240" w:lineRule="atLeast"/>
              <w:jc w:val="both"/>
              <w:rPr>
                <w:rFonts w:ascii="Times New Roman" w:eastAsia="Times New Roman" w:hAnsi="Times New Roman" w:cs="Times New Roman"/>
                <w:sz w:val="24"/>
                <w:szCs w:val="24"/>
                <w:lang w:val="ro-RO"/>
              </w:rPr>
            </w:pPr>
            <w:r w:rsidRPr="00DD7D92">
              <w:rPr>
                <w:rFonts w:ascii="Times New Roman" w:eastAsia="Times New Roman" w:hAnsi="Times New Roman" w:cs="Times New Roman"/>
                <w:sz w:val="24"/>
                <w:szCs w:val="24"/>
                <w:lang w:val="ro-RO"/>
              </w:rPr>
              <w:t>„(2) Pentru pozițiile 2.1.3-2.1.5 și 2.1.9 m = M.”;</w:t>
            </w:r>
          </w:p>
          <w:p w:rsidR="00DD7D92" w:rsidRPr="00DD7D92" w:rsidRDefault="00DD7D92" w:rsidP="00DD7D92">
            <w:pPr>
              <w:spacing w:line="240" w:lineRule="atLeast"/>
              <w:jc w:val="both"/>
              <w:rPr>
                <w:rFonts w:ascii="Times New Roman" w:eastAsia="Times New Roman" w:hAnsi="Times New Roman" w:cs="Times New Roman"/>
                <w:sz w:val="24"/>
                <w:szCs w:val="24"/>
                <w:lang w:val="ro-RO"/>
              </w:rPr>
            </w:pPr>
            <w:r w:rsidRPr="00DD7D92">
              <w:rPr>
                <w:rFonts w:ascii="Times New Roman" w:eastAsia="Times New Roman" w:hAnsi="Times New Roman" w:cs="Times New Roman"/>
                <w:sz w:val="24"/>
                <w:szCs w:val="24"/>
                <w:lang w:val="ro-RO"/>
              </w:rPr>
              <w:t>c) la rubrica „interpretarea rezultatelor”, se adaugă următorul text:</w:t>
            </w:r>
          </w:p>
          <w:p w:rsidR="00DD7D92" w:rsidRPr="00DD7D92" w:rsidRDefault="00DD7D92" w:rsidP="00DD7D92">
            <w:pPr>
              <w:spacing w:line="240" w:lineRule="atLeast"/>
              <w:jc w:val="both"/>
              <w:rPr>
                <w:rFonts w:ascii="Times New Roman" w:eastAsia="Times New Roman" w:hAnsi="Times New Roman" w:cs="Times New Roman"/>
                <w:sz w:val="24"/>
                <w:szCs w:val="24"/>
                <w:lang w:val="ro-RO"/>
              </w:rPr>
            </w:pPr>
            <w:r w:rsidRPr="00DD7D92">
              <w:rPr>
                <w:rFonts w:ascii="Times New Roman" w:eastAsia="Times New Roman" w:hAnsi="Times New Roman" w:cs="Times New Roman"/>
                <w:sz w:val="24"/>
                <w:szCs w:val="24"/>
                <w:lang w:val="ro-RO"/>
              </w:rPr>
              <w:t>„Campylobacter spp. în carcasele de pui pentru îngrășare:</w:t>
            </w:r>
          </w:p>
          <w:p w:rsidR="00DD7D92" w:rsidRPr="00DD7D92" w:rsidRDefault="00DD7D92" w:rsidP="00DD7D92">
            <w:pPr>
              <w:spacing w:line="240" w:lineRule="atLeast"/>
              <w:jc w:val="both"/>
              <w:rPr>
                <w:rFonts w:ascii="Times New Roman" w:eastAsia="Times New Roman" w:hAnsi="Times New Roman" w:cs="Times New Roman"/>
                <w:sz w:val="24"/>
                <w:szCs w:val="24"/>
                <w:lang w:val="ro-RO"/>
              </w:rPr>
            </w:pPr>
            <w:r w:rsidRPr="00DD7D92">
              <w:rPr>
                <w:rFonts w:ascii="Times New Roman" w:eastAsia="Times New Roman" w:hAnsi="Times New Roman" w:cs="Times New Roman"/>
                <w:sz w:val="24"/>
                <w:szCs w:val="24"/>
                <w:lang w:val="ro-RO"/>
              </w:rPr>
              <w:t xml:space="preserve"> satisfăcătoare, dacă un punct maxim al valorilor c/n este &gt; m; </w:t>
            </w:r>
          </w:p>
          <w:p w:rsidR="00ED7A1A" w:rsidRPr="002132E8" w:rsidRDefault="00DD7D92" w:rsidP="00DD7D92">
            <w:pPr>
              <w:spacing w:line="240" w:lineRule="atLeast"/>
              <w:jc w:val="both"/>
              <w:rPr>
                <w:rFonts w:ascii="Times New Roman" w:eastAsia="Times New Roman" w:hAnsi="Times New Roman" w:cs="Times New Roman"/>
                <w:sz w:val="24"/>
                <w:szCs w:val="24"/>
                <w:lang w:val="ro-RO"/>
              </w:rPr>
            </w:pPr>
            <w:r w:rsidRPr="00DD7D92">
              <w:rPr>
                <w:rFonts w:ascii="Times New Roman" w:eastAsia="Times New Roman" w:hAnsi="Times New Roman" w:cs="Times New Roman"/>
                <w:sz w:val="24"/>
                <w:szCs w:val="24"/>
                <w:lang w:val="ro-RO"/>
              </w:rPr>
              <w:t xml:space="preserve"> nesatisfăcătoare, dacă mai multe valori c/n sunt &gt; m.”</w:t>
            </w:r>
          </w:p>
        </w:tc>
        <w:tc>
          <w:tcPr>
            <w:tcW w:w="2280" w:type="dxa"/>
          </w:tcPr>
          <w:p w:rsidR="00ED7A1A" w:rsidRDefault="001408F7" w:rsidP="00561054">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t>Complet compatibil</w:t>
            </w:r>
          </w:p>
        </w:tc>
        <w:tc>
          <w:tcPr>
            <w:tcW w:w="1417" w:type="dxa"/>
          </w:tcPr>
          <w:p w:rsidR="00ED7A1A" w:rsidRPr="00ED7A1A" w:rsidRDefault="00ED7A1A" w:rsidP="00561054">
            <w:pPr>
              <w:suppressLineNumbers/>
              <w:snapToGrid w:val="0"/>
              <w:rPr>
                <w:rFonts w:ascii="Times New Roman" w:eastAsia="SimSun" w:hAnsi="Times New Roman" w:cs="Times New Roman"/>
                <w:sz w:val="24"/>
                <w:szCs w:val="24"/>
                <w:lang w:val="ro-RO" w:eastAsia="ar-SA"/>
              </w:rPr>
            </w:pPr>
          </w:p>
        </w:tc>
        <w:tc>
          <w:tcPr>
            <w:tcW w:w="992" w:type="dxa"/>
          </w:tcPr>
          <w:p w:rsidR="00ED7A1A" w:rsidRPr="00ED7A1A" w:rsidRDefault="00ED7A1A" w:rsidP="00561054">
            <w:pPr>
              <w:suppressLineNumbers/>
              <w:snapToGrid w:val="0"/>
              <w:rPr>
                <w:rFonts w:ascii="Times New Roman" w:eastAsia="SimSun" w:hAnsi="Times New Roman" w:cs="Times New Roman"/>
                <w:sz w:val="24"/>
                <w:szCs w:val="24"/>
                <w:lang w:val="ro-RO" w:eastAsia="ar-SA"/>
              </w:rPr>
            </w:pPr>
          </w:p>
        </w:tc>
        <w:tc>
          <w:tcPr>
            <w:tcW w:w="1347" w:type="dxa"/>
          </w:tcPr>
          <w:p w:rsidR="00ED7A1A" w:rsidRPr="00ED7A1A" w:rsidRDefault="00ED7A1A" w:rsidP="00561054">
            <w:pPr>
              <w:suppressLineNumbers/>
              <w:snapToGrid w:val="0"/>
              <w:rPr>
                <w:rFonts w:ascii="Times New Roman" w:eastAsia="SimSun" w:hAnsi="Times New Roman" w:cs="Times New Roman"/>
                <w:sz w:val="24"/>
                <w:szCs w:val="24"/>
                <w:lang w:val="ro-RO" w:eastAsia="ar-SA"/>
              </w:rPr>
            </w:pPr>
          </w:p>
        </w:tc>
      </w:tr>
      <w:tr w:rsidR="00ED7A1A" w:rsidRPr="00ED7A1A" w:rsidTr="00306809">
        <w:trPr>
          <w:trHeight w:val="900"/>
        </w:trPr>
        <w:tc>
          <w:tcPr>
            <w:tcW w:w="4157" w:type="dxa"/>
          </w:tcPr>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r>
              <w:rPr>
                <w:rFonts w:ascii="Times New Roman" w:eastAsia="Arial Unicode MS" w:hAnsi="Times New Roman" w:cs="Times New Roman"/>
                <w:color w:val="000000" w:themeColor="text1"/>
                <w:sz w:val="24"/>
                <w:szCs w:val="24"/>
                <w:lang w:val="en-US"/>
              </w:rPr>
              <w:t>2.</w:t>
            </w:r>
            <w:r w:rsidRPr="00561054">
              <w:rPr>
                <w:rFonts w:ascii="Times New Roman" w:eastAsia="Arial Unicode MS" w:hAnsi="Times New Roman" w:cs="Times New Roman"/>
                <w:color w:val="000000" w:themeColor="text1"/>
                <w:sz w:val="24"/>
                <w:szCs w:val="24"/>
                <w:lang w:val="en-US"/>
              </w:rPr>
              <w:t>La capitolul 3, secțiunea 3.2 se înlocuiește cu următorul text:</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„3.2.   Prelevarea de probe bacteriologice în abatoarele și unitățile de producție a cărnii tocate și a preparatelor din carne, a cărnii separate mecanic și a cărnii proaspete</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561054" w:rsidRPr="00EA2F02" w:rsidRDefault="00561054" w:rsidP="00561054">
            <w:pPr>
              <w:shd w:val="clear" w:color="auto" w:fill="FFFFFF"/>
              <w:spacing w:line="240" w:lineRule="atLeast"/>
              <w:jc w:val="both"/>
              <w:textAlignment w:val="baseline"/>
              <w:rPr>
                <w:rFonts w:ascii="Times New Roman" w:eastAsia="Arial Unicode MS" w:hAnsi="Times New Roman" w:cs="Times New Roman"/>
                <w:b/>
                <w:i/>
                <w:color w:val="000000" w:themeColor="text1"/>
                <w:sz w:val="24"/>
                <w:szCs w:val="24"/>
                <w:lang w:val="en-US"/>
              </w:rPr>
            </w:pPr>
            <w:r w:rsidRPr="00EA2F02">
              <w:rPr>
                <w:rFonts w:ascii="Times New Roman" w:eastAsia="Arial Unicode MS" w:hAnsi="Times New Roman" w:cs="Times New Roman"/>
                <w:b/>
                <w:i/>
                <w:color w:val="000000" w:themeColor="text1"/>
                <w:sz w:val="24"/>
                <w:szCs w:val="24"/>
                <w:lang w:val="en-US"/>
              </w:rPr>
              <w:t xml:space="preserve">Norme de prelevare a probelor pentru </w:t>
            </w:r>
            <w:r w:rsidRPr="00EA2F02">
              <w:rPr>
                <w:rFonts w:ascii="Times New Roman" w:eastAsia="Arial Unicode MS" w:hAnsi="Times New Roman" w:cs="Times New Roman"/>
                <w:b/>
                <w:i/>
                <w:color w:val="000000" w:themeColor="text1"/>
                <w:sz w:val="24"/>
                <w:szCs w:val="24"/>
                <w:lang w:val="en-US"/>
              </w:rPr>
              <w:lastRenderedPageBreak/>
              <w:t>carcasele de bovine, porcine, ovine, caprine și cabaline</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Metodele destructive și nedestructive de prelevare de probe, selectarea zonelor pentru prelevarea de probe și normele pentru depozitarea și transportul probelor care urmează a fi utilizate sunt descrise în standardul ISO 17604.</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La fiecare sesiune de prelevare de probe, acestea se prelevează aleatoriu din cinci carcase. Zonele pentru prelevarea de probe se selectează ținându-se seama de tehnologia de sacrificare utilizată în fiecare unitate.</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Prelevarea de probe pentru analizele referitoare la enterobacterii și numărul de colonii aerobe se efectuează din patru zone ale fiecărei carcase. Patru probe de țesut reprezentând o suprafață totală de 20 cm2 se prelevează prin metoda destructivă. În cazul în care se folosește metoda nedestructivă în acest scop, suprafața de prelevare este de minimum 100 cm2 (50 cm2 pentru carcasele de rumegătoare mici) pentru fiecare zonă de prelevare.</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 xml:space="preserve">Prelevarea de probe pentru analizele referitoare la Salmonella se efectuează </w:t>
            </w:r>
            <w:r w:rsidRPr="00561054">
              <w:rPr>
                <w:rFonts w:ascii="Times New Roman" w:eastAsia="Arial Unicode MS" w:hAnsi="Times New Roman" w:cs="Times New Roman"/>
                <w:color w:val="000000" w:themeColor="text1"/>
                <w:sz w:val="24"/>
                <w:szCs w:val="24"/>
                <w:lang w:val="en-US"/>
              </w:rPr>
              <w:lastRenderedPageBreak/>
              <w:t>cu ajutorul metodei buretelui abraziv. Trebuie selectate suprafețe a căror contaminare este cea mai probabilă. Suprafața totală de prelevare este de minimum 400 cm2.</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În cazul în care probele sunt prelevate din diferite zone de prelevare ale carcasei, acestea sunt grupate înaintea examinării.</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561054" w:rsidRPr="00EA2F02" w:rsidRDefault="00561054" w:rsidP="00561054">
            <w:pPr>
              <w:shd w:val="clear" w:color="auto" w:fill="FFFFFF"/>
              <w:spacing w:line="240" w:lineRule="atLeast"/>
              <w:jc w:val="both"/>
              <w:textAlignment w:val="baseline"/>
              <w:rPr>
                <w:rFonts w:ascii="Times New Roman" w:eastAsia="Arial Unicode MS" w:hAnsi="Times New Roman" w:cs="Times New Roman"/>
                <w:b/>
                <w:i/>
                <w:color w:val="000000" w:themeColor="text1"/>
                <w:sz w:val="24"/>
                <w:szCs w:val="24"/>
                <w:lang w:val="en-US"/>
              </w:rPr>
            </w:pPr>
            <w:r w:rsidRPr="00EA2F02">
              <w:rPr>
                <w:rFonts w:ascii="Times New Roman" w:eastAsia="Arial Unicode MS" w:hAnsi="Times New Roman" w:cs="Times New Roman"/>
                <w:b/>
                <w:i/>
                <w:color w:val="000000" w:themeColor="text1"/>
                <w:sz w:val="24"/>
                <w:szCs w:val="24"/>
                <w:lang w:val="en-US"/>
              </w:rPr>
              <w:t>Reguli de prelevare pentru carcasele de pasăre și pentru carnea proaspătă de pasăre</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 xml:space="preserve">Abatoarele trebuie să preleveze carcase întregi de păsări domestice cu piele de pe gât pentru analize de depistare a Salmonellei și Campylobacter. Unitățile de tranșare și prelucrare, altele decât cele din vecinătatea unui abator care tranșează și prelucrează numai carnea primită de la acest abator, prelevează, de asemenea, probe pentru analize de depistare a Salmonellei. În cursul acestui proces, ele acordă prioritate, în limita posibilităților, carcaselor întregi de păsări domestice cu piele de pe gât, dar trebuie să se asigure că sunt analizate și bucăți de păsări cu piele și/sau bucăți de păsări fără piele ori cu foarte puține porțiuni cu piele, iar această alegere </w:t>
            </w:r>
            <w:r w:rsidRPr="00561054">
              <w:rPr>
                <w:rFonts w:ascii="Times New Roman" w:eastAsia="Arial Unicode MS" w:hAnsi="Times New Roman" w:cs="Times New Roman"/>
                <w:color w:val="000000" w:themeColor="text1"/>
                <w:sz w:val="24"/>
                <w:szCs w:val="24"/>
                <w:lang w:val="en-US"/>
              </w:rPr>
              <w:lastRenderedPageBreak/>
              <w:t>trebuie făcută pe baza evaluării riscurilor.</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Abatoarele trebuie să includă în planurile lor de prelevare carcase de păsări domestice provenite de la efective cu un statut legat de Salmonella necunoscut sau cu un statut pozitiv pentru Salmonella Enteritidis sau Salmonella Typhimurium.</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 xml:space="preserve">În cazul în care se efectuează teste pentru verificarea respectării criteriilor de igienă a procedeelor specificate la rândul 2.1.5 și la rândul 2.1.9 din capitolul 2, în ceea ce privește Salmonella și Campylobacter din carcasele de păsări domestice în abatoare, iar testele pentru Salmonella și Campylobacter sunt efectuate în același laborator, trebuie prelevată în mod aleatoriu piele de pe gât de la cel puțin 15 carcase de păsări după răcirea acestora în cursul fiecărei sesiuni de prelevare. Înainte de examinare, probele de piele de pe gât de la cel puțin trei carcase de păsări domestice din același efectiv de origine trebuie puse în comun pentru a forma o probă de 26 g. Astfel, probele de piele de pe gât formează probe finale de 5 × 26 g (26 g sunt necesare pentru a efectua analizele </w:t>
            </w:r>
            <w:r w:rsidRPr="00561054">
              <w:rPr>
                <w:rFonts w:ascii="Times New Roman" w:eastAsia="Arial Unicode MS" w:hAnsi="Times New Roman" w:cs="Times New Roman"/>
                <w:color w:val="000000" w:themeColor="text1"/>
                <w:sz w:val="24"/>
                <w:szCs w:val="24"/>
                <w:lang w:val="en-US"/>
              </w:rPr>
              <w:lastRenderedPageBreak/>
              <w:t xml:space="preserve">pentru Salmonella și Campylobacter în paralel utilizând o singură probă). După prelevare, probele se păstrează și se transportă la laborator la o temperatură de cel puțin 1 °C și cel mult 8 °C, iar intervalul de timp dintre prelevare și testare pentru Campylobacter trebuie să fie de cel mult 48 de ore pentru a se asigura menținerea integrității probelor. Probele care au ajuns la o temperatură de 0 °C nu trebuie utilizate pentru a verifica respectarea criteriului pentru Campylobacter. Probele de 5 × 26 g se utilizează pentru a verifica respectarea criteriilor de igienă a procedeelor specificate la rândul 2.1.5 și la rândul 2.1.9 din capitolul 2 și a criteriului siguranței alimentare specificat la rândul 1.28 din capitolul 1. În vederea preparării suspensiei inițiale în laborator, cantității de testare de 26 g i se adaugă nouă volume (234 ml) de apă peptonată tamponată (buffered peptone water – BPW). Înainte de utilizare, aceasta este adusă la temperatura camerei. Acest amestec se tratează într-un stomacher sau pulsifier timp de aproximativ un minut. Se evită formarea spumei eliminând, pe cât posibil, aerul din punga stomacher. 10 ml (~1 g) din această suspensie inițială se transferă într-un tub steril gol, iar 1 ml din acești </w:t>
            </w:r>
            <w:r w:rsidRPr="00561054">
              <w:rPr>
                <w:rFonts w:ascii="Times New Roman" w:eastAsia="Arial Unicode MS" w:hAnsi="Times New Roman" w:cs="Times New Roman"/>
                <w:color w:val="000000" w:themeColor="text1"/>
                <w:sz w:val="24"/>
                <w:szCs w:val="24"/>
                <w:lang w:val="en-US"/>
              </w:rPr>
              <w:lastRenderedPageBreak/>
              <w:t>10 ml se utilizează la numărarea Campylobacter pe plăci de selecție. Restul suspensiei de bază (250 ml ~ 25 g) este utilizat pentru detectarea Salmonellei.</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 xml:space="preserve">În cazul în care se efectuează teste pentru verificarea respectării criteriilor de igienă a procedeelor specificate la rândul 2.1.5 și la rândul 2.1.9 din capitolul 2, în ceea ce privește Salmonella și Campylobacter din carcasele de păsări domestice în abatoare, iar testele pentru Salmonella și Campylobacter sunt efectuate în două laboratoare diferite, trebuie prelevată în mod aleatoriu piele de pe gât de la cel puțin 20 carcase de păsări după răcirea acestora în cursul fiecărei sesiuni de prelevare. Înainte de examinare, probele de piele de pe gât de la cel puțin trei carcase de păsări domestice din același efectiv de origine trebuie puse în comun pentru a forma o probă de 35 g. Astfel, probele de piele de pe gât formează probe finale de 5 × 35 g, care apoi sunt divizate pentru a obține probe finale de 5 × 25 g (pentru a face teste de Salmonella) și de 5 × 10 g (pentru a face teste de Campylobacter). După prelevare, probele se păstrează și se transportă la laborator la o temperatură </w:t>
            </w:r>
            <w:r w:rsidRPr="00561054">
              <w:rPr>
                <w:rFonts w:ascii="Times New Roman" w:eastAsia="Arial Unicode MS" w:hAnsi="Times New Roman" w:cs="Times New Roman"/>
                <w:color w:val="000000" w:themeColor="text1"/>
                <w:sz w:val="24"/>
                <w:szCs w:val="24"/>
                <w:lang w:val="en-US"/>
              </w:rPr>
              <w:lastRenderedPageBreak/>
              <w:t>de cel puțin 1 °C și cel mult 8 °C, iar intervalul de timp dintre prelevare și testare pentru Campylobacter trebuie să nu fie mai mare de 48 de ore pentru a se asigura menținerea integrității probelor. Probele care au ajuns la o temperatură de 0 °C nu trebuie utilizate pentru a verifica respectarea criteriului pentru Campylobacter. Probele de 5 × 25 g se utilizează pentru a verifica respectarea criteriilor de igienă a procedeelor specificate la rândul 2.1.5 din capitolul 2 și a criteriului siguranței alimentare specificat la rândul 1.28 din capitolul 1. Probele finale de 5 × 10 g se utilizează și pentru verificarea respectării criteriului de igienă a procedeelor specificat la rândul 2.1.9 din capitolul 2.</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p>
          <w:p w:rsidR="00ED7A1A" w:rsidRPr="004D349F"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en-US"/>
              </w:rPr>
            </w:pPr>
            <w:r w:rsidRPr="00561054">
              <w:rPr>
                <w:rFonts w:ascii="Times New Roman" w:eastAsia="Arial Unicode MS" w:hAnsi="Times New Roman" w:cs="Times New Roman"/>
                <w:color w:val="000000" w:themeColor="text1"/>
                <w:sz w:val="24"/>
                <w:szCs w:val="24"/>
                <w:lang w:val="en-US"/>
              </w:rPr>
              <w:t xml:space="preserve">În cazul analizelor referitoare la Salmonella efectuate pe carnea proaspătă de pasăre alta decât carcasele de pasăre, se prelevează cinci probe de cel puțin 25 g din același lot. Proba prelevată din bucăți de pui cu piele trebuie să conțină piele și o tranșă fină de mușchi superficial în cazul în care cantitatea de piele nu este suficientă pentru a forma un eșantion. Proba prelevată din bucăți de pui fără piele sau doar cu o cantitate redusă de piele trebuie să conțină una sau mai multe </w:t>
            </w:r>
            <w:r w:rsidRPr="00561054">
              <w:rPr>
                <w:rFonts w:ascii="Times New Roman" w:eastAsia="Arial Unicode MS" w:hAnsi="Times New Roman" w:cs="Times New Roman"/>
                <w:color w:val="000000" w:themeColor="text1"/>
                <w:sz w:val="24"/>
                <w:szCs w:val="24"/>
                <w:lang w:val="en-US"/>
              </w:rPr>
              <w:lastRenderedPageBreak/>
              <w:t>tranșe fine de mușchi superficial în plus față de orice piele prezentă, pentru a obține un eșantion suficient. Tranșele de carne se prelevează astfel încât să se includă o suprafață cât mai mare a cărnii.</w:t>
            </w:r>
          </w:p>
        </w:tc>
        <w:tc>
          <w:tcPr>
            <w:tcW w:w="4303" w:type="dxa"/>
          </w:tcPr>
          <w:p w:rsidR="00ED7A1A" w:rsidRDefault="00ED7A1A"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r w:rsidRPr="00EA2F02">
              <w:rPr>
                <w:rFonts w:ascii="Times New Roman" w:hAnsi="Times New Roman" w:cs="Times New Roman"/>
                <w:sz w:val="24"/>
                <w:szCs w:val="24"/>
                <w:lang w:val="ro-RO"/>
              </w:rPr>
              <w:t>3) la punctul 30 subpunctul 1) la final se completează cu sintagma „și campylobacter. ”;</w:t>
            </w: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Default="00EA2F02" w:rsidP="006A75CF">
            <w:pPr>
              <w:spacing w:line="240" w:lineRule="atLeast"/>
              <w:jc w:val="both"/>
              <w:rPr>
                <w:rFonts w:ascii="Times New Roman" w:hAnsi="Times New Roman" w:cs="Times New Roman"/>
                <w:sz w:val="24"/>
                <w:szCs w:val="24"/>
                <w:lang w:val="ro-RO"/>
              </w:rPr>
            </w:pPr>
          </w:p>
          <w:p w:rsidR="00EA2F02" w:rsidRPr="00EA2F02" w:rsidRDefault="00EA2F02" w:rsidP="00EA2F02">
            <w:pPr>
              <w:spacing w:line="240" w:lineRule="atLeast"/>
              <w:jc w:val="both"/>
              <w:rPr>
                <w:rFonts w:ascii="Times New Roman" w:hAnsi="Times New Roman" w:cs="Times New Roman"/>
                <w:sz w:val="24"/>
                <w:szCs w:val="24"/>
                <w:lang w:val="ro-RO"/>
              </w:rPr>
            </w:pPr>
            <w:r w:rsidRPr="00EA2F02">
              <w:rPr>
                <w:rFonts w:ascii="Times New Roman" w:hAnsi="Times New Roman" w:cs="Times New Roman"/>
                <w:sz w:val="24"/>
                <w:szCs w:val="24"/>
                <w:lang w:val="ro-RO"/>
              </w:rPr>
              <w:t>4) punctul 32 se modifică și va avea următorul conținut :</w:t>
            </w:r>
          </w:p>
          <w:p w:rsidR="00EA2F02" w:rsidRPr="00EA2F02" w:rsidRDefault="00EA2F02" w:rsidP="00EA2F02">
            <w:pPr>
              <w:spacing w:line="240" w:lineRule="atLeast"/>
              <w:jc w:val="both"/>
              <w:rPr>
                <w:rFonts w:ascii="Times New Roman" w:hAnsi="Times New Roman" w:cs="Times New Roman"/>
                <w:sz w:val="24"/>
                <w:szCs w:val="24"/>
                <w:lang w:val="ro-RO"/>
              </w:rPr>
            </w:pPr>
            <w:r w:rsidRPr="00EA2F02">
              <w:rPr>
                <w:rFonts w:ascii="Times New Roman" w:hAnsi="Times New Roman" w:cs="Times New Roman"/>
                <w:sz w:val="24"/>
                <w:szCs w:val="24"/>
                <w:lang w:val="ro-RO"/>
              </w:rPr>
              <w:t>„În cazul în care se efectuează teste pentru verificarea respectării criteriilor de igienă a procedeelor specificate la poziția 2.1.5 și la poziția 2.1.9 din anexa la prezentele Reguli, în ceea ce privește salmonela și campylobacter din carcasele de păsări domestice în abatoare, iar testele pentru salmonela și campylobacter sunt efectuate :</w:t>
            </w:r>
          </w:p>
          <w:p w:rsidR="00EA2F02" w:rsidRPr="00EA2F02" w:rsidRDefault="00EA2F02" w:rsidP="00EA2F02">
            <w:pPr>
              <w:spacing w:line="240" w:lineRule="atLeast"/>
              <w:jc w:val="both"/>
              <w:rPr>
                <w:rFonts w:ascii="Times New Roman" w:hAnsi="Times New Roman" w:cs="Times New Roman"/>
                <w:sz w:val="24"/>
                <w:szCs w:val="24"/>
                <w:lang w:val="ro-RO"/>
              </w:rPr>
            </w:pPr>
            <w:r w:rsidRPr="00EA2F02">
              <w:rPr>
                <w:rFonts w:ascii="Times New Roman" w:hAnsi="Times New Roman" w:cs="Times New Roman"/>
                <w:sz w:val="24"/>
                <w:szCs w:val="24"/>
                <w:lang w:val="ro-RO"/>
              </w:rPr>
              <w:t xml:space="preserve">1)  în același laborator, trebuie prelevată în mod aleatoriu piele de pe gât de la cel puțin 15 carcase de păsări după răcirea acestora în cursul fiecărei sesiuni de prelevare. Înainte de examinare, probele de piele de pe gât de la cel puțin trei carcase de păsări domestice din același efectiv de origine trebuie puse în comun pentru a forma o probă de 26 g. Astfel, probele de piele de pe gât formează probe </w:t>
            </w:r>
            <w:r w:rsidRPr="00EA2F02">
              <w:rPr>
                <w:rFonts w:ascii="Times New Roman" w:hAnsi="Times New Roman" w:cs="Times New Roman"/>
                <w:sz w:val="24"/>
                <w:szCs w:val="24"/>
                <w:lang w:val="ro-RO"/>
              </w:rPr>
              <w:lastRenderedPageBreak/>
              <w:t xml:space="preserve">finale de 5 × 26 g (26 g sunt necesare pentru a efectua analizele pentru salmonela și campylobacter în paralel utilizând o singură probă). După prelevare, probele se păstrează și se transportă la laborator la o temperatură de cel puțin 1 °C și cel mult 8 °C, iar intervalul de timp dintre prelevare și testare pentru campylobacter trebuie să fie de cel mult 48 de ore pentru a se asigura menținerea integrității probelor. Probele care au ajuns la o temperatură de 0 °C nu trebuie utilizate pentru a verifica respectarea criteriului pentru campylobacter. Probele de 5 × 26 g se utilizează pentru a verifica respectarea criteriilor de igienă a procedeelor specificate la pozițiile 2.1.5,  2.1.9 și poziția 1.28 din anexa la prezentele Reguli. În vederea preparării suspensiei inițiale în laborator, cantității de testare de 26 g i se adaugă nouă volume (234 ml) de apă peptonată tamponată (buffered peptone water – BPW). Înainte de utilizare, aceasta este adusă la temperatura camerei. Acest amestec se tratează într-un stomacher sau pulsifier timp de aproximativ un minut. Se evită formarea spumei eliminând, pe cât posibil, aerul din punga stomacher. 10 ml (~1 g) din această suspensie inițială se transferă într-un tub steril gol, iar 1 ml din acești 10 ml se </w:t>
            </w:r>
            <w:r w:rsidRPr="00EA2F02">
              <w:rPr>
                <w:rFonts w:ascii="Times New Roman" w:hAnsi="Times New Roman" w:cs="Times New Roman"/>
                <w:sz w:val="24"/>
                <w:szCs w:val="24"/>
                <w:lang w:val="ro-RO"/>
              </w:rPr>
              <w:lastRenderedPageBreak/>
              <w:t>utilizează la numărarea campylobacter pe plăci de selecție. Restul suspensiei de bază (250 ml ~ 25 g) este utilizat pentru detectarea salmonelei;</w:t>
            </w:r>
          </w:p>
          <w:p w:rsidR="00EA2F02" w:rsidRDefault="00EA2F02" w:rsidP="00EA2F02">
            <w:pPr>
              <w:spacing w:line="240" w:lineRule="atLeast"/>
              <w:jc w:val="both"/>
              <w:rPr>
                <w:rFonts w:ascii="Times New Roman" w:hAnsi="Times New Roman" w:cs="Times New Roman"/>
                <w:sz w:val="24"/>
                <w:szCs w:val="24"/>
                <w:lang w:val="ro-RO"/>
              </w:rPr>
            </w:pPr>
            <w:r w:rsidRPr="00EA2F02">
              <w:rPr>
                <w:rFonts w:ascii="Times New Roman" w:hAnsi="Times New Roman" w:cs="Times New Roman"/>
                <w:sz w:val="24"/>
                <w:szCs w:val="24"/>
                <w:lang w:val="ro-RO"/>
              </w:rPr>
              <w:t xml:space="preserve">2)  în două laboratoare diferite, trebuie prelevată în mod aleatoriu piele de pe gât de la cel puțin 20 carcase de păsări după răcirea acestora în cursul fiecărei sesiuni de prelevare. Înainte de examinare, probele de piele de pe gât de la cel puțin trei carcase de păsări domestice din același efectiv de origine trebuie puse în comun pentru a forma o probă de 35 g. Astfel, probele de piele de pe gât formează probe finale de 5 × 35 g, care apoi sunt divizate pentru a obține probe finale de 5 × 25 g (pentru a face teste de Salmonella) și de 5 × 10 g (pentru a face teste de campylobacter). După prelevare, probele se păstrează și se transportă la laborator la o temperatură de cel puțin 1 °C și cel mult 8 °C, iar intervalul de timp dintre prelevare și testare pentru Campylobacter trebuie să nu fie mai mare de 48 de ore pentru a se asigura menținerea integrității probelor. Probele care au ajuns la o temperatură de 0 °C nu trebuie utilizate pentru a verifica respectarea criteriului pentru campylobacter. Probele de 5 × 25 g se utilizează pentru a verifica respectarea criteriilor de igienă a procedeelor </w:t>
            </w:r>
            <w:r w:rsidRPr="00EA2F02">
              <w:rPr>
                <w:rFonts w:ascii="Times New Roman" w:hAnsi="Times New Roman" w:cs="Times New Roman"/>
                <w:sz w:val="24"/>
                <w:szCs w:val="24"/>
                <w:lang w:val="ro-RO"/>
              </w:rPr>
              <w:lastRenderedPageBreak/>
              <w:t>specificate la pozițiile 2.1.5 și 1.28  din anexa la prezentele Reguli. Probele finale de 5 × 10 g se utilizează și pentru verificarea respectării criteriului de igienă a procedeelor specificate la poziția 2.1.9 din anexa la prezentele Reguli ;</w:t>
            </w:r>
          </w:p>
          <w:p w:rsidR="00EA2F02" w:rsidRDefault="00EA2F02" w:rsidP="006A75CF">
            <w:pPr>
              <w:spacing w:line="240" w:lineRule="atLeast"/>
              <w:jc w:val="both"/>
              <w:rPr>
                <w:rFonts w:ascii="Times New Roman" w:hAnsi="Times New Roman" w:cs="Times New Roman"/>
                <w:sz w:val="24"/>
                <w:szCs w:val="24"/>
                <w:lang w:val="ro-RO"/>
              </w:rPr>
            </w:pPr>
          </w:p>
          <w:p w:rsidR="00EA2F02" w:rsidRPr="000C7BFA" w:rsidRDefault="00EA2F02" w:rsidP="006A75CF">
            <w:pPr>
              <w:spacing w:line="240" w:lineRule="atLeast"/>
              <w:jc w:val="both"/>
              <w:rPr>
                <w:rFonts w:ascii="Times New Roman" w:hAnsi="Times New Roman" w:cs="Times New Roman"/>
                <w:sz w:val="24"/>
                <w:szCs w:val="24"/>
                <w:lang w:val="ro-RO"/>
              </w:rPr>
            </w:pPr>
          </w:p>
        </w:tc>
        <w:tc>
          <w:tcPr>
            <w:tcW w:w="2280" w:type="dxa"/>
          </w:tcPr>
          <w:p w:rsidR="001408F7" w:rsidRDefault="001408F7" w:rsidP="00D27AAF">
            <w:pPr>
              <w:suppressLineNumbers/>
              <w:snapToGrid w:val="0"/>
              <w:rPr>
                <w:rFonts w:ascii="Times New Roman" w:eastAsia="SimSun" w:hAnsi="Times New Roman" w:cs="Times New Roman"/>
                <w:b/>
                <w:sz w:val="24"/>
                <w:szCs w:val="24"/>
                <w:lang w:val="ro-RO" w:eastAsia="ar-SA"/>
              </w:rPr>
            </w:pPr>
          </w:p>
          <w:p w:rsidR="001408F7" w:rsidRDefault="001408F7"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b/>
                <w:sz w:val="24"/>
                <w:szCs w:val="24"/>
                <w:lang w:val="ro-RO" w:eastAsia="ar-SA"/>
              </w:rPr>
              <w:t>Complet compatibil</w:t>
            </w:r>
          </w:p>
        </w:tc>
        <w:tc>
          <w:tcPr>
            <w:tcW w:w="1417" w:type="dxa"/>
          </w:tcPr>
          <w:p w:rsidR="00ED7A1A" w:rsidRPr="00972526" w:rsidRDefault="00ED7A1A" w:rsidP="00D27AAF">
            <w:pPr>
              <w:suppressLineNumbers/>
              <w:snapToGrid w:val="0"/>
              <w:rPr>
                <w:rFonts w:ascii="Times New Roman" w:eastAsia="SimSun" w:hAnsi="Times New Roman" w:cs="Times New Roman"/>
                <w:sz w:val="24"/>
                <w:szCs w:val="24"/>
                <w:lang w:val="en-US" w:eastAsia="ar-SA"/>
              </w:rPr>
            </w:pPr>
          </w:p>
        </w:tc>
        <w:tc>
          <w:tcPr>
            <w:tcW w:w="992" w:type="dxa"/>
          </w:tcPr>
          <w:p w:rsidR="00ED7A1A" w:rsidRPr="00972526" w:rsidRDefault="00ED7A1A" w:rsidP="00D27AAF">
            <w:pPr>
              <w:suppressLineNumbers/>
              <w:snapToGrid w:val="0"/>
              <w:rPr>
                <w:rFonts w:ascii="Times New Roman" w:eastAsia="SimSun" w:hAnsi="Times New Roman" w:cs="Times New Roman"/>
                <w:sz w:val="24"/>
                <w:szCs w:val="24"/>
                <w:lang w:val="en-US" w:eastAsia="ar-SA"/>
              </w:rPr>
            </w:pPr>
          </w:p>
        </w:tc>
        <w:tc>
          <w:tcPr>
            <w:tcW w:w="1347" w:type="dxa"/>
          </w:tcPr>
          <w:p w:rsidR="00ED7A1A" w:rsidRPr="00972526" w:rsidRDefault="00ED7A1A" w:rsidP="00D27AAF">
            <w:pPr>
              <w:suppressLineNumbers/>
              <w:snapToGrid w:val="0"/>
              <w:rPr>
                <w:rFonts w:ascii="Times New Roman" w:eastAsia="SimSun" w:hAnsi="Times New Roman" w:cs="Times New Roman"/>
                <w:sz w:val="24"/>
                <w:szCs w:val="24"/>
                <w:lang w:val="en-US" w:eastAsia="ar-SA"/>
              </w:rPr>
            </w:pPr>
          </w:p>
        </w:tc>
      </w:tr>
      <w:tr w:rsidR="006A75CF" w:rsidRPr="006A75CF" w:rsidTr="00306809">
        <w:trPr>
          <w:trHeight w:val="900"/>
        </w:trPr>
        <w:tc>
          <w:tcPr>
            <w:tcW w:w="4157" w:type="dxa"/>
          </w:tcPr>
          <w:p w:rsidR="00561054" w:rsidRPr="00024DEE" w:rsidRDefault="00561054" w:rsidP="00561054">
            <w:pPr>
              <w:shd w:val="clear" w:color="auto" w:fill="FFFFFF"/>
              <w:spacing w:line="240" w:lineRule="atLeast"/>
              <w:jc w:val="both"/>
              <w:textAlignment w:val="baseline"/>
              <w:rPr>
                <w:rFonts w:ascii="Times New Roman" w:eastAsia="Arial Unicode MS" w:hAnsi="Times New Roman" w:cs="Times New Roman"/>
                <w:b/>
                <w:color w:val="000000" w:themeColor="text1"/>
                <w:sz w:val="24"/>
                <w:szCs w:val="24"/>
                <w:lang w:val="ro-RO"/>
              </w:rPr>
            </w:pPr>
            <w:r w:rsidRPr="00024DEE">
              <w:rPr>
                <w:rFonts w:ascii="Times New Roman" w:eastAsia="Arial Unicode MS" w:hAnsi="Times New Roman" w:cs="Times New Roman"/>
                <w:b/>
                <w:color w:val="000000" w:themeColor="text1"/>
                <w:sz w:val="24"/>
                <w:szCs w:val="24"/>
                <w:lang w:val="ro-RO"/>
              </w:rPr>
              <w:lastRenderedPageBreak/>
              <w:t>Orientări pentru prelevarea de probe</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r w:rsidRPr="00561054">
              <w:rPr>
                <w:rFonts w:ascii="Times New Roman" w:eastAsia="Arial Unicode MS" w:hAnsi="Times New Roman" w:cs="Times New Roman"/>
                <w:color w:val="000000" w:themeColor="text1"/>
                <w:sz w:val="24"/>
                <w:szCs w:val="24"/>
                <w:lang w:val="ro-RO"/>
              </w:rPr>
              <w:t>Orientări mai detaliate privind prelevarea de probe de la carcase, în special în ceea ce privește zonele de prelevare a probelor, pot fi incluse în ghidurile de bune practici menționate la articolul 7 din Regulamentul (CE) nr. 852/2004.</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r w:rsidRPr="00561054">
              <w:rPr>
                <w:rFonts w:ascii="Times New Roman" w:eastAsia="Arial Unicode MS" w:hAnsi="Times New Roman" w:cs="Times New Roman"/>
                <w:color w:val="000000" w:themeColor="text1"/>
                <w:sz w:val="24"/>
                <w:szCs w:val="24"/>
                <w:lang w:val="ro-RO"/>
              </w:rPr>
              <w:t>Frecvențele prelevării de probe pentru carcase, carne tocată, preparate din carne, carne separată mecanic și carne proaspătă de pasăre</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r w:rsidRPr="00561054">
              <w:rPr>
                <w:rFonts w:ascii="Times New Roman" w:eastAsia="Arial Unicode MS" w:hAnsi="Times New Roman" w:cs="Times New Roman"/>
                <w:color w:val="000000" w:themeColor="text1"/>
                <w:sz w:val="24"/>
                <w:szCs w:val="24"/>
                <w:lang w:val="ro-RO"/>
              </w:rPr>
              <w:t>Operatorii din sectorul alimentar al abatoarelor sau unităților care produc carne tocată, preparate din carne, carne separată mecanic sau carne proaspătă de pasăre prelevează probe pentru analizele microbiologice cel puțin o dată pe săptămână. Ziua prelevării de probe se modifică în fiecare săptămână, astfel încât să se preleveze probe în fiecare zi a săptămânii.</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r w:rsidRPr="00561054">
              <w:rPr>
                <w:rFonts w:ascii="Times New Roman" w:eastAsia="Arial Unicode MS" w:hAnsi="Times New Roman" w:cs="Times New Roman"/>
                <w:color w:val="000000" w:themeColor="text1"/>
                <w:sz w:val="24"/>
                <w:szCs w:val="24"/>
                <w:lang w:val="ro-RO"/>
              </w:rPr>
              <w:lastRenderedPageBreak/>
              <w:t>În cazul prelevării de probe din carne tocată și preparate din carne pentru analizele referitoare la E. coli și la numărul de colonii aerobe și al prelevării de probe din carcase pentru analizele referitoare la Enterobacteriaceae și la numărul de colonii aerobe, frecvența poate fi redusă la o dată la două săptămâni, în cazul în care se obțin rezultate satisfăcătoare timp de șase săptămâni consecutive.</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r w:rsidRPr="00561054">
              <w:rPr>
                <w:rFonts w:ascii="Times New Roman" w:eastAsia="Arial Unicode MS" w:hAnsi="Times New Roman" w:cs="Times New Roman"/>
                <w:color w:val="000000" w:themeColor="text1"/>
                <w:sz w:val="24"/>
                <w:szCs w:val="24"/>
                <w:lang w:val="ro-RO"/>
              </w:rPr>
              <w:t>Pentru prelevarea de probe din carne tocată, preparate din carne, carcase și carne proaspătă de pasăre pentru analizele referitoare la Salmonella, frecvența poate fi redusă la o dată la două săptămâni, în cazul în care se obțin rezultate satisfăcătoare timp de 30 de săptămâni consecutive. Frecvența prelevării de probe pentru Salmonella poate fi redusă și în cazul în care există un program național sau regional de control pentru Salmonella, iar programul respectiv cuprinde teste care înlocuiesc prelevarea de probe descrisă mai sus. Această frecvență poate fi redusă și mai mult în cazul în care programul național sau regional de control pentru Salmonella demonstrează că prevalența Salmonellei este scăzută la animalele cumpărate de abator.</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r w:rsidRPr="00561054">
              <w:rPr>
                <w:rFonts w:ascii="Times New Roman" w:eastAsia="Arial Unicode MS" w:hAnsi="Times New Roman" w:cs="Times New Roman"/>
                <w:color w:val="000000" w:themeColor="text1"/>
                <w:sz w:val="24"/>
                <w:szCs w:val="24"/>
                <w:lang w:val="ro-RO"/>
              </w:rPr>
              <w:t xml:space="preserve">În cazul prelevării de probe pentru analiza Campylobacter a carcaselor de păsări domestice, frecvența poate fi redusă la o dată la două săptămâni, dacă se obțin rezultate satisfăcătoare timp de 52 de săptămâni consecutive. Cu aprobarea autorităților competente, frecvența de prelevare a probelor pentru Campylobacter poate fi redusă, dacă este în vigoare un program național sau regional oficial sau recunoscut oficial de control al Campylobacter și dacă acest program include prelevări de probe și testări echivalente prelevărilor de probe și testărilor necesare pentru verificarea respectării criteriului de igienă a procedeelor specificat la rândul 2.1.9 din capitolul 2. În cazul în care programul de control pentru Campylobacter prezintă o contaminare redusă a efectivelor, frecvența prelevării de probe poate fi redusă în continuare dacă acest nivel scăzut de contaminare cu Campylobacter este obținut într-o perioadă de 52 de săptămâni consecutive în exploatațiile de origine a puilor pentru îngrășare cumpărați de abator. În cazul în care programul de control indică rezultate satisfăcătoare într-o anumită perioadă a anului, frecvența analizelor pentru Campylobacter poate fi, de </w:t>
            </w:r>
            <w:r w:rsidRPr="00561054">
              <w:rPr>
                <w:rFonts w:ascii="Times New Roman" w:eastAsia="Arial Unicode MS" w:hAnsi="Times New Roman" w:cs="Times New Roman"/>
                <w:color w:val="000000" w:themeColor="text1"/>
                <w:sz w:val="24"/>
                <w:szCs w:val="24"/>
                <w:lang w:val="ro-RO"/>
              </w:rPr>
              <w:lastRenderedPageBreak/>
              <w:t>asemenea, după aprobarea autorității competente, adaptată variațiilor sezoniere.</w:t>
            </w:r>
          </w:p>
          <w:p w:rsidR="00561054" w:rsidRPr="00561054"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p>
          <w:p w:rsidR="006A75CF" w:rsidRPr="00ED7A1A" w:rsidRDefault="00561054" w:rsidP="00561054">
            <w:pPr>
              <w:shd w:val="clear" w:color="auto" w:fill="FFFFFF"/>
              <w:spacing w:line="240" w:lineRule="atLeast"/>
              <w:jc w:val="both"/>
              <w:textAlignment w:val="baseline"/>
              <w:rPr>
                <w:rFonts w:ascii="Times New Roman" w:eastAsia="Arial Unicode MS" w:hAnsi="Times New Roman" w:cs="Times New Roman"/>
                <w:color w:val="000000" w:themeColor="text1"/>
                <w:sz w:val="24"/>
                <w:szCs w:val="24"/>
                <w:lang w:val="ro-RO"/>
              </w:rPr>
            </w:pPr>
            <w:r w:rsidRPr="00561054">
              <w:rPr>
                <w:rFonts w:ascii="Times New Roman" w:eastAsia="Arial Unicode MS" w:hAnsi="Times New Roman" w:cs="Times New Roman"/>
                <w:color w:val="000000" w:themeColor="text1"/>
                <w:sz w:val="24"/>
                <w:szCs w:val="24"/>
                <w:lang w:val="ro-RO"/>
              </w:rPr>
              <w:t>Cu toate acestea, în cazul în care acest lucru se justifică în urma unei analize a riscurilor și este autorizat în consecință de autoritatea competentă, abatoarele și unitățile mici care produc carne tocată, preparate din carne și carne proaspătă de pasăre în cantități mici pot fi scutite de obligația de a respecta aceste frecvențe de prelevare a probelor.”</w:t>
            </w:r>
          </w:p>
        </w:tc>
        <w:tc>
          <w:tcPr>
            <w:tcW w:w="4303" w:type="dxa"/>
          </w:tcPr>
          <w:p w:rsidR="006A75CF" w:rsidRDefault="006A75CF"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Default="00EA2F02" w:rsidP="006A75CF">
            <w:pPr>
              <w:spacing w:line="240" w:lineRule="atLeast"/>
              <w:jc w:val="both"/>
              <w:rPr>
                <w:rFonts w:ascii="Times New Roman" w:eastAsia="SimSun" w:hAnsi="Times New Roman" w:cs="Times New Roman"/>
                <w:sz w:val="24"/>
                <w:szCs w:val="24"/>
                <w:lang w:val="en-US" w:eastAsia="ar-SA"/>
              </w:rPr>
            </w:pPr>
          </w:p>
          <w:p w:rsidR="00EA2F02" w:rsidRPr="00EA2F02" w:rsidRDefault="00EA2F02" w:rsidP="00EA2F02">
            <w:pPr>
              <w:spacing w:line="240" w:lineRule="atLeast"/>
              <w:jc w:val="both"/>
              <w:rPr>
                <w:rFonts w:ascii="Times New Roman" w:eastAsia="SimSun" w:hAnsi="Times New Roman" w:cs="Times New Roman"/>
                <w:sz w:val="24"/>
                <w:szCs w:val="24"/>
                <w:lang w:val="en-US" w:eastAsia="ar-SA"/>
              </w:rPr>
            </w:pPr>
            <w:r w:rsidRPr="00EA2F02">
              <w:rPr>
                <w:rFonts w:ascii="Times New Roman" w:eastAsia="SimSun" w:hAnsi="Times New Roman" w:cs="Times New Roman"/>
                <w:sz w:val="24"/>
                <w:szCs w:val="24"/>
                <w:lang w:val="en-US" w:eastAsia="ar-SA"/>
              </w:rPr>
              <w:t>5) punctul 37 se modifică și va avea următorul conținut :</w:t>
            </w:r>
          </w:p>
          <w:p w:rsidR="00EA2F02" w:rsidRPr="00EA2F02" w:rsidRDefault="00EA2F02" w:rsidP="00EA2F02">
            <w:pPr>
              <w:spacing w:line="240" w:lineRule="atLeast"/>
              <w:jc w:val="both"/>
              <w:rPr>
                <w:rFonts w:ascii="Times New Roman" w:eastAsia="SimSun" w:hAnsi="Times New Roman" w:cs="Times New Roman"/>
                <w:sz w:val="24"/>
                <w:szCs w:val="24"/>
                <w:lang w:val="en-US" w:eastAsia="ar-SA"/>
              </w:rPr>
            </w:pPr>
            <w:r w:rsidRPr="00EA2F02">
              <w:rPr>
                <w:rFonts w:ascii="Times New Roman" w:eastAsia="SimSun" w:hAnsi="Times New Roman" w:cs="Times New Roman"/>
                <w:sz w:val="24"/>
                <w:szCs w:val="24"/>
                <w:lang w:val="en-US" w:eastAsia="ar-SA"/>
              </w:rPr>
              <w:t xml:space="preserve">Pentru prelevarea de probe din carne tocată, preparate din carne, carcase şi carne proaspătă de pasăre pentru analizele referitoare la salmonelă, frecvenţa poate fi redusă la o dată la două săptămîni, în cazul în care se obţin rezultate satisfăcătoare timp de 30 de săptămîni consecutive. </w:t>
            </w:r>
          </w:p>
          <w:p w:rsidR="00EA2F02" w:rsidRPr="00EA2F02" w:rsidRDefault="00EA2F02" w:rsidP="00EA2F02">
            <w:pPr>
              <w:spacing w:line="240" w:lineRule="atLeast"/>
              <w:jc w:val="both"/>
              <w:rPr>
                <w:rFonts w:ascii="Times New Roman" w:eastAsia="SimSun" w:hAnsi="Times New Roman" w:cs="Times New Roman"/>
                <w:sz w:val="24"/>
                <w:szCs w:val="24"/>
                <w:lang w:val="en-US" w:eastAsia="ar-SA"/>
              </w:rPr>
            </w:pPr>
            <w:r w:rsidRPr="00EA2F02">
              <w:rPr>
                <w:rFonts w:ascii="Times New Roman" w:eastAsia="SimSun" w:hAnsi="Times New Roman" w:cs="Times New Roman"/>
                <w:sz w:val="24"/>
                <w:szCs w:val="24"/>
                <w:lang w:val="en-US" w:eastAsia="ar-SA"/>
              </w:rPr>
              <w:t>Fregvența prelevării de probe pentru salmonela poate fi redusă în conformitate cu Hotărârea Guvernului nr. 398/2012 pentru aprobarea unor norme sanitar-veterinare privind controlul şi reducerea prevalenţei salmonelelor în efectivele de animale.</w:t>
            </w:r>
          </w:p>
          <w:p w:rsidR="00EA2F02" w:rsidRPr="006A75CF" w:rsidRDefault="00EA2F02" w:rsidP="00EA2F02">
            <w:pPr>
              <w:spacing w:line="240" w:lineRule="atLeast"/>
              <w:jc w:val="both"/>
              <w:rPr>
                <w:rFonts w:ascii="Times New Roman" w:eastAsia="SimSun" w:hAnsi="Times New Roman" w:cs="Times New Roman"/>
                <w:sz w:val="24"/>
                <w:szCs w:val="24"/>
                <w:lang w:val="en-US" w:eastAsia="ar-SA"/>
              </w:rPr>
            </w:pPr>
            <w:r w:rsidRPr="00EA2F02">
              <w:rPr>
                <w:rFonts w:ascii="Times New Roman" w:eastAsia="SimSun" w:hAnsi="Times New Roman" w:cs="Times New Roman"/>
                <w:sz w:val="24"/>
                <w:szCs w:val="24"/>
                <w:lang w:val="en-US" w:eastAsia="ar-SA"/>
              </w:rPr>
              <w:t xml:space="preserve"> În cazul prelevării de probe pentru analiza campylobacter a carcaselor de păsări domestice, frecvența poate fi </w:t>
            </w:r>
            <w:r w:rsidRPr="00EA2F02">
              <w:rPr>
                <w:rFonts w:ascii="Times New Roman" w:eastAsia="SimSun" w:hAnsi="Times New Roman" w:cs="Times New Roman"/>
                <w:sz w:val="24"/>
                <w:szCs w:val="24"/>
                <w:lang w:val="en-US" w:eastAsia="ar-SA"/>
              </w:rPr>
              <w:lastRenderedPageBreak/>
              <w:t>redusă la o dată la două săptămâni, dacă se obțin rezultate satisfăcătoare timp de 52 de săptămâni consecutive. Frecvenţa prelevării de probe pentru campylobacter poate fi redusă din momentul în care Agenţia Naţională pentru Siguranţa Alimentelor va elabora şi pune în aplicare un Program naţional sau regional de control a Campylobacter, potrivit prevederilor art. 29 al Legii nr. 221/2007 privind activitatea sanitar-veterinară. În cazul în care programul de control pentru campylobacter prezintă o contaminare redusă a efectivelor, frecvența prelevării de probe poate fi redusă în continuare dacă acest nivel scăzut de contaminare cu campylobacter este obținut într-o perioadă de 52 de săptămâni consecutive în exploatațiile de origine a puilor pentru îngrășare cumpărați de abator. În cazul în care programul de control indică rezultate satisfăcătoare într-o anumită perioadă a anului, frecvența analizelor pentru campylobacter poate fi, de asemenea, după aprobarea autorității competente, adaptată variațiilor sezoniere.</w:t>
            </w:r>
          </w:p>
        </w:tc>
        <w:tc>
          <w:tcPr>
            <w:tcW w:w="2280" w:type="dxa"/>
          </w:tcPr>
          <w:p w:rsidR="006A75CF" w:rsidRDefault="000D6AA9" w:rsidP="00D27AAF">
            <w:pPr>
              <w:suppressLineNumbers/>
              <w:snapToGrid w:val="0"/>
              <w:rPr>
                <w:rFonts w:ascii="Times New Roman" w:eastAsia="SimSun" w:hAnsi="Times New Roman" w:cs="Times New Roman"/>
                <w:sz w:val="24"/>
                <w:szCs w:val="24"/>
                <w:lang w:val="ro-RO" w:eastAsia="ar-SA"/>
              </w:rPr>
            </w:pPr>
            <w:r>
              <w:rPr>
                <w:rFonts w:ascii="Times New Roman" w:eastAsia="SimSun" w:hAnsi="Times New Roman" w:cs="Times New Roman"/>
                <w:sz w:val="24"/>
                <w:szCs w:val="24"/>
                <w:lang w:val="ro-RO" w:eastAsia="ar-SA"/>
              </w:rPr>
              <w:lastRenderedPageBreak/>
              <w:t>Complet compatibil</w:t>
            </w:r>
            <w:bookmarkStart w:id="0" w:name="_GoBack"/>
            <w:bookmarkEnd w:id="0"/>
          </w:p>
        </w:tc>
        <w:tc>
          <w:tcPr>
            <w:tcW w:w="1417" w:type="dxa"/>
          </w:tcPr>
          <w:p w:rsidR="006A75CF" w:rsidRPr="006A75CF" w:rsidRDefault="006A75CF" w:rsidP="00D27AAF">
            <w:pPr>
              <w:suppressLineNumbers/>
              <w:snapToGrid w:val="0"/>
              <w:rPr>
                <w:rFonts w:ascii="Times New Roman" w:eastAsia="SimSun" w:hAnsi="Times New Roman" w:cs="Times New Roman"/>
                <w:sz w:val="24"/>
                <w:szCs w:val="24"/>
                <w:lang w:val="en-US" w:eastAsia="ar-SA"/>
              </w:rPr>
            </w:pPr>
          </w:p>
        </w:tc>
        <w:tc>
          <w:tcPr>
            <w:tcW w:w="992" w:type="dxa"/>
          </w:tcPr>
          <w:p w:rsidR="006A75CF" w:rsidRPr="006A75CF" w:rsidRDefault="006A75CF" w:rsidP="00D27AAF">
            <w:pPr>
              <w:suppressLineNumbers/>
              <w:snapToGrid w:val="0"/>
              <w:rPr>
                <w:rFonts w:ascii="Times New Roman" w:eastAsia="SimSun" w:hAnsi="Times New Roman" w:cs="Times New Roman"/>
                <w:sz w:val="24"/>
                <w:szCs w:val="24"/>
                <w:lang w:val="en-US" w:eastAsia="ar-SA"/>
              </w:rPr>
            </w:pPr>
          </w:p>
        </w:tc>
        <w:tc>
          <w:tcPr>
            <w:tcW w:w="1347" w:type="dxa"/>
          </w:tcPr>
          <w:p w:rsidR="006A75CF" w:rsidRPr="006A75CF" w:rsidRDefault="006A75CF" w:rsidP="00D27AAF">
            <w:pPr>
              <w:suppressLineNumbers/>
              <w:snapToGrid w:val="0"/>
              <w:rPr>
                <w:rFonts w:ascii="Times New Roman" w:eastAsia="SimSun" w:hAnsi="Times New Roman" w:cs="Times New Roman"/>
                <w:sz w:val="24"/>
                <w:szCs w:val="24"/>
                <w:lang w:val="en-US" w:eastAsia="ar-SA"/>
              </w:rPr>
            </w:pPr>
          </w:p>
        </w:tc>
      </w:tr>
    </w:tbl>
    <w:p w:rsidR="00D27AAF" w:rsidRPr="00AE7214" w:rsidRDefault="00D27AAF" w:rsidP="00D27AAF">
      <w:pPr>
        <w:suppressAutoHyphens/>
        <w:spacing w:after="0" w:line="240" w:lineRule="auto"/>
        <w:rPr>
          <w:rFonts w:ascii="Times New Roman" w:eastAsia="SimSun" w:hAnsi="Times New Roman" w:cs="Times New Roman"/>
          <w:sz w:val="24"/>
          <w:szCs w:val="24"/>
          <w:lang w:val="en-US" w:eastAsia="ar-SA"/>
        </w:rPr>
      </w:pPr>
    </w:p>
    <w:p w:rsidR="00D27AAF" w:rsidRPr="00A81A37" w:rsidRDefault="00D27AAF" w:rsidP="00D27AAF">
      <w:pPr>
        <w:suppressAutoHyphens/>
        <w:spacing w:after="0" w:line="240" w:lineRule="auto"/>
        <w:rPr>
          <w:rFonts w:ascii="Times New Roman" w:eastAsia="SimSun" w:hAnsi="Times New Roman" w:cs="Times New Roman"/>
          <w:sz w:val="24"/>
          <w:szCs w:val="24"/>
          <w:lang w:val="ro-RO" w:eastAsia="ar-SA"/>
        </w:rPr>
      </w:pPr>
      <w:r w:rsidRPr="00016706">
        <w:rPr>
          <w:rFonts w:ascii="Times New Roman" w:eastAsia="SimSun" w:hAnsi="Times New Roman" w:cs="Times New Roman"/>
          <w:sz w:val="24"/>
          <w:szCs w:val="24"/>
          <w:lang w:val="en-US" w:eastAsia="ar-SA"/>
        </w:rPr>
        <w:t xml:space="preserve">Ex.: </w:t>
      </w:r>
      <w:r w:rsidR="00E9061D">
        <w:rPr>
          <w:rFonts w:ascii="Times New Roman" w:eastAsia="SimSun" w:hAnsi="Times New Roman" w:cs="Times New Roman"/>
          <w:sz w:val="24"/>
          <w:szCs w:val="24"/>
          <w:lang w:val="ro-RO" w:eastAsia="ar-SA"/>
        </w:rPr>
        <w:t>Malancea Nicolae</w:t>
      </w:r>
    </w:p>
    <w:p w:rsidR="0027455B" w:rsidRPr="00A81A37" w:rsidRDefault="00D27AAF" w:rsidP="00E9061D">
      <w:pPr>
        <w:suppressAutoHyphens/>
        <w:spacing w:after="0" w:line="240" w:lineRule="auto"/>
        <w:rPr>
          <w:rFonts w:ascii="Times New Roman" w:eastAsia="SimSun" w:hAnsi="Times New Roman" w:cs="Times New Roman"/>
          <w:sz w:val="24"/>
          <w:szCs w:val="24"/>
          <w:lang w:val="ro-RO" w:eastAsia="ar-SA"/>
        </w:rPr>
      </w:pPr>
      <w:r w:rsidRPr="00741890">
        <w:rPr>
          <w:rFonts w:ascii="Times New Roman" w:eastAsia="SimSun" w:hAnsi="Times New Roman" w:cs="Times New Roman"/>
          <w:sz w:val="24"/>
          <w:szCs w:val="24"/>
          <w:lang w:eastAsia="ar-SA"/>
        </w:rPr>
        <w:sym w:font="Wingdings" w:char="F028"/>
      </w:r>
      <w:r w:rsidRPr="00016706">
        <w:rPr>
          <w:rFonts w:ascii="Times New Roman" w:eastAsia="SimSun" w:hAnsi="Times New Roman" w:cs="Times New Roman"/>
          <w:sz w:val="24"/>
          <w:szCs w:val="24"/>
          <w:lang w:val="en-US" w:eastAsia="ar-SA"/>
        </w:rPr>
        <w:t xml:space="preserve"> </w:t>
      </w:r>
      <w:r w:rsidR="00E9061D">
        <w:rPr>
          <w:rFonts w:ascii="Times New Roman" w:eastAsia="SimSun" w:hAnsi="Times New Roman" w:cs="Times New Roman"/>
          <w:sz w:val="24"/>
          <w:szCs w:val="24"/>
          <w:lang w:val="en-US" w:eastAsia="ar-SA"/>
        </w:rPr>
        <w:t>022-204-585</w:t>
      </w:r>
    </w:p>
    <w:p w:rsidR="004D349F" w:rsidRPr="004D349F" w:rsidRDefault="004D349F" w:rsidP="00D27AAF">
      <w:pPr>
        <w:rPr>
          <w:rFonts w:ascii="Times New Roman" w:hAnsi="Times New Roman" w:cs="Times New Roman"/>
          <w:sz w:val="24"/>
          <w:szCs w:val="24"/>
          <w:lang w:val="en-US"/>
        </w:rPr>
      </w:pPr>
    </w:p>
    <w:p w:rsidR="00565FD2" w:rsidRPr="00D27AAF" w:rsidRDefault="00565FD2">
      <w:pPr>
        <w:rPr>
          <w:lang w:val="en-US"/>
        </w:rPr>
      </w:pPr>
    </w:p>
    <w:sectPr w:rsidR="00565FD2" w:rsidRPr="00D27AAF" w:rsidSect="00D27AAF">
      <w:footerReference w:type="default" r:id="rId10"/>
      <w:pgSz w:w="16838" w:h="11906" w:orient="landscape"/>
      <w:pgMar w:top="1418" w:right="964" w:bottom="1418" w:left="18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653" w:rsidRDefault="00AF7653" w:rsidP="00410235">
      <w:pPr>
        <w:spacing w:after="0" w:line="240" w:lineRule="auto"/>
      </w:pPr>
      <w:r>
        <w:separator/>
      </w:r>
    </w:p>
  </w:endnote>
  <w:endnote w:type="continuationSeparator" w:id="0">
    <w:p w:rsidR="00AF7653" w:rsidRDefault="00AF7653" w:rsidP="0041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6020"/>
      <w:docPartObj>
        <w:docPartGallery w:val="Page Numbers (Bottom of Page)"/>
        <w:docPartUnique/>
      </w:docPartObj>
    </w:sdtPr>
    <w:sdtEndPr/>
    <w:sdtContent>
      <w:p w:rsidR="00D71493" w:rsidRDefault="00D71493">
        <w:pPr>
          <w:pStyle w:val="a4"/>
          <w:jc w:val="right"/>
        </w:pPr>
        <w:r>
          <w:fldChar w:fldCharType="begin"/>
        </w:r>
        <w:r>
          <w:instrText>PAGE   \* MERGEFORMAT</w:instrText>
        </w:r>
        <w:r>
          <w:fldChar w:fldCharType="separate"/>
        </w:r>
        <w:r w:rsidR="000D6AA9">
          <w:rPr>
            <w:noProof/>
          </w:rPr>
          <w:t>15</w:t>
        </w:r>
        <w:r>
          <w:rPr>
            <w:noProof/>
          </w:rPr>
          <w:fldChar w:fldCharType="end"/>
        </w:r>
      </w:p>
    </w:sdtContent>
  </w:sdt>
  <w:p w:rsidR="00D71493" w:rsidRDefault="00D7149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653" w:rsidRDefault="00AF7653" w:rsidP="00410235">
      <w:pPr>
        <w:spacing w:after="0" w:line="240" w:lineRule="auto"/>
      </w:pPr>
      <w:r>
        <w:separator/>
      </w:r>
    </w:p>
  </w:footnote>
  <w:footnote w:type="continuationSeparator" w:id="0">
    <w:p w:rsidR="00AF7653" w:rsidRDefault="00AF7653" w:rsidP="00410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355E2"/>
    <w:multiLevelType w:val="hybridMultilevel"/>
    <w:tmpl w:val="DD0E0532"/>
    <w:lvl w:ilvl="0" w:tplc="3A60F6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9D00BA"/>
    <w:multiLevelType w:val="hybridMultilevel"/>
    <w:tmpl w:val="8F7610EC"/>
    <w:lvl w:ilvl="0" w:tplc="1862B5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AF"/>
    <w:rsid w:val="0000255A"/>
    <w:rsid w:val="00024DEE"/>
    <w:rsid w:val="000563D4"/>
    <w:rsid w:val="00076222"/>
    <w:rsid w:val="00077B4C"/>
    <w:rsid w:val="000C1256"/>
    <w:rsid w:val="000C7BFA"/>
    <w:rsid w:val="000D6AA9"/>
    <w:rsid w:val="001408F7"/>
    <w:rsid w:val="0014620A"/>
    <w:rsid w:val="00185707"/>
    <w:rsid w:val="00211954"/>
    <w:rsid w:val="00266D75"/>
    <w:rsid w:val="0027455B"/>
    <w:rsid w:val="002F3CAD"/>
    <w:rsid w:val="00306809"/>
    <w:rsid w:val="00353B45"/>
    <w:rsid w:val="0037488A"/>
    <w:rsid w:val="00396EEE"/>
    <w:rsid w:val="00410235"/>
    <w:rsid w:val="00450B8D"/>
    <w:rsid w:val="004878E8"/>
    <w:rsid w:val="004C7821"/>
    <w:rsid w:val="004D349F"/>
    <w:rsid w:val="0051369B"/>
    <w:rsid w:val="00515895"/>
    <w:rsid w:val="00561054"/>
    <w:rsid w:val="00565FD2"/>
    <w:rsid w:val="00577305"/>
    <w:rsid w:val="006A75CF"/>
    <w:rsid w:val="00732405"/>
    <w:rsid w:val="0075203A"/>
    <w:rsid w:val="007E17F8"/>
    <w:rsid w:val="00A92018"/>
    <w:rsid w:val="00AF59A3"/>
    <w:rsid w:val="00AF7653"/>
    <w:rsid w:val="00B40AA5"/>
    <w:rsid w:val="00BB687E"/>
    <w:rsid w:val="00BD10B3"/>
    <w:rsid w:val="00BF7AA0"/>
    <w:rsid w:val="00C05F66"/>
    <w:rsid w:val="00C42EA8"/>
    <w:rsid w:val="00D27AAF"/>
    <w:rsid w:val="00D71493"/>
    <w:rsid w:val="00DD7D92"/>
    <w:rsid w:val="00E9061D"/>
    <w:rsid w:val="00EA2F02"/>
    <w:rsid w:val="00ED7A1A"/>
    <w:rsid w:val="00F0192A"/>
    <w:rsid w:val="00F12B11"/>
    <w:rsid w:val="00F57DD3"/>
    <w:rsid w:val="00FA2A6A"/>
    <w:rsid w:val="00FD4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D776"/>
  <w15:docId w15:val="{14D32446-AABF-47D8-9C79-F024D745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1"/>
    <w:uiPriority w:val="59"/>
    <w:rsid w:val="00D27AA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4">
    <w:name w:val="footer"/>
    <w:basedOn w:val="a"/>
    <w:link w:val="a5"/>
    <w:uiPriority w:val="99"/>
    <w:unhideWhenUsed/>
    <w:rsid w:val="00D27AAF"/>
    <w:pPr>
      <w:tabs>
        <w:tab w:val="center" w:pos="4677"/>
        <w:tab w:val="right" w:pos="9355"/>
      </w:tabs>
      <w:suppressAutoHyphens/>
      <w:spacing w:after="0" w:line="240" w:lineRule="auto"/>
    </w:pPr>
    <w:rPr>
      <w:rFonts w:ascii="Times New Roman" w:eastAsia="SimSun" w:hAnsi="Times New Roman" w:cs="Times New Roman"/>
      <w:sz w:val="24"/>
      <w:szCs w:val="24"/>
      <w:lang w:eastAsia="ar-SA"/>
    </w:rPr>
  </w:style>
  <w:style w:type="character" w:customStyle="1" w:styleId="a5">
    <w:name w:val="Нижний колонтитул Знак"/>
    <w:basedOn w:val="a0"/>
    <w:link w:val="a4"/>
    <w:uiPriority w:val="99"/>
    <w:rsid w:val="00D27AAF"/>
    <w:rPr>
      <w:rFonts w:ascii="Times New Roman" w:eastAsia="SimSun" w:hAnsi="Times New Roman" w:cs="Times New Roman"/>
      <w:sz w:val="24"/>
      <w:szCs w:val="24"/>
      <w:lang w:eastAsia="ar-SA"/>
    </w:rPr>
  </w:style>
  <w:style w:type="character" w:styleId="a6">
    <w:name w:val="Hyperlink"/>
    <w:basedOn w:val="a0"/>
    <w:uiPriority w:val="99"/>
    <w:unhideWhenUsed/>
    <w:rsid w:val="00D27AAF"/>
    <w:rPr>
      <w:color w:val="0000FF"/>
      <w:u w:val="single"/>
    </w:rPr>
  </w:style>
  <w:style w:type="table" w:styleId="1">
    <w:name w:val="Table Classic 1"/>
    <w:basedOn w:val="a1"/>
    <w:uiPriority w:val="99"/>
    <w:semiHidden/>
    <w:unhideWhenUsed/>
    <w:rsid w:val="00D27AA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7">
    <w:name w:val="List Paragraph"/>
    <w:basedOn w:val="a"/>
    <w:uiPriority w:val="34"/>
    <w:qFormat/>
    <w:rsid w:val="004D349F"/>
    <w:pPr>
      <w:ind w:left="720"/>
      <w:contextualSpacing/>
    </w:pPr>
  </w:style>
  <w:style w:type="character" w:customStyle="1" w:styleId="docheader">
    <w:name w:val="doc_header"/>
    <w:basedOn w:val="a0"/>
    <w:rsid w:val="0075203A"/>
  </w:style>
  <w:style w:type="paragraph" w:customStyle="1" w:styleId="doc-ti">
    <w:name w:val="doc-ti"/>
    <w:basedOn w:val="a"/>
    <w:rsid w:val="007520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42269">
      <w:bodyDiv w:val="1"/>
      <w:marLeft w:val="0"/>
      <w:marRight w:val="0"/>
      <w:marTop w:val="0"/>
      <w:marBottom w:val="0"/>
      <w:divBdr>
        <w:top w:val="none" w:sz="0" w:space="0" w:color="auto"/>
        <w:left w:val="none" w:sz="0" w:space="0" w:color="auto"/>
        <w:bottom w:val="none" w:sz="0" w:space="0" w:color="auto"/>
        <w:right w:val="none" w:sz="0" w:space="0" w:color="auto"/>
      </w:divBdr>
    </w:div>
    <w:div w:id="208416881">
      <w:bodyDiv w:val="1"/>
      <w:marLeft w:val="0"/>
      <w:marRight w:val="0"/>
      <w:marTop w:val="0"/>
      <w:marBottom w:val="0"/>
      <w:divBdr>
        <w:top w:val="none" w:sz="0" w:space="0" w:color="auto"/>
        <w:left w:val="none" w:sz="0" w:space="0" w:color="auto"/>
        <w:bottom w:val="none" w:sz="0" w:space="0" w:color="auto"/>
        <w:right w:val="none" w:sz="0" w:space="0" w:color="auto"/>
      </w:divBdr>
    </w:div>
    <w:div w:id="338116858">
      <w:bodyDiv w:val="1"/>
      <w:marLeft w:val="0"/>
      <w:marRight w:val="0"/>
      <w:marTop w:val="0"/>
      <w:marBottom w:val="0"/>
      <w:divBdr>
        <w:top w:val="none" w:sz="0" w:space="0" w:color="auto"/>
        <w:left w:val="none" w:sz="0" w:space="0" w:color="auto"/>
        <w:bottom w:val="none" w:sz="0" w:space="0" w:color="auto"/>
        <w:right w:val="none" w:sz="0" w:space="0" w:color="auto"/>
      </w:divBdr>
    </w:div>
    <w:div w:id="489180255">
      <w:bodyDiv w:val="1"/>
      <w:marLeft w:val="0"/>
      <w:marRight w:val="0"/>
      <w:marTop w:val="0"/>
      <w:marBottom w:val="0"/>
      <w:divBdr>
        <w:top w:val="none" w:sz="0" w:space="0" w:color="auto"/>
        <w:left w:val="none" w:sz="0" w:space="0" w:color="auto"/>
        <w:bottom w:val="none" w:sz="0" w:space="0" w:color="auto"/>
        <w:right w:val="none" w:sz="0" w:space="0" w:color="auto"/>
      </w:divBdr>
    </w:div>
    <w:div w:id="515122872">
      <w:bodyDiv w:val="1"/>
      <w:marLeft w:val="0"/>
      <w:marRight w:val="0"/>
      <w:marTop w:val="0"/>
      <w:marBottom w:val="0"/>
      <w:divBdr>
        <w:top w:val="none" w:sz="0" w:space="0" w:color="auto"/>
        <w:left w:val="none" w:sz="0" w:space="0" w:color="auto"/>
        <w:bottom w:val="none" w:sz="0" w:space="0" w:color="auto"/>
        <w:right w:val="none" w:sz="0" w:space="0" w:color="auto"/>
      </w:divBdr>
    </w:div>
    <w:div w:id="790590748">
      <w:bodyDiv w:val="1"/>
      <w:marLeft w:val="0"/>
      <w:marRight w:val="0"/>
      <w:marTop w:val="0"/>
      <w:marBottom w:val="0"/>
      <w:divBdr>
        <w:top w:val="none" w:sz="0" w:space="0" w:color="auto"/>
        <w:left w:val="none" w:sz="0" w:space="0" w:color="auto"/>
        <w:bottom w:val="none" w:sz="0" w:space="0" w:color="auto"/>
        <w:right w:val="none" w:sz="0" w:space="0" w:color="auto"/>
      </w:divBdr>
    </w:div>
    <w:div w:id="1078946561">
      <w:bodyDiv w:val="1"/>
      <w:marLeft w:val="0"/>
      <w:marRight w:val="0"/>
      <w:marTop w:val="0"/>
      <w:marBottom w:val="0"/>
      <w:divBdr>
        <w:top w:val="none" w:sz="0" w:space="0" w:color="auto"/>
        <w:left w:val="none" w:sz="0" w:space="0" w:color="auto"/>
        <w:bottom w:val="none" w:sz="0" w:space="0" w:color="auto"/>
        <w:right w:val="none" w:sz="0" w:space="0" w:color="auto"/>
      </w:divBdr>
    </w:div>
    <w:div w:id="1094011894">
      <w:bodyDiv w:val="1"/>
      <w:marLeft w:val="0"/>
      <w:marRight w:val="0"/>
      <w:marTop w:val="0"/>
      <w:marBottom w:val="0"/>
      <w:divBdr>
        <w:top w:val="none" w:sz="0" w:space="0" w:color="auto"/>
        <w:left w:val="none" w:sz="0" w:space="0" w:color="auto"/>
        <w:bottom w:val="none" w:sz="0" w:space="0" w:color="auto"/>
        <w:right w:val="none" w:sz="0" w:space="0" w:color="auto"/>
      </w:divBdr>
    </w:div>
    <w:div w:id="1113523698">
      <w:bodyDiv w:val="1"/>
      <w:marLeft w:val="0"/>
      <w:marRight w:val="0"/>
      <w:marTop w:val="0"/>
      <w:marBottom w:val="0"/>
      <w:divBdr>
        <w:top w:val="none" w:sz="0" w:space="0" w:color="auto"/>
        <w:left w:val="none" w:sz="0" w:space="0" w:color="auto"/>
        <w:bottom w:val="none" w:sz="0" w:space="0" w:color="auto"/>
        <w:right w:val="none" w:sz="0" w:space="0" w:color="auto"/>
      </w:divBdr>
    </w:div>
    <w:div w:id="1161851234">
      <w:bodyDiv w:val="1"/>
      <w:marLeft w:val="0"/>
      <w:marRight w:val="0"/>
      <w:marTop w:val="0"/>
      <w:marBottom w:val="0"/>
      <w:divBdr>
        <w:top w:val="none" w:sz="0" w:space="0" w:color="auto"/>
        <w:left w:val="none" w:sz="0" w:space="0" w:color="auto"/>
        <w:bottom w:val="none" w:sz="0" w:space="0" w:color="auto"/>
        <w:right w:val="none" w:sz="0" w:space="0" w:color="auto"/>
      </w:divBdr>
    </w:div>
    <w:div w:id="1231234173">
      <w:bodyDiv w:val="1"/>
      <w:marLeft w:val="0"/>
      <w:marRight w:val="0"/>
      <w:marTop w:val="0"/>
      <w:marBottom w:val="0"/>
      <w:divBdr>
        <w:top w:val="none" w:sz="0" w:space="0" w:color="auto"/>
        <w:left w:val="none" w:sz="0" w:space="0" w:color="auto"/>
        <w:bottom w:val="none" w:sz="0" w:space="0" w:color="auto"/>
        <w:right w:val="none" w:sz="0" w:space="0" w:color="auto"/>
      </w:divBdr>
    </w:div>
    <w:div w:id="1346135079">
      <w:bodyDiv w:val="1"/>
      <w:marLeft w:val="0"/>
      <w:marRight w:val="0"/>
      <w:marTop w:val="0"/>
      <w:marBottom w:val="0"/>
      <w:divBdr>
        <w:top w:val="none" w:sz="0" w:space="0" w:color="auto"/>
        <w:left w:val="none" w:sz="0" w:space="0" w:color="auto"/>
        <w:bottom w:val="none" w:sz="0" w:space="0" w:color="auto"/>
        <w:right w:val="none" w:sz="0" w:space="0" w:color="auto"/>
      </w:divBdr>
    </w:div>
    <w:div w:id="1394502082">
      <w:bodyDiv w:val="1"/>
      <w:marLeft w:val="0"/>
      <w:marRight w:val="0"/>
      <w:marTop w:val="0"/>
      <w:marBottom w:val="0"/>
      <w:divBdr>
        <w:top w:val="none" w:sz="0" w:space="0" w:color="auto"/>
        <w:left w:val="none" w:sz="0" w:space="0" w:color="auto"/>
        <w:bottom w:val="none" w:sz="0" w:space="0" w:color="auto"/>
        <w:right w:val="none" w:sz="0" w:space="0" w:color="auto"/>
      </w:divBdr>
    </w:div>
    <w:div w:id="1779836679">
      <w:bodyDiv w:val="1"/>
      <w:marLeft w:val="0"/>
      <w:marRight w:val="0"/>
      <w:marTop w:val="0"/>
      <w:marBottom w:val="0"/>
      <w:divBdr>
        <w:top w:val="none" w:sz="0" w:space="0" w:color="auto"/>
        <w:left w:val="none" w:sz="0" w:space="0" w:color="auto"/>
        <w:bottom w:val="none" w:sz="0" w:space="0" w:color="auto"/>
        <w:right w:val="none" w:sz="0" w:space="0" w:color="auto"/>
      </w:divBdr>
    </w:div>
    <w:div w:id="207041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20035-17CD-4CE1-A70C-912978AB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Pages>
  <Words>4879</Words>
  <Characters>27814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Вован Прайм</dc:creator>
  <cp:lastModifiedBy>Diana</cp:lastModifiedBy>
  <cp:revision>18</cp:revision>
  <dcterms:created xsi:type="dcterms:W3CDTF">2018-09-03T10:53:00Z</dcterms:created>
  <dcterms:modified xsi:type="dcterms:W3CDTF">2019-04-18T06:48:00Z</dcterms:modified>
</cp:coreProperties>
</file>