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09" w:rsidRDefault="00BD7009" w:rsidP="00BD7009">
      <w:pPr>
        <w:pStyle w:val="a3"/>
        <w:jc w:val="center"/>
        <w:rPr>
          <w:b/>
          <w:sz w:val="28"/>
          <w:szCs w:val="28"/>
          <w:lang w:val="en-US"/>
        </w:rPr>
      </w:pPr>
      <w:bookmarkStart w:id="0" w:name="_GoBack"/>
      <w:bookmarkEnd w:id="0"/>
      <w:r>
        <w:rPr>
          <w:b/>
          <w:sz w:val="28"/>
          <w:szCs w:val="28"/>
          <w:lang w:val="en-US"/>
        </w:rPr>
        <w:t>NOTĂ INFORMATIVĂ</w:t>
      </w:r>
    </w:p>
    <w:p w:rsidR="00BD7009" w:rsidRPr="00EA121C" w:rsidRDefault="00BD7009" w:rsidP="00BD7009">
      <w:pPr>
        <w:pStyle w:val="a3"/>
        <w:jc w:val="center"/>
        <w:rPr>
          <w:b/>
          <w:sz w:val="28"/>
          <w:szCs w:val="28"/>
          <w:lang w:val="fr-FR"/>
        </w:rPr>
      </w:pPr>
      <w:r w:rsidRPr="00EA121C">
        <w:rPr>
          <w:b/>
          <w:sz w:val="28"/>
          <w:szCs w:val="28"/>
          <w:lang w:val="fr-FR"/>
        </w:rPr>
        <w:t xml:space="preserve">la proiectul hotărîrii Guvernului „Cu privire la modificarea </w:t>
      </w:r>
    </w:p>
    <w:p w:rsidR="00BD7009" w:rsidRDefault="00852035" w:rsidP="00BD7009">
      <w:pPr>
        <w:pStyle w:val="a3"/>
        <w:jc w:val="center"/>
        <w:rPr>
          <w:b/>
          <w:sz w:val="28"/>
          <w:szCs w:val="28"/>
        </w:rPr>
      </w:pPr>
      <w:r>
        <w:rPr>
          <w:b/>
          <w:sz w:val="28"/>
          <w:szCs w:val="28"/>
        </w:rPr>
        <w:t xml:space="preserve">punctului 1 din </w:t>
      </w:r>
      <w:proofErr w:type="spellStart"/>
      <w:r>
        <w:rPr>
          <w:b/>
          <w:sz w:val="28"/>
          <w:szCs w:val="28"/>
          <w:lang w:val="en-US"/>
        </w:rPr>
        <w:t>Hotărîrea</w:t>
      </w:r>
      <w:proofErr w:type="spellEnd"/>
      <w:r w:rsidR="00BD7009">
        <w:rPr>
          <w:b/>
          <w:sz w:val="28"/>
          <w:szCs w:val="28"/>
          <w:lang w:val="en-US"/>
        </w:rPr>
        <w:t xml:space="preserve"> </w:t>
      </w:r>
      <w:proofErr w:type="spellStart"/>
      <w:r w:rsidR="00BD7009">
        <w:rPr>
          <w:b/>
          <w:sz w:val="28"/>
          <w:szCs w:val="28"/>
          <w:lang w:val="en-US"/>
        </w:rPr>
        <w:t>Guvernului</w:t>
      </w:r>
      <w:proofErr w:type="spellEnd"/>
      <w:r w:rsidR="00BD7009">
        <w:rPr>
          <w:b/>
          <w:sz w:val="28"/>
          <w:szCs w:val="28"/>
          <w:lang w:val="en-US"/>
        </w:rPr>
        <w:t xml:space="preserve"> nr.</w:t>
      </w:r>
      <w:r>
        <w:rPr>
          <w:b/>
          <w:sz w:val="28"/>
          <w:szCs w:val="28"/>
          <w:lang w:val="en-US"/>
        </w:rPr>
        <w:t xml:space="preserve">165 </w:t>
      </w:r>
      <w:r w:rsidR="00BD7009">
        <w:rPr>
          <w:b/>
          <w:sz w:val="28"/>
          <w:szCs w:val="28"/>
          <w:lang w:val="en-US"/>
        </w:rPr>
        <w:t>/20</w:t>
      </w:r>
      <w:r>
        <w:rPr>
          <w:b/>
          <w:sz w:val="28"/>
          <w:szCs w:val="28"/>
          <w:lang w:val="en-US"/>
        </w:rPr>
        <w:t>10</w:t>
      </w:r>
      <w:r w:rsidR="00BD7009">
        <w:rPr>
          <w:b/>
          <w:sz w:val="28"/>
          <w:szCs w:val="28"/>
          <w:lang w:val="en-US"/>
        </w:rPr>
        <w:t>”</w:t>
      </w:r>
    </w:p>
    <w:p w:rsidR="00BD7009" w:rsidRDefault="00BD7009" w:rsidP="00BD7009">
      <w:pPr>
        <w:jc w:val="center"/>
        <w:rPr>
          <w:sz w:val="28"/>
          <w:szCs w:val="28"/>
        </w:rPr>
      </w:pPr>
    </w:p>
    <w:tbl>
      <w:tblPr>
        <w:tblStyle w:val="a6"/>
        <w:tblW w:w="10065" w:type="dxa"/>
        <w:tblInd w:w="-176" w:type="dxa"/>
        <w:tblLook w:val="04A0" w:firstRow="1" w:lastRow="0" w:firstColumn="1" w:lastColumn="0" w:noHBand="0" w:noVBand="1"/>
      </w:tblPr>
      <w:tblGrid>
        <w:gridCol w:w="10065"/>
      </w:tblGrid>
      <w:tr w:rsidR="00BD7009" w:rsidTr="00546632">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Denumirea autorului și, după caz, a participanților la elaborarea proiectului</w:t>
            </w:r>
          </w:p>
          <w:p w:rsidR="00BD7009" w:rsidRDefault="00BD7009" w:rsidP="00852035">
            <w:pPr>
              <w:jc w:val="both"/>
              <w:rPr>
                <w:sz w:val="28"/>
                <w:szCs w:val="28"/>
                <w:lang w:eastAsia="en-US"/>
              </w:rPr>
            </w:pPr>
            <w:r>
              <w:rPr>
                <w:sz w:val="28"/>
                <w:szCs w:val="28"/>
                <w:lang w:eastAsia="en-US"/>
              </w:rPr>
              <w:t xml:space="preserve">     Proiectul hotărârii Guvernului „Cu privire la modificarea </w:t>
            </w:r>
            <w:r w:rsidR="00852035">
              <w:rPr>
                <w:sz w:val="28"/>
                <w:szCs w:val="28"/>
                <w:lang w:eastAsia="en-US"/>
              </w:rPr>
              <w:t xml:space="preserve">punctului 1 din </w:t>
            </w:r>
            <w:proofErr w:type="spellStart"/>
            <w:r>
              <w:rPr>
                <w:sz w:val="28"/>
                <w:szCs w:val="28"/>
                <w:lang w:eastAsia="en-US"/>
              </w:rPr>
              <w:t>Hotăr</w:t>
            </w:r>
            <w:r w:rsidR="00852035">
              <w:rPr>
                <w:sz w:val="28"/>
                <w:szCs w:val="28"/>
                <w:lang w:eastAsia="en-US"/>
              </w:rPr>
              <w:t>îrea</w:t>
            </w:r>
            <w:proofErr w:type="spellEnd"/>
            <w:r>
              <w:rPr>
                <w:sz w:val="28"/>
                <w:szCs w:val="28"/>
                <w:lang w:eastAsia="en-US"/>
              </w:rPr>
              <w:t xml:space="preserve"> Guvernului nr.</w:t>
            </w:r>
            <w:r w:rsidR="00852035">
              <w:rPr>
                <w:sz w:val="28"/>
                <w:szCs w:val="28"/>
                <w:lang w:eastAsia="en-US"/>
              </w:rPr>
              <w:t>165</w:t>
            </w:r>
            <w:r>
              <w:rPr>
                <w:sz w:val="28"/>
                <w:szCs w:val="28"/>
                <w:lang w:eastAsia="en-US"/>
              </w:rPr>
              <w:t>/20</w:t>
            </w:r>
            <w:r w:rsidR="00852035">
              <w:rPr>
                <w:sz w:val="28"/>
                <w:szCs w:val="28"/>
                <w:lang w:eastAsia="en-US"/>
              </w:rPr>
              <w:t>10</w:t>
            </w:r>
            <w:r>
              <w:rPr>
                <w:sz w:val="28"/>
                <w:szCs w:val="28"/>
                <w:lang w:eastAsia="en-US"/>
              </w:rPr>
              <w:t>” este elaborat de către Ministerul Sănătății, Muncii și Protecției Sociale, fiind responsabil de politica salarială în sectorul real.</w:t>
            </w:r>
          </w:p>
        </w:tc>
      </w:tr>
      <w:tr w:rsidR="00BD7009" w:rsidTr="00546632">
        <w:trPr>
          <w:trHeight w:val="175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Condițiile ce au impus elaborarea proiectului actului normativ și finalitățile urmărite</w:t>
            </w:r>
          </w:p>
          <w:p w:rsidR="00BD7009" w:rsidRDefault="00BD7009" w:rsidP="00546632">
            <w:pPr>
              <w:pStyle w:val="a5"/>
              <w:ind w:left="0"/>
              <w:jc w:val="both"/>
              <w:rPr>
                <w:sz w:val="28"/>
                <w:szCs w:val="28"/>
                <w:lang w:eastAsia="en-US"/>
              </w:rPr>
            </w:pPr>
            <w:r>
              <w:rPr>
                <w:sz w:val="28"/>
                <w:szCs w:val="28"/>
                <w:lang w:eastAsia="en-US"/>
              </w:rPr>
              <w:t xml:space="preserve">     Prezentul proiect de </w:t>
            </w:r>
            <w:proofErr w:type="spellStart"/>
            <w:r>
              <w:rPr>
                <w:sz w:val="28"/>
                <w:szCs w:val="28"/>
                <w:lang w:eastAsia="en-US"/>
              </w:rPr>
              <w:t>hotărîre</w:t>
            </w:r>
            <w:proofErr w:type="spellEnd"/>
            <w:r>
              <w:rPr>
                <w:sz w:val="28"/>
                <w:szCs w:val="28"/>
                <w:lang w:eastAsia="en-US"/>
              </w:rPr>
              <w:t xml:space="preserve"> este elaborat întru realizarea prevederilor art.</w:t>
            </w:r>
            <w:r w:rsidR="00852035">
              <w:rPr>
                <w:sz w:val="28"/>
                <w:szCs w:val="28"/>
                <w:lang w:eastAsia="en-US"/>
              </w:rPr>
              <w:t>12</w:t>
            </w:r>
            <w:r>
              <w:rPr>
                <w:sz w:val="28"/>
                <w:szCs w:val="28"/>
                <w:lang w:eastAsia="en-US"/>
              </w:rPr>
              <w:t xml:space="preserve"> </w:t>
            </w:r>
            <w:r w:rsidR="00852035">
              <w:rPr>
                <w:sz w:val="28"/>
                <w:szCs w:val="28"/>
                <w:lang w:eastAsia="en-US"/>
              </w:rPr>
              <w:t>din Legea</w:t>
            </w:r>
            <w:r>
              <w:rPr>
                <w:sz w:val="28"/>
                <w:szCs w:val="28"/>
                <w:lang w:eastAsia="en-US"/>
              </w:rPr>
              <w:t xml:space="preserve"> salarizării nr.847/2002. </w:t>
            </w:r>
          </w:p>
          <w:p w:rsidR="00FD3969" w:rsidRDefault="00BD7009" w:rsidP="00FD3969">
            <w:pPr>
              <w:jc w:val="both"/>
              <w:rPr>
                <w:sz w:val="28"/>
                <w:szCs w:val="28"/>
              </w:rPr>
            </w:pPr>
            <w:r>
              <w:rPr>
                <w:sz w:val="28"/>
                <w:szCs w:val="28"/>
                <w:lang w:eastAsia="en-US"/>
              </w:rPr>
              <w:t xml:space="preserve">   </w:t>
            </w:r>
            <w:r>
              <w:rPr>
                <w:color w:val="000000"/>
                <w:sz w:val="28"/>
                <w:szCs w:val="28"/>
                <w:lang w:eastAsia="en-US"/>
              </w:rPr>
              <w:t xml:space="preserve">  </w:t>
            </w:r>
            <w:r>
              <w:rPr>
                <w:sz w:val="28"/>
                <w:szCs w:val="28"/>
                <w:lang w:eastAsia="en-US"/>
              </w:rPr>
              <w:t xml:space="preserve">Proiectul de </w:t>
            </w:r>
            <w:proofErr w:type="spellStart"/>
            <w:r>
              <w:rPr>
                <w:sz w:val="28"/>
                <w:szCs w:val="28"/>
                <w:lang w:eastAsia="en-US"/>
              </w:rPr>
              <w:t>hotărîre</w:t>
            </w:r>
            <w:proofErr w:type="spellEnd"/>
            <w:r>
              <w:rPr>
                <w:sz w:val="28"/>
                <w:szCs w:val="28"/>
                <w:lang w:eastAsia="en-US"/>
              </w:rPr>
              <w:t xml:space="preserve"> este elaborat </w:t>
            </w:r>
            <w:r w:rsidR="00FD3969">
              <w:rPr>
                <w:sz w:val="28"/>
                <w:szCs w:val="28"/>
                <w:lang w:eastAsia="en-US"/>
              </w:rPr>
              <w:t xml:space="preserve">conform prevederilor legii, </w:t>
            </w:r>
            <w:r>
              <w:rPr>
                <w:sz w:val="28"/>
                <w:szCs w:val="28"/>
                <w:lang w:eastAsia="en-US"/>
              </w:rPr>
              <w:t>în scopul</w:t>
            </w:r>
            <w:r>
              <w:rPr>
                <w:color w:val="000000"/>
                <w:sz w:val="28"/>
                <w:szCs w:val="28"/>
                <w:lang w:eastAsia="en-US"/>
              </w:rPr>
              <w:t xml:space="preserve"> </w:t>
            </w:r>
            <w:r w:rsidR="00FD3969">
              <w:rPr>
                <w:sz w:val="28"/>
                <w:szCs w:val="28"/>
              </w:rPr>
              <w:t>reexaminării cuantumul minim garantat al salariului în sectorul real de către Guvern, în funcție de creșterea sumară anuală a indicelui prețurilor de consum și a ratei de creștere a productivității muncii la nivel național.</w:t>
            </w:r>
          </w:p>
          <w:p w:rsidR="00BD7009" w:rsidRPr="004C62B2" w:rsidRDefault="00BD7009" w:rsidP="00852035">
            <w:pPr>
              <w:jc w:val="both"/>
              <w:rPr>
                <w:sz w:val="28"/>
                <w:szCs w:val="28"/>
                <w:lang w:eastAsia="en-US"/>
              </w:rPr>
            </w:pPr>
            <w:r>
              <w:rPr>
                <w:color w:val="000000"/>
                <w:sz w:val="28"/>
                <w:szCs w:val="28"/>
                <w:lang w:eastAsia="en-US"/>
              </w:rPr>
              <w:t xml:space="preserve">   </w:t>
            </w:r>
          </w:p>
        </w:tc>
      </w:tr>
      <w:tr w:rsidR="00BD7009" w:rsidTr="00546632">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Descrierea gradului de compatibilitate pentru proiectele care au ca scop armonizarea legislației naționale cu legislația Uniunii Europene</w:t>
            </w:r>
          </w:p>
          <w:p w:rsidR="00BD7009" w:rsidRDefault="00BD7009" w:rsidP="00546632">
            <w:pPr>
              <w:rPr>
                <w:sz w:val="28"/>
                <w:szCs w:val="28"/>
                <w:lang w:eastAsia="en-US"/>
              </w:rPr>
            </w:pPr>
            <w:r>
              <w:rPr>
                <w:sz w:val="28"/>
                <w:szCs w:val="28"/>
                <w:lang w:eastAsia="en-US"/>
              </w:rPr>
              <w:t xml:space="preserve">      Proiectul nu prevede armonizarea la legislația Uniunii Europene.</w:t>
            </w:r>
          </w:p>
        </w:tc>
      </w:tr>
      <w:tr w:rsidR="00BD7009" w:rsidTr="00546632">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Principalele prevederi ale proiectului și evidențierea elementelor noi</w:t>
            </w:r>
          </w:p>
          <w:p w:rsidR="00BD7009" w:rsidRPr="00F71689" w:rsidRDefault="00BD7009" w:rsidP="00546632">
            <w:pPr>
              <w:ind w:left="34"/>
              <w:jc w:val="both"/>
              <w:rPr>
                <w:sz w:val="28"/>
                <w:szCs w:val="28"/>
                <w:lang w:eastAsia="en-US"/>
              </w:rPr>
            </w:pPr>
            <w:r>
              <w:rPr>
                <w:sz w:val="28"/>
                <w:szCs w:val="28"/>
                <w:lang w:eastAsia="en-US"/>
              </w:rPr>
              <w:t xml:space="preserve">      </w:t>
            </w:r>
            <w:r w:rsidRPr="00F71689">
              <w:rPr>
                <w:sz w:val="28"/>
                <w:szCs w:val="28"/>
                <w:lang w:eastAsia="en-US"/>
              </w:rPr>
              <w:t xml:space="preserve">Salarizarea </w:t>
            </w:r>
            <w:r>
              <w:rPr>
                <w:sz w:val="28"/>
                <w:szCs w:val="28"/>
                <w:lang w:eastAsia="en-US"/>
              </w:rPr>
              <w:t xml:space="preserve">angajaților din unitățile cu autonomie financiară, indiferent de tipul de proprietate și forma de organizare juridică este reglementată de Legea salarizării nr.847/2002, </w:t>
            </w:r>
            <w:proofErr w:type="spellStart"/>
            <w:r>
              <w:rPr>
                <w:sz w:val="28"/>
                <w:szCs w:val="28"/>
                <w:lang w:eastAsia="en-US"/>
              </w:rPr>
              <w:t>Hotărîrea</w:t>
            </w:r>
            <w:proofErr w:type="spellEnd"/>
            <w:r>
              <w:rPr>
                <w:sz w:val="28"/>
                <w:szCs w:val="28"/>
                <w:lang w:eastAsia="en-US"/>
              </w:rPr>
              <w:t xml:space="preserve"> Guvernului nr.743/2002 „Cu privire la salarizarea angajaților din unitățile cu autonomie financiară” și </w:t>
            </w:r>
            <w:proofErr w:type="spellStart"/>
            <w:r>
              <w:rPr>
                <w:sz w:val="28"/>
                <w:szCs w:val="28"/>
                <w:lang w:eastAsia="en-US"/>
              </w:rPr>
              <w:t>Hotărîrea</w:t>
            </w:r>
            <w:proofErr w:type="spellEnd"/>
            <w:r>
              <w:rPr>
                <w:sz w:val="28"/>
                <w:szCs w:val="28"/>
                <w:lang w:eastAsia="en-US"/>
              </w:rPr>
              <w:t xml:space="preserve"> Guvernului nr.165/2010 „Cu privire la cuantumul minim garantat al salariului în sectorul real”.</w:t>
            </w:r>
          </w:p>
          <w:p w:rsidR="004A6584" w:rsidRDefault="004A6584" w:rsidP="004A6584">
            <w:pPr>
              <w:pStyle w:val="a8"/>
              <w:tabs>
                <w:tab w:val="clear" w:pos="9355"/>
                <w:tab w:val="right" w:pos="9639"/>
              </w:tabs>
              <w:ind w:left="34" w:right="1"/>
              <w:jc w:val="both"/>
              <w:rPr>
                <w:lang w:val="ro-RO"/>
              </w:rPr>
            </w:pPr>
            <w:r>
              <w:t xml:space="preserve">     </w:t>
            </w:r>
            <w:proofErr w:type="spellStart"/>
            <w:r w:rsidR="00FC22D1">
              <w:t>Conform</w:t>
            </w:r>
            <w:proofErr w:type="spellEnd"/>
            <w:r w:rsidR="00FC22D1">
              <w:t xml:space="preserve"> </w:t>
            </w:r>
            <w:r w:rsidRPr="006D3223">
              <w:rPr>
                <w:lang w:val="ro-RO"/>
              </w:rPr>
              <w:t xml:space="preserve">art.11 al Legii salarizării </w:t>
            </w:r>
            <w:r w:rsidR="009E4618">
              <w:rPr>
                <w:lang w:eastAsia="en-US"/>
              </w:rPr>
              <w:t xml:space="preserve">nr.847/2002 </w:t>
            </w:r>
            <w:r w:rsidRPr="006D3223">
              <w:rPr>
                <w:lang w:val="ro-RO"/>
              </w:rPr>
              <w:t>statul reglementează salarizarea angajaţilor din unităţile cu autonomie financiară, prin stabilirea mărimii cuantumului minim garantat a salariului în sectorul real, precum şi unele norme şi garanţii de stat (plata sporurilor de compensare pentru munca prestată în condiţii nefavorabile, plata orelor de noapte, plata orelor suplimentare, plata pentru orele de staţionare şi aflarea în şomajul tehnic, etc.).</w:t>
            </w:r>
          </w:p>
          <w:p w:rsidR="004731D8" w:rsidRDefault="004A6584" w:rsidP="004A6584">
            <w:pPr>
              <w:pStyle w:val="a8"/>
              <w:tabs>
                <w:tab w:val="clear" w:pos="9355"/>
                <w:tab w:val="right" w:pos="9639"/>
              </w:tabs>
              <w:ind w:left="34" w:right="1"/>
              <w:jc w:val="both"/>
              <w:rPr>
                <w:lang w:val="ro-RO"/>
              </w:rPr>
            </w:pPr>
            <w:r>
              <w:rPr>
                <w:lang w:val="ro-RO"/>
              </w:rPr>
              <w:t xml:space="preserve">      </w:t>
            </w:r>
            <w:r w:rsidR="001C0905">
              <w:rPr>
                <w:lang w:val="ro-RO"/>
              </w:rPr>
              <w:t xml:space="preserve">Potrivit </w:t>
            </w:r>
            <w:r>
              <w:rPr>
                <w:lang w:val="ro-RO"/>
              </w:rPr>
              <w:t xml:space="preserve">art.12 </w:t>
            </w:r>
            <w:r w:rsidR="004731D8">
              <w:rPr>
                <w:lang w:val="ro-RO"/>
              </w:rPr>
              <w:t>din lege</w:t>
            </w:r>
            <w:r>
              <w:rPr>
                <w:lang w:val="ro-RO"/>
              </w:rPr>
              <w:t>, cuantumul minim garantat al salariului în sectorul real se reexaminează anual de Guvern, în funcție de creșterea sumară anuală a indicelui prețurilor de consum și a ratei de creștere a productivității muncii la nivel național.</w:t>
            </w:r>
          </w:p>
          <w:p w:rsidR="004A6584" w:rsidRPr="006D3223" w:rsidRDefault="004731D8" w:rsidP="004A6584">
            <w:pPr>
              <w:pStyle w:val="a8"/>
              <w:tabs>
                <w:tab w:val="clear" w:pos="9355"/>
                <w:tab w:val="right" w:pos="9639"/>
              </w:tabs>
              <w:ind w:left="34" w:right="1"/>
              <w:jc w:val="both"/>
              <w:rPr>
                <w:lang w:val="ro-RO"/>
              </w:rPr>
            </w:pPr>
            <w:r>
              <w:rPr>
                <w:lang w:val="ro-RO"/>
              </w:rPr>
              <w:t xml:space="preserve">     Formula de determinare a ratei de creștere a productivității muncii la nivel național este redată în art.2 din lege.</w:t>
            </w:r>
            <w:r w:rsidR="004A6584">
              <w:rPr>
                <w:lang w:val="ro-RO"/>
              </w:rPr>
              <w:t xml:space="preserve"> </w:t>
            </w:r>
          </w:p>
          <w:p w:rsidR="00BD7009" w:rsidRDefault="004556A9" w:rsidP="004A6584">
            <w:pPr>
              <w:ind w:left="34" w:firstLine="34"/>
              <w:jc w:val="both"/>
              <w:rPr>
                <w:sz w:val="28"/>
                <w:szCs w:val="28"/>
              </w:rPr>
            </w:pPr>
            <w:r>
              <w:rPr>
                <w:sz w:val="28"/>
                <w:szCs w:val="28"/>
              </w:rPr>
              <w:t xml:space="preserve">    </w:t>
            </w:r>
            <w:r w:rsidR="004A6584" w:rsidRPr="006D3223">
              <w:rPr>
                <w:sz w:val="28"/>
                <w:szCs w:val="28"/>
              </w:rPr>
              <w:t xml:space="preserve"> </w:t>
            </w:r>
            <w:r w:rsidR="004A6584">
              <w:rPr>
                <w:sz w:val="28"/>
                <w:szCs w:val="28"/>
              </w:rPr>
              <w:t>Datele statistice pentru reexaminarea cuantumului minim garantat</w:t>
            </w:r>
            <w:r w:rsidR="002C537F">
              <w:rPr>
                <w:sz w:val="28"/>
                <w:szCs w:val="28"/>
              </w:rPr>
              <w:t>:</w:t>
            </w:r>
          </w:p>
          <w:p w:rsidR="0055745B" w:rsidRDefault="0055745B" w:rsidP="0055745B">
            <w:pPr>
              <w:pStyle w:val="a5"/>
              <w:numPr>
                <w:ilvl w:val="0"/>
                <w:numId w:val="2"/>
              </w:numPr>
              <w:jc w:val="both"/>
              <w:rPr>
                <w:sz w:val="28"/>
                <w:szCs w:val="28"/>
              </w:rPr>
            </w:pPr>
            <w:r>
              <w:rPr>
                <w:sz w:val="28"/>
                <w:szCs w:val="28"/>
              </w:rPr>
              <w:t xml:space="preserve">cuantumul minim garantat al salariului în sectorul real, </w:t>
            </w:r>
            <w:proofErr w:type="spellStart"/>
            <w:r>
              <w:rPr>
                <w:sz w:val="28"/>
                <w:szCs w:val="28"/>
              </w:rPr>
              <w:t>începînd</w:t>
            </w:r>
            <w:proofErr w:type="spellEnd"/>
            <w:r>
              <w:rPr>
                <w:sz w:val="28"/>
                <w:szCs w:val="28"/>
              </w:rPr>
              <w:t xml:space="preserve"> cu 1 mai 2018, este de 2610 lei pe lună;</w:t>
            </w:r>
          </w:p>
          <w:p w:rsidR="0055745B" w:rsidRDefault="0055745B" w:rsidP="0055745B">
            <w:pPr>
              <w:pStyle w:val="a5"/>
              <w:numPr>
                <w:ilvl w:val="0"/>
                <w:numId w:val="2"/>
              </w:numPr>
              <w:jc w:val="both"/>
              <w:rPr>
                <w:sz w:val="28"/>
                <w:szCs w:val="28"/>
              </w:rPr>
            </w:pPr>
            <w:r>
              <w:rPr>
                <w:sz w:val="28"/>
                <w:szCs w:val="28"/>
              </w:rPr>
              <w:t>indicele prețurilor de consum în anul 2018 față de anul 2017 – 103,0 %;</w:t>
            </w:r>
          </w:p>
          <w:p w:rsidR="0055745B" w:rsidRPr="001C71BB" w:rsidRDefault="0055745B" w:rsidP="0055745B">
            <w:pPr>
              <w:pStyle w:val="a5"/>
              <w:numPr>
                <w:ilvl w:val="0"/>
                <w:numId w:val="2"/>
              </w:numPr>
              <w:jc w:val="both"/>
              <w:rPr>
                <w:sz w:val="28"/>
                <w:szCs w:val="28"/>
              </w:rPr>
            </w:pPr>
            <w:r w:rsidRPr="001C71BB">
              <w:rPr>
                <w:sz w:val="28"/>
                <w:szCs w:val="28"/>
              </w:rPr>
              <w:t>rata de creștere/descreștere a valorii adăugate brute în anul 201</w:t>
            </w:r>
            <w:r w:rsidR="001C71BB">
              <w:rPr>
                <w:sz w:val="28"/>
                <w:szCs w:val="28"/>
              </w:rPr>
              <w:t>8</w:t>
            </w:r>
            <w:r w:rsidRPr="001C71BB">
              <w:rPr>
                <w:sz w:val="28"/>
                <w:szCs w:val="28"/>
              </w:rPr>
              <w:t xml:space="preserve"> față de anul 201</w:t>
            </w:r>
            <w:r w:rsidR="001C71BB">
              <w:rPr>
                <w:sz w:val="28"/>
                <w:szCs w:val="28"/>
              </w:rPr>
              <w:t>7</w:t>
            </w:r>
            <w:r w:rsidRPr="001C71BB">
              <w:rPr>
                <w:sz w:val="28"/>
                <w:szCs w:val="28"/>
              </w:rPr>
              <w:t xml:space="preserve"> – 10</w:t>
            </w:r>
            <w:r w:rsidR="001C71BB">
              <w:rPr>
                <w:sz w:val="28"/>
                <w:szCs w:val="28"/>
              </w:rPr>
              <w:t>4</w:t>
            </w:r>
            <w:r w:rsidRPr="001C71BB">
              <w:rPr>
                <w:sz w:val="28"/>
                <w:szCs w:val="28"/>
              </w:rPr>
              <w:t>,</w:t>
            </w:r>
            <w:r w:rsidR="001C71BB">
              <w:rPr>
                <w:sz w:val="28"/>
                <w:szCs w:val="28"/>
              </w:rPr>
              <w:t>2</w:t>
            </w:r>
            <w:r w:rsidRPr="001C71BB">
              <w:rPr>
                <w:sz w:val="28"/>
                <w:szCs w:val="28"/>
              </w:rPr>
              <w:t xml:space="preserve"> %;</w:t>
            </w:r>
          </w:p>
          <w:p w:rsidR="0055745B" w:rsidRDefault="0055745B" w:rsidP="0055745B">
            <w:pPr>
              <w:pStyle w:val="a5"/>
              <w:numPr>
                <w:ilvl w:val="0"/>
                <w:numId w:val="2"/>
              </w:numPr>
              <w:jc w:val="both"/>
              <w:rPr>
                <w:sz w:val="28"/>
                <w:szCs w:val="28"/>
              </w:rPr>
            </w:pPr>
            <w:r>
              <w:rPr>
                <w:sz w:val="28"/>
                <w:szCs w:val="28"/>
              </w:rPr>
              <w:lastRenderedPageBreak/>
              <w:t>rata de creștere/descreștere a numărului mediu al salariaților în anul 2018 față de anul 2017  - 100,9 %.</w:t>
            </w:r>
          </w:p>
          <w:p w:rsidR="0055745B" w:rsidRPr="008B249A" w:rsidRDefault="0055745B" w:rsidP="0055745B">
            <w:pPr>
              <w:pStyle w:val="a5"/>
              <w:ind w:left="0"/>
              <w:jc w:val="both"/>
              <w:rPr>
                <w:i/>
                <w:sz w:val="28"/>
                <w:szCs w:val="28"/>
              </w:rPr>
            </w:pPr>
            <w:r>
              <w:rPr>
                <w:sz w:val="28"/>
                <w:szCs w:val="28"/>
              </w:rPr>
              <w:t xml:space="preserve">      </w:t>
            </w:r>
            <w:r w:rsidR="004731D8">
              <w:rPr>
                <w:sz w:val="28"/>
                <w:szCs w:val="28"/>
              </w:rPr>
              <w:t>Astfel, r</w:t>
            </w:r>
            <w:r>
              <w:rPr>
                <w:sz w:val="28"/>
                <w:szCs w:val="28"/>
              </w:rPr>
              <w:t xml:space="preserve">ata de creștere a productivității muncii este raportul procentual dintre rata de creștere a valorii adăugate brute și rata de creștere a numărului scriptic mediu al salariaților. Rata de creștere a productivității muncii = </w:t>
            </w:r>
            <w:r w:rsidRPr="001C71BB">
              <w:rPr>
                <w:sz w:val="28"/>
                <w:szCs w:val="28"/>
              </w:rPr>
              <w:t>103,</w:t>
            </w:r>
            <w:r w:rsidR="001C71BB">
              <w:rPr>
                <w:sz w:val="28"/>
                <w:szCs w:val="28"/>
              </w:rPr>
              <w:t>3</w:t>
            </w:r>
            <w:r w:rsidRPr="001C71BB">
              <w:rPr>
                <w:sz w:val="28"/>
                <w:szCs w:val="28"/>
              </w:rPr>
              <w:t xml:space="preserve"> % (10</w:t>
            </w:r>
            <w:r w:rsidR="001C71BB">
              <w:rPr>
                <w:sz w:val="28"/>
                <w:szCs w:val="28"/>
              </w:rPr>
              <w:t>4</w:t>
            </w:r>
            <w:r w:rsidRPr="001C71BB">
              <w:rPr>
                <w:sz w:val="28"/>
                <w:szCs w:val="28"/>
              </w:rPr>
              <w:t>,</w:t>
            </w:r>
            <w:r w:rsidR="001C71BB">
              <w:rPr>
                <w:sz w:val="28"/>
                <w:szCs w:val="28"/>
              </w:rPr>
              <w:t>2</w:t>
            </w:r>
            <w:r w:rsidRPr="001C71BB">
              <w:rPr>
                <w:sz w:val="28"/>
                <w:szCs w:val="28"/>
              </w:rPr>
              <w:t xml:space="preserve"> : 100,</w:t>
            </w:r>
            <w:r w:rsidR="001C71BB">
              <w:rPr>
                <w:sz w:val="28"/>
                <w:szCs w:val="28"/>
              </w:rPr>
              <w:t>9</w:t>
            </w:r>
            <w:r w:rsidRPr="001C71BB">
              <w:rPr>
                <w:sz w:val="28"/>
                <w:szCs w:val="28"/>
              </w:rPr>
              <w:t>).</w:t>
            </w:r>
          </w:p>
          <w:p w:rsidR="0055745B" w:rsidRPr="001C71BB" w:rsidRDefault="0055745B" w:rsidP="0055745B">
            <w:pPr>
              <w:pStyle w:val="a5"/>
              <w:ind w:left="0"/>
              <w:jc w:val="both"/>
              <w:rPr>
                <w:sz w:val="28"/>
                <w:szCs w:val="28"/>
              </w:rPr>
            </w:pPr>
            <w:r w:rsidRPr="001C71BB">
              <w:rPr>
                <w:sz w:val="28"/>
                <w:szCs w:val="28"/>
              </w:rPr>
              <w:t xml:space="preserve">      Creșterea sumară anuală a indicelui prețurilor de consum și a ratei de creștere a productivității muncii la nivel național este de </w:t>
            </w:r>
            <w:r w:rsidR="00B51B89">
              <w:rPr>
                <w:sz w:val="28"/>
                <w:szCs w:val="28"/>
              </w:rPr>
              <w:t>6</w:t>
            </w:r>
            <w:r w:rsidRPr="001C71BB">
              <w:rPr>
                <w:sz w:val="28"/>
                <w:szCs w:val="28"/>
              </w:rPr>
              <w:t>,</w:t>
            </w:r>
            <w:r w:rsidR="00B51B89">
              <w:rPr>
                <w:sz w:val="28"/>
                <w:szCs w:val="28"/>
              </w:rPr>
              <w:t>3</w:t>
            </w:r>
            <w:r w:rsidRPr="001C71BB">
              <w:rPr>
                <w:sz w:val="28"/>
                <w:szCs w:val="28"/>
              </w:rPr>
              <w:t xml:space="preserve"> % (</w:t>
            </w:r>
            <w:r w:rsidR="00B51B89">
              <w:rPr>
                <w:sz w:val="28"/>
                <w:szCs w:val="28"/>
              </w:rPr>
              <w:t>3</w:t>
            </w:r>
            <w:r w:rsidRPr="001C71BB">
              <w:rPr>
                <w:sz w:val="28"/>
                <w:szCs w:val="28"/>
              </w:rPr>
              <w:t>,</w:t>
            </w:r>
            <w:r w:rsidR="00B51B89">
              <w:rPr>
                <w:sz w:val="28"/>
                <w:szCs w:val="28"/>
              </w:rPr>
              <w:t>0</w:t>
            </w:r>
            <w:r w:rsidRPr="001C71BB">
              <w:rPr>
                <w:sz w:val="28"/>
                <w:szCs w:val="28"/>
              </w:rPr>
              <w:t xml:space="preserve"> % + 3,</w:t>
            </w:r>
            <w:r w:rsidR="00B51B89">
              <w:rPr>
                <w:sz w:val="28"/>
                <w:szCs w:val="28"/>
              </w:rPr>
              <w:t>3</w:t>
            </w:r>
            <w:r w:rsidRPr="001C71BB">
              <w:rPr>
                <w:sz w:val="28"/>
                <w:szCs w:val="28"/>
              </w:rPr>
              <w:t xml:space="preserve"> %).</w:t>
            </w:r>
          </w:p>
          <w:p w:rsidR="0055745B" w:rsidRPr="001C71BB" w:rsidRDefault="0055745B" w:rsidP="0055745B">
            <w:pPr>
              <w:pStyle w:val="a5"/>
              <w:ind w:left="0"/>
              <w:jc w:val="both"/>
              <w:rPr>
                <w:sz w:val="28"/>
                <w:szCs w:val="28"/>
              </w:rPr>
            </w:pPr>
            <w:r w:rsidRPr="001C71BB">
              <w:rPr>
                <w:sz w:val="28"/>
                <w:szCs w:val="28"/>
              </w:rPr>
              <w:t xml:space="preserve">      Valoarea de calcul a cuantumului minim garantat reexaminat conform indicatorilor anului 201</w:t>
            </w:r>
            <w:r w:rsidR="00B51B89">
              <w:rPr>
                <w:sz w:val="28"/>
                <w:szCs w:val="28"/>
              </w:rPr>
              <w:t>8</w:t>
            </w:r>
            <w:r w:rsidRPr="001C71BB">
              <w:rPr>
                <w:sz w:val="28"/>
                <w:szCs w:val="28"/>
              </w:rPr>
              <w:t xml:space="preserve"> constituie 2</w:t>
            </w:r>
            <w:r w:rsidR="00B51B89">
              <w:rPr>
                <w:sz w:val="28"/>
                <w:szCs w:val="28"/>
              </w:rPr>
              <w:t>774</w:t>
            </w:r>
            <w:r w:rsidRPr="001C71BB">
              <w:rPr>
                <w:sz w:val="28"/>
                <w:szCs w:val="28"/>
              </w:rPr>
              <w:t>,4</w:t>
            </w:r>
            <w:r w:rsidR="00B51B89">
              <w:rPr>
                <w:sz w:val="28"/>
                <w:szCs w:val="28"/>
              </w:rPr>
              <w:t>3</w:t>
            </w:r>
            <w:r w:rsidRPr="001C71BB">
              <w:rPr>
                <w:sz w:val="28"/>
                <w:szCs w:val="28"/>
              </w:rPr>
              <w:t xml:space="preserve"> lei (2</w:t>
            </w:r>
            <w:r w:rsidR="00B51B89">
              <w:rPr>
                <w:sz w:val="28"/>
                <w:szCs w:val="28"/>
              </w:rPr>
              <w:t>61</w:t>
            </w:r>
            <w:r w:rsidRPr="001C71BB">
              <w:rPr>
                <w:sz w:val="28"/>
                <w:szCs w:val="28"/>
              </w:rPr>
              <w:t>0 x 1,0</w:t>
            </w:r>
            <w:r w:rsidR="00B51B89">
              <w:rPr>
                <w:sz w:val="28"/>
                <w:szCs w:val="28"/>
              </w:rPr>
              <w:t>63</w:t>
            </w:r>
            <w:r w:rsidRPr="001C71BB">
              <w:rPr>
                <w:sz w:val="28"/>
                <w:szCs w:val="28"/>
              </w:rPr>
              <w:t>).</w:t>
            </w:r>
          </w:p>
          <w:p w:rsidR="0055745B" w:rsidRPr="001C71BB" w:rsidRDefault="0055745B" w:rsidP="0055745B">
            <w:pPr>
              <w:pStyle w:val="a5"/>
              <w:ind w:left="0"/>
              <w:jc w:val="both"/>
              <w:rPr>
                <w:sz w:val="28"/>
                <w:szCs w:val="28"/>
              </w:rPr>
            </w:pPr>
            <w:r w:rsidRPr="001C71BB">
              <w:rPr>
                <w:sz w:val="28"/>
                <w:szCs w:val="28"/>
              </w:rPr>
              <w:t xml:space="preserve">      Reieșind din rezultatul obținut, </w:t>
            </w:r>
            <w:proofErr w:type="spellStart"/>
            <w:r w:rsidRPr="001C71BB">
              <w:rPr>
                <w:sz w:val="28"/>
                <w:szCs w:val="28"/>
              </w:rPr>
              <w:t>începînd</w:t>
            </w:r>
            <w:proofErr w:type="spellEnd"/>
            <w:r w:rsidRPr="001C71BB">
              <w:rPr>
                <w:sz w:val="28"/>
                <w:szCs w:val="28"/>
              </w:rPr>
              <w:t xml:space="preserve"> cu 1 mai 201</w:t>
            </w:r>
            <w:r w:rsidR="00B51B89">
              <w:rPr>
                <w:sz w:val="28"/>
                <w:szCs w:val="28"/>
              </w:rPr>
              <w:t>9</w:t>
            </w:r>
            <w:r w:rsidRPr="001C71BB">
              <w:rPr>
                <w:sz w:val="28"/>
                <w:szCs w:val="28"/>
              </w:rPr>
              <w:t>, cuantumul minim garantat al salariului în sectorul real se propune să fie stabilit în mărime de 1</w:t>
            </w:r>
            <w:r w:rsidR="00B51B89">
              <w:rPr>
                <w:sz w:val="28"/>
                <w:szCs w:val="28"/>
              </w:rPr>
              <w:t>6</w:t>
            </w:r>
            <w:r w:rsidRPr="001C71BB">
              <w:rPr>
                <w:sz w:val="28"/>
                <w:szCs w:val="28"/>
              </w:rPr>
              <w:t>,4</w:t>
            </w:r>
            <w:r w:rsidR="00B51B89">
              <w:rPr>
                <w:sz w:val="28"/>
                <w:szCs w:val="28"/>
              </w:rPr>
              <w:t>2</w:t>
            </w:r>
            <w:r w:rsidRPr="001C71BB">
              <w:rPr>
                <w:sz w:val="28"/>
                <w:szCs w:val="28"/>
              </w:rPr>
              <w:t xml:space="preserve">  lei pe oră sau 2</w:t>
            </w:r>
            <w:r w:rsidR="00B51B89">
              <w:rPr>
                <w:sz w:val="28"/>
                <w:szCs w:val="28"/>
              </w:rPr>
              <w:t>775</w:t>
            </w:r>
            <w:r w:rsidRPr="001C71BB">
              <w:rPr>
                <w:sz w:val="28"/>
                <w:szCs w:val="28"/>
              </w:rPr>
              <w:t xml:space="preserve"> lei pe lună.</w:t>
            </w:r>
          </w:p>
          <w:p w:rsidR="0055745B" w:rsidRDefault="0055745B" w:rsidP="004A6584">
            <w:pPr>
              <w:ind w:left="34" w:firstLine="34"/>
              <w:jc w:val="both"/>
              <w:rPr>
                <w:sz w:val="28"/>
                <w:szCs w:val="28"/>
                <w:lang w:eastAsia="en-US"/>
              </w:rPr>
            </w:pPr>
          </w:p>
        </w:tc>
      </w:tr>
      <w:tr w:rsidR="00BD7009" w:rsidTr="00546632">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lastRenderedPageBreak/>
              <w:t>Fundamentarea economico-financiară</w:t>
            </w:r>
          </w:p>
          <w:p w:rsidR="00BD7009" w:rsidRDefault="00BD7009" w:rsidP="00E33E04">
            <w:pPr>
              <w:jc w:val="both"/>
              <w:rPr>
                <w:sz w:val="28"/>
                <w:szCs w:val="28"/>
                <w:lang w:eastAsia="en-US"/>
              </w:rPr>
            </w:pPr>
            <w:r>
              <w:rPr>
                <w:sz w:val="28"/>
                <w:szCs w:val="28"/>
                <w:lang w:eastAsia="en-US"/>
              </w:rPr>
              <w:t xml:space="preserve">      Implementarea prevederilor proiectului nu necesită m</w:t>
            </w:r>
            <w:r w:rsidR="00E33E04">
              <w:rPr>
                <w:sz w:val="28"/>
                <w:szCs w:val="28"/>
                <w:lang w:eastAsia="en-US"/>
              </w:rPr>
              <w:t>ijloace financiare din bugetul de stat</w:t>
            </w:r>
          </w:p>
        </w:tc>
      </w:tr>
      <w:tr w:rsidR="00BD7009" w:rsidTr="00546632">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Modul de încorporare  a actului în cadrul normativ în vigoare</w:t>
            </w:r>
          </w:p>
          <w:p w:rsidR="00BD7009" w:rsidRDefault="00BD7009" w:rsidP="00546632">
            <w:pPr>
              <w:rPr>
                <w:sz w:val="28"/>
                <w:szCs w:val="28"/>
                <w:lang w:eastAsia="en-US"/>
              </w:rPr>
            </w:pPr>
            <w:r>
              <w:rPr>
                <w:sz w:val="28"/>
                <w:szCs w:val="28"/>
                <w:lang w:eastAsia="en-US"/>
              </w:rPr>
              <w:t xml:space="preserve">      Implementarea prevederilor proiectului nu necesită elaborarea altor acte normative.</w:t>
            </w:r>
          </w:p>
        </w:tc>
      </w:tr>
      <w:tr w:rsidR="00BD7009" w:rsidTr="00546632">
        <w:trPr>
          <w:trHeight w:val="41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Avizarea și consultarea publică a proiectului</w:t>
            </w:r>
          </w:p>
          <w:p w:rsidR="00BD7009" w:rsidRDefault="00BD7009" w:rsidP="00546632">
            <w:pPr>
              <w:jc w:val="both"/>
              <w:rPr>
                <w:sz w:val="28"/>
                <w:szCs w:val="28"/>
                <w:lang w:eastAsia="en-US"/>
              </w:rPr>
            </w:pPr>
            <w:r>
              <w:rPr>
                <w:sz w:val="28"/>
                <w:szCs w:val="28"/>
                <w:lang w:eastAsia="en-US"/>
              </w:rPr>
              <w:t xml:space="preserve">      În scopul respectării prevederilor Legii nr.239/2008 privind transparența în procesul decizional, proiectul hotărârii Guvernului „Cu privire la modificarea Hotărârii Guvernului nr.743/2002” este plasat pe pagina web oficială a Ministerului Sănătății, Muncii și Protecției Sociale (</w:t>
            </w:r>
            <w:hyperlink r:id="rId6" w:history="1">
              <w:r w:rsidRPr="0035294C">
                <w:rPr>
                  <w:rStyle w:val="a7"/>
                  <w:sz w:val="28"/>
                  <w:szCs w:val="28"/>
                  <w:lang w:eastAsia="en-US"/>
                </w:rPr>
                <w:t>www.msmps.gov.md</w:t>
              </w:r>
            </w:hyperlink>
            <w:r>
              <w:rPr>
                <w:sz w:val="28"/>
                <w:szCs w:val="28"/>
                <w:lang w:eastAsia="en-US"/>
              </w:rPr>
              <w:t xml:space="preserve">) directoriu „Transparență”, secțiunea „Proiecte supuse consultărilor publice”. </w:t>
            </w:r>
          </w:p>
          <w:p w:rsidR="00BD7009" w:rsidRDefault="00BD7009" w:rsidP="00546632">
            <w:pPr>
              <w:jc w:val="both"/>
              <w:rPr>
                <w:sz w:val="28"/>
                <w:szCs w:val="28"/>
                <w:lang w:eastAsia="en-US"/>
              </w:rPr>
            </w:pPr>
          </w:p>
        </w:tc>
      </w:tr>
      <w:tr w:rsidR="00BD7009" w:rsidTr="00546632">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009" w:rsidRDefault="00BD7009" w:rsidP="00546632">
            <w:pPr>
              <w:pStyle w:val="a5"/>
              <w:numPr>
                <w:ilvl w:val="0"/>
                <w:numId w:val="1"/>
              </w:numPr>
              <w:rPr>
                <w:b/>
                <w:sz w:val="28"/>
                <w:szCs w:val="28"/>
                <w:lang w:eastAsia="en-US"/>
              </w:rPr>
            </w:pPr>
            <w:r>
              <w:rPr>
                <w:b/>
                <w:sz w:val="28"/>
                <w:szCs w:val="28"/>
                <w:lang w:eastAsia="en-US"/>
              </w:rPr>
              <w:t>Constatările expertizei anticorupție</w:t>
            </w:r>
          </w:p>
          <w:p w:rsidR="00BD7009" w:rsidRDefault="00BD7009" w:rsidP="00546632">
            <w:pPr>
              <w:pStyle w:val="a5"/>
              <w:ind w:left="751"/>
              <w:rPr>
                <w:b/>
                <w:sz w:val="28"/>
                <w:szCs w:val="28"/>
                <w:lang w:eastAsia="en-US"/>
              </w:rPr>
            </w:pPr>
          </w:p>
        </w:tc>
      </w:tr>
      <w:tr w:rsidR="00BD7009" w:rsidTr="00546632">
        <w:trPr>
          <w:trHeight w:val="50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Consultările expertizei de compatibilitate</w:t>
            </w:r>
          </w:p>
        </w:tc>
      </w:tr>
      <w:tr w:rsidR="00BD7009" w:rsidTr="00546632">
        <w:trPr>
          <w:trHeight w:val="7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009" w:rsidRDefault="00BD7009" w:rsidP="00546632">
            <w:pPr>
              <w:pStyle w:val="a5"/>
              <w:numPr>
                <w:ilvl w:val="0"/>
                <w:numId w:val="1"/>
              </w:numPr>
              <w:rPr>
                <w:b/>
                <w:sz w:val="28"/>
                <w:szCs w:val="28"/>
                <w:lang w:eastAsia="en-US"/>
              </w:rPr>
            </w:pPr>
            <w:r>
              <w:rPr>
                <w:b/>
                <w:sz w:val="28"/>
                <w:szCs w:val="28"/>
                <w:lang w:eastAsia="en-US"/>
              </w:rPr>
              <w:t xml:space="preserve"> Constatările expertizei juridice</w:t>
            </w:r>
          </w:p>
          <w:p w:rsidR="00BD7009" w:rsidRDefault="00BD7009" w:rsidP="00546632">
            <w:pPr>
              <w:ind w:firstLine="34"/>
              <w:jc w:val="both"/>
              <w:rPr>
                <w:sz w:val="28"/>
                <w:szCs w:val="28"/>
                <w:lang w:eastAsia="en-US"/>
              </w:rPr>
            </w:pPr>
            <w:r>
              <w:rPr>
                <w:sz w:val="28"/>
                <w:szCs w:val="28"/>
                <w:lang w:eastAsia="en-US"/>
              </w:rPr>
              <w:t xml:space="preserve">     </w:t>
            </w:r>
          </w:p>
        </w:tc>
      </w:tr>
      <w:tr w:rsidR="00BD7009" w:rsidTr="00546632">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009" w:rsidRDefault="00BD7009" w:rsidP="00546632">
            <w:pPr>
              <w:pStyle w:val="a5"/>
              <w:numPr>
                <w:ilvl w:val="0"/>
                <w:numId w:val="1"/>
              </w:numPr>
              <w:rPr>
                <w:b/>
                <w:sz w:val="28"/>
                <w:szCs w:val="28"/>
                <w:lang w:eastAsia="en-US"/>
              </w:rPr>
            </w:pPr>
            <w:r>
              <w:rPr>
                <w:b/>
                <w:sz w:val="28"/>
                <w:szCs w:val="28"/>
                <w:lang w:eastAsia="en-US"/>
              </w:rPr>
              <w:t xml:space="preserve"> Constatările altor expertize</w:t>
            </w:r>
          </w:p>
          <w:p w:rsidR="00BD7009" w:rsidRDefault="00BD7009" w:rsidP="00546632">
            <w:pPr>
              <w:pStyle w:val="a5"/>
              <w:ind w:left="751"/>
              <w:rPr>
                <w:b/>
                <w:sz w:val="28"/>
                <w:szCs w:val="28"/>
                <w:lang w:eastAsia="en-US"/>
              </w:rPr>
            </w:pPr>
          </w:p>
        </w:tc>
      </w:tr>
    </w:tbl>
    <w:p w:rsidR="00BD7009" w:rsidRDefault="00BD7009" w:rsidP="00BD7009">
      <w:pPr>
        <w:rPr>
          <w:b/>
          <w:sz w:val="28"/>
          <w:szCs w:val="28"/>
        </w:rPr>
      </w:pPr>
    </w:p>
    <w:p w:rsidR="00BD7009" w:rsidRDefault="00BD7009" w:rsidP="00BD7009">
      <w:pPr>
        <w:rPr>
          <w:b/>
          <w:sz w:val="28"/>
          <w:szCs w:val="28"/>
        </w:rPr>
      </w:pPr>
    </w:p>
    <w:p w:rsidR="00BD7009" w:rsidRDefault="00BD7009" w:rsidP="00BD7009">
      <w:pPr>
        <w:rPr>
          <w:b/>
          <w:sz w:val="28"/>
          <w:szCs w:val="28"/>
        </w:rPr>
      </w:pPr>
    </w:p>
    <w:p w:rsidR="00BD7009" w:rsidRDefault="00BD7009" w:rsidP="00BD7009">
      <w:pPr>
        <w:rPr>
          <w:b/>
          <w:sz w:val="28"/>
          <w:szCs w:val="28"/>
        </w:rPr>
      </w:pPr>
      <w:r>
        <w:rPr>
          <w:b/>
          <w:sz w:val="28"/>
          <w:szCs w:val="28"/>
        </w:rPr>
        <w:t xml:space="preserve">    Secretar General de Stat                                                            Boris GÎLCA</w:t>
      </w:r>
    </w:p>
    <w:p w:rsidR="00BD7009" w:rsidRDefault="00BD7009" w:rsidP="00BD7009"/>
    <w:p w:rsidR="0085263A" w:rsidRDefault="0085263A"/>
    <w:sectPr w:rsidR="0085263A" w:rsidSect="00C20F5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1797"/>
    <w:multiLevelType w:val="hybridMultilevel"/>
    <w:tmpl w:val="B148A4D0"/>
    <w:lvl w:ilvl="0" w:tplc="0418000F">
      <w:start w:val="1"/>
      <w:numFmt w:val="decimal"/>
      <w:lvlText w:val="%1."/>
      <w:lvlJc w:val="left"/>
      <w:pPr>
        <w:ind w:left="75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FBB3BED"/>
    <w:multiLevelType w:val="hybridMultilevel"/>
    <w:tmpl w:val="5EB4B120"/>
    <w:lvl w:ilvl="0" w:tplc="BD40ECA0">
      <w:numFmt w:val="bullet"/>
      <w:lvlText w:val="-"/>
      <w:lvlJc w:val="left"/>
      <w:pPr>
        <w:ind w:left="768" w:hanging="360"/>
      </w:pPr>
      <w:rPr>
        <w:rFonts w:ascii="Times New Roman" w:eastAsiaTheme="minorHAnsi"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09"/>
    <w:rsid w:val="00092320"/>
    <w:rsid w:val="001C0905"/>
    <w:rsid w:val="001C71BB"/>
    <w:rsid w:val="00203C05"/>
    <w:rsid w:val="00253898"/>
    <w:rsid w:val="002C537F"/>
    <w:rsid w:val="00415E9A"/>
    <w:rsid w:val="00426244"/>
    <w:rsid w:val="004556A9"/>
    <w:rsid w:val="004731D8"/>
    <w:rsid w:val="004A6584"/>
    <w:rsid w:val="004E76A3"/>
    <w:rsid w:val="0055745B"/>
    <w:rsid w:val="006A476C"/>
    <w:rsid w:val="00842EBF"/>
    <w:rsid w:val="00852035"/>
    <w:rsid w:val="0085263A"/>
    <w:rsid w:val="008B249A"/>
    <w:rsid w:val="009E4618"/>
    <w:rsid w:val="00B51B89"/>
    <w:rsid w:val="00BD7009"/>
    <w:rsid w:val="00C4655B"/>
    <w:rsid w:val="00D542F8"/>
    <w:rsid w:val="00D72555"/>
    <w:rsid w:val="00E33E04"/>
    <w:rsid w:val="00EA121C"/>
    <w:rsid w:val="00ED640E"/>
    <w:rsid w:val="00F72261"/>
    <w:rsid w:val="00F820D5"/>
    <w:rsid w:val="00FC22D1"/>
    <w:rsid w:val="00FD39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009"/>
    <w:pPr>
      <w:spacing w:after="0" w:line="240" w:lineRule="auto"/>
    </w:pPr>
    <w:rPr>
      <w:rFonts w:ascii="Times New Roman" w:eastAsia="Times New Roman" w:hAnsi="Times New Roman" w:cs="Times New Roman"/>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D7009"/>
    <w:pPr>
      <w:tabs>
        <w:tab w:val="center" w:pos="4677"/>
        <w:tab w:val="right" w:pos="9355"/>
      </w:tabs>
    </w:pPr>
  </w:style>
  <w:style w:type="character" w:customStyle="1" w:styleId="a4">
    <w:name w:val="Верхний колонтитул Знак"/>
    <w:basedOn w:val="a0"/>
    <w:link w:val="a3"/>
    <w:uiPriority w:val="99"/>
    <w:semiHidden/>
    <w:rsid w:val="00BD7009"/>
    <w:rPr>
      <w:rFonts w:ascii="Times New Roman" w:eastAsia="Times New Roman" w:hAnsi="Times New Roman" w:cs="Times New Roman"/>
      <w:sz w:val="24"/>
      <w:szCs w:val="24"/>
      <w:lang w:eastAsia="ro-RO"/>
    </w:rPr>
  </w:style>
  <w:style w:type="paragraph" w:styleId="a5">
    <w:name w:val="List Paragraph"/>
    <w:basedOn w:val="a"/>
    <w:uiPriority w:val="34"/>
    <w:qFormat/>
    <w:rsid w:val="00BD7009"/>
    <w:pPr>
      <w:ind w:left="720"/>
      <w:contextualSpacing/>
    </w:pPr>
  </w:style>
  <w:style w:type="table" w:styleId="a6">
    <w:name w:val="Table Grid"/>
    <w:basedOn w:val="a1"/>
    <w:uiPriority w:val="59"/>
    <w:rsid w:val="00BD70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BD7009"/>
    <w:rPr>
      <w:color w:val="0000FF" w:themeColor="hyperlink"/>
      <w:u w:val="single"/>
    </w:rPr>
  </w:style>
  <w:style w:type="paragraph" w:styleId="a8">
    <w:name w:val="footer"/>
    <w:basedOn w:val="a"/>
    <w:link w:val="a9"/>
    <w:unhideWhenUsed/>
    <w:rsid w:val="00BD7009"/>
    <w:pPr>
      <w:tabs>
        <w:tab w:val="center" w:pos="4677"/>
        <w:tab w:val="right" w:pos="9355"/>
      </w:tabs>
    </w:pPr>
    <w:rPr>
      <w:sz w:val="28"/>
      <w:szCs w:val="28"/>
      <w:lang w:val="fr-BE" w:eastAsia="ru-RU"/>
    </w:rPr>
  </w:style>
  <w:style w:type="character" w:customStyle="1" w:styleId="a9">
    <w:name w:val="Нижний колонтитул Знак"/>
    <w:basedOn w:val="a0"/>
    <w:link w:val="a8"/>
    <w:rsid w:val="00BD7009"/>
    <w:rPr>
      <w:rFonts w:ascii="Times New Roman" w:eastAsia="Times New Roman" w:hAnsi="Times New Roman" w:cs="Times New Roman"/>
      <w:sz w:val="28"/>
      <w:szCs w:val="28"/>
      <w:lang w:val="fr-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009"/>
    <w:pPr>
      <w:spacing w:after="0" w:line="240" w:lineRule="auto"/>
    </w:pPr>
    <w:rPr>
      <w:rFonts w:ascii="Times New Roman" w:eastAsia="Times New Roman" w:hAnsi="Times New Roman" w:cs="Times New Roman"/>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D7009"/>
    <w:pPr>
      <w:tabs>
        <w:tab w:val="center" w:pos="4677"/>
        <w:tab w:val="right" w:pos="9355"/>
      </w:tabs>
    </w:pPr>
  </w:style>
  <w:style w:type="character" w:customStyle="1" w:styleId="a4">
    <w:name w:val="Верхний колонтитул Знак"/>
    <w:basedOn w:val="a0"/>
    <w:link w:val="a3"/>
    <w:uiPriority w:val="99"/>
    <w:semiHidden/>
    <w:rsid w:val="00BD7009"/>
    <w:rPr>
      <w:rFonts w:ascii="Times New Roman" w:eastAsia="Times New Roman" w:hAnsi="Times New Roman" w:cs="Times New Roman"/>
      <w:sz w:val="24"/>
      <w:szCs w:val="24"/>
      <w:lang w:eastAsia="ro-RO"/>
    </w:rPr>
  </w:style>
  <w:style w:type="paragraph" w:styleId="a5">
    <w:name w:val="List Paragraph"/>
    <w:basedOn w:val="a"/>
    <w:uiPriority w:val="34"/>
    <w:qFormat/>
    <w:rsid w:val="00BD7009"/>
    <w:pPr>
      <w:ind w:left="720"/>
      <w:contextualSpacing/>
    </w:pPr>
  </w:style>
  <w:style w:type="table" w:styleId="a6">
    <w:name w:val="Table Grid"/>
    <w:basedOn w:val="a1"/>
    <w:uiPriority w:val="59"/>
    <w:rsid w:val="00BD70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BD7009"/>
    <w:rPr>
      <w:color w:val="0000FF" w:themeColor="hyperlink"/>
      <w:u w:val="single"/>
    </w:rPr>
  </w:style>
  <w:style w:type="paragraph" w:styleId="a8">
    <w:name w:val="footer"/>
    <w:basedOn w:val="a"/>
    <w:link w:val="a9"/>
    <w:unhideWhenUsed/>
    <w:rsid w:val="00BD7009"/>
    <w:pPr>
      <w:tabs>
        <w:tab w:val="center" w:pos="4677"/>
        <w:tab w:val="right" w:pos="9355"/>
      </w:tabs>
    </w:pPr>
    <w:rPr>
      <w:sz w:val="28"/>
      <w:szCs w:val="28"/>
      <w:lang w:val="fr-BE" w:eastAsia="ru-RU"/>
    </w:rPr>
  </w:style>
  <w:style w:type="character" w:customStyle="1" w:styleId="a9">
    <w:name w:val="Нижний колонтитул Знак"/>
    <w:basedOn w:val="a0"/>
    <w:link w:val="a8"/>
    <w:rsid w:val="00BD7009"/>
    <w:rPr>
      <w:rFonts w:ascii="Times New Roman" w:eastAsia="Times New Roman" w:hAnsi="Times New Roman" w:cs="Times New Roman"/>
      <w:sz w:val="28"/>
      <w:szCs w:val="28"/>
      <w:lang w:val="fr-B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ps.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Ana Bucur</cp:lastModifiedBy>
  <cp:revision>2</cp:revision>
  <dcterms:created xsi:type="dcterms:W3CDTF">2019-04-01T07:48:00Z</dcterms:created>
  <dcterms:modified xsi:type="dcterms:W3CDTF">2019-04-01T07:48:00Z</dcterms:modified>
</cp:coreProperties>
</file>