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BC" w:rsidRPr="003E0CBF" w:rsidRDefault="006B72BC" w:rsidP="006B72BC">
      <w:pPr>
        <w:spacing w:line="360" w:lineRule="auto"/>
        <w:ind w:firstLine="720"/>
        <w:jc w:val="center"/>
        <w:rPr>
          <w:b/>
          <w:sz w:val="26"/>
          <w:szCs w:val="26"/>
          <w:lang w:val="ro-RO"/>
        </w:rPr>
      </w:pPr>
      <w:r w:rsidRPr="003E0CBF">
        <w:rPr>
          <w:b/>
          <w:sz w:val="26"/>
          <w:szCs w:val="26"/>
          <w:lang w:val="ro-RO"/>
        </w:rPr>
        <w:t>NOTĂ INFORMATIVĂ</w:t>
      </w:r>
    </w:p>
    <w:p w:rsidR="006B72BC" w:rsidRPr="003E0CBF" w:rsidRDefault="006B72BC" w:rsidP="006B72BC">
      <w:pPr>
        <w:ind w:firstLine="720"/>
        <w:jc w:val="center"/>
        <w:rPr>
          <w:b/>
          <w:sz w:val="26"/>
          <w:szCs w:val="26"/>
          <w:lang w:val="ro-RO"/>
        </w:rPr>
      </w:pPr>
      <w:r w:rsidRPr="003E0CBF">
        <w:rPr>
          <w:b/>
          <w:sz w:val="26"/>
          <w:szCs w:val="26"/>
          <w:lang w:val="ro-RO"/>
        </w:rPr>
        <w:t>la proiectul hotărîrii Guvernului</w:t>
      </w:r>
    </w:p>
    <w:p w:rsidR="006B72BC" w:rsidRPr="003E0CBF" w:rsidRDefault="006B72BC" w:rsidP="006B72BC">
      <w:pPr>
        <w:ind w:firstLine="720"/>
        <w:jc w:val="center"/>
        <w:rPr>
          <w:b/>
          <w:sz w:val="26"/>
          <w:szCs w:val="26"/>
          <w:lang w:val="ro-RO"/>
        </w:rPr>
      </w:pPr>
      <w:r w:rsidRPr="003E0CBF">
        <w:rPr>
          <w:b/>
          <w:sz w:val="26"/>
          <w:szCs w:val="26"/>
          <w:lang w:val="ro-RO"/>
        </w:rPr>
        <w:t>„</w:t>
      </w:r>
      <w:r w:rsidRPr="003E0CBF">
        <w:rPr>
          <w:b/>
          <w:sz w:val="26"/>
          <w:szCs w:val="26"/>
          <w:lang w:val="ro-RO"/>
        </w:rPr>
        <w:t xml:space="preserve">Pentru </w:t>
      </w:r>
      <w:r w:rsidRPr="003E0CBF">
        <w:rPr>
          <w:b/>
          <w:sz w:val="26"/>
          <w:szCs w:val="26"/>
          <w:lang w:val="ro-RO"/>
        </w:rPr>
        <w:t xml:space="preserve">aprobarea Graficului </w:t>
      </w:r>
      <w:r w:rsidRPr="003E0CBF">
        <w:rPr>
          <w:b/>
          <w:sz w:val="26"/>
          <w:szCs w:val="26"/>
          <w:lang w:val="ro-RO"/>
        </w:rPr>
        <w:t>controalelor asupra activităţii</w:t>
      </w:r>
    </w:p>
    <w:p w:rsidR="006B72BC" w:rsidRPr="003E0CBF" w:rsidRDefault="006B72BC" w:rsidP="006B72BC">
      <w:pPr>
        <w:ind w:firstLine="720"/>
        <w:jc w:val="center"/>
        <w:rPr>
          <w:b/>
          <w:sz w:val="26"/>
          <w:szCs w:val="26"/>
          <w:lang w:val="ro-RO"/>
        </w:rPr>
      </w:pPr>
      <w:r w:rsidRPr="003E0CBF">
        <w:rPr>
          <w:b/>
          <w:sz w:val="26"/>
          <w:szCs w:val="26"/>
          <w:lang w:val="ro-RO"/>
        </w:rPr>
        <w:t>rezidenţilor zonelor economice libere pentru anul 2019”</w:t>
      </w:r>
    </w:p>
    <w:p w:rsidR="00BF6297" w:rsidRPr="003E0CBF" w:rsidRDefault="00BF6297" w:rsidP="006B72BC">
      <w:pPr>
        <w:spacing w:line="360" w:lineRule="auto"/>
        <w:ind w:firstLine="709"/>
        <w:jc w:val="both"/>
        <w:rPr>
          <w:sz w:val="26"/>
          <w:szCs w:val="26"/>
          <w:lang w:val="ro-RO"/>
        </w:rPr>
      </w:pPr>
    </w:p>
    <w:tbl>
      <w:tblPr>
        <w:tblW w:w="5268" w:type="pct"/>
        <w:jc w:val="center"/>
        <w:tblCellMar>
          <w:top w:w="15" w:type="dxa"/>
          <w:left w:w="15" w:type="dxa"/>
          <w:bottom w:w="15" w:type="dxa"/>
          <w:right w:w="15" w:type="dxa"/>
        </w:tblCellMar>
        <w:tblLook w:val="04A0" w:firstRow="1" w:lastRow="0" w:firstColumn="1" w:lastColumn="0" w:noHBand="0" w:noVBand="1"/>
      </w:tblPr>
      <w:tblGrid>
        <w:gridCol w:w="9539"/>
      </w:tblGrid>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1.</w:t>
            </w:r>
            <w:r w:rsidRPr="003E0CBF">
              <w:rPr>
                <w:b/>
                <w:sz w:val="26"/>
                <w:szCs w:val="26"/>
                <w:lang w:val="ro-RO" w:eastAsia="ro-RO"/>
              </w:rPr>
              <w:t xml:space="preserve"> Denumirea autorului şi, după caz, a participanţilor la elaborarea proiectului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sz w:val="26"/>
                <w:szCs w:val="26"/>
                <w:lang w:val="ro-RO" w:eastAsia="ro-RO"/>
              </w:rPr>
            </w:pPr>
            <w:r w:rsidRPr="003E0CBF">
              <w:rPr>
                <w:sz w:val="26"/>
                <w:szCs w:val="26"/>
                <w:lang w:val="ro-RO" w:eastAsia="ro-RO"/>
              </w:rPr>
              <w:t>Prezentul proiect de hotărîre este elaborat de către Ministerul Economiei și Infrastructurii.</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2.</w:t>
            </w:r>
            <w:r w:rsidRPr="003E0CBF">
              <w:rPr>
                <w:b/>
                <w:sz w:val="26"/>
                <w:szCs w:val="26"/>
                <w:lang w:val="ro-RO" w:eastAsia="ro-RO"/>
              </w:rPr>
              <w:t xml:space="preserve"> Condiţiile ce au impus elaborarea proiectului de act no</w:t>
            </w:r>
            <w:r w:rsidR="00D33571">
              <w:rPr>
                <w:b/>
                <w:sz w:val="26"/>
                <w:szCs w:val="26"/>
                <w:lang w:val="ro-RO" w:eastAsia="ro-RO"/>
              </w:rPr>
              <w:t>rmativ şi finalităţile urmărite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56"/>
              <w:contextualSpacing/>
              <w:jc w:val="both"/>
              <w:rPr>
                <w:sz w:val="26"/>
                <w:szCs w:val="26"/>
                <w:lang w:val="ro-RO" w:bidi="en-US"/>
              </w:rPr>
            </w:pPr>
            <w:r w:rsidRPr="003E0CBF">
              <w:rPr>
                <w:sz w:val="26"/>
                <w:szCs w:val="26"/>
                <w:lang w:val="ro-RO" w:bidi="en-US"/>
              </w:rPr>
              <w:t>Proiectul hotărîrii Guvernului „Pentru aprobarea Graficului controalelor asupra activităţii rezidenţilor zonelor economice libere pentru anul 2019” a fost elaborat în vederea executării prevederilor art.6 alin. (25</w:t>
            </w:r>
            <w:r w:rsidRPr="003E0CBF">
              <w:rPr>
                <w:sz w:val="26"/>
                <w:szCs w:val="26"/>
                <w:vertAlign w:val="superscript"/>
                <w:lang w:val="ro-RO" w:bidi="en-US"/>
              </w:rPr>
              <w:t>1</w:t>
            </w:r>
            <w:r w:rsidRPr="003E0CBF">
              <w:rPr>
                <w:sz w:val="26"/>
                <w:szCs w:val="26"/>
                <w:lang w:val="ro-RO" w:bidi="en-US"/>
              </w:rPr>
              <w:t>) Legea nr.440/2001 cu privire la zonele economice libere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3.</w:t>
            </w:r>
            <w:r w:rsidRPr="003E0CBF">
              <w:rPr>
                <w:b/>
                <w:sz w:val="26"/>
                <w:szCs w:val="26"/>
                <w:lang w:val="ro-RO" w:eastAsia="ro-RO"/>
              </w:rPr>
              <w:t xml:space="preserve"> Descrierea gradului de compatibilitate pentru proiectele care au ca scop armonizarea legislaţiei naţionale cu legislaţia Uniunii Europene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sz w:val="26"/>
                <w:szCs w:val="26"/>
                <w:lang w:val="ro-RO" w:eastAsia="ro-RO"/>
              </w:rPr>
            </w:pPr>
            <w:r w:rsidRPr="003E0CBF">
              <w:rPr>
                <w:sz w:val="26"/>
                <w:szCs w:val="26"/>
                <w:lang w:val="ro-RO" w:eastAsia="ro-RO"/>
              </w:rPr>
              <w:t>Proiectul hotărîrii de Guvern nu conține norme privind armonizarea legislației naționale cu legislaţia Uniunii Europene.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4.</w:t>
            </w:r>
            <w:r w:rsidRPr="003E0CBF">
              <w:rPr>
                <w:b/>
                <w:sz w:val="26"/>
                <w:szCs w:val="26"/>
                <w:lang w:val="ro-RO" w:eastAsia="ro-RO"/>
              </w:rPr>
              <w:t xml:space="preserve"> Principalele prevederi ale proiectului </w:t>
            </w:r>
            <w:r w:rsidR="0068566B" w:rsidRPr="003E0CBF">
              <w:rPr>
                <w:b/>
                <w:sz w:val="26"/>
                <w:szCs w:val="26"/>
                <w:lang w:val="ro-RO" w:eastAsia="ro-RO"/>
              </w:rPr>
              <w:t>şi evidenţierea elementelor noi</w:t>
            </w:r>
          </w:p>
        </w:tc>
      </w:tr>
      <w:tr w:rsidR="0068566B"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68566B" w:rsidRPr="003E0CBF" w:rsidRDefault="0068566B" w:rsidP="00DC6673">
            <w:pPr>
              <w:spacing w:line="276" w:lineRule="auto"/>
              <w:ind w:firstLine="644"/>
              <w:jc w:val="both"/>
              <w:rPr>
                <w:sz w:val="26"/>
                <w:szCs w:val="26"/>
                <w:lang w:val="ro-RO" w:eastAsia="ro-RO"/>
              </w:rPr>
            </w:pPr>
            <w:r w:rsidRPr="003E0CBF">
              <w:rPr>
                <w:sz w:val="26"/>
                <w:szCs w:val="26"/>
                <w:lang w:val="ro-RO" w:eastAsia="ro-RO"/>
              </w:rPr>
              <w:t>Prin elaborarea proiectului hotărîrii nominalizate se propune oferirea unei predictabilităţi şi stabilităţi activităţii agenţilor economici – rezidenţi ai zonelor libere. În acelaşi timp, se propune asigurarea prevederilor cardului legal</w:t>
            </w:r>
            <w:r w:rsidR="003F4931" w:rsidRPr="003E0CBF">
              <w:rPr>
                <w:sz w:val="26"/>
                <w:szCs w:val="26"/>
                <w:lang w:val="ro-RO" w:eastAsia="ro-RO"/>
              </w:rPr>
              <w:t xml:space="preserve"> în vigoare</w:t>
            </w:r>
            <w:r w:rsidRPr="003E0CBF">
              <w:rPr>
                <w:sz w:val="26"/>
                <w:szCs w:val="26"/>
                <w:lang w:val="ro-RO" w:eastAsia="ro-RO"/>
              </w:rPr>
              <w:t xml:space="preserve">, care statuează că, </w:t>
            </w:r>
            <w:r w:rsidR="003F4931" w:rsidRPr="003E0CBF">
              <w:rPr>
                <w:sz w:val="26"/>
                <w:szCs w:val="26"/>
                <w:lang w:val="ro-RO" w:eastAsia="ro-RO"/>
              </w:rPr>
              <w:t>unul şi acelaşi organ de control nu este în drept să efectueze controlul planificat mai mult decît o dată într-un an calendaristic asupra uneia şi aceleiaşi persoane sau asupra unuia şi aceluiaşi obiect al controlului în cazul în care persoana deţine mai multe obiecte distincte, amplasate separat de sediu şi de alte obiecte, cu excepţia cazurilor în care se impune o frecvenţă mai înaltă a controalelor conform metodologiei de planificare a controlului în baza criteriilor de risc, aplicată domeniului de control în cauză.</w:t>
            </w:r>
          </w:p>
          <w:p w:rsidR="0068566B" w:rsidRPr="003E0CBF" w:rsidRDefault="0068566B" w:rsidP="00DC6673">
            <w:pPr>
              <w:spacing w:line="276" w:lineRule="auto"/>
              <w:ind w:firstLine="644"/>
              <w:jc w:val="both"/>
              <w:rPr>
                <w:b/>
                <w:bCs/>
                <w:sz w:val="26"/>
                <w:szCs w:val="26"/>
                <w:lang w:val="ro-RO" w:eastAsia="ro-RO"/>
              </w:rPr>
            </w:pPr>
            <w:r w:rsidRPr="003E0CBF">
              <w:rPr>
                <w:sz w:val="26"/>
                <w:szCs w:val="26"/>
                <w:lang w:val="ro-RO" w:eastAsia="ro-RO"/>
              </w:rPr>
              <w:t>De asemenea, potri</w:t>
            </w:r>
            <w:r w:rsidR="00B62FAA" w:rsidRPr="003E0CBF">
              <w:rPr>
                <w:sz w:val="26"/>
                <w:szCs w:val="26"/>
                <w:lang w:val="ro-RO" w:eastAsia="ro-RO"/>
              </w:rPr>
              <w:t>v</w:t>
            </w:r>
            <w:r w:rsidRPr="003E0CBF">
              <w:rPr>
                <w:sz w:val="26"/>
                <w:szCs w:val="26"/>
                <w:lang w:val="ro-RO" w:eastAsia="ro-RO"/>
              </w:rPr>
              <w:t xml:space="preserve">it cadrului legal controale în speţă unrmează să se efectueze </w:t>
            </w:r>
            <w:r w:rsidR="003E0CBF" w:rsidRPr="003E0CBF">
              <w:rPr>
                <w:sz w:val="26"/>
                <w:szCs w:val="26"/>
                <w:lang w:val="ro-RO" w:eastAsia="ro-RO"/>
              </w:rPr>
              <w:t xml:space="preserve">de către toate organele de control </w:t>
            </w:r>
            <w:r w:rsidRPr="003E0CBF">
              <w:rPr>
                <w:sz w:val="26"/>
                <w:szCs w:val="26"/>
                <w:lang w:val="ro-RO" w:eastAsia="ro-RO"/>
              </w:rPr>
              <w:t>concomitent.</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5.</w:t>
            </w:r>
            <w:r w:rsidRPr="003E0CBF">
              <w:rPr>
                <w:b/>
                <w:sz w:val="26"/>
                <w:szCs w:val="26"/>
                <w:lang w:val="ro-RO" w:eastAsia="ro-RO"/>
              </w:rPr>
              <w:t xml:space="preserve"> Fundamentarea economico-financiară</w:t>
            </w:r>
          </w:p>
        </w:tc>
      </w:tr>
      <w:tr w:rsidR="00612F1C" w:rsidRPr="003E0CBF" w:rsidTr="00392929">
        <w:trPr>
          <w:trHeight w:val="646"/>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56"/>
              <w:jc w:val="both"/>
              <w:rPr>
                <w:sz w:val="26"/>
                <w:szCs w:val="26"/>
                <w:lang w:val="ro-RO" w:eastAsia="zh-TW" w:bidi="en-US"/>
              </w:rPr>
            </w:pPr>
            <w:r w:rsidRPr="003E0CBF">
              <w:rPr>
                <w:sz w:val="26"/>
                <w:szCs w:val="26"/>
                <w:lang w:val="ro-RO" w:eastAsia="zh-TW" w:bidi="en-US"/>
              </w:rPr>
              <w:t>Implementarea proiectului de hotărâre de Guvern nu va necesita cheltuieli suplimentare de la bugetul de stat.</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6.</w:t>
            </w:r>
            <w:r w:rsidRPr="003E0CBF">
              <w:rPr>
                <w:b/>
                <w:sz w:val="26"/>
                <w:szCs w:val="26"/>
                <w:lang w:val="ro-RO" w:eastAsia="ro-RO"/>
              </w:rPr>
              <w:t xml:space="preserve"> Modul de încorporare a actului în cadrul normativ în vigoare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pStyle w:val="cb"/>
              <w:spacing w:line="276" w:lineRule="auto"/>
              <w:ind w:firstLine="644"/>
              <w:jc w:val="both"/>
              <w:rPr>
                <w:sz w:val="26"/>
                <w:szCs w:val="26"/>
                <w:lang w:val="ro-RO" w:eastAsia="ro-RO"/>
              </w:rPr>
            </w:pPr>
            <w:r w:rsidRPr="003E0CBF">
              <w:rPr>
                <w:b w:val="0"/>
                <w:sz w:val="26"/>
                <w:szCs w:val="26"/>
                <w:lang w:val="ro-RO"/>
              </w:rPr>
              <w:t xml:space="preserve">Proiectul hotărârii Guvernului </w:t>
            </w:r>
            <w:r w:rsidR="00A9429D" w:rsidRPr="003E0CBF">
              <w:rPr>
                <w:b w:val="0"/>
                <w:sz w:val="26"/>
                <w:szCs w:val="26"/>
                <w:lang w:val="ro-RO"/>
              </w:rPr>
              <w:t xml:space="preserve">în speţă </w:t>
            </w:r>
            <w:r w:rsidRPr="003E0CBF">
              <w:rPr>
                <w:b w:val="0"/>
                <w:sz w:val="26"/>
                <w:szCs w:val="26"/>
                <w:lang w:val="ro-RO"/>
              </w:rPr>
              <w:t>se încadrează organic în cadrul normativ în vigoare. Proiectul corespunde cadrului normativ primar – Legea nr.</w:t>
            </w:r>
            <w:r w:rsidR="00A9429D" w:rsidRPr="003E0CBF">
              <w:rPr>
                <w:b w:val="0"/>
                <w:sz w:val="26"/>
                <w:szCs w:val="26"/>
                <w:lang w:val="ro-RO"/>
              </w:rPr>
              <w:t>440</w:t>
            </w:r>
            <w:r w:rsidRPr="003E0CBF">
              <w:rPr>
                <w:b w:val="0"/>
                <w:sz w:val="26"/>
                <w:szCs w:val="26"/>
                <w:lang w:val="ro-RO"/>
              </w:rPr>
              <w:t>/200</w:t>
            </w:r>
            <w:r w:rsidR="00A9429D" w:rsidRPr="003E0CBF">
              <w:rPr>
                <w:b w:val="0"/>
                <w:sz w:val="26"/>
                <w:szCs w:val="26"/>
                <w:lang w:val="ro-RO"/>
              </w:rPr>
              <w:t>1</w:t>
            </w:r>
            <w:r w:rsidRPr="003E0CBF">
              <w:rPr>
                <w:b w:val="0"/>
                <w:sz w:val="26"/>
                <w:szCs w:val="26"/>
                <w:lang w:val="ro-RO"/>
              </w:rPr>
              <w:t>. De asemenea, acesta nu contravine niciunui act normativ secundar. Respectiv, aprobarea acestui proiect de act normativ, nu va necesita amendarea altor acte normative.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lastRenderedPageBreak/>
              <w:t>7.</w:t>
            </w:r>
            <w:r w:rsidRPr="003E0CBF">
              <w:rPr>
                <w:b/>
                <w:sz w:val="26"/>
                <w:szCs w:val="26"/>
                <w:lang w:val="ro-RO" w:eastAsia="ro-RO"/>
              </w:rPr>
              <w:t xml:space="preserve"> Avizarea şi consultarea publică a proiectului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sz w:val="26"/>
                <w:szCs w:val="26"/>
                <w:lang w:val="ro-RO" w:eastAsia="ro-RO"/>
              </w:rPr>
            </w:pPr>
            <w:r w:rsidRPr="003E0CBF">
              <w:rPr>
                <w:sz w:val="26"/>
                <w:szCs w:val="26"/>
                <w:lang w:val="ro-RO" w:eastAsia="ro-RO"/>
              </w:rPr>
              <w:t>În conformitate cu prevederile Regulamentului Guvernului, aprobat prin Hotărîrea Guvernului nr.610 din 3 iulie 2018, prezentul proiect de hotărîre se transmite Cancelariei de Stat pentru înregistrare.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8.</w:t>
            </w:r>
            <w:r w:rsidRPr="003E0CBF">
              <w:rPr>
                <w:b/>
                <w:sz w:val="26"/>
                <w:szCs w:val="26"/>
                <w:lang w:val="ro-RO" w:eastAsia="ro-RO"/>
              </w:rPr>
              <w:t xml:space="preserve"> Constatările expertizei anticorupţie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CA494A" w:rsidP="00DC6673">
            <w:pPr>
              <w:spacing w:line="276" w:lineRule="auto"/>
              <w:ind w:firstLine="644"/>
              <w:jc w:val="both"/>
              <w:rPr>
                <w:sz w:val="26"/>
                <w:szCs w:val="26"/>
                <w:lang w:val="ro-RO" w:eastAsia="ro-RO"/>
              </w:rPr>
            </w:pPr>
            <w:r>
              <w:rPr>
                <w:sz w:val="26"/>
                <w:szCs w:val="26"/>
                <w:lang w:val="ro-RO" w:eastAsia="ro-RO"/>
              </w:rPr>
              <w:t>-</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9.</w:t>
            </w:r>
            <w:r w:rsidRPr="003E0CBF">
              <w:rPr>
                <w:b/>
                <w:sz w:val="26"/>
                <w:szCs w:val="26"/>
                <w:lang w:val="ro-RO" w:eastAsia="ro-RO"/>
              </w:rPr>
              <w:t xml:space="preserve"> Constatările expertizei de compatibilitate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sz w:val="26"/>
                <w:szCs w:val="26"/>
                <w:lang w:val="ro-RO" w:eastAsia="ro-RO"/>
              </w:rPr>
            </w:pPr>
            <w:r w:rsidRPr="003E0CBF">
              <w:rPr>
                <w:sz w:val="26"/>
                <w:szCs w:val="26"/>
                <w:lang w:val="ro-RO" w:eastAsia="ro-RO"/>
              </w:rPr>
              <w:t>Proiectul hotărîrii de Guvern nu conține norme privind armonizarea legislației naționale cu legislaţia Uniunii Europene.</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10.</w:t>
            </w:r>
            <w:r w:rsidRPr="003E0CBF">
              <w:rPr>
                <w:b/>
                <w:sz w:val="26"/>
                <w:szCs w:val="26"/>
                <w:lang w:val="ro-RO" w:eastAsia="ro-RO"/>
              </w:rPr>
              <w:t xml:space="preserve"> Constatările expertizei juridice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CA494A" w:rsidP="00DC6673">
            <w:pPr>
              <w:spacing w:line="276" w:lineRule="auto"/>
              <w:ind w:firstLine="644"/>
              <w:jc w:val="both"/>
              <w:rPr>
                <w:sz w:val="26"/>
                <w:szCs w:val="26"/>
                <w:lang w:val="ro-RO" w:eastAsia="ro-RO"/>
              </w:rPr>
            </w:pPr>
            <w:r>
              <w:rPr>
                <w:sz w:val="26"/>
                <w:szCs w:val="26"/>
                <w:lang w:val="ro-RO" w:eastAsia="ro-RO"/>
              </w:rPr>
              <w:t>-</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b/>
                <w:sz w:val="26"/>
                <w:szCs w:val="26"/>
                <w:lang w:val="ro-RO" w:eastAsia="ro-RO"/>
              </w:rPr>
            </w:pPr>
            <w:r w:rsidRPr="003E0CBF">
              <w:rPr>
                <w:b/>
                <w:bCs/>
                <w:sz w:val="26"/>
                <w:szCs w:val="26"/>
                <w:lang w:val="ro-RO" w:eastAsia="ro-RO"/>
              </w:rPr>
              <w:t>11.</w:t>
            </w:r>
            <w:r w:rsidRPr="003E0CBF">
              <w:rPr>
                <w:b/>
                <w:sz w:val="26"/>
                <w:szCs w:val="26"/>
                <w:lang w:val="ro-RO" w:eastAsia="ro-RO"/>
              </w:rPr>
              <w:t xml:space="preserve"> Constatările altor expertize </w:t>
            </w:r>
          </w:p>
        </w:tc>
      </w:tr>
      <w:tr w:rsidR="00612F1C" w:rsidRPr="003E0CBF" w:rsidTr="00392929">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12F1C" w:rsidRPr="003E0CBF" w:rsidRDefault="00612F1C" w:rsidP="00DC6673">
            <w:pPr>
              <w:spacing w:line="276" w:lineRule="auto"/>
              <w:ind w:firstLine="644"/>
              <w:jc w:val="both"/>
              <w:rPr>
                <w:sz w:val="26"/>
                <w:szCs w:val="26"/>
                <w:lang w:val="ro-RO" w:eastAsia="ro-RO"/>
              </w:rPr>
            </w:pPr>
            <w:r w:rsidRPr="003E0CBF">
              <w:rPr>
                <w:bCs/>
                <w:sz w:val="26"/>
                <w:szCs w:val="26"/>
                <w:lang w:val="ro-RO"/>
              </w:rPr>
              <w:t>Proiectul de hotărîre a Guvernului nu conține nici un aspect nou ce vizează reglementarea activității de întreprinzător, respectiv, nu este necesară elaborarea Analizei Impactului de Reglementare (AIR).</w:t>
            </w:r>
          </w:p>
        </w:tc>
      </w:tr>
    </w:tbl>
    <w:p w:rsidR="006B72BC" w:rsidRPr="003E0CBF" w:rsidRDefault="006B72BC" w:rsidP="006B72BC">
      <w:pPr>
        <w:spacing w:line="360" w:lineRule="auto"/>
        <w:ind w:firstLine="709"/>
        <w:jc w:val="both"/>
        <w:rPr>
          <w:sz w:val="26"/>
          <w:szCs w:val="26"/>
          <w:lang w:val="ro-RO"/>
        </w:rPr>
      </w:pPr>
    </w:p>
    <w:p w:rsidR="006B72BC" w:rsidRPr="003E0CBF" w:rsidRDefault="006B72BC" w:rsidP="006B72BC">
      <w:pPr>
        <w:spacing w:line="360" w:lineRule="auto"/>
        <w:ind w:firstLine="709"/>
        <w:jc w:val="both"/>
        <w:rPr>
          <w:sz w:val="26"/>
          <w:szCs w:val="26"/>
          <w:lang w:val="ro-RO"/>
        </w:rPr>
      </w:pPr>
    </w:p>
    <w:p w:rsidR="006B72BC" w:rsidRPr="003E0CBF" w:rsidRDefault="006B72BC" w:rsidP="006B72BC">
      <w:pPr>
        <w:spacing w:line="360" w:lineRule="auto"/>
        <w:ind w:firstLine="709"/>
        <w:jc w:val="both"/>
        <w:rPr>
          <w:sz w:val="26"/>
          <w:szCs w:val="26"/>
          <w:lang w:val="ro-RO"/>
        </w:rPr>
      </w:pPr>
    </w:p>
    <w:p w:rsidR="00A83EB4" w:rsidRPr="003E0CBF" w:rsidRDefault="00CA494A" w:rsidP="009B70BB">
      <w:pPr>
        <w:jc w:val="center"/>
        <w:rPr>
          <w:b/>
          <w:sz w:val="26"/>
          <w:szCs w:val="26"/>
          <w:lang w:val="ro-RO"/>
        </w:rPr>
      </w:pPr>
      <w:r w:rsidRPr="00CA494A">
        <w:rPr>
          <w:b/>
          <w:sz w:val="26"/>
          <w:szCs w:val="26"/>
          <w:lang w:val="ro-RO"/>
        </w:rPr>
        <w:t>Secretar general de stat</w:t>
      </w:r>
      <w:r w:rsidRPr="00CA494A">
        <w:rPr>
          <w:b/>
          <w:sz w:val="26"/>
          <w:szCs w:val="26"/>
          <w:lang w:val="ro-RO"/>
        </w:rPr>
        <w:tab/>
      </w:r>
      <w:r w:rsidRPr="00CA494A">
        <w:rPr>
          <w:b/>
          <w:sz w:val="26"/>
          <w:szCs w:val="26"/>
          <w:lang w:val="ro-RO"/>
        </w:rPr>
        <w:tab/>
      </w:r>
      <w:r w:rsidRPr="00CA494A">
        <w:rPr>
          <w:b/>
          <w:sz w:val="26"/>
          <w:szCs w:val="26"/>
          <w:lang w:val="ro-RO"/>
        </w:rPr>
        <w:tab/>
      </w:r>
      <w:r w:rsidRPr="00CA494A">
        <w:rPr>
          <w:b/>
          <w:sz w:val="26"/>
          <w:szCs w:val="26"/>
          <w:lang w:val="ro-RO"/>
        </w:rPr>
        <w:tab/>
      </w:r>
      <w:r w:rsidRPr="00CA494A">
        <w:rPr>
          <w:b/>
          <w:sz w:val="26"/>
          <w:szCs w:val="26"/>
          <w:lang w:val="ro-RO"/>
        </w:rPr>
        <w:tab/>
        <w:t>Iulia COSTIN</w:t>
      </w:r>
      <w:bookmarkStart w:id="0" w:name="_GoBack"/>
      <w:bookmarkEnd w:id="0"/>
    </w:p>
    <w:sectPr w:rsidR="00A83EB4" w:rsidRPr="003E0CBF" w:rsidSect="00AC2DFB">
      <w:footerReference w:type="even" r:id="rId5"/>
      <w:footerReference w:type="default" r:id="rId6"/>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18" w:rsidRDefault="00CA494A" w:rsidP="00F2741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F27418" w:rsidRDefault="00CA494A" w:rsidP="00F2741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418" w:rsidRDefault="00CA494A" w:rsidP="00F2741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rsidR="00F27418" w:rsidRDefault="00CA494A" w:rsidP="00F27418">
    <w:pPr>
      <w:pStyle w:val="Subsol"/>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605F6"/>
    <w:multiLevelType w:val="hybridMultilevel"/>
    <w:tmpl w:val="D30C347A"/>
    <w:lvl w:ilvl="0" w:tplc="08090001">
      <w:start w:val="1"/>
      <w:numFmt w:val="bullet"/>
      <w:lvlText w:val=""/>
      <w:lvlJc w:val="left"/>
      <w:pPr>
        <w:ind w:left="1234" w:hanging="360"/>
      </w:pPr>
      <w:rPr>
        <w:rFonts w:ascii="Symbol" w:hAnsi="Symbol" w:hint="default"/>
      </w:rPr>
    </w:lvl>
    <w:lvl w:ilvl="1" w:tplc="04180003" w:tentative="1">
      <w:start w:val="1"/>
      <w:numFmt w:val="bullet"/>
      <w:lvlText w:val="o"/>
      <w:lvlJc w:val="left"/>
      <w:pPr>
        <w:ind w:left="1954" w:hanging="360"/>
      </w:pPr>
      <w:rPr>
        <w:rFonts w:ascii="Courier New" w:hAnsi="Courier New" w:cs="Courier New" w:hint="default"/>
      </w:rPr>
    </w:lvl>
    <w:lvl w:ilvl="2" w:tplc="04180005" w:tentative="1">
      <w:start w:val="1"/>
      <w:numFmt w:val="bullet"/>
      <w:lvlText w:val=""/>
      <w:lvlJc w:val="left"/>
      <w:pPr>
        <w:ind w:left="2674" w:hanging="360"/>
      </w:pPr>
      <w:rPr>
        <w:rFonts w:ascii="Wingdings" w:hAnsi="Wingdings" w:hint="default"/>
      </w:rPr>
    </w:lvl>
    <w:lvl w:ilvl="3" w:tplc="04180001" w:tentative="1">
      <w:start w:val="1"/>
      <w:numFmt w:val="bullet"/>
      <w:lvlText w:val=""/>
      <w:lvlJc w:val="left"/>
      <w:pPr>
        <w:ind w:left="3394" w:hanging="360"/>
      </w:pPr>
      <w:rPr>
        <w:rFonts w:ascii="Symbol" w:hAnsi="Symbol" w:hint="default"/>
      </w:rPr>
    </w:lvl>
    <w:lvl w:ilvl="4" w:tplc="04180003" w:tentative="1">
      <w:start w:val="1"/>
      <w:numFmt w:val="bullet"/>
      <w:lvlText w:val="o"/>
      <w:lvlJc w:val="left"/>
      <w:pPr>
        <w:ind w:left="4114" w:hanging="360"/>
      </w:pPr>
      <w:rPr>
        <w:rFonts w:ascii="Courier New" w:hAnsi="Courier New" w:cs="Courier New" w:hint="default"/>
      </w:rPr>
    </w:lvl>
    <w:lvl w:ilvl="5" w:tplc="04180005" w:tentative="1">
      <w:start w:val="1"/>
      <w:numFmt w:val="bullet"/>
      <w:lvlText w:val=""/>
      <w:lvlJc w:val="left"/>
      <w:pPr>
        <w:ind w:left="4834" w:hanging="360"/>
      </w:pPr>
      <w:rPr>
        <w:rFonts w:ascii="Wingdings" w:hAnsi="Wingdings" w:hint="default"/>
      </w:rPr>
    </w:lvl>
    <w:lvl w:ilvl="6" w:tplc="04180001" w:tentative="1">
      <w:start w:val="1"/>
      <w:numFmt w:val="bullet"/>
      <w:lvlText w:val=""/>
      <w:lvlJc w:val="left"/>
      <w:pPr>
        <w:ind w:left="5554" w:hanging="360"/>
      </w:pPr>
      <w:rPr>
        <w:rFonts w:ascii="Symbol" w:hAnsi="Symbol" w:hint="default"/>
      </w:rPr>
    </w:lvl>
    <w:lvl w:ilvl="7" w:tplc="04180003" w:tentative="1">
      <w:start w:val="1"/>
      <w:numFmt w:val="bullet"/>
      <w:lvlText w:val="o"/>
      <w:lvlJc w:val="left"/>
      <w:pPr>
        <w:ind w:left="6274" w:hanging="360"/>
      </w:pPr>
      <w:rPr>
        <w:rFonts w:ascii="Courier New" w:hAnsi="Courier New" w:cs="Courier New" w:hint="default"/>
      </w:rPr>
    </w:lvl>
    <w:lvl w:ilvl="8" w:tplc="04180005" w:tentative="1">
      <w:start w:val="1"/>
      <w:numFmt w:val="bullet"/>
      <w:lvlText w:val=""/>
      <w:lvlJc w:val="left"/>
      <w:pPr>
        <w:ind w:left="6994" w:hanging="360"/>
      </w:pPr>
      <w:rPr>
        <w:rFonts w:ascii="Wingdings" w:hAnsi="Wingdings" w:hint="default"/>
      </w:rPr>
    </w:lvl>
  </w:abstractNum>
  <w:abstractNum w:abstractNumId="1" w15:restartNumberingAfterBreak="0">
    <w:nsid w:val="5A0F2AAD"/>
    <w:multiLevelType w:val="hybridMultilevel"/>
    <w:tmpl w:val="BC24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BC"/>
    <w:rsid w:val="0000278D"/>
    <w:rsid w:val="00024228"/>
    <w:rsid w:val="00046968"/>
    <w:rsid w:val="000C1792"/>
    <w:rsid w:val="00110064"/>
    <w:rsid w:val="001B7236"/>
    <w:rsid w:val="001D0706"/>
    <w:rsid w:val="002559F8"/>
    <w:rsid w:val="00381D8B"/>
    <w:rsid w:val="00386C4C"/>
    <w:rsid w:val="003E0CBF"/>
    <w:rsid w:val="003F4931"/>
    <w:rsid w:val="00483091"/>
    <w:rsid w:val="004E390E"/>
    <w:rsid w:val="00512A5C"/>
    <w:rsid w:val="0053600D"/>
    <w:rsid w:val="005E2680"/>
    <w:rsid w:val="00612F1C"/>
    <w:rsid w:val="0065126E"/>
    <w:rsid w:val="00657FEB"/>
    <w:rsid w:val="0068566B"/>
    <w:rsid w:val="006B72BC"/>
    <w:rsid w:val="007B14F9"/>
    <w:rsid w:val="007C21EF"/>
    <w:rsid w:val="0084012B"/>
    <w:rsid w:val="0091312C"/>
    <w:rsid w:val="00961237"/>
    <w:rsid w:val="009B70BB"/>
    <w:rsid w:val="00A9429D"/>
    <w:rsid w:val="00AE3E7D"/>
    <w:rsid w:val="00B62FAA"/>
    <w:rsid w:val="00B8264B"/>
    <w:rsid w:val="00BF6297"/>
    <w:rsid w:val="00CA494A"/>
    <w:rsid w:val="00CD61E9"/>
    <w:rsid w:val="00D33571"/>
    <w:rsid w:val="00DC6673"/>
    <w:rsid w:val="00DE34F7"/>
    <w:rsid w:val="00E57132"/>
    <w:rsid w:val="00EE1E50"/>
    <w:rsid w:val="00EE5E30"/>
    <w:rsid w:val="00F75581"/>
    <w:rsid w:val="00FB2F7F"/>
    <w:rsid w:val="00FE33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43877-87C1-45FC-A29E-F1793130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BC"/>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qFormat/>
    <w:rsid w:val="006B72BC"/>
    <w:rPr>
      <w:b/>
      <w:bCs/>
    </w:rPr>
  </w:style>
  <w:style w:type="paragraph" w:styleId="Subsol">
    <w:name w:val="footer"/>
    <w:basedOn w:val="Normal"/>
    <w:link w:val="SubsolCaracter"/>
    <w:rsid w:val="006B72BC"/>
    <w:pPr>
      <w:tabs>
        <w:tab w:val="center" w:pos="4677"/>
        <w:tab w:val="right" w:pos="9355"/>
      </w:tabs>
    </w:pPr>
  </w:style>
  <w:style w:type="character" w:customStyle="1" w:styleId="SubsolCaracter">
    <w:name w:val="Subsol Caracter"/>
    <w:basedOn w:val="Fontdeparagrafimplicit"/>
    <w:link w:val="Subsol"/>
    <w:rsid w:val="006B72BC"/>
    <w:rPr>
      <w:rFonts w:ascii="Times New Roman" w:eastAsia="Times New Roman" w:hAnsi="Times New Roman" w:cs="Times New Roman"/>
      <w:sz w:val="24"/>
      <w:szCs w:val="24"/>
      <w:lang w:val="ru-RU" w:eastAsia="ru-RU"/>
    </w:rPr>
  </w:style>
  <w:style w:type="character" w:styleId="Numrdepagin">
    <w:name w:val="page number"/>
    <w:basedOn w:val="Fontdeparagrafimplicit"/>
    <w:rsid w:val="006B72BC"/>
  </w:style>
  <w:style w:type="paragraph" w:customStyle="1" w:styleId="cb">
    <w:name w:val="cb"/>
    <w:basedOn w:val="Normal"/>
    <w:rsid w:val="00612F1C"/>
    <w:pPr>
      <w:jc w:val="center"/>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487</Words>
  <Characters>2826</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AV</cp:lastModifiedBy>
  <cp:revision>6</cp:revision>
  <dcterms:created xsi:type="dcterms:W3CDTF">2019-03-07T13:30:00Z</dcterms:created>
  <dcterms:modified xsi:type="dcterms:W3CDTF">2019-03-07T14:56:00Z</dcterms:modified>
</cp:coreProperties>
</file>