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319" w:rsidRDefault="009A4319" w:rsidP="009A4319">
      <w:pPr>
        <w:pStyle w:val="a3"/>
        <w:jc w:val="center"/>
        <w:rPr>
          <w:b/>
          <w:sz w:val="28"/>
          <w:szCs w:val="28"/>
          <w:lang w:val="en-US"/>
        </w:rPr>
      </w:pPr>
      <w:bookmarkStart w:id="0" w:name="_GoBack"/>
      <w:bookmarkEnd w:id="0"/>
      <w:r>
        <w:rPr>
          <w:b/>
          <w:sz w:val="28"/>
          <w:szCs w:val="28"/>
          <w:lang w:val="en-US"/>
        </w:rPr>
        <w:t>NOTĂ INFORMATIVĂ</w:t>
      </w:r>
    </w:p>
    <w:p w:rsidR="009A4319" w:rsidRPr="00D0239D" w:rsidRDefault="009A4319" w:rsidP="009A4319">
      <w:pPr>
        <w:pStyle w:val="a3"/>
        <w:jc w:val="center"/>
        <w:rPr>
          <w:b/>
          <w:sz w:val="28"/>
          <w:szCs w:val="28"/>
          <w:lang w:val="fr-FR"/>
        </w:rPr>
      </w:pPr>
      <w:r w:rsidRPr="00D0239D">
        <w:rPr>
          <w:b/>
          <w:sz w:val="28"/>
          <w:szCs w:val="28"/>
          <w:lang w:val="fr-FR"/>
        </w:rPr>
        <w:t xml:space="preserve">la proiectul hotărîrii Guvernului „Cu privire la modificarea </w:t>
      </w:r>
    </w:p>
    <w:p w:rsidR="009A4319" w:rsidRDefault="009A4319" w:rsidP="009A4319">
      <w:pPr>
        <w:pStyle w:val="a3"/>
        <w:jc w:val="center"/>
        <w:rPr>
          <w:b/>
          <w:sz w:val="28"/>
          <w:szCs w:val="28"/>
        </w:rPr>
      </w:pPr>
      <w:proofErr w:type="spellStart"/>
      <w:r>
        <w:rPr>
          <w:b/>
          <w:sz w:val="28"/>
          <w:szCs w:val="28"/>
          <w:lang w:val="en-US"/>
        </w:rPr>
        <w:t>Hotărîrii</w:t>
      </w:r>
      <w:proofErr w:type="spellEnd"/>
      <w:r>
        <w:rPr>
          <w:b/>
          <w:sz w:val="28"/>
          <w:szCs w:val="28"/>
          <w:lang w:val="en-US"/>
        </w:rPr>
        <w:t xml:space="preserve"> </w:t>
      </w:r>
      <w:proofErr w:type="spellStart"/>
      <w:r>
        <w:rPr>
          <w:b/>
          <w:sz w:val="28"/>
          <w:szCs w:val="28"/>
          <w:lang w:val="en-US"/>
        </w:rPr>
        <w:t>Guvernului</w:t>
      </w:r>
      <w:proofErr w:type="spellEnd"/>
      <w:r>
        <w:rPr>
          <w:b/>
          <w:sz w:val="28"/>
          <w:szCs w:val="28"/>
          <w:lang w:val="en-US"/>
        </w:rPr>
        <w:t xml:space="preserve"> nr.743/2002”</w:t>
      </w:r>
    </w:p>
    <w:p w:rsidR="009A4319" w:rsidRDefault="009A4319" w:rsidP="009A4319">
      <w:pPr>
        <w:jc w:val="center"/>
        <w:rPr>
          <w:sz w:val="28"/>
          <w:szCs w:val="28"/>
        </w:rPr>
      </w:pPr>
    </w:p>
    <w:tbl>
      <w:tblPr>
        <w:tblStyle w:val="a6"/>
        <w:tblW w:w="10065" w:type="dxa"/>
        <w:tblInd w:w="-176" w:type="dxa"/>
        <w:tblLook w:val="04A0" w:firstRow="1" w:lastRow="0" w:firstColumn="1" w:lastColumn="0" w:noHBand="0" w:noVBand="1"/>
      </w:tblPr>
      <w:tblGrid>
        <w:gridCol w:w="10065"/>
      </w:tblGrid>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Denumirea autorului și, după caz, a participanților la elaborarea proiectului</w:t>
            </w:r>
          </w:p>
          <w:p w:rsidR="009A4319" w:rsidRDefault="009A4319" w:rsidP="009A4319">
            <w:pPr>
              <w:jc w:val="both"/>
              <w:rPr>
                <w:sz w:val="28"/>
                <w:szCs w:val="28"/>
                <w:lang w:eastAsia="en-US"/>
              </w:rPr>
            </w:pPr>
            <w:r>
              <w:rPr>
                <w:sz w:val="28"/>
                <w:szCs w:val="28"/>
                <w:lang w:eastAsia="en-US"/>
              </w:rPr>
              <w:t xml:space="preserve">     Proiectul hotărârii Guvernului „Cu privire la modificarea Hotărârii Guvernului nr.743/2002” este elaborat de către Ministerul Sănătății, Muncii și Protecției Sociale, fiind responsabil de politica salarială în sectorul real.</w:t>
            </w:r>
          </w:p>
        </w:tc>
      </w:tr>
      <w:tr w:rsidR="009A4319" w:rsidTr="004C62B2">
        <w:trPr>
          <w:trHeight w:val="175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Condițiile ce au impus elaborarea proiectului actului normativ și finalitățile urmărite</w:t>
            </w:r>
          </w:p>
          <w:p w:rsidR="00291623" w:rsidRDefault="009A4319">
            <w:pPr>
              <w:pStyle w:val="a5"/>
              <w:ind w:left="0"/>
              <w:jc w:val="both"/>
              <w:rPr>
                <w:sz w:val="28"/>
                <w:szCs w:val="28"/>
                <w:lang w:eastAsia="en-US"/>
              </w:rPr>
            </w:pPr>
            <w:r>
              <w:rPr>
                <w:sz w:val="28"/>
                <w:szCs w:val="28"/>
                <w:lang w:eastAsia="en-US"/>
              </w:rPr>
              <w:t xml:space="preserve">     </w:t>
            </w:r>
            <w:r w:rsidR="001C0143">
              <w:rPr>
                <w:sz w:val="28"/>
                <w:szCs w:val="28"/>
                <w:lang w:eastAsia="en-US"/>
              </w:rPr>
              <w:t>Prezentul</w:t>
            </w:r>
            <w:r>
              <w:rPr>
                <w:sz w:val="28"/>
                <w:szCs w:val="28"/>
                <w:lang w:eastAsia="en-US"/>
              </w:rPr>
              <w:t xml:space="preserve"> </w:t>
            </w:r>
            <w:r w:rsidR="001C0143">
              <w:rPr>
                <w:sz w:val="28"/>
                <w:szCs w:val="28"/>
                <w:lang w:eastAsia="en-US"/>
              </w:rPr>
              <w:t>p</w:t>
            </w:r>
            <w:r>
              <w:rPr>
                <w:sz w:val="28"/>
                <w:szCs w:val="28"/>
                <w:lang w:eastAsia="en-US"/>
              </w:rPr>
              <w:t>roiect</w:t>
            </w:r>
            <w:r w:rsidR="00520AE6">
              <w:rPr>
                <w:sz w:val="28"/>
                <w:szCs w:val="28"/>
                <w:lang w:eastAsia="en-US"/>
              </w:rPr>
              <w:t xml:space="preserve"> </w:t>
            </w:r>
            <w:r>
              <w:rPr>
                <w:sz w:val="28"/>
                <w:szCs w:val="28"/>
                <w:lang w:eastAsia="en-US"/>
              </w:rPr>
              <w:t xml:space="preserve">de </w:t>
            </w:r>
            <w:proofErr w:type="spellStart"/>
            <w:r>
              <w:rPr>
                <w:sz w:val="28"/>
                <w:szCs w:val="28"/>
                <w:lang w:eastAsia="en-US"/>
              </w:rPr>
              <w:t>hotărîre</w:t>
            </w:r>
            <w:proofErr w:type="spellEnd"/>
            <w:r>
              <w:rPr>
                <w:sz w:val="28"/>
                <w:szCs w:val="28"/>
                <w:lang w:eastAsia="en-US"/>
              </w:rPr>
              <w:t xml:space="preserve"> este elaborat în</w:t>
            </w:r>
            <w:r w:rsidR="002D3106">
              <w:rPr>
                <w:sz w:val="28"/>
                <w:szCs w:val="28"/>
                <w:lang w:eastAsia="en-US"/>
              </w:rPr>
              <w:t xml:space="preserve">tru </w:t>
            </w:r>
            <w:r w:rsidR="001A2679">
              <w:rPr>
                <w:sz w:val="28"/>
                <w:szCs w:val="28"/>
                <w:lang w:eastAsia="en-US"/>
              </w:rPr>
              <w:t>realiz</w:t>
            </w:r>
            <w:r w:rsidR="002D3106">
              <w:rPr>
                <w:sz w:val="28"/>
                <w:szCs w:val="28"/>
                <w:lang w:eastAsia="en-US"/>
              </w:rPr>
              <w:t>area</w:t>
            </w:r>
            <w:r w:rsidR="001A2679">
              <w:rPr>
                <w:sz w:val="28"/>
                <w:szCs w:val="28"/>
                <w:lang w:eastAsia="en-US"/>
              </w:rPr>
              <w:t xml:space="preserve"> prevederilor </w:t>
            </w:r>
            <w:proofErr w:type="spellStart"/>
            <w:r w:rsidR="001A2679">
              <w:rPr>
                <w:sz w:val="28"/>
                <w:szCs w:val="28"/>
                <w:lang w:eastAsia="en-US"/>
              </w:rPr>
              <w:t>art.IX</w:t>
            </w:r>
            <w:proofErr w:type="spellEnd"/>
            <w:r w:rsidR="001A2679">
              <w:rPr>
                <w:sz w:val="28"/>
                <w:szCs w:val="28"/>
                <w:lang w:eastAsia="en-US"/>
              </w:rPr>
              <w:t>. al Legii nr.271/2018 pentru modificarea Legii salarizării nr.847/2002.</w:t>
            </w:r>
            <w:r w:rsidR="00520AE6">
              <w:rPr>
                <w:sz w:val="28"/>
                <w:szCs w:val="28"/>
                <w:lang w:eastAsia="en-US"/>
              </w:rPr>
              <w:t xml:space="preserve"> </w:t>
            </w:r>
          </w:p>
          <w:p w:rsidR="004C62B2" w:rsidRDefault="00291623" w:rsidP="004C62B2">
            <w:pPr>
              <w:jc w:val="both"/>
              <w:rPr>
                <w:sz w:val="28"/>
                <w:szCs w:val="28"/>
                <w:lang w:eastAsia="en-US"/>
              </w:rPr>
            </w:pPr>
            <w:r>
              <w:rPr>
                <w:sz w:val="28"/>
                <w:szCs w:val="28"/>
                <w:lang w:eastAsia="en-US"/>
              </w:rPr>
              <w:t xml:space="preserve">   </w:t>
            </w:r>
            <w:r w:rsidR="00520AE6">
              <w:rPr>
                <w:color w:val="000000"/>
                <w:sz w:val="28"/>
                <w:szCs w:val="28"/>
                <w:lang w:eastAsia="en-US"/>
              </w:rPr>
              <w:t xml:space="preserve">  </w:t>
            </w:r>
            <w:r w:rsidR="004C62B2">
              <w:rPr>
                <w:sz w:val="28"/>
                <w:szCs w:val="28"/>
                <w:lang w:eastAsia="en-US"/>
              </w:rPr>
              <w:t xml:space="preserve">Proiectul de </w:t>
            </w:r>
            <w:proofErr w:type="spellStart"/>
            <w:r w:rsidR="004C62B2">
              <w:rPr>
                <w:sz w:val="28"/>
                <w:szCs w:val="28"/>
                <w:lang w:eastAsia="en-US"/>
              </w:rPr>
              <w:t>hotărîre</w:t>
            </w:r>
            <w:proofErr w:type="spellEnd"/>
            <w:r w:rsidR="004C62B2">
              <w:rPr>
                <w:sz w:val="28"/>
                <w:szCs w:val="28"/>
                <w:lang w:eastAsia="en-US"/>
              </w:rPr>
              <w:t xml:space="preserve"> este elaborat în scopul ajustării prevederilor Hotărârii Guvernului nr. 743/2002 cu privire la salarizarea angajaților din unitățile cu autonomie financiară cu prevederile</w:t>
            </w:r>
            <w:r w:rsidR="00B10AC6">
              <w:rPr>
                <w:sz w:val="28"/>
                <w:szCs w:val="28"/>
                <w:lang w:eastAsia="en-US"/>
              </w:rPr>
              <w:t xml:space="preserve"> legislației în vigoare cu caracter salarial care au devenit caduce după aprobarea Legii nr.270/2018 privind sistemul unitar de salarizare în sectorul bugetar</w:t>
            </w:r>
            <w:r w:rsidR="007812B0">
              <w:rPr>
                <w:sz w:val="28"/>
                <w:szCs w:val="28"/>
                <w:lang w:eastAsia="en-US"/>
              </w:rPr>
              <w:t>.</w:t>
            </w:r>
          </w:p>
          <w:p w:rsidR="009A4319" w:rsidRPr="004C62B2" w:rsidRDefault="00520AE6" w:rsidP="004C62B2">
            <w:pPr>
              <w:pStyle w:val="a5"/>
              <w:ind w:left="0"/>
              <w:jc w:val="both"/>
              <w:rPr>
                <w:sz w:val="28"/>
                <w:szCs w:val="28"/>
                <w:lang w:eastAsia="en-US"/>
              </w:rPr>
            </w:pPr>
            <w:r>
              <w:rPr>
                <w:color w:val="000000"/>
                <w:sz w:val="28"/>
                <w:szCs w:val="28"/>
                <w:lang w:eastAsia="en-US"/>
              </w:rPr>
              <w:t xml:space="preserve">    </w:t>
            </w: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Descrierea gradului de compatibilitate pentru proiectele care au ca scop armonizarea legislației naționale cu legislația Uniunii Europene</w:t>
            </w:r>
          </w:p>
          <w:p w:rsidR="009A4319" w:rsidRDefault="009A4319">
            <w:pPr>
              <w:rPr>
                <w:sz w:val="28"/>
                <w:szCs w:val="28"/>
                <w:lang w:eastAsia="en-US"/>
              </w:rPr>
            </w:pPr>
            <w:r>
              <w:rPr>
                <w:sz w:val="28"/>
                <w:szCs w:val="28"/>
                <w:lang w:eastAsia="en-US"/>
              </w:rPr>
              <w:t xml:space="preserve">      Proiectul nu prevede armonizarea la legislația Uniunii Europene.</w:t>
            </w: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515" w:rsidRDefault="009A4319" w:rsidP="00C758CF">
            <w:pPr>
              <w:pStyle w:val="a5"/>
              <w:numPr>
                <w:ilvl w:val="0"/>
                <w:numId w:val="1"/>
              </w:numPr>
              <w:rPr>
                <w:b/>
                <w:sz w:val="28"/>
                <w:szCs w:val="28"/>
                <w:lang w:eastAsia="en-US"/>
              </w:rPr>
            </w:pPr>
            <w:r>
              <w:rPr>
                <w:b/>
                <w:sz w:val="28"/>
                <w:szCs w:val="28"/>
                <w:lang w:eastAsia="en-US"/>
              </w:rPr>
              <w:t>Principalele prevederi ale proiectului și evidențierea elementelor noi</w:t>
            </w:r>
          </w:p>
          <w:p w:rsidR="00F71689" w:rsidRPr="00F71689" w:rsidRDefault="00F71689" w:rsidP="00F71689">
            <w:pPr>
              <w:ind w:left="34"/>
              <w:jc w:val="both"/>
              <w:rPr>
                <w:sz w:val="28"/>
                <w:szCs w:val="28"/>
                <w:lang w:eastAsia="en-US"/>
              </w:rPr>
            </w:pPr>
            <w:r>
              <w:rPr>
                <w:sz w:val="28"/>
                <w:szCs w:val="28"/>
                <w:lang w:eastAsia="en-US"/>
              </w:rPr>
              <w:t xml:space="preserve">     </w:t>
            </w:r>
            <w:r w:rsidR="00E36CE8">
              <w:rPr>
                <w:sz w:val="28"/>
                <w:szCs w:val="28"/>
                <w:lang w:eastAsia="en-US"/>
              </w:rPr>
              <w:t xml:space="preserve"> </w:t>
            </w:r>
            <w:r w:rsidRPr="00F71689">
              <w:rPr>
                <w:sz w:val="28"/>
                <w:szCs w:val="28"/>
                <w:lang w:eastAsia="en-US"/>
              </w:rPr>
              <w:t xml:space="preserve">Salarizarea </w:t>
            </w:r>
            <w:r>
              <w:rPr>
                <w:sz w:val="28"/>
                <w:szCs w:val="28"/>
                <w:lang w:eastAsia="en-US"/>
              </w:rPr>
              <w:t>angajaților din unitățile cu autonomie financiară, indiferent de tipul de proprietate și forma de organizare juridică este reglementată de Legea salarizării nr.847-XV/2002,</w:t>
            </w:r>
            <w:r w:rsidR="00A547E6">
              <w:rPr>
                <w:sz w:val="28"/>
                <w:szCs w:val="28"/>
                <w:lang w:eastAsia="en-US"/>
              </w:rPr>
              <w:t xml:space="preserve"> </w:t>
            </w:r>
            <w:proofErr w:type="spellStart"/>
            <w:r w:rsidR="00A547E6">
              <w:rPr>
                <w:sz w:val="28"/>
                <w:szCs w:val="28"/>
                <w:lang w:eastAsia="en-US"/>
              </w:rPr>
              <w:t>Hotărîrea</w:t>
            </w:r>
            <w:proofErr w:type="spellEnd"/>
            <w:r w:rsidR="00A547E6">
              <w:rPr>
                <w:sz w:val="28"/>
                <w:szCs w:val="28"/>
                <w:lang w:eastAsia="en-US"/>
              </w:rPr>
              <w:t xml:space="preserve"> Guvernului nr.743/2002 „Cu privire la salarizarea angajaților din unitățile cu autonomie financiară”</w:t>
            </w:r>
            <w:r>
              <w:rPr>
                <w:sz w:val="28"/>
                <w:szCs w:val="28"/>
                <w:lang w:eastAsia="en-US"/>
              </w:rPr>
              <w:t xml:space="preserve"> </w:t>
            </w:r>
            <w:r w:rsidR="00A547E6">
              <w:rPr>
                <w:sz w:val="28"/>
                <w:szCs w:val="28"/>
                <w:lang w:eastAsia="en-US"/>
              </w:rPr>
              <w:t xml:space="preserve">și </w:t>
            </w:r>
            <w:proofErr w:type="spellStart"/>
            <w:r>
              <w:rPr>
                <w:sz w:val="28"/>
                <w:szCs w:val="28"/>
                <w:lang w:eastAsia="en-US"/>
              </w:rPr>
              <w:t>Hotăr</w:t>
            </w:r>
            <w:r w:rsidR="00A547E6">
              <w:rPr>
                <w:sz w:val="28"/>
                <w:szCs w:val="28"/>
                <w:lang w:eastAsia="en-US"/>
              </w:rPr>
              <w:t>îrea</w:t>
            </w:r>
            <w:proofErr w:type="spellEnd"/>
            <w:r>
              <w:rPr>
                <w:sz w:val="28"/>
                <w:szCs w:val="28"/>
                <w:lang w:eastAsia="en-US"/>
              </w:rPr>
              <w:t xml:space="preserve"> Guvernului nr.165/2010</w:t>
            </w:r>
            <w:r w:rsidR="006E01D9">
              <w:rPr>
                <w:sz w:val="28"/>
                <w:szCs w:val="28"/>
                <w:lang w:eastAsia="en-US"/>
              </w:rPr>
              <w:t xml:space="preserve"> „Cu privire la cuantumul minim garantat al salariului în sectorul real”.</w:t>
            </w:r>
          </w:p>
          <w:p w:rsidR="001E2077" w:rsidRDefault="001E2077" w:rsidP="001E2077">
            <w:pPr>
              <w:pStyle w:val="a8"/>
              <w:tabs>
                <w:tab w:val="clear" w:pos="9355"/>
                <w:tab w:val="right" w:pos="9957"/>
              </w:tabs>
              <w:ind w:left="34" w:firstLine="142"/>
              <w:jc w:val="both"/>
              <w:rPr>
                <w:lang w:val="ro-RO"/>
              </w:rPr>
            </w:pPr>
            <w:r>
              <w:rPr>
                <w:lang w:val="ro-RO"/>
              </w:rPr>
              <w:t xml:space="preserve">   Statul acordă o autonomie largă unităților cu autonomie financiară în stabilirea condiţiilor, formelor şi sistemelor de salarizare, ceea ce este expres stabilit în art. 3 al Legii salarizării, care prevede în alin. (3) că, „în funcţie de specificul activităţii şi condiţiile economice concrete, unităţile din sectorul real aplică, pentru organizarea salarizării, sistemul tarifar şi/sau sistemele netarifare de salarizare”, iar conform alin. (4) „alegerea sistemului de salarizare în cadrul unităţii se efectuează de către angajator după consultarea reprezentanţilor salariaţilor”.</w:t>
            </w:r>
          </w:p>
          <w:p w:rsidR="00FF5515" w:rsidRPr="00E659A2" w:rsidRDefault="00E36CE8" w:rsidP="00E36CE8">
            <w:pPr>
              <w:pStyle w:val="a8"/>
              <w:tabs>
                <w:tab w:val="clear" w:pos="9355"/>
                <w:tab w:val="right" w:pos="9957"/>
              </w:tabs>
              <w:ind w:left="34"/>
              <w:jc w:val="both"/>
            </w:pPr>
            <w:r>
              <w:rPr>
                <w:lang w:val="ro-RO"/>
              </w:rPr>
              <w:t xml:space="preserve">     </w:t>
            </w:r>
            <w:r w:rsidR="00FF5515">
              <w:rPr>
                <w:lang w:val="ro-RO"/>
              </w:rPr>
              <w:t xml:space="preserve">Reieșind  din această prevedere, </w:t>
            </w:r>
            <w:r w:rsidR="00C758CF">
              <w:rPr>
                <w:lang w:val="ro-RO"/>
              </w:rPr>
              <w:t xml:space="preserve">prin </w:t>
            </w:r>
            <w:proofErr w:type="spellStart"/>
            <w:r w:rsidR="00FF5515">
              <w:rPr>
                <w:lang w:val="ro-RO"/>
              </w:rPr>
              <w:t>Hotărîrea</w:t>
            </w:r>
            <w:proofErr w:type="spellEnd"/>
            <w:r w:rsidR="00FF5515">
              <w:rPr>
                <w:lang w:val="ro-RO"/>
              </w:rPr>
              <w:t xml:space="preserve"> Guvernului</w:t>
            </w:r>
            <w:r w:rsidR="00C758CF">
              <w:rPr>
                <w:lang w:val="ro-RO"/>
              </w:rPr>
              <w:t xml:space="preserve"> nr.743/2002 au fost stabilite mai multe sisteme de salarizare cu caracter de recomandare, care se aplică de către unități la alegere. Unitățile economice erau în drept să aplice Rețeaua tarifară unică conform anexei nr.2 la </w:t>
            </w:r>
            <w:proofErr w:type="spellStart"/>
            <w:r w:rsidR="00C758CF">
              <w:rPr>
                <w:lang w:val="ro-RO"/>
              </w:rPr>
              <w:t>hotărîre</w:t>
            </w:r>
            <w:proofErr w:type="spellEnd"/>
            <w:r w:rsidR="00C758CF">
              <w:rPr>
                <w:lang w:val="ro-RO"/>
              </w:rPr>
              <w:t>,</w:t>
            </w:r>
            <w:r w:rsidR="004F7BD4">
              <w:rPr>
                <w:lang w:val="ro-RO"/>
              </w:rPr>
              <w:t xml:space="preserve"> </w:t>
            </w:r>
            <w:r w:rsidR="00E659A2">
              <w:rPr>
                <w:lang w:val="ro-RO"/>
              </w:rPr>
              <w:t>potrivit căreia,</w:t>
            </w:r>
            <w:r w:rsidR="002927AC">
              <w:rPr>
                <w:lang w:val="ro-RO"/>
              </w:rPr>
              <w:t xml:space="preserve"> </w:t>
            </w:r>
            <w:proofErr w:type="spellStart"/>
            <w:r w:rsidR="002927AC">
              <w:t>salariile</w:t>
            </w:r>
            <w:proofErr w:type="spellEnd"/>
            <w:r w:rsidR="002927AC">
              <w:t xml:space="preserve"> </w:t>
            </w:r>
            <w:proofErr w:type="spellStart"/>
            <w:r w:rsidR="002927AC">
              <w:t>tarifare</w:t>
            </w:r>
            <w:proofErr w:type="spellEnd"/>
            <w:r w:rsidR="002927AC">
              <w:t xml:space="preserve"> </w:t>
            </w:r>
            <w:proofErr w:type="spellStart"/>
            <w:r w:rsidR="002927AC">
              <w:t>şi</w:t>
            </w:r>
            <w:proofErr w:type="spellEnd"/>
            <w:r w:rsidR="002927AC">
              <w:t xml:space="preserve"> de </w:t>
            </w:r>
            <w:proofErr w:type="spellStart"/>
            <w:r w:rsidR="002927AC">
              <w:t>funcţie</w:t>
            </w:r>
            <w:proofErr w:type="spellEnd"/>
            <w:r w:rsidR="002927AC">
              <w:t xml:space="preserve"> </w:t>
            </w:r>
            <w:proofErr w:type="spellStart"/>
            <w:r w:rsidR="002927AC">
              <w:t>pentru</w:t>
            </w:r>
            <w:proofErr w:type="spellEnd"/>
            <w:r w:rsidR="002927AC">
              <w:t xml:space="preserve"> </w:t>
            </w:r>
            <w:proofErr w:type="spellStart"/>
            <w:r w:rsidR="002927AC">
              <w:t>angajaţi</w:t>
            </w:r>
            <w:proofErr w:type="spellEnd"/>
            <w:r w:rsidR="002927AC">
              <w:t xml:space="preserve"> se </w:t>
            </w:r>
            <w:proofErr w:type="spellStart"/>
            <w:r w:rsidR="002927AC">
              <w:t>stabilesc</w:t>
            </w:r>
            <w:proofErr w:type="spellEnd"/>
            <w:r w:rsidR="002927AC">
              <w:t xml:space="preserve"> </w:t>
            </w:r>
            <w:proofErr w:type="spellStart"/>
            <w:r w:rsidR="002927AC">
              <w:t>în</w:t>
            </w:r>
            <w:proofErr w:type="spellEnd"/>
            <w:r w:rsidR="002927AC">
              <w:t xml:space="preserve"> </w:t>
            </w:r>
            <w:proofErr w:type="spellStart"/>
            <w:r w:rsidR="002927AC">
              <w:t>funcţie</w:t>
            </w:r>
            <w:proofErr w:type="spellEnd"/>
            <w:r w:rsidR="002927AC">
              <w:t xml:space="preserve"> de </w:t>
            </w:r>
            <w:proofErr w:type="spellStart"/>
            <w:r w:rsidR="002927AC">
              <w:t>categoria</w:t>
            </w:r>
            <w:proofErr w:type="spellEnd"/>
            <w:r w:rsidR="002927AC">
              <w:t xml:space="preserve"> de </w:t>
            </w:r>
            <w:proofErr w:type="spellStart"/>
            <w:r w:rsidR="002927AC">
              <w:t>salarizare</w:t>
            </w:r>
            <w:proofErr w:type="spellEnd"/>
            <w:r w:rsidR="002927AC">
              <w:t xml:space="preserve"> </w:t>
            </w:r>
            <w:proofErr w:type="spellStart"/>
            <w:r w:rsidR="002927AC">
              <w:t>prevăzută</w:t>
            </w:r>
            <w:proofErr w:type="spellEnd"/>
            <w:r w:rsidR="002927AC">
              <w:t xml:space="preserve"> </w:t>
            </w:r>
            <w:proofErr w:type="spellStart"/>
            <w:r w:rsidR="002927AC">
              <w:t>în</w:t>
            </w:r>
            <w:proofErr w:type="spellEnd"/>
            <w:r w:rsidR="002927AC">
              <w:t xml:space="preserve"> </w:t>
            </w:r>
            <w:proofErr w:type="spellStart"/>
            <w:r w:rsidR="002927AC">
              <w:t>anex</w:t>
            </w:r>
            <w:r w:rsidR="00E659A2">
              <w:t>a</w:t>
            </w:r>
            <w:proofErr w:type="spellEnd"/>
            <w:r w:rsidR="00E659A2">
              <w:t xml:space="preserve"> </w:t>
            </w:r>
            <w:proofErr w:type="spellStart"/>
            <w:r w:rsidR="00E659A2">
              <w:t>respectivă</w:t>
            </w:r>
            <w:proofErr w:type="spellEnd"/>
            <w:r w:rsidR="002927AC">
              <w:t xml:space="preserve"> </w:t>
            </w:r>
            <w:proofErr w:type="spellStart"/>
            <w:r w:rsidR="002927AC">
              <w:t>şi</w:t>
            </w:r>
            <w:proofErr w:type="spellEnd"/>
            <w:r w:rsidR="002927AC">
              <w:t xml:space="preserve"> </w:t>
            </w:r>
            <w:proofErr w:type="spellStart"/>
            <w:r w:rsidR="002927AC">
              <w:t>salariile</w:t>
            </w:r>
            <w:proofErr w:type="spellEnd"/>
            <w:r w:rsidR="002927AC">
              <w:t xml:space="preserve"> de </w:t>
            </w:r>
            <w:proofErr w:type="spellStart"/>
            <w:r w:rsidR="002927AC">
              <w:t>bază</w:t>
            </w:r>
            <w:proofErr w:type="spellEnd"/>
            <w:r w:rsidR="002927AC">
              <w:t xml:space="preserve"> </w:t>
            </w:r>
            <w:proofErr w:type="spellStart"/>
            <w:r w:rsidR="002927AC">
              <w:t>stabilite</w:t>
            </w:r>
            <w:proofErr w:type="spellEnd"/>
            <w:r w:rsidR="002927AC">
              <w:t xml:space="preserve"> </w:t>
            </w:r>
            <w:proofErr w:type="spellStart"/>
            <w:r w:rsidR="002927AC">
              <w:t>pe</w:t>
            </w:r>
            <w:proofErr w:type="spellEnd"/>
            <w:r w:rsidR="002927AC">
              <w:t xml:space="preserve"> </w:t>
            </w:r>
            <w:proofErr w:type="spellStart"/>
            <w:r w:rsidR="002927AC">
              <w:t>categorii</w:t>
            </w:r>
            <w:proofErr w:type="spellEnd"/>
            <w:r w:rsidR="002927AC">
              <w:t xml:space="preserve"> de </w:t>
            </w:r>
            <w:proofErr w:type="spellStart"/>
            <w:r w:rsidR="002927AC">
              <w:t>salarizare</w:t>
            </w:r>
            <w:proofErr w:type="spellEnd"/>
            <w:r w:rsidR="002927AC">
              <w:t xml:space="preserve">, </w:t>
            </w:r>
            <w:proofErr w:type="spellStart"/>
            <w:r w:rsidR="002927AC">
              <w:t>specificate</w:t>
            </w:r>
            <w:proofErr w:type="spellEnd"/>
            <w:r w:rsidR="002927AC">
              <w:t xml:space="preserve"> </w:t>
            </w:r>
            <w:proofErr w:type="spellStart"/>
            <w:r w:rsidR="002927AC">
              <w:t>în</w:t>
            </w:r>
            <w:proofErr w:type="spellEnd"/>
            <w:r w:rsidR="002927AC">
              <w:t xml:space="preserve"> </w:t>
            </w:r>
            <w:proofErr w:type="spellStart"/>
            <w:r w:rsidR="002927AC">
              <w:t>anexa</w:t>
            </w:r>
            <w:proofErr w:type="spellEnd"/>
            <w:r w:rsidR="002927AC">
              <w:t xml:space="preserve"> nr.1 la </w:t>
            </w:r>
            <w:proofErr w:type="spellStart"/>
            <w:r w:rsidR="00E659A2">
              <w:t>Legea</w:t>
            </w:r>
            <w:proofErr w:type="spellEnd"/>
            <w:r w:rsidR="00E659A2">
              <w:t xml:space="preserve"> nr.355-XVI/2005 </w:t>
            </w:r>
            <w:proofErr w:type="spellStart"/>
            <w:r w:rsidR="002927AC">
              <w:t>cu</w:t>
            </w:r>
            <w:proofErr w:type="spellEnd"/>
            <w:r w:rsidR="002927AC">
              <w:t xml:space="preserve"> </w:t>
            </w:r>
            <w:proofErr w:type="spellStart"/>
            <w:r w:rsidR="002927AC">
              <w:t>privire</w:t>
            </w:r>
            <w:proofErr w:type="spellEnd"/>
            <w:r w:rsidR="002927AC">
              <w:t xml:space="preserve"> la </w:t>
            </w:r>
            <w:proofErr w:type="spellStart"/>
            <w:r w:rsidR="002927AC">
              <w:t>sistemul</w:t>
            </w:r>
            <w:proofErr w:type="spellEnd"/>
            <w:r w:rsidR="002927AC">
              <w:t xml:space="preserve"> de </w:t>
            </w:r>
            <w:proofErr w:type="spellStart"/>
            <w:r w:rsidR="002927AC">
              <w:t>salarizare</w:t>
            </w:r>
            <w:proofErr w:type="spellEnd"/>
            <w:r w:rsidR="002927AC">
              <w:t xml:space="preserve"> </w:t>
            </w:r>
            <w:proofErr w:type="spellStart"/>
            <w:r w:rsidR="002927AC">
              <w:t>în</w:t>
            </w:r>
            <w:proofErr w:type="spellEnd"/>
            <w:r w:rsidR="002927AC">
              <w:t xml:space="preserve"> </w:t>
            </w:r>
            <w:proofErr w:type="spellStart"/>
            <w:r w:rsidR="002927AC">
              <w:t>sectorul</w:t>
            </w:r>
            <w:proofErr w:type="spellEnd"/>
            <w:r w:rsidR="002927AC">
              <w:t xml:space="preserve"> </w:t>
            </w:r>
            <w:proofErr w:type="spellStart"/>
            <w:r w:rsidR="002927AC">
              <w:t>bugetar</w:t>
            </w:r>
            <w:proofErr w:type="spellEnd"/>
            <w:r w:rsidR="002927AC">
              <w:t xml:space="preserve">, </w:t>
            </w:r>
            <w:proofErr w:type="spellStart"/>
            <w:r w:rsidR="002927AC">
              <w:t>majorate</w:t>
            </w:r>
            <w:proofErr w:type="spellEnd"/>
            <w:r w:rsidR="002927AC">
              <w:t xml:space="preserve"> </w:t>
            </w:r>
            <w:proofErr w:type="spellStart"/>
            <w:r w:rsidR="002927AC">
              <w:t>cu</w:t>
            </w:r>
            <w:proofErr w:type="spellEnd"/>
            <w:r w:rsidR="002927AC">
              <w:t xml:space="preserve"> </w:t>
            </w:r>
            <w:proofErr w:type="spellStart"/>
            <w:r w:rsidR="002927AC">
              <w:t>coeficientul</w:t>
            </w:r>
            <w:proofErr w:type="spellEnd"/>
            <w:r w:rsidR="002927AC">
              <w:t xml:space="preserve"> </w:t>
            </w:r>
            <w:proofErr w:type="spellStart"/>
            <w:r w:rsidR="002927AC">
              <w:t>obţinut</w:t>
            </w:r>
            <w:proofErr w:type="spellEnd"/>
            <w:r w:rsidR="002927AC">
              <w:t xml:space="preserve"> </w:t>
            </w:r>
            <w:proofErr w:type="spellStart"/>
            <w:r w:rsidR="002927AC">
              <w:t>din</w:t>
            </w:r>
            <w:proofErr w:type="spellEnd"/>
            <w:r w:rsidR="002927AC">
              <w:t xml:space="preserve"> </w:t>
            </w:r>
            <w:proofErr w:type="spellStart"/>
            <w:r w:rsidR="002927AC">
              <w:t>raportul</w:t>
            </w:r>
            <w:proofErr w:type="spellEnd"/>
            <w:r w:rsidR="002927AC">
              <w:t xml:space="preserve"> </w:t>
            </w:r>
            <w:proofErr w:type="spellStart"/>
            <w:r w:rsidR="002927AC">
              <w:t>dintre</w:t>
            </w:r>
            <w:proofErr w:type="spellEnd"/>
            <w:r w:rsidR="002927AC">
              <w:t xml:space="preserve"> </w:t>
            </w:r>
            <w:proofErr w:type="spellStart"/>
            <w:r w:rsidR="002927AC">
              <w:t>salariul</w:t>
            </w:r>
            <w:proofErr w:type="spellEnd"/>
            <w:r w:rsidR="002927AC">
              <w:t xml:space="preserve"> </w:t>
            </w:r>
            <w:proofErr w:type="spellStart"/>
            <w:r w:rsidR="002927AC">
              <w:t>tarifar</w:t>
            </w:r>
            <w:proofErr w:type="spellEnd"/>
            <w:r w:rsidR="002927AC">
              <w:t xml:space="preserve"> </w:t>
            </w:r>
            <w:proofErr w:type="spellStart"/>
            <w:r w:rsidR="002927AC">
              <w:t>pentru</w:t>
            </w:r>
            <w:proofErr w:type="spellEnd"/>
            <w:r w:rsidR="002927AC">
              <w:t xml:space="preserve"> </w:t>
            </w:r>
            <w:proofErr w:type="spellStart"/>
            <w:r w:rsidR="002927AC">
              <w:t>categoria</w:t>
            </w:r>
            <w:proofErr w:type="spellEnd"/>
            <w:r w:rsidR="002927AC">
              <w:t xml:space="preserve"> I de </w:t>
            </w:r>
            <w:proofErr w:type="spellStart"/>
            <w:r w:rsidR="002927AC">
              <w:t>calificare</w:t>
            </w:r>
            <w:proofErr w:type="spellEnd"/>
            <w:r w:rsidR="002927AC">
              <w:t xml:space="preserve"> </w:t>
            </w:r>
            <w:proofErr w:type="spellStart"/>
            <w:r w:rsidR="002927AC">
              <w:t>stabilit</w:t>
            </w:r>
            <w:proofErr w:type="spellEnd"/>
            <w:r w:rsidR="002927AC">
              <w:t xml:space="preserve"> </w:t>
            </w:r>
            <w:proofErr w:type="spellStart"/>
            <w:r w:rsidR="002927AC">
              <w:t>în</w:t>
            </w:r>
            <w:proofErr w:type="spellEnd"/>
            <w:r w:rsidR="002927AC">
              <w:t xml:space="preserve"> </w:t>
            </w:r>
            <w:proofErr w:type="spellStart"/>
            <w:r w:rsidR="002927AC">
              <w:t>unităţile</w:t>
            </w:r>
            <w:proofErr w:type="spellEnd"/>
            <w:r w:rsidR="002927AC">
              <w:t xml:space="preserve"> </w:t>
            </w:r>
            <w:proofErr w:type="spellStart"/>
            <w:r w:rsidR="002927AC">
              <w:t>cu</w:t>
            </w:r>
            <w:proofErr w:type="spellEnd"/>
            <w:r w:rsidR="002927AC">
              <w:t xml:space="preserve"> autonomie </w:t>
            </w:r>
            <w:proofErr w:type="spellStart"/>
            <w:r w:rsidR="002927AC">
              <w:t>financiară</w:t>
            </w:r>
            <w:proofErr w:type="spellEnd"/>
            <w:r w:rsidR="002927AC">
              <w:t xml:space="preserve"> </w:t>
            </w:r>
            <w:proofErr w:type="spellStart"/>
            <w:r w:rsidR="002927AC">
              <w:t>şi</w:t>
            </w:r>
            <w:proofErr w:type="spellEnd"/>
            <w:r w:rsidR="002927AC">
              <w:t xml:space="preserve"> limita </w:t>
            </w:r>
            <w:proofErr w:type="spellStart"/>
            <w:r w:rsidR="002927AC">
              <w:t>minimă</w:t>
            </w:r>
            <w:proofErr w:type="spellEnd"/>
            <w:r w:rsidR="002927AC">
              <w:t xml:space="preserve"> a </w:t>
            </w:r>
            <w:proofErr w:type="spellStart"/>
            <w:r w:rsidR="002927AC">
              <w:t>grilei</w:t>
            </w:r>
            <w:proofErr w:type="spellEnd"/>
            <w:r w:rsidR="002927AC">
              <w:t xml:space="preserve"> de </w:t>
            </w:r>
            <w:proofErr w:type="spellStart"/>
            <w:r w:rsidR="002927AC">
              <w:t>salarii</w:t>
            </w:r>
            <w:proofErr w:type="spellEnd"/>
            <w:r w:rsidR="002927AC">
              <w:t xml:space="preserve"> </w:t>
            </w:r>
            <w:proofErr w:type="spellStart"/>
            <w:r w:rsidR="002927AC">
              <w:lastRenderedPageBreak/>
              <w:t>corespunzătoare</w:t>
            </w:r>
            <w:proofErr w:type="spellEnd"/>
            <w:r w:rsidR="002927AC">
              <w:t xml:space="preserve"> </w:t>
            </w:r>
            <w:proofErr w:type="spellStart"/>
            <w:r w:rsidR="002927AC">
              <w:t>categoriei</w:t>
            </w:r>
            <w:proofErr w:type="spellEnd"/>
            <w:r w:rsidR="002927AC">
              <w:t xml:space="preserve"> I de </w:t>
            </w:r>
            <w:proofErr w:type="spellStart"/>
            <w:r w:rsidR="002927AC">
              <w:t>salarizare</w:t>
            </w:r>
            <w:proofErr w:type="spellEnd"/>
            <w:r w:rsidR="002927AC">
              <w:t xml:space="preserve"> </w:t>
            </w:r>
            <w:proofErr w:type="spellStart"/>
            <w:r w:rsidR="002927AC">
              <w:t>specificată</w:t>
            </w:r>
            <w:proofErr w:type="spellEnd"/>
            <w:r w:rsidR="002927AC">
              <w:t xml:space="preserve"> </w:t>
            </w:r>
            <w:proofErr w:type="spellStart"/>
            <w:r w:rsidR="002927AC">
              <w:t>în</w:t>
            </w:r>
            <w:proofErr w:type="spellEnd"/>
            <w:r w:rsidR="002927AC">
              <w:t xml:space="preserve"> </w:t>
            </w:r>
            <w:proofErr w:type="spellStart"/>
            <w:r w:rsidR="002927AC">
              <w:t>anexa</w:t>
            </w:r>
            <w:proofErr w:type="spellEnd"/>
            <w:r w:rsidR="002927AC">
              <w:t xml:space="preserve"> sus-</w:t>
            </w:r>
            <w:proofErr w:type="spellStart"/>
            <w:r w:rsidR="002927AC">
              <w:t>numită</w:t>
            </w:r>
            <w:proofErr w:type="spellEnd"/>
            <w:r w:rsidR="002927AC">
              <w:t xml:space="preserve"> </w:t>
            </w:r>
            <w:proofErr w:type="spellStart"/>
            <w:r w:rsidR="002927AC">
              <w:t>pentru</w:t>
            </w:r>
            <w:proofErr w:type="spellEnd"/>
            <w:r w:rsidR="002927AC">
              <w:t xml:space="preserve"> </w:t>
            </w:r>
            <w:proofErr w:type="spellStart"/>
            <w:r w:rsidR="002927AC">
              <w:t>angajaţii</w:t>
            </w:r>
            <w:proofErr w:type="spellEnd"/>
            <w:r w:rsidR="002927AC">
              <w:t xml:space="preserve"> </w:t>
            </w:r>
            <w:proofErr w:type="spellStart"/>
            <w:r w:rsidR="002927AC">
              <w:t>din</w:t>
            </w:r>
            <w:proofErr w:type="spellEnd"/>
            <w:r w:rsidR="002927AC">
              <w:t xml:space="preserve"> </w:t>
            </w:r>
            <w:proofErr w:type="spellStart"/>
            <w:r w:rsidR="002927AC">
              <w:t>unităţile</w:t>
            </w:r>
            <w:proofErr w:type="spellEnd"/>
            <w:r w:rsidR="002927AC">
              <w:t xml:space="preserve"> </w:t>
            </w:r>
            <w:proofErr w:type="spellStart"/>
            <w:r w:rsidR="002927AC">
              <w:t>bugetare</w:t>
            </w:r>
            <w:proofErr w:type="spellEnd"/>
            <w:r w:rsidR="002927AC">
              <w:t>.</w:t>
            </w:r>
          </w:p>
          <w:p w:rsidR="001E2077" w:rsidRPr="007812B0" w:rsidRDefault="00E36CE8" w:rsidP="00E36CE8">
            <w:pPr>
              <w:pStyle w:val="a5"/>
              <w:ind w:left="0" w:firstLine="34"/>
              <w:jc w:val="both"/>
              <w:rPr>
                <w:sz w:val="28"/>
                <w:szCs w:val="28"/>
                <w:lang w:eastAsia="en-US"/>
              </w:rPr>
            </w:pPr>
            <w:r>
              <w:rPr>
                <w:sz w:val="28"/>
                <w:szCs w:val="28"/>
                <w:lang w:eastAsia="en-US"/>
              </w:rPr>
              <w:t xml:space="preserve">      </w:t>
            </w:r>
            <w:r w:rsidR="00C758CF">
              <w:rPr>
                <w:sz w:val="28"/>
                <w:szCs w:val="28"/>
                <w:lang w:eastAsia="en-US"/>
              </w:rPr>
              <w:t xml:space="preserve">Urmare aprobării Legii 270/2018 privind sistemul unitar de salarizare din sectorul bugetar și a Hotărârii Guvernului nr.1231/2018 privind punerea în aplicare a prevederilor Legii nr.270/2018, se propune de a abroga anexa nr. 2 la </w:t>
            </w:r>
            <w:proofErr w:type="spellStart"/>
            <w:r w:rsidR="00C758CF">
              <w:rPr>
                <w:sz w:val="28"/>
                <w:szCs w:val="28"/>
                <w:lang w:eastAsia="en-US"/>
              </w:rPr>
              <w:t>Hotărîrea</w:t>
            </w:r>
            <w:proofErr w:type="spellEnd"/>
            <w:r w:rsidR="00C758CF">
              <w:rPr>
                <w:sz w:val="28"/>
                <w:szCs w:val="28"/>
                <w:lang w:eastAsia="en-US"/>
              </w:rPr>
              <w:t xml:space="preserve"> Guvernului nr.743/2002, care prev</w:t>
            </w:r>
            <w:r w:rsidR="00F71689">
              <w:rPr>
                <w:sz w:val="28"/>
                <w:szCs w:val="28"/>
                <w:lang w:eastAsia="en-US"/>
              </w:rPr>
              <w:t>e</w:t>
            </w:r>
            <w:r w:rsidR="00C758CF">
              <w:rPr>
                <w:sz w:val="28"/>
                <w:szCs w:val="28"/>
                <w:lang w:eastAsia="en-US"/>
              </w:rPr>
              <w:t>d</w:t>
            </w:r>
            <w:r w:rsidR="00F71689">
              <w:rPr>
                <w:sz w:val="28"/>
                <w:szCs w:val="28"/>
                <w:lang w:eastAsia="en-US"/>
              </w:rPr>
              <w:t>e</w:t>
            </w:r>
            <w:r w:rsidR="00C758CF">
              <w:rPr>
                <w:sz w:val="28"/>
                <w:szCs w:val="28"/>
                <w:lang w:eastAsia="en-US"/>
              </w:rPr>
              <w:t xml:space="preserve"> categoriile de salarizare ale Rețelei tarifare unice de salarizare a angajaților, recomandate pentru personalul de conducere, de specialitate și de execuție din unitățile cu a</w:t>
            </w:r>
            <w:r w:rsidR="00D266AC">
              <w:rPr>
                <w:sz w:val="28"/>
                <w:szCs w:val="28"/>
                <w:lang w:eastAsia="en-US"/>
              </w:rPr>
              <w:t>utonomie financiară.</w:t>
            </w:r>
            <w:r w:rsidR="00F71689">
              <w:rPr>
                <w:sz w:val="28"/>
                <w:szCs w:val="28"/>
                <w:lang w:eastAsia="en-US"/>
              </w:rPr>
              <w:t xml:space="preserve"> </w:t>
            </w:r>
          </w:p>
          <w:p w:rsidR="00512515" w:rsidRDefault="007812B0" w:rsidP="00E36CE8">
            <w:pPr>
              <w:ind w:firstLine="34"/>
              <w:jc w:val="both"/>
              <w:rPr>
                <w:sz w:val="28"/>
                <w:szCs w:val="28"/>
                <w:lang w:eastAsia="en-US"/>
              </w:rPr>
            </w:pPr>
            <w:r>
              <w:rPr>
                <w:sz w:val="28"/>
                <w:szCs w:val="28"/>
                <w:lang w:eastAsia="en-US"/>
              </w:rPr>
              <w:t xml:space="preserve">     </w:t>
            </w:r>
            <w:r w:rsidR="00E36CE8">
              <w:rPr>
                <w:sz w:val="28"/>
                <w:szCs w:val="28"/>
                <w:lang w:eastAsia="en-US"/>
              </w:rPr>
              <w:t xml:space="preserve"> </w:t>
            </w:r>
            <w:proofErr w:type="spellStart"/>
            <w:r w:rsidR="00D266AC">
              <w:rPr>
                <w:sz w:val="28"/>
                <w:szCs w:val="28"/>
                <w:lang w:eastAsia="en-US"/>
              </w:rPr>
              <w:t>Ținînd</w:t>
            </w:r>
            <w:proofErr w:type="spellEnd"/>
            <w:r w:rsidR="00D266AC">
              <w:rPr>
                <w:sz w:val="28"/>
                <w:szCs w:val="28"/>
                <w:lang w:eastAsia="en-US"/>
              </w:rPr>
              <w:t xml:space="preserve"> cont că, prin Legea nr.271/2018 pentru modificarea unor acte legislative a</w:t>
            </w:r>
            <w:r w:rsidR="008C3B97">
              <w:rPr>
                <w:sz w:val="28"/>
                <w:szCs w:val="28"/>
                <w:lang w:eastAsia="en-US"/>
              </w:rPr>
              <w:t>u</w:t>
            </w:r>
            <w:r w:rsidR="00D266AC">
              <w:rPr>
                <w:sz w:val="28"/>
                <w:szCs w:val="28"/>
                <w:lang w:eastAsia="en-US"/>
              </w:rPr>
              <w:t xml:space="preserve"> fost introduse modificări în Codul cu privire la știință și inovare nr.259/2004, </w:t>
            </w:r>
            <w:r w:rsidR="009A4319">
              <w:rPr>
                <w:sz w:val="28"/>
                <w:szCs w:val="28"/>
                <w:lang w:eastAsia="en-US"/>
              </w:rPr>
              <w:t xml:space="preserve">se propune </w:t>
            </w:r>
            <w:r>
              <w:rPr>
                <w:sz w:val="28"/>
                <w:szCs w:val="28"/>
                <w:lang w:eastAsia="en-US"/>
              </w:rPr>
              <w:t xml:space="preserve">modificarea modului de stabilire </w:t>
            </w:r>
            <w:r w:rsidR="00A62616">
              <w:rPr>
                <w:sz w:val="28"/>
                <w:szCs w:val="28"/>
                <w:lang w:eastAsia="en-US"/>
              </w:rPr>
              <w:t>a sporului la salari</w:t>
            </w:r>
            <w:r w:rsidR="00D266AC">
              <w:rPr>
                <w:sz w:val="28"/>
                <w:szCs w:val="28"/>
                <w:lang w:eastAsia="en-US"/>
              </w:rPr>
              <w:t>u</w:t>
            </w:r>
            <w:r w:rsidR="00A62616">
              <w:rPr>
                <w:sz w:val="28"/>
                <w:szCs w:val="28"/>
                <w:lang w:eastAsia="en-US"/>
              </w:rPr>
              <w:t xml:space="preserve"> </w:t>
            </w:r>
            <w:r w:rsidR="00D266AC">
              <w:rPr>
                <w:sz w:val="28"/>
                <w:szCs w:val="28"/>
                <w:lang w:eastAsia="en-US"/>
              </w:rPr>
              <w:t xml:space="preserve">personalului </w:t>
            </w:r>
            <w:r w:rsidR="008C3B97">
              <w:rPr>
                <w:sz w:val="28"/>
                <w:szCs w:val="28"/>
                <w:lang w:eastAsia="en-US"/>
              </w:rPr>
              <w:t xml:space="preserve">de conducere și specialiștilor, deținători de </w:t>
            </w:r>
            <w:r w:rsidR="00A62616">
              <w:rPr>
                <w:sz w:val="28"/>
                <w:szCs w:val="28"/>
                <w:lang w:eastAsia="en-US"/>
              </w:rPr>
              <w:t xml:space="preserve">titluri științifice de „doctor </w:t>
            </w:r>
            <w:proofErr w:type="spellStart"/>
            <w:r w:rsidR="00A62616">
              <w:rPr>
                <w:sz w:val="28"/>
                <w:szCs w:val="28"/>
                <w:lang w:eastAsia="en-US"/>
              </w:rPr>
              <w:t>habilitat</w:t>
            </w:r>
            <w:proofErr w:type="spellEnd"/>
            <w:r w:rsidR="00A62616">
              <w:rPr>
                <w:sz w:val="28"/>
                <w:szCs w:val="28"/>
                <w:lang w:eastAsia="en-US"/>
              </w:rPr>
              <w:t>” sau „doctor în științe” care desfășoară în unitățile cu autonomie</w:t>
            </w:r>
            <w:r w:rsidR="000E4281">
              <w:rPr>
                <w:sz w:val="28"/>
                <w:szCs w:val="28"/>
                <w:lang w:eastAsia="en-US"/>
              </w:rPr>
              <w:t xml:space="preserve"> financiară</w:t>
            </w:r>
            <w:r w:rsidR="00A62616">
              <w:rPr>
                <w:sz w:val="28"/>
                <w:szCs w:val="28"/>
                <w:lang w:eastAsia="en-US"/>
              </w:rPr>
              <w:t xml:space="preserve"> activități tehnico-științifice conform specialității.</w:t>
            </w:r>
            <w:r w:rsidR="000E4281">
              <w:rPr>
                <w:sz w:val="28"/>
                <w:szCs w:val="28"/>
                <w:lang w:eastAsia="en-US"/>
              </w:rPr>
              <w:t xml:space="preserve"> </w:t>
            </w: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lastRenderedPageBreak/>
              <w:t>Fundamentarea economico-financiară</w:t>
            </w:r>
          </w:p>
          <w:p w:rsidR="009A4319" w:rsidRDefault="009A4319" w:rsidP="00664846">
            <w:pPr>
              <w:jc w:val="both"/>
              <w:rPr>
                <w:sz w:val="28"/>
                <w:szCs w:val="28"/>
                <w:lang w:eastAsia="en-US"/>
              </w:rPr>
            </w:pPr>
            <w:r>
              <w:rPr>
                <w:sz w:val="28"/>
                <w:szCs w:val="28"/>
                <w:lang w:eastAsia="en-US"/>
              </w:rPr>
              <w:t xml:space="preserve">      Implementarea prevederilor proiectului nu necesită mijloace financiare suplimentare.</w:t>
            </w: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Modul de încorporare  a actului în cadrul normativ în vigoare</w:t>
            </w:r>
          </w:p>
          <w:p w:rsidR="009A4319" w:rsidRDefault="009A4319">
            <w:pPr>
              <w:rPr>
                <w:sz w:val="28"/>
                <w:szCs w:val="28"/>
                <w:lang w:eastAsia="en-US"/>
              </w:rPr>
            </w:pPr>
            <w:r>
              <w:rPr>
                <w:sz w:val="28"/>
                <w:szCs w:val="28"/>
                <w:lang w:eastAsia="en-US"/>
              </w:rPr>
              <w:t xml:space="preserve">      Implementarea prevederilor proiectului nu necesită elaborarea altor acte normative.</w:t>
            </w:r>
          </w:p>
        </w:tc>
      </w:tr>
      <w:tr w:rsidR="009A4319" w:rsidTr="009A4319">
        <w:trPr>
          <w:trHeight w:val="418"/>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Avizarea și consultarea publică a proiectului</w:t>
            </w:r>
          </w:p>
          <w:p w:rsidR="00DD26A2" w:rsidRDefault="009A4319" w:rsidP="00DD26A2">
            <w:pPr>
              <w:jc w:val="both"/>
              <w:rPr>
                <w:sz w:val="28"/>
                <w:szCs w:val="28"/>
                <w:lang w:eastAsia="en-US"/>
              </w:rPr>
            </w:pPr>
            <w:r>
              <w:rPr>
                <w:sz w:val="28"/>
                <w:szCs w:val="28"/>
                <w:lang w:eastAsia="en-US"/>
              </w:rPr>
              <w:t xml:space="preserve">      </w:t>
            </w:r>
            <w:r w:rsidR="00DD26A2">
              <w:rPr>
                <w:sz w:val="28"/>
                <w:szCs w:val="28"/>
                <w:lang w:eastAsia="en-US"/>
              </w:rPr>
              <w:t xml:space="preserve">În scopul </w:t>
            </w:r>
            <w:r w:rsidR="00C20F56">
              <w:rPr>
                <w:sz w:val="28"/>
                <w:szCs w:val="28"/>
                <w:lang w:eastAsia="en-US"/>
              </w:rPr>
              <w:t>respectării prevederilor Legii nr.239/2008 privind transparența în procesul decizional, proiectul hotărârii Guvernului „Cu privire la modificarea Hotărârii Guvernului nr.743/2002” este plasat pe pagina web oficială a Ministerului Sănătății, Muncii și Protecției Sociale (</w:t>
            </w:r>
            <w:hyperlink r:id="rId6" w:history="1">
              <w:r w:rsidR="00C20F56" w:rsidRPr="0035294C">
                <w:rPr>
                  <w:rStyle w:val="a7"/>
                  <w:sz w:val="28"/>
                  <w:szCs w:val="28"/>
                  <w:lang w:eastAsia="en-US"/>
                </w:rPr>
                <w:t>www.msmps.gov.md</w:t>
              </w:r>
            </w:hyperlink>
            <w:r w:rsidR="00C20F56">
              <w:rPr>
                <w:sz w:val="28"/>
                <w:szCs w:val="28"/>
                <w:lang w:eastAsia="en-US"/>
              </w:rPr>
              <w:t>) directoriu „Transparență”, secțiunea „Proiecte supuse consultărilor publice”.</w:t>
            </w:r>
            <w:r>
              <w:rPr>
                <w:sz w:val="28"/>
                <w:szCs w:val="28"/>
                <w:lang w:eastAsia="en-US"/>
              </w:rPr>
              <w:t xml:space="preserve"> </w:t>
            </w:r>
          </w:p>
          <w:p w:rsidR="009A4319" w:rsidRDefault="009A4319" w:rsidP="00F302F8">
            <w:pPr>
              <w:jc w:val="both"/>
              <w:rPr>
                <w:sz w:val="28"/>
                <w:szCs w:val="28"/>
                <w:lang w:eastAsia="en-US"/>
              </w:rPr>
            </w:pP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319" w:rsidRDefault="009A4319" w:rsidP="00526AD3">
            <w:pPr>
              <w:pStyle w:val="a5"/>
              <w:numPr>
                <w:ilvl w:val="0"/>
                <w:numId w:val="1"/>
              </w:numPr>
              <w:rPr>
                <w:b/>
                <w:sz w:val="28"/>
                <w:szCs w:val="28"/>
                <w:lang w:eastAsia="en-US"/>
              </w:rPr>
            </w:pPr>
            <w:r>
              <w:rPr>
                <w:b/>
                <w:sz w:val="28"/>
                <w:szCs w:val="28"/>
                <w:lang w:eastAsia="en-US"/>
              </w:rPr>
              <w:t>Constatările expertizei anticorupție</w:t>
            </w:r>
          </w:p>
          <w:p w:rsidR="009A4319" w:rsidRDefault="009A4319">
            <w:pPr>
              <w:pStyle w:val="a5"/>
              <w:ind w:left="751"/>
              <w:rPr>
                <w:b/>
                <w:sz w:val="28"/>
                <w:szCs w:val="28"/>
                <w:lang w:eastAsia="en-US"/>
              </w:rPr>
            </w:pPr>
          </w:p>
        </w:tc>
      </w:tr>
      <w:tr w:rsidR="009A4319" w:rsidTr="009A4319">
        <w:trPr>
          <w:trHeight w:val="50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Consultările expertizei de compatibilitate</w:t>
            </w:r>
          </w:p>
        </w:tc>
      </w:tr>
      <w:tr w:rsidR="009A4319" w:rsidTr="009A4319">
        <w:trPr>
          <w:trHeight w:val="70"/>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319" w:rsidRDefault="009A4319" w:rsidP="00526AD3">
            <w:pPr>
              <w:pStyle w:val="a5"/>
              <w:numPr>
                <w:ilvl w:val="0"/>
                <w:numId w:val="1"/>
              </w:numPr>
              <w:rPr>
                <w:b/>
                <w:sz w:val="28"/>
                <w:szCs w:val="28"/>
                <w:lang w:eastAsia="en-US"/>
              </w:rPr>
            </w:pPr>
            <w:r>
              <w:rPr>
                <w:b/>
                <w:sz w:val="28"/>
                <w:szCs w:val="28"/>
                <w:lang w:eastAsia="en-US"/>
              </w:rPr>
              <w:t xml:space="preserve"> Constatările expertizei juridice</w:t>
            </w:r>
          </w:p>
          <w:p w:rsidR="009A4319" w:rsidRDefault="009A4319" w:rsidP="00E36CE8">
            <w:pPr>
              <w:ind w:firstLine="34"/>
              <w:jc w:val="both"/>
              <w:rPr>
                <w:sz w:val="28"/>
                <w:szCs w:val="28"/>
                <w:lang w:eastAsia="en-US"/>
              </w:rPr>
            </w:pPr>
            <w:r>
              <w:rPr>
                <w:sz w:val="28"/>
                <w:szCs w:val="28"/>
                <w:lang w:eastAsia="en-US"/>
              </w:rPr>
              <w:t xml:space="preserve">     </w:t>
            </w:r>
          </w:p>
        </w:tc>
      </w:tr>
      <w:tr w:rsidR="009A4319" w:rsidTr="009A4319">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319" w:rsidRDefault="009A4319" w:rsidP="00526AD3">
            <w:pPr>
              <w:pStyle w:val="a5"/>
              <w:numPr>
                <w:ilvl w:val="0"/>
                <w:numId w:val="1"/>
              </w:numPr>
              <w:rPr>
                <w:b/>
                <w:sz w:val="28"/>
                <w:szCs w:val="28"/>
                <w:lang w:eastAsia="en-US"/>
              </w:rPr>
            </w:pPr>
            <w:r>
              <w:rPr>
                <w:b/>
                <w:sz w:val="28"/>
                <w:szCs w:val="28"/>
                <w:lang w:eastAsia="en-US"/>
              </w:rPr>
              <w:t xml:space="preserve"> Constatările altor expertize</w:t>
            </w:r>
          </w:p>
          <w:p w:rsidR="009A4319" w:rsidRDefault="009A4319">
            <w:pPr>
              <w:pStyle w:val="a5"/>
              <w:ind w:left="751"/>
              <w:rPr>
                <w:b/>
                <w:sz w:val="28"/>
                <w:szCs w:val="28"/>
                <w:lang w:eastAsia="en-US"/>
              </w:rPr>
            </w:pPr>
          </w:p>
        </w:tc>
      </w:tr>
    </w:tbl>
    <w:p w:rsidR="009A4319" w:rsidRDefault="009A4319" w:rsidP="009A4319">
      <w:pPr>
        <w:rPr>
          <w:b/>
          <w:sz w:val="28"/>
          <w:szCs w:val="28"/>
        </w:rPr>
      </w:pPr>
    </w:p>
    <w:p w:rsidR="009A4319" w:rsidRDefault="009A4319" w:rsidP="009A4319">
      <w:pPr>
        <w:rPr>
          <w:b/>
          <w:sz w:val="28"/>
          <w:szCs w:val="28"/>
        </w:rPr>
      </w:pPr>
    </w:p>
    <w:p w:rsidR="009A4319" w:rsidRDefault="009A4319" w:rsidP="009A4319">
      <w:pPr>
        <w:rPr>
          <w:b/>
          <w:sz w:val="28"/>
          <w:szCs w:val="28"/>
        </w:rPr>
      </w:pPr>
    </w:p>
    <w:p w:rsidR="009A4319" w:rsidRDefault="00E36CE8" w:rsidP="009A4319">
      <w:pPr>
        <w:rPr>
          <w:b/>
          <w:sz w:val="28"/>
          <w:szCs w:val="28"/>
        </w:rPr>
      </w:pPr>
      <w:r>
        <w:rPr>
          <w:b/>
          <w:sz w:val="28"/>
          <w:szCs w:val="28"/>
        </w:rPr>
        <w:t xml:space="preserve">    </w:t>
      </w:r>
      <w:r w:rsidR="009A4319">
        <w:rPr>
          <w:b/>
          <w:sz w:val="28"/>
          <w:szCs w:val="28"/>
        </w:rPr>
        <w:t xml:space="preserve">Secretar General de Stat                            </w:t>
      </w:r>
      <w:r>
        <w:rPr>
          <w:b/>
          <w:sz w:val="28"/>
          <w:szCs w:val="28"/>
        </w:rPr>
        <w:t xml:space="preserve">                               </w:t>
      </w:r>
      <w:r w:rsidR="009A4319">
        <w:rPr>
          <w:b/>
          <w:sz w:val="28"/>
          <w:szCs w:val="28"/>
        </w:rPr>
        <w:t xml:space="preserve"> Boris GÎLCA</w:t>
      </w:r>
    </w:p>
    <w:p w:rsidR="009A4319" w:rsidRDefault="009A4319" w:rsidP="009A4319"/>
    <w:p w:rsidR="00D665D2" w:rsidRDefault="00D665D2"/>
    <w:sectPr w:rsidR="00D665D2" w:rsidSect="00C20F5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797"/>
    <w:multiLevelType w:val="hybridMultilevel"/>
    <w:tmpl w:val="B148A4D0"/>
    <w:lvl w:ilvl="0" w:tplc="0418000F">
      <w:start w:val="1"/>
      <w:numFmt w:val="decimal"/>
      <w:lvlText w:val="%1."/>
      <w:lvlJc w:val="left"/>
      <w:pPr>
        <w:ind w:left="75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19"/>
    <w:rsid w:val="000E4281"/>
    <w:rsid w:val="001A2679"/>
    <w:rsid w:val="001B4D53"/>
    <w:rsid w:val="001C0143"/>
    <w:rsid w:val="001E2077"/>
    <w:rsid w:val="00216FED"/>
    <w:rsid w:val="00291623"/>
    <w:rsid w:val="002927AC"/>
    <w:rsid w:val="002D3106"/>
    <w:rsid w:val="002F0FE0"/>
    <w:rsid w:val="00360BDA"/>
    <w:rsid w:val="00376571"/>
    <w:rsid w:val="00383736"/>
    <w:rsid w:val="004042E1"/>
    <w:rsid w:val="004B0D26"/>
    <w:rsid w:val="004C62B2"/>
    <w:rsid w:val="004F7BD4"/>
    <w:rsid w:val="00512515"/>
    <w:rsid w:val="00520AE6"/>
    <w:rsid w:val="005860DA"/>
    <w:rsid w:val="00617BFD"/>
    <w:rsid w:val="00664846"/>
    <w:rsid w:val="006E01D9"/>
    <w:rsid w:val="007812B0"/>
    <w:rsid w:val="00800A87"/>
    <w:rsid w:val="008362C7"/>
    <w:rsid w:val="00842793"/>
    <w:rsid w:val="008C3B97"/>
    <w:rsid w:val="008D18A3"/>
    <w:rsid w:val="00937497"/>
    <w:rsid w:val="009A4319"/>
    <w:rsid w:val="00A547E6"/>
    <w:rsid w:val="00A62616"/>
    <w:rsid w:val="00AE09E3"/>
    <w:rsid w:val="00B10AC6"/>
    <w:rsid w:val="00B22525"/>
    <w:rsid w:val="00B84464"/>
    <w:rsid w:val="00C20F56"/>
    <w:rsid w:val="00C36D83"/>
    <w:rsid w:val="00C758CF"/>
    <w:rsid w:val="00CB02F2"/>
    <w:rsid w:val="00D0239D"/>
    <w:rsid w:val="00D266AC"/>
    <w:rsid w:val="00D451CB"/>
    <w:rsid w:val="00D665D2"/>
    <w:rsid w:val="00D84C0D"/>
    <w:rsid w:val="00DD26A2"/>
    <w:rsid w:val="00E200BF"/>
    <w:rsid w:val="00E36CE8"/>
    <w:rsid w:val="00E659A2"/>
    <w:rsid w:val="00E97570"/>
    <w:rsid w:val="00EC2D20"/>
    <w:rsid w:val="00F302F8"/>
    <w:rsid w:val="00F71689"/>
    <w:rsid w:val="00FF55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19"/>
    <w:pPr>
      <w:spacing w:after="0" w:line="240" w:lineRule="auto"/>
    </w:pPr>
    <w:rPr>
      <w:rFonts w:ascii="Times New Roman" w:eastAsia="Times New Roman"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4319"/>
    <w:pPr>
      <w:tabs>
        <w:tab w:val="center" w:pos="4677"/>
        <w:tab w:val="right" w:pos="9355"/>
      </w:tabs>
    </w:pPr>
  </w:style>
  <w:style w:type="character" w:customStyle="1" w:styleId="a4">
    <w:name w:val="Верхний колонтитул Знак"/>
    <w:basedOn w:val="a0"/>
    <w:link w:val="a3"/>
    <w:uiPriority w:val="99"/>
    <w:semiHidden/>
    <w:rsid w:val="009A4319"/>
    <w:rPr>
      <w:rFonts w:ascii="Times New Roman" w:eastAsia="Times New Roman" w:hAnsi="Times New Roman" w:cs="Times New Roman"/>
      <w:sz w:val="24"/>
      <w:szCs w:val="24"/>
      <w:lang w:eastAsia="ro-RO"/>
    </w:rPr>
  </w:style>
  <w:style w:type="paragraph" w:styleId="a5">
    <w:name w:val="List Paragraph"/>
    <w:basedOn w:val="a"/>
    <w:uiPriority w:val="34"/>
    <w:qFormat/>
    <w:rsid w:val="009A4319"/>
    <w:pPr>
      <w:ind w:left="720"/>
      <w:contextualSpacing/>
    </w:pPr>
  </w:style>
  <w:style w:type="table" w:styleId="a6">
    <w:name w:val="Table Grid"/>
    <w:basedOn w:val="a1"/>
    <w:uiPriority w:val="59"/>
    <w:rsid w:val="009A43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C20F56"/>
    <w:rPr>
      <w:color w:val="0000FF" w:themeColor="hyperlink"/>
      <w:u w:val="single"/>
    </w:rPr>
  </w:style>
  <w:style w:type="paragraph" w:styleId="a8">
    <w:name w:val="footer"/>
    <w:basedOn w:val="a"/>
    <w:link w:val="a9"/>
    <w:unhideWhenUsed/>
    <w:rsid w:val="001E2077"/>
    <w:pPr>
      <w:tabs>
        <w:tab w:val="center" w:pos="4677"/>
        <w:tab w:val="right" w:pos="9355"/>
      </w:tabs>
    </w:pPr>
    <w:rPr>
      <w:sz w:val="28"/>
      <w:szCs w:val="28"/>
      <w:lang w:val="fr-BE" w:eastAsia="ru-RU"/>
    </w:rPr>
  </w:style>
  <w:style w:type="character" w:customStyle="1" w:styleId="a9">
    <w:name w:val="Нижний колонтитул Знак"/>
    <w:basedOn w:val="a0"/>
    <w:link w:val="a8"/>
    <w:rsid w:val="001E2077"/>
    <w:rPr>
      <w:rFonts w:ascii="Times New Roman" w:eastAsia="Times New Roman" w:hAnsi="Times New Roman" w:cs="Times New Roman"/>
      <w:sz w:val="28"/>
      <w:szCs w:val="28"/>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19"/>
    <w:pPr>
      <w:spacing w:after="0" w:line="240" w:lineRule="auto"/>
    </w:pPr>
    <w:rPr>
      <w:rFonts w:ascii="Times New Roman" w:eastAsia="Times New Roman"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4319"/>
    <w:pPr>
      <w:tabs>
        <w:tab w:val="center" w:pos="4677"/>
        <w:tab w:val="right" w:pos="9355"/>
      </w:tabs>
    </w:pPr>
  </w:style>
  <w:style w:type="character" w:customStyle="1" w:styleId="a4">
    <w:name w:val="Верхний колонтитул Знак"/>
    <w:basedOn w:val="a0"/>
    <w:link w:val="a3"/>
    <w:uiPriority w:val="99"/>
    <w:semiHidden/>
    <w:rsid w:val="009A4319"/>
    <w:rPr>
      <w:rFonts w:ascii="Times New Roman" w:eastAsia="Times New Roman" w:hAnsi="Times New Roman" w:cs="Times New Roman"/>
      <w:sz w:val="24"/>
      <w:szCs w:val="24"/>
      <w:lang w:eastAsia="ro-RO"/>
    </w:rPr>
  </w:style>
  <w:style w:type="paragraph" w:styleId="a5">
    <w:name w:val="List Paragraph"/>
    <w:basedOn w:val="a"/>
    <w:uiPriority w:val="34"/>
    <w:qFormat/>
    <w:rsid w:val="009A4319"/>
    <w:pPr>
      <w:ind w:left="720"/>
      <w:contextualSpacing/>
    </w:pPr>
  </w:style>
  <w:style w:type="table" w:styleId="a6">
    <w:name w:val="Table Grid"/>
    <w:basedOn w:val="a1"/>
    <w:uiPriority w:val="59"/>
    <w:rsid w:val="009A43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C20F56"/>
    <w:rPr>
      <w:color w:val="0000FF" w:themeColor="hyperlink"/>
      <w:u w:val="single"/>
    </w:rPr>
  </w:style>
  <w:style w:type="paragraph" w:styleId="a8">
    <w:name w:val="footer"/>
    <w:basedOn w:val="a"/>
    <w:link w:val="a9"/>
    <w:unhideWhenUsed/>
    <w:rsid w:val="001E2077"/>
    <w:pPr>
      <w:tabs>
        <w:tab w:val="center" w:pos="4677"/>
        <w:tab w:val="right" w:pos="9355"/>
      </w:tabs>
    </w:pPr>
    <w:rPr>
      <w:sz w:val="28"/>
      <w:szCs w:val="28"/>
      <w:lang w:val="fr-BE" w:eastAsia="ru-RU"/>
    </w:rPr>
  </w:style>
  <w:style w:type="character" w:customStyle="1" w:styleId="a9">
    <w:name w:val="Нижний колонтитул Знак"/>
    <w:basedOn w:val="a0"/>
    <w:link w:val="a8"/>
    <w:rsid w:val="001E2077"/>
    <w:rPr>
      <w:rFonts w:ascii="Times New Roman" w:eastAsia="Times New Roman" w:hAnsi="Times New Roman" w:cs="Times New Roman"/>
      <w:sz w:val="28"/>
      <w:szCs w:val="28"/>
      <w:lang w:val="fr-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Ana Bucur</cp:lastModifiedBy>
  <cp:revision>2</cp:revision>
  <cp:lastPrinted>2019-03-05T15:13:00Z</cp:lastPrinted>
  <dcterms:created xsi:type="dcterms:W3CDTF">2019-03-14T14:18:00Z</dcterms:created>
  <dcterms:modified xsi:type="dcterms:W3CDTF">2019-03-14T14:18:00Z</dcterms:modified>
</cp:coreProperties>
</file>