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9" w:type="pct"/>
        <w:jc w:val="center"/>
        <w:tblCellMar>
          <w:top w:w="15" w:type="dxa"/>
          <w:left w:w="15" w:type="dxa"/>
          <w:bottom w:w="15" w:type="dxa"/>
          <w:right w:w="15" w:type="dxa"/>
        </w:tblCellMar>
        <w:tblLook w:val="04A0" w:firstRow="1" w:lastRow="0" w:firstColumn="1" w:lastColumn="0" w:noHBand="0" w:noVBand="1"/>
      </w:tblPr>
      <w:tblGrid>
        <w:gridCol w:w="9185"/>
      </w:tblGrid>
      <w:tr w:rsidR="00A24305" w:rsidRPr="000055DC" w14:paraId="352DBE88" w14:textId="77777777" w:rsidTr="00A24305">
        <w:trPr>
          <w:jc w:val="center"/>
        </w:trPr>
        <w:tc>
          <w:tcPr>
            <w:tcW w:w="5000" w:type="pct"/>
            <w:tcBorders>
              <w:top w:val="nil"/>
              <w:left w:val="nil"/>
              <w:bottom w:val="nil"/>
              <w:right w:val="nil"/>
            </w:tcBorders>
            <w:tcMar>
              <w:top w:w="15" w:type="dxa"/>
              <w:left w:w="45" w:type="dxa"/>
              <w:bottom w:w="15" w:type="dxa"/>
              <w:right w:w="45" w:type="dxa"/>
            </w:tcMar>
            <w:hideMark/>
          </w:tcPr>
          <w:p w14:paraId="2C05FF3B" w14:textId="77777777" w:rsidR="00A24305" w:rsidRPr="005F20B0" w:rsidRDefault="00A24305" w:rsidP="005F20B0">
            <w:pPr>
              <w:pStyle w:val="cp"/>
              <w:spacing w:before="0" w:beforeAutospacing="0" w:after="0" w:afterAutospacing="0"/>
              <w:rPr>
                <w:lang w:val="ro-RO"/>
              </w:rPr>
            </w:pPr>
            <w:r w:rsidRPr="005F20B0">
              <w:rPr>
                <w:lang w:val="ro-RO"/>
              </w:rPr>
              <w:t>NOTA INFORMATIVĂ</w:t>
            </w:r>
          </w:p>
          <w:p w14:paraId="7D1D3300" w14:textId="77777777" w:rsidR="00A24305" w:rsidRPr="005F20B0" w:rsidRDefault="00A24305" w:rsidP="00A24305">
            <w:pPr>
              <w:pStyle w:val="cp"/>
              <w:spacing w:before="0" w:beforeAutospacing="0" w:after="0" w:afterAutospacing="0"/>
              <w:jc w:val="both"/>
              <w:rPr>
                <w:lang w:val="ro-RO"/>
              </w:rPr>
            </w:pPr>
            <w:r w:rsidRPr="005F20B0">
              <w:rPr>
                <w:lang w:val="ro-RO"/>
              </w:rPr>
              <w:t xml:space="preserve">la proiectul Hotărîrii </w:t>
            </w:r>
            <w:r w:rsidR="00636BFF">
              <w:rPr>
                <w:lang w:val="ro-RO"/>
              </w:rPr>
              <w:t xml:space="preserve">de </w:t>
            </w:r>
            <w:r w:rsidRPr="005F20B0">
              <w:rPr>
                <w:lang w:val="ro-RO"/>
              </w:rPr>
              <w:t xml:space="preserve">Guvern </w:t>
            </w:r>
            <w:r w:rsidR="000055DC">
              <w:rPr>
                <w:lang w:val="ro-RO"/>
              </w:rPr>
              <w:t xml:space="preserve">pentru modificarea </w:t>
            </w:r>
            <w:r w:rsidRPr="005F20B0">
              <w:rPr>
                <w:lang w:val="ro-RO"/>
              </w:rPr>
              <w:t>Regulamentului privind modul de trecere a frontierei de stat a mărfurilor supuse controlului de către Agenția Națională pentru Siguranța Alimentelo</w:t>
            </w:r>
            <w:r w:rsidR="00636BFF">
              <w:rPr>
                <w:lang w:val="ro-RO"/>
              </w:rPr>
              <w:t>r, aprobat prin</w:t>
            </w:r>
            <w:r w:rsidR="00636BFF" w:rsidRPr="005F20B0">
              <w:rPr>
                <w:lang w:val="ro-RO"/>
              </w:rPr>
              <w:t xml:space="preserve"> </w:t>
            </w:r>
            <w:r w:rsidR="00636BFF">
              <w:rPr>
                <w:lang w:val="ro-RO"/>
              </w:rPr>
              <w:t>Hotărîrea</w:t>
            </w:r>
            <w:r w:rsidR="00636BFF" w:rsidRPr="005F20B0">
              <w:rPr>
                <w:lang w:val="ro-RO"/>
              </w:rPr>
              <w:t xml:space="preserve"> Guvernului nr. 938 din 17.10.2018</w:t>
            </w:r>
          </w:p>
          <w:p w14:paraId="643A8C85" w14:textId="77777777" w:rsidR="00A24305" w:rsidRPr="005F20B0" w:rsidRDefault="00A24305" w:rsidP="005F20B0">
            <w:pPr>
              <w:pStyle w:val="cp"/>
              <w:spacing w:before="0" w:beforeAutospacing="0" w:after="0" w:afterAutospacing="0"/>
              <w:jc w:val="left"/>
              <w:rPr>
                <w:lang w:val="ro-RO"/>
              </w:rPr>
            </w:pPr>
            <w:r w:rsidRPr="005F20B0">
              <w:rPr>
                <w:lang w:val="ro-RO"/>
              </w:rPr>
              <w:t> </w:t>
            </w:r>
          </w:p>
        </w:tc>
      </w:tr>
      <w:tr w:rsidR="00A24305" w:rsidRPr="000055DC" w14:paraId="2B8591CC" w14:textId="77777777" w:rsidTr="00A2430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F336AE" w14:textId="77777777" w:rsidR="00A24305" w:rsidRPr="005F20B0" w:rsidRDefault="00A24305" w:rsidP="00007513">
            <w:pPr>
              <w:jc w:val="both"/>
              <w:rPr>
                <w:rFonts w:eastAsia="Times New Roman"/>
                <w:lang w:val="ro-RO"/>
              </w:rPr>
            </w:pPr>
            <w:r w:rsidRPr="005F20B0">
              <w:rPr>
                <w:rFonts w:eastAsia="Times New Roman"/>
                <w:b/>
                <w:bCs/>
                <w:lang w:val="ro-RO"/>
              </w:rPr>
              <w:t>1.</w:t>
            </w:r>
            <w:r w:rsidRPr="005F20B0">
              <w:rPr>
                <w:rFonts w:eastAsia="Times New Roman"/>
                <w:lang w:val="ro-RO"/>
              </w:rPr>
              <w:t xml:space="preserve"> </w:t>
            </w:r>
            <w:r w:rsidRPr="005F20B0">
              <w:rPr>
                <w:rFonts w:eastAsia="Times New Roman"/>
                <w:b/>
                <w:lang w:val="ro-RO"/>
              </w:rPr>
              <w:t>Denumirea autorului şi, după caz, a participanţilor la elaborarea proiectului</w:t>
            </w:r>
            <w:r w:rsidRPr="005F20B0">
              <w:rPr>
                <w:rFonts w:eastAsia="Times New Roman"/>
                <w:lang w:val="ro-RO"/>
              </w:rPr>
              <w:t xml:space="preserve"> </w:t>
            </w:r>
          </w:p>
        </w:tc>
      </w:tr>
      <w:tr w:rsidR="00A24305" w:rsidRPr="000055DC" w14:paraId="5DCB8D3D" w14:textId="77777777" w:rsidTr="00A2430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36F7C1" w14:textId="77777777" w:rsidR="00A24305" w:rsidRPr="005F20B0" w:rsidRDefault="005703B2" w:rsidP="00007513">
            <w:pPr>
              <w:jc w:val="both"/>
              <w:rPr>
                <w:rFonts w:eastAsia="Times New Roman"/>
                <w:lang w:val="ro-RO"/>
              </w:rPr>
            </w:pPr>
            <w:r w:rsidRPr="005F20B0">
              <w:rPr>
                <w:rFonts w:eastAsia="Times New Roman"/>
                <w:lang w:val="ro-RO"/>
              </w:rPr>
              <w:t xml:space="preserve">       </w:t>
            </w:r>
            <w:r w:rsidR="00A24305" w:rsidRPr="005F20B0">
              <w:rPr>
                <w:rFonts w:eastAsia="Times New Roman"/>
                <w:lang w:val="ro-RO"/>
              </w:rPr>
              <w:t xml:space="preserve">Proiectul </w:t>
            </w:r>
            <w:r w:rsidR="00A24305" w:rsidRPr="005F20B0">
              <w:rPr>
                <w:lang w:val="ro-RO"/>
              </w:rPr>
              <w:t xml:space="preserve">Hotărîrii de Guvern cu privire la modificarea </w:t>
            </w:r>
            <w:r w:rsidR="00752DA9" w:rsidRPr="005F20B0">
              <w:rPr>
                <w:lang w:val="ro-RO"/>
              </w:rPr>
              <w:t>Hotărârii</w:t>
            </w:r>
            <w:r w:rsidR="00A24305" w:rsidRPr="005F20B0">
              <w:rPr>
                <w:lang w:val="ro-RO"/>
              </w:rPr>
              <w:t xml:space="preserve"> Guvernului nr. 938 din 17.10.2018 pentru aprobarea Regulamentului privind modul de trecere a frontierei de stat a mărfurilor supuse controlului de către Agenția Națională pentru Siguranța Alimentelor</w:t>
            </w:r>
            <w:r w:rsidR="00F27A20" w:rsidRPr="005F20B0">
              <w:rPr>
                <w:lang w:val="ro-RO"/>
              </w:rPr>
              <w:t xml:space="preserve"> a fost elaborat de către Ministerul Economiei și Infrastructurii.</w:t>
            </w:r>
          </w:p>
        </w:tc>
      </w:tr>
      <w:tr w:rsidR="00A24305" w:rsidRPr="000055DC" w14:paraId="57F8C685" w14:textId="77777777" w:rsidTr="00A2430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F64D1A" w14:textId="77777777" w:rsidR="00A24305" w:rsidRPr="005F20B0" w:rsidRDefault="00A24305" w:rsidP="00007513">
            <w:pPr>
              <w:jc w:val="both"/>
              <w:rPr>
                <w:rFonts w:eastAsia="Times New Roman"/>
                <w:b/>
                <w:lang w:val="ro-RO"/>
              </w:rPr>
            </w:pPr>
            <w:r w:rsidRPr="005F20B0">
              <w:rPr>
                <w:rFonts w:eastAsia="Times New Roman"/>
                <w:b/>
                <w:bCs/>
                <w:lang w:val="ro-RO"/>
              </w:rPr>
              <w:t>2.</w:t>
            </w:r>
            <w:r w:rsidRPr="005F20B0">
              <w:rPr>
                <w:rFonts w:eastAsia="Times New Roman"/>
                <w:b/>
                <w:lang w:val="ro-RO"/>
              </w:rPr>
              <w:t xml:space="preserve"> Condiţiile ce au impus elaborarea proiectului de act normativ şi finalităţile urmărite </w:t>
            </w:r>
          </w:p>
        </w:tc>
      </w:tr>
      <w:tr w:rsidR="00A24305" w:rsidRPr="000055DC" w14:paraId="4BE4BA6A" w14:textId="77777777" w:rsidTr="00A2430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E4C19E" w14:textId="77777777" w:rsidR="00A24305" w:rsidRPr="005F20B0" w:rsidRDefault="005703B2" w:rsidP="00007513">
            <w:pPr>
              <w:jc w:val="both"/>
              <w:rPr>
                <w:rFonts w:eastAsia="Times New Roman"/>
                <w:lang w:val="ro-RO"/>
              </w:rPr>
            </w:pPr>
            <w:r w:rsidRPr="005F20B0">
              <w:rPr>
                <w:rFonts w:eastAsia="Times New Roman"/>
                <w:lang w:val="ro-RO"/>
              </w:rPr>
              <w:t xml:space="preserve">       </w:t>
            </w:r>
            <w:r w:rsidR="00076190" w:rsidRPr="005F20B0">
              <w:rPr>
                <w:rFonts w:eastAsia="Times New Roman"/>
                <w:lang w:val="ro-RO"/>
              </w:rPr>
              <w:t xml:space="preserve">Proiectul Hotărîrii Guvernului a fost elaborat în scopul înlăturării deficiențelor existente </w:t>
            </w:r>
            <w:r w:rsidR="003F58F5" w:rsidRPr="005F20B0">
              <w:rPr>
                <w:rFonts w:eastAsia="Times New Roman"/>
                <w:lang w:val="ro-RO"/>
              </w:rPr>
              <w:t>ca urmare a</w:t>
            </w:r>
            <w:r w:rsidR="00076190" w:rsidRPr="005F20B0">
              <w:rPr>
                <w:rFonts w:eastAsia="Times New Roman"/>
                <w:lang w:val="ro-RO"/>
              </w:rPr>
              <w:t xml:space="preserve"> aplicării </w:t>
            </w:r>
            <w:r w:rsidR="003F58F5" w:rsidRPr="005F20B0">
              <w:rPr>
                <w:rFonts w:eastAsia="Times New Roman"/>
                <w:lang w:val="ro-RO"/>
              </w:rPr>
              <w:t xml:space="preserve">Hotărîrii Guvernului nr. 938 din 17.10.2018 pentru aprobarea Regulamentului privind modul de trecere a frontierei de stat a mărfurilor supuse controlului de către Agenția Națională pentru Siguranța Alimentelor, precum și în vederea corelării actului normativ cu prevederile altor acte normative cu care se află în conexiune, urmare a </w:t>
            </w:r>
            <w:r w:rsidRPr="005F20B0">
              <w:rPr>
                <w:rFonts w:eastAsia="Times New Roman"/>
                <w:lang w:val="ro-RO"/>
              </w:rPr>
              <w:t>lacunelor identificate și a propunerilor prezentate de către mediul de afaceri.</w:t>
            </w:r>
          </w:p>
        </w:tc>
      </w:tr>
      <w:tr w:rsidR="00A24305" w:rsidRPr="005F20B0" w14:paraId="758AD946" w14:textId="77777777" w:rsidTr="00A2430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D063A1" w14:textId="77777777" w:rsidR="00A24305" w:rsidRPr="005F20B0" w:rsidRDefault="00A24305" w:rsidP="00007513">
            <w:pPr>
              <w:jc w:val="both"/>
              <w:rPr>
                <w:rFonts w:eastAsia="Times New Roman"/>
                <w:b/>
                <w:lang w:val="ro-RO"/>
              </w:rPr>
            </w:pPr>
            <w:r w:rsidRPr="005F20B0">
              <w:rPr>
                <w:rFonts w:eastAsia="Times New Roman"/>
                <w:b/>
                <w:bCs/>
                <w:lang w:val="ro-RO"/>
              </w:rPr>
              <w:t>3.</w:t>
            </w:r>
            <w:r w:rsidRPr="005F20B0">
              <w:rPr>
                <w:rFonts w:eastAsia="Times New Roman"/>
                <w:b/>
                <w:lang w:val="ro-RO"/>
              </w:rPr>
              <w:t xml:space="preserve"> Descrierea gradului de compatibilitate pentru proiectele care au ca scop armonizarea legislaţiei naţionale cu legislaţia Uniunii Europene </w:t>
            </w:r>
          </w:p>
        </w:tc>
      </w:tr>
      <w:tr w:rsidR="00A24305" w:rsidRPr="005F20B0" w14:paraId="1F784500" w14:textId="77777777" w:rsidTr="003810E0">
        <w:trPr>
          <w:trHeight w:val="36"/>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BE3EB3" w14:textId="77777777" w:rsidR="00A24305" w:rsidRPr="005F20B0" w:rsidRDefault="00076190" w:rsidP="00007513">
            <w:pPr>
              <w:jc w:val="both"/>
              <w:rPr>
                <w:rFonts w:eastAsia="Times New Roman"/>
                <w:lang w:val="ro-RO"/>
              </w:rPr>
            </w:pPr>
            <w:r w:rsidRPr="005F20B0">
              <w:rPr>
                <w:rFonts w:eastAsia="Times New Roman"/>
                <w:lang w:val="ro-RO"/>
              </w:rPr>
              <w:t>Proiectul nu face parte din categoria actelor normative cu scop de armonizare a legislației naționale cu legislația Uniunii Europene.</w:t>
            </w:r>
          </w:p>
        </w:tc>
      </w:tr>
      <w:tr w:rsidR="00A24305" w:rsidRPr="005F20B0" w14:paraId="50F47CB8" w14:textId="77777777" w:rsidTr="00A2430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FBE106" w14:textId="77777777" w:rsidR="00A24305" w:rsidRPr="00752DA9" w:rsidRDefault="00A24305" w:rsidP="00007513">
            <w:pPr>
              <w:jc w:val="both"/>
              <w:rPr>
                <w:rFonts w:eastAsia="Times New Roman"/>
                <w:b/>
                <w:lang w:val="ro-RO"/>
              </w:rPr>
            </w:pPr>
            <w:r w:rsidRPr="00752DA9">
              <w:rPr>
                <w:rFonts w:eastAsia="Times New Roman"/>
                <w:b/>
                <w:bCs/>
                <w:lang w:val="ro-RO"/>
              </w:rPr>
              <w:t>4.</w:t>
            </w:r>
            <w:r w:rsidRPr="00752DA9">
              <w:rPr>
                <w:rFonts w:eastAsia="Times New Roman"/>
                <w:b/>
                <w:lang w:val="ro-RO"/>
              </w:rPr>
              <w:t xml:space="preserve"> Principalele prevederi ale proiectului şi evidenţierea elementelor noi </w:t>
            </w:r>
          </w:p>
        </w:tc>
      </w:tr>
      <w:tr w:rsidR="00A24305" w:rsidRPr="007E33CF" w14:paraId="22439BF8" w14:textId="77777777" w:rsidTr="00A2430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617B01" w14:textId="77777777" w:rsidR="00A24305" w:rsidRPr="00752DA9" w:rsidRDefault="00C64E89" w:rsidP="00C64E89">
            <w:pPr>
              <w:pStyle w:val="ListParagraph"/>
              <w:numPr>
                <w:ilvl w:val="0"/>
                <w:numId w:val="1"/>
              </w:numPr>
              <w:jc w:val="both"/>
              <w:rPr>
                <w:rFonts w:eastAsia="Times New Roman"/>
                <w:b/>
                <w:lang w:val="ro-RO"/>
              </w:rPr>
            </w:pPr>
            <w:r w:rsidRPr="00752DA9">
              <w:rPr>
                <w:rFonts w:eastAsia="Times New Roman"/>
                <w:b/>
                <w:lang w:val="ro-RO"/>
              </w:rPr>
              <w:t>Modalitatea</w:t>
            </w:r>
            <w:r w:rsidR="00C049A0" w:rsidRPr="00752DA9">
              <w:rPr>
                <w:rFonts w:eastAsia="Times New Roman"/>
                <w:b/>
                <w:lang w:val="ro-RO"/>
              </w:rPr>
              <w:t xml:space="preserve"> și termenul</w:t>
            </w:r>
            <w:r w:rsidRPr="00752DA9">
              <w:rPr>
                <w:rFonts w:eastAsia="Times New Roman"/>
                <w:b/>
                <w:lang w:val="ro-RO"/>
              </w:rPr>
              <w:t xml:space="preserve"> de notificare a sosirii transportului la punctul de inspecție la frontieră</w:t>
            </w:r>
          </w:p>
          <w:p w14:paraId="0CB8BF3E" w14:textId="77777777" w:rsidR="00E4459A" w:rsidRPr="00752DA9" w:rsidRDefault="00593EF8" w:rsidP="00E4459A">
            <w:pPr>
              <w:ind w:left="45"/>
              <w:jc w:val="both"/>
              <w:rPr>
                <w:rFonts w:eastAsia="Times New Roman"/>
                <w:lang w:val="ro-RO"/>
              </w:rPr>
            </w:pPr>
            <w:r w:rsidRPr="00752DA9">
              <w:rPr>
                <w:rFonts w:eastAsia="Times New Roman"/>
                <w:lang w:val="ro-RO"/>
              </w:rPr>
              <w:t xml:space="preserve">      </w:t>
            </w:r>
            <w:r w:rsidR="005C74CA" w:rsidRPr="00752DA9">
              <w:rPr>
                <w:rFonts w:eastAsia="Times New Roman"/>
                <w:lang w:val="ro-RO"/>
              </w:rPr>
              <w:t xml:space="preserve"> </w:t>
            </w:r>
            <w:r w:rsidR="00D57059" w:rsidRPr="00752DA9">
              <w:rPr>
                <w:rFonts w:eastAsia="Times New Roman"/>
                <w:lang w:val="ro-RO"/>
              </w:rPr>
              <w:t>Î</w:t>
            </w:r>
            <w:r w:rsidR="00E4459A" w:rsidRPr="00752DA9">
              <w:rPr>
                <w:rFonts w:eastAsia="Times New Roman"/>
                <w:lang w:val="ro-RO"/>
              </w:rPr>
              <w:t>n conformitate cu preve</w:t>
            </w:r>
            <w:r w:rsidR="00C9394D" w:rsidRPr="00752DA9">
              <w:rPr>
                <w:rFonts w:eastAsia="Times New Roman"/>
                <w:lang w:val="ro-RO"/>
              </w:rPr>
              <w:t xml:space="preserve">derile </w:t>
            </w:r>
            <w:proofErr w:type="spellStart"/>
            <w:r w:rsidR="00C9394D" w:rsidRPr="00752DA9">
              <w:rPr>
                <w:rFonts w:eastAsia="Times New Roman"/>
                <w:lang w:val="ro-RO"/>
              </w:rPr>
              <w:t>Hotărîrii</w:t>
            </w:r>
            <w:proofErr w:type="spellEnd"/>
            <w:r w:rsidR="00C9394D" w:rsidRPr="00752DA9">
              <w:rPr>
                <w:rFonts w:eastAsia="Times New Roman"/>
                <w:lang w:val="ro-RO"/>
              </w:rPr>
              <w:t xml:space="preserve"> Guvernului nr. </w:t>
            </w:r>
            <w:r w:rsidR="00E4459A" w:rsidRPr="00752DA9">
              <w:rPr>
                <w:rFonts w:eastAsia="Times New Roman"/>
                <w:lang w:val="ro-RO"/>
              </w:rPr>
              <w:t xml:space="preserve">938/2018, introducerea în </w:t>
            </w:r>
            <w:proofErr w:type="spellStart"/>
            <w:r w:rsidR="00E4459A" w:rsidRPr="00752DA9">
              <w:rPr>
                <w:rFonts w:eastAsia="Times New Roman"/>
                <w:lang w:val="ro-RO"/>
              </w:rPr>
              <w:t>ţară</w:t>
            </w:r>
            <w:proofErr w:type="spellEnd"/>
            <w:r w:rsidR="00E4459A" w:rsidRPr="00752DA9">
              <w:rPr>
                <w:rFonts w:eastAsia="Times New Roman"/>
                <w:lang w:val="ro-RO"/>
              </w:rPr>
              <w:t xml:space="preserve"> a mărfurilor supuse controlului fitosanitar se efectuează în baza certificatului fitosanitar și a notificării prealabile, prin intermediul sistemului informațional Sistemul de expertiză și control al comerțului (TRACES) cu cel </w:t>
            </w:r>
            <w:proofErr w:type="spellStart"/>
            <w:r w:rsidR="00E4459A" w:rsidRPr="00752DA9">
              <w:rPr>
                <w:rFonts w:eastAsia="Times New Roman"/>
                <w:lang w:val="ro-RO"/>
              </w:rPr>
              <w:t>puţin</w:t>
            </w:r>
            <w:proofErr w:type="spellEnd"/>
            <w:r w:rsidR="00E4459A" w:rsidRPr="00752DA9">
              <w:rPr>
                <w:rFonts w:eastAsia="Times New Roman"/>
                <w:lang w:val="ro-RO"/>
              </w:rPr>
              <w:t xml:space="preserve"> 24 de ore înainte de </w:t>
            </w:r>
            <w:proofErr w:type="spellStart"/>
            <w:r w:rsidR="00E4459A" w:rsidRPr="00752DA9">
              <w:rPr>
                <w:rFonts w:eastAsia="Times New Roman"/>
                <w:lang w:val="ro-RO"/>
              </w:rPr>
              <w:t>operaţiunea</w:t>
            </w:r>
            <w:proofErr w:type="spellEnd"/>
            <w:r w:rsidR="00E4459A" w:rsidRPr="00752DA9">
              <w:rPr>
                <w:rFonts w:eastAsia="Times New Roman"/>
                <w:lang w:val="ro-RO"/>
              </w:rPr>
              <w:t xml:space="preserve"> de import, export sau tranzit. Astfel, prin intermediul proiectului </w:t>
            </w:r>
            <w:r w:rsidR="00E4459A" w:rsidRPr="00752DA9">
              <w:rPr>
                <w:rFonts w:eastAsia="Times New Roman"/>
                <w:b/>
                <w:lang w:val="ro-RO"/>
              </w:rPr>
              <w:t>se propune excluderea termenului</w:t>
            </w:r>
            <w:r w:rsidR="00FF0884" w:rsidRPr="00752DA9">
              <w:rPr>
                <w:rFonts w:eastAsia="Times New Roman"/>
                <w:b/>
                <w:lang w:val="ro-RO"/>
              </w:rPr>
              <w:t xml:space="preserve"> minim</w:t>
            </w:r>
            <w:r w:rsidR="00E4459A" w:rsidRPr="00752DA9">
              <w:rPr>
                <w:rFonts w:eastAsia="Times New Roman"/>
                <w:lang w:val="ro-RO"/>
              </w:rPr>
              <w:t xml:space="preserve"> </w:t>
            </w:r>
            <w:r w:rsidR="005754EF" w:rsidRPr="00752DA9">
              <w:rPr>
                <w:rFonts w:eastAsia="Times New Roman"/>
                <w:lang w:val="ro-RO"/>
              </w:rPr>
              <w:t xml:space="preserve">pentru notificarea prealabilă </w:t>
            </w:r>
            <w:r w:rsidR="00E4459A" w:rsidRPr="00752DA9">
              <w:rPr>
                <w:rFonts w:eastAsia="Times New Roman"/>
                <w:b/>
                <w:lang w:val="ro-RO"/>
              </w:rPr>
              <w:t xml:space="preserve">și operațiunea de </w:t>
            </w:r>
            <w:r w:rsidR="009E739D" w:rsidRPr="00752DA9">
              <w:rPr>
                <w:rFonts w:eastAsia="Times New Roman"/>
                <w:b/>
                <w:lang w:val="ro-RO"/>
              </w:rPr>
              <w:t>export</w:t>
            </w:r>
            <w:r w:rsidR="009E739D" w:rsidRPr="00752DA9">
              <w:rPr>
                <w:rFonts w:eastAsia="Times New Roman"/>
                <w:lang w:val="ro-RO"/>
              </w:rPr>
              <w:t xml:space="preserve"> în acest sens.</w:t>
            </w:r>
          </w:p>
          <w:p w14:paraId="268D53E3" w14:textId="77777777" w:rsidR="00066008" w:rsidRPr="00752DA9" w:rsidRDefault="004C343D" w:rsidP="00066008">
            <w:pPr>
              <w:ind w:left="45"/>
              <w:jc w:val="both"/>
              <w:rPr>
                <w:rFonts w:eastAsia="Times New Roman"/>
                <w:i/>
                <w:lang w:val="ro-RO"/>
              </w:rPr>
            </w:pPr>
            <w:r w:rsidRPr="00752DA9">
              <w:rPr>
                <w:rFonts w:eastAsia="Times New Roman"/>
                <w:i/>
                <w:lang w:val="ro-RO"/>
              </w:rPr>
              <w:t xml:space="preserve">      Actualmente, </w:t>
            </w:r>
            <w:r w:rsidR="00D57059" w:rsidRPr="00752DA9">
              <w:rPr>
                <w:rFonts w:eastAsia="Times New Roman"/>
                <w:i/>
                <w:lang w:val="ro-RO"/>
              </w:rPr>
              <w:t>potrivit prevederilor</w:t>
            </w:r>
            <w:r w:rsidRPr="00752DA9">
              <w:rPr>
                <w:rFonts w:eastAsia="Times New Roman"/>
                <w:i/>
                <w:lang w:val="ro-RO"/>
              </w:rPr>
              <w:t xml:space="preserve"> </w:t>
            </w:r>
            <w:proofErr w:type="spellStart"/>
            <w:r w:rsidRPr="00752DA9">
              <w:rPr>
                <w:rFonts w:eastAsia="Times New Roman"/>
                <w:i/>
                <w:lang w:val="ro-RO"/>
              </w:rPr>
              <w:t>Hotărîrii</w:t>
            </w:r>
            <w:proofErr w:type="spellEnd"/>
            <w:r w:rsidRPr="00752DA9">
              <w:rPr>
                <w:rFonts w:eastAsia="Times New Roman"/>
                <w:i/>
                <w:lang w:val="ro-RO"/>
              </w:rPr>
              <w:t xml:space="preserve"> Guvernului nr. 938/2018, operatorii economici sunt obligați să notifice data și ora estimată a sosirii transportului la punctul </w:t>
            </w:r>
            <w:r w:rsidR="00D57059" w:rsidRPr="00752DA9">
              <w:rPr>
                <w:rFonts w:eastAsia="Times New Roman"/>
                <w:i/>
                <w:lang w:val="ro-RO"/>
              </w:rPr>
              <w:t xml:space="preserve">de intrare și natura lotului </w:t>
            </w:r>
            <w:r w:rsidRPr="00752DA9">
              <w:rPr>
                <w:rFonts w:eastAsia="Times New Roman"/>
                <w:i/>
                <w:lang w:val="ro-RO"/>
              </w:rPr>
              <w:t xml:space="preserve">prin intermediul sistemului informațional Sistemul de expertiză și control al comerțului (TRACES). </w:t>
            </w:r>
          </w:p>
          <w:p w14:paraId="16D8054F" w14:textId="77777777" w:rsidR="00296A71" w:rsidRPr="00752DA9" w:rsidRDefault="00FF0884" w:rsidP="00066008">
            <w:pPr>
              <w:ind w:left="45" w:firstLine="336"/>
              <w:jc w:val="both"/>
              <w:rPr>
                <w:rFonts w:eastAsia="Times New Roman"/>
                <w:i/>
                <w:lang w:val="ro-RO"/>
              </w:rPr>
            </w:pPr>
            <w:r w:rsidRPr="00752DA9">
              <w:rPr>
                <w:rFonts w:eastAsia="Times New Roman"/>
                <w:lang w:val="ro-RO"/>
              </w:rPr>
              <w:t xml:space="preserve">Totodată, prevederile aferente produselor alimentare de origine </w:t>
            </w:r>
            <w:proofErr w:type="spellStart"/>
            <w:r w:rsidRPr="00752DA9">
              <w:rPr>
                <w:rFonts w:eastAsia="Times New Roman"/>
                <w:lang w:val="ro-RO"/>
              </w:rPr>
              <w:t>nonanimaliere</w:t>
            </w:r>
            <w:proofErr w:type="spellEnd"/>
            <w:r w:rsidR="00087EE0" w:rsidRPr="00752DA9">
              <w:rPr>
                <w:rFonts w:eastAsia="Times New Roman"/>
                <w:lang w:val="ro-RO"/>
              </w:rPr>
              <w:t xml:space="preserve">, </w:t>
            </w:r>
            <w:r w:rsidRPr="00752DA9">
              <w:rPr>
                <w:rFonts w:eastAsia="Times New Roman"/>
                <w:lang w:val="ro-RO"/>
              </w:rPr>
              <w:t xml:space="preserve">cu privire la obligațiile operatorilor economici în ceea ce ține notificarea prealabilă a sosirii transportului la punctul de intrare prin intermediul sistemului TRACES stabilite prin punctele </w:t>
            </w:r>
            <w:r w:rsidR="00C8326B" w:rsidRPr="00752DA9">
              <w:rPr>
                <w:rFonts w:eastAsia="Times New Roman"/>
                <w:b/>
                <w:lang w:val="ro-RO"/>
              </w:rPr>
              <w:t>7 și 8 ale anexei nr. 3</w:t>
            </w:r>
            <w:r w:rsidRPr="00752DA9">
              <w:rPr>
                <w:rFonts w:eastAsia="Times New Roman"/>
                <w:b/>
                <w:lang w:val="ro-RO"/>
              </w:rPr>
              <w:t xml:space="preserve">, </w:t>
            </w:r>
            <w:r w:rsidR="009161D5" w:rsidRPr="00752DA9">
              <w:rPr>
                <w:rFonts w:eastAsia="Times New Roman"/>
                <w:b/>
                <w:lang w:val="ro-RO"/>
              </w:rPr>
              <w:t xml:space="preserve">au fost </w:t>
            </w:r>
            <w:r w:rsidRPr="00752DA9">
              <w:rPr>
                <w:rFonts w:eastAsia="Times New Roman"/>
                <w:b/>
                <w:lang w:val="ro-RO"/>
              </w:rPr>
              <w:t xml:space="preserve">expuse în textul </w:t>
            </w:r>
            <w:proofErr w:type="spellStart"/>
            <w:r w:rsidRPr="00752DA9">
              <w:rPr>
                <w:rFonts w:eastAsia="Times New Roman"/>
                <w:b/>
                <w:lang w:val="ro-RO"/>
              </w:rPr>
              <w:t>Hotîrârii</w:t>
            </w:r>
            <w:proofErr w:type="spellEnd"/>
            <w:r w:rsidRPr="00752DA9">
              <w:rPr>
                <w:rFonts w:eastAsia="Times New Roman"/>
                <w:b/>
                <w:lang w:val="ro-RO"/>
              </w:rPr>
              <w:t xml:space="preserve"> Guvernului</w:t>
            </w:r>
            <w:r w:rsidR="00066008" w:rsidRPr="00752DA9">
              <w:rPr>
                <w:rFonts w:eastAsia="Times New Roman"/>
                <w:b/>
                <w:lang w:val="ro-RO"/>
              </w:rPr>
              <w:t xml:space="preserve">, </w:t>
            </w:r>
            <w:r w:rsidR="00066008" w:rsidRPr="00752DA9">
              <w:rPr>
                <w:rFonts w:eastAsia="Times New Roman"/>
                <w:lang w:val="ro-RO"/>
              </w:rPr>
              <w:t xml:space="preserve">reieșind din faptul că în sensul prevăzut de prevederile menționate nu este o diferențiere pentru produsele supuse controlului la import de către ANSA. </w:t>
            </w:r>
          </w:p>
          <w:p w14:paraId="78505301" w14:textId="6C67C951" w:rsidR="00066008" w:rsidRPr="00752DA9" w:rsidRDefault="00E122EA" w:rsidP="00066008">
            <w:pPr>
              <w:jc w:val="both"/>
              <w:rPr>
                <w:rFonts w:eastAsia="Times New Roman"/>
                <w:lang w:val="ro-RO"/>
              </w:rPr>
            </w:pPr>
            <w:r w:rsidRPr="00752DA9">
              <w:rPr>
                <w:rFonts w:eastAsia="Times New Roman"/>
                <w:lang w:val="ro-RO"/>
              </w:rPr>
              <w:t xml:space="preserve">        </w:t>
            </w:r>
            <w:r w:rsidR="00066008" w:rsidRPr="00752DA9">
              <w:rPr>
                <w:rFonts w:eastAsia="Times New Roman"/>
                <w:lang w:val="ro-RO"/>
              </w:rPr>
              <w:t>Cu referire la</w:t>
            </w:r>
            <w:r w:rsidR="00985B54" w:rsidRPr="00752DA9">
              <w:rPr>
                <w:rFonts w:eastAsia="Times New Roman"/>
                <w:lang w:val="ro-RO"/>
              </w:rPr>
              <w:t xml:space="preserve"> modific</w:t>
            </w:r>
            <w:r w:rsidR="00066008" w:rsidRPr="00752DA9">
              <w:rPr>
                <w:rFonts w:eastAsia="Times New Roman"/>
                <w:lang w:val="ro-RO"/>
              </w:rPr>
              <w:t>ările</w:t>
            </w:r>
            <w:r w:rsidR="00985B54" w:rsidRPr="00752DA9">
              <w:rPr>
                <w:rFonts w:eastAsia="Times New Roman"/>
                <w:lang w:val="ro-RO"/>
              </w:rPr>
              <w:t xml:space="preserve"> </w:t>
            </w:r>
            <w:r w:rsidR="00066008" w:rsidRPr="00752DA9">
              <w:rPr>
                <w:rFonts w:eastAsia="Times New Roman"/>
                <w:lang w:val="ro-RO"/>
              </w:rPr>
              <w:t xml:space="preserve">aferente </w:t>
            </w:r>
            <w:r w:rsidR="00E93BCE" w:rsidRPr="00752DA9">
              <w:rPr>
                <w:rFonts w:eastAsia="Times New Roman"/>
                <w:b/>
                <w:lang w:val="ro-RO"/>
              </w:rPr>
              <w:t xml:space="preserve">codului poziției tarifare </w:t>
            </w:r>
            <w:r w:rsidR="00097F08" w:rsidRPr="00752DA9">
              <w:rPr>
                <w:rFonts w:eastAsia="Times New Roman"/>
                <w:b/>
                <w:lang w:val="ro-RO"/>
              </w:rPr>
              <w:t>4415*</w:t>
            </w:r>
            <w:r w:rsidR="00097F08" w:rsidRPr="00752DA9">
              <w:rPr>
                <w:rFonts w:eastAsia="Times New Roman"/>
                <w:lang w:val="ro-RO"/>
              </w:rPr>
              <w:t xml:space="preserve"> </w:t>
            </w:r>
            <w:r w:rsidR="00066008" w:rsidRPr="00752DA9">
              <w:rPr>
                <w:rFonts w:eastAsia="Times New Roman"/>
                <w:lang w:val="ro-RO"/>
              </w:rPr>
              <w:t xml:space="preserve">(ambalaje precum: lăzi, </w:t>
            </w:r>
            <w:proofErr w:type="spellStart"/>
            <w:r w:rsidR="00066008" w:rsidRPr="00752DA9">
              <w:rPr>
                <w:rFonts w:eastAsia="Times New Roman"/>
                <w:lang w:val="ro-RO"/>
              </w:rPr>
              <w:t>lădiţe</w:t>
            </w:r>
            <w:proofErr w:type="spellEnd"/>
            <w:r w:rsidR="00066008" w:rsidRPr="00752DA9">
              <w:rPr>
                <w:rFonts w:eastAsia="Times New Roman"/>
                <w:lang w:val="ro-RO"/>
              </w:rPr>
              <w:t xml:space="preserve">, </w:t>
            </w:r>
            <w:proofErr w:type="spellStart"/>
            <w:r w:rsidR="00066008" w:rsidRPr="00752DA9">
              <w:rPr>
                <w:rFonts w:eastAsia="Times New Roman"/>
                <w:lang w:val="ro-RO"/>
              </w:rPr>
              <w:t>coşuri</w:t>
            </w:r>
            <w:proofErr w:type="spellEnd"/>
            <w:r w:rsidR="00066008" w:rsidRPr="00752DA9">
              <w:rPr>
                <w:rFonts w:eastAsia="Times New Roman"/>
                <w:lang w:val="ro-RO"/>
              </w:rPr>
              <w:t xml:space="preserve">, cilindri </w:t>
            </w:r>
            <w:proofErr w:type="spellStart"/>
            <w:r w:rsidR="00066008" w:rsidRPr="00752DA9">
              <w:rPr>
                <w:rFonts w:eastAsia="Times New Roman"/>
                <w:lang w:val="ro-RO"/>
              </w:rPr>
              <w:t>şi</w:t>
            </w:r>
            <w:proofErr w:type="spellEnd"/>
            <w:r w:rsidR="00066008" w:rsidRPr="00752DA9">
              <w:rPr>
                <w:rFonts w:eastAsia="Times New Roman"/>
                <w:lang w:val="ro-RO"/>
              </w:rPr>
              <w:t xml:space="preserve"> ambalaje similare, din lemn etc.), acesta a fost exclus din Nomenclatorul mărfurilor supuse controlului </w:t>
            </w:r>
            <w:proofErr w:type="spellStart"/>
            <w:r w:rsidR="00066008" w:rsidRPr="00752DA9">
              <w:rPr>
                <w:rFonts w:eastAsia="Times New Roman"/>
                <w:lang w:val="ro-RO"/>
              </w:rPr>
              <w:t>fitosanita</w:t>
            </w:r>
            <w:proofErr w:type="spellEnd"/>
            <w:r w:rsidR="00BA1CB5" w:rsidRPr="00752DA9">
              <w:rPr>
                <w:rFonts w:eastAsia="Times New Roman"/>
                <w:lang w:val="ro-RO"/>
              </w:rPr>
              <w:t xml:space="preserve"> pe motiv că, reieșind din specificul acestor produse, precum și din practica anterioară, ambalajele din lemn de la codul poziției tarifare 4415 urmează a fi supuse controlului fitosanitar în baza unei analize de risc</w:t>
            </w:r>
            <w:r w:rsidR="0042758E">
              <w:rPr>
                <w:rFonts w:eastAsia="Times New Roman"/>
                <w:lang w:val="ro-RO"/>
              </w:rPr>
              <w:t xml:space="preserve">, î </w:t>
            </w:r>
            <w:proofErr w:type="spellStart"/>
            <w:r w:rsidR="0042758E">
              <w:rPr>
                <w:rFonts w:eastAsia="Times New Roman"/>
                <w:lang w:val="ro-RO"/>
              </w:rPr>
              <w:t>ncazul</w:t>
            </w:r>
            <w:proofErr w:type="spellEnd"/>
            <w:r w:rsidR="0042758E">
              <w:rPr>
                <w:rFonts w:eastAsia="Times New Roman"/>
                <w:lang w:val="ro-RO"/>
              </w:rPr>
              <w:t xml:space="preserve"> în care acestea provin din tari cu risc sporit de contaminare</w:t>
            </w:r>
            <w:bookmarkStart w:id="0" w:name="_GoBack"/>
            <w:bookmarkEnd w:id="0"/>
            <w:r w:rsidR="00BA1CB5" w:rsidRPr="00752DA9">
              <w:rPr>
                <w:rFonts w:eastAsia="Times New Roman"/>
                <w:lang w:val="ro-RO"/>
              </w:rPr>
              <w:t xml:space="preserve"> (conform prevederilor din pct. 1 al proiectului HG).</w:t>
            </w:r>
          </w:p>
          <w:p w14:paraId="3C8D4D1E" w14:textId="77777777" w:rsidR="00066008" w:rsidRPr="00752DA9" w:rsidRDefault="00066008" w:rsidP="00066008">
            <w:pPr>
              <w:jc w:val="both"/>
              <w:rPr>
                <w:rFonts w:eastAsia="Times New Roman"/>
                <w:lang w:val="ro-RO"/>
              </w:rPr>
            </w:pPr>
          </w:p>
          <w:p w14:paraId="13D44634" w14:textId="77777777" w:rsidR="00BA1CB5" w:rsidRPr="00752DA9" w:rsidRDefault="00BA1CB5" w:rsidP="00BA1CB5">
            <w:pPr>
              <w:pStyle w:val="cn"/>
              <w:spacing w:before="0" w:beforeAutospacing="0" w:after="0" w:afterAutospacing="0"/>
              <w:jc w:val="left"/>
              <w:rPr>
                <w:lang w:val="ro-RO"/>
              </w:rPr>
            </w:pPr>
          </w:p>
          <w:p w14:paraId="5195E53F" w14:textId="77777777" w:rsidR="00BA1CB5" w:rsidRPr="00752DA9" w:rsidRDefault="00BA1CB5" w:rsidP="00BA1CB5">
            <w:pPr>
              <w:pStyle w:val="cn"/>
              <w:spacing w:before="0" w:beforeAutospacing="0" w:after="0" w:afterAutospacing="0"/>
              <w:jc w:val="left"/>
              <w:rPr>
                <w:lang w:val="ro-RO"/>
              </w:rPr>
            </w:pPr>
          </w:p>
          <w:p w14:paraId="7E88901A" w14:textId="77777777" w:rsidR="00066008" w:rsidRPr="00752DA9" w:rsidRDefault="00597223" w:rsidP="00BA1CB5">
            <w:pPr>
              <w:pStyle w:val="cn"/>
              <w:spacing w:before="0" w:beforeAutospacing="0" w:after="0" w:afterAutospacing="0"/>
              <w:jc w:val="left"/>
              <w:rPr>
                <w:sz w:val="20"/>
                <w:szCs w:val="20"/>
                <w:lang w:val="en-US"/>
              </w:rPr>
            </w:pPr>
            <w:r w:rsidRPr="00752DA9">
              <w:rPr>
                <w:lang w:val="ro-RO"/>
              </w:rPr>
              <w:t xml:space="preserve">    </w:t>
            </w:r>
          </w:p>
          <w:p w14:paraId="580D3D10" w14:textId="77777777" w:rsidR="00D76059" w:rsidRPr="00752DA9" w:rsidRDefault="00D76059" w:rsidP="002054C1">
            <w:pPr>
              <w:pStyle w:val="ListParagraph"/>
              <w:numPr>
                <w:ilvl w:val="0"/>
                <w:numId w:val="1"/>
              </w:numPr>
              <w:jc w:val="both"/>
              <w:rPr>
                <w:rFonts w:eastAsia="Times New Roman"/>
                <w:b/>
                <w:lang w:val="ro-RO"/>
              </w:rPr>
            </w:pPr>
            <w:r w:rsidRPr="00752DA9">
              <w:rPr>
                <w:rFonts w:eastAsia="Times New Roman"/>
                <w:b/>
                <w:lang w:val="ro-RO"/>
              </w:rPr>
              <w:lastRenderedPageBreak/>
              <w:t>Documentele care însoțesc transporturile de produse alimentare de origine nonanimală</w:t>
            </w:r>
          </w:p>
          <w:p w14:paraId="0EEC8654" w14:textId="77777777" w:rsidR="00F66D41" w:rsidRPr="00752DA9" w:rsidRDefault="00F66D41" w:rsidP="00F66D41">
            <w:pPr>
              <w:jc w:val="both"/>
              <w:rPr>
                <w:rFonts w:eastAsia="Times New Roman"/>
                <w:b/>
                <w:lang w:val="ro-RO"/>
              </w:rPr>
            </w:pPr>
          </w:p>
          <w:p w14:paraId="22E9ED21" w14:textId="77777777" w:rsidR="002054C1" w:rsidRPr="00752DA9" w:rsidRDefault="00F66D41" w:rsidP="00F66D41">
            <w:pPr>
              <w:jc w:val="both"/>
              <w:rPr>
                <w:rFonts w:eastAsia="Times New Roman"/>
                <w:b/>
                <w:lang w:val="ro-RO"/>
              </w:rPr>
            </w:pPr>
            <w:r w:rsidRPr="00752DA9">
              <w:rPr>
                <w:rFonts w:eastAsia="Times New Roman"/>
                <w:lang w:val="ro-RO"/>
              </w:rPr>
              <w:t xml:space="preserve">      O modificare propusă prin prezentul proiect se referă la </w:t>
            </w:r>
            <w:r w:rsidRPr="00752DA9">
              <w:rPr>
                <w:rFonts w:eastAsia="Times New Roman"/>
                <w:b/>
                <w:lang w:val="ro-RO"/>
              </w:rPr>
              <w:t>certificatul de calitate și documentul eliberat de autoritățile competente din domeniul siguranței alimentelor.</w:t>
            </w:r>
          </w:p>
          <w:p w14:paraId="033ACFB4" w14:textId="77777777" w:rsidR="00296A71" w:rsidRPr="00752DA9" w:rsidRDefault="00296A71" w:rsidP="00F66D41">
            <w:pPr>
              <w:jc w:val="both"/>
              <w:rPr>
                <w:rFonts w:eastAsia="Times New Roman"/>
                <w:lang w:val="ro-RO"/>
              </w:rPr>
            </w:pPr>
          </w:p>
          <w:p w14:paraId="023ECF29" w14:textId="77777777" w:rsidR="008F15B4" w:rsidRPr="00752DA9" w:rsidRDefault="00D76059" w:rsidP="00087EE0">
            <w:pPr>
              <w:jc w:val="both"/>
              <w:rPr>
                <w:rFonts w:eastAsia="Times New Roman"/>
                <w:lang w:val="ro-RO"/>
              </w:rPr>
            </w:pPr>
            <w:r w:rsidRPr="00752DA9">
              <w:rPr>
                <w:rFonts w:eastAsia="Times New Roman"/>
                <w:lang w:val="ro-RO"/>
              </w:rPr>
              <w:t xml:space="preserve">       Actualmente, datorită faptului că printre documentele care atestă că produsele alimentare de origine nonanimală și produsele care sunt utilizate ca ingrediente pentru prepararea produselor alimentare destinate consumului uman sunt inofensive pentru sănătatea publică și conforme cu prevederile legislației în vigoare, se regăsește și un document eliberat de autoritățile competente din domeniul siguranței alimentelor ale statului exportator, ce creează mai multe inconveniențe pentru operatorii economici importatori, astfel încât se consideră oportun excluderea prezentării acestui document din partea </w:t>
            </w:r>
            <w:r w:rsidR="006864A2" w:rsidRPr="00752DA9">
              <w:rPr>
                <w:rFonts w:eastAsia="Times New Roman"/>
                <w:lang w:val="ro-RO"/>
              </w:rPr>
              <w:t>autorităților</w:t>
            </w:r>
            <w:r w:rsidRPr="00752DA9">
              <w:rPr>
                <w:rFonts w:eastAsia="Times New Roman"/>
                <w:lang w:val="ro-RO"/>
              </w:rPr>
              <w:t xml:space="preserve"> c</w:t>
            </w:r>
            <w:r w:rsidR="00F66D41" w:rsidRPr="00752DA9">
              <w:rPr>
                <w:rFonts w:eastAsia="Times New Roman"/>
                <w:lang w:val="ro-RO"/>
              </w:rPr>
              <w:t xml:space="preserve">ompetente din Uniunea Europeană </w:t>
            </w:r>
            <w:r w:rsidRPr="00752DA9">
              <w:rPr>
                <w:rFonts w:eastAsia="Times New Roman"/>
                <w:lang w:val="ro-RO"/>
              </w:rPr>
              <w:t xml:space="preserve">și stabilirea obligației de prezentare a unei </w:t>
            </w:r>
            <w:r w:rsidR="006864A2" w:rsidRPr="00752DA9">
              <w:rPr>
                <w:rFonts w:eastAsia="Times New Roman"/>
                <w:lang w:val="ro-RO"/>
              </w:rPr>
              <w:t>declarații</w:t>
            </w:r>
            <w:r w:rsidRPr="00752DA9">
              <w:rPr>
                <w:rFonts w:eastAsia="Times New Roman"/>
                <w:lang w:val="ro-RO"/>
              </w:rPr>
              <w:t xml:space="preserve"> pe proprie răspundere emisă de producător/exportator din UE prin care se confirmă </w:t>
            </w:r>
            <w:r w:rsidR="006864A2" w:rsidRPr="00752DA9">
              <w:rPr>
                <w:rFonts w:eastAsia="Times New Roman"/>
                <w:lang w:val="ro-RO"/>
              </w:rPr>
              <w:t>siguranța</w:t>
            </w:r>
            <w:r w:rsidRPr="00752DA9">
              <w:rPr>
                <w:rFonts w:eastAsia="Times New Roman"/>
                <w:lang w:val="ro-RO"/>
              </w:rPr>
              <w:t xml:space="preserve"> </w:t>
            </w:r>
            <w:proofErr w:type="spellStart"/>
            <w:r w:rsidRPr="00752DA9">
              <w:rPr>
                <w:rFonts w:eastAsia="Times New Roman"/>
                <w:lang w:val="ro-RO"/>
              </w:rPr>
              <w:t>şi</w:t>
            </w:r>
            <w:proofErr w:type="spellEnd"/>
            <w:r w:rsidRPr="00752DA9">
              <w:rPr>
                <w:rFonts w:eastAsia="Times New Roman"/>
                <w:lang w:val="ro-RO"/>
              </w:rPr>
              <w:t xml:space="preserve"> calitatea produselor respective.</w:t>
            </w:r>
          </w:p>
          <w:p w14:paraId="3E9E162A" w14:textId="77777777" w:rsidR="00BA1CB5" w:rsidRPr="00752DA9" w:rsidRDefault="00BA1CB5" w:rsidP="00087EE0">
            <w:pPr>
              <w:jc w:val="both"/>
              <w:rPr>
                <w:rFonts w:eastAsia="Times New Roman"/>
                <w:lang w:val="ro-RO"/>
              </w:rPr>
            </w:pPr>
            <w:r w:rsidRPr="00752DA9">
              <w:rPr>
                <w:rFonts w:eastAsia="Times New Roman"/>
                <w:lang w:val="ro-RO"/>
              </w:rPr>
              <w:t xml:space="preserve">Totodată, certificatul privind inofensivitatea produselor eliberat de autoritățile competente ale statului exportator va fi solicitat pentru un spectru redus de produse de origine </w:t>
            </w:r>
            <w:proofErr w:type="spellStart"/>
            <w:r w:rsidRPr="00752DA9">
              <w:rPr>
                <w:rFonts w:eastAsia="Times New Roman"/>
                <w:lang w:val="ro-RO"/>
              </w:rPr>
              <w:t>nonanimală</w:t>
            </w:r>
            <w:proofErr w:type="spellEnd"/>
            <w:r w:rsidRPr="00752DA9">
              <w:rPr>
                <w:rFonts w:eastAsia="Times New Roman"/>
                <w:lang w:val="ro-RO"/>
              </w:rPr>
              <w:t xml:space="preserve"> destinate consumului uman, cu un grad sporit de risc, conform unei liste publicate și actualizate cel puțin de 2 ori pe an de către ANSA (conform practicii UE).</w:t>
            </w:r>
          </w:p>
          <w:p w14:paraId="51C5118F" w14:textId="77777777" w:rsidR="008F15B4" w:rsidRPr="00752DA9" w:rsidRDefault="008F15B4" w:rsidP="00087EE0">
            <w:pPr>
              <w:jc w:val="both"/>
              <w:rPr>
                <w:rFonts w:eastAsia="Times New Roman"/>
                <w:lang w:val="ro-RO"/>
              </w:rPr>
            </w:pPr>
          </w:p>
          <w:p w14:paraId="103F7803" w14:textId="77777777" w:rsidR="000B7E5D" w:rsidRPr="00752DA9" w:rsidRDefault="000B7E5D" w:rsidP="000B7E5D">
            <w:pPr>
              <w:pStyle w:val="ListParagraph"/>
              <w:numPr>
                <w:ilvl w:val="0"/>
                <w:numId w:val="1"/>
              </w:numPr>
              <w:jc w:val="both"/>
              <w:rPr>
                <w:rFonts w:eastAsia="Times New Roman"/>
                <w:b/>
                <w:lang w:val="ro-RO"/>
              </w:rPr>
            </w:pPr>
            <w:r w:rsidRPr="00752DA9">
              <w:rPr>
                <w:rFonts w:eastAsia="Times New Roman"/>
                <w:b/>
                <w:lang w:val="ro-RO"/>
              </w:rPr>
              <w:t>Limba de întocmire a documentelor însoțitoare</w:t>
            </w:r>
          </w:p>
          <w:p w14:paraId="6DEBD57E" w14:textId="77777777" w:rsidR="000911D4" w:rsidRPr="00752DA9" w:rsidRDefault="005C74CA" w:rsidP="000B7E5D">
            <w:pPr>
              <w:ind w:left="45"/>
              <w:jc w:val="both"/>
              <w:rPr>
                <w:rFonts w:eastAsia="Times New Roman"/>
                <w:lang w:val="ro-RO"/>
              </w:rPr>
            </w:pPr>
            <w:r w:rsidRPr="00752DA9">
              <w:rPr>
                <w:rFonts w:eastAsia="Times New Roman"/>
                <w:lang w:val="ro-RO"/>
              </w:rPr>
              <w:t xml:space="preserve">       </w:t>
            </w:r>
            <w:r w:rsidR="000911D4" w:rsidRPr="00752DA9">
              <w:rPr>
                <w:rFonts w:eastAsia="Times New Roman"/>
                <w:lang w:val="ro-RO"/>
              </w:rPr>
              <w:t xml:space="preserve">Redacția actuală a textului normei stabilite la pct. 12 din Anexa nr. 3 la Regulament, care prevede că „operatorii economici trebuie să asigure traducerea autentificată a documentelor dacă ele nu sunt perfectate în limba de stat” s-a dovedit a crea mai multe efecte negative pentru operatorii economici, în particular sub forma suportării cheltuielilor suplimentare pentru traducerea documentelor în limba de stat, timpului îndelungat necesar pentru traducerea documentelor, precum și existenței riscurilor în ce privește recunoașterea actelor oficiale. </w:t>
            </w:r>
          </w:p>
          <w:p w14:paraId="0B6A2AC7" w14:textId="77777777" w:rsidR="000911D4" w:rsidRPr="00752DA9" w:rsidRDefault="000911D4" w:rsidP="000B7E5D">
            <w:pPr>
              <w:ind w:left="45"/>
              <w:jc w:val="both"/>
              <w:rPr>
                <w:rFonts w:eastAsia="Times New Roman"/>
                <w:lang w:val="ro-RO"/>
              </w:rPr>
            </w:pPr>
          </w:p>
          <w:p w14:paraId="02F7CC45" w14:textId="77777777" w:rsidR="00C049A0" w:rsidRPr="00752DA9" w:rsidRDefault="005C74CA" w:rsidP="009473F1">
            <w:pPr>
              <w:ind w:left="45"/>
              <w:jc w:val="both"/>
              <w:rPr>
                <w:rFonts w:eastAsia="Times New Roman"/>
                <w:lang w:val="ro-RO"/>
              </w:rPr>
            </w:pPr>
            <w:r w:rsidRPr="00752DA9">
              <w:rPr>
                <w:rFonts w:eastAsia="Times New Roman"/>
                <w:lang w:val="ro-RO"/>
              </w:rPr>
              <w:t xml:space="preserve">       </w:t>
            </w:r>
            <w:r w:rsidR="000911D4" w:rsidRPr="00752DA9">
              <w:rPr>
                <w:rFonts w:eastAsia="Times New Roman"/>
                <w:lang w:val="ro-RO"/>
              </w:rPr>
              <w:t>Prin proiectul Hotărîrii Guvernului se propune ca documentele însoțitoare s</w:t>
            </w:r>
            <w:r w:rsidR="00E054E5" w:rsidRPr="00752DA9">
              <w:rPr>
                <w:rFonts w:eastAsia="Times New Roman"/>
                <w:lang w:val="ro-RO"/>
              </w:rPr>
              <w:t>ă fie întocmite în limba româ</w:t>
            </w:r>
            <w:r w:rsidR="002B1521" w:rsidRPr="00752DA9">
              <w:rPr>
                <w:rFonts w:eastAsia="Times New Roman"/>
                <w:lang w:val="ro-RO"/>
              </w:rPr>
              <w:t>nă</w:t>
            </w:r>
            <w:r w:rsidR="000911D4" w:rsidRPr="00752DA9">
              <w:rPr>
                <w:rFonts w:eastAsia="Times New Roman"/>
                <w:lang w:val="ro-RO"/>
              </w:rPr>
              <w:t xml:space="preserve"> sau, după caz, în una din limbile de circulație internațională, fapt care va ușura sarcina pusă în seama operatorilor economici.</w:t>
            </w:r>
          </w:p>
          <w:p w14:paraId="77641A7A" w14:textId="77777777" w:rsidR="000568E4" w:rsidRPr="00752DA9" w:rsidRDefault="000568E4" w:rsidP="009473F1">
            <w:pPr>
              <w:ind w:left="45"/>
              <w:jc w:val="both"/>
              <w:rPr>
                <w:rFonts w:eastAsia="Times New Roman"/>
                <w:lang w:val="ro-RO"/>
              </w:rPr>
            </w:pPr>
          </w:p>
          <w:p w14:paraId="5658A8FE" w14:textId="77777777" w:rsidR="00362F0B" w:rsidRPr="00752DA9" w:rsidRDefault="00024DD5" w:rsidP="00053BCA">
            <w:pPr>
              <w:ind w:left="45"/>
              <w:jc w:val="both"/>
              <w:rPr>
                <w:rFonts w:eastAsia="Times New Roman"/>
                <w:lang w:val="ro-RO"/>
              </w:rPr>
            </w:pPr>
            <w:r w:rsidRPr="00752DA9">
              <w:rPr>
                <w:rFonts w:eastAsia="Times New Roman"/>
                <w:lang w:val="ro-RO"/>
              </w:rPr>
              <w:t xml:space="preserve">      </w:t>
            </w:r>
            <w:r w:rsidR="0046267B" w:rsidRPr="00752DA9">
              <w:rPr>
                <w:rFonts w:eastAsia="Times New Roman"/>
                <w:lang w:val="ro-RO"/>
              </w:rPr>
              <w:t xml:space="preserve">Alte propuneri de </w:t>
            </w:r>
            <w:r w:rsidR="005B3B59" w:rsidRPr="00752DA9">
              <w:rPr>
                <w:rFonts w:eastAsia="Times New Roman"/>
                <w:lang w:val="ro-RO"/>
              </w:rPr>
              <w:t xml:space="preserve">modificări operate </w:t>
            </w:r>
            <w:r w:rsidR="00A231A1" w:rsidRPr="00752DA9">
              <w:rPr>
                <w:rFonts w:eastAsia="Times New Roman"/>
                <w:lang w:val="ro-RO"/>
              </w:rPr>
              <w:t xml:space="preserve">sunt de ordin tehnic, care vor facilita </w:t>
            </w:r>
            <w:r w:rsidR="00362F0B" w:rsidRPr="00752DA9">
              <w:rPr>
                <w:rFonts w:eastAsia="Times New Roman"/>
                <w:lang w:val="ro-RO"/>
              </w:rPr>
              <w:t xml:space="preserve">în cele din urmă </w:t>
            </w:r>
            <w:r w:rsidR="00053BCA" w:rsidRPr="00752DA9">
              <w:rPr>
                <w:rFonts w:eastAsia="Times New Roman"/>
                <w:lang w:val="ro-RO"/>
              </w:rPr>
              <w:t>procesul controalelor de stat și</w:t>
            </w:r>
            <w:r w:rsidR="00BA1CB5" w:rsidRPr="00752DA9">
              <w:rPr>
                <w:rFonts w:eastAsia="Times New Roman"/>
                <w:lang w:val="ro-RO"/>
              </w:rPr>
              <w:t xml:space="preserve"> vor</w:t>
            </w:r>
            <w:r w:rsidR="00053BCA" w:rsidRPr="00752DA9">
              <w:rPr>
                <w:rFonts w:eastAsia="Times New Roman"/>
                <w:lang w:val="ro-RO"/>
              </w:rPr>
              <w:t xml:space="preserve"> optimiza modul</w:t>
            </w:r>
            <w:r w:rsidR="00362F0B" w:rsidRPr="00752DA9">
              <w:rPr>
                <w:rFonts w:eastAsia="Times New Roman"/>
                <w:lang w:val="ro-RO"/>
              </w:rPr>
              <w:t xml:space="preserve"> de trecere a frontierei </w:t>
            </w:r>
            <w:r w:rsidR="00C6044F" w:rsidRPr="00752DA9">
              <w:rPr>
                <w:rFonts w:eastAsia="Times New Roman"/>
                <w:lang w:val="ro-RO"/>
              </w:rPr>
              <w:t xml:space="preserve">de </w:t>
            </w:r>
            <w:r w:rsidR="00362F0B" w:rsidRPr="00752DA9">
              <w:rPr>
                <w:rFonts w:eastAsia="Times New Roman"/>
                <w:lang w:val="ro-RO"/>
              </w:rPr>
              <w:t>către mijloacele de transport cu mărfuri şi pasageri.</w:t>
            </w:r>
          </w:p>
          <w:p w14:paraId="2257ED9E" w14:textId="77777777" w:rsidR="00C64E89" w:rsidRPr="00752DA9" w:rsidRDefault="00C64E89" w:rsidP="00C64E89">
            <w:pPr>
              <w:jc w:val="both"/>
              <w:rPr>
                <w:rFonts w:eastAsia="Times New Roman"/>
                <w:lang w:val="ro-RO"/>
              </w:rPr>
            </w:pPr>
          </w:p>
        </w:tc>
      </w:tr>
      <w:tr w:rsidR="00A24305" w:rsidRPr="005F20B0" w14:paraId="5B0FD200" w14:textId="77777777" w:rsidTr="00A2430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C33D35" w14:textId="77777777" w:rsidR="00A24305" w:rsidRPr="005F20B0" w:rsidRDefault="00A24305" w:rsidP="00007513">
            <w:pPr>
              <w:jc w:val="both"/>
              <w:rPr>
                <w:rFonts w:eastAsia="Times New Roman"/>
                <w:b/>
                <w:lang w:val="ro-RO"/>
              </w:rPr>
            </w:pPr>
            <w:r w:rsidRPr="005F20B0">
              <w:rPr>
                <w:rFonts w:eastAsia="Times New Roman"/>
                <w:b/>
                <w:bCs/>
                <w:lang w:val="ro-RO"/>
              </w:rPr>
              <w:lastRenderedPageBreak/>
              <w:t>5.</w:t>
            </w:r>
            <w:r w:rsidRPr="005F20B0">
              <w:rPr>
                <w:rFonts w:eastAsia="Times New Roman"/>
                <w:b/>
                <w:lang w:val="ro-RO"/>
              </w:rPr>
              <w:t xml:space="preserve"> Fundamentarea economico-financiară </w:t>
            </w:r>
          </w:p>
        </w:tc>
      </w:tr>
      <w:tr w:rsidR="00A24305" w:rsidRPr="000055DC" w14:paraId="3352B778" w14:textId="77777777" w:rsidTr="00A2430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F8293D" w14:textId="77777777" w:rsidR="00A24305" w:rsidRPr="005F20B0" w:rsidRDefault="00A24305" w:rsidP="00007513">
            <w:pPr>
              <w:jc w:val="both"/>
              <w:rPr>
                <w:rFonts w:eastAsia="Times New Roman"/>
                <w:lang w:val="ro-RO"/>
              </w:rPr>
            </w:pPr>
            <w:r w:rsidRPr="005F20B0">
              <w:rPr>
                <w:rFonts w:eastAsia="Times New Roman"/>
                <w:lang w:val="ro-RO"/>
              </w:rPr>
              <w:t> </w:t>
            </w:r>
            <w:r w:rsidR="00007513" w:rsidRPr="005F20B0">
              <w:rPr>
                <w:rFonts w:eastAsia="Times New Roman"/>
                <w:lang w:val="ro-RO"/>
              </w:rPr>
              <w:t>Implementarea proiectului de față nu presupune cheltuieli financiare suplimentare din bugetul de stat.</w:t>
            </w:r>
          </w:p>
        </w:tc>
      </w:tr>
      <w:tr w:rsidR="00A24305" w:rsidRPr="000055DC" w14:paraId="6AB17565" w14:textId="77777777" w:rsidTr="00A2430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5533D0" w14:textId="77777777" w:rsidR="00A24305" w:rsidRPr="005F20B0" w:rsidRDefault="00A24305" w:rsidP="00007513">
            <w:pPr>
              <w:jc w:val="both"/>
              <w:rPr>
                <w:rFonts w:eastAsia="Times New Roman"/>
                <w:b/>
                <w:lang w:val="ro-RO"/>
              </w:rPr>
            </w:pPr>
            <w:r w:rsidRPr="005F20B0">
              <w:rPr>
                <w:rFonts w:eastAsia="Times New Roman"/>
                <w:b/>
                <w:bCs/>
                <w:lang w:val="ro-RO"/>
              </w:rPr>
              <w:t>6.</w:t>
            </w:r>
            <w:r w:rsidRPr="005F20B0">
              <w:rPr>
                <w:rFonts w:eastAsia="Times New Roman"/>
                <w:b/>
                <w:lang w:val="ro-RO"/>
              </w:rPr>
              <w:t xml:space="preserve"> Modul de încorporare a actului în cadrul normativ în vigoare </w:t>
            </w:r>
          </w:p>
        </w:tc>
      </w:tr>
      <w:tr w:rsidR="00A24305" w:rsidRPr="000055DC" w14:paraId="354BD850" w14:textId="77777777" w:rsidTr="00A2430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F1A4CB" w14:textId="77777777" w:rsidR="00A24305" w:rsidRPr="005F20B0" w:rsidRDefault="00A24305" w:rsidP="00007513">
            <w:pPr>
              <w:jc w:val="both"/>
              <w:rPr>
                <w:rFonts w:eastAsia="Times New Roman"/>
                <w:lang w:val="ro-RO"/>
              </w:rPr>
            </w:pPr>
            <w:r w:rsidRPr="005F20B0">
              <w:rPr>
                <w:rFonts w:eastAsia="Times New Roman"/>
                <w:lang w:val="ro-RO"/>
              </w:rPr>
              <w:t> </w:t>
            </w:r>
            <w:r w:rsidR="00007513" w:rsidRPr="005F20B0">
              <w:rPr>
                <w:rFonts w:eastAsia="Times New Roman"/>
                <w:lang w:val="ro-RO"/>
              </w:rPr>
              <w:t xml:space="preserve">În urma adoptării proiectului </w:t>
            </w:r>
            <w:r w:rsidR="00007513" w:rsidRPr="005F20B0">
              <w:rPr>
                <w:lang w:val="ro-RO"/>
              </w:rPr>
              <w:t>nu va fi necesară modificarea sau completarea cadrului normativ conex.</w:t>
            </w:r>
          </w:p>
        </w:tc>
      </w:tr>
      <w:tr w:rsidR="00A24305" w:rsidRPr="005F20B0" w14:paraId="20431982" w14:textId="77777777" w:rsidTr="00A2430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B6435D" w14:textId="77777777" w:rsidR="00A24305" w:rsidRPr="005F20B0" w:rsidRDefault="00A24305" w:rsidP="00007513">
            <w:pPr>
              <w:jc w:val="both"/>
              <w:rPr>
                <w:rFonts w:eastAsia="Times New Roman"/>
                <w:b/>
                <w:lang w:val="ro-RO"/>
              </w:rPr>
            </w:pPr>
            <w:r w:rsidRPr="005F20B0">
              <w:rPr>
                <w:rFonts w:eastAsia="Times New Roman"/>
                <w:b/>
                <w:bCs/>
                <w:lang w:val="ro-RO"/>
              </w:rPr>
              <w:t>7.</w:t>
            </w:r>
            <w:r w:rsidRPr="005F20B0">
              <w:rPr>
                <w:rFonts w:eastAsia="Times New Roman"/>
                <w:b/>
                <w:lang w:val="ro-RO"/>
              </w:rPr>
              <w:t xml:space="preserve"> Avizarea şi consultarea publică a proiectului </w:t>
            </w:r>
          </w:p>
        </w:tc>
      </w:tr>
      <w:tr w:rsidR="00A24305" w:rsidRPr="005F20B0" w14:paraId="44DDFEE3" w14:textId="77777777" w:rsidTr="00A24305">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365815" w14:textId="77777777" w:rsidR="00A24305" w:rsidRPr="005F20B0" w:rsidRDefault="00A24305" w:rsidP="00007513">
            <w:pPr>
              <w:jc w:val="both"/>
              <w:rPr>
                <w:rFonts w:eastAsia="Times New Roman"/>
                <w:lang w:val="ro-RO"/>
              </w:rPr>
            </w:pPr>
            <w:r w:rsidRPr="005F20B0">
              <w:rPr>
                <w:rFonts w:eastAsia="Times New Roman"/>
                <w:lang w:val="ro-RO"/>
              </w:rPr>
              <w:t> </w:t>
            </w:r>
            <w:r w:rsidR="00007513" w:rsidRPr="005F20B0">
              <w:rPr>
                <w:rFonts w:eastAsia="Times New Roman"/>
                <w:lang w:val="ro-RO"/>
              </w:rPr>
              <w:t>În scopul respectării prevederilor Legii nr. 239 din 13 noiembrie 2008 privind transparența în procesul decizional, proiectul Hotărîrii Guvernului a fost plasat pe pagina web oficială a Ministerului Economiei și Infrastructurii (</w:t>
            </w:r>
            <w:hyperlink r:id="rId6" w:history="1">
              <w:r w:rsidR="00007513" w:rsidRPr="005F20B0">
                <w:rPr>
                  <w:rStyle w:val="Hyperlink"/>
                  <w:rFonts w:eastAsia="Times New Roman"/>
                  <w:lang w:val="ro-RO"/>
                </w:rPr>
                <w:t>www.mei.gov.md</w:t>
              </w:r>
            </w:hyperlink>
            <w:r w:rsidR="00007513" w:rsidRPr="005F20B0">
              <w:rPr>
                <w:rFonts w:eastAsia="Times New Roman"/>
                <w:lang w:val="ro-RO"/>
              </w:rPr>
              <w:t>), compartimentul Transparența, directoriul Transparența decizională/Anunțuri privind consultările publice și pe portalul guvernamental (</w:t>
            </w:r>
            <w:hyperlink r:id="rId7" w:history="1">
              <w:r w:rsidR="00007513" w:rsidRPr="005F20B0">
                <w:rPr>
                  <w:rStyle w:val="Hyperlink"/>
                  <w:rFonts w:eastAsia="Times New Roman"/>
                  <w:lang w:val="ro-RO"/>
                </w:rPr>
                <w:t>www.particip.gov.md</w:t>
              </w:r>
            </w:hyperlink>
            <w:r w:rsidR="00007513" w:rsidRPr="005F20B0">
              <w:rPr>
                <w:rFonts w:eastAsia="Times New Roman"/>
                <w:lang w:val="ro-RO"/>
              </w:rPr>
              <w:t xml:space="preserve">). </w:t>
            </w:r>
          </w:p>
        </w:tc>
      </w:tr>
      <w:tr w:rsidR="00A24305" w:rsidRPr="005F20B0" w14:paraId="67926544" w14:textId="77777777" w:rsidTr="00A24305">
        <w:trPr>
          <w:jc w:val="center"/>
        </w:trPr>
        <w:tc>
          <w:tcPr>
            <w:tcW w:w="5000" w:type="pct"/>
            <w:tcBorders>
              <w:top w:val="nil"/>
              <w:left w:val="nil"/>
              <w:bottom w:val="nil"/>
              <w:right w:val="nil"/>
            </w:tcBorders>
            <w:tcMar>
              <w:top w:w="15" w:type="dxa"/>
              <w:left w:w="45" w:type="dxa"/>
              <w:bottom w:w="15" w:type="dxa"/>
              <w:right w:w="45" w:type="dxa"/>
            </w:tcMar>
            <w:hideMark/>
          </w:tcPr>
          <w:p w14:paraId="13881B77" w14:textId="77777777" w:rsidR="00A24305" w:rsidRPr="005F20B0" w:rsidRDefault="00A24305" w:rsidP="00D65185">
            <w:pPr>
              <w:pStyle w:val="NormalWeb"/>
              <w:ind w:firstLine="0"/>
              <w:rPr>
                <w:lang w:val="ro-RO"/>
              </w:rPr>
            </w:pPr>
          </w:p>
        </w:tc>
      </w:tr>
    </w:tbl>
    <w:p w14:paraId="7643D504" w14:textId="77777777" w:rsidR="0073211A" w:rsidRPr="005F20B0" w:rsidRDefault="0073211A" w:rsidP="00815222">
      <w:pPr>
        <w:jc w:val="both"/>
        <w:rPr>
          <w:lang w:val="ro-RO"/>
        </w:rPr>
      </w:pPr>
    </w:p>
    <w:sectPr w:rsidR="0073211A" w:rsidRPr="005F20B0" w:rsidSect="00752043">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372F6"/>
    <w:multiLevelType w:val="hybridMultilevel"/>
    <w:tmpl w:val="68FE43E0"/>
    <w:lvl w:ilvl="0" w:tplc="B5AC3D8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D30"/>
    <w:rsid w:val="000055DC"/>
    <w:rsid w:val="00006B73"/>
    <w:rsid w:val="00007513"/>
    <w:rsid w:val="00024DD5"/>
    <w:rsid w:val="00053BCA"/>
    <w:rsid w:val="000568E4"/>
    <w:rsid w:val="00066008"/>
    <w:rsid w:val="0007379F"/>
    <w:rsid w:val="00076190"/>
    <w:rsid w:val="00087EE0"/>
    <w:rsid w:val="000911D4"/>
    <w:rsid w:val="00097F08"/>
    <w:rsid w:val="000B6B42"/>
    <w:rsid w:val="000B7E5D"/>
    <w:rsid w:val="000D34E4"/>
    <w:rsid w:val="000E640A"/>
    <w:rsid w:val="001E43A9"/>
    <w:rsid w:val="001F074D"/>
    <w:rsid w:val="001F7445"/>
    <w:rsid w:val="002054C1"/>
    <w:rsid w:val="00257173"/>
    <w:rsid w:val="00276EE7"/>
    <w:rsid w:val="00287AD5"/>
    <w:rsid w:val="00296A71"/>
    <w:rsid w:val="002B1521"/>
    <w:rsid w:val="002C0211"/>
    <w:rsid w:val="002C3CF2"/>
    <w:rsid w:val="00362F0B"/>
    <w:rsid w:val="003810E0"/>
    <w:rsid w:val="00396797"/>
    <w:rsid w:val="003C3CA1"/>
    <w:rsid w:val="003F58F5"/>
    <w:rsid w:val="0042758E"/>
    <w:rsid w:val="0046267B"/>
    <w:rsid w:val="004636D4"/>
    <w:rsid w:val="004A286D"/>
    <w:rsid w:val="004B0C90"/>
    <w:rsid w:val="004C343D"/>
    <w:rsid w:val="00507C76"/>
    <w:rsid w:val="00542584"/>
    <w:rsid w:val="00551CE5"/>
    <w:rsid w:val="005703B2"/>
    <w:rsid w:val="005754EF"/>
    <w:rsid w:val="00580D33"/>
    <w:rsid w:val="00593EF8"/>
    <w:rsid w:val="00597223"/>
    <w:rsid w:val="005B3B59"/>
    <w:rsid w:val="005C2B63"/>
    <w:rsid w:val="005C74CA"/>
    <w:rsid w:val="005F20B0"/>
    <w:rsid w:val="0060092E"/>
    <w:rsid w:val="00626719"/>
    <w:rsid w:val="00636BFF"/>
    <w:rsid w:val="006701AA"/>
    <w:rsid w:val="006864A2"/>
    <w:rsid w:val="006B0072"/>
    <w:rsid w:val="006C45D7"/>
    <w:rsid w:val="00726C47"/>
    <w:rsid w:val="0073211A"/>
    <w:rsid w:val="00752043"/>
    <w:rsid w:val="00752DA9"/>
    <w:rsid w:val="00761115"/>
    <w:rsid w:val="00785504"/>
    <w:rsid w:val="007A4511"/>
    <w:rsid w:val="007C0D22"/>
    <w:rsid w:val="007E33CF"/>
    <w:rsid w:val="0081131F"/>
    <w:rsid w:val="00815222"/>
    <w:rsid w:val="00840EFB"/>
    <w:rsid w:val="008F15B4"/>
    <w:rsid w:val="009161D5"/>
    <w:rsid w:val="009473F1"/>
    <w:rsid w:val="00985B54"/>
    <w:rsid w:val="009E739D"/>
    <w:rsid w:val="009F03D0"/>
    <w:rsid w:val="00A231A1"/>
    <w:rsid w:val="00A24305"/>
    <w:rsid w:val="00A35C04"/>
    <w:rsid w:val="00A71EB9"/>
    <w:rsid w:val="00AB1788"/>
    <w:rsid w:val="00AD3D30"/>
    <w:rsid w:val="00AD6445"/>
    <w:rsid w:val="00AF5520"/>
    <w:rsid w:val="00B200A4"/>
    <w:rsid w:val="00B57DCC"/>
    <w:rsid w:val="00B777D0"/>
    <w:rsid w:val="00B80F68"/>
    <w:rsid w:val="00BA1CB5"/>
    <w:rsid w:val="00BC3C7D"/>
    <w:rsid w:val="00C049A0"/>
    <w:rsid w:val="00C07FBB"/>
    <w:rsid w:val="00C6044F"/>
    <w:rsid w:val="00C64E89"/>
    <w:rsid w:val="00C8326B"/>
    <w:rsid w:val="00C9394D"/>
    <w:rsid w:val="00D57059"/>
    <w:rsid w:val="00D65185"/>
    <w:rsid w:val="00D76059"/>
    <w:rsid w:val="00DA2DB6"/>
    <w:rsid w:val="00DB79EE"/>
    <w:rsid w:val="00DD78A5"/>
    <w:rsid w:val="00E054E5"/>
    <w:rsid w:val="00E115D5"/>
    <w:rsid w:val="00E122EA"/>
    <w:rsid w:val="00E16457"/>
    <w:rsid w:val="00E21512"/>
    <w:rsid w:val="00E4459A"/>
    <w:rsid w:val="00E51A8A"/>
    <w:rsid w:val="00E643CC"/>
    <w:rsid w:val="00E675F8"/>
    <w:rsid w:val="00E71E36"/>
    <w:rsid w:val="00E93BCE"/>
    <w:rsid w:val="00F0715E"/>
    <w:rsid w:val="00F27A20"/>
    <w:rsid w:val="00F66D41"/>
    <w:rsid w:val="00F74BBA"/>
    <w:rsid w:val="00F8048B"/>
    <w:rsid w:val="00FF0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0EFC"/>
  <w15:docId w15:val="{48B47205-8505-415E-88ED-84350BD9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305"/>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522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5222"/>
    <w:rPr>
      <w:rFonts w:ascii="Consolas" w:hAnsi="Consolas"/>
      <w:sz w:val="20"/>
      <w:szCs w:val="20"/>
    </w:rPr>
  </w:style>
  <w:style w:type="paragraph" w:styleId="NormalWeb">
    <w:name w:val="Normal (Web)"/>
    <w:basedOn w:val="Normal"/>
    <w:uiPriority w:val="99"/>
    <w:semiHidden/>
    <w:unhideWhenUsed/>
    <w:rsid w:val="00A24305"/>
    <w:pPr>
      <w:ind w:firstLine="567"/>
      <w:jc w:val="both"/>
    </w:pPr>
  </w:style>
  <w:style w:type="paragraph" w:customStyle="1" w:styleId="cp">
    <w:name w:val="cp"/>
    <w:basedOn w:val="Normal"/>
    <w:rsid w:val="00A24305"/>
    <w:pPr>
      <w:spacing w:before="100" w:beforeAutospacing="1" w:after="100" w:afterAutospacing="1"/>
      <w:jc w:val="center"/>
    </w:pPr>
    <w:rPr>
      <w:b/>
      <w:bCs/>
    </w:rPr>
  </w:style>
  <w:style w:type="paragraph" w:customStyle="1" w:styleId="rg">
    <w:name w:val="rg"/>
    <w:basedOn w:val="Normal"/>
    <w:rsid w:val="00A24305"/>
    <w:pPr>
      <w:spacing w:before="100" w:beforeAutospacing="1" w:after="100" w:afterAutospacing="1"/>
      <w:jc w:val="right"/>
    </w:pPr>
  </w:style>
  <w:style w:type="character" w:styleId="Hyperlink">
    <w:name w:val="Hyperlink"/>
    <w:basedOn w:val="DefaultParagraphFont"/>
    <w:uiPriority w:val="99"/>
    <w:unhideWhenUsed/>
    <w:rsid w:val="00A24305"/>
    <w:rPr>
      <w:color w:val="0000FF"/>
      <w:u w:val="single"/>
    </w:rPr>
  </w:style>
  <w:style w:type="character" w:customStyle="1" w:styleId="UnresolvedMention1">
    <w:name w:val="Unresolved Mention1"/>
    <w:basedOn w:val="DefaultParagraphFont"/>
    <w:uiPriority w:val="99"/>
    <w:semiHidden/>
    <w:unhideWhenUsed/>
    <w:rsid w:val="00007513"/>
    <w:rPr>
      <w:color w:val="605E5C"/>
      <w:shd w:val="clear" w:color="auto" w:fill="E1DFDD"/>
    </w:rPr>
  </w:style>
  <w:style w:type="paragraph" w:styleId="ListParagraph">
    <w:name w:val="List Paragraph"/>
    <w:basedOn w:val="Normal"/>
    <w:uiPriority w:val="34"/>
    <w:qFormat/>
    <w:rsid w:val="00C64E89"/>
    <w:pPr>
      <w:ind w:left="720"/>
      <w:contextualSpacing/>
    </w:pPr>
  </w:style>
  <w:style w:type="paragraph" w:customStyle="1" w:styleId="cn">
    <w:name w:val="cn"/>
    <w:basedOn w:val="Normal"/>
    <w:rsid w:val="00066008"/>
    <w:pPr>
      <w:spacing w:before="100" w:beforeAutospacing="1" w:after="100" w:afterAutospacing="1"/>
      <w:jc w:val="center"/>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702612">
      <w:bodyDiv w:val="1"/>
      <w:marLeft w:val="0"/>
      <w:marRight w:val="0"/>
      <w:marTop w:val="0"/>
      <w:marBottom w:val="0"/>
      <w:divBdr>
        <w:top w:val="none" w:sz="0" w:space="0" w:color="auto"/>
        <w:left w:val="none" w:sz="0" w:space="0" w:color="auto"/>
        <w:bottom w:val="none" w:sz="0" w:space="0" w:color="auto"/>
        <w:right w:val="none" w:sz="0" w:space="0" w:color="auto"/>
      </w:divBdr>
    </w:div>
    <w:div w:id="1201942487">
      <w:bodyDiv w:val="1"/>
      <w:marLeft w:val="0"/>
      <w:marRight w:val="0"/>
      <w:marTop w:val="0"/>
      <w:marBottom w:val="0"/>
      <w:divBdr>
        <w:top w:val="none" w:sz="0" w:space="0" w:color="auto"/>
        <w:left w:val="none" w:sz="0" w:space="0" w:color="auto"/>
        <w:bottom w:val="none" w:sz="0" w:space="0" w:color="auto"/>
        <w:right w:val="none" w:sz="0" w:space="0" w:color="auto"/>
      </w:divBdr>
    </w:div>
    <w:div w:id="20728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i.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6B885-5458-44A8-8AC6-4F3358E2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Cristina Ceban</cp:lastModifiedBy>
  <cp:revision>4</cp:revision>
  <dcterms:created xsi:type="dcterms:W3CDTF">2019-02-12T08:56:00Z</dcterms:created>
  <dcterms:modified xsi:type="dcterms:W3CDTF">2019-02-20T08:19:00Z</dcterms:modified>
</cp:coreProperties>
</file>