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80" w:rsidRPr="00661404" w:rsidRDefault="00705F80" w:rsidP="00705F80">
      <w:pPr>
        <w:jc w:val="right"/>
        <w:rPr>
          <w:noProof/>
          <w:sz w:val="26"/>
        </w:rPr>
      </w:pPr>
      <w:r w:rsidRPr="00661404">
        <w:rPr>
          <w:noProof/>
          <w:sz w:val="26"/>
        </w:rPr>
        <w:t>P r o i e c t</w:t>
      </w:r>
    </w:p>
    <w:p w:rsidR="00705F80" w:rsidRPr="00530C6B" w:rsidRDefault="00705F80" w:rsidP="00705F80">
      <w:pPr>
        <w:jc w:val="right"/>
        <w:rPr>
          <w:u w:val="single"/>
        </w:rPr>
      </w:pPr>
    </w:p>
    <w:p w:rsidR="00705F80" w:rsidRDefault="00705F80" w:rsidP="00705F80">
      <w:pPr>
        <w:jc w:val="center"/>
      </w:pPr>
      <w:r>
        <w:rPr>
          <w:noProof/>
          <w:lang w:val="ro-RO" w:eastAsia="ro-RO"/>
        </w:rPr>
        <w:drawing>
          <wp:inline distT="0" distB="0" distL="0" distR="0">
            <wp:extent cx="592455" cy="739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F80" w:rsidRDefault="00705F80" w:rsidP="00705F80">
      <w:pPr>
        <w:jc w:val="center"/>
      </w:pPr>
    </w:p>
    <w:p w:rsidR="00705F80" w:rsidRPr="00982A6E" w:rsidRDefault="00705F80" w:rsidP="00705F80">
      <w:pPr>
        <w:jc w:val="center"/>
        <w:rPr>
          <w:b/>
          <w:sz w:val="26"/>
          <w:szCs w:val="26"/>
          <w:lang w:val="en-US"/>
        </w:rPr>
      </w:pPr>
      <w:r w:rsidRPr="00982A6E">
        <w:rPr>
          <w:b/>
          <w:sz w:val="26"/>
          <w:szCs w:val="26"/>
          <w:lang w:val="en-US"/>
        </w:rPr>
        <w:t>GUVERNUL REPUBLICII MOLDOVA</w:t>
      </w:r>
    </w:p>
    <w:p w:rsidR="00705F80" w:rsidRPr="00982A6E" w:rsidRDefault="00705F80" w:rsidP="00705F80">
      <w:pPr>
        <w:jc w:val="center"/>
        <w:rPr>
          <w:b/>
          <w:sz w:val="26"/>
          <w:szCs w:val="26"/>
          <w:lang w:val="en-US"/>
        </w:rPr>
      </w:pPr>
    </w:p>
    <w:p w:rsidR="00705F80" w:rsidRPr="00982A6E" w:rsidRDefault="00705F80" w:rsidP="00705F80">
      <w:pPr>
        <w:jc w:val="center"/>
        <w:rPr>
          <w:u w:val="single"/>
          <w:lang w:val="en-US"/>
        </w:rPr>
      </w:pPr>
      <w:r w:rsidRPr="00982A6E">
        <w:rPr>
          <w:lang w:val="en-US"/>
        </w:rPr>
        <w:t>HOTĂRÎRE nr.________</w:t>
      </w:r>
    </w:p>
    <w:p w:rsidR="00705F80" w:rsidRPr="00AA5A34" w:rsidRDefault="00705F80" w:rsidP="00705F80">
      <w:pPr>
        <w:jc w:val="center"/>
        <w:rPr>
          <w:u w:val="single"/>
          <w:lang w:val="it-IT"/>
        </w:rPr>
      </w:pPr>
      <w:proofErr w:type="gramStart"/>
      <w:r w:rsidRPr="00982A6E">
        <w:rPr>
          <w:lang w:val="en-US"/>
        </w:rPr>
        <w:t>din</w:t>
      </w:r>
      <w:proofErr w:type="gramEnd"/>
      <w:r w:rsidRPr="00982A6E">
        <w:rPr>
          <w:lang w:val="en-US"/>
        </w:rPr>
        <w:t xml:space="preserve"> ____________________</w:t>
      </w:r>
      <w:r w:rsidRPr="00982A6E">
        <w:rPr>
          <w:u w:val="single"/>
          <w:lang w:val="en-US"/>
        </w:rPr>
        <w:t xml:space="preserve"> </w:t>
      </w:r>
      <w:r w:rsidRPr="00982A6E">
        <w:rPr>
          <w:lang w:val="en-US"/>
        </w:rPr>
        <w:t>20</w:t>
      </w:r>
      <w:r w:rsidRPr="00AA5A34">
        <w:rPr>
          <w:lang w:val="it-IT"/>
        </w:rPr>
        <w:t>1</w:t>
      </w:r>
      <w:r>
        <w:rPr>
          <w:lang w:val="it-IT"/>
        </w:rPr>
        <w:t>9</w:t>
      </w:r>
    </w:p>
    <w:p w:rsidR="00705F80" w:rsidRPr="00982A6E" w:rsidRDefault="00705F80" w:rsidP="00705F80">
      <w:pPr>
        <w:jc w:val="center"/>
        <w:rPr>
          <w:b/>
          <w:sz w:val="26"/>
          <w:szCs w:val="26"/>
          <w:lang w:val="en-US"/>
        </w:rPr>
      </w:pPr>
      <w:r w:rsidRPr="00982A6E"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F80" w:rsidRPr="00982A6E" w:rsidRDefault="00705F80" w:rsidP="00705F80">
      <w:pPr>
        <w:jc w:val="center"/>
        <w:rPr>
          <w:b/>
          <w:sz w:val="26"/>
          <w:szCs w:val="26"/>
          <w:lang w:val="ro-MO"/>
        </w:rPr>
      </w:pPr>
      <w:r w:rsidRPr="00982A6E">
        <w:rPr>
          <w:b/>
          <w:sz w:val="26"/>
          <w:szCs w:val="26"/>
          <w:lang w:val="ro-MO"/>
        </w:rPr>
        <w:t>Cu privire la achitarea din bugetul de stat pentru anul 2019</w:t>
      </w:r>
    </w:p>
    <w:p w:rsidR="00705F80" w:rsidRPr="00982A6E" w:rsidRDefault="00705F80" w:rsidP="00705F80">
      <w:pPr>
        <w:jc w:val="center"/>
        <w:rPr>
          <w:b/>
          <w:sz w:val="26"/>
          <w:szCs w:val="26"/>
          <w:lang w:val="ro-MO"/>
        </w:rPr>
      </w:pPr>
      <w:r w:rsidRPr="00982A6E">
        <w:rPr>
          <w:b/>
          <w:sz w:val="26"/>
          <w:szCs w:val="26"/>
          <w:lang w:val="ro-MO"/>
        </w:rPr>
        <w:t xml:space="preserve">a cotelor de membru şi a datoriilor Republicii Moldova faţă de </w:t>
      </w:r>
    </w:p>
    <w:p w:rsidR="00705F80" w:rsidRPr="00982A6E" w:rsidRDefault="00705F80" w:rsidP="00705F80">
      <w:pPr>
        <w:jc w:val="center"/>
        <w:rPr>
          <w:b/>
          <w:sz w:val="26"/>
          <w:szCs w:val="26"/>
          <w:lang w:val="ro-MO"/>
        </w:rPr>
      </w:pPr>
      <w:r w:rsidRPr="00982A6E">
        <w:rPr>
          <w:b/>
          <w:sz w:val="26"/>
          <w:szCs w:val="26"/>
          <w:lang w:val="ro-MO"/>
        </w:rPr>
        <w:t xml:space="preserve">organismele internaţionale şi regionale </w:t>
      </w:r>
    </w:p>
    <w:p w:rsidR="00705F80" w:rsidRPr="00982A6E" w:rsidRDefault="00705F80" w:rsidP="00705F80">
      <w:pPr>
        <w:jc w:val="center"/>
        <w:rPr>
          <w:b/>
          <w:sz w:val="26"/>
          <w:szCs w:val="26"/>
          <w:lang w:val="ro-MO"/>
        </w:rPr>
      </w:pPr>
    </w:p>
    <w:p w:rsidR="00705F80" w:rsidRPr="00982A6E" w:rsidRDefault="00705F80" w:rsidP="00705F80">
      <w:pPr>
        <w:jc w:val="center"/>
        <w:rPr>
          <w:b/>
          <w:sz w:val="26"/>
          <w:szCs w:val="26"/>
          <w:lang w:val="ro-MO"/>
        </w:rPr>
      </w:pPr>
    </w:p>
    <w:p w:rsidR="00705F80" w:rsidRPr="00982A6E" w:rsidRDefault="00705F80" w:rsidP="00705F80">
      <w:pPr>
        <w:ind w:firstLine="426"/>
        <w:jc w:val="both"/>
        <w:rPr>
          <w:sz w:val="26"/>
          <w:szCs w:val="26"/>
          <w:lang w:val="ro-MO"/>
        </w:rPr>
      </w:pPr>
      <w:r w:rsidRPr="00982A6E">
        <w:rPr>
          <w:sz w:val="26"/>
          <w:szCs w:val="26"/>
          <w:lang w:val="ro-MO"/>
        </w:rPr>
        <w:t xml:space="preserve">Guvernul </w:t>
      </w:r>
    </w:p>
    <w:p w:rsidR="00705F80" w:rsidRPr="00982A6E" w:rsidRDefault="00705F80" w:rsidP="00705F80">
      <w:pPr>
        <w:ind w:firstLine="360"/>
        <w:jc w:val="center"/>
        <w:rPr>
          <w:b/>
          <w:bCs/>
          <w:sz w:val="26"/>
          <w:szCs w:val="26"/>
          <w:lang w:val="ro-MO"/>
        </w:rPr>
      </w:pPr>
      <w:r w:rsidRPr="00982A6E">
        <w:rPr>
          <w:b/>
          <w:bCs/>
          <w:sz w:val="26"/>
          <w:szCs w:val="26"/>
          <w:lang w:val="ro-MO"/>
        </w:rPr>
        <w:t>HOTĂRĂŞTE:</w:t>
      </w:r>
    </w:p>
    <w:p w:rsidR="00705F80" w:rsidRPr="00982A6E" w:rsidRDefault="00705F80" w:rsidP="00705F80">
      <w:pPr>
        <w:jc w:val="both"/>
        <w:rPr>
          <w:sz w:val="26"/>
          <w:szCs w:val="26"/>
          <w:lang w:val="ro-MO"/>
        </w:rPr>
      </w:pPr>
    </w:p>
    <w:p w:rsidR="00705F80" w:rsidRPr="00982A6E" w:rsidRDefault="00705F80" w:rsidP="00705F80">
      <w:pPr>
        <w:numPr>
          <w:ilvl w:val="0"/>
          <w:numId w:val="2"/>
        </w:numPr>
        <w:jc w:val="both"/>
        <w:rPr>
          <w:sz w:val="26"/>
          <w:szCs w:val="26"/>
          <w:lang w:val="ro-MO"/>
        </w:rPr>
      </w:pPr>
      <w:r w:rsidRPr="00982A6E">
        <w:rPr>
          <w:sz w:val="26"/>
          <w:szCs w:val="26"/>
          <w:lang w:val="ro-MO"/>
        </w:rPr>
        <w:t xml:space="preserve">Se aprobă, </w:t>
      </w:r>
      <w:r>
        <w:rPr>
          <w:sz w:val="26"/>
          <w:szCs w:val="26"/>
          <w:lang w:val="ro-MO"/>
        </w:rPr>
        <w:t>L</w:t>
      </w:r>
      <w:r w:rsidRPr="00982A6E">
        <w:rPr>
          <w:sz w:val="26"/>
          <w:szCs w:val="26"/>
          <w:lang w:val="ro-MO"/>
        </w:rPr>
        <w:t>ista organismelor internaţionale şi regionale cărora  Republica Moldova urmează să achite din bugetul de stat pe anul 2019 cotele de membru și datoriile</w:t>
      </w:r>
      <w:r>
        <w:rPr>
          <w:sz w:val="26"/>
          <w:szCs w:val="26"/>
          <w:lang w:val="ro-MO"/>
        </w:rPr>
        <w:t>,</w:t>
      </w:r>
      <w:r w:rsidRPr="009011EF">
        <w:rPr>
          <w:sz w:val="26"/>
          <w:szCs w:val="26"/>
          <w:lang w:val="ro-MO"/>
        </w:rPr>
        <w:t xml:space="preserve"> </w:t>
      </w:r>
      <w:r w:rsidRPr="00982A6E">
        <w:rPr>
          <w:sz w:val="26"/>
          <w:szCs w:val="26"/>
          <w:lang w:val="ro-MO"/>
        </w:rPr>
        <w:t>conform anexei.</w:t>
      </w:r>
    </w:p>
    <w:p w:rsidR="00705F80" w:rsidRPr="00982A6E" w:rsidRDefault="00705F80" w:rsidP="00705F80">
      <w:pPr>
        <w:ind w:left="360"/>
        <w:jc w:val="both"/>
        <w:rPr>
          <w:sz w:val="26"/>
          <w:szCs w:val="26"/>
          <w:lang w:val="ro-MO"/>
        </w:rPr>
      </w:pPr>
    </w:p>
    <w:p w:rsidR="00705F80" w:rsidRPr="00982A6E" w:rsidRDefault="00705F80" w:rsidP="00705F80">
      <w:pPr>
        <w:numPr>
          <w:ilvl w:val="0"/>
          <w:numId w:val="2"/>
        </w:numPr>
        <w:jc w:val="both"/>
        <w:rPr>
          <w:sz w:val="26"/>
          <w:szCs w:val="26"/>
          <w:lang w:val="ro-MO"/>
        </w:rPr>
      </w:pPr>
      <w:r w:rsidRPr="00982A6E">
        <w:rPr>
          <w:sz w:val="26"/>
          <w:szCs w:val="26"/>
          <w:lang w:val="ro-MO"/>
        </w:rPr>
        <w:t>Ministerul Finanţelor va asigura transferul mijloacelor financiare prevăzute în Lista menţionată din bugetul de stat pentru anul 2019.</w:t>
      </w:r>
    </w:p>
    <w:p w:rsidR="00705F80" w:rsidRPr="00982A6E" w:rsidRDefault="00705F80" w:rsidP="00705F80">
      <w:pPr>
        <w:pStyle w:val="a5"/>
        <w:rPr>
          <w:sz w:val="26"/>
          <w:szCs w:val="26"/>
          <w:lang w:val="ro-MO"/>
        </w:rPr>
      </w:pPr>
    </w:p>
    <w:p w:rsidR="00705F80" w:rsidRPr="00982A6E" w:rsidRDefault="00705F80" w:rsidP="00705F80">
      <w:pPr>
        <w:numPr>
          <w:ilvl w:val="0"/>
          <w:numId w:val="2"/>
        </w:numPr>
        <w:jc w:val="both"/>
        <w:rPr>
          <w:sz w:val="26"/>
          <w:szCs w:val="26"/>
          <w:lang w:val="ro-MO"/>
        </w:rPr>
      </w:pPr>
      <w:r w:rsidRPr="00982A6E">
        <w:rPr>
          <w:sz w:val="26"/>
          <w:szCs w:val="26"/>
          <w:lang w:val="ro-MO"/>
        </w:rPr>
        <w:t>Ministerul Finanţelor se autorizează să redistribuie între organis</w:t>
      </w:r>
      <w:r>
        <w:rPr>
          <w:sz w:val="26"/>
          <w:szCs w:val="26"/>
          <w:lang w:val="ro-MO"/>
        </w:rPr>
        <w:t>mele</w:t>
      </w:r>
      <w:r w:rsidRPr="00982A6E">
        <w:rPr>
          <w:sz w:val="26"/>
          <w:szCs w:val="26"/>
          <w:lang w:val="ro-MO"/>
        </w:rPr>
        <w:t xml:space="preserve"> internaționale și regionale mijloacele alocate pentru achitarea cotelor de membru, fără afectarea sumei alocațiilor aprobate în bugetul de stat pentru anul 2019 în acest scop.</w:t>
      </w:r>
    </w:p>
    <w:p w:rsidR="00705F80" w:rsidRPr="00982A6E" w:rsidRDefault="00705F80" w:rsidP="00705F80">
      <w:pPr>
        <w:pStyle w:val="a5"/>
        <w:rPr>
          <w:sz w:val="26"/>
          <w:szCs w:val="26"/>
          <w:lang w:val="ro-MO"/>
        </w:rPr>
      </w:pPr>
    </w:p>
    <w:p w:rsidR="00705F80" w:rsidRPr="00982A6E" w:rsidRDefault="00705F80" w:rsidP="00705F80">
      <w:pPr>
        <w:numPr>
          <w:ilvl w:val="0"/>
          <w:numId w:val="2"/>
        </w:numPr>
        <w:jc w:val="both"/>
        <w:rPr>
          <w:sz w:val="26"/>
          <w:szCs w:val="26"/>
          <w:lang w:val="ro-MO"/>
        </w:rPr>
      </w:pPr>
      <w:r w:rsidRPr="00982A6E">
        <w:rPr>
          <w:sz w:val="26"/>
          <w:szCs w:val="26"/>
          <w:lang w:val="ro-MO"/>
        </w:rPr>
        <w:t xml:space="preserve">Prezenta </w:t>
      </w:r>
      <w:proofErr w:type="spellStart"/>
      <w:r w:rsidRPr="00982A6E">
        <w:rPr>
          <w:sz w:val="26"/>
          <w:szCs w:val="26"/>
          <w:lang w:val="ro-MO"/>
        </w:rPr>
        <w:t>hotărîre</w:t>
      </w:r>
      <w:proofErr w:type="spellEnd"/>
      <w:r w:rsidRPr="00982A6E">
        <w:rPr>
          <w:sz w:val="26"/>
          <w:szCs w:val="26"/>
          <w:lang w:val="ro-MO"/>
        </w:rPr>
        <w:t xml:space="preserve"> intră în vigoare la data publicării.</w:t>
      </w:r>
    </w:p>
    <w:p w:rsidR="00705F80" w:rsidRPr="00982A6E" w:rsidRDefault="00705F80" w:rsidP="00705F80">
      <w:pPr>
        <w:jc w:val="both"/>
        <w:rPr>
          <w:sz w:val="26"/>
          <w:szCs w:val="26"/>
          <w:lang w:val="ro-MO"/>
        </w:rPr>
      </w:pPr>
    </w:p>
    <w:p w:rsidR="00705F80" w:rsidRPr="00982A6E" w:rsidRDefault="00705F80" w:rsidP="00705F80">
      <w:pPr>
        <w:jc w:val="both"/>
        <w:rPr>
          <w:b/>
          <w:sz w:val="26"/>
          <w:szCs w:val="26"/>
          <w:lang w:val="ro-MO"/>
        </w:rPr>
      </w:pPr>
    </w:p>
    <w:p w:rsidR="00705F80" w:rsidRPr="00982A6E" w:rsidRDefault="00705F80" w:rsidP="00705F80">
      <w:pPr>
        <w:rPr>
          <w:b/>
          <w:sz w:val="26"/>
          <w:szCs w:val="26"/>
          <w:lang w:val="ro-MO"/>
        </w:rPr>
      </w:pPr>
      <w:r w:rsidRPr="00982A6E">
        <w:rPr>
          <w:b/>
          <w:sz w:val="26"/>
          <w:szCs w:val="26"/>
          <w:lang w:val="ro-MO"/>
        </w:rPr>
        <w:t>PRIM-MINISTRU</w:t>
      </w:r>
      <w:r w:rsidRPr="00982A6E">
        <w:rPr>
          <w:b/>
          <w:sz w:val="26"/>
          <w:szCs w:val="26"/>
          <w:lang w:val="ro-MO"/>
        </w:rPr>
        <w:tab/>
      </w:r>
      <w:r w:rsidRPr="00982A6E">
        <w:rPr>
          <w:b/>
          <w:sz w:val="26"/>
          <w:szCs w:val="26"/>
          <w:lang w:val="ro-MO"/>
        </w:rPr>
        <w:tab/>
      </w:r>
      <w:r w:rsidRPr="00982A6E">
        <w:rPr>
          <w:b/>
          <w:sz w:val="26"/>
          <w:szCs w:val="26"/>
          <w:lang w:val="ro-MO"/>
        </w:rPr>
        <w:tab/>
      </w:r>
      <w:r w:rsidRPr="00982A6E">
        <w:rPr>
          <w:b/>
          <w:sz w:val="26"/>
          <w:szCs w:val="26"/>
          <w:lang w:val="ro-MO"/>
        </w:rPr>
        <w:tab/>
      </w:r>
      <w:r w:rsidRPr="00982A6E">
        <w:rPr>
          <w:b/>
          <w:sz w:val="26"/>
          <w:szCs w:val="26"/>
          <w:lang w:val="ro-MO"/>
        </w:rPr>
        <w:tab/>
      </w:r>
      <w:r w:rsidRPr="00982A6E">
        <w:rPr>
          <w:b/>
          <w:sz w:val="26"/>
          <w:szCs w:val="26"/>
          <w:lang w:val="ro-MO"/>
        </w:rPr>
        <w:tab/>
        <w:t xml:space="preserve">                       Pavel FILIP</w:t>
      </w:r>
    </w:p>
    <w:p w:rsidR="00705F80" w:rsidRPr="00982A6E" w:rsidRDefault="00705F80" w:rsidP="00705F80">
      <w:pPr>
        <w:jc w:val="both"/>
        <w:rPr>
          <w:b/>
          <w:sz w:val="26"/>
          <w:szCs w:val="26"/>
          <w:lang w:val="ro-MO"/>
        </w:rPr>
      </w:pPr>
    </w:p>
    <w:p w:rsidR="00705F80" w:rsidRPr="00982A6E" w:rsidRDefault="00705F80" w:rsidP="00705F80">
      <w:pPr>
        <w:jc w:val="both"/>
        <w:rPr>
          <w:bCs/>
          <w:sz w:val="26"/>
          <w:szCs w:val="26"/>
          <w:lang w:val="ro-MO"/>
        </w:rPr>
      </w:pPr>
      <w:r w:rsidRPr="00982A6E">
        <w:rPr>
          <w:bCs/>
          <w:sz w:val="26"/>
          <w:szCs w:val="26"/>
          <w:lang w:val="ro-MO"/>
        </w:rPr>
        <w:t>Contrasemnează:</w:t>
      </w:r>
    </w:p>
    <w:p w:rsidR="00705F80" w:rsidRPr="00982A6E" w:rsidRDefault="00705F80" w:rsidP="00705F80">
      <w:pPr>
        <w:jc w:val="both"/>
        <w:rPr>
          <w:bCs/>
          <w:sz w:val="26"/>
          <w:szCs w:val="26"/>
          <w:lang w:val="ro-MO"/>
        </w:rPr>
      </w:pPr>
    </w:p>
    <w:p w:rsidR="00705F80" w:rsidRPr="00982A6E" w:rsidRDefault="00705F80" w:rsidP="00705F80">
      <w:pPr>
        <w:jc w:val="both"/>
        <w:rPr>
          <w:sz w:val="26"/>
          <w:szCs w:val="26"/>
          <w:lang w:val="ro-MO"/>
        </w:rPr>
      </w:pPr>
      <w:r w:rsidRPr="00982A6E">
        <w:rPr>
          <w:bCs/>
          <w:sz w:val="26"/>
          <w:szCs w:val="26"/>
          <w:lang w:val="ro-MO"/>
        </w:rPr>
        <w:t xml:space="preserve">Ministrul finanţelor </w:t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  <w:t xml:space="preserve">                        Ion CHICU</w:t>
      </w:r>
    </w:p>
    <w:p w:rsidR="00705F80" w:rsidRPr="00982A6E" w:rsidRDefault="00705F80" w:rsidP="00705F80">
      <w:pPr>
        <w:jc w:val="both"/>
        <w:rPr>
          <w:bCs/>
          <w:sz w:val="26"/>
          <w:szCs w:val="26"/>
          <w:lang w:val="ro-MO"/>
        </w:rPr>
      </w:pPr>
    </w:p>
    <w:p w:rsidR="00705F80" w:rsidRPr="00982A6E" w:rsidRDefault="00705F80" w:rsidP="00705F80">
      <w:pPr>
        <w:jc w:val="both"/>
        <w:rPr>
          <w:bCs/>
          <w:sz w:val="26"/>
          <w:szCs w:val="26"/>
          <w:lang w:val="ro-MO"/>
        </w:rPr>
      </w:pPr>
      <w:r w:rsidRPr="00982A6E">
        <w:rPr>
          <w:bCs/>
          <w:sz w:val="26"/>
          <w:szCs w:val="26"/>
          <w:lang w:val="ro-MO"/>
        </w:rPr>
        <w:t>Ministru al afacerilor</w:t>
      </w:r>
    </w:p>
    <w:p w:rsidR="00705F80" w:rsidRPr="00982A6E" w:rsidRDefault="00705F80" w:rsidP="00705F80">
      <w:pPr>
        <w:jc w:val="both"/>
        <w:rPr>
          <w:bCs/>
          <w:sz w:val="26"/>
          <w:szCs w:val="26"/>
          <w:lang w:val="ro-MO"/>
        </w:rPr>
      </w:pPr>
      <w:r w:rsidRPr="00982A6E">
        <w:rPr>
          <w:bCs/>
          <w:sz w:val="26"/>
          <w:szCs w:val="26"/>
          <w:lang w:val="ro-MO"/>
        </w:rPr>
        <w:t>externe şi integrării europene</w:t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</w:r>
      <w:r w:rsidRPr="00982A6E">
        <w:rPr>
          <w:bCs/>
          <w:sz w:val="26"/>
          <w:szCs w:val="26"/>
          <w:lang w:val="ro-MO"/>
        </w:rPr>
        <w:tab/>
        <w:t xml:space="preserve">                                 Tudor ULIANOVSCHI</w:t>
      </w:r>
    </w:p>
    <w:p w:rsidR="00705F80" w:rsidRPr="00982A6E" w:rsidRDefault="00705F80" w:rsidP="00705F80">
      <w:pPr>
        <w:jc w:val="both"/>
        <w:rPr>
          <w:bCs/>
          <w:sz w:val="20"/>
          <w:szCs w:val="20"/>
          <w:lang w:val="ro-MO"/>
        </w:rPr>
      </w:pPr>
    </w:p>
    <w:p w:rsidR="00705F80" w:rsidRDefault="00705F80" w:rsidP="00705F80">
      <w:pPr>
        <w:jc w:val="both"/>
        <w:rPr>
          <w:bCs/>
          <w:sz w:val="20"/>
          <w:szCs w:val="20"/>
          <w:lang w:val="en-US"/>
        </w:rPr>
      </w:pPr>
    </w:p>
    <w:p w:rsidR="00705F80" w:rsidRDefault="00705F80" w:rsidP="00705F80">
      <w:pPr>
        <w:jc w:val="both"/>
        <w:rPr>
          <w:bCs/>
          <w:sz w:val="20"/>
          <w:szCs w:val="20"/>
          <w:lang w:val="en-US"/>
        </w:rPr>
      </w:pPr>
    </w:p>
    <w:p w:rsidR="00705F80" w:rsidRDefault="00705F80" w:rsidP="00705F80">
      <w:pPr>
        <w:jc w:val="both"/>
        <w:rPr>
          <w:bCs/>
          <w:sz w:val="20"/>
          <w:szCs w:val="20"/>
          <w:lang w:val="en-US"/>
        </w:rPr>
      </w:pPr>
    </w:p>
    <w:p w:rsidR="00705F80" w:rsidRPr="00982A6E" w:rsidRDefault="00705F80" w:rsidP="00705F80">
      <w:pPr>
        <w:jc w:val="both"/>
        <w:rPr>
          <w:bCs/>
          <w:sz w:val="20"/>
          <w:szCs w:val="20"/>
          <w:lang w:val="en-US"/>
        </w:rPr>
      </w:pPr>
    </w:p>
    <w:p w:rsidR="00705F80" w:rsidRDefault="00705F80" w:rsidP="00705F80">
      <w:pPr>
        <w:jc w:val="right"/>
        <w:rPr>
          <w:noProof/>
          <w:sz w:val="26"/>
          <w:lang w:val="ro-RO"/>
        </w:rPr>
      </w:pPr>
    </w:p>
    <w:p w:rsidR="00705F80" w:rsidRDefault="00705F80" w:rsidP="00705F80">
      <w:pPr>
        <w:jc w:val="right"/>
        <w:rPr>
          <w:noProof/>
          <w:sz w:val="26"/>
          <w:lang w:val="ro-RO"/>
        </w:rPr>
      </w:pPr>
    </w:p>
    <w:p w:rsidR="00705F80" w:rsidRDefault="00705F80" w:rsidP="00705F80">
      <w:pPr>
        <w:jc w:val="right"/>
        <w:rPr>
          <w:noProof/>
          <w:sz w:val="26"/>
          <w:lang w:val="ro-RO"/>
        </w:rPr>
      </w:pPr>
    </w:p>
    <w:p w:rsidR="00705F80" w:rsidRDefault="00705F80" w:rsidP="00705F80">
      <w:pPr>
        <w:jc w:val="right"/>
        <w:rPr>
          <w:noProof/>
          <w:sz w:val="26"/>
          <w:lang w:val="ro-RO"/>
        </w:rPr>
      </w:pPr>
    </w:p>
    <w:p w:rsidR="00705F80" w:rsidRPr="00537B69" w:rsidRDefault="00705F80" w:rsidP="00705F80">
      <w:pPr>
        <w:jc w:val="right"/>
        <w:rPr>
          <w:noProof/>
          <w:sz w:val="26"/>
          <w:lang w:val="en-US"/>
        </w:rPr>
      </w:pPr>
      <w:r w:rsidRPr="004F1B59">
        <w:rPr>
          <w:noProof/>
          <w:sz w:val="26"/>
        </w:rPr>
        <w:lastRenderedPageBreak/>
        <w:t>Перевод</w:t>
      </w:r>
      <w:r w:rsidRPr="00537B69">
        <w:rPr>
          <w:noProof/>
          <w:sz w:val="26"/>
          <w:lang w:val="en-US"/>
        </w:rPr>
        <w:t xml:space="preserve"> </w:t>
      </w:r>
      <w:r w:rsidRPr="004F1B59">
        <w:rPr>
          <w:noProof/>
          <w:sz w:val="26"/>
        </w:rPr>
        <w:t>проекта</w:t>
      </w:r>
    </w:p>
    <w:p w:rsidR="00705F80" w:rsidRDefault="00705F80" w:rsidP="00705F80">
      <w:pPr>
        <w:ind w:left="4140"/>
        <w:rPr>
          <w:noProof/>
          <w:sz w:val="26"/>
        </w:rPr>
      </w:pPr>
    </w:p>
    <w:p w:rsidR="00705F80" w:rsidRDefault="00705F80" w:rsidP="00705F80">
      <w:pPr>
        <w:ind w:left="4140"/>
        <w:rPr>
          <w:noProof/>
          <w:sz w:val="26"/>
        </w:rPr>
      </w:pPr>
      <w:r>
        <w:rPr>
          <w:noProof/>
          <w:sz w:val="26"/>
          <w:lang w:val="ro-RO" w:eastAsia="ro-RO"/>
        </w:rPr>
        <w:drawing>
          <wp:inline distT="0" distB="0" distL="0" distR="0">
            <wp:extent cx="556260" cy="680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F80" w:rsidRPr="007B4AF0" w:rsidRDefault="00705F80" w:rsidP="00705F80">
      <w:pPr>
        <w:rPr>
          <w:noProof/>
          <w:sz w:val="26"/>
        </w:rPr>
      </w:pPr>
    </w:p>
    <w:p w:rsidR="00705F80" w:rsidRPr="007B4AF0" w:rsidRDefault="00705F80" w:rsidP="00705F80">
      <w:pPr>
        <w:pStyle w:val="1"/>
        <w:rPr>
          <w:sz w:val="28"/>
        </w:rPr>
      </w:pPr>
      <w:r w:rsidRPr="007B4AF0">
        <w:rPr>
          <w:sz w:val="28"/>
        </w:rPr>
        <w:t>ПРАВИТЕЛЬСТВО РЕСПУБЛИКИ МОЛДОВА</w:t>
      </w:r>
    </w:p>
    <w:p w:rsidR="00705F80" w:rsidRPr="007B4AF0" w:rsidRDefault="00705F80" w:rsidP="00705F80">
      <w:pPr>
        <w:rPr>
          <w:sz w:val="26"/>
        </w:rPr>
      </w:pPr>
    </w:p>
    <w:p w:rsidR="00705F80" w:rsidRPr="007B4AF0" w:rsidRDefault="00705F80" w:rsidP="00705F80">
      <w:pPr>
        <w:jc w:val="center"/>
        <w:rPr>
          <w:sz w:val="26"/>
        </w:rPr>
      </w:pPr>
      <w:r w:rsidRPr="007B4AF0">
        <w:rPr>
          <w:sz w:val="18"/>
        </w:rPr>
        <w:t>ПОСТАНОВЛЕНИЕ №</w:t>
      </w:r>
      <w:r w:rsidRPr="007B4AF0">
        <w:rPr>
          <w:sz w:val="26"/>
        </w:rPr>
        <w:t>_______</w:t>
      </w:r>
    </w:p>
    <w:p w:rsidR="00705F80" w:rsidRPr="007B4AF0" w:rsidRDefault="00705F80" w:rsidP="00705F80">
      <w:pPr>
        <w:jc w:val="center"/>
        <w:rPr>
          <w:sz w:val="26"/>
        </w:rPr>
      </w:pPr>
      <w:r w:rsidRPr="007B4AF0">
        <w:rPr>
          <w:sz w:val="26"/>
        </w:rPr>
        <w:t>от___________________20</w:t>
      </w:r>
      <w:r>
        <w:rPr>
          <w:sz w:val="26"/>
        </w:rPr>
        <w:t>19</w:t>
      </w:r>
      <w:r w:rsidRPr="007B4AF0">
        <w:rPr>
          <w:sz w:val="26"/>
        </w:rPr>
        <w:t xml:space="preserve"> г.</w:t>
      </w:r>
    </w:p>
    <w:p w:rsidR="00705F80" w:rsidRPr="007B4AF0" w:rsidRDefault="00705F80" w:rsidP="00705F80">
      <w:pPr>
        <w:pStyle w:val="a6"/>
        <w:tabs>
          <w:tab w:val="left" w:pos="7920"/>
        </w:tabs>
        <w:ind w:left="1800" w:right="1080"/>
        <w:jc w:val="left"/>
        <w:rPr>
          <w:sz w:val="26"/>
        </w:rPr>
      </w:pPr>
    </w:p>
    <w:p w:rsidR="00705F80" w:rsidRDefault="00705F80" w:rsidP="00705F80">
      <w:pPr>
        <w:pStyle w:val="a6"/>
        <w:tabs>
          <w:tab w:val="left" w:pos="7920"/>
          <w:tab w:val="left" w:pos="9540"/>
        </w:tabs>
        <w:rPr>
          <w:sz w:val="26"/>
        </w:rPr>
      </w:pPr>
      <w:r w:rsidRPr="007B4AF0">
        <w:rPr>
          <w:sz w:val="26"/>
        </w:rPr>
        <w:t xml:space="preserve">Об уплате </w:t>
      </w:r>
      <w:r>
        <w:rPr>
          <w:sz w:val="26"/>
        </w:rPr>
        <w:t xml:space="preserve">из </w:t>
      </w:r>
      <w:r w:rsidRPr="00A9349B">
        <w:rPr>
          <w:sz w:val="26"/>
        </w:rPr>
        <w:t>государственного бюджета на 20</w:t>
      </w:r>
      <w:r>
        <w:rPr>
          <w:sz w:val="26"/>
          <w:lang w:val="ro-RO"/>
        </w:rPr>
        <w:t>1</w:t>
      </w:r>
      <w:r>
        <w:rPr>
          <w:sz w:val="26"/>
        </w:rPr>
        <w:t>9</w:t>
      </w:r>
      <w:r w:rsidRPr="007B4AF0">
        <w:rPr>
          <w:b w:val="0"/>
          <w:sz w:val="26"/>
        </w:rPr>
        <w:t xml:space="preserve"> </w:t>
      </w:r>
      <w:r w:rsidRPr="00186AEB">
        <w:rPr>
          <w:sz w:val="26"/>
        </w:rPr>
        <w:t>год</w:t>
      </w:r>
      <w:r w:rsidRPr="007B4AF0">
        <w:rPr>
          <w:sz w:val="26"/>
        </w:rPr>
        <w:t xml:space="preserve"> </w:t>
      </w:r>
      <w:proofErr w:type="gramStart"/>
      <w:r w:rsidRPr="007B4AF0">
        <w:rPr>
          <w:sz w:val="26"/>
        </w:rPr>
        <w:t>членских</w:t>
      </w:r>
      <w:proofErr w:type="gramEnd"/>
      <w:r w:rsidRPr="007B4AF0">
        <w:rPr>
          <w:sz w:val="26"/>
        </w:rPr>
        <w:t xml:space="preserve"> </w:t>
      </w:r>
    </w:p>
    <w:p w:rsidR="00705F80" w:rsidRDefault="00705F80" w:rsidP="00705F80">
      <w:pPr>
        <w:pStyle w:val="a6"/>
        <w:tabs>
          <w:tab w:val="left" w:pos="7920"/>
          <w:tab w:val="left" w:pos="9540"/>
        </w:tabs>
        <w:rPr>
          <w:bCs w:val="0"/>
          <w:sz w:val="26"/>
        </w:rPr>
      </w:pPr>
      <w:r w:rsidRPr="007B4AF0">
        <w:rPr>
          <w:sz w:val="26"/>
        </w:rPr>
        <w:t>взносов и задолже</w:t>
      </w:r>
      <w:r>
        <w:rPr>
          <w:sz w:val="26"/>
        </w:rPr>
        <w:t>н</w:t>
      </w:r>
      <w:r w:rsidRPr="007B4AF0">
        <w:rPr>
          <w:sz w:val="26"/>
        </w:rPr>
        <w:t xml:space="preserve">ностей </w:t>
      </w:r>
      <w:r w:rsidRPr="007B4AF0">
        <w:rPr>
          <w:bCs w:val="0"/>
          <w:sz w:val="26"/>
        </w:rPr>
        <w:t xml:space="preserve">Республики Молдова </w:t>
      </w:r>
      <w:proofErr w:type="gramStart"/>
      <w:r>
        <w:rPr>
          <w:bCs w:val="0"/>
          <w:sz w:val="26"/>
        </w:rPr>
        <w:t>перед</w:t>
      </w:r>
      <w:proofErr w:type="gramEnd"/>
      <w:r>
        <w:rPr>
          <w:bCs w:val="0"/>
          <w:sz w:val="26"/>
        </w:rPr>
        <w:t xml:space="preserve"> </w:t>
      </w:r>
    </w:p>
    <w:p w:rsidR="00705F80" w:rsidRPr="0083282E" w:rsidRDefault="00705F80" w:rsidP="00705F80">
      <w:pPr>
        <w:pStyle w:val="a6"/>
        <w:tabs>
          <w:tab w:val="left" w:pos="7920"/>
          <w:tab w:val="left" w:pos="9540"/>
        </w:tabs>
        <w:rPr>
          <w:sz w:val="26"/>
        </w:rPr>
      </w:pPr>
      <w:r w:rsidRPr="007B4AF0">
        <w:rPr>
          <w:sz w:val="26"/>
        </w:rPr>
        <w:t>международным</w:t>
      </w:r>
      <w:r>
        <w:rPr>
          <w:sz w:val="26"/>
        </w:rPr>
        <w:t>и</w:t>
      </w:r>
      <w:r w:rsidRPr="007B4AF0">
        <w:rPr>
          <w:sz w:val="26"/>
        </w:rPr>
        <w:t xml:space="preserve"> и региональным</w:t>
      </w:r>
      <w:r>
        <w:rPr>
          <w:sz w:val="26"/>
        </w:rPr>
        <w:t>и</w:t>
      </w:r>
      <w:r w:rsidRPr="007B4AF0">
        <w:rPr>
          <w:sz w:val="26"/>
        </w:rPr>
        <w:t xml:space="preserve"> организациям</w:t>
      </w:r>
      <w:r>
        <w:rPr>
          <w:sz w:val="26"/>
        </w:rPr>
        <w:t>и</w:t>
      </w:r>
      <w:r w:rsidRPr="007B4AF0">
        <w:rPr>
          <w:sz w:val="26"/>
        </w:rPr>
        <w:t xml:space="preserve"> </w:t>
      </w:r>
    </w:p>
    <w:p w:rsidR="00705F80" w:rsidRDefault="00705F80" w:rsidP="00705F80">
      <w:pPr>
        <w:pStyle w:val="a6"/>
        <w:tabs>
          <w:tab w:val="left" w:pos="7920"/>
          <w:tab w:val="left" w:pos="9540"/>
        </w:tabs>
        <w:rPr>
          <w:b w:val="0"/>
          <w:bCs w:val="0"/>
          <w:sz w:val="26"/>
          <w:lang w:val="ro-RO"/>
        </w:rPr>
      </w:pPr>
    </w:p>
    <w:p w:rsidR="00705F80" w:rsidRPr="00186AEB" w:rsidRDefault="00705F80" w:rsidP="00705F80">
      <w:pPr>
        <w:pStyle w:val="a6"/>
        <w:tabs>
          <w:tab w:val="left" w:pos="7920"/>
          <w:tab w:val="left" w:pos="9540"/>
        </w:tabs>
        <w:rPr>
          <w:b w:val="0"/>
          <w:bCs w:val="0"/>
          <w:sz w:val="26"/>
          <w:lang w:val="ro-RO"/>
        </w:rPr>
      </w:pPr>
    </w:p>
    <w:p w:rsidR="00705F80" w:rsidRDefault="00705F80" w:rsidP="00705F80">
      <w:pPr>
        <w:pStyle w:val="a6"/>
        <w:tabs>
          <w:tab w:val="left" w:pos="9000"/>
        </w:tabs>
        <w:ind w:firstLine="426"/>
        <w:jc w:val="both"/>
        <w:rPr>
          <w:b w:val="0"/>
          <w:bCs w:val="0"/>
          <w:sz w:val="26"/>
        </w:rPr>
      </w:pPr>
      <w:r w:rsidRPr="007B4AF0">
        <w:rPr>
          <w:b w:val="0"/>
          <w:bCs w:val="0"/>
          <w:sz w:val="26"/>
        </w:rPr>
        <w:t xml:space="preserve">Правительство  </w:t>
      </w:r>
    </w:p>
    <w:p w:rsidR="00705F80" w:rsidRPr="00705F80" w:rsidRDefault="00705F80" w:rsidP="00705F80">
      <w:pPr>
        <w:pStyle w:val="a6"/>
        <w:tabs>
          <w:tab w:val="left" w:pos="9000"/>
        </w:tabs>
        <w:rPr>
          <w:bCs w:val="0"/>
          <w:sz w:val="26"/>
        </w:rPr>
      </w:pPr>
      <w:r w:rsidRPr="00FD2878">
        <w:rPr>
          <w:bCs w:val="0"/>
          <w:sz w:val="26"/>
        </w:rPr>
        <w:t>ПОСТАНОВЛЯЕТ:</w:t>
      </w:r>
    </w:p>
    <w:p w:rsidR="00705F80" w:rsidRPr="007B4AF0" w:rsidRDefault="00705F80" w:rsidP="00705F80">
      <w:pPr>
        <w:pStyle w:val="a6"/>
        <w:tabs>
          <w:tab w:val="left" w:pos="9000"/>
        </w:tabs>
        <w:jc w:val="both"/>
        <w:rPr>
          <w:b w:val="0"/>
          <w:bCs w:val="0"/>
          <w:sz w:val="26"/>
        </w:rPr>
      </w:pPr>
    </w:p>
    <w:p w:rsidR="00705F80" w:rsidRPr="0068773C" w:rsidRDefault="00705F80" w:rsidP="00705F80">
      <w:pPr>
        <w:numPr>
          <w:ilvl w:val="0"/>
          <w:numId w:val="1"/>
        </w:numPr>
        <w:jc w:val="both"/>
        <w:rPr>
          <w:sz w:val="26"/>
          <w:szCs w:val="26"/>
        </w:rPr>
      </w:pPr>
      <w:r w:rsidRPr="0068773C">
        <w:rPr>
          <w:sz w:val="26"/>
          <w:szCs w:val="26"/>
        </w:rPr>
        <w:t xml:space="preserve">Утвердить Список международных и региональных организаций, которым будут уплачены Республикой Молдова из </w:t>
      </w:r>
      <w:r>
        <w:rPr>
          <w:sz w:val="26"/>
          <w:szCs w:val="26"/>
        </w:rPr>
        <w:t>государственного бюджета на 2019</w:t>
      </w:r>
      <w:r w:rsidRPr="0068773C">
        <w:rPr>
          <w:sz w:val="26"/>
          <w:szCs w:val="26"/>
        </w:rPr>
        <w:t xml:space="preserve"> год членские взносы и задолженности, согласно приложению.</w:t>
      </w:r>
    </w:p>
    <w:p w:rsidR="00705F80" w:rsidRPr="007B4AF0" w:rsidRDefault="00705F80" w:rsidP="00705F80">
      <w:pPr>
        <w:pStyle w:val="a6"/>
        <w:tabs>
          <w:tab w:val="left" w:pos="9000"/>
        </w:tabs>
        <w:ind w:left="360"/>
        <w:jc w:val="both"/>
        <w:rPr>
          <w:b w:val="0"/>
          <w:bCs w:val="0"/>
          <w:sz w:val="26"/>
        </w:rPr>
      </w:pPr>
      <w:r w:rsidRPr="007B4AF0">
        <w:rPr>
          <w:b w:val="0"/>
          <w:sz w:val="26"/>
        </w:rPr>
        <w:t xml:space="preserve"> </w:t>
      </w:r>
      <w:r w:rsidRPr="007B4AF0">
        <w:rPr>
          <w:b w:val="0"/>
          <w:bCs w:val="0"/>
          <w:sz w:val="26"/>
        </w:rPr>
        <w:t xml:space="preserve"> </w:t>
      </w:r>
    </w:p>
    <w:p w:rsidR="00705F80" w:rsidRPr="00B55B75" w:rsidRDefault="00705F80" w:rsidP="00705F80">
      <w:pPr>
        <w:pStyle w:val="a6"/>
        <w:numPr>
          <w:ilvl w:val="0"/>
          <w:numId w:val="1"/>
        </w:numPr>
        <w:tabs>
          <w:tab w:val="left" w:pos="9000"/>
        </w:tabs>
        <w:jc w:val="both"/>
        <w:rPr>
          <w:b w:val="0"/>
          <w:bCs w:val="0"/>
          <w:sz w:val="26"/>
          <w:szCs w:val="26"/>
        </w:rPr>
      </w:pPr>
      <w:r w:rsidRPr="00B55B75">
        <w:rPr>
          <w:b w:val="0"/>
          <w:bCs w:val="0"/>
          <w:sz w:val="26"/>
          <w:szCs w:val="26"/>
        </w:rPr>
        <w:t>Министерству финансов обеспечить перечисление финансовых средств, предусмотренных в указанном  Списке, из государственного бюджета на 2019 год.</w:t>
      </w:r>
    </w:p>
    <w:p w:rsidR="00705F80" w:rsidRPr="00B55B75" w:rsidRDefault="00705F80" w:rsidP="00705F80">
      <w:pPr>
        <w:pStyle w:val="a5"/>
        <w:rPr>
          <w:sz w:val="26"/>
          <w:szCs w:val="26"/>
        </w:rPr>
      </w:pPr>
    </w:p>
    <w:p w:rsidR="00705F80" w:rsidRDefault="00705F80" w:rsidP="00705F80">
      <w:pPr>
        <w:pStyle w:val="a6"/>
        <w:numPr>
          <w:ilvl w:val="0"/>
          <w:numId w:val="1"/>
        </w:numPr>
        <w:tabs>
          <w:tab w:val="left" w:pos="9000"/>
        </w:tabs>
        <w:jc w:val="both"/>
        <w:rPr>
          <w:b w:val="0"/>
          <w:bCs w:val="0"/>
          <w:sz w:val="26"/>
          <w:szCs w:val="26"/>
        </w:rPr>
      </w:pPr>
      <w:r w:rsidRPr="00B55B75">
        <w:rPr>
          <w:b w:val="0"/>
          <w:bCs w:val="0"/>
          <w:sz w:val="26"/>
          <w:szCs w:val="26"/>
        </w:rPr>
        <w:t>Министерству финансов предоставляется право</w:t>
      </w:r>
      <w:r>
        <w:rPr>
          <w:b w:val="0"/>
          <w:bCs w:val="0"/>
          <w:sz w:val="26"/>
          <w:szCs w:val="26"/>
          <w:lang w:val="ro-RO"/>
        </w:rPr>
        <w:t xml:space="preserve"> </w:t>
      </w:r>
      <w:r>
        <w:rPr>
          <w:b w:val="0"/>
          <w:bCs w:val="0"/>
          <w:sz w:val="26"/>
          <w:szCs w:val="26"/>
        </w:rPr>
        <w:t xml:space="preserve">перераспределять выделенные средства для уплаты </w:t>
      </w:r>
      <w:r w:rsidRPr="0058393C">
        <w:rPr>
          <w:b w:val="0"/>
          <w:sz w:val="26"/>
          <w:szCs w:val="26"/>
        </w:rPr>
        <w:t>членские взносы</w:t>
      </w:r>
      <w:r>
        <w:rPr>
          <w:b w:val="0"/>
          <w:bCs w:val="0"/>
          <w:sz w:val="26"/>
          <w:szCs w:val="26"/>
        </w:rPr>
        <w:t xml:space="preserve"> между </w:t>
      </w:r>
      <w:r w:rsidRPr="00B55B75">
        <w:rPr>
          <w:b w:val="0"/>
          <w:sz w:val="26"/>
          <w:szCs w:val="26"/>
        </w:rPr>
        <w:t>международными и региональными организациями</w:t>
      </w:r>
      <w:r>
        <w:rPr>
          <w:b w:val="0"/>
          <w:sz w:val="26"/>
          <w:szCs w:val="26"/>
        </w:rPr>
        <w:t>, не затрагивая выделенной</w:t>
      </w:r>
      <w:r>
        <w:rPr>
          <w:b w:val="0"/>
          <w:sz w:val="26"/>
          <w:szCs w:val="26"/>
          <w:lang w:val="ro-RO"/>
        </w:rPr>
        <w:t xml:space="preserve"> </w:t>
      </w:r>
      <w:r>
        <w:rPr>
          <w:b w:val="0"/>
          <w:sz w:val="26"/>
          <w:szCs w:val="26"/>
        </w:rPr>
        <w:t xml:space="preserve">суммы </w:t>
      </w:r>
      <w:r>
        <w:rPr>
          <w:b w:val="0"/>
          <w:bCs w:val="0"/>
          <w:sz w:val="26"/>
          <w:szCs w:val="26"/>
        </w:rPr>
        <w:t xml:space="preserve">утверждённой </w:t>
      </w:r>
      <w:r w:rsidRPr="00B55B75">
        <w:rPr>
          <w:b w:val="0"/>
          <w:bCs w:val="0"/>
          <w:sz w:val="26"/>
          <w:szCs w:val="26"/>
        </w:rPr>
        <w:t>для этой цели</w:t>
      </w:r>
      <w:r>
        <w:rPr>
          <w:b w:val="0"/>
          <w:bCs w:val="0"/>
          <w:sz w:val="26"/>
          <w:szCs w:val="26"/>
        </w:rPr>
        <w:t xml:space="preserve"> в государственном бюджете на 2019 год.</w:t>
      </w:r>
    </w:p>
    <w:p w:rsidR="00705F80" w:rsidRDefault="00705F80" w:rsidP="00705F80">
      <w:pPr>
        <w:pStyle w:val="a5"/>
        <w:rPr>
          <w:b/>
          <w:bCs/>
          <w:sz w:val="26"/>
          <w:szCs w:val="26"/>
        </w:rPr>
      </w:pPr>
    </w:p>
    <w:p w:rsidR="00705F80" w:rsidRPr="00B55B75" w:rsidRDefault="00705F80" w:rsidP="00705F80">
      <w:pPr>
        <w:pStyle w:val="a6"/>
        <w:numPr>
          <w:ilvl w:val="0"/>
          <w:numId w:val="1"/>
        </w:numPr>
        <w:tabs>
          <w:tab w:val="left" w:pos="9000"/>
        </w:tabs>
        <w:jc w:val="both"/>
        <w:rPr>
          <w:b w:val="0"/>
          <w:bCs w:val="0"/>
          <w:sz w:val="26"/>
          <w:szCs w:val="26"/>
        </w:rPr>
      </w:pPr>
      <w:r w:rsidRPr="00257A0B">
        <w:rPr>
          <w:b w:val="0"/>
          <w:bCs w:val="0"/>
          <w:sz w:val="26"/>
          <w:szCs w:val="26"/>
        </w:rPr>
        <w:t>Настоящее постановление вступает </w:t>
      </w:r>
      <w:r>
        <w:rPr>
          <w:b w:val="0"/>
          <w:bCs w:val="0"/>
          <w:sz w:val="26"/>
          <w:szCs w:val="26"/>
        </w:rPr>
        <w:t>в силу со</w:t>
      </w:r>
      <w:r>
        <w:rPr>
          <w:b w:val="0"/>
          <w:bCs w:val="0"/>
          <w:sz w:val="26"/>
          <w:szCs w:val="26"/>
          <w:lang w:val="ro-RO"/>
        </w:rPr>
        <w:t xml:space="preserve"> </w:t>
      </w:r>
      <w:r w:rsidRPr="00257A0B">
        <w:rPr>
          <w:b w:val="0"/>
          <w:bCs w:val="0"/>
          <w:sz w:val="26"/>
          <w:szCs w:val="26"/>
        </w:rPr>
        <w:t>дня опубликования</w:t>
      </w:r>
      <w:r>
        <w:rPr>
          <w:b w:val="0"/>
          <w:bCs w:val="0"/>
          <w:sz w:val="26"/>
          <w:szCs w:val="26"/>
        </w:rPr>
        <w:t>.</w:t>
      </w:r>
    </w:p>
    <w:p w:rsidR="00705F80" w:rsidRPr="00B55B75" w:rsidRDefault="00705F80" w:rsidP="00705F80">
      <w:pPr>
        <w:pStyle w:val="a6"/>
        <w:tabs>
          <w:tab w:val="left" w:pos="9000"/>
        </w:tabs>
        <w:jc w:val="both"/>
        <w:rPr>
          <w:b w:val="0"/>
          <w:bCs w:val="0"/>
          <w:sz w:val="26"/>
          <w:szCs w:val="26"/>
        </w:rPr>
      </w:pPr>
    </w:p>
    <w:p w:rsidR="00705F80" w:rsidRPr="007B4AF0" w:rsidRDefault="00705F80" w:rsidP="00705F80">
      <w:pPr>
        <w:pStyle w:val="a6"/>
        <w:tabs>
          <w:tab w:val="left" w:pos="9000"/>
        </w:tabs>
        <w:jc w:val="left"/>
        <w:rPr>
          <w:b w:val="0"/>
          <w:bCs w:val="0"/>
          <w:sz w:val="26"/>
        </w:rPr>
      </w:pPr>
      <w:r>
        <w:rPr>
          <w:sz w:val="26"/>
        </w:rPr>
        <w:t xml:space="preserve">ПРЕМЬЕР-МИНИСТР  </w:t>
      </w:r>
      <w:r w:rsidRPr="007B4AF0">
        <w:rPr>
          <w:sz w:val="26"/>
        </w:rPr>
        <w:t xml:space="preserve">                                                           </w:t>
      </w:r>
      <w:r>
        <w:rPr>
          <w:sz w:val="26"/>
        </w:rPr>
        <w:t xml:space="preserve">   </w:t>
      </w:r>
      <w:r w:rsidRPr="007B4AF0">
        <w:rPr>
          <w:sz w:val="26"/>
        </w:rPr>
        <w:t xml:space="preserve"> </w:t>
      </w:r>
      <w:r>
        <w:rPr>
          <w:sz w:val="26"/>
        </w:rPr>
        <w:t xml:space="preserve">Павел ФИЛИП </w:t>
      </w:r>
    </w:p>
    <w:p w:rsidR="00705F80" w:rsidRPr="007B4AF0" w:rsidRDefault="00705F80" w:rsidP="00705F80">
      <w:pPr>
        <w:pStyle w:val="a6"/>
        <w:tabs>
          <w:tab w:val="left" w:pos="9000"/>
        </w:tabs>
        <w:jc w:val="left"/>
        <w:rPr>
          <w:b w:val="0"/>
          <w:bCs w:val="0"/>
          <w:sz w:val="26"/>
        </w:rPr>
      </w:pPr>
    </w:p>
    <w:p w:rsidR="00705F80" w:rsidRDefault="00705F80" w:rsidP="00705F80">
      <w:pPr>
        <w:pStyle w:val="a6"/>
        <w:tabs>
          <w:tab w:val="left" w:pos="9000"/>
        </w:tabs>
        <w:jc w:val="left"/>
        <w:rPr>
          <w:sz w:val="26"/>
        </w:rPr>
      </w:pPr>
    </w:p>
    <w:p w:rsidR="00705F80" w:rsidRDefault="00705F80" w:rsidP="00705F80">
      <w:pPr>
        <w:pStyle w:val="a6"/>
        <w:tabs>
          <w:tab w:val="left" w:pos="9000"/>
        </w:tabs>
        <w:jc w:val="left"/>
        <w:rPr>
          <w:b w:val="0"/>
          <w:sz w:val="26"/>
          <w:lang w:val="ro-RO"/>
        </w:rPr>
      </w:pPr>
      <w:r w:rsidRPr="002D41FD">
        <w:rPr>
          <w:b w:val="0"/>
          <w:sz w:val="26"/>
        </w:rPr>
        <w:t>Контрассигнуют:</w:t>
      </w:r>
    </w:p>
    <w:p w:rsidR="00705F80" w:rsidRPr="0015056D" w:rsidRDefault="00705F80" w:rsidP="00705F80">
      <w:pPr>
        <w:pStyle w:val="a6"/>
        <w:tabs>
          <w:tab w:val="left" w:pos="9000"/>
        </w:tabs>
        <w:jc w:val="left"/>
        <w:rPr>
          <w:b w:val="0"/>
          <w:sz w:val="26"/>
          <w:lang w:val="ro-RO"/>
        </w:rPr>
      </w:pPr>
    </w:p>
    <w:p w:rsidR="00705F80" w:rsidRPr="002D41FD" w:rsidRDefault="00705F80" w:rsidP="00705F80">
      <w:pPr>
        <w:rPr>
          <w:bCs/>
          <w:sz w:val="20"/>
          <w:szCs w:val="20"/>
        </w:rPr>
      </w:pPr>
      <w:r>
        <w:rPr>
          <w:bCs/>
          <w:sz w:val="26"/>
        </w:rPr>
        <w:t>М</w:t>
      </w:r>
      <w:r w:rsidRPr="002D41FD">
        <w:rPr>
          <w:bCs/>
          <w:sz w:val="26"/>
        </w:rPr>
        <w:t>инистр финансов</w:t>
      </w:r>
      <w:r w:rsidRPr="002D41FD">
        <w:rPr>
          <w:bCs/>
          <w:sz w:val="26"/>
        </w:rPr>
        <w:tab/>
      </w:r>
      <w:r w:rsidRPr="002D41FD">
        <w:rPr>
          <w:bCs/>
          <w:sz w:val="26"/>
        </w:rPr>
        <w:tab/>
      </w:r>
      <w:r w:rsidRPr="002D41FD">
        <w:rPr>
          <w:bCs/>
          <w:sz w:val="26"/>
        </w:rPr>
        <w:tab/>
      </w:r>
      <w:r w:rsidRPr="002D41FD">
        <w:rPr>
          <w:bCs/>
          <w:sz w:val="26"/>
        </w:rPr>
        <w:tab/>
      </w:r>
      <w:r w:rsidRPr="002D41FD">
        <w:rPr>
          <w:bCs/>
          <w:sz w:val="26"/>
        </w:rPr>
        <w:tab/>
        <w:t xml:space="preserve">                    </w:t>
      </w:r>
      <w:r>
        <w:rPr>
          <w:bCs/>
          <w:sz w:val="26"/>
          <w:lang w:val="ro-RO"/>
        </w:rPr>
        <w:tab/>
      </w:r>
      <w:r>
        <w:rPr>
          <w:bCs/>
          <w:sz w:val="26"/>
        </w:rPr>
        <w:t>Ион КИКУ</w:t>
      </w:r>
    </w:p>
    <w:p w:rsidR="00705F80" w:rsidRPr="002D41FD" w:rsidRDefault="00705F80" w:rsidP="00705F80">
      <w:pPr>
        <w:pStyle w:val="a6"/>
        <w:tabs>
          <w:tab w:val="left" w:pos="9000"/>
        </w:tabs>
        <w:jc w:val="left"/>
        <w:rPr>
          <w:b w:val="0"/>
          <w:sz w:val="26"/>
        </w:rPr>
      </w:pPr>
    </w:p>
    <w:p w:rsidR="00705F80" w:rsidRDefault="00705F80" w:rsidP="00705F80">
      <w:pPr>
        <w:pStyle w:val="a6"/>
        <w:tabs>
          <w:tab w:val="left" w:pos="9000"/>
        </w:tabs>
        <w:jc w:val="left"/>
        <w:rPr>
          <w:b w:val="0"/>
          <w:sz w:val="26"/>
        </w:rPr>
      </w:pPr>
      <w:r>
        <w:rPr>
          <w:b w:val="0"/>
          <w:sz w:val="26"/>
        </w:rPr>
        <w:t>М</w:t>
      </w:r>
      <w:r w:rsidRPr="002D41FD">
        <w:rPr>
          <w:b w:val="0"/>
          <w:sz w:val="26"/>
        </w:rPr>
        <w:t>инистр иностранных</w:t>
      </w:r>
      <w:r>
        <w:rPr>
          <w:b w:val="0"/>
          <w:sz w:val="26"/>
        </w:rPr>
        <w:t xml:space="preserve"> </w:t>
      </w:r>
      <w:r w:rsidRPr="002D41FD">
        <w:rPr>
          <w:b w:val="0"/>
          <w:sz w:val="26"/>
        </w:rPr>
        <w:t xml:space="preserve">дел </w:t>
      </w:r>
    </w:p>
    <w:p w:rsidR="00705F80" w:rsidRPr="002D41FD" w:rsidRDefault="00705F80" w:rsidP="00705F80">
      <w:pPr>
        <w:pStyle w:val="a6"/>
        <w:tabs>
          <w:tab w:val="left" w:pos="9000"/>
        </w:tabs>
        <w:jc w:val="left"/>
        <w:rPr>
          <w:bCs w:val="0"/>
          <w:szCs w:val="20"/>
        </w:rPr>
      </w:pPr>
      <w:r w:rsidRPr="002D41FD">
        <w:rPr>
          <w:b w:val="0"/>
          <w:sz w:val="26"/>
        </w:rPr>
        <w:t xml:space="preserve">и </w:t>
      </w:r>
      <w:proofErr w:type="gramStart"/>
      <w:r w:rsidRPr="002D41FD">
        <w:rPr>
          <w:b w:val="0"/>
          <w:sz w:val="26"/>
        </w:rPr>
        <w:t>европейской</w:t>
      </w:r>
      <w:proofErr w:type="gramEnd"/>
      <w:r w:rsidRPr="002D41FD">
        <w:rPr>
          <w:b w:val="0"/>
          <w:sz w:val="26"/>
        </w:rPr>
        <w:t xml:space="preserve"> интеграций                          </w:t>
      </w:r>
      <w:r>
        <w:rPr>
          <w:b w:val="0"/>
          <w:sz w:val="26"/>
        </w:rPr>
        <w:t xml:space="preserve">                              </w:t>
      </w:r>
      <w:proofErr w:type="spellStart"/>
      <w:r>
        <w:rPr>
          <w:b w:val="0"/>
          <w:sz w:val="26"/>
        </w:rPr>
        <w:t>Тудор</w:t>
      </w:r>
      <w:proofErr w:type="spellEnd"/>
      <w:r>
        <w:rPr>
          <w:b w:val="0"/>
          <w:sz w:val="26"/>
        </w:rPr>
        <w:t xml:space="preserve"> УЛИАНОВСКИ</w:t>
      </w:r>
    </w:p>
    <w:p w:rsidR="00705F80" w:rsidRDefault="00705F80" w:rsidP="00705F80">
      <w:pPr>
        <w:pStyle w:val="a3"/>
        <w:spacing w:line="360" w:lineRule="auto"/>
        <w:jc w:val="center"/>
        <w:rPr>
          <w:b/>
          <w:sz w:val="28"/>
          <w:szCs w:val="28"/>
          <w:lang w:val="ro-MO"/>
        </w:rPr>
      </w:pPr>
    </w:p>
    <w:p w:rsidR="00705F80" w:rsidRDefault="00705F80" w:rsidP="00705F80">
      <w:pPr>
        <w:pStyle w:val="a3"/>
        <w:spacing w:line="360" w:lineRule="auto"/>
        <w:jc w:val="center"/>
        <w:rPr>
          <w:b/>
          <w:sz w:val="28"/>
          <w:szCs w:val="28"/>
          <w:lang w:val="ro-MO"/>
        </w:rPr>
      </w:pPr>
    </w:p>
    <w:tbl>
      <w:tblPr>
        <w:tblW w:w="1530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1"/>
        <w:gridCol w:w="1432"/>
        <w:gridCol w:w="5082"/>
        <w:gridCol w:w="810"/>
        <w:gridCol w:w="1750"/>
        <w:gridCol w:w="1418"/>
        <w:gridCol w:w="132"/>
        <w:gridCol w:w="290"/>
        <w:gridCol w:w="287"/>
        <w:gridCol w:w="236"/>
        <w:gridCol w:w="9"/>
        <w:gridCol w:w="181"/>
        <w:gridCol w:w="46"/>
        <w:gridCol w:w="9"/>
        <w:gridCol w:w="1550"/>
        <w:gridCol w:w="1564"/>
      </w:tblGrid>
      <w:tr w:rsidR="00705F80" w:rsidRPr="00771B46" w:rsidTr="00182FCB">
        <w:trPr>
          <w:gridAfter w:val="2"/>
          <w:wAfter w:w="3114" w:type="dxa"/>
          <w:trHeight w:val="80"/>
        </w:trPr>
        <w:tc>
          <w:tcPr>
            <w:tcW w:w="7025" w:type="dxa"/>
            <w:gridSpan w:val="3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  <w:hideMark/>
          </w:tcPr>
          <w:p w:rsidR="00705F80" w:rsidRDefault="00705F80" w:rsidP="00182FCB">
            <w:pPr>
              <w:ind w:right="282"/>
              <w:jc w:val="right"/>
              <w:rPr>
                <w:rFonts w:ascii="Arial CYR" w:hAnsi="Arial CYR" w:cs="Arial CYR"/>
                <w:sz w:val="23"/>
                <w:szCs w:val="23"/>
                <w:lang w:val="ro-RO"/>
              </w:rPr>
            </w:pPr>
          </w:p>
          <w:p w:rsidR="00705F80" w:rsidRDefault="00705F80" w:rsidP="00182FCB">
            <w:pPr>
              <w:ind w:right="282"/>
              <w:jc w:val="right"/>
              <w:rPr>
                <w:rFonts w:ascii="Arial CYR" w:hAnsi="Arial CYR" w:cs="Arial CYR"/>
                <w:sz w:val="23"/>
                <w:szCs w:val="23"/>
                <w:lang w:val="ro-RO"/>
              </w:rPr>
            </w:pPr>
          </w:p>
          <w:p w:rsidR="00705F80" w:rsidRDefault="00705F80" w:rsidP="00182FCB">
            <w:pPr>
              <w:ind w:right="282"/>
              <w:jc w:val="right"/>
              <w:rPr>
                <w:rFonts w:ascii="Arial CYR" w:hAnsi="Arial CYR" w:cs="Arial CYR"/>
                <w:sz w:val="23"/>
                <w:szCs w:val="23"/>
                <w:lang w:val="ro-RO"/>
              </w:rPr>
            </w:pPr>
          </w:p>
          <w:p w:rsidR="00705F80" w:rsidRDefault="00705F80" w:rsidP="00182FCB">
            <w:pPr>
              <w:ind w:right="282"/>
              <w:jc w:val="right"/>
              <w:rPr>
                <w:rFonts w:ascii="Arial CYR" w:hAnsi="Arial CYR" w:cs="Arial CYR"/>
                <w:sz w:val="23"/>
                <w:szCs w:val="23"/>
                <w:lang w:val="ro-RO"/>
              </w:rPr>
            </w:pPr>
          </w:p>
          <w:p w:rsidR="00705F80" w:rsidRPr="00771B46" w:rsidRDefault="00705F80" w:rsidP="00182FCB">
            <w:pPr>
              <w:ind w:right="282"/>
              <w:jc w:val="right"/>
              <w:rPr>
                <w:rFonts w:ascii="Arial CYR" w:hAnsi="Arial CYR" w:cs="Arial CYR"/>
                <w:sz w:val="23"/>
                <w:szCs w:val="23"/>
                <w:lang w:val="ro-RO"/>
              </w:rPr>
            </w:pPr>
            <w:r w:rsidRPr="00771B46">
              <w:rPr>
                <w:rFonts w:ascii="Arial CYR" w:hAnsi="Arial CYR" w:cs="Arial CYR"/>
                <w:sz w:val="23"/>
                <w:szCs w:val="23"/>
                <w:lang w:val="ro-RO"/>
              </w:rPr>
              <w:t>Anexa</w:t>
            </w:r>
          </w:p>
        </w:tc>
        <w:tc>
          <w:tcPr>
            <w:tcW w:w="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4"/>
          <w:wAfter w:w="3169" w:type="dxa"/>
          <w:trHeight w:val="255"/>
        </w:trPr>
        <w:tc>
          <w:tcPr>
            <w:tcW w:w="7025" w:type="dxa"/>
            <w:gridSpan w:val="3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ind w:right="282"/>
              <w:jc w:val="right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la Hotărîrea Guvernului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both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2"/>
          <w:wAfter w:w="3114" w:type="dxa"/>
          <w:trHeight w:val="255"/>
        </w:trPr>
        <w:tc>
          <w:tcPr>
            <w:tcW w:w="7025" w:type="dxa"/>
            <w:gridSpan w:val="3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ind w:right="282"/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nr.         din</w:t>
            </w:r>
          </w:p>
          <w:p w:rsidR="00705F80" w:rsidRPr="00771B46" w:rsidRDefault="00705F80" w:rsidP="00182FCB">
            <w:pPr>
              <w:ind w:right="282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both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8"/>
          <w:wAfter w:w="3882" w:type="dxa"/>
          <w:trHeight w:val="255"/>
        </w:trPr>
        <w:tc>
          <w:tcPr>
            <w:tcW w:w="11425" w:type="dxa"/>
            <w:gridSpan w:val="8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Lista organismelor internaţionale şi regionale cărora Republica Moldova urmează</w:t>
            </w:r>
          </w:p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să achite cotele de membru şi datoriile din bugetul de stat pe anul 2019</w:t>
            </w:r>
          </w:p>
        </w:tc>
      </w:tr>
      <w:tr w:rsidR="00705F80" w:rsidRPr="00771B46" w:rsidTr="00182FCB">
        <w:trPr>
          <w:gridAfter w:val="3"/>
          <w:wAfter w:w="3123" w:type="dxa"/>
          <w:trHeight w:val="270"/>
        </w:trPr>
        <w:tc>
          <w:tcPr>
            <w:tcW w:w="11425" w:type="dxa"/>
            <w:gridSpan w:val="8"/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10"/>
          <w:wAfter w:w="4304" w:type="dxa"/>
          <w:trHeight w:val="1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Propuneri pentru transfer</w:t>
            </w:r>
          </w:p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în 2019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  <w:t>Denumirea Organizației</w:t>
            </w:r>
          </w:p>
        </w:tc>
        <w:tc>
          <w:tcPr>
            <w:tcW w:w="3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10"/>
          <w:wAfter w:w="4304" w:type="dxa"/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Abr</w:t>
            </w:r>
            <w:proofErr w:type="spellEnd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Suma în valută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Suma în Lei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05F80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705F80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b/>
                <w:bCs/>
                <w:sz w:val="22"/>
                <w:szCs w:val="22"/>
                <w:lang w:val="ro-RO"/>
              </w:rPr>
              <w:t>Organizaţii Parlamentare</w:t>
            </w:r>
          </w:p>
          <w:p w:rsidR="00705F80" w:rsidRPr="00771B46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Adunarea Interparlamentară CSI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186 375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3 205 650</w:t>
            </w:r>
          </w:p>
        </w:tc>
      </w:tr>
      <w:tr w:rsidR="00705F80" w:rsidRPr="00771B46" w:rsidTr="00182FCB">
        <w:trPr>
          <w:gridAfter w:val="10"/>
          <w:wAfter w:w="4304" w:type="dxa"/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Adunarea Parlamentară a Cooperări Economice în Bazinul Mării Negre (PABSEC)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59 164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</w:t>
            </w:r>
            <w:r>
              <w:rPr>
                <w:rFonts w:ascii="Arial" w:hAnsi="Arial" w:cs="Arial"/>
                <w:lang w:val="ro-RO"/>
              </w:rPr>
              <w:t> 170 264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Uniunea Interparlamentară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201 250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Adunarea Parlamentară a Organizației pentru Securitate și Cooperare în Europa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34 </w:t>
            </w:r>
            <w:r>
              <w:rPr>
                <w:rFonts w:ascii="Arial" w:hAnsi="Arial" w:cs="Arial"/>
                <w:lang w:val="ro-RO"/>
              </w:rPr>
              <w:t>160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Adunarea Parlamentară a Francofoniei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3 340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</w:t>
            </w:r>
            <w:r>
              <w:rPr>
                <w:rFonts w:ascii="Arial" w:hAnsi="Arial" w:cs="Arial"/>
                <w:lang w:val="ro-RO"/>
              </w:rPr>
              <w:t>6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065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  <w:t>SUBTOTAL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4 677 389</w:t>
            </w:r>
          </w:p>
        </w:tc>
      </w:tr>
      <w:tr w:rsidR="00705F80" w:rsidRPr="00771B46" w:rsidTr="00182FCB">
        <w:trPr>
          <w:gridAfter w:val="10"/>
          <w:wAfter w:w="4304" w:type="dxa"/>
          <w:trHeight w:val="239"/>
        </w:trPr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05F80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705F80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b/>
                <w:bCs/>
                <w:sz w:val="22"/>
                <w:szCs w:val="22"/>
                <w:lang w:val="ro-RO"/>
              </w:rPr>
              <w:t>Organizaţii Internaţionale</w:t>
            </w:r>
          </w:p>
          <w:p w:rsidR="00705F80" w:rsidRPr="00771B46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Consiliul Europei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358 790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</w:t>
            </w:r>
            <w:r>
              <w:rPr>
                <w:rFonts w:ascii="Arial" w:hAnsi="Arial" w:cs="Arial"/>
                <w:lang w:val="ro-RO"/>
              </w:rPr>
              <w:t> 096 863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Cooperarea Economică în Bazinul Mării Negre (OCEMN)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60 394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</w:t>
            </w:r>
            <w:r>
              <w:rPr>
                <w:rFonts w:ascii="Arial" w:hAnsi="Arial" w:cs="Arial"/>
                <w:lang w:val="ro-RO"/>
              </w:rPr>
              <w:t> 194 588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Națiunilor Unite (ONU), inclusiv contribuţiile voluntare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170 447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2 931 688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Programul Naţiunilor Unite de Dezvoltare (UNDP)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265 995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4 575 114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Națiunilor Unite pentru Educație, Știință și Cultură (UNESCO)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USD/EUR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7270 USD</w:t>
            </w:r>
          </w:p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+ 5600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235 </w:t>
            </w:r>
            <w:r>
              <w:rPr>
                <w:rFonts w:ascii="Arial" w:hAnsi="Arial" w:cs="Arial"/>
                <w:lang w:val="ro-RO"/>
              </w:rPr>
              <w:t>812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pentru Securitate şi Cooperare în Europa (OSCE)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57 620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</w:t>
            </w:r>
            <w:r>
              <w:rPr>
                <w:rFonts w:ascii="Arial" w:hAnsi="Arial" w:cs="Arial"/>
                <w:lang w:val="ro-RO"/>
              </w:rPr>
              <w:t> </w:t>
            </w:r>
            <w:r w:rsidRPr="00771B46">
              <w:rPr>
                <w:rFonts w:ascii="Arial" w:hAnsi="Arial" w:cs="Arial"/>
                <w:lang w:val="ro-RO"/>
              </w:rPr>
              <w:t>13</w:t>
            </w:r>
            <w:r>
              <w:rPr>
                <w:rFonts w:ascii="Arial" w:hAnsi="Arial" w:cs="Arial"/>
                <w:lang w:val="ro-RO"/>
              </w:rPr>
              <w:t>9 724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Curtea de Conciliere si Arbitraj a Organizației pentru Securitate și Cooperare Economică (OSCE)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1 295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M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MO"/>
              </w:rPr>
              <w:t>Grupul Consultativ Comun al Tratatului cu privire la Forțele Armate Convenționale în Europa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25 </w:t>
            </w:r>
            <w:r>
              <w:rPr>
                <w:rFonts w:ascii="Arial" w:hAnsi="Arial" w:cs="Arial"/>
                <w:lang w:val="ro-RO"/>
              </w:rPr>
              <w:t>259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a Muncii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150 960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2 641 800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Organizaţia Mondială a Comerţului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74 290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1 300 075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Mondială a Sănătăţii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265 963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4 </w:t>
            </w:r>
            <w:r>
              <w:rPr>
                <w:rFonts w:ascii="Arial" w:hAnsi="Arial" w:cs="Arial"/>
                <w:lang w:val="ro-RO"/>
              </w:rPr>
              <w:t>574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562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Organizaţia Mondială a Turismului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28 787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56</w:t>
            </w:r>
            <w:r>
              <w:rPr>
                <w:rFonts w:ascii="Arial" w:hAnsi="Arial" w:cs="Arial"/>
                <w:lang w:val="ro-RO"/>
              </w:rPr>
              <w:t>9 407</w:t>
            </w:r>
          </w:p>
        </w:tc>
      </w:tr>
      <w:tr w:rsidR="00705F80" w:rsidRPr="00771B46" w:rsidTr="00182FCB">
        <w:trPr>
          <w:gridAfter w:val="10"/>
          <w:wAfter w:w="4304" w:type="dxa"/>
          <w:trHeight w:val="3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Națiunilor Unite pentru Alimentaţie şi Agricultură (FAO)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USD/EUR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10829 USD</w:t>
            </w:r>
          </w:p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+ 7528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335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154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a Viei şi Vinului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49</w:t>
            </w:r>
            <w:r>
              <w:rPr>
                <w:rFonts w:ascii="Arial" w:hAnsi="Arial" w:cs="Arial"/>
                <w:lang w:val="ro-RO"/>
              </w:rPr>
              <w:t>4</w:t>
            </w:r>
            <w:r w:rsidRPr="00771B46">
              <w:rPr>
                <w:rFonts w:ascii="Arial" w:hAnsi="Arial" w:cs="Arial"/>
                <w:lang w:val="ro-RO"/>
              </w:rPr>
              <w:t xml:space="preserve"> 500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Oficiul Internaţional de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Epizooţii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49</w:t>
            </w:r>
            <w:r>
              <w:rPr>
                <w:rFonts w:ascii="Arial" w:hAnsi="Arial" w:cs="Arial"/>
                <w:lang w:val="ro-RO"/>
              </w:rPr>
              <w:t>4</w:t>
            </w:r>
            <w:r w:rsidRPr="00771B46">
              <w:rPr>
                <w:rFonts w:ascii="Arial" w:hAnsi="Arial" w:cs="Arial"/>
                <w:lang w:val="ro-RO"/>
              </w:rPr>
              <w:t xml:space="preserve"> 500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a Zahărului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GBP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5 224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115 921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Conferinţa privind Regimul Navigat pe Dunăre (Comisia Dunării)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149 270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</w:t>
            </w:r>
            <w:r>
              <w:rPr>
                <w:rFonts w:ascii="Arial" w:hAnsi="Arial" w:cs="Arial"/>
                <w:lang w:val="ro-RO"/>
              </w:rPr>
              <w:t> 952 561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Tribunalul Internațional pentru Dreptul Mării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20 116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Autoritatea Internaţională pentru Fundul Mării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11 524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de Standardizare (ISO)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5 296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92 680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Comitetul European de Standardizare (CEN)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237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360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Convenţia Metrului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11 980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236 </w:t>
            </w:r>
            <w:r>
              <w:rPr>
                <w:rFonts w:ascii="Arial" w:hAnsi="Arial" w:cs="Arial"/>
                <w:lang w:val="ro-RO"/>
              </w:rPr>
              <w:t>964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 Internaţională a Francofoniei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39 005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</w:t>
            </w:r>
            <w:r>
              <w:rPr>
                <w:rFonts w:ascii="Arial" w:hAnsi="Arial" w:cs="Arial"/>
                <w:lang w:val="ro-RO"/>
              </w:rPr>
              <w:t>71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519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Internațională a Instituțiilor Supreme de Audit (INTOSAI)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9 0</w:t>
            </w:r>
            <w:r>
              <w:rPr>
                <w:rFonts w:ascii="Arial" w:hAnsi="Arial" w:cs="Arial"/>
                <w:lang w:val="ro-RO"/>
              </w:rPr>
              <w:t>59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Europeană a Instituțiilor Supreme de Audit (EUROSAI)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9 2</w:t>
            </w:r>
            <w:r>
              <w:rPr>
                <w:rFonts w:ascii="Arial" w:hAnsi="Arial" w:cs="Arial"/>
                <w:lang w:val="ro-RO"/>
              </w:rPr>
              <w:t>57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a Aviaţiei Civile (ICAO)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USD/ CAD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39 500 CAD</w:t>
            </w:r>
          </w:p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+ 21 500 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883 300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Directoratul Cheilor Publice al Organizaţiei Internaţionale a Aviaţiei Civile (ICAO PKD)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32 800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564 160</w:t>
            </w:r>
          </w:p>
        </w:tc>
      </w:tr>
      <w:tr w:rsidR="00705F80" w:rsidRPr="00771B46" w:rsidTr="00182FCB">
        <w:trPr>
          <w:gridAfter w:val="10"/>
          <w:wAfter w:w="4304" w:type="dxa"/>
          <w:trHeight w:val="4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Agenţia Internaţională pentru Energia Atomică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EUR/ 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16 362 EUR</w:t>
            </w:r>
          </w:p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+ 1 853 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355 512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privind Interzicerea Armelor Chimice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2 775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54 </w:t>
            </w:r>
            <w:r>
              <w:rPr>
                <w:rFonts w:ascii="Arial" w:hAnsi="Arial" w:cs="Arial"/>
                <w:lang w:val="ro-RO"/>
              </w:rPr>
              <w:t>889</w:t>
            </w:r>
          </w:p>
        </w:tc>
      </w:tr>
      <w:tr w:rsidR="00705F80" w:rsidRPr="00771B46" w:rsidTr="00182FCB">
        <w:trPr>
          <w:gridAfter w:val="10"/>
          <w:wAfter w:w="4304" w:type="dxa"/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Comisia Preparatorie pentru Organizaţia Tratatului privind Interzicerea Totală a Testelor Nucleare (CTBTO)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USD/EUR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2 839 USD</w:t>
            </w:r>
          </w:p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+ 1 992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88 </w:t>
            </w:r>
            <w:r>
              <w:rPr>
                <w:rFonts w:ascii="Arial" w:hAnsi="Arial" w:cs="Arial"/>
                <w:lang w:val="ro-RO"/>
              </w:rPr>
              <w:t>233</w:t>
            </w:r>
          </w:p>
        </w:tc>
      </w:tr>
      <w:tr w:rsidR="00705F80" w:rsidRPr="00771B46" w:rsidTr="00182FCB">
        <w:trPr>
          <w:gridAfter w:val="10"/>
          <w:wAfter w:w="4304" w:type="dxa"/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Institutul Unit de Cercetări Nucleare (Dubna)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134 900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2 320 280</w:t>
            </w:r>
          </w:p>
        </w:tc>
      </w:tr>
      <w:tr w:rsidR="00705F80" w:rsidRPr="00771B46" w:rsidTr="00182FCB">
        <w:trPr>
          <w:gridAfter w:val="10"/>
          <w:wAfter w:w="4304" w:type="dxa"/>
          <w:trHeight w:val="3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Internațională de Poliție Criminală (INTERPOL)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17 186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33</w:t>
            </w:r>
            <w:r>
              <w:rPr>
                <w:rFonts w:ascii="Arial" w:hAnsi="Arial" w:cs="Arial"/>
                <w:lang w:val="ro-RO"/>
              </w:rPr>
              <w:t>9 939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Iniţiativa Central Europeană (CEI)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9 830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19</w:t>
            </w:r>
            <w:r>
              <w:rPr>
                <w:rFonts w:ascii="Arial" w:hAnsi="Arial" w:cs="Arial"/>
                <w:lang w:val="ro-RO"/>
              </w:rPr>
              <w:t>4 437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Coridorul Internațional de Transport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Europa-Caucaz-Asia</w:t>
            </w:r>
            <w:proofErr w:type="spellEnd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 (TRACECA)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1 18</w:t>
            </w:r>
            <w:r>
              <w:rPr>
                <w:rFonts w:ascii="Arial" w:hAnsi="Arial" w:cs="Arial"/>
                <w:lang w:val="ro-RO"/>
              </w:rPr>
              <w:t>6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8</w:t>
            </w:r>
            <w:r w:rsidRPr="00771B46">
              <w:rPr>
                <w:rFonts w:ascii="Arial" w:hAnsi="Arial" w:cs="Arial"/>
                <w:lang w:val="ro-RO"/>
              </w:rPr>
              <w:t>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pentru Democrație și Dezvoltare Economică GUAM (ODDE-GUAM)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1 238 400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Maritimă (IMO)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GBP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13 970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1 341 120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pentru Migraţiune (OIM)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3 682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64 435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Organizaţia Internaţională de Metrologie Legală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27 </w:t>
            </w:r>
            <w:r>
              <w:rPr>
                <w:rFonts w:ascii="Arial" w:hAnsi="Arial" w:cs="Arial"/>
                <w:lang w:val="ro-RO"/>
              </w:rPr>
              <w:t>692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Uniunea Poştală Universală (UPU)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770 000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Uniunea Internațională a Telecomunicațiilor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79 500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1 391 250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Uniunea Europeană de Radioteleviziune (UERT)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66 310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1 160 425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Iniţiativa Anticorupţie a Pactului de Stabilitate în Europa de sud-est (SPAI)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24 000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47</w:t>
            </w:r>
            <w:r>
              <w:rPr>
                <w:rFonts w:ascii="Arial" w:hAnsi="Arial" w:cs="Arial"/>
                <w:lang w:val="ro-RO"/>
              </w:rPr>
              <w:t>4</w:t>
            </w:r>
            <w:r w:rsidRPr="00771B46">
              <w:rPr>
                <w:rFonts w:ascii="Arial" w:hAnsi="Arial" w:cs="Arial"/>
                <w:lang w:val="ro-RO"/>
              </w:rPr>
              <w:t> </w:t>
            </w:r>
            <w:r>
              <w:rPr>
                <w:rFonts w:ascii="Arial" w:hAnsi="Arial" w:cs="Arial"/>
                <w:lang w:val="ro-RO"/>
              </w:rPr>
              <w:t>720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Reţea de Sănătate în Europa de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Sud-Est</w:t>
            </w:r>
            <w:proofErr w:type="spellEnd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 (SEEHN)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197 8</w:t>
            </w:r>
            <w:r w:rsidRPr="00771B46">
              <w:rPr>
                <w:rFonts w:ascii="Arial" w:hAnsi="Arial" w:cs="Arial"/>
                <w:lang w:val="ro-RO"/>
              </w:rPr>
              <w:t>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Consiliul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Euro-Asiatic</w:t>
            </w:r>
            <w:proofErr w:type="spellEnd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 de Standardizare (EASC)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USD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14 000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</w:t>
            </w:r>
            <w:r>
              <w:rPr>
                <w:rFonts w:ascii="Arial" w:hAnsi="Arial" w:cs="Arial"/>
                <w:lang w:val="ro-RO"/>
              </w:rPr>
              <w:t>40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800</w:t>
            </w:r>
          </w:p>
        </w:tc>
      </w:tr>
      <w:tr w:rsidR="00705F80" w:rsidRPr="00771B46" w:rsidTr="00182FCB">
        <w:trPr>
          <w:gridAfter w:val="10"/>
          <w:wAfter w:w="4304" w:type="dxa"/>
          <w:trHeight w:val="34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Acordul Central European de Comerţ Liber din 2006 (CEFTA)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25 025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49</w:t>
            </w:r>
            <w:r>
              <w:rPr>
                <w:rFonts w:ascii="Arial" w:hAnsi="Arial" w:cs="Arial"/>
                <w:lang w:val="ro-RO"/>
              </w:rPr>
              <w:t>4</w:t>
            </w:r>
            <w:r w:rsidRPr="00771B46">
              <w:rPr>
                <w:rFonts w:ascii="Arial" w:hAnsi="Arial" w:cs="Arial"/>
                <w:lang w:val="ro-RO"/>
              </w:rPr>
              <w:t xml:space="preserve"> 99</w:t>
            </w:r>
            <w:r>
              <w:rPr>
                <w:rFonts w:ascii="Arial" w:hAnsi="Arial" w:cs="Arial"/>
                <w:lang w:val="ro-RO"/>
              </w:rPr>
              <w:t>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Comunitatea Energetica a Europei de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Sud-Est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4 762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9</w:t>
            </w:r>
            <w:r>
              <w:rPr>
                <w:rFonts w:ascii="Arial" w:hAnsi="Arial" w:cs="Arial"/>
                <w:lang w:val="ro-RO"/>
              </w:rPr>
              <w:t>4 192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Agenţia Internaţională pentru Energia Regenerabilă (IRENA)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EUR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1 282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22 050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Curtea Penala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Internationala</w:t>
            </w:r>
            <w:proofErr w:type="spellEnd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 (CPI)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10 270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203 141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Convenția Organizației pentru Cooperare și Dezvoltare Economică (OECD) privind asistența administrativă în materie fiscală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35 </w:t>
            </w:r>
            <w:r>
              <w:rPr>
                <w:rFonts w:ascii="Arial" w:hAnsi="Arial" w:cs="Arial"/>
                <w:lang w:val="ro-RO"/>
              </w:rPr>
              <w:t>604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Conferința Cartei Energetice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7 </w:t>
            </w:r>
            <w:r>
              <w:rPr>
                <w:rFonts w:ascii="Arial" w:hAnsi="Arial" w:cs="Arial"/>
                <w:lang w:val="ro-RO"/>
              </w:rPr>
              <w:t>319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Federația Internațională a Societăților de Cruce Roșie și Semilună Roșie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17 500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Comitetul European de Standardizare în Electrotehnică (CENELEC)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sz w:val="22"/>
                <w:szCs w:val="22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237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360</w:t>
            </w:r>
            <w:r w:rsidRPr="00771B46">
              <w:rPr>
                <w:rFonts w:ascii="Arial" w:hAnsi="Arial" w:cs="Arial"/>
                <w:lang w:val="ro-RO"/>
              </w:rPr>
              <w:t xml:space="preserve">  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Institutul European de Standardizare în Telecomunicații (ETSI)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83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076</w:t>
            </w:r>
            <w:r w:rsidRPr="00771B46">
              <w:rPr>
                <w:rFonts w:ascii="Arial" w:hAnsi="Arial" w:cs="Arial"/>
                <w:lang w:val="ro-RO"/>
              </w:rPr>
              <w:t xml:space="preserve">  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Comisia Electrotehnică Internațională (IEC)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24 400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 xml:space="preserve">427 000  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Conferinţa de la Haga privind Dreptul Internaţional Privat (HCCH)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EUR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13</w:t>
            </w:r>
            <w:r>
              <w:rPr>
                <w:rFonts w:ascii="Arial" w:hAnsi="Arial" w:cs="Arial"/>
                <w:lang w:val="ro-RO"/>
              </w:rPr>
              <w:t>8</w:t>
            </w:r>
            <w:r w:rsidRPr="00771B46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460</w:t>
            </w:r>
          </w:p>
        </w:tc>
      </w:tr>
      <w:tr w:rsidR="00705F80" w:rsidRPr="00771B46" w:rsidTr="00182FCB">
        <w:trPr>
          <w:gridAfter w:val="10"/>
          <w:wAfter w:w="4304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  <w:lang w:val="ro-RO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Organizația Colaborării Cailor Ferate (OSJD)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CHF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226 349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3 961 107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  <w:t>SUBTOTAL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50 688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299</w:t>
            </w:r>
          </w:p>
        </w:tc>
      </w:tr>
      <w:tr w:rsidR="00705F80" w:rsidRPr="00771B46" w:rsidTr="00182FCB">
        <w:trPr>
          <w:trHeight w:val="255"/>
        </w:trPr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b/>
                <w:bCs/>
                <w:sz w:val="22"/>
                <w:szCs w:val="22"/>
                <w:lang w:val="ro-RO"/>
              </w:rPr>
              <w:t>Organizaţii CSI</w:t>
            </w:r>
          </w:p>
        </w:tc>
        <w:tc>
          <w:tcPr>
            <w:tcW w:w="945" w:type="dxa"/>
            <w:gridSpan w:val="4"/>
            <w:tcBorders>
              <w:left w:val="single" w:sz="4" w:space="0" w:color="auto"/>
            </w:tcBorders>
          </w:tcPr>
          <w:p w:rsidR="00705F80" w:rsidRPr="00771B46" w:rsidRDefault="00705F80" w:rsidP="00182FC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F80" w:rsidRPr="00771B46" w:rsidRDefault="00705F80" w:rsidP="00182FCB">
            <w:pPr>
              <w:rPr>
                <w:sz w:val="22"/>
                <w:szCs w:val="22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rPr>
                <w:sz w:val="22"/>
                <w:szCs w:val="22"/>
              </w:rPr>
            </w:pPr>
            <w:r w:rsidRPr="00771B46">
              <w:rPr>
                <w:rFonts w:ascii="Arial" w:hAnsi="Arial" w:cs="Arial"/>
                <w:sz w:val="22"/>
                <w:szCs w:val="22"/>
                <w:lang w:val="ro-RO"/>
              </w:rPr>
              <w:t>4 079 100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5F80" w:rsidRPr="00771B46" w:rsidRDefault="00705F80" w:rsidP="00182FCB">
            <w:pPr>
              <w:rPr>
                <w:sz w:val="22"/>
                <w:szCs w:val="22"/>
              </w:rPr>
            </w:pPr>
            <w:r w:rsidRPr="00771B46">
              <w:rPr>
                <w:rFonts w:ascii="Arial" w:hAnsi="Arial" w:cs="Arial"/>
                <w:sz w:val="22"/>
                <w:szCs w:val="22"/>
                <w:lang w:val="ro-RO"/>
              </w:rPr>
              <w:t>1 223 730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Comitetul Executiv CSI (bugetul unic al CSI)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4 079 100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1 142 148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Comitetul de Statistică al CSI (bugetul unic al CSI)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831 700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232 876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Biroul de Combatere a Criminalităţii al CSI (bugetul unic al CSI)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824 800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230 944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Centrul </w:t>
            </w:r>
            <w:proofErr w:type="spellStart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Antiteroristic</w:t>
            </w:r>
            <w:proofErr w:type="spellEnd"/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 xml:space="preserve"> al CSI (bugetul unic al CSI)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947 000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265 160</w:t>
            </w:r>
          </w:p>
        </w:tc>
      </w:tr>
      <w:tr w:rsidR="00705F80" w:rsidRPr="00771B46" w:rsidTr="00182FCB">
        <w:trPr>
          <w:gridAfter w:val="10"/>
          <w:wAfter w:w="4304" w:type="dxa"/>
          <w:trHeight w:val="3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Consiliul şefilor de state, şefilor de guverne, miniştrilor afacerilor externe, Consiliul Economic al CSI (bugetul unic al CSI)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665 100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186 228</w:t>
            </w:r>
          </w:p>
        </w:tc>
      </w:tr>
      <w:tr w:rsidR="00705F80" w:rsidRPr="00771B46" w:rsidTr="00182FCB">
        <w:trPr>
          <w:gridAfter w:val="10"/>
          <w:wAfter w:w="4304" w:type="dxa"/>
          <w:trHeight w:val="3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Consiliul Coordonator al Procurorilor Generali al CSI (bugetul unic al CSI)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RUB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102 700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28 756</w:t>
            </w:r>
          </w:p>
        </w:tc>
      </w:tr>
      <w:tr w:rsidR="00705F80" w:rsidRPr="00771B46" w:rsidTr="00182FCB">
        <w:trPr>
          <w:gridAfter w:val="10"/>
          <w:wAfter w:w="4304" w:type="dxa"/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sz w:val="22"/>
                <w:szCs w:val="22"/>
                <w:lang w:val="ro-RO"/>
              </w:rPr>
              <w:t>Reprezentanţa din RM a Teleradiocompaniei Interstatale "MIR"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i/>
                <w:iCs/>
                <w:sz w:val="22"/>
                <w:szCs w:val="22"/>
                <w:lang w:val="ro-RO"/>
              </w:rPr>
              <w:t>MDL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3 484 000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hAnsi="Arial" w:cs="Arial"/>
                <w:lang w:val="ro-RO"/>
              </w:rPr>
              <w:t>3 484 000</w:t>
            </w:r>
          </w:p>
        </w:tc>
      </w:tr>
      <w:tr w:rsidR="00705F80" w:rsidRPr="00771B46" w:rsidTr="00182FCB">
        <w:trPr>
          <w:gridAfter w:val="10"/>
          <w:wAfter w:w="4304" w:type="dxa"/>
          <w:trHeight w:val="270"/>
        </w:trPr>
        <w:tc>
          <w:tcPr>
            <w:tcW w:w="7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  <w:t>SUBTOTAL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  <w:lang w:val="ro-RO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F80" w:rsidRPr="00771B46" w:rsidRDefault="00705F80" w:rsidP="00182FCB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F80" w:rsidRPr="00771B46" w:rsidRDefault="00705F80" w:rsidP="00182FCB">
            <w:pPr>
              <w:pStyle w:val="a8"/>
              <w:jc w:val="center"/>
              <w:rPr>
                <w:rFonts w:ascii="Arial" w:hAnsi="Arial" w:cs="Arial"/>
                <w:lang w:val="ro-RO"/>
              </w:rPr>
            </w:pPr>
            <w:r w:rsidRPr="00771B46">
              <w:rPr>
                <w:rFonts w:ascii="Arial" w:eastAsia="Times New Roman" w:hAnsi="Arial" w:cs="Arial"/>
                <w:b/>
                <w:bCs/>
                <w:lang w:val="ro-RO"/>
              </w:rPr>
              <w:t xml:space="preserve">5 570 112  </w:t>
            </w:r>
          </w:p>
        </w:tc>
      </w:tr>
      <w:tr w:rsidR="00705F80" w:rsidRPr="00771B46" w:rsidTr="00182FCB">
        <w:trPr>
          <w:gridAfter w:val="10"/>
          <w:wAfter w:w="4304" w:type="dxa"/>
          <w:trHeight w:val="270"/>
        </w:trPr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F80" w:rsidRPr="00771B46" w:rsidRDefault="00705F80" w:rsidP="00182FCB">
            <w:pPr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 CYR" w:hAnsi="Arial CYR" w:cs="Arial CYR"/>
                <w:b/>
                <w:bC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F80" w:rsidRPr="00771B46" w:rsidRDefault="00705F80" w:rsidP="00182FCB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F80" w:rsidRPr="00771B46" w:rsidRDefault="00705F80" w:rsidP="00182F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71B46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60 930 800  </w:t>
            </w:r>
          </w:p>
        </w:tc>
      </w:tr>
    </w:tbl>
    <w:p w:rsidR="00705F80" w:rsidRPr="000941A2" w:rsidRDefault="00705F80" w:rsidP="00705F80">
      <w:pPr>
        <w:pStyle w:val="a3"/>
        <w:spacing w:line="360" w:lineRule="auto"/>
        <w:jc w:val="center"/>
        <w:rPr>
          <w:sz w:val="16"/>
          <w:szCs w:val="16"/>
          <w:lang w:val="ro-MO"/>
        </w:rPr>
      </w:pPr>
      <w:r>
        <w:rPr>
          <w:b/>
          <w:sz w:val="28"/>
          <w:szCs w:val="28"/>
          <w:lang w:val="ro-MO"/>
        </w:rPr>
        <w:t xml:space="preserve">            </w:t>
      </w:r>
    </w:p>
    <w:p w:rsidR="00652D5E" w:rsidRDefault="00652D5E">
      <w:bookmarkStart w:id="0" w:name="_GoBack"/>
      <w:bookmarkEnd w:id="0"/>
    </w:p>
    <w:sectPr w:rsidR="00652D5E" w:rsidSect="00771B46">
      <w:footerReference w:type="first" r:id="rId8"/>
      <w:pgSz w:w="11906" w:h="16838"/>
      <w:pgMar w:top="426" w:right="850" w:bottom="851" w:left="1440" w:header="720" w:footer="68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A6E" w:rsidRPr="00953FD7" w:rsidRDefault="00705F80" w:rsidP="00982A6E">
    <w:pPr>
      <w:pStyle w:val="a3"/>
      <w:jc w:val="right"/>
      <w:rPr>
        <w:sz w:val="16"/>
        <w:szCs w:val="16"/>
        <w:lang w:val="ro-RO"/>
      </w:rPr>
    </w:pPr>
    <w:proofErr w:type="spellStart"/>
    <w:r w:rsidRPr="00953FD7">
      <w:rPr>
        <w:sz w:val="16"/>
        <w:szCs w:val="16"/>
        <w:lang w:val="ro-RO"/>
      </w:rPr>
      <w:t>Ex.A.Bălănel</w:t>
    </w:r>
    <w:proofErr w:type="spellEnd"/>
  </w:p>
  <w:p w:rsidR="00982A6E" w:rsidRPr="00982A6E" w:rsidRDefault="00705F80" w:rsidP="00982A6E">
    <w:pPr>
      <w:pStyle w:val="a3"/>
      <w:jc w:val="right"/>
      <w:rPr>
        <w:sz w:val="28"/>
        <w:szCs w:val="28"/>
      </w:rPr>
    </w:pPr>
    <w:r w:rsidRPr="00953FD7">
      <w:rPr>
        <w:sz w:val="16"/>
        <w:szCs w:val="16"/>
        <w:lang w:val="ro-RO"/>
      </w:rPr>
      <w:t>tel: 022-262825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3E1A"/>
    <w:multiLevelType w:val="hybridMultilevel"/>
    <w:tmpl w:val="3416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B78BE"/>
    <w:multiLevelType w:val="hybridMultilevel"/>
    <w:tmpl w:val="E44A6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E202F8"/>
    <w:multiLevelType w:val="hybridMultilevel"/>
    <w:tmpl w:val="3E84D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AB"/>
    <w:rsid w:val="003076AB"/>
    <w:rsid w:val="00652D5E"/>
    <w:rsid w:val="007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05F80"/>
    <w:pPr>
      <w:keepNext/>
      <w:jc w:val="center"/>
      <w:outlineLvl w:val="0"/>
    </w:pPr>
    <w:rPr>
      <w:b/>
      <w:bCs/>
      <w:noProof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F80"/>
    <w:rPr>
      <w:rFonts w:ascii="Times New Roman" w:eastAsia="Times New Roman" w:hAnsi="Times New Roman" w:cs="Times New Roman"/>
      <w:b/>
      <w:bCs/>
      <w:noProof/>
      <w:sz w:val="24"/>
      <w:szCs w:val="24"/>
      <w:lang w:val="ru-RU"/>
    </w:rPr>
  </w:style>
  <w:style w:type="paragraph" w:styleId="a3">
    <w:name w:val="footer"/>
    <w:basedOn w:val="a"/>
    <w:link w:val="a4"/>
    <w:uiPriority w:val="99"/>
    <w:rsid w:val="00705F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5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05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705F80"/>
    <w:pPr>
      <w:jc w:val="center"/>
    </w:pPr>
    <w:rPr>
      <w:b/>
      <w:bCs/>
      <w:sz w:val="20"/>
      <w:lang w:eastAsia="en-US"/>
    </w:rPr>
  </w:style>
  <w:style w:type="character" w:customStyle="1" w:styleId="a7">
    <w:name w:val="Основной текст Знак"/>
    <w:basedOn w:val="a0"/>
    <w:link w:val="a6"/>
    <w:rsid w:val="00705F80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8">
    <w:name w:val="No Spacing"/>
    <w:uiPriority w:val="1"/>
    <w:qFormat/>
    <w:rsid w:val="00705F8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05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F8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05F80"/>
    <w:pPr>
      <w:keepNext/>
      <w:jc w:val="center"/>
      <w:outlineLvl w:val="0"/>
    </w:pPr>
    <w:rPr>
      <w:b/>
      <w:bCs/>
      <w:noProof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F80"/>
    <w:rPr>
      <w:rFonts w:ascii="Times New Roman" w:eastAsia="Times New Roman" w:hAnsi="Times New Roman" w:cs="Times New Roman"/>
      <w:b/>
      <w:bCs/>
      <w:noProof/>
      <w:sz w:val="24"/>
      <w:szCs w:val="24"/>
      <w:lang w:val="ru-RU"/>
    </w:rPr>
  </w:style>
  <w:style w:type="paragraph" w:styleId="a3">
    <w:name w:val="footer"/>
    <w:basedOn w:val="a"/>
    <w:link w:val="a4"/>
    <w:uiPriority w:val="99"/>
    <w:rsid w:val="00705F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5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05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705F80"/>
    <w:pPr>
      <w:jc w:val="center"/>
    </w:pPr>
    <w:rPr>
      <w:b/>
      <w:bCs/>
      <w:sz w:val="20"/>
      <w:lang w:eastAsia="en-US"/>
    </w:rPr>
  </w:style>
  <w:style w:type="character" w:customStyle="1" w:styleId="a7">
    <w:name w:val="Основной текст Знак"/>
    <w:basedOn w:val="a0"/>
    <w:link w:val="a6"/>
    <w:rsid w:val="00705F80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8">
    <w:name w:val="No Spacing"/>
    <w:uiPriority w:val="1"/>
    <w:qFormat/>
    <w:rsid w:val="00705F8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05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F8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1455</Words>
  <Characters>8442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balanelale</dc:creator>
  <cp:keywords/>
  <dc:description/>
  <cp:lastModifiedBy>balanelale</cp:lastModifiedBy>
  <cp:revision>2</cp:revision>
  <dcterms:created xsi:type="dcterms:W3CDTF">2019-02-12T12:19:00Z</dcterms:created>
  <dcterms:modified xsi:type="dcterms:W3CDTF">2019-02-12T12:20:00Z</dcterms:modified>
</cp:coreProperties>
</file>