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F02139" w:rsidRPr="00744662" w:rsidTr="00D11C6E">
        <w:trPr>
          <w:trHeight w:val="88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Notă informativă </w:t>
            </w:r>
          </w:p>
          <w:p w:rsidR="00C03F15" w:rsidRPr="00744662" w:rsidRDefault="008E751E" w:rsidP="00C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la proiectul </w:t>
            </w:r>
            <w:r w:rsidR="00AF0EF6" w:rsidRPr="00AF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Regulamentului cu privire la procedura de coordonare a efectuării și supravegherii lucrărilor de menținere a șenalului navigabil intern al Republicii Moldova </w:t>
            </w:r>
          </w:p>
        </w:tc>
      </w:tr>
      <w:tr w:rsidR="00F02139" w:rsidRPr="00483A57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Denumirea autorului şi, după caz, a participanților la elaborarea proiectului 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AF0EF6" w:rsidP="00AF0EF6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F0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roiectul </w:t>
            </w:r>
            <w:r w:rsidR="0032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Ordinului cu privire la aprobarea </w:t>
            </w:r>
            <w:r w:rsidRPr="00AF0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Regulamentului cu privire la procedura de coordonare a efectuării și supravegherii lucrărilor de menținere a șenalului navigabil intern al Republicii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 elaborat în comun de Ministerul Economiei și Infrastructurii și Ministerul Agriculturii, Dezvoltării Regionale și Mediului.</w:t>
            </w:r>
          </w:p>
        </w:tc>
      </w:tr>
      <w:tr w:rsidR="00F02139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Condițiile ce au impus elaborarea proiectului de act normativ şi finalitățile urmărite </w:t>
            </w:r>
          </w:p>
        </w:tc>
      </w:tr>
      <w:tr w:rsidR="00F02139" w:rsidRPr="00483A57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F0EF6" w:rsidRDefault="00F02139" w:rsidP="00AF0EF6">
            <w:pPr>
              <w:widowControl w:val="0"/>
              <w:tabs>
                <w:tab w:val="left" w:pos="319"/>
              </w:tabs>
              <w:spacing w:after="0" w:line="240" w:lineRule="auto"/>
              <w:ind w:right="20" w:firstLine="72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="00FA0EF8"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Elaborarea proiectului </w:t>
            </w:r>
            <w:r w:rsidR="00D75B97" w:rsidRPr="00D75B97">
              <w:rPr>
                <w:rFonts w:ascii="Times New Roman" w:hAnsi="Times New Roman" w:cs="Times New Roman"/>
                <w:sz w:val="24"/>
                <w:lang w:val="ro-RO"/>
              </w:rPr>
              <w:t xml:space="preserve">Ordinului cu privire la aprobarea 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>Regulamentului cu privire la procedura de coordonare a efectuării și supravegherii lucrărilor de menținere a șenalului navigabil intern al Republicii Moldova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, rezultă din necesitatea asigurării navigației în siguranță pe șenalul navigabil al căilor navigabile interne, pe care s-au format obstacole naturale (copaci, ambarcațiuni scufundate, dune și bancuri de aluviuni călătoare)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 xml:space="preserve">Totodată, conform 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>Acordul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ui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 xml:space="preserve"> European cu privire la principalele căi navigabile interne 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de importanță internațională, (r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>atificat prin Hotărârea Parlamentului nr.1431-XIII din 24.12.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>97)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 xml:space="preserve">, fluviul Nistru și </w:t>
            </w:r>
            <w:proofErr w:type="spellStart"/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rîul</w:t>
            </w:r>
            <w:proofErr w:type="spellEnd"/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 xml:space="preserve"> Prut sunt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 xml:space="preserve"> căi navigabile interne de 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 xml:space="preserve">importanță internațională clasificate în 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 xml:space="preserve">categoria E. Conform prevederilor acestui 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Acord, statele semnatare trebuie să asigure condiții de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 xml:space="preserve"> exploatare a căilor navigabile 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și</w:t>
            </w:r>
            <w:r w:rsidR="00AF0EF6" w:rsidRPr="00AF0EF6">
              <w:rPr>
                <w:rFonts w:ascii="Times New Roman" w:hAnsi="Times New Roman" w:cs="Times New Roman"/>
                <w:sz w:val="24"/>
                <w:lang w:val="ro-RO"/>
              </w:rPr>
              <w:t xml:space="preserve"> parametrii șenalului navigabil </w:t>
            </w:r>
            <w:r w:rsidR="00AF0EF6">
              <w:rPr>
                <w:rFonts w:ascii="Times New Roman" w:hAnsi="Times New Roman" w:cs="Times New Roman"/>
                <w:sz w:val="24"/>
                <w:lang w:val="ro-RO"/>
              </w:rPr>
              <w:t>conform cerințelor tehnic</w:t>
            </w:r>
            <w:r w:rsidR="006B0E5E">
              <w:rPr>
                <w:rFonts w:ascii="Times New Roman" w:hAnsi="Times New Roman" w:cs="Times New Roman"/>
                <w:sz w:val="24"/>
                <w:lang w:val="ro-RO"/>
              </w:rPr>
              <w:t>e specifice (</w:t>
            </w:r>
            <w:proofErr w:type="spellStart"/>
            <w:r w:rsidR="006B0E5E">
              <w:rPr>
                <w:rFonts w:ascii="Times New Roman" w:hAnsi="Times New Roman" w:cs="Times New Roman"/>
                <w:sz w:val="24"/>
                <w:lang w:val="ro-RO"/>
              </w:rPr>
              <w:t>adîncime</w:t>
            </w:r>
            <w:proofErr w:type="spellEnd"/>
            <w:r w:rsidR="006B0E5E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="006B0E5E">
              <w:rPr>
                <w:rFonts w:ascii="Times New Roman" w:hAnsi="Times New Roman" w:cs="Times New Roman"/>
                <w:sz w:val="24"/>
                <w:lang w:val="ro-RO"/>
              </w:rPr>
              <w:t>lațime</w:t>
            </w:r>
            <w:proofErr w:type="spellEnd"/>
            <w:r w:rsidR="006B0E5E">
              <w:rPr>
                <w:rFonts w:ascii="Times New Roman" w:hAnsi="Times New Roman" w:cs="Times New Roman"/>
                <w:sz w:val="24"/>
                <w:lang w:val="ro-RO"/>
              </w:rPr>
              <w:t xml:space="preserve"> și înălțime sub poduri).</w:t>
            </w:r>
          </w:p>
          <w:p w:rsidR="00584645" w:rsidRDefault="000D72BF" w:rsidP="00F16329">
            <w:pPr>
              <w:widowControl w:val="0"/>
              <w:tabs>
                <w:tab w:val="left" w:pos="319"/>
              </w:tabs>
              <w:spacing w:after="0" w:line="240" w:lineRule="auto"/>
              <w:ind w:right="20" w:firstLine="72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Sub alt aspect, conform Strategiei de transport și logistică pentru anii 2013-2022, unul din obiectivele primare în domeniul naval în RM, este reactivarea către anul 2020 a circulației fluviale pe căile navale interne. În acest sens, prin adoptarea în anul 2013 a Legii nr.176 </w:t>
            </w:r>
            <w:r w:rsidRPr="000D72BF">
              <w:rPr>
                <w:rFonts w:ascii="Times New Roman" w:hAnsi="Times New Roman" w:cs="Times New Roman"/>
                <w:sz w:val="24"/>
                <w:lang w:val="ro-RO"/>
              </w:rPr>
              <w:t>privind transportul naval intern al Republicii Moldova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 fost creată baza normativă primară pentru lucrările de menținere a șenalului navigabil or, </w:t>
            </w:r>
            <w:r w:rsidR="00F16329">
              <w:rPr>
                <w:rFonts w:ascii="Times New Roman" w:hAnsi="Times New Roman" w:cs="Times New Roman"/>
                <w:sz w:val="24"/>
                <w:lang w:val="ro-RO"/>
              </w:rPr>
              <w:t>potrivit prevederilor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art. 6 al. 3 al Legii sus-menționate: </w:t>
            </w:r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„în cazurile în care este necesară asigurarea </w:t>
            </w:r>
            <w:proofErr w:type="spellStart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>securităţii</w:t>
            </w:r>
            <w:proofErr w:type="spellEnd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 </w:t>
            </w:r>
            <w:proofErr w:type="spellStart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>navigaţiei</w:t>
            </w:r>
            <w:proofErr w:type="spellEnd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, lucrările de </w:t>
            </w:r>
            <w:proofErr w:type="spellStart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>întreţinere</w:t>
            </w:r>
            <w:proofErr w:type="spellEnd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 a căilor navigabile interne </w:t>
            </w:r>
            <w:proofErr w:type="spellStart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>şi</w:t>
            </w:r>
            <w:proofErr w:type="spellEnd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 a </w:t>
            </w:r>
            <w:proofErr w:type="spellStart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>construcţiilor</w:t>
            </w:r>
            <w:proofErr w:type="spellEnd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 hidrotehnice navale se realizează în baza regulamentului aprobat de autoritatea centrală de specialitate </w:t>
            </w:r>
            <w:proofErr w:type="spellStart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>şi</w:t>
            </w:r>
            <w:proofErr w:type="spellEnd"/>
            <w:r w:rsidRPr="000D72B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 de autoritatea centrală de specialitate în domeniul mediului”</w:t>
            </w:r>
            <w:r w:rsidRPr="000D72B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="008B1FC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:rsidR="003C675D" w:rsidRPr="00744662" w:rsidRDefault="003C675D" w:rsidP="00F16329">
            <w:pPr>
              <w:widowControl w:val="0"/>
              <w:tabs>
                <w:tab w:val="left" w:pos="319"/>
              </w:tabs>
              <w:spacing w:after="0" w:line="240" w:lineRule="auto"/>
              <w:ind w:right="20" w:firstLine="72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Prin urmare, considerăm că promovarea </w:t>
            </w:r>
            <w:r w:rsidR="006134D7">
              <w:rPr>
                <w:rFonts w:ascii="Times New Roman" w:hAnsi="Times New Roman" w:cs="Times New Roman"/>
                <w:sz w:val="24"/>
                <w:lang w:val="ro-RO"/>
              </w:rPr>
              <w:t xml:space="preserve">proiectului </w:t>
            </w:r>
            <w:r w:rsidR="006134D7" w:rsidRPr="006134D7">
              <w:rPr>
                <w:rFonts w:ascii="Times New Roman" w:hAnsi="Times New Roman" w:cs="Times New Roman"/>
                <w:sz w:val="24"/>
                <w:lang w:val="ro-RO"/>
              </w:rPr>
              <w:t>Ordinului cu privire la aprobarea Regulamentului cu privire la procedura de coordonare a efectuării și supravegherii lucrărilor de menținere a șenalului navigabil intern al Republicii Moldova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va duce la crearea mecanismelor legale și funcționale pentru reactivarea transportului pe căile navigabile interne, v-a </w:t>
            </w:r>
            <w:r w:rsidR="00723EA6">
              <w:rPr>
                <w:rFonts w:ascii="Times New Roman" w:hAnsi="Times New Roman" w:cs="Times New Roman"/>
                <w:sz w:val="24"/>
                <w:lang w:val="ro-RO"/>
              </w:rPr>
              <w:t>elimina fenomenul extragerii de nisipului și prundișului sub pretextul curățirii șenalului navigabil și va impulsiona transportul naval prin utilizarea durabilă și sustenabilă a căilor navigabile a statului.</w:t>
            </w:r>
          </w:p>
        </w:tc>
      </w:tr>
      <w:tr w:rsidR="00F02139" w:rsidRPr="00483A57" w:rsidTr="00D11C6E">
        <w:trPr>
          <w:trHeight w:val="69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Descrierea gradului de compatibilitate pentru proiectele care au ca scop armonizarea legislației naționale cu legislația Uniunii Europene </w:t>
            </w:r>
          </w:p>
        </w:tc>
      </w:tr>
      <w:tr w:rsidR="00F02139" w:rsidRPr="00483A57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97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="00C03F15"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  </w:t>
            </w:r>
            <w:r w:rsidR="00972D6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Proiectul prezentat este în deplină concordanță cu </w:t>
            </w:r>
            <w:r w:rsidR="00C03F15" w:rsidRPr="0074466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prevederile legislației naționale și nu intră în contradicție cu prevederile legislației UE.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Principalele prevederi ale proiectului şi evidențierea elementelor noi </w:t>
            </w:r>
          </w:p>
        </w:tc>
      </w:tr>
      <w:tr w:rsidR="008E751E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751E" w:rsidRPr="008373B9" w:rsidRDefault="006134D7" w:rsidP="007446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roiectul</w:t>
            </w:r>
            <w:proofErr w:type="spellEnd"/>
            <w:r w:rsidRPr="006134D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Ordinului cu privire la aprobarea Regulamentului cu privire la procedura de coordonare a efectuării și supravegherii lucrărilor de menținere a șenalului navigabil intern al Republicii Moldova</w:t>
            </w:r>
            <w:r w:rsidR="00D067C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, se referă la temeiul și procedura inițierii lucrărilor de menținere a șenalului navigabil, </w:t>
            </w:r>
            <w:r w:rsidR="00F7370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modul de coordonare și supraveghere a acestor lucrări și competențele autorităților statului în acest proces, condițiile generale și speciale pentru elaborarea documentației de executare a lucrărilor de menținere a șenalului navigabil, precum și cerințele generale și specifice față de organizațiile specializate care vor efectua lucrări de menținere a șenalului navigabil. </w:t>
            </w:r>
          </w:p>
        </w:tc>
      </w:tr>
      <w:tr w:rsidR="008E751E" w:rsidRPr="00744662" w:rsidTr="008E751E">
        <w:trPr>
          <w:trHeight w:val="393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5.</w:t>
            </w:r>
            <w:r w:rsidR="007B3CFE"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Fundamentarea economico-financiară</w:t>
            </w:r>
          </w:p>
        </w:tc>
      </w:tr>
      <w:tr w:rsidR="008E751E" w:rsidRPr="00483A57" w:rsidTr="008E751E">
        <w:trPr>
          <w:trHeight w:val="6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373B9" w:rsidP="00323CF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lastRenderedPageBreak/>
              <w:t>Pentru implementarea</w:t>
            </w:r>
            <w:r w:rsidR="008E751E"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prevederilor </w:t>
            </w:r>
            <w:r w:rsidR="00C1292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Ordinului pentru aprobarea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Regulamentului și finanțarea lucrărilor</w:t>
            </w:r>
            <w:r w:rsidR="00323CF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Ministerul Economiei și Infrastructurii a înaintat propuneri la proiectul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Hotărîrii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Guvernului pentru aprobarea Cadrului Bugetar pe Termen Mediu </w:t>
            </w:r>
            <w:r w:rsidR="0079347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2020-2022 </w:t>
            </w:r>
            <w:r w:rsidR="00323CF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și aprobarea finanță</w:t>
            </w:r>
            <w:r w:rsidR="0079347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rii lucrărilor în mărime de 1 176 000 lei.</w:t>
            </w:r>
          </w:p>
        </w:tc>
      </w:tr>
      <w:tr w:rsidR="00F02139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Modul de încorporare a actului în cadrul normativ în vigoare </w:t>
            </w:r>
          </w:p>
        </w:tc>
      </w:tr>
      <w:tr w:rsidR="00F02139" w:rsidRPr="00744662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A0EF8" w:rsidP="00395C1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8E751E" w:rsidRPr="007446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Proiectul </w:t>
            </w:r>
            <w:r w:rsidR="00395C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Ordinului pentru aprobarea </w:t>
            </w:r>
            <w:r w:rsidR="00395C11" w:rsidRPr="00395C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Regulamentului cu privire la procedura de coordonare a efectuării și supravegherii lucrărilor de menținere a șenalului navigabil intern al Republicii Moldova</w:t>
            </w:r>
            <w:r w:rsidR="00395C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este elaborat în vederea executării prevederilor Legii nr.176/2013 privind transportul naval intern al Republicii Moldova.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Avizarea şi consultarea publică a proiectului 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86B91" w:rsidRDefault="00F02139" w:rsidP="00C03F15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 </w:t>
            </w:r>
            <w:r w:rsidR="00E86B91" w:rsidRPr="007446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Proiectul </w:t>
            </w:r>
            <w:r w:rsidR="00E86B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Ordinului pentru aprobarea </w:t>
            </w:r>
            <w:r w:rsidR="00E86B91" w:rsidRPr="00395C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Regulamentului cu privire la procedura de coordonare a efectuării și supravegherii lucrărilor de menținere a șenalului navigabil intern al Republicii Moldova</w:t>
            </w:r>
            <w:r w:rsidR="00E86B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a fost elaborat în comun de către Ministerul Economiei și Infrastructurii și </w:t>
            </w:r>
            <w:r w:rsidR="00E86B91" w:rsidRPr="00E86B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  <w:r w:rsidR="00E86B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și urmează a fi consultat și avizat cu Ministerul Justiției.</w:t>
            </w:r>
          </w:p>
          <w:p w:rsidR="00F02139" w:rsidRPr="00744662" w:rsidRDefault="00FA0EF8" w:rsidP="00C03F1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 xml:space="preserve">În scopul respectării prevederilor Legii 239/2008 privind transparența în procesul decizional, anunțul privind inițierea procedurii de elaborare a Proiectului poate fi accesat pe pagina web oficială a Ministerului Economiei și Infrastructurii (compartimentul </w:t>
            </w:r>
            <w:r w:rsidRPr="00744662">
              <w:rPr>
                <w:rFonts w:ascii="Times New Roman" w:eastAsia="Calibri" w:hAnsi="Times New Roman" w:cs="Times New Roman"/>
                <w:i/>
                <w:sz w:val="24"/>
                <w:szCs w:val="26"/>
                <w:lang w:val="ro-RO"/>
              </w:rPr>
              <w:t>„Transparența”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 xml:space="preserve">, directoriul </w:t>
            </w:r>
            <w:r w:rsidRPr="00744662">
              <w:rPr>
                <w:rFonts w:ascii="Times New Roman" w:eastAsia="Calibri" w:hAnsi="Times New Roman" w:cs="Times New Roman"/>
                <w:i/>
                <w:sz w:val="24"/>
                <w:szCs w:val="26"/>
                <w:lang w:val="ro-RO"/>
              </w:rPr>
              <w:t>Transparență decizională/Anunțuri privind inițierea procesului”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 xml:space="preserve">), și pe portalul guvernamental 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u w:val="single"/>
                <w:lang w:val="ro-RO"/>
              </w:rPr>
              <w:t>particip.gov.md.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8.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 xml:space="preserve">Constatările expertizei </w:t>
            </w:r>
            <w:r w:rsidR="00744662"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anticorupție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  <w:tr w:rsidR="008E751E" w:rsidRPr="00483A57" w:rsidTr="008E751E">
        <w:trPr>
          <w:trHeight w:val="312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7B3CF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 </w:t>
            </w:r>
            <w:r w:rsidR="007B3CFE"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Expertiza dată se va efectua după procedura de avizare și consultare a proiectului.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9.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Constatările expertizei de compatibilitate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  <w:tr w:rsidR="008E751E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1C1474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 </w:t>
            </w:r>
            <w:r w:rsidR="001C1474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Proiectul nu necesită efectuarea expertizei de compatibilitate.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10.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Constatările expertizei juridice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  <w:tr w:rsidR="008E751E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 </w:t>
            </w:r>
            <w:r w:rsidR="007B3CFE"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Expertiza dată se va efectua după procedura de avizare și consultare a proiectului.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11.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Constatările altor expertize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</w:tbl>
    <w:p w:rsidR="008E751E" w:rsidRPr="00744662" w:rsidRDefault="008E751E" w:rsidP="00C03F1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751E" w:rsidRPr="00744662" w:rsidRDefault="008E751E" w:rsidP="00C03F1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45ACE" w:rsidRDefault="00C03F15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 xml:space="preserve">    Secretar general de stat</w:t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="00D11C6E" w:rsidRPr="00744662">
        <w:rPr>
          <w:rFonts w:ascii="Times New Roman" w:hAnsi="Times New Roman" w:cs="Times New Roman"/>
          <w:b/>
          <w:sz w:val="28"/>
          <w:szCs w:val="24"/>
          <w:lang w:val="ro-RO"/>
        </w:rPr>
        <w:t xml:space="preserve">            </w:t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  <w:t xml:space="preserve">    Iulia COSTIN</w:t>
      </w:r>
      <w:r w:rsidR="00483A57">
        <w:rPr>
          <w:rFonts w:ascii="Times New Roman" w:hAnsi="Times New Roman" w:cs="Times New Roman"/>
          <w:b/>
          <w:sz w:val="28"/>
          <w:szCs w:val="24"/>
          <w:lang w:val="ro-RO"/>
        </w:rPr>
        <w:tab/>
      </w: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Pr="003D2CAF" w:rsidRDefault="00483A57" w:rsidP="00483A57">
      <w:pPr>
        <w:framePr w:wrap="none" w:vAnchor="page" w:hAnchor="page" w:x="5341" w:y="75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ro-RO"/>
        </w:rPr>
      </w:pP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C1292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="00C1292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</w:instrText>
      </w:r>
      <w:r w:rsidR="00C1292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>INCLUDEPICTURE  "D:\\AppData\\Local\\Temp\\FineReader11\\media\\image1.png" \* MERGEFORMATINET</w:instrText>
      </w:r>
      <w:r w:rsidR="00C1292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</w:instrText>
      </w:r>
      <w:r w:rsidR="00C1292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 w:rsidR="00840A32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15pt;height:78.05pt">
            <v:imagedata r:id="rId5" r:href="rId6"/>
          </v:shape>
        </w:pict>
      </w:r>
      <w:r w:rsidR="00C12926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</w:p>
    <w:p w:rsidR="00483A57" w:rsidRDefault="00483A57" w:rsidP="00483A57"/>
    <w:p w:rsidR="00483A57" w:rsidRPr="003D2CAF" w:rsidRDefault="00483A57" w:rsidP="00483A57"/>
    <w:p w:rsidR="00483A57" w:rsidRPr="003D2CAF" w:rsidRDefault="00483A57" w:rsidP="00483A57">
      <w:pPr>
        <w:widowControl w:val="0"/>
        <w:spacing w:after="467" w:line="37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17"/>
          <w:sz w:val="37"/>
          <w:szCs w:val="37"/>
          <w:lang w:val="ro-RO"/>
        </w:rPr>
      </w:pPr>
      <w:bookmarkStart w:id="1" w:name="bookmark0"/>
      <w:r w:rsidRPr="003D2CAF">
        <w:rPr>
          <w:rFonts w:ascii="Times New Roman" w:eastAsia="Times New Roman" w:hAnsi="Times New Roman" w:cs="Times New Roman"/>
          <w:b/>
          <w:bCs/>
          <w:color w:val="000000"/>
          <w:spacing w:val="17"/>
          <w:sz w:val="37"/>
          <w:szCs w:val="37"/>
          <w:lang w:val="ro-RO"/>
        </w:rPr>
        <w:t>GUVERNUL REPUBLICII MOLDOVA</w:t>
      </w:r>
      <w:bookmarkEnd w:id="1"/>
    </w:p>
    <w:p w:rsidR="00483A57" w:rsidRPr="003D2CAF" w:rsidRDefault="00483A57" w:rsidP="00483A57">
      <w:pPr>
        <w:pStyle w:val="Heading20"/>
        <w:shd w:val="clear" w:color="auto" w:fill="auto"/>
        <w:tabs>
          <w:tab w:val="left" w:leader="underscore" w:pos="3641"/>
        </w:tabs>
        <w:spacing w:before="0" w:after="245" w:line="290" w:lineRule="exact"/>
        <w:ind w:left="60"/>
        <w:rPr>
          <w:lang w:val="ro-RO"/>
        </w:rPr>
      </w:pPr>
      <w:bookmarkStart w:id="2" w:name="bookmark1"/>
      <w:r w:rsidRPr="003D2CAF">
        <w:rPr>
          <w:color w:val="000000"/>
          <w:lang w:val="ro-RO"/>
        </w:rPr>
        <w:t xml:space="preserve">H O T Ă R Î R E </w:t>
      </w:r>
      <w:r w:rsidRPr="003D2CAF">
        <w:rPr>
          <w:color w:val="000000"/>
          <w:spacing w:val="7"/>
          <w:sz w:val="20"/>
          <w:szCs w:val="20"/>
          <w:shd w:val="clear" w:color="auto" w:fill="FFFFFF"/>
          <w:lang w:val="ro-RO"/>
        </w:rPr>
        <w:t>nr.</w:t>
      </w:r>
      <w:r w:rsidRPr="003D2CAF">
        <w:rPr>
          <w:lang w:val="it-IT"/>
        </w:rPr>
        <w:t xml:space="preserve"> </w:t>
      </w:r>
      <w:r w:rsidRPr="003D2CAF">
        <w:rPr>
          <w:lang w:val="it-IT"/>
        </w:rPr>
        <w:tab/>
      </w:r>
      <w:r w:rsidRPr="003D2CAF">
        <w:rPr>
          <w:color w:val="000000"/>
          <w:spacing w:val="7"/>
          <w:sz w:val="20"/>
          <w:szCs w:val="20"/>
          <w:shd w:val="clear" w:color="auto" w:fill="FFFFFF"/>
          <w:lang w:val="ro-RO"/>
        </w:rPr>
        <w:tab/>
      </w:r>
      <w:bookmarkEnd w:id="2"/>
    </w:p>
    <w:p w:rsidR="00483A57" w:rsidRPr="003D2CAF" w:rsidRDefault="00483A57" w:rsidP="00483A57">
      <w:pPr>
        <w:widowControl w:val="0"/>
        <w:tabs>
          <w:tab w:val="left" w:leader="underscore" w:pos="4030"/>
        </w:tabs>
        <w:spacing w:after="28" w:line="200" w:lineRule="exact"/>
        <w:ind w:left="60"/>
        <w:jc w:val="center"/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ro-RO"/>
        </w:rPr>
        <w:t>din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ro-RO"/>
        </w:rPr>
        <w:t>______________________________</w:t>
      </w:r>
    </w:p>
    <w:p w:rsidR="00483A57" w:rsidRPr="003D2CAF" w:rsidRDefault="00483A57" w:rsidP="00483A57">
      <w:pPr>
        <w:widowControl w:val="0"/>
        <w:spacing w:after="0" w:line="200" w:lineRule="exact"/>
        <w:ind w:left="60"/>
        <w:jc w:val="center"/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  <w:t>Chișinău</w:t>
      </w:r>
    </w:p>
    <w:p w:rsidR="00483A57" w:rsidRPr="00D950F9" w:rsidRDefault="00483A57" w:rsidP="00483A57">
      <w:pPr>
        <w:tabs>
          <w:tab w:val="left" w:pos="2610"/>
        </w:tabs>
        <w:rPr>
          <w:lang w:val="ro-RO"/>
        </w:rPr>
      </w:pPr>
    </w:p>
    <w:p w:rsidR="00483A57" w:rsidRDefault="00483A57" w:rsidP="00483A57">
      <w:pPr>
        <w:jc w:val="center"/>
        <w:rPr>
          <w:rFonts w:ascii="Times New Roman" w:hAnsi="Times New Roman" w:cs="Times New Roman"/>
          <w:b/>
          <w:lang w:val="ro-RO"/>
        </w:rPr>
      </w:pPr>
      <w:r w:rsidRPr="00D950F9">
        <w:rPr>
          <w:rFonts w:ascii="Times New Roman" w:hAnsi="Times New Roman" w:cs="Times New Roman"/>
          <w:b/>
          <w:lang w:val="ro-RO"/>
        </w:rPr>
        <w:t>p</w:t>
      </w:r>
      <w:r w:rsidRPr="003D2CAF">
        <w:rPr>
          <w:rFonts w:ascii="Times New Roman" w:hAnsi="Times New Roman" w:cs="Times New Roman"/>
          <w:b/>
          <w:lang w:val="ro-RO"/>
        </w:rPr>
        <w:t>entru modificarea punctului 15 din Hotărârea Guvernului nr. 855/2007 cu privire la aprobarea Regulilor de înregistrare a navelor maritime în Republica Moldova</w:t>
      </w:r>
    </w:p>
    <w:p w:rsidR="00483A57" w:rsidRDefault="00483A57" w:rsidP="00483A57">
      <w:pPr>
        <w:jc w:val="center"/>
        <w:rPr>
          <w:rFonts w:ascii="Times New Roman" w:hAnsi="Times New Roman" w:cs="Times New Roman"/>
          <w:b/>
          <w:lang w:val="ro-RO"/>
        </w:rPr>
      </w:pPr>
    </w:p>
    <w:p w:rsidR="00483A57" w:rsidRPr="003D2CAF" w:rsidRDefault="00483A57" w:rsidP="00483A57">
      <w:pPr>
        <w:widowControl w:val="0"/>
        <w:shd w:val="clear" w:color="auto" w:fill="FFFFFF"/>
        <w:spacing w:after="30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În temeiul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alin. (4) art. 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31 din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Legea nr. 599/1999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pentru aproba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rea Codului navigației maritime </w:t>
      </w:r>
      <w:r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omerciale al Republicii Moldova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(Monitorul Oficial a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l Republicii Moldova, 20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01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, </w:t>
      </w:r>
      <w:r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nr.1-4/2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cu modificările ulterioare,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Guvernul HOTĂRĂŞTE:</w:t>
      </w:r>
    </w:p>
    <w:p w:rsidR="00483A57" w:rsidRPr="003D2CAF" w:rsidRDefault="00483A57" w:rsidP="00483A57">
      <w:pPr>
        <w:widowControl w:val="0"/>
        <w:numPr>
          <w:ilvl w:val="0"/>
          <w:numId w:val="4"/>
        </w:numPr>
        <w:tabs>
          <w:tab w:val="left" w:pos="103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Punct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ul 15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din 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Hotărârea Guvernului nr. 855/2007 cu privire la aprobarea Regulilor de înregistrare a navelor maritime în Republica Moldova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(Monitorul Ofi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cial al Republicii Moldova, 2007, nr.117-126/895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se modifică după cum urmează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:</w:t>
      </w:r>
    </w:p>
    <w:p w:rsidR="00483A57" w:rsidRPr="00C768B2" w:rsidRDefault="00483A57" w:rsidP="00483A57">
      <w:pPr>
        <w:widowControl w:val="0"/>
        <w:tabs>
          <w:tab w:val="left" w:pos="1038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„15.</w:t>
      </w:r>
      <w:r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În conformitate cu Codul navigației maritime comerciale al Republicii Moldova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, n</w:t>
      </w:r>
      <w:r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ava cumpărată sau construită în alt stat primește dreptul de a naviga sub pavilionul Republicii Moldova în momentul introducerii înscrierilor corespunzătoare în registrul navelor sau în catalogul naval şi al eliberării de către Agenția Navală a certificatelor provizorii care atestă acest drept. </w:t>
      </w:r>
      <w:r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Certificatele menţionate sînt valabile pînă la finalizarea procedurii de înregistrare permanentă a navei şi eliberarea certificatelor ce atestă înregistrarea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  <w:t>permanentă, dar cel mult 6 luni.”</w:t>
      </w:r>
    </w:p>
    <w:p w:rsidR="00483A57" w:rsidRPr="003D2CAF" w:rsidRDefault="00483A57" w:rsidP="00483A57">
      <w:pPr>
        <w:widowControl w:val="0"/>
        <w:tabs>
          <w:tab w:val="left" w:pos="1038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</w:p>
    <w:p w:rsidR="00483A57" w:rsidRPr="003D2CAF" w:rsidRDefault="00483A57" w:rsidP="00483A57">
      <w:pPr>
        <w:pStyle w:val="BodyText2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exact"/>
        <w:ind w:left="20" w:firstLine="720"/>
        <w:rPr>
          <w:lang w:val="it-IT"/>
        </w:rPr>
      </w:pPr>
      <w:r>
        <w:rPr>
          <w:color w:val="000000"/>
          <w:sz w:val="24"/>
          <w:szCs w:val="24"/>
          <w:lang w:val="ro-RO"/>
        </w:rPr>
        <w:t xml:space="preserve">Prezenta </w:t>
      </w:r>
      <w:r w:rsidRPr="003D2CAF">
        <w:rPr>
          <w:lang w:val="it-IT"/>
        </w:rPr>
        <w:t>hotărâre</w:t>
      </w:r>
      <w:r>
        <w:rPr>
          <w:color w:val="000000"/>
          <w:sz w:val="24"/>
          <w:szCs w:val="24"/>
          <w:lang w:val="ro-RO"/>
        </w:rPr>
        <w:t xml:space="preserve"> intră în vigoare </w:t>
      </w:r>
      <w:r w:rsidRPr="001769D2">
        <w:rPr>
          <w:color w:val="000000"/>
          <w:sz w:val="24"/>
          <w:szCs w:val="24"/>
          <w:lang w:val="ro-RO"/>
        </w:rPr>
        <w:t>la data publicării în Monitorul Oficial al Republicii Moldova</w:t>
      </w:r>
      <w:r>
        <w:rPr>
          <w:color w:val="000000"/>
          <w:sz w:val="24"/>
          <w:szCs w:val="24"/>
          <w:lang w:val="ro-RO"/>
        </w:rPr>
        <w:t>.</w:t>
      </w:r>
    </w:p>
    <w:p w:rsidR="00483A57" w:rsidRDefault="00483A57" w:rsidP="00483A57">
      <w:pPr>
        <w:jc w:val="both"/>
        <w:rPr>
          <w:rFonts w:ascii="Times New Roman" w:hAnsi="Times New Roman" w:cs="Times New Roman"/>
          <w:b/>
          <w:lang w:val="ro-RO"/>
        </w:rPr>
      </w:pPr>
    </w:p>
    <w:p w:rsidR="00483A57" w:rsidRPr="003D2CAF" w:rsidRDefault="00483A57" w:rsidP="00483A57">
      <w:pPr>
        <w:widowControl w:val="0"/>
        <w:tabs>
          <w:tab w:val="left" w:pos="6505"/>
        </w:tabs>
        <w:spacing w:after="0" w:line="643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  <w:lastRenderedPageBreak/>
        <w:t>Prim-ministru</w:t>
      </w: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  <w:tab/>
        <w:t>PAVEL FILIP</w:t>
      </w:r>
    </w:p>
    <w:p w:rsidR="00483A57" w:rsidRPr="003D2CAF" w:rsidRDefault="00483A57" w:rsidP="00483A57">
      <w:pPr>
        <w:widowControl w:val="0"/>
        <w:spacing w:after="0" w:line="64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</w:p>
    <w:p w:rsidR="00483A57" w:rsidRPr="003D2CAF" w:rsidRDefault="00483A57" w:rsidP="00483A57">
      <w:pPr>
        <w:widowControl w:val="0"/>
        <w:spacing w:after="300" w:line="64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Contrasemnează:</w:t>
      </w:r>
    </w:p>
    <w:p w:rsidR="00483A57" w:rsidRPr="003D2CAF" w:rsidRDefault="00483A57" w:rsidP="00483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Ministrul economiei </w:t>
      </w:r>
      <w:r w:rsidRPr="003D2CAF">
        <w:rPr>
          <w:rFonts w:ascii="Times New Roman" w:eastAsia="Times New Roman" w:hAnsi="Times New Roman" w:cs="Times New Roman"/>
          <w:i/>
          <w:iCs/>
          <w:color w:val="000000"/>
          <w:sz w:val="8"/>
          <w:szCs w:val="8"/>
          <w:lang w:val="ro-RO"/>
        </w:rPr>
        <w:tab/>
      </w:r>
    </w:p>
    <w:p w:rsidR="00483A57" w:rsidRPr="003D2CAF" w:rsidRDefault="00483A57" w:rsidP="00483A57">
      <w:pPr>
        <w:widowControl w:val="0"/>
        <w:tabs>
          <w:tab w:val="left" w:pos="6495"/>
        </w:tabs>
        <w:spacing w:after="0" w:line="240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şi infrastructurii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                                                            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Chiril GABURICI</w:t>
      </w:r>
    </w:p>
    <w:p w:rsidR="00483A57" w:rsidRPr="00DB0860" w:rsidRDefault="00483A57" w:rsidP="00483A57">
      <w:pPr>
        <w:spacing w:after="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</w:p>
    <w:p w:rsidR="00483A57" w:rsidRPr="00744662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sectPr w:rsidR="00483A57" w:rsidRPr="00744662" w:rsidSect="00D11C6E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BBD"/>
    <w:multiLevelType w:val="multilevel"/>
    <w:tmpl w:val="1D6C12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B56901"/>
    <w:multiLevelType w:val="hybridMultilevel"/>
    <w:tmpl w:val="F3661A86"/>
    <w:lvl w:ilvl="0" w:tplc="2D046E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8916D8"/>
    <w:multiLevelType w:val="multilevel"/>
    <w:tmpl w:val="0F32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39"/>
    <w:rsid w:val="000A27D0"/>
    <w:rsid w:val="000D72BF"/>
    <w:rsid w:val="001C1474"/>
    <w:rsid w:val="00323CF7"/>
    <w:rsid w:val="003242CE"/>
    <w:rsid w:val="00345ACE"/>
    <w:rsid w:val="00395C11"/>
    <w:rsid w:val="003C675D"/>
    <w:rsid w:val="00483A57"/>
    <w:rsid w:val="00584645"/>
    <w:rsid w:val="005A682E"/>
    <w:rsid w:val="005C1954"/>
    <w:rsid w:val="005D4753"/>
    <w:rsid w:val="006134D7"/>
    <w:rsid w:val="006B0E5E"/>
    <w:rsid w:val="00723EA6"/>
    <w:rsid w:val="00744662"/>
    <w:rsid w:val="00793472"/>
    <w:rsid w:val="007B3CFE"/>
    <w:rsid w:val="008373B9"/>
    <w:rsid w:val="00840A32"/>
    <w:rsid w:val="00843864"/>
    <w:rsid w:val="00862E89"/>
    <w:rsid w:val="008B1FC7"/>
    <w:rsid w:val="008E751E"/>
    <w:rsid w:val="00972D60"/>
    <w:rsid w:val="00985EFE"/>
    <w:rsid w:val="009F3D69"/>
    <w:rsid w:val="00A16B29"/>
    <w:rsid w:val="00AF0EF6"/>
    <w:rsid w:val="00BB4CA3"/>
    <w:rsid w:val="00BC5341"/>
    <w:rsid w:val="00C03F15"/>
    <w:rsid w:val="00C12926"/>
    <w:rsid w:val="00D067C7"/>
    <w:rsid w:val="00D11C6E"/>
    <w:rsid w:val="00D75B97"/>
    <w:rsid w:val="00E8095D"/>
    <w:rsid w:val="00E86B91"/>
    <w:rsid w:val="00EF647A"/>
    <w:rsid w:val="00F02139"/>
    <w:rsid w:val="00F16329"/>
    <w:rsid w:val="00F73701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5B62"/>
  <w15:chartTrackingRefBased/>
  <w15:docId w15:val="{3E2232DB-B2FD-42DE-9AA0-016292AF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FA0E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C6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8464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E751E"/>
    <w:pPr>
      <w:ind w:left="720"/>
      <w:contextualSpacing/>
    </w:pPr>
  </w:style>
  <w:style w:type="character" w:customStyle="1" w:styleId="Heading2">
    <w:name w:val="Heading #2_"/>
    <w:basedOn w:val="a0"/>
    <w:link w:val="Heading20"/>
    <w:rsid w:val="00483A57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Heading20">
    <w:name w:val="Heading #2"/>
    <w:basedOn w:val="a"/>
    <w:link w:val="Heading2"/>
    <w:rsid w:val="00483A57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Bodytext">
    <w:name w:val="Body text_"/>
    <w:basedOn w:val="a0"/>
    <w:link w:val="BodyText2"/>
    <w:rsid w:val="00483A57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BodyText2">
    <w:name w:val="Body Text2"/>
    <w:basedOn w:val="a"/>
    <w:link w:val="Bodytext"/>
    <w:rsid w:val="00483A57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AppData/Local/Temp/FineReader11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malic Nicolae</cp:lastModifiedBy>
  <cp:revision>38</cp:revision>
  <cp:lastPrinted>2018-12-17T13:09:00Z</cp:lastPrinted>
  <dcterms:created xsi:type="dcterms:W3CDTF">2019-01-25T06:47:00Z</dcterms:created>
  <dcterms:modified xsi:type="dcterms:W3CDTF">2019-01-25T07:56:00Z</dcterms:modified>
</cp:coreProperties>
</file>