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FEB" w:rsidRPr="00016AA5" w:rsidRDefault="00486FEB" w:rsidP="00486FEB">
      <w:pPr>
        <w:pStyle w:val="a3"/>
        <w:jc w:val="center"/>
        <w:rPr>
          <w:rFonts w:ascii="Times New Roman" w:hAnsi="Times New Roman" w:cs="Times New Roman"/>
          <w:b/>
          <w:sz w:val="26"/>
          <w:szCs w:val="26"/>
        </w:rPr>
      </w:pPr>
      <w:bookmarkStart w:id="0" w:name="_GoBack"/>
      <w:bookmarkEnd w:id="0"/>
      <w:r w:rsidRPr="00016AA5">
        <w:rPr>
          <w:rFonts w:ascii="Times New Roman" w:hAnsi="Times New Roman" w:cs="Times New Roman"/>
          <w:b/>
          <w:sz w:val="26"/>
          <w:szCs w:val="26"/>
        </w:rPr>
        <w:t>Notă informativă</w:t>
      </w:r>
    </w:p>
    <w:p w:rsidR="00486FEB" w:rsidRPr="00016AA5" w:rsidRDefault="00486FEB" w:rsidP="00486FEB">
      <w:pPr>
        <w:spacing w:after="0"/>
        <w:jc w:val="center"/>
        <w:rPr>
          <w:rStyle w:val="FontStyle20"/>
          <w:sz w:val="26"/>
          <w:szCs w:val="26"/>
          <w:lang w:val="en-US"/>
        </w:rPr>
      </w:pPr>
      <w:proofErr w:type="gramStart"/>
      <w:r w:rsidRPr="00016AA5">
        <w:rPr>
          <w:rFonts w:ascii="Times New Roman" w:hAnsi="Times New Roman" w:cs="Times New Roman"/>
          <w:b/>
          <w:sz w:val="26"/>
          <w:szCs w:val="26"/>
          <w:lang w:val="en-US"/>
        </w:rPr>
        <w:t>la</w:t>
      </w:r>
      <w:proofErr w:type="gram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proiectul</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hotărîrii</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Guvernului</w:t>
      </w:r>
      <w:proofErr w:type="spellEnd"/>
      <w:r w:rsidRPr="00016AA5">
        <w:rPr>
          <w:rFonts w:ascii="Times New Roman" w:hAnsi="Times New Roman" w:cs="Times New Roman"/>
          <w:b/>
          <w:sz w:val="26"/>
          <w:szCs w:val="26"/>
          <w:lang w:val="en-US"/>
        </w:rPr>
        <w:t xml:space="preserve"> </w:t>
      </w:r>
      <w:proofErr w:type="spellStart"/>
      <w:r w:rsidRPr="00016AA5">
        <w:rPr>
          <w:rStyle w:val="FontStyle20"/>
          <w:sz w:val="26"/>
          <w:szCs w:val="26"/>
          <w:lang w:val="en-US"/>
        </w:rPr>
        <w:t>despre</w:t>
      </w:r>
      <w:proofErr w:type="spellEnd"/>
      <w:r w:rsidRPr="00016AA5">
        <w:rPr>
          <w:rStyle w:val="FontStyle20"/>
          <w:sz w:val="26"/>
          <w:szCs w:val="26"/>
          <w:lang w:val="en-US"/>
        </w:rPr>
        <w:t xml:space="preserve"> </w:t>
      </w:r>
      <w:proofErr w:type="spellStart"/>
      <w:r w:rsidRPr="00016AA5">
        <w:rPr>
          <w:rStyle w:val="FontStyle20"/>
          <w:sz w:val="26"/>
          <w:szCs w:val="26"/>
          <w:lang w:val="en-US"/>
        </w:rPr>
        <w:t>aprobarea</w:t>
      </w:r>
      <w:proofErr w:type="spellEnd"/>
      <w:r w:rsidRPr="00016AA5">
        <w:rPr>
          <w:rStyle w:val="FontStyle20"/>
          <w:sz w:val="26"/>
          <w:szCs w:val="26"/>
          <w:lang w:val="en-US"/>
        </w:rPr>
        <w:t xml:space="preserve"> </w:t>
      </w:r>
      <w:proofErr w:type="spellStart"/>
      <w:r w:rsidR="00016AA5">
        <w:rPr>
          <w:rStyle w:val="FontStyle20"/>
          <w:sz w:val="26"/>
          <w:szCs w:val="26"/>
          <w:lang w:val="en-US"/>
        </w:rPr>
        <w:t>Anexelor</w:t>
      </w:r>
      <w:proofErr w:type="spellEnd"/>
      <w:r w:rsidRPr="00016AA5">
        <w:rPr>
          <w:rStyle w:val="FontStyle20"/>
          <w:sz w:val="26"/>
          <w:szCs w:val="26"/>
          <w:lang w:val="en-US"/>
        </w:rPr>
        <w:t xml:space="preserve"> cu </w:t>
      </w:r>
      <w:proofErr w:type="spellStart"/>
      <w:r w:rsidRPr="00016AA5">
        <w:rPr>
          <w:rStyle w:val="FontStyle20"/>
          <w:sz w:val="26"/>
          <w:szCs w:val="26"/>
          <w:lang w:val="en-US"/>
        </w:rPr>
        <w:t>privire</w:t>
      </w:r>
      <w:proofErr w:type="spellEnd"/>
      <w:r w:rsidRPr="00016AA5">
        <w:rPr>
          <w:rStyle w:val="FontStyle20"/>
          <w:sz w:val="26"/>
          <w:szCs w:val="26"/>
          <w:lang w:val="en-US"/>
        </w:rPr>
        <w:t xml:space="preserve"> la </w:t>
      </w:r>
      <w:proofErr w:type="spellStart"/>
      <w:r w:rsidRPr="00016AA5">
        <w:rPr>
          <w:rStyle w:val="FontStyle20"/>
          <w:sz w:val="26"/>
          <w:szCs w:val="26"/>
          <w:lang w:val="en-US"/>
        </w:rPr>
        <w:t>importul</w:t>
      </w:r>
      <w:proofErr w:type="spellEnd"/>
      <w:r w:rsidRPr="00016AA5">
        <w:rPr>
          <w:rStyle w:val="FontStyle20"/>
          <w:sz w:val="26"/>
          <w:szCs w:val="26"/>
          <w:lang w:val="en-US"/>
        </w:rPr>
        <w:t xml:space="preserve"> de </w:t>
      </w:r>
      <w:proofErr w:type="spellStart"/>
      <w:r w:rsidRPr="00016AA5">
        <w:rPr>
          <w:rStyle w:val="FontStyle20"/>
          <w:sz w:val="26"/>
          <w:szCs w:val="26"/>
          <w:lang w:val="en-US"/>
        </w:rPr>
        <w:t>seminţe</w:t>
      </w:r>
      <w:proofErr w:type="spellEnd"/>
      <w:r w:rsidRPr="00016AA5">
        <w:rPr>
          <w:rStyle w:val="FontStyle20"/>
          <w:sz w:val="26"/>
          <w:szCs w:val="26"/>
          <w:lang w:val="en-US"/>
        </w:rPr>
        <w:t xml:space="preserve"> </w:t>
      </w:r>
      <w:proofErr w:type="spellStart"/>
      <w:r w:rsidRPr="00016AA5">
        <w:rPr>
          <w:rStyle w:val="FontStyle20"/>
          <w:sz w:val="26"/>
          <w:szCs w:val="26"/>
          <w:lang w:val="en-US"/>
        </w:rPr>
        <w:t>şi</w:t>
      </w:r>
      <w:proofErr w:type="spellEnd"/>
      <w:r w:rsidRPr="00016AA5">
        <w:rPr>
          <w:rStyle w:val="FontStyle20"/>
          <w:sz w:val="26"/>
          <w:szCs w:val="26"/>
          <w:lang w:val="en-US"/>
        </w:rPr>
        <w:t xml:space="preserve"> material </w:t>
      </w:r>
      <w:proofErr w:type="spellStart"/>
      <w:r w:rsidRPr="00016AA5">
        <w:rPr>
          <w:rStyle w:val="FontStyle20"/>
          <w:sz w:val="26"/>
          <w:szCs w:val="26"/>
          <w:lang w:val="en-US"/>
        </w:rPr>
        <w:t>săditor</w:t>
      </w:r>
      <w:proofErr w:type="spellEnd"/>
    </w:p>
    <w:p w:rsidR="00486FEB" w:rsidRPr="00016AA5" w:rsidRDefault="00486FEB" w:rsidP="00486FEB">
      <w:pPr>
        <w:spacing w:after="0" w:line="240" w:lineRule="auto"/>
        <w:jc w:val="center"/>
        <w:rPr>
          <w:rFonts w:ascii="Times New Roman" w:hAnsi="Times New Roman" w:cs="Times New Roman"/>
          <w:b/>
          <w:sz w:val="26"/>
          <w:szCs w:val="26"/>
          <w:lang w:val="en-US"/>
        </w:rPr>
      </w:pPr>
    </w:p>
    <w:tbl>
      <w:tblPr>
        <w:tblStyle w:val="a5"/>
        <w:tblW w:w="0" w:type="auto"/>
        <w:tblLook w:val="04A0" w:firstRow="1" w:lastRow="0" w:firstColumn="1" w:lastColumn="0" w:noHBand="0" w:noVBand="1"/>
      </w:tblPr>
      <w:tblGrid>
        <w:gridCol w:w="9571"/>
      </w:tblGrid>
      <w:tr w:rsidR="00486FEB" w:rsidRPr="00016AA5" w:rsidTr="00D269AF">
        <w:tc>
          <w:tcPr>
            <w:tcW w:w="9571" w:type="dxa"/>
          </w:tcPr>
          <w:p w:rsidR="00486FEB" w:rsidRPr="00016AA5" w:rsidRDefault="00486FEB" w:rsidP="00D269AF">
            <w:pPr>
              <w:pStyle w:val="a3"/>
              <w:rPr>
                <w:rFonts w:ascii="Times New Roman" w:hAnsi="Times New Roman" w:cs="Times New Roman"/>
                <w:b/>
                <w:sz w:val="26"/>
                <w:szCs w:val="26"/>
              </w:rPr>
            </w:pPr>
            <w:r w:rsidRPr="00016AA5">
              <w:rPr>
                <w:rFonts w:ascii="Times New Roman" w:hAnsi="Times New Roman" w:cs="Times New Roman"/>
                <w:b/>
                <w:sz w:val="26"/>
                <w:szCs w:val="26"/>
              </w:rPr>
              <w:t>Autorii proiectului</w:t>
            </w:r>
          </w:p>
        </w:tc>
      </w:tr>
      <w:tr w:rsidR="00486FEB" w:rsidRPr="00016AA5" w:rsidTr="00D269AF">
        <w:tc>
          <w:tcPr>
            <w:tcW w:w="9571" w:type="dxa"/>
          </w:tcPr>
          <w:p w:rsidR="00486FEB" w:rsidRPr="00016AA5" w:rsidRDefault="00486FEB" w:rsidP="00D269AF">
            <w:pPr>
              <w:rPr>
                <w:rFonts w:ascii="Times New Roman" w:hAnsi="Times New Roman" w:cs="Times New Roman"/>
                <w:sz w:val="26"/>
                <w:szCs w:val="26"/>
                <w:lang w:val="en-US"/>
              </w:rPr>
            </w:pPr>
            <w:proofErr w:type="spellStart"/>
            <w:r w:rsidRPr="00016AA5">
              <w:rPr>
                <w:rFonts w:ascii="Times New Roman" w:hAnsi="Times New Roman" w:cs="Times New Roman"/>
                <w:sz w:val="26"/>
                <w:szCs w:val="26"/>
                <w:lang w:val="en-US"/>
              </w:rPr>
              <w:t>Ministerul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Agriculturii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Dezvoltării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Regionale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și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Mediului</w:t>
            </w:r>
            <w:proofErr w:type="spellEnd"/>
            <w:r w:rsidRPr="00016AA5">
              <w:rPr>
                <w:rFonts w:ascii="Times New Roman" w:hAnsi="Times New Roman" w:cs="Times New Roman"/>
                <w:sz w:val="26"/>
                <w:szCs w:val="26"/>
                <w:lang w:val="en-US"/>
              </w:rPr>
              <w:t>.</w:t>
            </w:r>
          </w:p>
        </w:tc>
      </w:tr>
      <w:tr w:rsidR="00486FEB" w:rsidRPr="00016AA5" w:rsidTr="00D269AF">
        <w:tc>
          <w:tcPr>
            <w:tcW w:w="9571" w:type="dxa"/>
          </w:tcPr>
          <w:p w:rsidR="00486FEB" w:rsidRPr="00016AA5" w:rsidRDefault="00486FEB" w:rsidP="00D269AF">
            <w:pPr>
              <w:pStyle w:val="a3"/>
              <w:rPr>
                <w:rFonts w:ascii="Times New Roman" w:hAnsi="Times New Roman" w:cs="Times New Roman"/>
                <w:b/>
                <w:sz w:val="26"/>
                <w:szCs w:val="26"/>
                <w:lang w:val="en-US"/>
              </w:rPr>
            </w:pPr>
            <w:proofErr w:type="spellStart"/>
            <w:r w:rsidRPr="00016AA5">
              <w:rPr>
                <w:rFonts w:ascii="Times New Roman" w:hAnsi="Times New Roman" w:cs="Times New Roman"/>
                <w:b/>
                <w:sz w:val="26"/>
                <w:szCs w:val="26"/>
                <w:lang w:val="en-US"/>
              </w:rPr>
              <w:t>Condiţiile</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ce</w:t>
            </w:r>
            <w:proofErr w:type="spellEnd"/>
            <w:r w:rsidRPr="00016AA5">
              <w:rPr>
                <w:rFonts w:ascii="Times New Roman" w:hAnsi="Times New Roman" w:cs="Times New Roman"/>
                <w:b/>
                <w:sz w:val="26"/>
                <w:szCs w:val="26"/>
                <w:lang w:val="en-US"/>
              </w:rPr>
              <w:t xml:space="preserve"> au </w:t>
            </w:r>
            <w:proofErr w:type="spellStart"/>
            <w:r w:rsidRPr="00016AA5">
              <w:rPr>
                <w:rFonts w:ascii="Times New Roman" w:hAnsi="Times New Roman" w:cs="Times New Roman"/>
                <w:b/>
                <w:sz w:val="26"/>
                <w:szCs w:val="26"/>
                <w:lang w:val="en-US"/>
              </w:rPr>
              <w:t>impus</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elaborarea</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proiectului</w:t>
            </w:r>
            <w:proofErr w:type="spellEnd"/>
            <w:r w:rsidRPr="00016AA5">
              <w:rPr>
                <w:rFonts w:ascii="Times New Roman" w:hAnsi="Times New Roman" w:cs="Times New Roman"/>
                <w:b/>
                <w:sz w:val="26"/>
                <w:szCs w:val="26"/>
                <w:lang w:val="en-US"/>
              </w:rPr>
              <w:t xml:space="preserve"> de act </w:t>
            </w:r>
            <w:proofErr w:type="spellStart"/>
            <w:r w:rsidRPr="00016AA5">
              <w:rPr>
                <w:rFonts w:ascii="Times New Roman" w:hAnsi="Times New Roman" w:cs="Times New Roman"/>
                <w:b/>
                <w:sz w:val="26"/>
                <w:szCs w:val="26"/>
                <w:lang w:val="en-US"/>
              </w:rPr>
              <w:t>normativ</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şi</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finalităţile</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urmărite</w:t>
            </w:r>
            <w:proofErr w:type="spellEnd"/>
          </w:p>
        </w:tc>
      </w:tr>
      <w:tr w:rsidR="00486FEB" w:rsidRPr="00016AA5" w:rsidTr="00D269AF">
        <w:tc>
          <w:tcPr>
            <w:tcW w:w="9571" w:type="dxa"/>
          </w:tcPr>
          <w:p w:rsidR="00486FEB" w:rsidRPr="00016AA5" w:rsidRDefault="00486FEB" w:rsidP="00D269AF">
            <w:pPr>
              <w:pStyle w:val="a3"/>
              <w:jc w:val="both"/>
              <w:rPr>
                <w:rFonts w:ascii="Times New Roman" w:hAnsi="Times New Roman" w:cs="Times New Roman"/>
                <w:b/>
                <w:sz w:val="26"/>
                <w:szCs w:val="26"/>
                <w:lang w:val="en-US"/>
              </w:rPr>
            </w:pPr>
            <w:proofErr w:type="spellStart"/>
            <w:r w:rsidRPr="00016AA5">
              <w:rPr>
                <w:rFonts w:ascii="Times New Roman" w:hAnsi="Times New Roman" w:cs="Times New Roman"/>
                <w:sz w:val="26"/>
                <w:szCs w:val="26"/>
                <w:lang w:val="en-US"/>
              </w:rPr>
              <w:t>Proiectul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hotărîrii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nominalizate</w:t>
            </w:r>
            <w:proofErr w:type="spellEnd"/>
            <w:r w:rsidRPr="00016AA5">
              <w:rPr>
                <w:rFonts w:ascii="Times New Roman" w:hAnsi="Times New Roman" w:cs="Times New Roman"/>
                <w:sz w:val="26"/>
                <w:szCs w:val="26"/>
                <w:lang w:val="en-US"/>
              </w:rPr>
              <w:t xml:space="preserve"> a </w:t>
            </w:r>
            <w:proofErr w:type="spellStart"/>
            <w:r w:rsidRPr="00016AA5">
              <w:rPr>
                <w:rFonts w:ascii="Times New Roman" w:hAnsi="Times New Roman" w:cs="Times New Roman"/>
                <w:sz w:val="26"/>
                <w:szCs w:val="26"/>
                <w:lang w:val="en-US"/>
              </w:rPr>
              <w:t>fost</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elaborat</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ca</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urmare</w:t>
            </w:r>
            <w:proofErr w:type="spellEnd"/>
            <w:r w:rsidRPr="00016AA5">
              <w:rPr>
                <w:rFonts w:ascii="Times New Roman" w:hAnsi="Times New Roman" w:cs="Times New Roman"/>
                <w:sz w:val="26"/>
                <w:szCs w:val="26"/>
                <w:lang w:val="en-US"/>
              </w:rPr>
              <w:t xml:space="preserve"> </w:t>
            </w:r>
            <w:proofErr w:type="gramStart"/>
            <w:r w:rsidRPr="00016AA5">
              <w:rPr>
                <w:rFonts w:ascii="Times New Roman" w:hAnsi="Times New Roman" w:cs="Times New Roman"/>
                <w:sz w:val="26"/>
                <w:szCs w:val="26"/>
                <w:lang w:val="en-US"/>
              </w:rPr>
              <w:t>a</w:t>
            </w:r>
            <w:proofErr w:type="gram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adoptării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modificărilor</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și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completărilor</w:t>
            </w:r>
            <w:proofErr w:type="spellEnd"/>
            <w:r w:rsidRPr="00016AA5">
              <w:rPr>
                <w:rFonts w:ascii="Times New Roman" w:hAnsi="Times New Roman" w:cs="Times New Roman"/>
                <w:sz w:val="26"/>
                <w:szCs w:val="26"/>
                <w:lang w:val="en-US"/>
              </w:rPr>
              <w:t xml:space="preserve"> la</w:t>
            </w:r>
            <w:r w:rsidRPr="00016AA5">
              <w:rPr>
                <w:sz w:val="26"/>
                <w:szCs w:val="26"/>
                <w:lang w:val="en-US"/>
              </w:rPr>
              <w:t xml:space="preserve"> </w:t>
            </w:r>
            <w:proofErr w:type="spellStart"/>
            <w:r w:rsidRPr="00016AA5">
              <w:rPr>
                <w:rFonts w:ascii="Times New Roman" w:hAnsi="Times New Roman" w:cs="Times New Roman"/>
                <w:sz w:val="26"/>
                <w:szCs w:val="26"/>
                <w:lang w:val="en-US"/>
              </w:rPr>
              <w:t>Legea</w:t>
            </w:r>
            <w:proofErr w:type="spellEnd"/>
            <w:r w:rsidRPr="00016AA5">
              <w:rPr>
                <w:rFonts w:ascii="Times New Roman" w:eastAsia="Arial Unicode MS" w:hAnsi="Times New Roman" w:cs="Times New Roman"/>
                <w:sz w:val="26"/>
                <w:szCs w:val="26"/>
                <w:lang w:val="en-US"/>
              </w:rPr>
              <w:t xml:space="preserve"> nr. 68 din 5 </w:t>
            </w:r>
            <w:proofErr w:type="spellStart"/>
            <w:r w:rsidRPr="00016AA5">
              <w:rPr>
                <w:rFonts w:ascii="Times New Roman" w:eastAsia="Arial Unicode MS" w:hAnsi="Times New Roman" w:cs="Times New Roman"/>
                <w:sz w:val="26"/>
                <w:szCs w:val="26"/>
                <w:lang w:val="en-US"/>
              </w:rPr>
              <w:t>aprilie</w:t>
            </w:r>
            <w:proofErr w:type="spellEnd"/>
            <w:r w:rsidRPr="00016AA5">
              <w:rPr>
                <w:rFonts w:ascii="Times New Roman" w:eastAsia="Arial Unicode MS" w:hAnsi="Times New Roman" w:cs="Times New Roman"/>
                <w:sz w:val="26"/>
                <w:szCs w:val="26"/>
                <w:lang w:val="en-US"/>
              </w:rPr>
              <w:t xml:space="preserve"> 2013 </w:t>
            </w:r>
            <w:proofErr w:type="spellStart"/>
            <w:r w:rsidRPr="00016AA5">
              <w:rPr>
                <w:rFonts w:ascii="Times New Roman" w:eastAsia="Arial Unicode MS" w:hAnsi="Times New Roman" w:cs="Times New Roman"/>
                <w:sz w:val="26"/>
                <w:szCs w:val="26"/>
                <w:lang w:val="en-US"/>
              </w:rPr>
              <w:t>despre</w:t>
            </w:r>
            <w:proofErr w:type="spellEnd"/>
            <w:r w:rsidRPr="00016AA5">
              <w:rPr>
                <w:rFonts w:ascii="Times New Roman" w:eastAsia="Arial Unicode MS" w:hAnsi="Times New Roman" w:cs="Times New Roman"/>
                <w:sz w:val="26"/>
                <w:szCs w:val="26"/>
                <w:lang w:val="en-US"/>
              </w:rPr>
              <w:t xml:space="preserve"> </w:t>
            </w:r>
            <w:proofErr w:type="spellStart"/>
            <w:r w:rsidRPr="00016AA5">
              <w:rPr>
                <w:rFonts w:ascii="Times New Roman" w:eastAsia="Arial Unicode MS" w:hAnsi="Times New Roman" w:cs="Times New Roman"/>
                <w:sz w:val="26"/>
                <w:szCs w:val="26"/>
                <w:lang w:val="en-US"/>
              </w:rPr>
              <w:t>seminţe</w:t>
            </w:r>
            <w:proofErr w:type="spellEnd"/>
            <w:r w:rsidRPr="00016AA5">
              <w:rPr>
                <w:rFonts w:ascii="Times New Roman" w:eastAsia="Arial Unicode MS"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Prezentele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Anexe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stabilesc</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condiţiile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şi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modul</w:t>
            </w:r>
            <w:proofErr w:type="spellEnd"/>
            <w:r w:rsidRPr="00016AA5">
              <w:rPr>
                <w:rFonts w:ascii="Times New Roman" w:hAnsi="Times New Roman" w:cs="Times New Roman"/>
                <w:sz w:val="26"/>
                <w:szCs w:val="26"/>
                <w:lang w:val="en-US"/>
              </w:rPr>
              <w:t xml:space="preserve"> de </w:t>
            </w:r>
            <w:proofErr w:type="spellStart"/>
            <w:r w:rsidRPr="00016AA5">
              <w:rPr>
                <w:rFonts w:ascii="Times New Roman" w:hAnsi="Times New Roman" w:cs="Times New Roman"/>
                <w:sz w:val="26"/>
                <w:szCs w:val="26"/>
                <w:lang w:val="en-US"/>
              </w:rPr>
              <w:t>importare</w:t>
            </w:r>
            <w:proofErr w:type="spellEnd"/>
            <w:r w:rsidRPr="00016AA5">
              <w:rPr>
                <w:rFonts w:ascii="Times New Roman" w:hAnsi="Times New Roman" w:cs="Times New Roman"/>
                <w:sz w:val="26"/>
                <w:szCs w:val="26"/>
                <w:lang w:val="en-US"/>
              </w:rPr>
              <w:t xml:space="preserve"> a </w:t>
            </w:r>
            <w:proofErr w:type="spellStart"/>
            <w:r w:rsidRPr="00016AA5">
              <w:rPr>
                <w:rFonts w:ascii="Times New Roman" w:hAnsi="Times New Roman" w:cs="Times New Roman"/>
                <w:sz w:val="26"/>
                <w:szCs w:val="26"/>
                <w:lang w:val="en-US"/>
              </w:rPr>
              <w:t>seminţelor</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şi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materialului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săditor</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denumite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în</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continuare</w:t>
            </w:r>
            <w:proofErr w:type="spellEnd"/>
            <w:r w:rsidRPr="00016AA5">
              <w:rPr>
                <w:rFonts w:ascii="Times New Roman" w:hAnsi="Times New Roman" w:cs="Times New Roman"/>
                <w:sz w:val="26"/>
                <w:szCs w:val="26"/>
                <w:lang w:val="en-US"/>
              </w:rPr>
              <w:t xml:space="preserve"> cu </w:t>
            </w:r>
            <w:proofErr w:type="spellStart"/>
            <w:r w:rsidRPr="00016AA5">
              <w:rPr>
                <w:rFonts w:ascii="Times New Roman" w:hAnsi="Times New Roman" w:cs="Times New Roman"/>
                <w:sz w:val="26"/>
                <w:szCs w:val="26"/>
                <w:lang w:val="en-US"/>
              </w:rPr>
              <w:t>termenul</w:t>
            </w:r>
            <w:proofErr w:type="spellEnd"/>
            <w:r w:rsidRPr="00016AA5">
              <w:rPr>
                <w:rFonts w:ascii="Times New Roman" w:hAnsi="Times New Roman" w:cs="Times New Roman"/>
                <w:sz w:val="26"/>
                <w:szCs w:val="26"/>
                <w:lang w:val="en-US"/>
              </w:rPr>
              <w:t xml:space="preserve"> generic de </w:t>
            </w:r>
            <w:proofErr w:type="spellStart"/>
            <w:r w:rsidRPr="00016AA5">
              <w:rPr>
                <w:rFonts w:ascii="Times New Roman" w:hAnsi="Times New Roman" w:cs="Times New Roman"/>
                <w:sz w:val="26"/>
                <w:szCs w:val="26"/>
                <w:lang w:val="en-US"/>
              </w:rPr>
              <w:t>seminţe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în</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scopul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protecţiei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pieţei</w:t>
            </w:r>
            <w:proofErr w:type="spellEnd"/>
            <w:r w:rsidRPr="00016AA5">
              <w:rPr>
                <w:rFonts w:ascii="Times New Roman" w:hAnsi="Times New Roman" w:cs="Times New Roman"/>
                <w:sz w:val="26"/>
                <w:szCs w:val="26"/>
                <w:lang w:val="en-US"/>
              </w:rPr>
              <w:t xml:space="preserve"> interne de </w:t>
            </w:r>
            <w:proofErr w:type="spellStart"/>
            <w:r w:rsidRPr="00016AA5">
              <w:rPr>
                <w:rFonts w:ascii="Times New Roman" w:hAnsi="Times New Roman" w:cs="Times New Roman"/>
                <w:sz w:val="26"/>
                <w:szCs w:val="26"/>
                <w:lang w:val="en-US"/>
              </w:rPr>
              <w:t>introducerea</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seminţelor</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necertificate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şi</w:t>
            </w:r>
            <w:proofErr w:type="spellEnd"/>
            <w:r w:rsidRPr="00016AA5">
              <w:rPr>
                <w:rFonts w:ascii="Times New Roman" w:hAnsi="Times New Roman" w:cs="Times New Roman"/>
                <w:sz w:val="26"/>
                <w:szCs w:val="26"/>
                <w:lang w:val="en-US"/>
              </w:rPr>
              <w:t xml:space="preserve"> cu </w:t>
            </w:r>
            <w:proofErr w:type="spellStart"/>
            <w:r w:rsidRPr="00016AA5">
              <w:rPr>
                <w:rFonts w:ascii="Times New Roman" w:hAnsi="Times New Roman" w:cs="Times New Roman"/>
                <w:sz w:val="26"/>
                <w:szCs w:val="26"/>
                <w:lang w:val="en-US"/>
              </w:rPr>
              <w:t>calităţi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agrobiologice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reduse</w:t>
            </w:r>
            <w:proofErr w:type="spellEnd"/>
            <w:r w:rsidRPr="00016AA5">
              <w:rPr>
                <w:rFonts w:ascii="Times New Roman" w:hAnsi="Times New Roman" w:cs="Times New Roman"/>
                <w:sz w:val="26"/>
                <w:szCs w:val="26"/>
                <w:lang w:val="en-US"/>
              </w:rPr>
              <w:t xml:space="preserve">, de </w:t>
            </w:r>
            <w:proofErr w:type="spellStart"/>
            <w:r w:rsidRPr="00016AA5">
              <w:rPr>
                <w:rFonts w:ascii="Times New Roman" w:hAnsi="Times New Roman" w:cs="Times New Roman"/>
                <w:sz w:val="26"/>
                <w:szCs w:val="26"/>
                <w:lang w:val="en-US"/>
              </w:rPr>
              <w:t>soiuri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şi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hibrizi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neomologaţi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pentru</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multiplicare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precum</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şi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pentru</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protecţia</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drepturilor</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amelioratorilor</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menţinătorilor</w:t>
            </w:r>
            <w:proofErr w:type="spellEnd"/>
            <w:r w:rsidRPr="00016AA5">
              <w:rPr>
                <w:rFonts w:ascii="Times New Roman" w:hAnsi="Times New Roman" w:cs="Times New Roman"/>
                <w:sz w:val="26"/>
                <w:szCs w:val="26"/>
                <w:lang w:val="en-US"/>
              </w:rPr>
              <w:t xml:space="preserve">) de </w:t>
            </w:r>
            <w:proofErr w:type="spellStart"/>
            <w:r w:rsidRPr="00016AA5">
              <w:rPr>
                <w:rFonts w:ascii="Times New Roman" w:hAnsi="Times New Roman" w:cs="Times New Roman"/>
                <w:sz w:val="26"/>
                <w:szCs w:val="26"/>
                <w:lang w:val="en-US"/>
              </w:rPr>
              <w:t>soiuri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autohtoni</w:t>
            </w:r>
            <w:proofErr w:type="spellEnd"/>
            <w:r w:rsidR="00016AA5">
              <w:rPr>
                <w:rFonts w:ascii="Times New Roman" w:hAnsi="Times New Roman" w:cs="Times New Roman"/>
                <w:sz w:val="26"/>
                <w:szCs w:val="26"/>
                <w:lang w:val="en-US"/>
              </w:rPr>
              <w:t>.</w:t>
            </w:r>
          </w:p>
        </w:tc>
      </w:tr>
      <w:tr w:rsidR="00486FEB" w:rsidRPr="00016AA5" w:rsidTr="00D269AF">
        <w:tc>
          <w:tcPr>
            <w:tcW w:w="9571" w:type="dxa"/>
          </w:tcPr>
          <w:p w:rsidR="00486FEB" w:rsidRPr="00016AA5" w:rsidRDefault="00486FEB" w:rsidP="00D269AF">
            <w:pPr>
              <w:pStyle w:val="a3"/>
              <w:rPr>
                <w:rFonts w:ascii="Times New Roman" w:hAnsi="Times New Roman" w:cs="Times New Roman"/>
                <w:b/>
                <w:sz w:val="26"/>
                <w:szCs w:val="26"/>
                <w:lang w:val="en-US"/>
              </w:rPr>
            </w:pPr>
            <w:proofErr w:type="spellStart"/>
            <w:r w:rsidRPr="00016AA5">
              <w:rPr>
                <w:rFonts w:ascii="Times New Roman" w:hAnsi="Times New Roman" w:cs="Times New Roman"/>
                <w:b/>
                <w:sz w:val="26"/>
                <w:szCs w:val="26"/>
                <w:lang w:val="en-US"/>
              </w:rPr>
              <w:t>Principalele</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prevederi</w:t>
            </w:r>
            <w:proofErr w:type="spellEnd"/>
            <w:r w:rsidRPr="00016AA5">
              <w:rPr>
                <w:rFonts w:ascii="Times New Roman" w:hAnsi="Times New Roman" w:cs="Times New Roman"/>
                <w:b/>
                <w:sz w:val="26"/>
                <w:szCs w:val="26"/>
                <w:lang w:val="en-US"/>
              </w:rPr>
              <w:t xml:space="preserve"> ale </w:t>
            </w:r>
            <w:proofErr w:type="spellStart"/>
            <w:r w:rsidRPr="00016AA5">
              <w:rPr>
                <w:rFonts w:ascii="Times New Roman" w:hAnsi="Times New Roman" w:cs="Times New Roman"/>
                <w:b/>
                <w:sz w:val="26"/>
                <w:szCs w:val="26"/>
                <w:lang w:val="en-US"/>
              </w:rPr>
              <w:t>proiectului</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şi</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evidenţierea</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elementelor</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noi</w:t>
            </w:r>
            <w:proofErr w:type="spellEnd"/>
          </w:p>
        </w:tc>
      </w:tr>
      <w:tr w:rsidR="00486FEB" w:rsidRPr="00016AA5" w:rsidTr="00D269AF">
        <w:tc>
          <w:tcPr>
            <w:tcW w:w="9571" w:type="dxa"/>
          </w:tcPr>
          <w:p w:rsidR="00486FEB" w:rsidRPr="00016AA5" w:rsidRDefault="00486FEB" w:rsidP="00D269AF">
            <w:pPr>
              <w:pStyle w:val="a3"/>
              <w:jc w:val="both"/>
              <w:rPr>
                <w:rStyle w:val="2"/>
                <w:rFonts w:eastAsiaTheme="majorEastAsia"/>
                <w:sz w:val="26"/>
                <w:szCs w:val="26"/>
              </w:rPr>
            </w:pPr>
            <w:r w:rsidRPr="00016AA5">
              <w:rPr>
                <w:rStyle w:val="2"/>
                <w:rFonts w:eastAsiaTheme="majorEastAsia"/>
                <w:sz w:val="26"/>
                <w:szCs w:val="26"/>
              </w:rPr>
              <w:t xml:space="preserve">Acest proiect a fost elaborat în </w:t>
            </w:r>
            <w:proofErr w:type="spellStart"/>
            <w:r w:rsidRPr="00016AA5">
              <w:rPr>
                <w:rFonts w:ascii="Times New Roman" w:hAnsi="Times New Roman" w:cs="Times New Roman"/>
                <w:sz w:val="26"/>
                <w:szCs w:val="26"/>
                <w:lang w:val="en-US"/>
              </w:rPr>
              <w:t>scopul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reglementării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importului</w:t>
            </w:r>
            <w:proofErr w:type="spellEnd"/>
            <w:r w:rsidRPr="00016AA5">
              <w:rPr>
                <w:rFonts w:ascii="Times New Roman" w:hAnsi="Times New Roman" w:cs="Times New Roman"/>
                <w:sz w:val="26"/>
                <w:szCs w:val="26"/>
                <w:lang w:val="en-US"/>
              </w:rPr>
              <w:t xml:space="preserve"> de </w:t>
            </w:r>
            <w:proofErr w:type="spellStart"/>
            <w:r w:rsidRPr="00016AA5">
              <w:rPr>
                <w:rFonts w:ascii="Times New Roman" w:hAnsi="Times New Roman" w:cs="Times New Roman"/>
                <w:sz w:val="26"/>
                <w:szCs w:val="26"/>
                <w:lang w:val="en-US"/>
              </w:rPr>
              <w:t>seminţe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şi</w:t>
            </w:r>
            <w:proofErr w:type="spellEnd"/>
            <w:r w:rsidRPr="00016AA5">
              <w:rPr>
                <w:rFonts w:ascii="Times New Roman" w:hAnsi="Times New Roman" w:cs="Times New Roman"/>
                <w:sz w:val="26"/>
                <w:szCs w:val="26"/>
                <w:lang w:val="en-US"/>
              </w:rPr>
              <w:t xml:space="preserve"> material </w:t>
            </w:r>
            <w:proofErr w:type="spellStart"/>
            <w:r w:rsidRPr="00016AA5">
              <w:rPr>
                <w:rFonts w:ascii="Times New Roman" w:hAnsi="Times New Roman" w:cs="Times New Roman"/>
                <w:sz w:val="26"/>
                <w:szCs w:val="26"/>
                <w:lang w:val="en-US"/>
              </w:rPr>
              <w:t>săditor</w:t>
            </w:r>
            <w:proofErr w:type="spellEnd"/>
            <w:r w:rsidRPr="00016AA5">
              <w:rPr>
                <w:rFonts w:ascii="Times New Roman" w:hAnsi="Times New Roman" w:cs="Times New Roman"/>
                <w:sz w:val="26"/>
                <w:szCs w:val="26"/>
                <w:lang w:val="en-US"/>
              </w:rPr>
              <w:t xml:space="preserve">  </w:t>
            </w:r>
            <w:r w:rsidRPr="00016AA5">
              <w:rPr>
                <w:rStyle w:val="2"/>
                <w:rFonts w:eastAsiaTheme="majorEastAsia"/>
                <w:sz w:val="26"/>
                <w:szCs w:val="26"/>
              </w:rPr>
              <w:t>întru realizarea acțiunii creşterea bunăstării, siguranţei şi calităţii vieţii cetăţenilor, în special, prin dezvoltarea economiei şi facilitarea creării locurilor de muncă bine plătite, din Programul de activitate al Guvernului Republicii Moldova pentru anii 2016 -2018.</w:t>
            </w:r>
          </w:p>
          <w:p w:rsidR="00486FEB" w:rsidRPr="00016AA5" w:rsidRDefault="00486FEB" w:rsidP="00D269AF">
            <w:pPr>
              <w:pStyle w:val="a3"/>
              <w:jc w:val="both"/>
              <w:rPr>
                <w:rFonts w:ascii="Times New Roman" w:hAnsi="Times New Roman" w:cs="Times New Roman"/>
                <w:b/>
                <w:sz w:val="26"/>
                <w:szCs w:val="26"/>
                <w:lang w:val="en-US"/>
              </w:rPr>
            </w:pPr>
            <w:r w:rsidRPr="00016AA5">
              <w:rPr>
                <w:rStyle w:val="2"/>
                <w:rFonts w:eastAsiaTheme="majorEastAsia"/>
                <w:sz w:val="26"/>
                <w:szCs w:val="26"/>
              </w:rPr>
              <w:t xml:space="preserve">Liberalizarea importului de seminţe şi material săditor, </w:t>
            </w:r>
            <w:proofErr w:type="spellStart"/>
            <w:r w:rsidRPr="00016AA5">
              <w:rPr>
                <w:rStyle w:val="2"/>
                <w:rFonts w:eastAsiaTheme="majorEastAsia"/>
                <w:sz w:val="26"/>
                <w:szCs w:val="26"/>
              </w:rPr>
              <w:t>cît</w:t>
            </w:r>
            <w:proofErr w:type="spellEnd"/>
            <w:r w:rsidRPr="00016AA5">
              <w:rPr>
                <w:rStyle w:val="2"/>
                <w:rFonts w:eastAsiaTheme="majorEastAsia"/>
                <w:sz w:val="26"/>
                <w:szCs w:val="26"/>
              </w:rPr>
              <w:t xml:space="preserve"> şi recunoaşterea integrală a Catalogului comun al soiurilor de plante agricole, Catalogului soiurilor de specii de legume, şi Sistemului informaţional pentru materialul de înmulţire şi plante fructifer FRUMATIS va avea un impact pozitiv asupra activităţii economice în agricultură prin sporirea productivităţii şi a competitivităţii sectorului agroalimentar, asigurarea pieţei interne cu material săditor şi semincer de calitate şi varietăţi competitive, sporirea exporturilor de produse agroalimentare, creşterea nivelului de viaţă a cetăţenilor din mediul rural</w:t>
            </w:r>
          </w:p>
        </w:tc>
      </w:tr>
      <w:tr w:rsidR="00486FEB" w:rsidRPr="00016AA5" w:rsidTr="00D269AF">
        <w:tc>
          <w:tcPr>
            <w:tcW w:w="9571" w:type="dxa"/>
          </w:tcPr>
          <w:p w:rsidR="00486FEB" w:rsidRPr="00016AA5" w:rsidRDefault="00486FEB" w:rsidP="00D269AF">
            <w:pPr>
              <w:pStyle w:val="a3"/>
              <w:rPr>
                <w:rFonts w:ascii="Times New Roman" w:hAnsi="Times New Roman" w:cs="Times New Roman"/>
                <w:b/>
                <w:sz w:val="26"/>
                <w:szCs w:val="26"/>
              </w:rPr>
            </w:pPr>
            <w:r w:rsidRPr="00016AA5">
              <w:rPr>
                <w:rFonts w:ascii="Times New Roman" w:hAnsi="Times New Roman" w:cs="Times New Roman"/>
                <w:b/>
                <w:sz w:val="26"/>
                <w:szCs w:val="26"/>
              </w:rPr>
              <w:t>Fundamentarea economico-financiară</w:t>
            </w:r>
          </w:p>
        </w:tc>
      </w:tr>
      <w:tr w:rsidR="00486FEB" w:rsidRPr="00016AA5" w:rsidTr="00D269AF">
        <w:tc>
          <w:tcPr>
            <w:tcW w:w="9571" w:type="dxa"/>
          </w:tcPr>
          <w:p w:rsidR="00486FEB" w:rsidRPr="00016AA5" w:rsidRDefault="00486FEB" w:rsidP="00D269AF">
            <w:pPr>
              <w:pStyle w:val="a3"/>
              <w:jc w:val="both"/>
              <w:rPr>
                <w:rFonts w:ascii="Times New Roman" w:hAnsi="Times New Roman" w:cs="Times New Roman"/>
                <w:b/>
                <w:sz w:val="26"/>
                <w:szCs w:val="26"/>
                <w:lang w:val="en-US"/>
              </w:rPr>
            </w:pPr>
            <w:proofErr w:type="spellStart"/>
            <w:r w:rsidRPr="00016AA5">
              <w:rPr>
                <w:rFonts w:ascii="Times New Roman" w:hAnsi="Times New Roman" w:cs="Times New Roman"/>
                <w:sz w:val="26"/>
                <w:szCs w:val="26"/>
                <w:lang w:val="en-US"/>
              </w:rPr>
              <w:t>Implementarea</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acestui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proiect</w:t>
            </w:r>
            <w:proofErr w:type="spellEnd"/>
            <w:r w:rsidRPr="00016AA5">
              <w:rPr>
                <w:rFonts w:ascii="Times New Roman" w:hAnsi="Times New Roman" w:cs="Times New Roman"/>
                <w:sz w:val="26"/>
                <w:szCs w:val="26"/>
                <w:lang w:val="en-US"/>
              </w:rPr>
              <w:t xml:space="preserve"> nu </w:t>
            </w:r>
            <w:proofErr w:type="spellStart"/>
            <w:r w:rsidRPr="00016AA5">
              <w:rPr>
                <w:rFonts w:ascii="Times New Roman" w:hAnsi="Times New Roman" w:cs="Times New Roman"/>
                <w:sz w:val="26"/>
                <w:szCs w:val="26"/>
                <w:lang w:val="en-US"/>
              </w:rPr>
              <w:t>necesită</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alocarea</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resurselor</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financiare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suplimentare</w:t>
            </w:r>
            <w:proofErr w:type="spellEnd"/>
            <w:r w:rsidRPr="00016AA5">
              <w:rPr>
                <w:rFonts w:ascii="Times New Roman" w:hAnsi="Times New Roman" w:cs="Times New Roman"/>
                <w:sz w:val="26"/>
                <w:szCs w:val="26"/>
                <w:lang w:val="en-US"/>
              </w:rPr>
              <w:t xml:space="preserve"> de la </w:t>
            </w:r>
            <w:proofErr w:type="spellStart"/>
            <w:r w:rsidRPr="00016AA5">
              <w:rPr>
                <w:rFonts w:ascii="Times New Roman" w:hAnsi="Times New Roman" w:cs="Times New Roman"/>
                <w:sz w:val="26"/>
                <w:szCs w:val="26"/>
                <w:lang w:val="en-US"/>
              </w:rPr>
              <w:t>bugetul</w:t>
            </w:r>
            <w:proofErr w:type="spellEnd"/>
            <w:r w:rsidRPr="00016AA5">
              <w:rPr>
                <w:rFonts w:ascii="Times New Roman" w:hAnsi="Times New Roman" w:cs="Times New Roman"/>
                <w:sz w:val="26"/>
                <w:szCs w:val="26"/>
                <w:lang w:val="en-US"/>
              </w:rPr>
              <w:t xml:space="preserve"> de stat </w:t>
            </w:r>
          </w:p>
        </w:tc>
      </w:tr>
      <w:tr w:rsidR="00486FEB" w:rsidRPr="00016AA5" w:rsidTr="00D269AF">
        <w:tc>
          <w:tcPr>
            <w:tcW w:w="9571" w:type="dxa"/>
          </w:tcPr>
          <w:p w:rsidR="00486FEB" w:rsidRPr="00016AA5" w:rsidRDefault="00486FEB" w:rsidP="00D269AF">
            <w:pPr>
              <w:pStyle w:val="a3"/>
              <w:rPr>
                <w:rFonts w:ascii="Times New Roman" w:hAnsi="Times New Roman" w:cs="Times New Roman"/>
                <w:b/>
                <w:sz w:val="26"/>
                <w:szCs w:val="26"/>
                <w:lang w:val="en-US"/>
              </w:rPr>
            </w:pPr>
            <w:proofErr w:type="spellStart"/>
            <w:r w:rsidRPr="00016AA5">
              <w:rPr>
                <w:rFonts w:ascii="Times New Roman" w:hAnsi="Times New Roman" w:cs="Times New Roman"/>
                <w:b/>
                <w:sz w:val="26"/>
                <w:szCs w:val="26"/>
                <w:lang w:val="en-US"/>
              </w:rPr>
              <w:t>Modul</w:t>
            </w:r>
            <w:proofErr w:type="spellEnd"/>
            <w:r w:rsidRPr="00016AA5">
              <w:rPr>
                <w:rFonts w:ascii="Times New Roman" w:hAnsi="Times New Roman" w:cs="Times New Roman"/>
                <w:b/>
                <w:sz w:val="26"/>
                <w:szCs w:val="26"/>
                <w:lang w:val="en-US"/>
              </w:rPr>
              <w:t xml:space="preserve"> de </w:t>
            </w:r>
            <w:proofErr w:type="spellStart"/>
            <w:r w:rsidRPr="00016AA5">
              <w:rPr>
                <w:rFonts w:ascii="Times New Roman" w:hAnsi="Times New Roman" w:cs="Times New Roman"/>
                <w:b/>
                <w:sz w:val="26"/>
                <w:szCs w:val="26"/>
                <w:lang w:val="en-US"/>
              </w:rPr>
              <w:t>încorporare</w:t>
            </w:r>
            <w:proofErr w:type="spellEnd"/>
            <w:r w:rsidRPr="00016AA5">
              <w:rPr>
                <w:rFonts w:ascii="Times New Roman" w:hAnsi="Times New Roman" w:cs="Times New Roman"/>
                <w:b/>
                <w:sz w:val="26"/>
                <w:szCs w:val="26"/>
                <w:lang w:val="en-US"/>
              </w:rPr>
              <w:t xml:space="preserve"> a </w:t>
            </w:r>
            <w:proofErr w:type="spellStart"/>
            <w:r w:rsidRPr="00016AA5">
              <w:rPr>
                <w:rFonts w:ascii="Times New Roman" w:hAnsi="Times New Roman" w:cs="Times New Roman"/>
                <w:b/>
                <w:sz w:val="26"/>
                <w:szCs w:val="26"/>
                <w:lang w:val="en-US"/>
              </w:rPr>
              <w:t>actului</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în</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cadrul</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normativ</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în</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vigoare</w:t>
            </w:r>
            <w:proofErr w:type="spellEnd"/>
          </w:p>
        </w:tc>
      </w:tr>
      <w:tr w:rsidR="00486FEB" w:rsidRPr="00016AA5" w:rsidTr="00D269AF">
        <w:tc>
          <w:tcPr>
            <w:tcW w:w="9571" w:type="dxa"/>
          </w:tcPr>
          <w:p w:rsidR="00486FEB" w:rsidRPr="00016AA5" w:rsidRDefault="00486FEB" w:rsidP="00D269AF">
            <w:pPr>
              <w:jc w:val="both"/>
              <w:rPr>
                <w:rFonts w:ascii="Times New Roman" w:hAnsi="Times New Roman" w:cs="Times New Roman"/>
                <w:sz w:val="26"/>
                <w:szCs w:val="26"/>
                <w:lang w:val="en-US"/>
              </w:rPr>
            </w:pPr>
            <w:proofErr w:type="spellStart"/>
            <w:r w:rsidRPr="00016AA5">
              <w:rPr>
                <w:rFonts w:ascii="Times New Roman" w:hAnsi="Times New Roman" w:cs="Times New Roman"/>
                <w:sz w:val="26"/>
                <w:szCs w:val="26"/>
                <w:lang w:val="en-US"/>
              </w:rPr>
              <w:t>Aprobarea</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proiectului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hotărîrii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Guvernului</w:t>
            </w:r>
            <w:proofErr w:type="spellEnd"/>
            <w:r w:rsidRPr="00C61643">
              <w:rPr>
                <w:rFonts w:ascii="Times New Roman" w:hAnsi="Times New Roman" w:cs="Times New Roman"/>
                <w:sz w:val="26"/>
                <w:szCs w:val="26"/>
                <w:lang w:val="en-US"/>
              </w:rPr>
              <w:t xml:space="preserve"> </w:t>
            </w:r>
            <w:proofErr w:type="spellStart"/>
            <w:r w:rsidRPr="00C61643">
              <w:rPr>
                <w:rStyle w:val="FontStyle20"/>
                <w:sz w:val="26"/>
                <w:szCs w:val="26"/>
                <w:lang w:val="en-US"/>
              </w:rPr>
              <w:t>despre</w:t>
            </w:r>
            <w:proofErr w:type="spellEnd"/>
            <w:r w:rsidRPr="00C61643">
              <w:rPr>
                <w:rStyle w:val="FontStyle20"/>
                <w:sz w:val="26"/>
                <w:szCs w:val="26"/>
                <w:lang w:val="en-US"/>
              </w:rPr>
              <w:t xml:space="preserve"> </w:t>
            </w:r>
            <w:proofErr w:type="spellStart"/>
            <w:r w:rsidRPr="00C61643">
              <w:rPr>
                <w:rStyle w:val="FontStyle20"/>
                <w:sz w:val="26"/>
                <w:szCs w:val="26"/>
                <w:lang w:val="en-US"/>
              </w:rPr>
              <w:t>aprobarea</w:t>
            </w:r>
            <w:proofErr w:type="spellEnd"/>
            <w:r w:rsidRPr="00016AA5">
              <w:rPr>
                <w:rStyle w:val="FontStyle20"/>
                <w:sz w:val="26"/>
                <w:szCs w:val="26"/>
                <w:lang w:val="en-US"/>
              </w:rPr>
              <w:t xml:space="preserve"> </w:t>
            </w:r>
            <w:proofErr w:type="spellStart"/>
            <w:r w:rsidRPr="00016AA5">
              <w:rPr>
                <w:rStyle w:val="FontStyle20"/>
                <w:b w:val="0"/>
                <w:sz w:val="26"/>
                <w:szCs w:val="26"/>
                <w:lang w:val="en-US"/>
              </w:rPr>
              <w:t>Anexelor</w:t>
            </w:r>
            <w:proofErr w:type="spellEnd"/>
            <w:r w:rsidRPr="00016AA5">
              <w:rPr>
                <w:rStyle w:val="FontStyle20"/>
                <w:b w:val="0"/>
                <w:sz w:val="26"/>
                <w:szCs w:val="26"/>
                <w:lang w:val="en-US"/>
              </w:rPr>
              <w:t xml:space="preserve"> nr.1 </w:t>
            </w:r>
            <w:proofErr w:type="spellStart"/>
            <w:r w:rsidRPr="00016AA5">
              <w:rPr>
                <w:rStyle w:val="FontStyle20"/>
                <w:b w:val="0"/>
                <w:sz w:val="26"/>
                <w:szCs w:val="26"/>
                <w:lang w:val="en-US"/>
              </w:rPr>
              <w:t>și</w:t>
            </w:r>
            <w:proofErr w:type="spellEnd"/>
            <w:r w:rsidRPr="00016AA5">
              <w:rPr>
                <w:rStyle w:val="FontStyle20"/>
                <w:b w:val="0"/>
                <w:sz w:val="26"/>
                <w:szCs w:val="26"/>
                <w:lang w:val="en-US"/>
              </w:rPr>
              <w:t xml:space="preserve"> nr.2</w:t>
            </w:r>
            <w:r w:rsidRPr="00016AA5">
              <w:rPr>
                <w:rStyle w:val="FontStyle20"/>
                <w:sz w:val="26"/>
                <w:szCs w:val="26"/>
                <w:lang w:val="en-US"/>
              </w:rPr>
              <w:t xml:space="preserve"> </w:t>
            </w:r>
            <w:r w:rsidRPr="00016AA5">
              <w:rPr>
                <w:rStyle w:val="FontStyle20"/>
                <w:b w:val="0"/>
                <w:sz w:val="26"/>
                <w:szCs w:val="26"/>
                <w:lang w:val="en-US"/>
              </w:rPr>
              <w:t xml:space="preserve">cu </w:t>
            </w:r>
            <w:proofErr w:type="spellStart"/>
            <w:r w:rsidRPr="00016AA5">
              <w:rPr>
                <w:rStyle w:val="FontStyle20"/>
                <w:b w:val="0"/>
                <w:sz w:val="26"/>
                <w:szCs w:val="26"/>
                <w:lang w:val="en-US"/>
              </w:rPr>
              <w:t>privire</w:t>
            </w:r>
            <w:proofErr w:type="spellEnd"/>
            <w:r w:rsidRPr="00016AA5">
              <w:rPr>
                <w:rStyle w:val="FontStyle20"/>
                <w:b w:val="0"/>
                <w:sz w:val="26"/>
                <w:szCs w:val="26"/>
                <w:lang w:val="en-US"/>
              </w:rPr>
              <w:t xml:space="preserve"> la </w:t>
            </w:r>
            <w:proofErr w:type="spellStart"/>
            <w:r w:rsidRPr="00016AA5">
              <w:rPr>
                <w:rStyle w:val="FontStyle20"/>
                <w:b w:val="0"/>
                <w:sz w:val="26"/>
                <w:szCs w:val="26"/>
                <w:lang w:val="en-US"/>
              </w:rPr>
              <w:t>importul</w:t>
            </w:r>
            <w:proofErr w:type="spellEnd"/>
            <w:r w:rsidRPr="00016AA5">
              <w:rPr>
                <w:rStyle w:val="FontStyle20"/>
                <w:b w:val="0"/>
                <w:sz w:val="26"/>
                <w:szCs w:val="26"/>
                <w:lang w:val="en-US"/>
              </w:rPr>
              <w:t xml:space="preserve"> de </w:t>
            </w:r>
            <w:proofErr w:type="spellStart"/>
            <w:r w:rsidRPr="00016AA5">
              <w:rPr>
                <w:rStyle w:val="FontStyle20"/>
                <w:b w:val="0"/>
                <w:sz w:val="26"/>
                <w:szCs w:val="26"/>
                <w:lang w:val="en-US"/>
              </w:rPr>
              <w:t>seminţe</w:t>
            </w:r>
            <w:proofErr w:type="spellEnd"/>
            <w:r w:rsidRPr="00016AA5">
              <w:rPr>
                <w:rStyle w:val="FontStyle20"/>
                <w:b w:val="0"/>
                <w:sz w:val="26"/>
                <w:szCs w:val="26"/>
                <w:lang w:val="en-US"/>
              </w:rPr>
              <w:t xml:space="preserve"> </w:t>
            </w:r>
            <w:proofErr w:type="spellStart"/>
            <w:r w:rsidRPr="00016AA5">
              <w:rPr>
                <w:rStyle w:val="FontStyle20"/>
                <w:b w:val="0"/>
                <w:sz w:val="26"/>
                <w:szCs w:val="26"/>
                <w:lang w:val="en-US"/>
              </w:rPr>
              <w:t>şi</w:t>
            </w:r>
            <w:proofErr w:type="spellEnd"/>
            <w:r w:rsidRPr="00016AA5">
              <w:rPr>
                <w:rStyle w:val="FontStyle20"/>
                <w:b w:val="0"/>
                <w:sz w:val="26"/>
                <w:szCs w:val="26"/>
                <w:lang w:val="en-US"/>
              </w:rPr>
              <w:t xml:space="preserve"> material </w:t>
            </w:r>
            <w:proofErr w:type="spellStart"/>
            <w:r w:rsidRPr="00016AA5">
              <w:rPr>
                <w:rStyle w:val="FontStyle20"/>
                <w:b w:val="0"/>
                <w:sz w:val="26"/>
                <w:szCs w:val="26"/>
                <w:lang w:val="en-US"/>
              </w:rPr>
              <w:t>săditor</w:t>
            </w:r>
            <w:proofErr w:type="spellEnd"/>
            <w:r w:rsidRPr="00016AA5">
              <w:rPr>
                <w:rStyle w:val="FontStyle20"/>
                <w:b w:val="0"/>
                <w:sz w:val="26"/>
                <w:szCs w:val="26"/>
                <w:lang w:val="en-US"/>
              </w:rPr>
              <w:t xml:space="preserve"> </w:t>
            </w:r>
            <w:proofErr w:type="spellStart"/>
            <w:r w:rsidRPr="00016AA5">
              <w:rPr>
                <w:rStyle w:val="FontStyle20"/>
                <w:b w:val="0"/>
                <w:sz w:val="26"/>
                <w:szCs w:val="26"/>
                <w:lang w:val="en-US"/>
              </w:rPr>
              <w:t>implică</w:t>
            </w:r>
            <w:proofErr w:type="spellEnd"/>
            <w:r w:rsidRPr="00016AA5">
              <w:rPr>
                <w:rStyle w:val="FontStyle20"/>
                <w:b w:val="0"/>
                <w:sz w:val="26"/>
                <w:szCs w:val="26"/>
                <w:lang w:val="en-US"/>
              </w:rPr>
              <w:t xml:space="preserve"> </w:t>
            </w:r>
            <w:proofErr w:type="spellStart"/>
            <w:r w:rsidRPr="00016AA5">
              <w:rPr>
                <w:rStyle w:val="FontStyle20"/>
                <w:b w:val="0"/>
                <w:sz w:val="26"/>
                <w:szCs w:val="26"/>
                <w:lang w:val="en-US"/>
              </w:rPr>
              <w:t>abrogarea</w:t>
            </w:r>
            <w:proofErr w:type="spellEnd"/>
            <w:r w:rsidRPr="00016AA5">
              <w:rPr>
                <w:rStyle w:val="FontStyle20"/>
                <w:sz w:val="26"/>
                <w:szCs w:val="26"/>
                <w:lang w:val="en-US"/>
              </w:rPr>
              <w:t xml:space="preserve"> </w:t>
            </w:r>
            <w:proofErr w:type="spellStart"/>
            <w:r w:rsidRPr="00016AA5">
              <w:rPr>
                <w:rFonts w:ascii="Times New Roman" w:hAnsi="Times New Roman" w:cs="Times New Roman"/>
                <w:sz w:val="26"/>
                <w:szCs w:val="26"/>
                <w:lang w:val="en-US"/>
              </w:rPr>
              <w:t>Hotărîrii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Guvernului</w:t>
            </w:r>
            <w:proofErr w:type="spellEnd"/>
            <w:r w:rsidRPr="00016AA5">
              <w:rPr>
                <w:rFonts w:ascii="Times New Roman" w:hAnsi="Times New Roman" w:cs="Times New Roman"/>
                <w:sz w:val="26"/>
                <w:szCs w:val="26"/>
                <w:lang w:val="en-US"/>
              </w:rPr>
              <w:t xml:space="preserve"> nr. 360 din 27.03.2002 </w:t>
            </w:r>
            <w:proofErr w:type="gramStart"/>
            <w:r w:rsidRPr="00016AA5">
              <w:rPr>
                <w:rFonts w:ascii="Times New Roman" w:hAnsi="Times New Roman" w:cs="Times New Roman"/>
                <w:sz w:val="26"/>
                <w:szCs w:val="26"/>
                <w:lang w:val="en-US"/>
              </w:rPr>
              <w:t>,,</w:t>
            </w:r>
            <w:proofErr w:type="spellStart"/>
            <w:r w:rsidRPr="00016AA5">
              <w:rPr>
                <w:rFonts w:ascii="Times New Roman" w:hAnsi="Times New Roman" w:cs="Times New Roman"/>
                <w:sz w:val="26"/>
                <w:szCs w:val="26"/>
                <w:lang w:val="en-US"/>
              </w:rPr>
              <w:t>despre</w:t>
            </w:r>
            <w:proofErr w:type="spellEnd"/>
            <w:proofErr w:type="gram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aprobarea</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Regulamentului</w:t>
            </w:r>
            <w:proofErr w:type="spellEnd"/>
            <w:r w:rsidRPr="00016AA5">
              <w:rPr>
                <w:rFonts w:ascii="Times New Roman" w:hAnsi="Times New Roman" w:cs="Times New Roman"/>
                <w:sz w:val="26"/>
                <w:szCs w:val="26"/>
                <w:lang w:val="en-US"/>
              </w:rPr>
              <w:t xml:space="preserve"> cu </w:t>
            </w:r>
            <w:proofErr w:type="spellStart"/>
            <w:r w:rsidRPr="00016AA5">
              <w:rPr>
                <w:rFonts w:ascii="Times New Roman" w:hAnsi="Times New Roman" w:cs="Times New Roman"/>
                <w:sz w:val="26"/>
                <w:szCs w:val="26"/>
                <w:lang w:val="en-US"/>
              </w:rPr>
              <w:t>privire</w:t>
            </w:r>
            <w:proofErr w:type="spellEnd"/>
            <w:r w:rsidRPr="00016AA5">
              <w:rPr>
                <w:rFonts w:ascii="Times New Roman" w:hAnsi="Times New Roman" w:cs="Times New Roman"/>
                <w:sz w:val="26"/>
                <w:szCs w:val="26"/>
                <w:lang w:val="en-US"/>
              </w:rPr>
              <w:t xml:space="preserve"> la </w:t>
            </w:r>
            <w:proofErr w:type="spellStart"/>
            <w:r w:rsidRPr="00016AA5">
              <w:rPr>
                <w:rFonts w:ascii="Times New Roman" w:hAnsi="Times New Roman" w:cs="Times New Roman"/>
                <w:sz w:val="26"/>
                <w:szCs w:val="26"/>
                <w:lang w:val="en-US"/>
              </w:rPr>
              <w:t>importul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și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exportul</w:t>
            </w:r>
            <w:proofErr w:type="spellEnd"/>
            <w:r w:rsidRPr="00016AA5">
              <w:rPr>
                <w:rFonts w:ascii="Times New Roman" w:hAnsi="Times New Roman" w:cs="Times New Roman"/>
                <w:sz w:val="26"/>
                <w:szCs w:val="26"/>
                <w:lang w:val="en-US"/>
              </w:rPr>
              <w:t xml:space="preserve"> de </w:t>
            </w:r>
            <w:proofErr w:type="spellStart"/>
            <w:r w:rsidRPr="00016AA5">
              <w:rPr>
                <w:rFonts w:ascii="Times New Roman" w:hAnsi="Times New Roman" w:cs="Times New Roman"/>
                <w:sz w:val="26"/>
                <w:szCs w:val="26"/>
                <w:lang w:val="en-US"/>
              </w:rPr>
              <w:t>semințe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și</w:t>
            </w:r>
            <w:proofErr w:type="spellEnd"/>
            <w:r w:rsidRPr="00016AA5">
              <w:rPr>
                <w:rFonts w:ascii="Times New Roman" w:hAnsi="Times New Roman" w:cs="Times New Roman"/>
                <w:sz w:val="26"/>
                <w:szCs w:val="26"/>
                <w:lang w:val="en-US"/>
              </w:rPr>
              <w:t xml:space="preserve"> material </w:t>
            </w:r>
            <w:proofErr w:type="spellStart"/>
            <w:r w:rsidRPr="00016AA5">
              <w:rPr>
                <w:rFonts w:ascii="Times New Roman" w:hAnsi="Times New Roman" w:cs="Times New Roman"/>
                <w:sz w:val="26"/>
                <w:szCs w:val="26"/>
                <w:lang w:val="en-US"/>
              </w:rPr>
              <w:t>săditor</w:t>
            </w:r>
            <w:proofErr w:type="spellEnd"/>
            <w:r w:rsidRPr="00016AA5">
              <w:rPr>
                <w:rFonts w:ascii="Times New Roman" w:hAnsi="Times New Roman" w:cs="Times New Roman"/>
                <w:sz w:val="26"/>
                <w:szCs w:val="26"/>
                <w:lang w:val="en-US"/>
              </w:rPr>
              <w:t xml:space="preserve"> ” (</w:t>
            </w:r>
            <w:proofErr w:type="spellStart"/>
            <w:r w:rsidRPr="00016AA5">
              <w:rPr>
                <w:rFonts w:ascii="Times New Roman" w:hAnsi="Times New Roman" w:cs="Times New Roman"/>
                <w:sz w:val="26"/>
                <w:szCs w:val="26"/>
                <w:lang w:val="en-US"/>
              </w:rPr>
              <w:t>Monitorul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oficial</w:t>
            </w:r>
            <w:proofErr w:type="spellEnd"/>
            <w:r w:rsidRPr="00016AA5">
              <w:rPr>
                <w:rFonts w:ascii="Times New Roman" w:hAnsi="Times New Roman" w:cs="Times New Roman"/>
                <w:sz w:val="26"/>
                <w:szCs w:val="26"/>
                <w:lang w:val="en-US"/>
              </w:rPr>
              <w:t xml:space="preserve">  nr. 46-48, art. </w:t>
            </w:r>
            <w:proofErr w:type="gramStart"/>
            <w:r w:rsidRPr="00016AA5">
              <w:rPr>
                <w:rFonts w:ascii="Times New Roman" w:hAnsi="Times New Roman" w:cs="Times New Roman"/>
                <w:sz w:val="26"/>
                <w:szCs w:val="26"/>
                <w:lang w:val="en-US"/>
              </w:rPr>
              <w:t>nr</w:t>
            </w:r>
            <w:proofErr w:type="gramEnd"/>
            <w:r w:rsidRPr="00016AA5">
              <w:rPr>
                <w:rFonts w:ascii="Times New Roman" w:hAnsi="Times New Roman" w:cs="Times New Roman"/>
                <w:sz w:val="26"/>
                <w:szCs w:val="26"/>
                <w:lang w:val="en-US"/>
              </w:rPr>
              <w:t>.  443 din 04.04.2002)</w:t>
            </w:r>
          </w:p>
        </w:tc>
      </w:tr>
      <w:tr w:rsidR="00486FEB" w:rsidRPr="00016AA5" w:rsidTr="00D269AF">
        <w:tc>
          <w:tcPr>
            <w:tcW w:w="9571" w:type="dxa"/>
          </w:tcPr>
          <w:p w:rsidR="00486FEB" w:rsidRPr="00016AA5" w:rsidRDefault="00486FEB" w:rsidP="00D269AF">
            <w:pPr>
              <w:pStyle w:val="a3"/>
              <w:rPr>
                <w:rFonts w:ascii="Times New Roman" w:hAnsi="Times New Roman" w:cs="Times New Roman"/>
                <w:b/>
                <w:sz w:val="26"/>
                <w:szCs w:val="26"/>
                <w:lang w:val="en-US"/>
              </w:rPr>
            </w:pPr>
            <w:proofErr w:type="spellStart"/>
            <w:r w:rsidRPr="00016AA5">
              <w:rPr>
                <w:rFonts w:ascii="Times New Roman" w:hAnsi="Times New Roman" w:cs="Times New Roman"/>
                <w:b/>
                <w:sz w:val="26"/>
                <w:szCs w:val="26"/>
                <w:lang w:val="en-US"/>
              </w:rPr>
              <w:t>Avizarea</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şi</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consultarea</w:t>
            </w:r>
            <w:proofErr w:type="spellEnd"/>
            <w:r w:rsidRPr="00016AA5">
              <w:rPr>
                <w:rFonts w:ascii="Times New Roman" w:hAnsi="Times New Roman" w:cs="Times New Roman"/>
                <w:b/>
                <w:sz w:val="26"/>
                <w:szCs w:val="26"/>
                <w:lang w:val="en-US"/>
              </w:rPr>
              <w:t xml:space="preserve"> </w:t>
            </w:r>
            <w:proofErr w:type="spellStart"/>
            <w:r w:rsidRPr="00016AA5">
              <w:rPr>
                <w:rFonts w:ascii="Times New Roman" w:hAnsi="Times New Roman" w:cs="Times New Roman"/>
                <w:b/>
                <w:sz w:val="26"/>
                <w:szCs w:val="26"/>
                <w:lang w:val="en-US"/>
              </w:rPr>
              <w:t>publică</w:t>
            </w:r>
            <w:proofErr w:type="spellEnd"/>
            <w:r w:rsidRPr="00016AA5">
              <w:rPr>
                <w:rFonts w:ascii="Times New Roman" w:hAnsi="Times New Roman" w:cs="Times New Roman"/>
                <w:b/>
                <w:sz w:val="26"/>
                <w:szCs w:val="26"/>
                <w:lang w:val="en-US"/>
              </w:rPr>
              <w:t xml:space="preserve"> a </w:t>
            </w:r>
            <w:proofErr w:type="spellStart"/>
            <w:r w:rsidRPr="00016AA5">
              <w:rPr>
                <w:rFonts w:ascii="Times New Roman" w:hAnsi="Times New Roman" w:cs="Times New Roman"/>
                <w:b/>
                <w:sz w:val="26"/>
                <w:szCs w:val="26"/>
                <w:lang w:val="en-US"/>
              </w:rPr>
              <w:t>proiectului</w:t>
            </w:r>
            <w:proofErr w:type="spellEnd"/>
          </w:p>
        </w:tc>
      </w:tr>
      <w:tr w:rsidR="00486FEB" w:rsidRPr="00016AA5" w:rsidTr="00D269AF">
        <w:tc>
          <w:tcPr>
            <w:tcW w:w="9571" w:type="dxa"/>
          </w:tcPr>
          <w:p w:rsidR="00486FEB" w:rsidRPr="00016AA5" w:rsidRDefault="00486FEB" w:rsidP="00D269AF">
            <w:pPr>
              <w:pStyle w:val="a3"/>
              <w:jc w:val="both"/>
              <w:rPr>
                <w:rFonts w:ascii="Times New Roman" w:hAnsi="Times New Roman" w:cs="Times New Roman"/>
                <w:b/>
                <w:sz w:val="26"/>
                <w:szCs w:val="26"/>
                <w:lang w:val="en-US"/>
              </w:rPr>
            </w:pPr>
            <w:proofErr w:type="spellStart"/>
            <w:r w:rsidRPr="00016AA5">
              <w:rPr>
                <w:rFonts w:ascii="Times New Roman" w:hAnsi="Times New Roman" w:cs="Times New Roman"/>
                <w:sz w:val="26"/>
                <w:szCs w:val="26"/>
                <w:lang w:val="en-US"/>
              </w:rPr>
              <w:t>În</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scopul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respectării</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prevederilor</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Legii</w:t>
            </w:r>
            <w:proofErr w:type="spellEnd"/>
            <w:r w:rsidRPr="00016AA5">
              <w:rPr>
                <w:rFonts w:ascii="Times New Roman" w:hAnsi="Times New Roman" w:cs="Times New Roman"/>
                <w:sz w:val="26"/>
                <w:szCs w:val="26"/>
                <w:lang w:val="en-US"/>
              </w:rPr>
              <w:t xml:space="preserve"> nr. 239 din 13 </w:t>
            </w:r>
            <w:proofErr w:type="spellStart"/>
            <w:r w:rsidRPr="00016AA5">
              <w:rPr>
                <w:rFonts w:ascii="Times New Roman" w:hAnsi="Times New Roman" w:cs="Times New Roman"/>
                <w:sz w:val="26"/>
                <w:szCs w:val="26"/>
                <w:lang w:val="en-US"/>
              </w:rPr>
              <w:t>noiembrie</w:t>
            </w:r>
            <w:proofErr w:type="spellEnd"/>
            <w:r w:rsidRPr="00016AA5">
              <w:rPr>
                <w:rFonts w:ascii="Times New Roman" w:hAnsi="Times New Roman" w:cs="Times New Roman"/>
                <w:sz w:val="26"/>
                <w:szCs w:val="26"/>
                <w:lang w:val="en-US"/>
              </w:rPr>
              <w:t xml:space="preserve"> 2008 </w:t>
            </w:r>
            <w:proofErr w:type="spellStart"/>
            <w:r w:rsidRPr="00016AA5">
              <w:rPr>
                <w:rFonts w:ascii="Times New Roman" w:hAnsi="Times New Roman" w:cs="Times New Roman"/>
                <w:sz w:val="26"/>
                <w:szCs w:val="26"/>
                <w:lang w:val="en-US"/>
              </w:rPr>
              <w:t>privind</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transparența</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în</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procesul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decizional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proiectul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va</w:t>
            </w:r>
            <w:proofErr w:type="spellEnd"/>
            <w:r w:rsidRPr="00016AA5">
              <w:rPr>
                <w:rFonts w:ascii="Times New Roman" w:hAnsi="Times New Roman" w:cs="Times New Roman"/>
                <w:sz w:val="26"/>
                <w:szCs w:val="26"/>
                <w:lang w:val="en-US"/>
              </w:rPr>
              <w:t xml:space="preserve"> fi </w:t>
            </w:r>
            <w:proofErr w:type="spellStart"/>
            <w:r w:rsidRPr="00016AA5">
              <w:rPr>
                <w:rFonts w:ascii="Times New Roman" w:hAnsi="Times New Roman" w:cs="Times New Roman"/>
                <w:sz w:val="26"/>
                <w:szCs w:val="26"/>
                <w:lang w:val="en-US"/>
              </w:rPr>
              <w:t>plasat</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pe</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pagina</w:t>
            </w:r>
            <w:proofErr w:type="spellEnd"/>
            <w:r w:rsidRPr="00016AA5">
              <w:rPr>
                <w:rFonts w:ascii="Times New Roman" w:hAnsi="Times New Roman" w:cs="Times New Roman"/>
                <w:sz w:val="26"/>
                <w:szCs w:val="26"/>
                <w:lang w:val="en-US"/>
              </w:rPr>
              <w:t xml:space="preserve"> web </w:t>
            </w:r>
            <w:proofErr w:type="spellStart"/>
            <w:r w:rsidRPr="00016AA5">
              <w:rPr>
                <w:rFonts w:ascii="Times New Roman" w:hAnsi="Times New Roman" w:cs="Times New Roman"/>
                <w:sz w:val="26"/>
                <w:szCs w:val="26"/>
                <w:lang w:val="en-US"/>
              </w:rPr>
              <w:t>oficială</w:t>
            </w:r>
            <w:proofErr w:type="spellEnd"/>
            <w:r w:rsidRPr="00016AA5">
              <w:rPr>
                <w:rFonts w:ascii="Times New Roman" w:hAnsi="Times New Roman" w:cs="Times New Roman"/>
                <w:sz w:val="26"/>
                <w:szCs w:val="26"/>
                <w:lang w:val="en-US"/>
              </w:rPr>
              <w:t xml:space="preserve"> a </w:t>
            </w:r>
            <w:proofErr w:type="spellStart"/>
            <w:r w:rsidRPr="00016AA5">
              <w:rPr>
                <w:rFonts w:ascii="Times New Roman" w:hAnsi="Times New Roman" w:cs="Times New Roman"/>
                <w:sz w:val="26"/>
                <w:szCs w:val="26"/>
                <w:lang w:val="en-US"/>
              </w:rPr>
              <w:t>Ministerului</w:t>
            </w:r>
            <w:proofErr w:type="spellEnd"/>
            <w:r w:rsidRPr="00016AA5">
              <w:rPr>
                <w:rFonts w:ascii="Times New Roman" w:hAnsi="Times New Roman" w:cs="Times New Roman"/>
                <w:sz w:val="26"/>
                <w:szCs w:val="26"/>
                <w:lang w:val="en-US"/>
              </w:rPr>
              <w:t xml:space="preserve"> la </w:t>
            </w:r>
            <w:proofErr w:type="spellStart"/>
            <w:r w:rsidRPr="00016AA5">
              <w:rPr>
                <w:rFonts w:ascii="Times New Roman" w:hAnsi="Times New Roman" w:cs="Times New Roman"/>
                <w:sz w:val="26"/>
                <w:szCs w:val="26"/>
                <w:lang w:val="en-US"/>
              </w:rPr>
              <w:t>compartimentul</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Transparență</w:t>
            </w:r>
            <w:proofErr w:type="spellEnd"/>
            <w:r w:rsidRPr="00016AA5">
              <w:rPr>
                <w:rFonts w:ascii="Times New Roman" w:hAnsi="Times New Roman" w:cs="Times New Roman"/>
                <w:sz w:val="26"/>
                <w:szCs w:val="26"/>
                <w:lang w:val="en-US"/>
              </w:rPr>
              <w:t xml:space="preserve"> </w:t>
            </w:r>
            <w:proofErr w:type="spellStart"/>
            <w:r w:rsidRPr="00016AA5">
              <w:rPr>
                <w:rFonts w:ascii="Times New Roman" w:hAnsi="Times New Roman" w:cs="Times New Roman"/>
                <w:sz w:val="26"/>
                <w:szCs w:val="26"/>
                <w:lang w:val="en-US"/>
              </w:rPr>
              <w:t>decizională</w:t>
            </w:r>
            <w:proofErr w:type="spellEnd"/>
            <w:r w:rsidRPr="00016AA5">
              <w:rPr>
                <w:rFonts w:ascii="Times New Roman" w:hAnsi="Times New Roman" w:cs="Times New Roman"/>
                <w:sz w:val="26"/>
                <w:szCs w:val="26"/>
                <w:lang w:val="en-US"/>
              </w:rPr>
              <w:t>/</w:t>
            </w:r>
            <w:proofErr w:type="spellStart"/>
            <w:r w:rsidRPr="00016AA5">
              <w:rPr>
                <w:rFonts w:ascii="Times New Roman" w:hAnsi="Times New Roman" w:cs="Times New Roman"/>
                <w:sz w:val="26"/>
                <w:szCs w:val="26"/>
                <w:lang w:val="en-US"/>
              </w:rPr>
              <w:t>Proiecte</w:t>
            </w:r>
            <w:proofErr w:type="spellEnd"/>
            <w:r w:rsidRPr="00016AA5">
              <w:rPr>
                <w:rFonts w:ascii="Times New Roman" w:hAnsi="Times New Roman" w:cs="Times New Roman"/>
                <w:sz w:val="26"/>
                <w:szCs w:val="26"/>
                <w:lang w:val="en-US"/>
              </w:rPr>
              <w:t xml:space="preserve"> de </w:t>
            </w:r>
            <w:proofErr w:type="spellStart"/>
            <w:r w:rsidRPr="00016AA5">
              <w:rPr>
                <w:rFonts w:ascii="Times New Roman" w:hAnsi="Times New Roman" w:cs="Times New Roman"/>
                <w:sz w:val="26"/>
                <w:szCs w:val="26"/>
                <w:lang w:val="en-US"/>
              </w:rPr>
              <w:t>documente</w:t>
            </w:r>
            <w:proofErr w:type="spellEnd"/>
          </w:p>
        </w:tc>
      </w:tr>
    </w:tbl>
    <w:p w:rsidR="00486FEB" w:rsidRPr="00016AA5" w:rsidRDefault="00486FEB" w:rsidP="00486FEB">
      <w:pPr>
        <w:pStyle w:val="a3"/>
        <w:jc w:val="center"/>
        <w:rPr>
          <w:rFonts w:ascii="Times New Roman" w:hAnsi="Times New Roman" w:cs="Times New Roman"/>
          <w:b/>
          <w:sz w:val="26"/>
          <w:szCs w:val="26"/>
        </w:rPr>
      </w:pPr>
    </w:p>
    <w:p w:rsidR="00016AA5" w:rsidRDefault="00016AA5" w:rsidP="00486FEB">
      <w:pPr>
        <w:ind w:firstLine="426"/>
        <w:rPr>
          <w:rFonts w:ascii="Times New Roman" w:hAnsi="Times New Roman" w:cs="Times New Roman"/>
          <w:b/>
          <w:sz w:val="26"/>
          <w:szCs w:val="26"/>
          <w:lang w:val="en-US"/>
        </w:rPr>
      </w:pPr>
    </w:p>
    <w:p w:rsidR="00404DA4" w:rsidRPr="000D0DFC" w:rsidRDefault="00404DA4" w:rsidP="00404DA4">
      <w:pPr>
        <w:ind w:firstLine="426"/>
        <w:rPr>
          <w:rFonts w:ascii="Times New Roman" w:hAnsi="Times New Roman" w:cs="Times New Roman"/>
          <w:b/>
          <w:sz w:val="28"/>
          <w:szCs w:val="28"/>
        </w:rPr>
      </w:pPr>
      <w:r w:rsidRPr="000D0DFC">
        <w:rPr>
          <w:rFonts w:ascii="Times New Roman" w:hAnsi="Times New Roman" w:cs="Times New Roman"/>
          <w:b/>
          <w:sz w:val="28"/>
          <w:szCs w:val="28"/>
        </w:rPr>
        <w:t>Secretar general de stat</w:t>
      </w:r>
      <w:r w:rsidRPr="000D0DFC">
        <w:rPr>
          <w:rFonts w:ascii="Times New Roman" w:hAnsi="Times New Roman" w:cs="Times New Roman"/>
          <w:b/>
          <w:sz w:val="28"/>
          <w:szCs w:val="28"/>
        </w:rPr>
        <w:tab/>
      </w:r>
      <w:r w:rsidRPr="000D0DFC">
        <w:rPr>
          <w:rFonts w:ascii="Times New Roman" w:hAnsi="Times New Roman" w:cs="Times New Roman"/>
          <w:b/>
          <w:sz w:val="28"/>
          <w:szCs w:val="28"/>
        </w:rPr>
        <w:tab/>
      </w:r>
      <w:r w:rsidRPr="000D0DFC">
        <w:rPr>
          <w:rFonts w:ascii="Times New Roman" w:hAnsi="Times New Roman" w:cs="Times New Roman"/>
          <w:b/>
          <w:sz w:val="28"/>
          <w:szCs w:val="28"/>
        </w:rPr>
        <w:tab/>
      </w:r>
      <w:r w:rsidRPr="000D0DFC">
        <w:rPr>
          <w:rFonts w:ascii="Times New Roman" w:hAnsi="Times New Roman" w:cs="Times New Roman"/>
          <w:b/>
          <w:sz w:val="28"/>
          <w:szCs w:val="28"/>
        </w:rPr>
        <w:tab/>
      </w:r>
      <w:r w:rsidRPr="000D0DFC">
        <w:rPr>
          <w:rFonts w:ascii="Times New Roman" w:hAnsi="Times New Roman" w:cs="Times New Roman"/>
          <w:b/>
          <w:sz w:val="28"/>
          <w:szCs w:val="28"/>
        </w:rPr>
        <w:tab/>
        <w:t>Iu</w:t>
      </w:r>
      <w:r>
        <w:rPr>
          <w:rFonts w:ascii="Times New Roman" w:hAnsi="Times New Roman" w:cs="Times New Roman"/>
          <w:b/>
          <w:sz w:val="28"/>
          <w:szCs w:val="28"/>
        </w:rPr>
        <w:t>rie</w:t>
      </w:r>
      <w:r w:rsidRPr="000D0DFC">
        <w:rPr>
          <w:rFonts w:ascii="Times New Roman" w:hAnsi="Times New Roman" w:cs="Times New Roman"/>
          <w:b/>
          <w:sz w:val="28"/>
          <w:szCs w:val="28"/>
        </w:rPr>
        <w:t xml:space="preserve"> UȘURELU</w:t>
      </w:r>
    </w:p>
    <w:p w:rsidR="00016AA5" w:rsidRPr="00404DA4" w:rsidRDefault="00016AA5" w:rsidP="00486FEB">
      <w:pPr>
        <w:pStyle w:val="a3"/>
        <w:ind w:firstLine="426"/>
        <w:rPr>
          <w:rFonts w:ascii="Times New Roman" w:hAnsi="Times New Roman" w:cs="Times New Roman"/>
          <w:sz w:val="20"/>
          <w:szCs w:val="20"/>
        </w:rPr>
      </w:pPr>
    </w:p>
    <w:p w:rsidR="00016AA5" w:rsidRDefault="00016AA5" w:rsidP="00486FEB">
      <w:pPr>
        <w:pStyle w:val="a3"/>
        <w:ind w:firstLine="426"/>
        <w:rPr>
          <w:rFonts w:ascii="Times New Roman" w:hAnsi="Times New Roman" w:cs="Times New Roman"/>
          <w:sz w:val="20"/>
          <w:szCs w:val="20"/>
          <w:lang w:val="en-US"/>
        </w:rPr>
      </w:pPr>
    </w:p>
    <w:p w:rsidR="00486FEB" w:rsidRPr="00177894" w:rsidRDefault="00404DA4" w:rsidP="00486FEB">
      <w:pPr>
        <w:pStyle w:val="a3"/>
        <w:ind w:firstLine="426"/>
        <w:rPr>
          <w:rFonts w:ascii="Times New Roman" w:hAnsi="Times New Roman" w:cs="Times New Roman"/>
          <w:sz w:val="20"/>
          <w:szCs w:val="20"/>
        </w:rPr>
      </w:pPr>
      <w:r>
        <w:rPr>
          <w:rFonts w:ascii="Times New Roman" w:hAnsi="Times New Roman" w:cs="Times New Roman"/>
          <w:sz w:val="20"/>
          <w:szCs w:val="20"/>
        </w:rPr>
        <w:t>Ex.: Marin</w:t>
      </w:r>
      <w:r w:rsidR="00486FEB" w:rsidRPr="00177894">
        <w:rPr>
          <w:rFonts w:ascii="Times New Roman" w:hAnsi="Times New Roman" w:cs="Times New Roman"/>
          <w:sz w:val="20"/>
          <w:szCs w:val="20"/>
        </w:rPr>
        <w:t xml:space="preserve"> Grama,</w:t>
      </w:r>
    </w:p>
    <w:p w:rsidR="008D0D76" w:rsidRDefault="00486FEB" w:rsidP="00016AA5">
      <w:pPr>
        <w:pStyle w:val="a3"/>
        <w:ind w:firstLine="426"/>
      </w:pPr>
      <w:r w:rsidRPr="00177894">
        <w:rPr>
          <w:rFonts w:ascii="Times New Roman" w:hAnsi="Times New Roman" w:cs="Times New Roman"/>
          <w:sz w:val="20"/>
          <w:szCs w:val="20"/>
        </w:rPr>
        <w:t>Tel.: 022 204</w:t>
      </w:r>
      <w:r>
        <w:rPr>
          <w:rFonts w:ascii="Times New Roman" w:hAnsi="Times New Roman" w:cs="Times New Roman"/>
          <w:sz w:val="20"/>
          <w:szCs w:val="20"/>
        </w:rPr>
        <w:t> </w:t>
      </w:r>
      <w:r w:rsidRPr="00177894">
        <w:rPr>
          <w:rFonts w:ascii="Times New Roman" w:hAnsi="Times New Roman" w:cs="Times New Roman"/>
          <w:sz w:val="20"/>
          <w:szCs w:val="20"/>
        </w:rPr>
        <w:t>573</w:t>
      </w:r>
    </w:p>
    <w:sectPr w:rsidR="008D0D76" w:rsidSect="00016AA5">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EB"/>
    <w:rsid w:val="00016AA5"/>
    <w:rsid w:val="00404DA4"/>
    <w:rsid w:val="00486FEB"/>
    <w:rsid w:val="008D0D76"/>
    <w:rsid w:val="00B75824"/>
    <w:rsid w:val="00C61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FEB"/>
    <w:pPr>
      <w:spacing w:after="160" w:line="259"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basedOn w:val="a0"/>
    <w:uiPriority w:val="99"/>
    <w:rsid w:val="00486FEB"/>
    <w:rPr>
      <w:rFonts w:ascii="Times New Roman" w:hAnsi="Times New Roman" w:cs="Times New Roman"/>
      <w:b/>
      <w:bCs/>
      <w:sz w:val="20"/>
      <w:szCs w:val="20"/>
    </w:rPr>
  </w:style>
  <w:style w:type="paragraph" w:styleId="a3">
    <w:name w:val="No Spacing"/>
    <w:link w:val="a4"/>
    <w:uiPriority w:val="1"/>
    <w:qFormat/>
    <w:rsid w:val="00486FEB"/>
    <w:pPr>
      <w:spacing w:after="0" w:line="240" w:lineRule="auto"/>
    </w:pPr>
    <w:rPr>
      <w:lang w:val="ro-RO"/>
    </w:rPr>
  </w:style>
  <w:style w:type="table" w:styleId="a5">
    <w:name w:val="Table Grid"/>
    <w:basedOn w:val="a1"/>
    <w:uiPriority w:val="59"/>
    <w:rsid w:val="00486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486FEB"/>
    <w:rPr>
      <w:lang w:val="ro-RO"/>
    </w:rPr>
  </w:style>
  <w:style w:type="character" w:customStyle="1" w:styleId="2">
    <w:name w:val="Основной текст (2)"/>
    <w:basedOn w:val="a0"/>
    <w:rsid w:val="00486F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FEB"/>
    <w:pPr>
      <w:spacing w:after="160" w:line="259"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basedOn w:val="a0"/>
    <w:uiPriority w:val="99"/>
    <w:rsid w:val="00486FEB"/>
    <w:rPr>
      <w:rFonts w:ascii="Times New Roman" w:hAnsi="Times New Roman" w:cs="Times New Roman"/>
      <w:b/>
      <w:bCs/>
      <w:sz w:val="20"/>
      <w:szCs w:val="20"/>
    </w:rPr>
  </w:style>
  <w:style w:type="paragraph" w:styleId="a3">
    <w:name w:val="No Spacing"/>
    <w:link w:val="a4"/>
    <w:uiPriority w:val="1"/>
    <w:qFormat/>
    <w:rsid w:val="00486FEB"/>
    <w:pPr>
      <w:spacing w:after="0" w:line="240" w:lineRule="auto"/>
    </w:pPr>
    <w:rPr>
      <w:lang w:val="ro-RO"/>
    </w:rPr>
  </w:style>
  <w:style w:type="table" w:styleId="a5">
    <w:name w:val="Table Grid"/>
    <w:basedOn w:val="a1"/>
    <w:uiPriority w:val="59"/>
    <w:rsid w:val="00486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486FEB"/>
    <w:rPr>
      <w:lang w:val="ro-RO"/>
    </w:rPr>
  </w:style>
  <w:style w:type="character" w:customStyle="1" w:styleId="2">
    <w:name w:val="Основной текст (2)"/>
    <w:basedOn w:val="a0"/>
    <w:rsid w:val="00486F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429</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Sandu</dc:creator>
  <cp:lastModifiedBy>Viorel Sandu</cp:lastModifiedBy>
  <cp:revision>5</cp:revision>
  <cp:lastPrinted>2018-12-05T13:36:00Z</cp:lastPrinted>
  <dcterms:created xsi:type="dcterms:W3CDTF">2018-12-04T08:58:00Z</dcterms:created>
  <dcterms:modified xsi:type="dcterms:W3CDTF">2018-12-05T13:36:00Z</dcterms:modified>
</cp:coreProperties>
</file>