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A3" w:rsidRPr="000D3686" w:rsidRDefault="009A6BA3" w:rsidP="009A6BA3">
      <w:pPr>
        <w:spacing w:after="0" w:line="240" w:lineRule="auto"/>
        <w:jc w:val="center"/>
        <w:rPr>
          <w:rFonts w:ascii="Times New Roman" w:hAnsi="Times New Roman"/>
          <w:b/>
          <w:sz w:val="24"/>
          <w:szCs w:val="24"/>
          <w:lang w:val="ro-RO"/>
        </w:rPr>
      </w:pPr>
      <w:r w:rsidRPr="000D3686">
        <w:rPr>
          <w:rFonts w:ascii="Times New Roman" w:hAnsi="Times New Roman"/>
          <w:b/>
          <w:sz w:val="24"/>
          <w:szCs w:val="24"/>
          <w:lang w:val="ro-RO"/>
        </w:rPr>
        <w:t>NOTĂ INFOMATIVĂ</w:t>
      </w:r>
    </w:p>
    <w:p w:rsidR="009A6BA3" w:rsidRPr="00C425DF" w:rsidRDefault="009A6BA3" w:rsidP="009A6BA3">
      <w:pPr>
        <w:spacing w:after="0" w:line="240" w:lineRule="auto"/>
        <w:jc w:val="center"/>
        <w:rPr>
          <w:rFonts w:ascii="Times New Roman" w:hAnsi="Times New Roman"/>
          <w:b/>
          <w:sz w:val="24"/>
          <w:szCs w:val="24"/>
          <w:lang w:val="ro-RO"/>
        </w:rPr>
      </w:pPr>
      <w:r w:rsidRPr="00C425DF">
        <w:rPr>
          <w:rFonts w:ascii="Times New Roman" w:hAnsi="Times New Roman"/>
          <w:b/>
          <w:sz w:val="24"/>
          <w:szCs w:val="24"/>
          <w:lang w:val="ro-RO"/>
        </w:rPr>
        <w:t>la proiectul hotărârii Guvernului</w:t>
      </w:r>
    </w:p>
    <w:p w:rsidR="009A6BA3" w:rsidRPr="00C425DF" w:rsidRDefault="009A6BA3" w:rsidP="009A6BA3">
      <w:pPr>
        <w:spacing w:after="0" w:line="240" w:lineRule="auto"/>
        <w:jc w:val="center"/>
        <w:rPr>
          <w:rFonts w:ascii="Times New Roman" w:hAnsi="Times New Roman"/>
          <w:b/>
          <w:sz w:val="24"/>
          <w:szCs w:val="24"/>
          <w:lang w:val="ro-RO"/>
        </w:rPr>
      </w:pPr>
      <w:r w:rsidRPr="00C425DF">
        <w:rPr>
          <w:rFonts w:ascii="Times New Roman" w:hAnsi="Times New Roman"/>
          <w:b/>
          <w:sz w:val="24"/>
          <w:szCs w:val="24"/>
          <w:lang w:val="ro-RO"/>
        </w:rPr>
        <w:t>cu privire la aprobarea Regulamentului cu privire la modul de elaborare,</w:t>
      </w:r>
    </w:p>
    <w:p w:rsidR="009A6BA3" w:rsidRPr="00C425DF" w:rsidRDefault="009A6BA3" w:rsidP="009A6BA3">
      <w:pPr>
        <w:spacing w:after="0" w:line="240" w:lineRule="auto"/>
        <w:jc w:val="center"/>
        <w:rPr>
          <w:rFonts w:ascii="Times New Roman" w:hAnsi="Times New Roman"/>
          <w:b/>
          <w:sz w:val="24"/>
          <w:szCs w:val="24"/>
          <w:lang w:val="ro-RO"/>
        </w:rPr>
      </w:pPr>
      <w:r w:rsidRPr="00C425DF">
        <w:rPr>
          <w:rFonts w:ascii="Times New Roman" w:hAnsi="Times New Roman"/>
          <w:b/>
          <w:sz w:val="24"/>
          <w:szCs w:val="24"/>
          <w:lang w:val="ro-RO"/>
        </w:rPr>
        <w:t>încheiere și de monitorizare a implementării acordurilor de investiții</w:t>
      </w:r>
    </w:p>
    <w:p w:rsidR="009A6BA3" w:rsidRPr="00C425DF" w:rsidRDefault="009A6BA3" w:rsidP="009A6BA3">
      <w:pPr>
        <w:spacing w:after="0" w:line="240" w:lineRule="auto"/>
        <w:jc w:val="center"/>
        <w:rPr>
          <w:rFonts w:ascii="Times New Roman" w:hAnsi="Times New Roman"/>
          <w:b/>
          <w:sz w:val="24"/>
          <w:szCs w:val="24"/>
          <w:lang w:val="ro-RO"/>
        </w:rPr>
      </w:pPr>
      <w:r w:rsidRPr="00C425DF">
        <w:rPr>
          <w:rFonts w:ascii="Times New Roman" w:hAnsi="Times New Roman"/>
          <w:b/>
          <w:sz w:val="24"/>
          <w:szCs w:val="24"/>
          <w:lang w:val="ro-RO"/>
        </w:rPr>
        <w:t>cu privire la proiectele investiționale strategice</w:t>
      </w:r>
    </w:p>
    <w:p w:rsidR="009A6BA3" w:rsidRPr="00C425DF" w:rsidRDefault="009A6BA3" w:rsidP="009A6BA3">
      <w:pPr>
        <w:spacing w:after="0" w:line="240" w:lineRule="auto"/>
        <w:jc w:val="both"/>
        <w:rPr>
          <w:rStyle w:val="docheader"/>
          <w:rFonts w:ascii="Times New Roman" w:hAnsi="Times New Roman"/>
          <w:b/>
          <w:bCs/>
          <w:color w:val="000000"/>
          <w:sz w:val="24"/>
          <w:szCs w:val="24"/>
          <w:lang w:val="ro-RO"/>
        </w:rPr>
      </w:pPr>
    </w:p>
    <w:p w:rsidR="009A6BA3" w:rsidRPr="00C425DF" w:rsidRDefault="009A6BA3" w:rsidP="009A6BA3">
      <w:pPr>
        <w:spacing w:after="0" w:line="240" w:lineRule="auto"/>
        <w:jc w:val="both"/>
        <w:rPr>
          <w:rStyle w:val="docheader"/>
          <w:rFonts w:ascii="Times New Roman" w:hAnsi="Times New Roman"/>
          <w:b/>
          <w:bCs/>
          <w:color w:val="000000"/>
          <w:sz w:val="24"/>
          <w:szCs w:val="24"/>
          <w:lang w:val="ro-RO"/>
        </w:rPr>
      </w:pPr>
    </w:p>
    <w:tbl>
      <w:tblPr>
        <w:tblW w:w="5268" w:type="pct"/>
        <w:jc w:val="center"/>
        <w:tblCellMar>
          <w:top w:w="15" w:type="dxa"/>
          <w:left w:w="15" w:type="dxa"/>
          <w:bottom w:w="15" w:type="dxa"/>
          <w:right w:w="15" w:type="dxa"/>
        </w:tblCellMar>
        <w:tblLook w:val="04A0" w:firstRow="1" w:lastRow="0" w:firstColumn="1" w:lastColumn="0" w:noHBand="0" w:noVBand="1"/>
      </w:tblPr>
      <w:tblGrid>
        <w:gridCol w:w="9840"/>
      </w:tblGrid>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C425DF" w:rsidRDefault="009A6BA3" w:rsidP="0082365B">
            <w:pPr>
              <w:spacing w:after="0" w:line="240" w:lineRule="auto"/>
              <w:ind w:firstLine="644"/>
              <w:jc w:val="both"/>
              <w:rPr>
                <w:rFonts w:ascii="Times New Roman" w:eastAsia="Times New Roman" w:hAnsi="Times New Roman"/>
                <w:b/>
                <w:sz w:val="24"/>
                <w:szCs w:val="24"/>
                <w:lang w:val="ro-RO" w:eastAsia="ro-RO"/>
              </w:rPr>
            </w:pPr>
            <w:r w:rsidRPr="00C425DF">
              <w:rPr>
                <w:rFonts w:ascii="Times New Roman" w:eastAsia="Times New Roman" w:hAnsi="Times New Roman"/>
                <w:b/>
                <w:bCs/>
                <w:sz w:val="24"/>
                <w:szCs w:val="24"/>
                <w:lang w:val="ro-RO" w:eastAsia="ro-RO"/>
              </w:rPr>
              <w:t>1.</w:t>
            </w:r>
            <w:r w:rsidRPr="00C425DF">
              <w:rPr>
                <w:rFonts w:ascii="Times New Roman" w:eastAsia="Times New Roman" w:hAnsi="Times New Roman"/>
                <w:b/>
                <w:sz w:val="24"/>
                <w:szCs w:val="24"/>
                <w:lang w:val="ro-RO" w:eastAsia="ro-RO"/>
              </w:rPr>
              <w:t xml:space="preserve"> Denumirea autorului şi, după caz, a participanţilor la elaborarea proiectului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eastAsia="Times New Roman" w:hAnsi="Times New Roman"/>
                <w:sz w:val="24"/>
                <w:szCs w:val="24"/>
                <w:lang w:val="ro-RO" w:eastAsia="ro-RO"/>
              </w:rPr>
              <w:t>Prezentul proiect de hotărîre este elaborat de către Ministerul Economiei și Infrastructurii.</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2.</w:t>
            </w:r>
            <w:r w:rsidRPr="005101A8">
              <w:rPr>
                <w:rFonts w:ascii="Times New Roman" w:eastAsia="Times New Roman" w:hAnsi="Times New Roman"/>
                <w:b/>
                <w:sz w:val="24"/>
                <w:szCs w:val="24"/>
                <w:lang w:val="ro-RO" w:eastAsia="ro-RO"/>
              </w:rPr>
              <w:t xml:space="preserve"> Condiţiile ce au impus elaborarea proiectului de act normativ şi finalităţile urmărite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0455F8" w:rsidRDefault="009A6BA3" w:rsidP="0082365B">
            <w:pPr>
              <w:spacing w:after="0" w:line="240" w:lineRule="auto"/>
              <w:ind w:firstLine="514"/>
              <w:jc w:val="both"/>
              <w:rPr>
                <w:rFonts w:ascii="Times New Roman" w:eastAsia="Times New Roman" w:hAnsi="Times New Roman"/>
                <w:sz w:val="24"/>
                <w:szCs w:val="24"/>
                <w:lang w:val="ro-RO" w:bidi="en-US"/>
              </w:rPr>
            </w:pPr>
            <w:r w:rsidRPr="005101A8">
              <w:rPr>
                <w:rFonts w:ascii="Times New Roman" w:eastAsia="Times New Roman" w:hAnsi="Times New Roman"/>
                <w:sz w:val="24"/>
                <w:szCs w:val="24"/>
                <w:lang w:val="ro-RO" w:bidi="en-US"/>
              </w:rPr>
              <w:t>În iunie 2017 Parlamentul Republicii Moldova a adoptat Legea pentru completarea Legii nr.81/2004 cu privire la investiţiile în activitatea de întreprinzător, nr.106 din 9 iunie 2017, prin care s-a instituit reglementări noi, orientate spre ameliorarea climatului investițional și asigurarea realizării proiectelor investiționale strategice pentru dezvo</w:t>
            </w:r>
            <w:r w:rsidRPr="000455F8">
              <w:rPr>
                <w:rFonts w:ascii="Times New Roman" w:eastAsia="Times New Roman" w:hAnsi="Times New Roman"/>
                <w:sz w:val="24"/>
                <w:szCs w:val="24"/>
                <w:lang w:val="ro-RO" w:bidi="en-US"/>
              </w:rPr>
              <w:t>ltarea social-economică a ţării.</w:t>
            </w:r>
          </w:p>
          <w:p w:rsidR="009A6BA3" w:rsidRPr="003E4FD3" w:rsidRDefault="009A6BA3" w:rsidP="0082365B">
            <w:pPr>
              <w:spacing w:after="0" w:line="240" w:lineRule="auto"/>
              <w:ind w:firstLine="514"/>
              <w:jc w:val="both"/>
              <w:rPr>
                <w:rFonts w:ascii="Times New Roman" w:eastAsia="Times New Roman" w:hAnsi="Times New Roman"/>
                <w:sz w:val="24"/>
                <w:szCs w:val="24"/>
                <w:lang w:val="ro-RO" w:bidi="en-US"/>
              </w:rPr>
            </w:pPr>
            <w:r w:rsidRPr="003E4FD3">
              <w:rPr>
                <w:rFonts w:ascii="Times New Roman" w:eastAsia="Times New Roman" w:hAnsi="Times New Roman"/>
                <w:sz w:val="24"/>
                <w:szCs w:val="24"/>
                <w:lang w:val="ro-RO" w:bidi="en-US"/>
              </w:rPr>
              <w:t>Prevederile în cauză investesc Guvernul cu dreptul de a încheia acorduri de investiții, care au ca scop reducerea riscurilor investiționale, stimularea activității în domeniul de activitate în care se realizează proiectul, suport subiecților sau facilitare a implementării proiectului investițional. În acelaşi timp, acordul de investiții este o soluție identificată de legiuitor pentru a valorifica potenţialul investițional al ţării.</w:t>
            </w:r>
          </w:p>
          <w:p w:rsidR="009A6BA3" w:rsidRPr="00B951D1" w:rsidRDefault="009A6BA3" w:rsidP="0082365B">
            <w:pPr>
              <w:spacing w:after="0" w:line="240" w:lineRule="auto"/>
              <w:ind w:firstLine="514"/>
              <w:jc w:val="both"/>
              <w:rPr>
                <w:rFonts w:ascii="Times New Roman" w:eastAsia="Times New Roman" w:hAnsi="Times New Roman"/>
                <w:sz w:val="24"/>
                <w:szCs w:val="24"/>
                <w:lang w:val="ro-RO" w:bidi="en-US"/>
              </w:rPr>
            </w:pPr>
            <w:r w:rsidRPr="00B951D1">
              <w:rPr>
                <w:rFonts w:ascii="Times New Roman" w:eastAsia="Times New Roman" w:hAnsi="Times New Roman"/>
                <w:sz w:val="24"/>
                <w:szCs w:val="24"/>
                <w:lang w:val="ro-RO" w:bidi="en-US"/>
              </w:rPr>
              <w:t>Prin legea nominalizată s-a stabilit că, modul de elaborare, încheiere și monitorizare a acordurilor de investiții, elementele de structură ale acestora, precum și criteriile de selectare a proiectelor investiționale strategice vor fi stabilite de Guvern. Întru executarea normei legale, Guvernul vine să reglementeze fiecare dintre acțiunile numite supra prin elaborarea actului normativ corespunzător.</w:t>
            </w:r>
          </w:p>
          <w:p w:rsidR="009A6BA3" w:rsidRPr="00B951D1" w:rsidRDefault="009A6BA3" w:rsidP="0082365B">
            <w:pPr>
              <w:spacing w:after="0" w:line="240" w:lineRule="auto"/>
              <w:ind w:firstLine="514"/>
              <w:jc w:val="both"/>
              <w:rPr>
                <w:rFonts w:ascii="Times New Roman" w:eastAsia="Times New Roman" w:hAnsi="Times New Roman"/>
                <w:sz w:val="24"/>
                <w:szCs w:val="24"/>
                <w:lang w:val="ro-RO" w:bidi="en-US"/>
              </w:rPr>
            </w:pPr>
            <w:r w:rsidRPr="00B951D1">
              <w:rPr>
                <w:rFonts w:ascii="Times New Roman" w:eastAsia="Times New Roman" w:hAnsi="Times New Roman"/>
                <w:sz w:val="24"/>
                <w:szCs w:val="24"/>
                <w:lang w:val="ro-RO" w:bidi="en-US"/>
              </w:rPr>
              <w:t>În această ordine de idei, proiectul hotărârii de Guvern are ca scop asigurarea unui tratament uniform al Guvernului în raport cu investitorii și ameliorarea climatului investițional, în special pe domenii strategice ale economiei naționale.</w:t>
            </w:r>
          </w:p>
          <w:p w:rsidR="009A6BA3" w:rsidRPr="0058751C" w:rsidRDefault="009A6BA3" w:rsidP="0082365B">
            <w:pPr>
              <w:spacing w:after="0" w:line="240" w:lineRule="auto"/>
              <w:ind w:firstLine="514"/>
              <w:jc w:val="both"/>
              <w:rPr>
                <w:rFonts w:ascii="Times New Roman" w:eastAsia="Times New Roman" w:hAnsi="Times New Roman"/>
                <w:sz w:val="24"/>
                <w:szCs w:val="24"/>
                <w:lang w:val="ro-RO" w:bidi="en-US"/>
              </w:rPr>
            </w:pPr>
            <w:r w:rsidRPr="0058751C">
              <w:rPr>
                <w:rFonts w:ascii="Times New Roman" w:eastAsia="Times New Roman" w:hAnsi="Times New Roman"/>
                <w:sz w:val="24"/>
                <w:szCs w:val="24"/>
                <w:lang w:val="ro-RO" w:bidi="en-US"/>
              </w:rPr>
              <w:t>În vederea atingerii scopului vizat proiectul hotărârii este orientat către următoarele obiective:</w:t>
            </w:r>
          </w:p>
          <w:p w:rsidR="009A6BA3" w:rsidRPr="0058751C" w:rsidRDefault="009A6BA3" w:rsidP="009A6BA3">
            <w:pPr>
              <w:numPr>
                <w:ilvl w:val="0"/>
                <w:numId w:val="1"/>
              </w:numPr>
              <w:spacing w:after="0" w:line="240" w:lineRule="auto"/>
              <w:ind w:left="798" w:hanging="231"/>
              <w:contextualSpacing/>
              <w:jc w:val="both"/>
              <w:rPr>
                <w:rFonts w:ascii="Times New Roman" w:eastAsia="Times New Roman" w:hAnsi="Times New Roman"/>
                <w:sz w:val="24"/>
                <w:szCs w:val="24"/>
                <w:lang w:val="ro-RO" w:bidi="en-US"/>
              </w:rPr>
            </w:pPr>
            <w:r w:rsidRPr="0058751C">
              <w:rPr>
                <w:rFonts w:ascii="Times New Roman" w:eastAsia="Times New Roman" w:hAnsi="Times New Roman"/>
                <w:sz w:val="24"/>
                <w:szCs w:val="24"/>
                <w:lang w:val="ro-RO" w:bidi="en-US"/>
              </w:rPr>
              <w:t>crearea cadrului normativ exact privind identificarea și selectarea proiectelor investiționale strategice, procedura de încheiere a acordurilor de investiții și de control a executării acestora;</w:t>
            </w:r>
          </w:p>
          <w:p w:rsidR="009A6BA3" w:rsidRPr="0058751C" w:rsidRDefault="009A6BA3" w:rsidP="009A6BA3">
            <w:pPr>
              <w:numPr>
                <w:ilvl w:val="0"/>
                <w:numId w:val="1"/>
              </w:numPr>
              <w:spacing w:after="0" w:line="240" w:lineRule="auto"/>
              <w:ind w:left="798" w:hanging="231"/>
              <w:contextualSpacing/>
              <w:jc w:val="both"/>
              <w:rPr>
                <w:rFonts w:ascii="Times New Roman" w:eastAsia="Times New Roman" w:hAnsi="Times New Roman"/>
                <w:sz w:val="24"/>
                <w:szCs w:val="24"/>
                <w:lang w:val="ro-RO" w:bidi="en-US"/>
              </w:rPr>
            </w:pPr>
            <w:r w:rsidRPr="0058751C">
              <w:rPr>
                <w:rFonts w:ascii="Times New Roman" w:eastAsia="Times New Roman" w:hAnsi="Times New Roman"/>
                <w:sz w:val="24"/>
                <w:szCs w:val="24"/>
                <w:lang w:val="ro-RO" w:bidi="en-US"/>
              </w:rPr>
              <w:t>asigurarea transparenței și previzibilității la încheierea acordurilor de investiții;</w:t>
            </w:r>
          </w:p>
          <w:p w:rsidR="009A6BA3" w:rsidRPr="0058751C" w:rsidRDefault="009A6BA3" w:rsidP="009A6BA3">
            <w:pPr>
              <w:numPr>
                <w:ilvl w:val="0"/>
                <w:numId w:val="1"/>
              </w:numPr>
              <w:spacing w:after="0" w:line="240" w:lineRule="auto"/>
              <w:ind w:left="798" w:hanging="231"/>
              <w:contextualSpacing/>
              <w:jc w:val="both"/>
              <w:rPr>
                <w:rFonts w:ascii="Times New Roman" w:eastAsia="Times New Roman" w:hAnsi="Times New Roman"/>
                <w:sz w:val="24"/>
                <w:szCs w:val="24"/>
                <w:lang w:val="ro-RO" w:bidi="en-US"/>
              </w:rPr>
            </w:pPr>
            <w:r w:rsidRPr="0058751C">
              <w:rPr>
                <w:rFonts w:ascii="Times New Roman" w:eastAsia="Times New Roman" w:hAnsi="Times New Roman"/>
                <w:sz w:val="24"/>
                <w:szCs w:val="24"/>
                <w:lang w:val="ro-RO" w:bidi="en-US"/>
              </w:rPr>
              <w:t>- atragerea investițiilor în domenii de activitate strategice pentru economia națională.</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3.</w:t>
            </w:r>
            <w:r w:rsidRPr="005101A8">
              <w:rPr>
                <w:rFonts w:ascii="Times New Roman" w:eastAsia="Times New Roman" w:hAnsi="Times New Roman"/>
                <w:b/>
                <w:sz w:val="24"/>
                <w:szCs w:val="24"/>
                <w:lang w:val="ro-RO" w:eastAsia="ro-RO"/>
              </w:rPr>
              <w:t xml:space="preserve"> Descrierea gradului de compatibilitate pentru proiectele care au ca scop armonizarea legislaţiei naţionale cu legislaţia Uniunii Europene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eastAsia="Times New Roman" w:hAnsi="Times New Roman"/>
                <w:sz w:val="24"/>
                <w:szCs w:val="24"/>
                <w:lang w:val="ro-RO" w:eastAsia="ro-RO"/>
              </w:rPr>
              <w:t>Proiectul hotărîrii de Guvern nu conține norme privind armonizarea legislației naționale cu legislaţia Uniunii Europene.</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4.</w:t>
            </w:r>
            <w:r w:rsidRPr="005101A8">
              <w:rPr>
                <w:rFonts w:ascii="Times New Roman" w:eastAsia="Times New Roman" w:hAnsi="Times New Roman"/>
                <w:b/>
                <w:sz w:val="24"/>
                <w:szCs w:val="24"/>
                <w:lang w:val="ro-RO" w:eastAsia="ro-RO"/>
              </w:rPr>
              <w:t xml:space="preserve"> Principalele prevederi ale proiectului şi evidenţierea elementelor noi </w:t>
            </w:r>
          </w:p>
          <w:p w:rsidR="009A6BA3" w:rsidRPr="00346F5C" w:rsidRDefault="009A6BA3" w:rsidP="009A6BA3">
            <w:pPr>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Proiectul hotărârii de Guvern prevede aprobarea Regulamentului cu privire la modul de elaborare, încheiere și monitorizare a implementării acordurilor de investiții cu privire la proiectele investiționale strategice (în continuare - Regulament).</w:t>
            </w:r>
          </w:p>
          <w:p w:rsidR="009A6BA3" w:rsidRPr="00346F5C" w:rsidRDefault="009A6BA3" w:rsidP="009A6BA3">
            <w:pPr>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De asemenea, proiectul stabileşte acţiuni ce necesită a fi întreprinse ulterior încheierii acordurilor de investiții, inclusiv responsabilizarea autorităților administrației publice în procesul implementării acordurilor de investiții încheiate. Astfel, toate autoritățile statului vor trebui să contribuie la realizarea acordurilor investiționale încheiate de Guvern.</w:t>
            </w:r>
          </w:p>
          <w:p w:rsidR="009A6BA3" w:rsidRPr="00346F5C" w:rsidRDefault="009A6BA3" w:rsidP="009A6BA3">
            <w:pPr>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Regulamentul determină criteriile și procedura de selecție a proiectelor investiționale strategice pentru care Guvernul va decide să încheie acorduri de investiții, cât și nemijlocit procedura de încheiere, monitorizare a executării acordurilor de investiții încheiate.</w:t>
            </w:r>
          </w:p>
          <w:p w:rsidR="009A6BA3" w:rsidRPr="00346F5C" w:rsidRDefault="009A6BA3" w:rsidP="009A6BA3">
            <w:pPr>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Aşadar, printre cele mai esenţiale norme ale Regulamentului pot fi considerate următoarele:</w:t>
            </w:r>
          </w:p>
          <w:p w:rsidR="009A6BA3" w:rsidRPr="00346F5C" w:rsidRDefault="009A6BA3" w:rsidP="009A6BA3">
            <w:pPr>
              <w:numPr>
                <w:ilvl w:val="0"/>
                <w:numId w:val="2"/>
              </w:numPr>
              <w:tabs>
                <w:tab w:val="left" w:pos="567"/>
                <w:tab w:val="left" w:pos="1134"/>
                <w:tab w:val="left" w:pos="1170"/>
              </w:tabs>
              <w:spacing w:after="0" w:line="240" w:lineRule="auto"/>
              <w:jc w:val="both"/>
              <w:rPr>
                <w:rFonts w:ascii="Times New Roman" w:hAnsi="Times New Roman"/>
                <w:sz w:val="24"/>
                <w:szCs w:val="24"/>
                <w:lang w:val="ro-RO"/>
              </w:rPr>
            </w:pPr>
            <w:r w:rsidRPr="00346F5C">
              <w:rPr>
                <w:rFonts w:ascii="Times New Roman" w:eastAsia="Times New Roman" w:hAnsi="Times New Roman"/>
                <w:sz w:val="24"/>
                <w:szCs w:val="24"/>
                <w:lang w:val="ro-RO" w:eastAsia="zh-TW" w:bidi="en-US"/>
              </w:rPr>
              <w:t>acordurile de investiți se încheie doar pentru proiectele investiționale strategice care își propun</w:t>
            </w:r>
          </w:p>
          <w:p w:rsidR="009A6BA3" w:rsidRPr="00346F5C" w:rsidRDefault="009A6BA3" w:rsidP="009A6BA3">
            <w:pPr>
              <w:tabs>
                <w:tab w:val="left" w:pos="567"/>
                <w:tab w:val="left" w:pos="1134"/>
                <w:tab w:val="left" w:pos="1170"/>
              </w:tabs>
              <w:spacing w:after="0" w:line="240" w:lineRule="auto"/>
              <w:jc w:val="both"/>
              <w:rPr>
                <w:rFonts w:ascii="Times New Roman" w:hAnsi="Times New Roman"/>
                <w:sz w:val="24"/>
                <w:szCs w:val="24"/>
                <w:lang w:val="ro-RO"/>
              </w:rPr>
            </w:pPr>
            <w:r w:rsidRPr="00346F5C">
              <w:rPr>
                <w:rFonts w:ascii="Times New Roman" w:eastAsia="Times New Roman" w:hAnsi="Times New Roman"/>
                <w:sz w:val="24"/>
                <w:szCs w:val="24"/>
                <w:lang w:val="ro-RO" w:eastAsia="zh-TW" w:bidi="en-US"/>
              </w:rPr>
              <w:t>realizarea unor sarcini, obiective sau indicatori de importanță strategică pentru economia națională;</w:t>
            </w:r>
          </w:p>
          <w:p w:rsidR="009A6BA3" w:rsidRPr="00346F5C" w:rsidRDefault="009A6BA3" w:rsidP="009A6BA3">
            <w:pPr>
              <w:numPr>
                <w:ilvl w:val="0"/>
                <w:numId w:val="2"/>
              </w:numPr>
              <w:tabs>
                <w:tab w:val="left" w:pos="567"/>
                <w:tab w:val="left" w:pos="1134"/>
                <w:tab w:val="left" w:pos="1170"/>
              </w:tabs>
              <w:spacing w:after="0" w:line="240" w:lineRule="auto"/>
              <w:jc w:val="both"/>
              <w:rPr>
                <w:rFonts w:ascii="Times New Roman" w:hAnsi="Times New Roman"/>
                <w:sz w:val="24"/>
                <w:szCs w:val="24"/>
                <w:lang w:val="ro-RO"/>
              </w:rPr>
            </w:pPr>
            <w:r w:rsidRPr="00346F5C">
              <w:rPr>
                <w:rFonts w:ascii="Times New Roman" w:eastAsia="Times New Roman" w:hAnsi="Times New Roman"/>
                <w:sz w:val="24"/>
                <w:szCs w:val="24"/>
                <w:lang w:val="ro-RO" w:eastAsia="zh-TW" w:bidi="en-US"/>
              </w:rPr>
              <w:lastRenderedPageBreak/>
              <w:t xml:space="preserve">mecanismul de informare, aplicare, selectare, negociere, încheiere, monitorizare a executării </w:t>
            </w:r>
          </w:p>
          <w:p w:rsidR="009A6BA3" w:rsidRPr="00346F5C" w:rsidRDefault="009A6BA3" w:rsidP="009A6BA3">
            <w:pPr>
              <w:tabs>
                <w:tab w:val="left" w:pos="567"/>
                <w:tab w:val="left" w:pos="1134"/>
                <w:tab w:val="left" w:pos="1170"/>
              </w:tabs>
              <w:spacing w:after="0" w:line="240" w:lineRule="auto"/>
              <w:jc w:val="both"/>
              <w:rPr>
                <w:rFonts w:ascii="Times New Roman" w:hAnsi="Times New Roman"/>
                <w:sz w:val="24"/>
                <w:szCs w:val="24"/>
                <w:lang w:val="ro-RO"/>
              </w:rPr>
            </w:pPr>
            <w:r w:rsidRPr="00346F5C">
              <w:rPr>
                <w:rFonts w:ascii="Times New Roman" w:eastAsia="Times New Roman" w:hAnsi="Times New Roman"/>
                <w:sz w:val="24"/>
                <w:szCs w:val="24"/>
                <w:lang w:val="ro-RO" w:eastAsia="zh-TW" w:bidi="en-US"/>
              </w:rPr>
              <w:t>acordurilor de investiții este asigurat de către Agenția de Investiții (AI) și grupul de lucru constituit prin ordin al directorului AI din reprezentanți ai MEI, AI, Consiliul Concurenței, ai ministerelor și altor autorități administrative în competența cărora se află domeniul (domeniile) de activitate care sunt vizate de proiectul investițional strategic.</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Ținem să relatăm că, pot fi încheiate acorduri de investiții pentru proiectele investiționale strategice care corespund concomitent la cel puțin 5 din următoarele criterii, subpunctele 2) şi 3) fiind obligatorii:</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1.</w:t>
            </w:r>
            <w:r w:rsidRPr="00346F5C">
              <w:rPr>
                <w:rFonts w:ascii="Times New Roman" w:eastAsia="Times New Roman" w:hAnsi="Times New Roman"/>
                <w:sz w:val="24"/>
                <w:szCs w:val="24"/>
                <w:lang w:val="ro-RO" w:eastAsia="zh-TW" w:bidi="en-US"/>
              </w:rPr>
              <w:tab/>
              <w:t>asigură atingerea indicatorilor sau soluționarea sarcinilor, obiectivelor de importanță strategică primordială pentru economia națională și/sau populație;</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2.</w:t>
            </w:r>
            <w:r w:rsidRPr="00346F5C">
              <w:rPr>
                <w:rFonts w:ascii="Times New Roman" w:eastAsia="Times New Roman" w:hAnsi="Times New Roman"/>
                <w:sz w:val="24"/>
                <w:szCs w:val="24"/>
                <w:lang w:val="ro-RO" w:eastAsia="zh-TW" w:bidi="en-US"/>
              </w:rPr>
              <w:tab/>
              <w:t>prevăd un volum de investiții de cel puțin 3 milioane dolari SUA;</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3.</w:t>
            </w:r>
            <w:r w:rsidRPr="00346F5C">
              <w:rPr>
                <w:rFonts w:ascii="Times New Roman" w:eastAsia="Times New Roman" w:hAnsi="Times New Roman"/>
                <w:sz w:val="24"/>
                <w:szCs w:val="24"/>
                <w:lang w:val="ro-RO" w:eastAsia="zh-TW" w:bidi="en-US"/>
              </w:rPr>
              <w:tab/>
              <w:t>prevăd crearea cel puțin 100 de locuri noi de muncă și asigurarea unui salariul mediu lunar la întreprindere pentru persoanele angajate cel puțin egal cu salariului mediu lunar pe economie, prognozat pentru anul de gestiune, aprobat de Guvern;</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4.</w:t>
            </w:r>
            <w:r w:rsidRPr="00346F5C">
              <w:rPr>
                <w:rFonts w:ascii="Times New Roman" w:eastAsia="Times New Roman" w:hAnsi="Times New Roman"/>
                <w:sz w:val="24"/>
                <w:szCs w:val="24"/>
                <w:lang w:val="ro-RO" w:eastAsia="zh-TW" w:bidi="en-US"/>
              </w:rPr>
              <w:tab/>
              <w:t xml:space="preserve">introduc noi industrii, noi infrastructuri sau dezvoltă o producere nouă pentru economia Republicii Moldova; </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5.</w:t>
            </w:r>
            <w:r w:rsidRPr="00346F5C">
              <w:rPr>
                <w:rFonts w:ascii="Times New Roman" w:eastAsia="Times New Roman" w:hAnsi="Times New Roman"/>
                <w:sz w:val="24"/>
                <w:szCs w:val="24"/>
                <w:lang w:val="ro-RO" w:eastAsia="zh-TW" w:bidi="en-US"/>
              </w:rPr>
              <w:tab/>
              <w:t>utilizează tehnologii și echipamente inovatoare;</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6.</w:t>
            </w:r>
            <w:r w:rsidRPr="00346F5C">
              <w:rPr>
                <w:rFonts w:ascii="Times New Roman" w:eastAsia="Times New Roman" w:hAnsi="Times New Roman"/>
                <w:sz w:val="24"/>
                <w:szCs w:val="24"/>
                <w:lang w:val="ro-RO" w:eastAsia="zh-TW" w:bidi="en-US"/>
              </w:rPr>
              <w:tab/>
              <w:t xml:space="preserve">pentru proiectele din domeniul industriei prelucrătoare – utilizează cele mai bune tehnologii de producție accesibile, care asigură un impact negativ minim posibil asupra mediului și sănătății populației; </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7.</w:t>
            </w:r>
            <w:r w:rsidRPr="00346F5C">
              <w:rPr>
                <w:rFonts w:ascii="Times New Roman" w:eastAsia="Times New Roman" w:hAnsi="Times New Roman"/>
                <w:sz w:val="24"/>
                <w:szCs w:val="24"/>
                <w:lang w:val="ro-RO" w:eastAsia="zh-TW" w:bidi="en-US"/>
              </w:rPr>
              <w:tab/>
              <w:t>este orientat asupra producerii mărfurilor sau prestării serviciilor destinate pentru export sau substituirii mărfurilor de import;</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8.</w:t>
            </w:r>
            <w:r w:rsidRPr="00346F5C">
              <w:rPr>
                <w:rFonts w:ascii="Times New Roman" w:eastAsia="Times New Roman" w:hAnsi="Times New Roman"/>
                <w:sz w:val="24"/>
                <w:szCs w:val="24"/>
                <w:lang w:val="ro-RO" w:eastAsia="zh-TW" w:bidi="en-US"/>
              </w:rPr>
              <w:tab/>
              <w:t xml:space="preserve">asigură dezvoltarea concurenței (mediului concurențial) pe piața internă sau sporirea competitivității mărfurilor moldovenești pe piața externă; </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9.</w:t>
            </w:r>
            <w:r w:rsidRPr="00346F5C">
              <w:rPr>
                <w:rFonts w:ascii="Times New Roman" w:eastAsia="Times New Roman" w:hAnsi="Times New Roman"/>
                <w:sz w:val="24"/>
                <w:szCs w:val="24"/>
                <w:lang w:val="ro-RO" w:eastAsia="zh-TW" w:bidi="en-US"/>
              </w:rPr>
              <w:tab/>
              <w:t>asigură atragerea, în economia națională, a altor investiții în cuantum de cel puţin 50% din volumul investiției prevăzut la  sbp. 2) al prezentului punct;</w:t>
            </w:r>
          </w:p>
          <w:p w:rsidR="009A6BA3" w:rsidRPr="00346F5C" w:rsidRDefault="009A6BA3" w:rsidP="009A6BA3">
            <w:pPr>
              <w:tabs>
                <w:tab w:val="left" w:pos="432"/>
              </w:tabs>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10.</w:t>
            </w:r>
            <w:r w:rsidRPr="00346F5C">
              <w:rPr>
                <w:rFonts w:ascii="Times New Roman" w:eastAsia="Times New Roman" w:hAnsi="Times New Roman"/>
                <w:sz w:val="24"/>
                <w:szCs w:val="24"/>
                <w:lang w:val="ro-RO" w:eastAsia="zh-TW" w:bidi="en-US"/>
              </w:rPr>
              <w:tab/>
              <w:t>implementarea lor asigură eficiența energetică, creșterea productivității și competitivității în agricultură, valorificarea deșeurilor sau reducerea poluării mediului.</w:t>
            </w:r>
          </w:p>
          <w:p w:rsidR="009A6BA3" w:rsidRPr="00346F5C" w:rsidRDefault="009A6BA3" w:rsidP="009A6BA3">
            <w:pPr>
              <w:tabs>
                <w:tab w:val="left" w:pos="342"/>
              </w:tabs>
              <w:spacing w:after="0" w:line="276" w:lineRule="auto"/>
              <w:jc w:val="both"/>
              <w:rPr>
                <w:rFonts w:ascii="Times New Roman" w:hAnsi="Times New Roman"/>
                <w:b/>
                <w:i/>
                <w:sz w:val="24"/>
                <w:szCs w:val="24"/>
                <w:lang w:val="ro-RO" w:eastAsia="zh-TW" w:bidi="en-US"/>
              </w:rPr>
            </w:pPr>
            <w:r w:rsidRPr="00346F5C">
              <w:rPr>
                <w:rFonts w:ascii="Times New Roman" w:hAnsi="Times New Roman"/>
                <w:b/>
                <w:i/>
                <w:sz w:val="24"/>
                <w:szCs w:val="24"/>
                <w:lang w:val="ro-RO" w:eastAsia="zh-TW" w:bidi="en-US"/>
              </w:rPr>
              <w:t>Aprobarea, încheierea și asigurarea executării acordului de investiții</w:t>
            </w:r>
          </w:p>
          <w:p w:rsidR="009A6BA3" w:rsidRPr="00346F5C" w:rsidRDefault="009A6BA3" w:rsidP="009A6BA3">
            <w:pPr>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 xml:space="preserve">Instituția în sarcina căreia a fost pusă obligația de a asigura funcționalitatea acestui mecanism este Agenția de Investiții, care va activa după principiile Ghișeului unic. Astfel, solicitarea de informații/consultația persoanelor interesate, recepționarea cererii/ofertei de a încheia un acord de investiții, examinarea acesteia, asigurarea procesului de elaborare și încheiere a acordului de investiții, dar și monitorizarea acordurilor de investiții încheiate, toate aceste etape și acțiuni urmează să fie asigurate de către Agenția de Investiții, președintele Grupului de lucru. De asemenea, menționăm că în vederea încheierii acordului de investiții, investitorul va depune la AI o serie de acte, menționate la cap. IV, pct. 22 al prezentului Regulament. </w:t>
            </w:r>
          </w:p>
          <w:p w:rsidR="009A6BA3" w:rsidRPr="00346F5C" w:rsidRDefault="009A6BA3" w:rsidP="009A6BA3">
            <w:pPr>
              <w:spacing w:after="0" w:line="276" w:lineRule="auto"/>
              <w:ind w:firstLine="514"/>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Cererea și anexele depuse se examinează de către Agenția de Investiții, care, în termen de 3 zile lucrătoare de la recepționare, întocmește o notă informativă cu privire la proiectul investițional propus pentru încheierea unui acord de investiții.</w:t>
            </w:r>
            <w:r w:rsidRPr="00346F5C">
              <w:t xml:space="preserve"> </w:t>
            </w:r>
            <w:r w:rsidRPr="00346F5C">
              <w:rPr>
                <w:rFonts w:ascii="Times New Roman" w:eastAsia="Times New Roman" w:hAnsi="Times New Roman"/>
                <w:sz w:val="24"/>
                <w:szCs w:val="24"/>
                <w:lang w:val="ro-RO" w:eastAsia="zh-TW" w:bidi="en-US"/>
              </w:rPr>
              <w:t xml:space="preserve"> Agenția de Investiții asigură transmiterea, în termen de 3 zile lucrătoare de la data emiterii ordinului de constituire a Grupului de lucru, tuturor membrilor Grupului de lucru a notei informative împreună cu materialele depuse de investitor. </w:t>
            </w:r>
          </w:p>
          <w:p w:rsidR="009A6BA3" w:rsidRPr="00346F5C" w:rsidRDefault="009A6BA3" w:rsidP="009A6BA3">
            <w:pPr>
              <w:spacing w:after="0" w:line="276" w:lineRule="auto"/>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 xml:space="preserve">Grupul de lucru, în termen de până la 15 zile lucrătoare de la recepționarea notei informative a Agenției de Investiții, decide, asupra oportunității încheierii sau nu a unui acord de investiții pentru proiectul investițional înaintat. Secretariatul Grupului de lucru informează în scris investitorul despre decizia </w:t>
            </w:r>
            <w:r w:rsidRPr="00346F5C">
              <w:rPr>
                <w:rFonts w:ascii="Times New Roman" w:eastAsia="Times New Roman" w:hAnsi="Times New Roman"/>
                <w:sz w:val="24"/>
                <w:szCs w:val="24"/>
                <w:lang w:val="ro-RO" w:eastAsia="zh-TW" w:bidi="en-US"/>
              </w:rPr>
              <w:lastRenderedPageBreak/>
              <w:t>Grupului de lucru pe marginea acordului de investiții pentru proiectul investițional înaintat. În cazul deciziei privind oportunitatea încheierii unui acord de investiții, Grupul de lucru inițiază negocierea și elaborarea proiectului acordului de investiții.</w:t>
            </w:r>
          </w:p>
          <w:p w:rsidR="009A6BA3" w:rsidRPr="00346F5C" w:rsidRDefault="009A6BA3" w:rsidP="009A6BA3">
            <w:pPr>
              <w:spacing w:after="0" w:line="276" w:lineRule="auto"/>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În termen de până la 30 de zile de la data desfășurării primei ședințe, după examinarea materialelor și negocierea proiectului acordului de investiții, Grupul de lucru:</w:t>
            </w:r>
          </w:p>
          <w:p w:rsidR="009A6BA3" w:rsidRPr="00346F5C" w:rsidRDefault="009A6BA3" w:rsidP="009A6BA3">
            <w:pPr>
              <w:spacing w:after="0" w:line="276" w:lineRule="auto"/>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1) aprobă proiectul acordului de investiții, în cazul în care membrii Grupului de lucru și investitorul au agreat conținutul acordului de investiții, iar ulterior acesta se transmite Agenției de Investiții;</w:t>
            </w:r>
          </w:p>
          <w:p w:rsidR="009A6BA3" w:rsidRPr="00346F5C" w:rsidRDefault="009A6BA3" w:rsidP="009A6BA3">
            <w:pPr>
              <w:spacing w:after="0" w:line="276" w:lineRule="auto"/>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2) constată imposibilitatea încheierii acordului de investiții din cauza dezacordului membrilor Grupului de lucru sau al investitorului referitor la conținutul proiectului acordului de investiții.</w:t>
            </w:r>
          </w:p>
          <w:p w:rsidR="009A6BA3" w:rsidRPr="00346F5C" w:rsidRDefault="009A6BA3" w:rsidP="009A6BA3">
            <w:pPr>
              <w:spacing w:after="0" w:line="276" w:lineRule="auto"/>
              <w:jc w:val="both"/>
              <w:rPr>
                <w:rFonts w:ascii="Times New Roman" w:eastAsia="Times New Roman" w:hAnsi="Times New Roman"/>
                <w:lang w:val="ro-RO" w:eastAsia="zh-TW" w:bidi="en-US"/>
              </w:rPr>
            </w:pPr>
            <w:r w:rsidRPr="00346F5C">
              <w:rPr>
                <w:rFonts w:ascii="Times New Roman" w:eastAsia="Times New Roman" w:hAnsi="Times New Roman"/>
                <w:i/>
                <w:sz w:val="24"/>
                <w:szCs w:val="24"/>
                <w:lang w:val="ro-RO" w:eastAsia="zh-TW" w:bidi="en-US"/>
              </w:rPr>
              <w:t>Notă:</w:t>
            </w:r>
            <w:r w:rsidRPr="00346F5C">
              <w:rPr>
                <w:rFonts w:ascii="Times New Roman" w:eastAsia="Times New Roman" w:hAnsi="Times New Roman"/>
                <w:sz w:val="24"/>
                <w:szCs w:val="24"/>
                <w:lang w:val="ro-RO" w:eastAsia="zh-TW" w:bidi="en-US"/>
              </w:rPr>
              <w:t xml:space="preserve"> </w:t>
            </w:r>
            <w:r w:rsidRPr="00346F5C">
              <w:rPr>
                <w:rFonts w:ascii="Times New Roman" w:eastAsia="Times New Roman" w:hAnsi="Times New Roman"/>
                <w:lang w:val="ro-RO" w:eastAsia="zh-TW" w:bidi="en-US"/>
              </w:rPr>
              <w:t>Termenul de 30 de zile poate fi prelungit cu până la 30 de zile doar pentru negocierea clauzelor acordului de investiții până la atingerea unui acord comun. Prelungirea termenului se aprobă de către președintele Grupului de lucru cu acordul scris al directorului Agenției de Investiții.</w:t>
            </w:r>
          </w:p>
          <w:p w:rsidR="009A6BA3" w:rsidRPr="00346F5C" w:rsidRDefault="009A6BA3" w:rsidP="009A6BA3">
            <w:pPr>
              <w:spacing w:after="0" w:line="276" w:lineRule="auto"/>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După recepționarea proiectului aprobat al acordului de investiții, Agenția de Investiții pregătește și promovează proiectul hotărârii Guvernului pentru aprobarea acordului de investiții, conform regulilor de avizare, expertiză, redactare și prezentare a actelor normative Guvernului, prevăzute de Legea nr. 100 din 22.12.2017 c</w:t>
            </w:r>
            <w:r>
              <w:rPr>
                <w:rFonts w:ascii="Times New Roman" w:eastAsia="Times New Roman" w:hAnsi="Times New Roman"/>
                <w:sz w:val="24"/>
                <w:szCs w:val="24"/>
                <w:lang w:val="ro-RO" w:eastAsia="zh-TW" w:bidi="en-US"/>
              </w:rPr>
              <w:t xml:space="preserve">u privire la actele normative. </w:t>
            </w:r>
          </w:p>
          <w:p w:rsidR="009A6BA3" w:rsidRPr="009A6BA3" w:rsidRDefault="009A6BA3" w:rsidP="009A6BA3">
            <w:pPr>
              <w:spacing w:after="0" w:line="276" w:lineRule="auto"/>
              <w:jc w:val="both"/>
              <w:rPr>
                <w:rFonts w:ascii="Times New Roman" w:eastAsia="Times New Roman" w:hAnsi="Times New Roman"/>
                <w:sz w:val="24"/>
                <w:szCs w:val="24"/>
                <w:lang w:val="ro-RO" w:eastAsia="zh-TW" w:bidi="en-US"/>
              </w:rPr>
            </w:pPr>
            <w:r w:rsidRPr="00346F5C">
              <w:rPr>
                <w:rFonts w:ascii="Times New Roman" w:eastAsia="Times New Roman" w:hAnsi="Times New Roman"/>
                <w:sz w:val="24"/>
                <w:szCs w:val="24"/>
                <w:lang w:val="ro-RO" w:eastAsia="zh-TW" w:bidi="en-US"/>
              </w:rPr>
              <w:t>Acordul de investiții aprobat de Guvern se semnează de Prim-ministrul Republicii Moldova și de investitor. Guvernul poate împuternici semnarea acordului de investiții, în numele Guvernului, de către ministrul de domeniul de competență al căruia este proiectul investițional strategic pentru care a fost încheiat Acordul de investiții, de către Directorul general al Agenției de Investiții sau de către o persoană cu funcție de răspundere.  Ministerul al cărui ministru a semnat acordul de investiții sau, după caz autoritatea administrativă desemnată de Guvern, este responsabil de asigurarea respectării acțiunilor asumate de Guvern în vederea reducerii riscurilor investiționale și facilitării realizării proiectului investițional strategic și modul de executare, în general, a Ac</w:t>
            </w:r>
            <w:r>
              <w:rPr>
                <w:rFonts w:ascii="Times New Roman" w:eastAsia="Times New Roman" w:hAnsi="Times New Roman"/>
                <w:sz w:val="24"/>
                <w:szCs w:val="24"/>
                <w:lang w:val="ro-RO" w:eastAsia="zh-TW" w:bidi="en-US"/>
              </w:rPr>
              <w:t xml:space="preserve">ordului de investiții semnat.  </w:t>
            </w:r>
          </w:p>
          <w:p w:rsidR="009A6BA3" w:rsidRPr="00346F5C" w:rsidRDefault="009A6BA3" w:rsidP="009A6BA3">
            <w:pPr>
              <w:tabs>
                <w:tab w:val="left" w:pos="342"/>
              </w:tabs>
              <w:spacing w:after="0" w:line="276" w:lineRule="auto"/>
              <w:ind w:firstLine="514"/>
              <w:jc w:val="both"/>
              <w:rPr>
                <w:rFonts w:ascii="Times New Roman" w:eastAsia="Times New Roman" w:hAnsi="Times New Roman"/>
                <w:b/>
                <w:i/>
                <w:sz w:val="24"/>
                <w:szCs w:val="24"/>
                <w:lang w:val="ro-RO" w:eastAsia="zh-TW" w:bidi="en-US"/>
              </w:rPr>
            </w:pPr>
            <w:r w:rsidRPr="00346F5C">
              <w:rPr>
                <w:rFonts w:ascii="Times New Roman" w:eastAsia="Times New Roman" w:hAnsi="Times New Roman"/>
                <w:b/>
                <w:i/>
                <w:sz w:val="24"/>
                <w:szCs w:val="24"/>
                <w:lang w:val="ro-RO" w:eastAsia="zh-TW" w:bidi="en-US"/>
              </w:rPr>
              <w:t>Monitorizarea implementării acordului de investiții</w:t>
            </w:r>
          </w:p>
          <w:p w:rsidR="009A6BA3" w:rsidRDefault="009A6BA3" w:rsidP="009A6BA3">
            <w:pPr>
              <w:spacing w:after="0" w:line="276" w:lineRule="auto"/>
              <w:jc w:val="both"/>
            </w:pPr>
            <w:r w:rsidRPr="00346F5C">
              <w:rPr>
                <w:rFonts w:ascii="Times New Roman" w:eastAsia="Times New Roman" w:hAnsi="Times New Roman"/>
                <w:sz w:val="24"/>
                <w:szCs w:val="24"/>
                <w:lang w:val="ro-RO" w:eastAsia="zh-TW" w:bidi="en-US"/>
              </w:rPr>
              <w:t>Monitorizarea permanentă a implementării tuturor acordurilor de investiții încheiate de Guvern se va efectua de către Agenția de Investiții care va monitoriza permanent executarea tuturor acordurilor de investiții încheiate de către acesta.</w:t>
            </w:r>
            <w:r>
              <w:t xml:space="preserve"> </w:t>
            </w:r>
          </w:p>
          <w:p w:rsidR="009A6BA3" w:rsidRPr="009A6BA3" w:rsidRDefault="009A6BA3" w:rsidP="009A6BA3">
            <w:pPr>
              <w:spacing w:after="0" w:line="276" w:lineRule="auto"/>
              <w:jc w:val="both"/>
            </w:pPr>
            <w:r w:rsidRPr="00346F5C">
              <w:rPr>
                <w:rFonts w:ascii="Times New Roman" w:eastAsia="Times New Roman" w:hAnsi="Times New Roman"/>
                <w:sz w:val="24"/>
                <w:szCs w:val="24"/>
                <w:lang w:val="ro-RO" w:eastAsia="zh-TW" w:bidi="en-US"/>
              </w:rPr>
              <w:t xml:space="preserve">Anual, până la 30 martie a anului în curs, autoritatea pe domeniul de competență al căreia ține implementarea acordului de investiții, prezintă Agenției de Investiții un raport general pentru anul precedent, privind modul și gradul de executare a tuturor acordurilor de investiții pentru executarea </w:t>
            </w:r>
            <w:r>
              <w:rPr>
                <w:rFonts w:ascii="Times New Roman" w:eastAsia="Times New Roman" w:hAnsi="Times New Roman"/>
                <w:sz w:val="24"/>
                <w:szCs w:val="24"/>
                <w:lang w:val="ro-RO" w:eastAsia="zh-TW" w:bidi="en-US"/>
              </w:rPr>
              <w:t>cărora poartă responsabilitate.</w:t>
            </w:r>
          </w:p>
          <w:p w:rsidR="009A6BA3" w:rsidRPr="00346F5C" w:rsidRDefault="009A6BA3" w:rsidP="009A6BA3">
            <w:pPr>
              <w:tabs>
                <w:tab w:val="left" w:pos="426"/>
                <w:tab w:val="left" w:pos="1134"/>
              </w:tabs>
              <w:spacing w:after="0" w:line="276" w:lineRule="auto"/>
              <w:ind w:firstLine="514"/>
              <w:jc w:val="both"/>
              <w:rPr>
                <w:rFonts w:ascii="Times New Roman" w:eastAsia="Times New Roman" w:hAnsi="Times New Roman"/>
                <w:i/>
                <w:sz w:val="24"/>
                <w:szCs w:val="24"/>
                <w:lang w:val="ro-RO" w:eastAsia="zh-TW" w:bidi="en-US"/>
              </w:rPr>
            </w:pPr>
            <w:r w:rsidRPr="00346F5C">
              <w:rPr>
                <w:rFonts w:ascii="Times New Roman" w:eastAsia="Times New Roman" w:hAnsi="Times New Roman"/>
                <w:b/>
                <w:i/>
                <w:sz w:val="24"/>
                <w:szCs w:val="24"/>
                <w:lang w:val="ro-RO" w:eastAsia="zh-TW" w:bidi="en-US"/>
              </w:rPr>
              <w:t>Modul de soluționare a litigiilor între părțile Acordului de investiții</w:t>
            </w:r>
          </w:p>
          <w:p w:rsidR="009A6BA3" w:rsidRPr="000958FC" w:rsidRDefault="009A6BA3" w:rsidP="009A6BA3">
            <w:pPr>
              <w:spacing w:after="0" w:line="276" w:lineRule="auto"/>
              <w:jc w:val="both"/>
              <w:rPr>
                <w:rFonts w:ascii="Times New Roman" w:hAnsi="Times New Roman"/>
                <w:sz w:val="24"/>
                <w:szCs w:val="24"/>
                <w:lang w:val="ro-RO"/>
              </w:rPr>
            </w:pPr>
            <w:r w:rsidRPr="00346F5C">
              <w:rPr>
                <w:rFonts w:ascii="Times New Roman" w:eastAsia="Times New Roman" w:hAnsi="Times New Roman"/>
                <w:sz w:val="24"/>
                <w:szCs w:val="24"/>
                <w:lang w:val="ro-RO" w:eastAsia="zh-TW" w:bidi="en-US"/>
              </w:rPr>
              <w:t xml:space="preserve">Prin prezentul Regulament, </w:t>
            </w:r>
            <w:r w:rsidRPr="00346F5C">
              <w:rPr>
                <w:rFonts w:ascii="Times New Roman" w:hAnsi="Times New Roman"/>
                <w:sz w:val="24"/>
                <w:szCs w:val="24"/>
                <w:lang w:val="ro-RO"/>
              </w:rPr>
              <w:t xml:space="preserve">Guvernul </w:t>
            </w:r>
            <w:r w:rsidRPr="00346F5C">
              <w:rPr>
                <w:rFonts w:ascii="Times New Roman" w:eastAsia="Times New Roman" w:hAnsi="Times New Roman"/>
                <w:sz w:val="24"/>
                <w:szCs w:val="24"/>
                <w:lang w:val="ro-RO" w:eastAsia="zh-TW" w:bidi="en-US"/>
              </w:rPr>
              <w:t>își asumă ca, în principal, di</w:t>
            </w:r>
            <w:r w:rsidRPr="00346F5C">
              <w:rPr>
                <w:rFonts w:ascii="Times New Roman" w:hAnsi="Times New Roman"/>
                <w:sz w:val="24"/>
                <w:szCs w:val="24"/>
                <w:lang w:val="ro-RO"/>
              </w:rPr>
              <w:t xml:space="preserve">ferendele apărute între părțile acordului de investiții, care reies din clauzele acestuia, să se soluționeze pe cale amiabilă. În cazul nesoluționării pe cale amiabilă, diferendul se supune soluționării instanței judecătorești, competente a RM sau, de comun acord al părților, în arbitraj, și anume a supune arbitrajului Curții de Arbitraj Comercial Internațional de pe lângă Camera de Comerț și Industrie a Republicii Moldova, aceasta fiind și principala instanță națională de arbitraj. În cazurile în care acordul internațional la care Republica Moldova este parte oferă dreptul investitorului de a opta pentru o altă instituție de arbitraj, diferendul va putea fi supus soluționării de către instituția de arbitraj aleasă de investitor. Agenția de Investiții este reprezentantul Guvernului în diferendele corespunzătoare, precum și în alte litigii privind acordurile de investiții încheiate de Guvern.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C425DF" w:rsidRDefault="009A6BA3" w:rsidP="0082365B">
            <w:pPr>
              <w:tabs>
                <w:tab w:val="left" w:pos="342"/>
              </w:tabs>
              <w:spacing w:after="0" w:line="240" w:lineRule="auto"/>
              <w:ind w:firstLine="514"/>
              <w:jc w:val="both"/>
              <w:rPr>
                <w:rFonts w:ascii="Times New Roman" w:eastAsia="Times New Roman" w:hAnsi="Times New Roman"/>
                <w:sz w:val="24"/>
                <w:szCs w:val="24"/>
                <w:lang w:val="ro-RO" w:eastAsia="zh-TW" w:bidi="en-US"/>
              </w:rPr>
            </w:pP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3E4FD3"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5.</w:t>
            </w:r>
            <w:r w:rsidRPr="005101A8">
              <w:rPr>
                <w:rFonts w:ascii="Times New Roman" w:eastAsia="Times New Roman" w:hAnsi="Times New Roman"/>
                <w:b/>
                <w:sz w:val="24"/>
                <w:szCs w:val="24"/>
                <w:lang w:val="ro-RO" w:eastAsia="ro-RO"/>
              </w:rPr>
              <w:t xml:space="preserve"> Fundamentarea ec</w:t>
            </w:r>
            <w:r w:rsidRPr="003E4FD3">
              <w:rPr>
                <w:rFonts w:ascii="Times New Roman" w:eastAsia="Times New Roman" w:hAnsi="Times New Roman"/>
                <w:b/>
                <w:sz w:val="24"/>
                <w:szCs w:val="24"/>
                <w:lang w:val="ro-RO" w:eastAsia="ro-RO"/>
              </w:rPr>
              <w:t>onomico-financiară</w:t>
            </w:r>
          </w:p>
        </w:tc>
      </w:tr>
      <w:tr w:rsidR="009A6BA3" w:rsidRPr="00C425DF" w:rsidTr="00CD17F6">
        <w:trPr>
          <w:trHeight w:val="646"/>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B951D1" w:rsidRDefault="009A6BA3" w:rsidP="0082365B">
            <w:pPr>
              <w:spacing w:after="0" w:line="240" w:lineRule="auto"/>
              <w:jc w:val="both"/>
              <w:rPr>
                <w:rFonts w:ascii="Times New Roman" w:eastAsia="Times New Roman" w:hAnsi="Times New Roman"/>
                <w:sz w:val="24"/>
                <w:szCs w:val="24"/>
                <w:lang w:val="ro-RO" w:eastAsia="zh-TW" w:bidi="en-US"/>
              </w:rPr>
            </w:pPr>
            <w:r w:rsidRPr="005101A8">
              <w:rPr>
                <w:rFonts w:ascii="Times New Roman" w:eastAsia="Times New Roman" w:hAnsi="Times New Roman"/>
                <w:sz w:val="24"/>
                <w:szCs w:val="24"/>
                <w:lang w:val="ro-RO" w:eastAsia="zh-TW" w:bidi="en-US"/>
              </w:rPr>
              <w:lastRenderedPageBreak/>
              <w:t>Implementarea proiectului de hotărâre de Guvern nu va necesita cheltuieli suplimentare de la bugetul de stat.</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6.</w:t>
            </w:r>
            <w:r w:rsidRPr="005101A8">
              <w:rPr>
                <w:rFonts w:ascii="Times New Roman" w:eastAsia="Times New Roman" w:hAnsi="Times New Roman"/>
                <w:b/>
                <w:sz w:val="24"/>
                <w:szCs w:val="24"/>
                <w:lang w:val="ro-RO" w:eastAsia="ro-RO"/>
              </w:rPr>
              <w:t xml:space="preserve"> Modul de încorporare a actului în cadrul normativ în vigoare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3E4FD3" w:rsidRDefault="009A6BA3" w:rsidP="0082365B">
            <w:pPr>
              <w:pStyle w:val="cb"/>
              <w:ind w:firstLine="644"/>
              <w:jc w:val="both"/>
              <w:rPr>
                <w:lang w:val="ro-RO" w:eastAsia="ro-RO"/>
              </w:rPr>
            </w:pPr>
            <w:r w:rsidRPr="005101A8">
              <w:rPr>
                <w:b w:val="0"/>
                <w:lang w:val="ro-RO"/>
              </w:rPr>
              <w:t xml:space="preserve">Proiectul hotărârii Guvernului cu privire la acțiunile suplimentare de atragere a investițiilor strategice în Republica Moldova se încadrează organic în cadrul normativ în vigoare. Proiectul corespunde cadrului normativ primar – Legea nr.81/2004. De asemenea, acesta nu contravine niciunui act normativ secundar. </w:t>
            </w:r>
            <w:r w:rsidRPr="003E4FD3">
              <w:rPr>
                <w:b w:val="0"/>
                <w:lang w:val="ro-RO"/>
              </w:rPr>
              <w:t>Respectiv, aprobarea acestui proiect de act normativ, nu va necesita amendarea altor acte normative.</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7.</w:t>
            </w:r>
            <w:r w:rsidRPr="005101A8">
              <w:rPr>
                <w:rFonts w:ascii="Times New Roman" w:eastAsia="Times New Roman" w:hAnsi="Times New Roman"/>
                <w:b/>
                <w:sz w:val="24"/>
                <w:szCs w:val="24"/>
                <w:lang w:val="ro-RO" w:eastAsia="ro-RO"/>
              </w:rPr>
              <w:t xml:space="preserve"> Avizarea şi consultarea publică a proiectului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eastAsia="Times New Roman" w:hAnsi="Times New Roman"/>
                <w:sz w:val="24"/>
                <w:szCs w:val="24"/>
                <w:lang w:val="ro-RO" w:eastAsia="ro-RO"/>
              </w:rPr>
              <w:t>În conformitate cu prevederile Regulamentului Guvernului, aprobat prin Hotărîrea Guvernului nr.610 din 3 iulie 2018, prezentul proiect de hotărîre se transmite Cancelariei de Stat pentru înregistrare.</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8.</w:t>
            </w:r>
            <w:r w:rsidRPr="005101A8">
              <w:rPr>
                <w:rFonts w:ascii="Times New Roman" w:eastAsia="Times New Roman" w:hAnsi="Times New Roman"/>
                <w:b/>
                <w:sz w:val="24"/>
                <w:szCs w:val="24"/>
                <w:lang w:val="ro-RO" w:eastAsia="ro-RO"/>
              </w:rPr>
              <w:t xml:space="preserve"> Constatările expertizei anticorupţie</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0B323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eastAsia="Times New Roman" w:hAnsi="Times New Roman"/>
                <w:sz w:val="24"/>
                <w:szCs w:val="24"/>
                <w:lang w:val="ro-RO" w:eastAsia="ro-RO"/>
              </w:rPr>
              <w:t xml:space="preserve">Informaţia privind rezultatele expertizei anticorupţie </w:t>
            </w:r>
            <w:r w:rsidR="000B323B">
              <w:rPr>
                <w:rFonts w:ascii="Times New Roman" w:eastAsia="Times New Roman" w:hAnsi="Times New Roman"/>
                <w:sz w:val="24"/>
                <w:szCs w:val="24"/>
                <w:lang w:val="ro-RO" w:eastAsia="ro-RO"/>
              </w:rPr>
              <w:t>au fost luate în considerare și incluse în sinteza obiecților și propunerilor.</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9.</w:t>
            </w:r>
            <w:r w:rsidRPr="005101A8">
              <w:rPr>
                <w:rFonts w:ascii="Times New Roman" w:eastAsia="Times New Roman" w:hAnsi="Times New Roman"/>
                <w:b/>
                <w:sz w:val="24"/>
                <w:szCs w:val="24"/>
                <w:lang w:val="ro-RO" w:eastAsia="ro-RO"/>
              </w:rPr>
              <w:t xml:space="preserve"> Constatările expertizei de compatibilitate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eastAsia="Times New Roman" w:hAnsi="Times New Roman"/>
                <w:sz w:val="24"/>
                <w:szCs w:val="24"/>
                <w:lang w:val="ro-RO" w:eastAsia="ro-RO"/>
              </w:rPr>
              <w:t>Proiectul hotărîrii de Guvern nu conține norme privind armonizarea legislației naționale cu legislaţia Uniunii Europene.</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10.</w:t>
            </w:r>
            <w:r w:rsidRPr="005101A8">
              <w:rPr>
                <w:rFonts w:ascii="Times New Roman" w:eastAsia="Times New Roman" w:hAnsi="Times New Roman"/>
                <w:b/>
                <w:sz w:val="24"/>
                <w:szCs w:val="24"/>
                <w:lang w:val="ro-RO" w:eastAsia="ro-RO"/>
              </w:rPr>
              <w:t xml:space="preserve"> Constatările expertizei juridice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0B323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eastAsia="Times New Roman" w:hAnsi="Times New Roman"/>
                <w:sz w:val="24"/>
                <w:szCs w:val="24"/>
                <w:lang w:val="ro-RO" w:eastAsia="ro-RO"/>
              </w:rPr>
              <w:t xml:space="preserve">Informaţia referitoare la concluziile expertizei privind compatibilitatea proiectului de hotărîre cu alte acte normative în vigoare, precum şi respectarea </w:t>
            </w:r>
            <w:r w:rsidR="000B323B">
              <w:rPr>
                <w:rFonts w:ascii="Times New Roman" w:eastAsia="Times New Roman" w:hAnsi="Times New Roman"/>
                <w:sz w:val="24"/>
                <w:szCs w:val="24"/>
                <w:lang w:val="ro-RO" w:eastAsia="ro-RO"/>
              </w:rPr>
              <w:t xml:space="preserve">normelor de tehnică legislativă </w:t>
            </w:r>
            <w:r w:rsidR="000B323B" w:rsidRPr="000B323B">
              <w:rPr>
                <w:rFonts w:ascii="Times New Roman" w:eastAsia="Times New Roman" w:hAnsi="Times New Roman"/>
                <w:sz w:val="24"/>
                <w:szCs w:val="24"/>
                <w:lang w:val="ro-RO" w:eastAsia="ro-RO"/>
              </w:rPr>
              <w:t>au fost luate în considerare și incluse în sinteza obiecțiilor</w:t>
            </w:r>
            <w:bookmarkStart w:id="0" w:name="_GoBack"/>
            <w:bookmarkEnd w:id="0"/>
            <w:r w:rsidR="000B323B" w:rsidRPr="000B323B">
              <w:rPr>
                <w:rFonts w:ascii="Times New Roman" w:eastAsia="Times New Roman" w:hAnsi="Times New Roman"/>
                <w:sz w:val="24"/>
                <w:szCs w:val="24"/>
                <w:lang w:val="ro-RO" w:eastAsia="ro-RO"/>
              </w:rPr>
              <w:t xml:space="preserve"> și propunerilor.</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5101A8" w:rsidRDefault="009A6BA3" w:rsidP="0082365B">
            <w:pPr>
              <w:spacing w:after="0" w:line="240" w:lineRule="auto"/>
              <w:ind w:firstLine="644"/>
              <w:jc w:val="both"/>
              <w:rPr>
                <w:rFonts w:ascii="Times New Roman" w:eastAsia="Times New Roman" w:hAnsi="Times New Roman"/>
                <w:b/>
                <w:sz w:val="24"/>
                <w:szCs w:val="24"/>
                <w:lang w:val="ro-RO" w:eastAsia="ro-RO"/>
              </w:rPr>
            </w:pPr>
            <w:r w:rsidRPr="005101A8">
              <w:rPr>
                <w:rFonts w:ascii="Times New Roman" w:eastAsia="Times New Roman" w:hAnsi="Times New Roman"/>
                <w:b/>
                <w:bCs/>
                <w:sz w:val="24"/>
                <w:szCs w:val="24"/>
                <w:lang w:val="ro-RO" w:eastAsia="ro-RO"/>
              </w:rPr>
              <w:t>11.</w:t>
            </w:r>
            <w:r w:rsidRPr="005101A8">
              <w:rPr>
                <w:rFonts w:ascii="Times New Roman" w:eastAsia="Times New Roman" w:hAnsi="Times New Roman"/>
                <w:b/>
                <w:sz w:val="24"/>
                <w:szCs w:val="24"/>
                <w:lang w:val="ro-RO" w:eastAsia="ro-RO"/>
              </w:rPr>
              <w:t xml:space="preserve"> Constatările altor expertize </w:t>
            </w:r>
          </w:p>
        </w:tc>
      </w:tr>
      <w:tr w:rsidR="009A6BA3" w:rsidRPr="00C425DF" w:rsidTr="00CD17F6">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9A6BA3" w:rsidRPr="003E4FD3" w:rsidRDefault="009A6BA3" w:rsidP="0082365B">
            <w:pPr>
              <w:spacing w:after="0" w:line="240" w:lineRule="auto"/>
              <w:ind w:firstLine="644"/>
              <w:jc w:val="both"/>
              <w:rPr>
                <w:rFonts w:ascii="Times New Roman" w:eastAsia="Times New Roman" w:hAnsi="Times New Roman"/>
                <w:sz w:val="24"/>
                <w:szCs w:val="24"/>
                <w:lang w:val="ro-RO" w:eastAsia="ro-RO"/>
              </w:rPr>
            </w:pPr>
            <w:r w:rsidRPr="005101A8">
              <w:rPr>
                <w:rFonts w:ascii="Times New Roman" w:hAnsi="Times New Roman"/>
                <w:bCs/>
                <w:sz w:val="24"/>
                <w:szCs w:val="24"/>
                <w:lang w:val="ro-RO"/>
              </w:rPr>
              <w:t>Proiectul de hotărîre a Guvernului nu conține nici un aspect nou ce vizează reglementarea activității de întreprinzător, respectiv, nu este necesară elaborarea Analizei Impactului de Reglementare (AIR).</w:t>
            </w:r>
          </w:p>
        </w:tc>
      </w:tr>
    </w:tbl>
    <w:p w:rsidR="009A6BA3" w:rsidRPr="005101A8" w:rsidRDefault="009A6BA3" w:rsidP="009A6BA3">
      <w:pPr>
        <w:tabs>
          <w:tab w:val="left" w:pos="884"/>
          <w:tab w:val="left" w:pos="1196"/>
        </w:tabs>
        <w:spacing w:after="0" w:line="240" w:lineRule="auto"/>
        <w:ind w:firstLine="540"/>
        <w:jc w:val="both"/>
        <w:rPr>
          <w:rFonts w:ascii="Times New Roman" w:hAnsi="Times New Roman"/>
          <w:sz w:val="24"/>
          <w:szCs w:val="24"/>
          <w:lang w:val="ro-RO"/>
        </w:rPr>
      </w:pPr>
    </w:p>
    <w:p w:rsidR="009A6BA3" w:rsidRPr="003E4FD3" w:rsidRDefault="009A6BA3" w:rsidP="009A6BA3">
      <w:pPr>
        <w:tabs>
          <w:tab w:val="left" w:pos="884"/>
          <w:tab w:val="left" w:pos="1196"/>
        </w:tabs>
        <w:spacing w:after="0" w:line="240" w:lineRule="auto"/>
        <w:ind w:firstLine="540"/>
        <w:jc w:val="both"/>
        <w:rPr>
          <w:rFonts w:ascii="Times New Roman" w:hAnsi="Times New Roman"/>
          <w:sz w:val="24"/>
          <w:szCs w:val="24"/>
          <w:lang w:val="ro-RO"/>
        </w:rPr>
      </w:pPr>
    </w:p>
    <w:p w:rsidR="009A6BA3" w:rsidRPr="00B951D1" w:rsidRDefault="009A6BA3" w:rsidP="009A6BA3">
      <w:pPr>
        <w:tabs>
          <w:tab w:val="left" w:pos="884"/>
          <w:tab w:val="left" w:pos="1196"/>
        </w:tabs>
        <w:spacing w:after="0" w:line="240" w:lineRule="auto"/>
        <w:ind w:firstLine="540"/>
        <w:jc w:val="both"/>
        <w:rPr>
          <w:rFonts w:ascii="Times New Roman" w:hAnsi="Times New Roman"/>
          <w:sz w:val="24"/>
          <w:szCs w:val="24"/>
          <w:lang w:val="ro-RO"/>
        </w:rPr>
      </w:pPr>
    </w:p>
    <w:p w:rsidR="009A6BA3" w:rsidRPr="00B951D1" w:rsidRDefault="009A6BA3" w:rsidP="009A6BA3">
      <w:pPr>
        <w:tabs>
          <w:tab w:val="left" w:pos="884"/>
          <w:tab w:val="left" w:pos="1196"/>
        </w:tabs>
        <w:spacing w:after="0" w:line="240" w:lineRule="auto"/>
        <w:ind w:firstLine="540"/>
        <w:jc w:val="both"/>
        <w:rPr>
          <w:rFonts w:ascii="Times New Roman" w:hAnsi="Times New Roman"/>
          <w:sz w:val="24"/>
          <w:szCs w:val="24"/>
          <w:lang w:val="ro-RO"/>
        </w:rPr>
      </w:pPr>
    </w:p>
    <w:p w:rsidR="009A6BA3" w:rsidRPr="00B951D1" w:rsidRDefault="009A6BA3" w:rsidP="009A6BA3">
      <w:pPr>
        <w:tabs>
          <w:tab w:val="left" w:pos="884"/>
          <w:tab w:val="left" w:pos="1196"/>
        </w:tabs>
        <w:spacing w:after="0" w:line="240" w:lineRule="auto"/>
        <w:ind w:firstLine="540"/>
        <w:jc w:val="both"/>
        <w:rPr>
          <w:rFonts w:ascii="Times New Roman" w:hAnsi="Times New Roman"/>
          <w:sz w:val="24"/>
          <w:szCs w:val="24"/>
          <w:lang w:val="ro-RO"/>
        </w:rPr>
      </w:pPr>
    </w:p>
    <w:p w:rsidR="009A6BA3" w:rsidRPr="0058751C" w:rsidRDefault="009A6BA3" w:rsidP="009A6BA3">
      <w:pPr>
        <w:shd w:val="clear" w:color="auto" w:fill="FFFFFF"/>
        <w:spacing w:after="0" w:line="240" w:lineRule="auto"/>
        <w:ind w:left="23" w:right="23" w:hanging="23"/>
        <w:jc w:val="center"/>
        <w:rPr>
          <w:rFonts w:ascii="Times New Roman" w:eastAsia="Times New Roman" w:hAnsi="Times New Roman"/>
          <w:b/>
          <w:spacing w:val="1"/>
          <w:sz w:val="26"/>
          <w:szCs w:val="26"/>
          <w:lang w:val="ro-RO"/>
        </w:rPr>
      </w:pPr>
      <w:r w:rsidRPr="0058751C">
        <w:rPr>
          <w:rFonts w:ascii="Times New Roman" w:eastAsia="Times New Roman" w:hAnsi="Times New Roman"/>
          <w:b/>
          <w:spacing w:val="1"/>
          <w:sz w:val="26"/>
          <w:szCs w:val="26"/>
          <w:lang w:val="ro-RO"/>
        </w:rPr>
        <w:t>Ministru</w:t>
      </w:r>
      <w:r w:rsidRPr="0058751C">
        <w:rPr>
          <w:rFonts w:ascii="Times New Roman" w:eastAsia="Times New Roman" w:hAnsi="Times New Roman"/>
          <w:b/>
          <w:spacing w:val="1"/>
          <w:sz w:val="26"/>
          <w:szCs w:val="26"/>
          <w:lang w:val="ro-RO"/>
        </w:rPr>
        <w:tab/>
      </w:r>
      <w:r w:rsidRPr="0058751C">
        <w:rPr>
          <w:rFonts w:ascii="Times New Roman" w:eastAsia="Times New Roman" w:hAnsi="Times New Roman"/>
          <w:b/>
          <w:spacing w:val="1"/>
          <w:sz w:val="26"/>
          <w:szCs w:val="26"/>
          <w:lang w:val="ro-RO"/>
        </w:rPr>
        <w:tab/>
      </w:r>
      <w:r w:rsidRPr="0058751C">
        <w:rPr>
          <w:rFonts w:ascii="Times New Roman" w:eastAsia="Times New Roman" w:hAnsi="Times New Roman"/>
          <w:b/>
          <w:spacing w:val="1"/>
          <w:sz w:val="26"/>
          <w:szCs w:val="26"/>
          <w:lang w:val="ro-RO"/>
        </w:rPr>
        <w:tab/>
      </w:r>
      <w:r w:rsidRPr="0058751C">
        <w:rPr>
          <w:rFonts w:ascii="Times New Roman" w:eastAsia="Times New Roman" w:hAnsi="Times New Roman"/>
          <w:b/>
          <w:spacing w:val="1"/>
          <w:sz w:val="26"/>
          <w:szCs w:val="26"/>
          <w:lang w:val="ro-RO"/>
        </w:rPr>
        <w:tab/>
      </w:r>
      <w:r w:rsidRPr="0058751C">
        <w:rPr>
          <w:rFonts w:ascii="Times New Roman" w:eastAsia="Times New Roman" w:hAnsi="Times New Roman"/>
          <w:b/>
          <w:spacing w:val="1"/>
          <w:sz w:val="26"/>
          <w:szCs w:val="26"/>
          <w:lang w:val="ro-RO"/>
        </w:rPr>
        <w:tab/>
      </w:r>
      <w:r w:rsidRPr="0058751C">
        <w:rPr>
          <w:rFonts w:ascii="Times New Roman" w:eastAsia="Times New Roman" w:hAnsi="Times New Roman"/>
          <w:b/>
          <w:spacing w:val="1"/>
          <w:sz w:val="26"/>
          <w:szCs w:val="26"/>
          <w:lang w:val="ro-RO"/>
        </w:rPr>
        <w:tab/>
        <w:t>Chiril GABURICI</w:t>
      </w:r>
    </w:p>
    <w:p w:rsidR="00FE440E" w:rsidRDefault="00FE440E"/>
    <w:sectPr w:rsidR="00FE440E" w:rsidSect="00597107">
      <w:footerReference w:type="even" r:id="rId7"/>
      <w:pgSz w:w="11907" w:h="16840" w:code="9"/>
      <w:pgMar w:top="1843" w:right="851" w:bottom="567" w:left="1701" w:header="142"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504" w:rsidRDefault="00472504">
      <w:pPr>
        <w:spacing w:after="0" w:line="240" w:lineRule="auto"/>
      </w:pPr>
      <w:r>
        <w:separator/>
      </w:r>
    </w:p>
  </w:endnote>
  <w:endnote w:type="continuationSeparator" w:id="0">
    <w:p w:rsidR="00472504" w:rsidRDefault="0047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52" w:rsidRPr="00DC6F52" w:rsidRDefault="009A6BA3">
    <w:pPr>
      <w:pStyle w:val="Footer"/>
      <w:jc w:val="right"/>
      <w:rPr>
        <w:rFonts w:ascii="Times New Roman" w:hAnsi="Times New Roman"/>
        <w:sz w:val="20"/>
        <w:szCs w:val="20"/>
      </w:rPr>
    </w:pPr>
    <w:r w:rsidRPr="00DC6F52">
      <w:rPr>
        <w:rFonts w:ascii="Times New Roman" w:hAnsi="Times New Roman"/>
        <w:sz w:val="20"/>
        <w:szCs w:val="20"/>
      </w:rPr>
      <w:fldChar w:fldCharType="begin"/>
    </w:r>
    <w:r w:rsidRPr="00DC6F52">
      <w:rPr>
        <w:rFonts w:ascii="Times New Roman" w:hAnsi="Times New Roman"/>
        <w:sz w:val="20"/>
        <w:szCs w:val="20"/>
      </w:rPr>
      <w:instrText xml:space="preserve"> PAGE   \* MERGEFORMAT </w:instrText>
    </w:r>
    <w:r w:rsidRPr="00DC6F52">
      <w:rPr>
        <w:rFonts w:ascii="Times New Roman" w:hAnsi="Times New Roman"/>
        <w:sz w:val="20"/>
        <w:szCs w:val="20"/>
      </w:rPr>
      <w:fldChar w:fldCharType="separate"/>
    </w:r>
    <w:r>
      <w:rPr>
        <w:rFonts w:ascii="Times New Roman" w:hAnsi="Times New Roman"/>
        <w:noProof/>
        <w:sz w:val="20"/>
        <w:szCs w:val="20"/>
      </w:rPr>
      <w:t>12</w:t>
    </w:r>
    <w:r w:rsidRPr="00DC6F52">
      <w:rPr>
        <w:rFonts w:ascii="Times New Roman" w:hAnsi="Times New Roman"/>
        <w:noProof/>
        <w:sz w:val="20"/>
        <w:szCs w:val="20"/>
      </w:rPr>
      <w:fldChar w:fldCharType="end"/>
    </w:r>
  </w:p>
  <w:p w:rsidR="00DC6F52" w:rsidRDefault="00472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504" w:rsidRDefault="00472504">
      <w:pPr>
        <w:spacing w:after="0" w:line="240" w:lineRule="auto"/>
      </w:pPr>
      <w:r>
        <w:separator/>
      </w:r>
    </w:p>
  </w:footnote>
  <w:footnote w:type="continuationSeparator" w:id="0">
    <w:p w:rsidR="00472504" w:rsidRDefault="00472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605F6"/>
    <w:multiLevelType w:val="hybridMultilevel"/>
    <w:tmpl w:val="D30C347A"/>
    <w:lvl w:ilvl="0" w:tplc="08090001">
      <w:start w:val="1"/>
      <w:numFmt w:val="bullet"/>
      <w:lvlText w:val=""/>
      <w:lvlJc w:val="left"/>
      <w:pPr>
        <w:ind w:left="1234" w:hanging="360"/>
      </w:pPr>
      <w:rPr>
        <w:rFonts w:ascii="Symbol" w:hAnsi="Symbol" w:hint="default"/>
      </w:rPr>
    </w:lvl>
    <w:lvl w:ilvl="1" w:tplc="04180003" w:tentative="1">
      <w:start w:val="1"/>
      <w:numFmt w:val="bullet"/>
      <w:lvlText w:val="o"/>
      <w:lvlJc w:val="left"/>
      <w:pPr>
        <w:ind w:left="1954" w:hanging="360"/>
      </w:pPr>
      <w:rPr>
        <w:rFonts w:ascii="Courier New" w:hAnsi="Courier New" w:cs="Courier New" w:hint="default"/>
      </w:rPr>
    </w:lvl>
    <w:lvl w:ilvl="2" w:tplc="04180005" w:tentative="1">
      <w:start w:val="1"/>
      <w:numFmt w:val="bullet"/>
      <w:lvlText w:val=""/>
      <w:lvlJc w:val="left"/>
      <w:pPr>
        <w:ind w:left="2674" w:hanging="360"/>
      </w:pPr>
      <w:rPr>
        <w:rFonts w:ascii="Wingdings" w:hAnsi="Wingdings" w:hint="default"/>
      </w:rPr>
    </w:lvl>
    <w:lvl w:ilvl="3" w:tplc="04180001" w:tentative="1">
      <w:start w:val="1"/>
      <w:numFmt w:val="bullet"/>
      <w:lvlText w:val=""/>
      <w:lvlJc w:val="left"/>
      <w:pPr>
        <w:ind w:left="3394" w:hanging="360"/>
      </w:pPr>
      <w:rPr>
        <w:rFonts w:ascii="Symbol" w:hAnsi="Symbol" w:hint="default"/>
      </w:rPr>
    </w:lvl>
    <w:lvl w:ilvl="4" w:tplc="04180003" w:tentative="1">
      <w:start w:val="1"/>
      <w:numFmt w:val="bullet"/>
      <w:lvlText w:val="o"/>
      <w:lvlJc w:val="left"/>
      <w:pPr>
        <w:ind w:left="4114" w:hanging="360"/>
      </w:pPr>
      <w:rPr>
        <w:rFonts w:ascii="Courier New" w:hAnsi="Courier New" w:cs="Courier New" w:hint="default"/>
      </w:rPr>
    </w:lvl>
    <w:lvl w:ilvl="5" w:tplc="04180005" w:tentative="1">
      <w:start w:val="1"/>
      <w:numFmt w:val="bullet"/>
      <w:lvlText w:val=""/>
      <w:lvlJc w:val="left"/>
      <w:pPr>
        <w:ind w:left="4834" w:hanging="360"/>
      </w:pPr>
      <w:rPr>
        <w:rFonts w:ascii="Wingdings" w:hAnsi="Wingdings" w:hint="default"/>
      </w:rPr>
    </w:lvl>
    <w:lvl w:ilvl="6" w:tplc="04180001" w:tentative="1">
      <w:start w:val="1"/>
      <w:numFmt w:val="bullet"/>
      <w:lvlText w:val=""/>
      <w:lvlJc w:val="left"/>
      <w:pPr>
        <w:ind w:left="5554" w:hanging="360"/>
      </w:pPr>
      <w:rPr>
        <w:rFonts w:ascii="Symbol" w:hAnsi="Symbol" w:hint="default"/>
      </w:rPr>
    </w:lvl>
    <w:lvl w:ilvl="7" w:tplc="04180003" w:tentative="1">
      <w:start w:val="1"/>
      <w:numFmt w:val="bullet"/>
      <w:lvlText w:val="o"/>
      <w:lvlJc w:val="left"/>
      <w:pPr>
        <w:ind w:left="6274" w:hanging="360"/>
      </w:pPr>
      <w:rPr>
        <w:rFonts w:ascii="Courier New" w:hAnsi="Courier New" w:cs="Courier New" w:hint="default"/>
      </w:rPr>
    </w:lvl>
    <w:lvl w:ilvl="8" w:tplc="04180005" w:tentative="1">
      <w:start w:val="1"/>
      <w:numFmt w:val="bullet"/>
      <w:lvlText w:val=""/>
      <w:lvlJc w:val="left"/>
      <w:pPr>
        <w:ind w:left="6994" w:hanging="360"/>
      </w:pPr>
      <w:rPr>
        <w:rFonts w:ascii="Wingdings" w:hAnsi="Wingdings" w:hint="default"/>
      </w:rPr>
    </w:lvl>
  </w:abstractNum>
  <w:abstractNum w:abstractNumId="1" w15:restartNumberingAfterBreak="0">
    <w:nsid w:val="5A0F2AAD"/>
    <w:multiLevelType w:val="hybridMultilevel"/>
    <w:tmpl w:val="BC24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55"/>
    <w:rsid w:val="000B323B"/>
    <w:rsid w:val="00472504"/>
    <w:rsid w:val="004F277C"/>
    <w:rsid w:val="009A6BA3"/>
    <w:rsid w:val="00B04355"/>
    <w:rsid w:val="00CD17F6"/>
    <w:rsid w:val="00FE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6F184-027D-4BD9-B643-FAF2654E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B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A3"/>
    <w:rPr>
      <w:rFonts w:ascii="Calibri" w:eastAsia="Calibri" w:hAnsi="Calibri" w:cs="Times New Roman"/>
    </w:rPr>
  </w:style>
  <w:style w:type="character" w:customStyle="1" w:styleId="docheader">
    <w:name w:val="doc_header"/>
    <w:basedOn w:val="DefaultParagraphFont"/>
    <w:rsid w:val="009A6BA3"/>
  </w:style>
  <w:style w:type="paragraph" w:customStyle="1" w:styleId="cb">
    <w:name w:val="cb"/>
    <w:basedOn w:val="Normal"/>
    <w:rsid w:val="009A6BA3"/>
    <w:pPr>
      <w:spacing w:after="0" w:line="240" w:lineRule="auto"/>
      <w:jc w:val="center"/>
    </w:pPr>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CD1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7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Onufrei</dc:creator>
  <cp:keywords/>
  <dc:description/>
  <cp:lastModifiedBy>Tatiana Onufrei</cp:lastModifiedBy>
  <cp:revision>6</cp:revision>
  <cp:lastPrinted>2018-12-03T12:22:00Z</cp:lastPrinted>
  <dcterms:created xsi:type="dcterms:W3CDTF">2018-12-03T12:03:00Z</dcterms:created>
  <dcterms:modified xsi:type="dcterms:W3CDTF">2018-12-03T12:42:00Z</dcterms:modified>
</cp:coreProperties>
</file>