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48491" w14:textId="77777777" w:rsidR="000C07C4" w:rsidRPr="00DE50F6" w:rsidRDefault="00B93A62" w:rsidP="00715E3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DE50F6">
        <w:rPr>
          <w:rFonts w:ascii="Times New Roman" w:hAnsi="Times New Roman" w:cs="Times New Roman"/>
          <w:b/>
          <w:sz w:val="28"/>
          <w:szCs w:val="28"/>
          <w:lang w:val="ro-MO"/>
        </w:rPr>
        <w:t>NOTĂ INFORMATIVĂ</w:t>
      </w:r>
    </w:p>
    <w:p w14:paraId="685FF332" w14:textId="03FDFA38" w:rsidR="006423CC" w:rsidRPr="00DE50F6" w:rsidRDefault="00704C4D" w:rsidP="00286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DE50F6">
        <w:rPr>
          <w:rFonts w:ascii="Times New Roman" w:hAnsi="Times New Roman" w:cs="Times New Roman"/>
          <w:b/>
          <w:sz w:val="28"/>
          <w:szCs w:val="28"/>
          <w:lang w:val="ro-MO"/>
        </w:rPr>
        <w:t xml:space="preserve">la proiectul </w:t>
      </w:r>
      <w:proofErr w:type="spellStart"/>
      <w:r w:rsidR="00DE01E4" w:rsidRPr="00DE50F6">
        <w:rPr>
          <w:rFonts w:ascii="Times New Roman" w:hAnsi="Times New Roman" w:cs="Times New Roman"/>
          <w:b/>
          <w:sz w:val="28"/>
          <w:szCs w:val="28"/>
          <w:lang w:val="ro-MO"/>
        </w:rPr>
        <w:t>Hotărîrii</w:t>
      </w:r>
      <w:proofErr w:type="spellEnd"/>
      <w:r w:rsidR="00DE01E4" w:rsidRPr="00DE50F6">
        <w:rPr>
          <w:rFonts w:ascii="Times New Roman" w:hAnsi="Times New Roman" w:cs="Times New Roman"/>
          <w:b/>
          <w:sz w:val="28"/>
          <w:szCs w:val="28"/>
          <w:lang w:val="ro-MO"/>
        </w:rPr>
        <w:t xml:space="preserve"> Guvernului </w:t>
      </w:r>
    </w:p>
    <w:p w14:paraId="630CFACA" w14:textId="63A44902" w:rsidR="00286944" w:rsidRPr="00DE50F6" w:rsidRDefault="00286944" w:rsidP="00286944">
      <w:pPr>
        <w:jc w:val="center"/>
        <w:rPr>
          <w:rFonts w:asciiTheme="majorBidi" w:hAnsiTheme="majorBidi" w:cstheme="majorBidi"/>
          <w:b/>
          <w:sz w:val="28"/>
          <w:szCs w:val="28"/>
          <w:lang w:val="ro-MO"/>
        </w:rPr>
      </w:pPr>
      <w:r w:rsidRPr="00DE50F6">
        <w:rPr>
          <w:rFonts w:asciiTheme="majorBidi" w:hAnsiTheme="majorBidi" w:cstheme="majorBidi"/>
          <w:b/>
          <w:sz w:val="28"/>
          <w:szCs w:val="28"/>
          <w:lang w:val="ro-MO"/>
        </w:rPr>
        <w:t xml:space="preserve">”Cu privire la modificarea </w:t>
      </w:r>
      <w:proofErr w:type="spellStart"/>
      <w:r w:rsidRPr="00DE50F6">
        <w:rPr>
          <w:rFonts w:asciiTheme="majorBidi" w:hAnsiTheme="majorBidi" w:cstheme="majorBidi"/>
          <w:b/>
          <w:sz w:val="28"/>
          <w:szCs w:val="28"/>
          <w:lang w:val="ro-MO"/>
        </w:rPr>
        <w:t>Hotărîrii</w:t>
      </w:r>
      <w:proofErr w:type="spellEnd"/>
      <w:r w:rsidRPr="00DE50F6">
        <w:rPr>
          <w:rFonts w:asciiTheme="majorBidi" w:hAnsiTheme="majorBidi" w:cstheme="majorBidi"/>
          <w:b/>
          <w:sz w:val="28"/>
          <w:szCs w:val="28"/>
          <w:lang w:val="ro-MO"/>
        </w:rPr>
        <w:t xml:space="preserve"> Guvernului nr.837/2016”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07AE5" w:rsidRPr="00DE50F6" w14:paraId="0FAD7EFA" w14:textId="77777777" w:rsidTr="00AC1A6B">
        <w:tc>
          <w:tcPr>
            <w:tcW w:w="5000" w:type="pct"/>
            <w:shd w:val="clear" w:color="auto" w:fill="D9D9D9"/>
          </w:tcPr>
          <w:p w14:paraId="4401AF43" w14:textId="77777777" w:rsidR="00D07AE5" w:rsidRPr="00DE50F6" w:rsidRDefault="00D07AE5" w:rsidP="00550113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Denumirea autorului şi, după caz, a participanţilor la elaborarea proiectului</w:t>
            </w:r>
          </w:p>
        </w:tc>
      </w:tr>
      <w:tr w:rsidR="00D07AE5" w:rsidRPr="00DE50F6" w14:paraId="53F11A9E" w14:textId="77777777" w:rsidTr="00AC1A6B">
        <w:tc>
          <w:tcPr>
            <w:tcW w:w="5000" w:type="pct"/>
          </w:tcPr>
          <w:p w14:paraId="0DECE3F0" w14:textId="0F6AFACB" w:rsidR="00240DB1" w:rsidRPr="00DE50F6" w:rsidRDefault="00286944" w:rsidP="0028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      </w:t>
            </w:r>
            <w:r w:rsidR="00D07AE5" w:rsidRPr="00DE50F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Proiectul </w:t>
            </w:r>
            <w:proofErr w:type="spellStart"/>
            <w:r w:rsidR="00240DB1" w:rsidRPr="00DE50F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Hotărîrii</w:t>
            </w:r>
            <w:proofErr w:type="spellEnd"/>
            <w:r w:rsidR="00240DB1" w:rsidRPr="00DE50F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Guvernului </w:t>
            </w:r>
            <w:r w:rsidRPr="00DE50F6">
              <w:rPr>
                <w:rFonts w:asciiTheme="majorBidi" w:hAnsiTheme="majorBidi" w:cstheme="majorBidi"/>
                <w:sz w:val="28"/>
                <w:szCs w:val="28"/>
                <w:lang w:val="ro-MO"/>
              </w:rPr>
              <w:t xml:space="preserve">”Cu privire la modificarea </w:t>
            </w:r>
            <w:proofErr w:type="spellStart"/>
            <w:r w:rsidRPr="00DE50F6">
              <w:rPr>
                <w:rFonts w:asciiTheme="majorBidi" w:hAnsiTheme="majorBidi" w:cstheme="majorBidi"/>
                <w:sz w:val="28"/>
                <w:szCs w:val="28"/>
                <w:lang w:val="ro-MO"/>
              </w:rPr>
              <w:t>Hotărîrii</w:t>
            </w:r>
            <w:proofErr w:type="spellEnd"/>
            <w:r w:rsidRPr="00DE50F6">
              <w:rPr>
                <w:rFonts w:asciiTheme="majorBidi" w:hAnsiTheme="majorBidi" w:cstheme="majorBidi"/>
                <w:sz w:val="28"/>
                <w:szCs w:val="28"/>
                <w:lang w:val="ro-MO"/>
              </w:rPr>
              <w:t xml:space="preserve"> Guvernului nr.837/2016”</w:t>
            </w:r>
            <w:r w:rsidR="00D07AE5" w:rsidRPr="00DE50F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a fost elaborat de </w:t>
            </w:r>
            <w:r w:rsidR="007177CA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Ministerul Sănătății, Muncii și Protecției Sociale</w:t>
            </w:r>
            <w:r w:rsidR="00AC1A6B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</w:tc>
      </w:tr>
      <w:tr w:rsidR="00D07AE5" w:rsidRPr="00DE50F6" w14:paraId="35FD9BA1" w14:textId="77777777" w:rsidTr="00AC1A6B">
        <w:tc>
          <w:tcPr>
            <w:tcW w:w="5000" w:type="pct"/>
            <w:shd w:val="clear" w:color="auto" w:fill="D9D9D9"/>
          </w:tcPr>
          <w:p w14:paraId="63971496" w14:textId="77777777" w:rsidR="00D07AE5" w:rsidRPr="00DE50F6" w:rsidRDefault="00D07AE5" w:rsidP="00EE34C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 Condiţiile ce au impus elaborarea proiectului de act normativ şi finalităţile urmărite</w:t>
            </w:r>
          </w:p>
        </w:tc>
      </w:tr>
      <w:tr w:rsidR="00D07AE5" w:rsidRPr="00DE50F6" w14:paraId="1E50662F" w14:textId="77777777" w:rsidTr="00AC1A6B">
        <w:tc>
          <w:tcPr>
            <w:tcW w:w="5000" w:type="pct"/>
          </w:tcPr>
          <w:p w14:paraId="2E5C3237" w14:textId="50AB1C8D" w:rsidR="00CB5642" w:rsidRPr="00DE50F6" w:rsidRDefault="00D07AE5" w:rsidP="008201BD">
            <w:pPr>
              <w:tabs>
                <w:tab w:val="left" w:pos="884"/>
                <w:tab w:val="left" w:pos="119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Proiectul respectiv a fost elaborat urmare</w:t>
            </w:r>
            <w:r w:rsidR="00CB5642" w:rsidRPr="00DE50F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a lansării</w:t>
            </w:r>
            <w:r w:rsidR="005B6E04" w:rsidRPr="00DE50F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reformei sistemului de salarizare în sectorul bugetar </w:t>
            </w:r>
            <w:r w:rsidR="00CB5642" w:rsidRPr="00DE50F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și inițierii </w:t>
            </w:r>
            <w:r w:rsidR="003E1003" w:rsidRPr="00DE50F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spre consultare, promovare și aprobare de către Ministerul Finanțelor a </w:t>
            </w:r>
            <w:r w:rsidR="00CB5642" w:rsidRPr="00DE50F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proiectului de lege privind sistemul unitar de salarizare în sectorul bugetar</w:t>
            </w:r>
            <w:r w:rsidR="003E1003" w:rsidRPr="00DE50F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.</w:t>
            </w:r>
          </w:p>
          <w:p w14:paraId="64CFEAB2" w14:textId="366B62E0" w:rsidR="003E1003" w:rsidRPr="00DE50F6" w:rsidRDefault="00322B61" w:rsidP="003F7D42">
            <w:pPr>
              <w:tabs>
                <w:tab w:val="left" w:pos="884"/>
                <w:tab w:val="left" w:pos="119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</w:t>
            </w:r>
            <w:r w:rsidR="00EE34C7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copul</w:t>
            </w: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elaborării proiectului </w:t>
            </w:r>
            <w:proofErr w:type="spellStart"/>
            <w:r w:rsidR="003E100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</w:t>
            </w:r>
            <w:r w:rsidR="00533AA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t</w:t>
            </w:r>
            <w:r w:rsidR="003E100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ărîrii</w:t>
            </w:r>
            <w:proofErr w:type="spellEnd"/>
            <w:r w:rsidR="003E100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Guvernului </w:t>
            </w:r>
            <w:r w:rsidR="003F7D42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este </w:t>
            </w:r>
            <w:r w:rsidR="003E100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majorarea</w:t>
            </w:r>
            <w:r w:rsidR="003F7D42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3E100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salariilor personalului angajat în instituțiile medico-sanitare publice încadrate în sistemul asigurării obligatorii de asistență medicală.</w:t>
            </w:r>
          </w:p>
          <w:p w14:paraId="37ED1BCD" w14:textId="752BD3AA" w:rsidR="00D07AE5" w:rsidRPr="00DE50F6" w:rsidRDefault="003E1003" w:rsidP="003E1003">
            <w:pPr>
              <w:tabs>
                <w:tab w:val="left" w:pos="884"/>
                <w:tab w:val="left" w:pos="119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</w:p>
        </w:tc>
      </w:tr>
      <w:tr w:rsidR="00D07AE5" w:rsidRPr="00DE50F6" w14:paraId="2559E795" w14:textId="77777777" w:rsidTr="00AC1A6B">
        <w:tc>
          <w:tcPr>
            <w:tcW w:w="5000" w:type="pct"/>
            <w:shd w:val="clear" w:color="auto" w:fill="D9D9D9"/>
          </w:tcPr>
          <w:p w14:paraId="0D6CE355" w14:textId="77777777" w:rsidR="00D07AE5" w:rsidRPr="00DE50F6" w:rsidRDefault="00D07AE5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 Descrierea gradului de compatibilitate, pentru proiectele care au ca scop armonizarea legislaţiei naţionale cu legislaţia Uniunii Europene</w:t>
            </w:r>
          </w:p>
        </w:tc>
      </w:tr>
      <w:tr w:rsidR="00D07AE5" w:rsidRPr="00DE50F6" w14:paraId="37F19FFF" w14:textId="77777777" w:rsidTr="00AC1A6B">
        <w:tc>
          <w:tcPr>
            <w:tcW w:w="5000" w:type="pct"/>
          </w:tcPr>
          <w:p w14:paraId="23511068" w14:textId="77777777" w:rsidR="00D07AE5" w:rsidRPr="00DE50F6" w:rsidRDefault="006423CC" w:rsidP="006423CC">
            <w:pPr>
              <w:tabs>
                <w:tab w:val="left" w:pos="884"/>
                <w:tab w:val="left" w:pos="119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Proiectul respectiv nu are scop armonizarea legislației naționale cu legislația Uniunii Europene</w:t>
            </w:r>
          </w:p>
          <w:p w14:paraId="0515FF59" w14:textId="13EDC2A6" w:rsidR="00917BC5" w:rsidRPr="00DE50F6" w:rsidRDefault="00917BC5" w:rsidP="006423CC">
            <w:pPr>
              <w:tabs>
                <w:tab w:val="left" w:pos="884"/>
                <w:tab w:val="left" w:pos="119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D07AE5" w:rsidRPr="00DE50F6" w14:paraId="7F925318" w14:textId="77777777" w:rsidTr="00AC1A6B">
        <w:tc>
          <w:tcPr>
            <w:tcW w:w="5000" w:type="pct"/>
            <w:shd w:val="clear" w:color="auto" w:fill="D9D9D9"/>
          </w:tcPr>
          <w:p w14:paraId="4B93C8FC" w14:textId="77777777" w:rsidR="00D07AE5" w:rsidRPr="00DE50F6" w:rsidRDefault="00D07AE5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 Principalele prevederi ale proiectului şi evidenţierea elementelor noi</w:t>
            </w:r>
          </w:p>
        </w:tc>
      </w:tr>
      <w:tr w:rsidR="00D07AE5" w:rsidRPr="00DE50F6" w14:paraId="4A672383" w14:textId="77777777" w:rsidTr="00533AA3">
        <w:trPr>
          <w:trHeight w:val="1894"/>
        </w:trPr>
        <w:tc>
          <w:tcPr>
            <w:tcW w:w="5000" w:type="pct"/>
          </w:tcPr>
          <w:p w14:paraId="444A2C8B" w14:textId="61D12F18" w:rsidR="00610D9E" w:rsidRPr="00DE50F6" w:rsidRDefault="00062913" w:rsidP="00DE50F6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Principalele prevederi noi ale p</w:t>
            </w:r>
            <w:r w:rsidR="00533AA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roiectul</w:t>
            </w: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ui</w:t>
            </w:r>
            <w:r w:rsidR="00533AA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reprezintă amendamentul privind </w:t>
            </w:r>
            <w:r w:rsidR="00917BC5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majorarea mărimii salariilor de funcție ale personalului </w:t>
            </w:r>
            <w:r w:rsidR="00533AA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angajat</w:t>
            </w:r>
            <w:r w:rsidR="00917BC5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533AA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în</w:t>
            </w:r>
            <w:r w:rsidR="00917BC5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instituțiile medico-sanitare publice din sistemul asigurării obligatorii de asistență medicală, în felul următor: pentru personalul medical cu studii superioare (medici) – majorare de 2</w:t>
            </w:r>
            <w:r w:rsidR="005D77D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</w:t>
            </w:r>
            <w:r w:rsidR="00917BC5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%</w:t>
            </w:r>
            <w:r w:rsidR="005D77D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</w:t>
            </w:r>
            <w:r w:rsidR="00917BC5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pentru personalul medical mediu</w:t>
            </w:r>
            <w:r w:rsidR="005D77D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– majorare de</w:t>
            </w: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5D77D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12% și pentru personalul medical inferior</w:t>
            </w:r>
            <w:r w:rsidR="00917BC5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533AA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și alt personal </w:t>
            </w:r>
            <w:r w:rsidR="00917BC5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– majorare de 10%.</w:t>
            </w:r>
          </w:p>
          <w:p w14:paraId="76F67B31" w14:textId="332177B2" w:rsidR="00DE50F6" w:rsidRDefault="00DE50F6" w:rsidP="00DE50F6">
            <w:pPr>
              <w:spacing w:after="0" w:line="240" w:lineRule="auto"/>
              <w:ind w:firstLine="562"/>
              <w:jc w:val="both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De asemenea se propune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spre aprobare o normă nouă, care reglementează că </w:t>
            </w:r>
            <w:r w:rsidRPr="00DE50F6">
              <w:rPr>
                <w:rFonts w:asciiTheme="majorBidi" w:hAnsiTheme="majorBidi" w:cstheme="majorBidi"/>
                <w:sz w:val="28"/>
                <w:szCs w:val="28"/>
                <w:lang w:val="ro-RO"/>
              </w:rPr>
              <w:t xml:space="preserve">salariile de funcţie lunare ale personalului medical (medici şi personal medical mediu) încadrat în serviciul AVIASAN se stabilesc cu o majorare de 10-50 </w:t>
            </w:r>
            <w:r>
              <w:rPr>
                <w:rFonts w:asciiTheme="majorBidi" w:hAnsiTheme="majorBidi" w:cstheme="majorBidi"/>
                <w:sz w:val="28"/>
                <w:szCs w:val="28"/>
                <w:lang w:val="ro-RO"/>
              </w:rPr>
              <w:t>%</w:t>
            </w:r>
            <w:r w:rsidRPr="00DE50F6">
              <w:rPr>
                <w:rFonts w:asciiTheme="majorBidi" w:hAnsiTheme="majorBidi" w:cstheme="majorBidi"/>
                <w:sz w:val="28"/>
                <w:szCs w:val="28"/>
                <w:lang w:val="ro-RO"/>
              </w:rPr>
              <w:t>.</w:t>
            </w:r>
          </w:p>
          <w:p w14:paraId="310896A5" w14:textId="1623F39F" w:rsidR="0080770E" w:rsidRPr="00DE50F6" w:rsidRDefault="0080770E" w:rsidP="00DE50F6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Suplimentar, în scopul stimulării muncii medicilor rezidenți angajați în cadrul instituțiilor medico-sanitare publice din sistemul asigurării obligatorii de asistență medicală, </w:t>
            </w:r>
            <w:r w:rsidR="007B216E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proiectul </w:t>
            </w: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prevede majorarea salariilor de funcție pentru </w:t>
            </w:r>
            <w:r w:rsidR="007B216E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rezidenți (</w:t>
            </w: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 durata desfășurării programul de rezidențiat în cadrul instituției</w:t>
            </w:r>
            <w:r w:rsidR="007B216E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)</w:t>
            </w: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de la </w:t>
            </w:r>
            <w:r w:rsidR="007B216E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2080 lei lunar la 5200 lei lunar, fapt ce presupune o majorare de 250%.</w:t>
            </w:r>
          </w:p>
          <w:p w14:paraId="0519D0AD" w14:textId="28EF7967" w:rsidR="00062913" w:rsidRPr="00DE50F6" w:rsidRDefault="00062913" w:rsidP="0006291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D07AE5" w:rsidRPr="00DE50F6" w14:paraId="736B09BC" w14:textId="77777777" w:rsidTr="00AC1A6B">
        <w:tc>
          <w:tcPr>
            <w:tcW w:w="5000" w:type="pct"/>
            <w:shd w:val="clear" w:color="auto" w:fill="D9D9D9"/>
          </w:tcPr>
          <w:p w14:paraId="71CA27F0" w14:textId="77777777" w:rsidR="00D07AE5" w:rsidRPr="00DE50F6" w:rsidRDefault="00D07AE5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 Fundamentarea economico-financiară</w:t>
            </w:r>
          </w:p>
        </w:tc>
      </w:tr>
      <w:tr w:rsidR="00D07AE5" w:rsidRPr="00DE50F6" w14:paraId="717A0B2D" w14:textId="77777777" w:rsidTr="00AC1A6B">
        <w:tc>
          <w:tcPr>
            <w:tcW w:w="5000" w:type="pct"/>
          </w:tcPr>
          <w:p w14:paraId="78E76A9B" w14:textId="0A8BC076" w:rsidR="0023738E" w:rsidRPr="00DE50F6" w:rsidRDefault="00B31FF1" w:rsidP="00161332">
            <w:pPr>
              <w:tabs>
                <w:tab w:val="left" w:pos="884"/>
                <w:tab w:val="left" w:pos="11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</w:pPr>
            <w:r w:rsidRPr="00DE50F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Sub aspect financiar</w:t>
            </w:r>
            <w:r w:rsidR="0023738E" w:rsidRPr="00DE50F6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, c</w:t>
            </w:r>
            <w:r w:rsidR="005C5F9A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heltuielile</w:t>
            </w:r>
            <w:r w:rsidR="0023738E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necesare pentru punerea în aplicare a majorărilor salariale, vor fi acoperite din contul </w:t>
            </w:r>
            <w:r w:rsidR="005C5F9A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și</w:t>
            </w:r>
            <w:r w:rsidR="0023738E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în limita mijloacelor contractate de către </w:t>
            </w:r>
            <w:r w:rsidR="005C5F9A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instituțiile</w:t>
            </w:r>
            <w:r w:rsidR="0023738E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medico-sanitare publice cu Compania </w:t>
            </w:r>
            <w:r w:rsidR="005C5F9A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Națională</w:t>
            </w:r>
            <w:r w:rsidR="0023738E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de Asigurări în Medicină, precum </w:t>
            </w:r>
            <w:r w:rsidR="005C5F9A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și</w:t>
            </w:r>
            <w:r w:rsidR="0023738E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din alte surse de venit, în conformitate cu </w:t>
            </w:r>
            <w:r w:rsidR="0023738E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lastRenderedPageBreak/>
              <w:t>legislația în vigoare.</w:t>
            </w:r>
          </w:p>
          <w:p w14:paraId="06E306EA" w14:textId="77777777" w:rsidR="009C1C30" w:rsidRPr="00DE50F6" w:rsidRDefault="0023738E" w:rsidP="0016133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Astfel, majorările de salarii propuse nu vor determina </w:t>
            </w:r>
            <w:r w:rsidR="005C5F9A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micșorarea</w:t>
            </w: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cheltuielilor legate de acordarea serviciilor medicale </w:t>
            </w:r>
            <w:r w:rsidR="005C5F9A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și</w:t>
            </w: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respectiv nu vor afecta calitatea serviciilor medicale  prestate.</w:t>
            </w:r>
          </w:p>
          <w:p w14:paraId="371BA052" w14:textId="4CC15F66" w:rsidR="00D07AE5" w:rsidRPr="00DE50F6" w:rsidRDefault="00233061" w:rsidP="00366295">
            <w:pPr>
              <w:tabs>
                <w:tab w:val="left" w:pos="884"/>
                <w:tab w:val="left" w:pos="11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Sursele financiare necesare pentru</w:t>
            </w:r>
            <w:r w:rsidR="009C1C30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major</w:t>
            </w:r>
            <w:r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area</w:t>
            </w:r>
            <w:r w:rsidR="009C1C30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salariilor de funcție </w:t>
            </w:r>
            <w:r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sunt i</w:t>
            </w:r>
            <w:r w:rsidR="009C1C30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dentificate în cadrul fondurilor </w:t>
            </w:r>
            <w:r w:rsidR="006B19B5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asigurării </w:t>
            </w:r>
            <w:r w:rsidR="009C1C30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obligatorii de asistență medicală</w:t>
            </w:r>
            <w:r w:rsidR="007E0CE0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pentru anul 2019</w:t>
            </w:r>
            <w:r w:rsidR="00161332" w:rsidRPr="00DE50F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.</w:t>
            </w:r>
          </w:p>
          <w:p w14:paraId="6C6172B2" w14:textId="48712169" w:rsidR="00233061" w:rsidRPr="00DE50F6" w:rsidRDefault="00233061" w:rsidP="00366295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D07AE5" w:rsidRPr="00DE50F6" w14:paraId="444EC02E" w14:textId="77777777" w:rsidTr="00AC1A6B">
        <w:tc>
          <w:tcPr>
            <w:tcW w:w="5000" w:type="pct"/>
            <w:shd w:val="clear" w:color="auto" w:fill="D9D9D9"/>
          </w:tcPr>
          <w:p w14:paraId="720BA891" w14:textId="77777777" w:rsidR="00D07AE5" w:rsidRPr="00DE50F6" w:rsidRDefault="00D07AE5" w:rsidP="000737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6. Modul de încorporare a proiectului în sistemul actelor normative în vigoare</w:t>
            </w:r>
          </w:p>
        </w:tc>
      </w:tr>
      <w:tr w:rsidR="00D07AE5" w:rsidRPr="00DE50F6" w14:paraId="6686A857" w14:textId="77777777" w:rsidTr="00AC1A6B">
        <w:tc>
          <w:tcPr>
            <w:tcW w:w="5000" w:type="pct"/>
          </w:tcPr>
          <w:p w14:paraId="1C2F8825" w14:textId="5D59D1F4" w:rsidR="00D07AE5" w:rsidRPr="00DE50F6" w:rsidRDefault="00736A88" w:rsidP="006F679A">
            <w:pPr>
              <w:tabs>
                <w:tab w:val="left" w:pos="884"/>
                <w:tab w:val="left" w:pos="119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Intrarea în vigoare a prezentei </w:t>
            </w:r>
            <w:proofErr w:type="spellStart"/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Hotărîri</w:t>
            </w:r>
            <w:proofErr w:type="spellEnd"/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Guvern nu va genera modificări ale cadrului normativ în vigoare la momentul actual.</w:t>
            </w:r>
          </w:p>
        </w:tc>
      </w:tr>
      <w:tr w:rsidR="00D07AE5" w:rsidRPr="00DE50F6" w14:paraId="0E57F650" w14:textId="77777777" w:rsidTr="00AC1A6B">
        <w:tc>
          <w:tcPr>
            <w:tcW w:w="5000" w:type="pct"/>
            <w:shd w:val="clear" w:color="auto" w:fill="D9D9D9"/>
          </w:tcPr>
          <w:p w14:paraId="56F4F496" w14:textId="77777777" w:rsidR="00D07AE5" w:rsidRPr="00DE50F6" w:rsidRDefault="00D07AE5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7. Avizarea şi consultarea publică a proiectului</w:t>
            </w:r>
          </w:p>
        </w:tc>
      </w:tr>
      <w:tr w:rsidR="00D07AE5" w:rsidRPr="00DE50F6" w14:paraId="5A3B1D90" w14:textId="77777777" w:rsidTr="00AC1A6B">
        <w:tc>
          <w:tcPr>
            <w:tcW w:w="5000" w:type="pct"/>
          </w:tcPr>
          <w:p w14:paraId="24338CDA" w14:textId="788D5A79" w:rsidR="00A6501A" w:rsidRPr="00DE50F6" w:rsidRDefault="006F679A" w:rsidP="00A6501A">
            <w:pPr>
              <w:tabs>
                <w:tab w:val="left" w:pos="884"/>
                <w:tab w:val="left" w:pos="119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În scopul respectării prevederilor Legii nr.239/2008 privind transparența în procesul decizional, proiectul va fi </w:t>
            </w:r>
            <w:r w:rsidR="00A6501A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plasat pe pagina web oficială a Ministerului Sănătății, Muncii și Protecției Sociale (</w:t>
            </w:r>
            <w:hyperlink r:id="rId7" w:history="1">
              <w:r w:rsidR="00A6501A" w:rsidRPr="00DE50F6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MO"/>
                </w:rPr>
                <w:t>www.msmps.gov.md</w:t>
              </w:r>
            </w:hyperlink>
            <w:r w:rsidR="00A6501A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), directoriul ”Transparență decizională”, secțiunea ”P</w:t>
            </w:r>
            <w:r w:rsidR="00AD0585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roiecte supuse consultărilor publice</w:t>
            </w:r>
            <w:r w:rsidR="00A6501A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”.</w:t>
            </w:r>
          </w:p>
          <w:p w14:paraId="5F910A0A" w14:textId="7DD72826" w:rsidR="00D07AE5" w:rsidRPr="00DE50F6" w:rsidRDefault="00A6501A" w:rsidP="00A6501A">
            <w:pPr>
              <w:tabs>
                <w:tab w:val="left" w:pos="884"/>
                <w:tab w:val="left" w:pos="119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Proiectul va fi </w:t>
            </w:r>
            <w:r w:rsidR="006F679A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supus consultărilor</w:t>
            </w: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publice cu toate părțile interesate și va urma avizarea oficială în condițiile cadrului normativ</w:t>
            </w:r>
            <w:r w:rsidR="00533AA3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  <w:r w:rsidR="006F679A"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 </w:t>
            </w:r>
          </w:p>
        </w:tc>
      </w:tr>
      <w:tr w:rsidR="00D07AE5" w:rsidRPr="00DE50F6" w14:paraId="35398821" w14:textId="77777777" w:rsidTr="00AC1A6B">
        <w:tc>
          <w:tcPr>
            <w:tcW w:w="5000" w:type="pct"/>
            <w:shd w:val="clear" w:color="auto" w:fill="D9D9D9"/>
          </w:tcPr>
          <w:p w14:paraId="28EA07CA" w14:textId="77777777" w:rsidR="00D07AE5" w:rsidRPr="00DE50F6" w:rsidRDefault="00D07AE5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8. Constatările altor expertize</w:t>
            </w:r>
          </w:p>
        </w:tc>
      </w:tr>
      <w:tr w:rsidR="00D07AE5" w:rsidRPr="00DE50F6" w14:paraId="51281460" w14:textId="77777777" w:rsidTr="00AC1A6B">
        <w:tc>
          <w:tcPr>
            <w:tcW w:w="5000" w:type="pct"/>
          </w:tcPr>
          <w:p w14:paraId="7B283938" w14:textId="77777777" w:rsidR="00D07AE5" w:rsidRPr="00DE50F6" w:rsidRDefault="00D07AE5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D07AE5" w:rsidRPr="00DE50F6" w14:paraId="3BAC2D15" w14:textId="77777777" w:rsidTr="00AC1A6B">
        <w:tc>
          <w:tcPr>
            <w:tcW w:w="5000" w:type="pct"/>
            <w:shd w:val="clear" w:color="auto" w:fill="D9D9D9"/>
          </w:tcPr>
          <w:p w14:paraId="09A28A9C" w14:textId="77777777" w:rsidR="00D07AE5" w:rsidRPr="00DE50F6" w:rsidRDefault="00D07AE5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9. Constatările expertizei anticorupţie</w:t>
            </w:r>
          </w:p>
        </w:tc>
      </w:tr>
      <w:tr w:rsidR="00D07AE5" w:rsidRPr="00DE50F6" w14:paraId="591711F0" w14:textId="77777777" w:rsidTr="00AC1A6B">
        <w:tc>
          <w:tcPr>
            <w:tcW w:w="5000" w:type="pct"/>
          </w:tcPr>
          <w:p w14:paraId="574A5120" w14:textId="77777777" w:rsidR="00D07AE5" w:rsidRPr="00DE50F6" w:rsidRDefault="00D07AE5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D07AE5" w:rsidRPr="00DE50F6" w14:paraId="67700212" w14:textId="77777777" w:rsidTr="00AC1A6B">
        <w:tc>
          <w:tcPr>
            <w:tcW w:w="5000" w:type="pct"/>
            <w:shd w:val="clear" w:color="auto" w:fill="D9D9D9"/>
          </w:tcPr>
          <w:p w14:paraId="651811CE" w14:textId="77777777" w:rsidR="00D07AE5" w:rsidRPr="00DE50F6" w:rsidRDefault="00D07AE5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10. Constatările expertizei de compatibilitate</w:t>
            </w:r>
          </w:p>
        </w:tc>
      </w:tr>
      <w:tr w:rsidR="00D07AE5" w:rsidRPr="00DE50F6" w14:paraId="28925F45" w14:textId="77777777" w:rsidTr="00AC1A6B">
        <w:tc>
          <w:tcPr>
            <w:tcW w:w="5000" w:type="pct"/>
          </w:tcPr>
          <w:p w14:paraId="4F0C5E81" w14:textId="77777777" w:rsidR="00D07AE5" w:rsidRPr="00DE50F6" w:rsidRDefault="00D07AE5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D07AE5" w:rsidRPr="00DE50F6" w14:paraId="2C5644C9" w14:textId="77777777" w:rsidTr="00AC1A6B">
        <w:tc>
          <w:tcPr>
            <w:tcW w:w="5000" w:type="pct"/>
            <w:shd w:val="clear" w:color="auto" w:fill="D9D9D9"/>
          </w:tcPr>
          <w:p w14:paraId="125D9CD5" w14:textId="77777777" w:rsidR="00D07AE5" w:rsidRPr="00DE50F6" w:rsidRDefault="00D07AE5" w:rsidP="00550113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E50F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11. Constatările expertizei juridice</w:t>
            </w:r>
          </w:p>
        </w:tc>
      </w:tr>
      <w:tr w:rsidR="00D07AE5" w:rsidRPr="00DE50F6" w14:paraId="16F680AF" w14:textId="77777777" w:rsidTr="00AC1A6B">
        <w:tc>
          <w:tcPr>
            <w:tcW w:w="5000" w:type="pct"/>
          </w:tcPr>
          <w:p w14:paraId="0499AFB6" w14:textId="77777777" w:rsidR="00D07AE5" w:rsidRPr="00DE50F6" w:rsidRDefault="00D07AE5" w:rsidP="008201BD">
            <w:pPr>
              <w:pStyle w:val="ListParagraph"/>
              <w:spacing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</w:tbl>
    <w:p w14:paraId="09B36975" w14:textId="54A6CA92" w:rsidR="00D07AE5" w:rsidRPr="00DE50F6" w:rsidRDefault="00D07AE5" w:rsidP="00D07AE5">
      <w:pPr>
        <w:rPr>
          <w:rFonts w:ascii="Times New Roman" w:hAnsi="Times New Roman" w:cs="Times New Roman"/>
          <w:sz w:val="28"/>
          <w:szCs w:val="28"/>
          <w:lang w:val="ro-MO"/>
        </w:rPr>
      </w:pPr>
    </w:p>
    <w:p w14:paraId="1F205B1C" w14:textId="77777777" w:rsidR="008E5E7E" w:rsidRPr="00DE50F6" w:rsidRDefault="008E5E7E" w:rsidP="00D07AE5">
      <w:pPr>
        <w:rPr>
          <w:rFonts w:ascii="Times New Roman" w:hAnsi="Times New Roman" w:cs="Times New Roman"/>
          <w:sz w:val="28"/>
          <w:szCs w:val="28"/>
          <w:lang w:val="ro-MO"/>
        </w:rPr>
      </w:pPr>
    </w:p>
    <w:p w14:paraId="42E1639A" w14:textId="77777777" w:rsidR="00D07AE5" w:rsidRPr="00DE50F6" w:rsidRDefault="00D07AE5" w:rsidP="00715E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</w:p>
    <w:p w14:paraId="5EEF019E" w14:textId="411FC10D" w:rsidR="008E5E7E" w:rsidRPr="002A73F5" w:rsidRDefault="002A73F5" w:rsidP="008E5E7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Secretar general de stat                                                  Boris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GÎLCA</w:t>
      </w:r>
    </w:p>
    <w:p w14:paraId="5BB6EA54" w14:textId="4ABB6E99" w:rsidR="00D07AE5" w:rsidRPr="00DE50F6" w:rsidRDefault="00D07AE5" w:rsidP="00715E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</w:p>
    <w:p w14:paraId="138EC2AB" w14:textId="66CEE0DA" w:rsidR="00233061" w:rsidRPr="00DE50F6" w:rsidRDefault="00233061" w:rsidP="00715E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</w:p>
    <w:p w14:paraId="6CCDFC3F" w14:textId="3552E736" w:rsidR="00233061" w:rsidRPr="00DE50F6" w:rsidRDefault="00233061" w:rsidP="00715E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  <w:bookmarkStart w:id="0" w:name="_GoBack"/>
      <w:bookmarkEnd w:id="0"/>
    </w:p>
    <w:p w14:paraId="487CD2DD" w14:textId="77B256BA" w:rsidR="00233061" w:rsidRPr="00DE50F6" w:rsidRDefault="00233061" w:rsidP="00715E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</w:p>
    <w:sectPr w:rsidR="00233061" w:rsidRPr="00DE50F6" w:rsidSect="008B5508">
      <w:pgSz w:w="11906" w:h="16838"/>
      <w:pgMar w:top="1134" w:right="96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62"/>
    <w:rsid w:val="00011F84"/>
    <w:rsid w:val="000153C1"/>
    <w:rsid w:val="00047168"/>
    <w:rsid w:val="00062913"/>
    <w:rsid w:val="000737D6"/>
    <w:rsid w:val="00092DE4"/>
    <w:rsid w:val="000C07C4"/>
    <w:rsid w:val="001422D0"/>
    <w:rsid w:val="00161332"/>
    <w:rsid w:val="001B7B5B"/>
    <w:rsid w:val="001D1123"/>
    <w:rsid w:val="00233061"/>
    <w:rsid w:val="0023738E"/>
    <w:rsid w:val="00240DB1"/>
    <w:rsid w:val="002511F8"/>
    <w:rsid w:val="002578D8"/>
    <w:rsid w:val="002726D3"/>
    <w:rsid w:val="00286944"/>
    <w:rsid w:val="002A73F5"/>
    <w:rsid w:val="002B12A7"/>
    <w:rsid w:val="002B2E75"/>
    <w:rsid w:val="00310F1A"/>
    <w:rsid w:val="00322B61"/>
    <w:rsid w:val="00344058"/>
    <w:rsid w:val="0035364A"/>
    <w:rsid w:val="00366295"/>
    <w:rsid w:val="00396102"/>
    <w:rsid w:val="003D1399"/>
    <w:rsid w:val="003E1003"/>
    <w:rsid w:val="003F7D42"/>
    <w:rsid w:val="00443A44"/>
    <w:rsid w:val="00460C12"/>
    <w:rsid w:val="004C4D49"/>
    <w:rsid w:val="004F4F4F"/>
    <w:rsid w:val="00510665"/>
    <w:rsid w:val="00512A8B"/>
    <w:rsid w:val="00533AA3"/>
    <w:rsid w:val="00546C95"/>
    <w:rsid w:val="00571D60"/>
    <w:rsid w:val="005B6E04"/>
    <w:rsid w:val="005C0778"/>
    <w:rsid w:val="005C5F9A"/>
    <w:rsid w:val="005D77D3"/>
    <w:rsid w:val="00600951"/>
    <w:rsid w:val="00607B5C"/>
    <w:rsid w:val="00610225"/>
    <w:rsid w:val="00610D9E"/>
    <w:rsid w:val="006353CE"/>
    <w:rsid w:val="006423CC"/>
    <w:rsid w:val="00664B01"/>
    <w:rsid w:val="006B19B5"/>
    <w:rsid w:val="006E4C4A"/>
    <w:rsid w:val="006F679A"/>
    <w:rsid w:val="00704C4D"/>
    <w:rsid w:val="00715E3E"/>
    <w:rsid w:val="007177CA"/>
    <w:rsid w:val="00736A88"/>
    <w:rsid w:val="007430D7"/>
    <w:rsid w:val="007708B7"/>
    <w:rsid w:val="007B216E"/>
    <w:rsid w:val="007E0CE0"/>
    <w:rsid w:val="0080770E"/>
    <w:rsid w:val="008201BD"/>
    <w:rsid w:val="008B4BF1"/>
    <w:rsid w:val="008B5508"/>
    <w:rsid w:val="008E3DAA"/>
    <w:rsid w:val="008E5E7E"/>
    <w:rsid w:val="009142D3"/>
    <w:rsid w:val="00917BC5"/>
    <w:rsid w:val="009768D3"/>
    <w:rsid w:val="00981F29"/>
    <w:rsid w:val="009C1C30"/>
    <w:rsid w:val="009E4357"/>
    <w:rsid w:val="00A20FA5"/>
    <w:rsid w:val="00A25BFC"/>
    <w:rsid w:val="00A6501A"/>
    <w:rsid w:val="00A973FA"/>
    <w:rsid w:val="00AA272B"/>
    <w:rsid w:val="00AB4E2D"/>
    <w:rsid w:val="00AC1A6B"/>
    <w:rsid w:val="00AD0585"/>
    <w:rsid w:val="00AF0B0F"/>
    <w:rsid w:val="00B31FF1"/>
    <w:rsid w:val="00B6182C"/>
    <w:rsid w:val="00B93A62"/>
    <w:rsid w:val="00C442CE"/>
    <w:rsid w:val="00CA12A8"/>
    <w:rsid w:val="00CA2086"/>
    <w:rsid w:val="00CB5642"/>
    <w:rsid w:val="00CF115A"/>
    <w:rsid w:val="00D07AE5"/>
    <w:rsid w:val="00D27731"/>
    <w:rsid w:val="00D47266"/>
    <w:rsid w:val="00D976AF"/>
    <w:rsid w:val="00DA108D"/>
    <w:rsid w:val="00DE01E4"/>
    <w:rsid w:val="00DE50F6"/>
    <w:rsid w:val="00E10F82"/>
    <w:rsid w:val="00E50860"/>
    <w:rsid w:val="00E526C7"/>
    <w:rsid w:val="00EA6A71"/>
    <w:rsid w:val="00ED5B38"/>
    <w:rsid w:val="00EE34C7"/>
    <w:rsid w:val="00EF0718"/>
    <w:rsid w:val="00F21A2C"/>
    <w:rsid w:val="00FC16A5"/>
    <w:rsid w:val="00FC6679"/>
    <w:rsid w:val="00FE7389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2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04C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15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1BD"/>
    <w:pPr>
      <w:ind w:left="720"/>
      <w:contextualSpacing/>
    </w:pPr>
    <w:rPr>
      <w:lang w:eastAsia="ko-KR"/>
    </w:rPr>
  </w:style>
  <w:style w:type="character" w:styleId="Hyperlink">
    <w:name w:val="Hyperlink"/>
    <w:basedOn w:val="DefaultParagraphFont"/>
    <w:uiPriority w:val="99"/>
    <w:unhideWhenUsed/>
    <w:rsid w:val="00A6501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501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04C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15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1BD"/>
    <w:pPr>
      <w:ind w:left="720"/>
      <w:contextualSpacing/>
    </w:pPr>
    <w:rPr>
      <w:lang w:eastAsia="ko-KR"/>
    </w:rPr>
  </w:style>
  <w:style w:type="character" w:styleId="Hyperlink">
    <w:name w:val="Hyperlink"/>
    <w:basedOn w:val="DefaultParagraphFont"/>
    <w:uiPriority w:val="99"/>
    <w:unhideWhenUsed/>
    <w:rsid w:val="00A6501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5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smps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D383B-1C64-45DD-A95B-DFA4EB8A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CNAM</dc:creator>
  <cp:lastModifiedBy>Ina Hristescu</cp:lastModifiedBy>
  <cp:revision>4</cp:revision>
  <cp:lastPrinted>2018-11-16T15:35:00Z</cp:lastPrinted>
  <dcterms:created xsi:type="dcterms:W3CDTF">2018-11-21T07:53:00Z</dcterms:created>
  <dcterms:modified xsi:type="dcterms:W3CDTF">2018-11-21T08:25:00Z</dcterms:modified>
</cp:coreProperties>
</file>