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67" w:rsidRPr="00E14D69" w:rsidRDefault="00DF7D67" w:rsidP="00DF7D67">
      <w:pPr>
        <w:ind w:firstLine="0"/>
        <w:rPr>
          <w:sz w:val="28"/>
          <w:szCs w:val="28"/>
          <w:lang w:val="ro-RO"/>
        </w:rPr>
      </w:pPr>
    </w:p>
    <w:p w:rsidR="00DF7D67" w:rsidRPr="00E14D69" w:rsidRDefault="00DF7D67" w:rsidP="00DF7D67">
      <w:pPr>
        <w:ind w:firstLine="567"/>
        <w:rPr>
          <w:sz w:val="28"/>
          <w:szCs w:val="28"/>
          <w:lang w:val="ro-RO"/>
        </w:rPr>
      </w:pPr>
    </w:p>
    <w:p w:rsidR="00DF7D67" w:rsidRPr="00E14D69" w:rsidRDefault="00DF7D67" w:rsidP="00DF7D67">
      <w:pPr>
        <w:ind w:firstLine="567"/>
        <w:jc w:val="center"/>
        <w:rPr>
          <w:b/>
          <w:sz w:val="28"/>
          <w:szCs w:val="28"/>
          <w:lang w:val="ro-RO"/>
        </w:rPr>
      </w:pPr>
      <w:r w:rsidRPr="00E14D69">
        <w:rPr>
          <w:b/>
          <w:sz w:val="28"/>
          <w:szCs w:val="28"/>
          <w:lang w:val="ro-RO"/>
        </w:rPr>
        <w:t>NOTA INFORMATIVĂ</w:t>
      </w:r>
    </w:p>
    <w:p w:rsidR="00DF7D67" w:rsidRPr="00E14D69" w:rsidRDefault="00DF7D67" w:rsidP="00DF7D67">
      <w:pPr>
        <w:ind w:firstLine="709"/>
        <w:jc w:val="center"/>
        <w:rPr>
          <w:b/>
          <w:sz w:val="28"/>
          <w:szCs w:val="28"/>
          <w:lang w:val="ro-RO" w:eastAsia="ru-RU"/>
        </w:rPr>
      </w:pPr>
      <w:r w:rsidRPr="00E14D69">
        <w:rPr>
          <w:b/>
          <w:sz w:val="28"/>
          <w:szCs w:val="28"/>
          <w:lang w:val="ro-RO"/>
        </w:rPr>
        <w:t xml:space="preserve">la proiectul Hotărârii Guvernului </w:t>
      </w:r>
      <w:r w:rsidRPr="00E14D69">
        <w:rPr>
          <w:b/>
          <w:sz w:val="28"/>
          <w:szCs w:val="28"/>
          <w:lang w:val="ro-RO" w:eastAsia="ru-RU"/>
        </w:rPr>
        <w:t>cu privire la aplicarea echipamentelor de casă și de control la efectuarea decontărilor</w:t>
      </w:r>
    </w:p>
    <w:p w:rsidR="00DF7D67" w:rsidRPr="00E14D69" w:rsidRDefault="00DF7D67" w:rsidP="00DF7D67">
      <w:pPr>
        <w:ind w:firstLine="709"/>
        <w:jc w:val="center"/>
        <w:rPr>
          <w:rFonts w:eastAsia="Calibri"/>
          <w:b/>
          <w:sz w:val="28"/>
          <w:szCs w:val="28"/>
          <w:lang w:val="ro-RO" w:eastAsia="ru-RU"/>
        </w:rPr>
      </w:pPr>
    </w:p>
    <w:tbl>
      <w:tblPr>
        <w:tblStyle w:val="a7"/>
        <w:tblW w:w="0" w:type="auto"/>
        <w:tblLook w:val="04A0"/>
      </w:tblPr>
      <w:tblGrid>
        <w:gridCol w:w="9119"/>
      </w:tblGrid>
      <w:tr w:rsidR="00DF7D67" w:rsidRPr="00E14D69" w:rsidTr="000770FE">
        <w:tc>
          <w:tcPr>
            <w:tcW w:w="9119" w:type="dxa"/>
          </w:tcPr>
          <w:p w:rsidR="00DF7D67" w:rsidRPr="00E14D69" w:rsidRDefault="00DF7D67" w:rsidP="00DF7D67">
            <w:pPr>
              <w:pStyle w:val="a8"/>
              <w:numPr>
                <w:ilvl w:val="0"/>
                <w:numId w:val="1"/>
              </w:numPr>
              <w:rPr>
                <w:b/>
                <w:sz w:val="28"/>
                <w:szCs w:val="28"/>
                <w:lang w:val="ro-RO"/>
              </w:rPr>
            </w:pPr>
            <w:r w:rsidRPr="00E14D69">
              <w:rPr>
                <w:b/>
                <w:sz w:val="28"/>
                <w:szCs w:val="28"/>
                <w:lang w:val="ro-RO"/>
              </w:rPr>
              <w:t>Condițiile ce au impus elaborarea proiectului și finalitățile urmărite</w:t>
            </w:r>
          </w:p>
        </w:tc>
      </w:tr>
      <w:tr w:rsidR="00DF7D67" w:rsidRPr="00E14D69" w:rsidTr="000770FE">
        <w:tc>
          <w:tcPr>
            <w:tcW w:w="9119" w:type="dxa"/>
          </w:tcPr>
          <w:p w:rsidR="00DF7D67" w:rsidRPr="00E14D69" w:rsidRDefault="00DF7D67" w:rsidP="000770FE">
            <w:pPr>
              <w:ind w:firstLine="589"/>
              <w:rPr>
                <w:sz w:val="28"/>
                <w:szCs w:val="28"/>
                <w:lang w:val="ro-RO"/>
              </w:rPr>
            </w:pPr>
            <w:r w:rsidRPr="00E14D69">
              <w:rPr>
                <w:sz w:val="28"/>
                <w:szCs w:val="28"/>
                <w:lang w:val="ro-RO"/>
              </w:rPr>
              <w:t>La data de 20 iulie 2018 a intrat în vigoare Legea nr. 118 din 5 iulie 2018 pentru modificarea și completarea unor acte legislative, prin care a fost modificat Codul fiscal nr. 1163-XIII din 24 aprilie 1997, cu substituirea noțiunilor aferente dispozitivelor și sistemelor pentru înregistrarea operațiunilor în numerar cu noțiunea echipamente de casă și de control, fapt ce condiționează abrogarea Hotărârii de Guvern nr. 474 din 28 aprilie 1998 și elaborarea unei noi Hotărâri de Guvern cu privire la aplicarea echipamentelor de casă și de control la efectuarea decontărilor.</w:t>
            </w:r>
          </w:p>
        </w:tc>
      </w:tr>
      <w:tr w:rsidR="00DF7D67" w:rsidRPr="00E14D69" w:rsidTr="000770FE">
        <w:tc>
          <w:tcPr>
            <w:tcW w:w="9119" w:type="dxa"/>
          </w:tcPr>
          <w:p w:rsidR="00DF7D67" w:rsidRPr="00E14D69" w:rsidRDefault="00DF7D67" w:rsidP="00DF7D67">
            <w:pPr>
              <w:pStyle w:val="a8"/>
              <w:numPr>
                <w:ilvl w:val="0"/>
                <w:numId w:val="1"/>
              </w:numPr>
              <w:rPr>
                <w:b/>
                <w:sz w:val="28"/>
                <w:szCs w:val="28"/>
                <w:lang w:val="ro-RO"/>
              </w:rPr>
            </w:pPr>
            <w:r w:rsidRPr="00E14D69">
              <w:rPr>
                <w:b/>
                <w:sz w:val="28"/>
                <w:szCs w:val="28"/>
                <w:lang w:val="ro-RO"/>
              </w:rPr>
              <w:t>Principalele prevederi ale proiectului</w:t>
            </w:r>
          </w:p>
        </w:tc>
      </w:tr>
      <w:tr w:rsidR="00DF7D67" w:rsidRPr="00E14D69" w:rsidTr="000770FE">
        <w:tc>
          <w:tcPr>
            <w:tcW w:w="9119" w:type="dxa"/>
          </w:tcPr>
          <w:p w:rsidR="00DF7D67" w:rsidRPr="00E14D69" w:rsidRDefault="00DF7D67" w:rsidP="000770FE">
            <w:pPr>
              <w:ind w:firstLine="589"/>
              <w:rPr>
                <w:sz w:val="28"/>
                <w:szCs w:val="28"/>
                <w:lang w:val="ro-RO"/>
              </w:rPr>
            </w:pPr>
            <w:r w:rsidRPr="00E14D69">
              <w:rPr>
                <w:sz w:val="28"/>
                <w:szCs w:val="28"/>
                <w:lang w:val="ro-RO"/>
              </w:rPr>
              <w:t>Prezentul proiect de Hotărâre are drept scop stabilirea normelor legislative, care vor reglementa efectuarea decontărilor în numerar prin diferite dispozitive electronice destinate pentru înregistrarea operaţiunilor de casă (în numerar și/sau prin alt instrument de plată).</w:t>
            </w:r>
          </w:p>
          <w:p w:rsidR="00DF7D67" w:rsidRPr="00E14D69" w:rsidRDefault="00DF7D67" w:rsidP="000770FE">
            <w:pPr>
              <w:ind w:firstLine="589"/>
              <w:rPr>
                <w:sz w:val="28"/>
                <w:szCs w:val="28"/>
                <w:lang w:val="ro-RO"/>
              </w:rPr>
            </w:pPr>
            <w:r w:rsidRPr="00E14D69">
              <w:rPr>
                <w:sz w:val="28"/>
                <w:szCs w:val="28"/>
                <w:lang w:val="ro-RO"/>
              </w:rPr>
              <w:t>În prezent tehnologiile informaţionale moderne constituie unul din principalii promotori ai schimbărilor din societate şi mediul de afaceri. Fiind folosite pe scară largă atât la nivel individual, cât şi la nivel organizaţional, tehnologiile informaţionale moderne servesc ca un catalizator de creştere şi modernizare.</w:t>
            </w:r>
          </w:p>
          <w:p w:rsidR="00DF7D67" w:rsidRPr="00E14D69" w:rsidRDefault="00DF7D67" w:rsidP="000770FE">
            <w:pPr>
              <w:ind w:firstLine="589"/>
              <w:rPr>
                <w:sz w:val="28"/>
                <w:szCs w:val="28"/>
                <w:lang w:val="ro-RO"/>
              </w:rPr>
            </w:pPr>
            <w:r w:rsidRPr="00E14D69">
              <w:rPr>
                <w:sz w:val="28"/>
                <w:szCs w:val="28"/>
                <w:lang w:val="ro-RO"/>
              </w:rPr>
              <w:t>Dezvoltarea tehnologică accelerată a dus la generalizarea informatizării plăților și accesibilitatea serviciilor de plăți electronice pentru toate tipurile de utilizatori.</w:t>
            </w:r>
          </w:p>
          <w:p w:rsidR="00DF7D67" w:rsidRPr="00E14D69" w:rsidRDefault="00DF7D67" w:rsidP="000770FE">
            <w:pPr>
              <w:ind w:firstLine="589"/>
              <w:rPr>
                <w:sz w:val="28"/>
                <w:szCs w:val="28"/>
                <w:lang w:val="ro-RO"/>
              </w:rPr>
            </w:pPr>
            <w:r w:rsidRPr="00E14D69">
              <w:rPr>
                <w:sz w:val="28"/>
                <w:szCs w:val="28"/>
                <w:lang w:val="ro-RO"/>
              </w:rPr>
              <w:t>Pe larg se implementează instrumente de plăţi electronice on-line, atestând o tendinţă de creştere a numărului magazinelor electronice.</w:t>
            </w:r>
          </w:p>
          <w:p w:rsidR="00DF7D67" w:rsidRPr="00E14D69" w:rsidRDefault="00DF7D67" w:rsidP="000770FE">
            <w:pPr>
              <w:ind w:firstLine="589"/>
              <w:rPr>
                <w:sz w:val="28"/>
                <w:szCs w:val="28"/>
                <w:lang w:val="ro-RO"/>
              </w:rPr>
            </w:pPr>
            <w:r w:rsidRPr="00E14D69">
              <w:rPr>
                <w:sz w:val="28"/>
                <w:szCs w:val="28"/>
                <w:lang w:val="ro-RO"/>
              </w:rPr>
              <w:t>Astfel, prevederile legislaţiei în vigoare rămân în urmă de la dezvoltarea tehnologiilor informaţionale, ceea ce creează impedimente la utilizarea noilor tehnologii.</w:t>
            </w:r>
          </w:p>
          <w:p w:rsidR="00DF7D67" w:rsidRPr="00E14D69" w:rsidRDefault="00DF7D67" w:rsidP="000770FE">
            <w:pPr>
              <w:ind w:firstLine="589"/>
              <w:rPr>
                <w:sz w:val="28"/>
                <w:szCs w:val="28"/>
                <w:lang w:val="ro-RO"/>
              </w:rPr>
            </w:pPr>
            <w:r w:rsidRPr="00E14D69">
              <w:rPr>
                <w:sz w:val="28"/>
                <w:szCs w:val="28"/>
                <w:lang w:val="ro-RO"/>
              </w:rPr>
              <w:t xml:space="preserve">Prin urmare, proiectul de Hotărâre conține prevederile care vor reglementa acceptarea utilizării diferitor dispozitive electronice (de tip: telefon mobil, tableta, precum şi altele asemenea, ce dispun de un program de aplicaţie dedicat şi identificabil), cu funcţii de maşini de casă şi de control. </w:t>
            </w:r>
          </w:p>
          <w:p w:rsidR="00DF7D67" w:rsidRPr="00E14D69" w:rsidRDefault="00DF7D67" w:rsidP="000770FE">
            <w:pPr>
              <w:ind w:firstLine="589"/>
              <w:rPr>
                <w:sz w:val="28"/>
                <w:szCs w:val="28"/>
                <w:lang w:val="ro-RO"/>
              </w:rPr>
            </w:pPr>
            <w:r w:rsidRPr="00E14D69">
              <w:rPr>
                <w:sz w:val="28"/>
                <w:szCs w:val="28"/>
                <w:lang w:val="ro-RO"/>
              </w:rPr>
              <w:t>Totodată, utilizarea diferitor dispozitive electronice va permite emiterea şi transmiterea, în cazul prezentării până la momentul achitării de către plătitor a datelor privind numărul de telefon sau adresa electronică, a bonului de casă/documentului fiscal în formă electronică la numărul de telefon sau adresa electronică prezentate.</w:t>
            </w:r>
          </w:p>
          <w:p w:rsidR="00DF7D67" w:rsidRPr="00E14D69" w:rsidRDefault="00DF7D67" w:rsidP="000770FE">
            <w:pPr>
              <w:ind w:firstLine="589"/>
              <w:rPr>
                <w:sz w:val="28"/>
                <w:szCs w:val="28"/>
                <w:lang w:val="ro-RO"/>
              </w:rPr>
            </w:pPr>
            <w:proofErr w:type="spellStart"/>
            <w:r w:rsidRPr="00E14D69">
              <w:rPr>
                <w:sz w:val="28"/>
                <w:szCs w:val="28"/>
                <w:lang w:val="ro-RO"/>
              </w:rPr>
              <w:t>Ţinînd</w:t>
            </w:r>
            <w:proofErr w:type="spellEnd"/>
            <w:r w:rsidRPr="00E14D69">
              <w:rPr>
                <w:sz w:val="28"/>
                <w:szCs w:val="28"/>
                <w:lang w:val="ro-RO"/>
              </w:rPr>
              <w:t xml:space="preserve"> cont de cele expuse mai sus, se consideră oportun aprobarea proiectului de lege respectiv.</w:t>
            </w:r>
          </w:p>
          <w:p w:rsidR="00DF7D67" w:rsidRPr="00E14D69" w:rsidRDefault="00DF7D67" w:rsidP="000770FE">
            <w:pPr>
              <w:ind w:firstLine="589"/>
              <w:rPr>
                <w:sz w:val="28"/>
                <w:szCs w:val="28"/>
                <w:lang w:val="ro-RO"/>
              </w:rPr>
            </w:pPr>
          </w:p>
        </w:tc>
      </w:tr>
      <w:tr w:rsidR="00DF7D67" w:rsidRPr="00E14D69" w:rsidTr="000770FE">
        <w:tc>
          <w:tcPr>
            <w:tcW w:w="9119" w:type="dxa"/>
          </w:tcPr>
          <w:p w:rsidR="00DF7D67" w:rsidRPr="00E14D69" w:rsidRDefault="00DF7D67" w:rsidP="00DF7D67">
            <w:pPr>
              <w:pStyle w:val="a8"/>
              <w:numPr>
                <w:ilvl w:val="0"/>
                <w:numId w:val="1"/>
              </w:numPr>
              <w:rPr>
                <w:b/>
                <w:sz w:val="28"/>
                <w:szCs w:val="28"/>
                <w:lang w:val="ro-RO"/>
              </w:rPr>
            </w:pPr>
            <w:r w:rsidRPr="00E14D69">
              <w:rPr>
                <w:b/>
                <w:sz w:val="28"/>
                <w:szCs w:val="28"/>
                <w:lang w:val="ro-RO"/>
              </w:rPr>
              <w:lastRenderedPageBreak/>
              <w:t>Descrierea gradului de compatibilitate a prevederilor proiectului cu legislația Uniunii Europene</w:t>
            </w:r>
          </w:p>
        </w:tc>
      </w:tr>
      <w:tr w:rsidR="00DF7D67" w:rsidRPr="00E14D69" w:rsidTr="000770FE">
        <w:tc>
          <w:tcPr>
            <w:tcW w:w="9119" w:type="dxa"/>
          </w:tcPr>
          <w:p w:rsidR="00DF7D67" w:rsidRPr="00E14D69" w:rsidRDefault="00DF7D67" w:rsidP="000770FE">
            <w:pPr>
              <w:ind w:firstLine="589"/>
              <w:rPr>
                <w:sz w:val="28"/>
                <w:szCs w:val="28"/>
                <w:lang w:val="ro-RO"/>
              </w:rPr>
            </w:pPr>
            <w:r w:rsidRPr="00E14D69">
              <w:rPr>
                <w:sz w:val="28"/>
                <w:szCs w:val="28"/>
                <w:lang w:val="ro-RO"/>
              </w:rPr>
              <w:t>Prezentul proiect de act normativ nu contravine legislației Uniunii Europene.</w:t>
            </w:r>
          </w:p>
        </w:tc>
      </w:tr>
      <w:tr w:rsidR="00DF7D67" w:rsidRPr="00E14D69" w:rsidTr="000770FE">
        <w:tc>
          <w:tcPr>
            <w:tcW w:w="9119" w:type="dxa"/>
          </w:tcPr>
          <w:p w:rsidR="00DF7D67" w:rsidRPr="00E14D69" w:rsidRDefault="00DF7D67" w:rsidP="00DF7D67">
            <w:pPr>
              <w:pStyle w:val="a8"/>
              <w:numPr>
                <w:ilvl w:val="0"/>
                <w:numId w:val="1"/>
              </w:numPr>
              <w:rPr>
                <w:b/>
                <w:sz w:val="28"/>
                <w:szCs w:val="28"/>
                <w:lang w:val="ro-RO"/>
              </w:rPr>
            </w:pPr>
            <w:r w:rsidRPr="00E14D69">
              <w:rPr>
                <w:b/>
                <w:sz w:val="28"/>
                <w:szCs w:val="28"/>
                <w:lang w:val="ro-RO"/>
              </w:rPr>
              <w:t>Fundamentarea economico-financiară</w:t>
            </w:r>
          </w:p>
        </w:tc>
      </w:tr>
      <w:tr w:rsidR="00DF7D67" w:rsidRPr="00E14D69" w:rsidTr="000770FE">
        <w:tc>
          <w:tcPr>
            <w:tcW w:w="9119" w:type="dxa"/>
          </w:tcPr>
          <w:p w:rsidR="00DF7D67" w:rsidRPr="00E14D69" w:rsidRDefault="00DF7D67" w:rsidP="000770FE">
            <w:pPr>
              <w:ind w:firstLine="589"/>
              <w:rPr>
                <w:sz w:val="28"/>
                <w:szCs w:val="28"/>
                <w:lang w:val="ro-RO"/>
              </w:rPr>
            </w:pPr>
            <w:r w:rsidRPr="00E14D69">
              <w:rPr>
                <w:sz w:val="28"/>
                <w:szCs w:val="28"/>
                <w:lang w:val="ro-RO"/>
              </w:rPr>
              <w:t>Aprobarea prezentului proiect de hotărâre nu implică cheltuieli bugetare suplimentare.</w:t>
            </w:r>
          </w:p>
        </w:tc>
      </w:tr>
      <w:tr w:rsidR="00DF7D67" w:rsidRPr="00E14D69" w:rsidTr="000770FE">
        <w:tc>
          <w:tcPr>
            <w:tcW w:w="9119" w:type="dxa"/>
          </w:tcPr>
          <w:p w:rsidR="00DF7D67" w:rsidRPr="00E14D69" w:rsidRDefault="00DF7D67" w:rsidP="00DF7D67">
            <w:pPr>
              <w:pStyle w:val="a8"/>
              <w:numPr>
                <w:ilvl w:val="0"/>
                <w:numId w:val="1"/>
              </w:numPr>
              <w:rPr>
                <w:b/>
                <w:sz w:val="28"/>
                <w:szCs w:val="28"/>
                <w:lang w:val="ro-RO"/>
              </w:rPr>
            </w:pPr>
            <w:r w:rsidRPr="00E14D69">
              <w:rPr>
                <w:b/>
                <w:sz w:val="28"/>
                <w:szCs w:val="28"/>
                <w:lang w:val="ro-RO"/>
              </w:rPr>
              <w:t>Transparența decizională</w:t>
            </w:r>
          </w:p>
        </w:tc>
      </w:tr>
      <w:tr w:rsidR="00DF7D67" w:rsidRPr="00E14D69" w:rsidTr="000770FE">
        <w:tc>
          <w:tcPr>
            <w:tcW w:w="9119" w:type="dxa"/>
          </w:tcPr>
          <w:p w:rsidR="00DF7D67" w:rsidRPr="00E14D69" w:rsidRDefault="00DF7D67" w:rsidP="000770FE">
            <w:pPr>
              <w:ind w:firstLine="589"/>
              <w:rPr>
                <w:sz w:val="28"/>
                <w:szCs w:val="28"/>
                <w:lang w:val="ro-RO"/>
              </w:rPr>
            </w:pPr>
            <w:r w:rsidRPr="00E14D69">
              <w:rPr>
                <w:sz w:val="28"/>
                <w:szCs w:val="28"/>
                <w:lang w:val="ro-RO"/>
              </w:rPr>
              <w:t xml:space="preserve">În scopul respectării prevederilor Legii nr. 239 din 13 noiembrie 2008 privind transparența în procesul decizional, proiectul Hotărârii de Guvern a fost plasat pe pagina </w:t>
            </w:r>
            <w:hyperlink r:id="rId7" w:history="1">
              <w:r w:rsidRPr="00E14D69">
                <w:rPr>
                  <w:rStyle w:val="a9"/>
                  <w:sz w:val="28"/>
                  <w:szCs w:val="28"/>
                  <w:lang w:val="ro-RO"/>
                </w:rPr>
                <w:t>www.particip.gov.md</w:t>
              </w:r>
            </w:hyperlink>
            <w:r w:rsidRPr="00E14D69">
              <w:rPr>
                <w:sz w:val="28"/>
                <w:szCs w:val="28"/>
                <w:lang w:val="ro-RO"/>
              </w:rPr>
              <w:t xml:space="preserve"> și pagina web oficială a Ministerului Finanțelor </w:t>
            </w:r>
            <w:hyperlink r:id="rId8" w:history="1">
              <w:r w:rsidRPr="00E14D69">
                <w:rPr>
                  <w:rStyle w:val="a9"/>
                  <w:sz w:val="28"/>
                  <w:szCs w:val="28"/>
                  <w:lang w:val="ro-RO"/>
                </w:rPr>
                <w:t>www.mf.gov.md</w:t>
              </w:r>
            </w:hyperlink>
            <w:r w:rsidRPr="00E14D69">
              <w:rPr>
                <w:sz w:val="28"/>
                <w:szCs w:val="28"/>
                <w:lang w:val="ro-RO"/>
              </w:rPr>
              <w:t xml:space="preserve">, compartimentul </w:t>
            </w:r>
            <w:r w:rsidRPr="00E14D69">
              <w:rPr>
                <w:i/>
                <w:sz w:val="28"/>
                <w:szCs w:val="28"/>
                <w:lang w:val="ro-RO"/>
              </w:rPr>
              <w:t>Transparența decizională</w:t>
            </w:r>
            <w:r w:rsidRPr="00E14D69">
              <w:rPr>
                <w:sz w:val="28"/>
                <w:szCs w:val="28"/>
                <w:lang w:val="ro-RO"/>
              </w:rPr>
              <w:t xml:space="preserve">, directoriul </w:t>
            </w:r>
            <w:r w:rsidRPr="00E14D69">
              <w:rPr>
                <w:i/>
                <w:sz w:val="28"/>
                <w:szCs w:val="28"/>
                <w:lang w:val="ro-RO"/>
              </w:rPr>
              <w:t>Procesul decizional</w:t>
            </w:r>
            <w:r w:rsidRPr="00E14D69">
              <w:rPr>
                <w:sz w:val="28"/>
                <w:szCs w:val="28"/>
                <w:lang w:val="ro-RO"/>
              </w:rPr>
              <w:t>.</w:t>
            </w:r>
          </w:p>
        </w:tc>
      </w:tr>
    </w:tbl>
    <w:p w:rsidR="00DF7D67" w:rsidRPr="00E14D69" w:rsidRDefault="00DF7D67" w:rsidP="00DF7D67">
      <w:pPr>
        <w:ind w:firstLine="567"/>
        <w:rPr>
          <w:b/>
          <w:sz w:val="28"/>
          <w:szCs w:val="28"/>
          <w:lang w:val="ro-RO"/>
        </w:rPr>
      </w:pPr>
    </w:p>
    <w:p w:rsidR="00972C57" w:rsidRPr="00DF7D67" w:rsidRDefault="00972C57">
      <w:pPr>
        <w:rPr>
          <w:lang w:val="ro-RO"/>
        </w:rPr>
      </w:pPr>
    </w:p>
    <w:sectPr w:rsidR="00972C57" w:rsidRPr="00DF7D67" w:rsidSect="00AE7568">
      <w:headerReference w:type="default" r:id="rId9"/>
      <w:footerReference w:type="default" r:id="rId10"/>
      <w:footerReference w:type="first" r:id="rId11"/>
      <w:pgSz w:w="11907" w:h="16840" w:code="9"/>
      <w:pgMar w:top="1134" w:right="964" w:bottom="1134" w:left="181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588" w:rsidRDefault="009D2588" w:rsidP="00DF7D67">
      <w:r>
        <w:separator/>
      </w:r>
    </w:p>
  </w:endnote>
  <w:endnote w:type="continuationSeparator" w:id="0">
    <w:p w:rsidR="009D2588" w:rsidRDefault="009D2588" w:rsidP="00DF7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Pr="00C74719" w:rsidRDefault="009D2588" w:rsidP="00C74719">
    <w:pPr>
      <w:pStyle w:val="a5"/>
      <w:ind w:firstLine="0"/>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Pr="00814406" w:rsidRDefault="009D2588" w:rsidP="00814406">
    <w:pPr>
      <w:pStyle w:val="a5"/>
      <w:ind w:firstLine="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588" w:rsidRDefault="009D2588" w:rsidP="00DF7D67">
      <w:r>
        <w:separator/>
      </w:r>
    </w:p>
  </w:footnote>
  <w:footnote w:type="continuationSeparator" w:id="0">
    <w:p w:rsidR="009D2588" w:rsidRDefault="009D2588" w:rsidP="00DF7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0" w:rsidRDefault="009D2588">
    <w:pPr>
      <w:pStyle w:val="a3"/>
    </w:pPr>
  </w:p>
  <w:p w:rsidR="00DD0CE0" w:rsidRDefault="009D258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D3246"/>
    <w:multiLevelType w:val="hybridMultilevel"/>
    <w:tmpl w:val="CB4EFDDC"/>
    <w:lvl w:ilvl="0" w:tplc="C2B8B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7D67"/>
    <w:rsid w:val="000860F7"/>
    <w:rsid w:val="004B66BB"/>
    <w:rsid w:val="00855CCE"/>
    <w:rsid w:val="00972C57"/>
    <w:rsid w:val="009D2588"/>
    <w:rsid w:val="00DF7D67"/>
    <w:rsid w:val="00F94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D67"/>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F7D67"/>
    <w:pPr>
      <w:keepNext/>
      <w:jc w:val="center"/>
      <w:outlineLvl w:val="4"/>
    </w:pPr>
    <w:rPr>
      <w:rFonts w:ascii="$Caslon" w:hAnsi="$Caslon"/>
      <w:sz w:val="24"/>
      <w:lang/>
    </w:rPr>
  </w:style>
  <w:style w:type="paragraph" w:styleId="8">
    <w:name w:val="heading 8"/>
    <w:basedOn w:val="a"/>
    <w:next w:val="a"/>
    <w:link w:val="80"/>
    <w:qFormat/>
    <w:rsid w:val="00DF7D67"/>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F7D67"/>
    <w:rPr>
      <w:rFonts w:ascii="$Caslon" w:eastAsia="Times New Roman" w:hAnsi="$Caslon" w:cs="Times New Roman"/>
      <w:sz w:val="24"/>
      <w:szCs w:val="20"/>
      <w:lang/>
    </w:rPr>
  </w:style>
  <w:style w:type="character" w:customStyle="1" w:styleId="80">
    <w:name w:val="Заголовок 8 Знак"/>
    <w:basedOn w:val="a0"/>
    <w:link w:val="8"/>
    <w:rsid w:val="00DF7D67"/>
    <w:rPr>
      <w:rFonts w:ascii="$Caslon" w:eastAsia="Times New Roman" w:hAnsi="$Caslon" w:cs="Times New Roman"/>
      <w:b/>
      <w:sz w:val="24"/>
      <w:szCs w:val="20"/>
      <w:lang w:val="en-US"/>
    </w:rPr>
  </w:style>
  <w:style w:type="paragraph" w:styleId="a3">
    <w:name w:val="header"/>
    <w:basedOn w:val="a"/>
    <w:link w:val="a4"/>
    <w:uiPriority w:val="99"/>
    <w:rsid w:val="00DF7D67"/>
    <w:pPr>
      <w:tabs>
        <w:tab w:val="center" w:pos="4677"/>
        <w:tab w:val="right" w:pos="9355"/>
      </w:tabs>
    </w:pPr>
  </w:style>
  <w:style w:type="character" w:customStyle="1" w:styleId="a4">
    <w:name w:val="Верхний колонтитул Знак"/>
    <w:basedOn w:val="a0"/>
    <w:link w:val="a3"/>
    <w:uiPriority w:val="99"/>
    <w:rsid w:val="00DF7D67"/>
    <w:rPr>
      <w:rFonts w:ascii="Times New Roman" w:eastAsia="Times New Roman" w:hAnsi="Times New Roman" w:cs="Times New Roman"/>
      <w:sz w:val="20"/>
      <w:szCs w:val="20"/>
      <w:lang w:val="en-US"/>
    </w:rPr>
  </w:style>
  <w:style w:type="paragraph" w:styleId="a5">
    <w:name w:val="footer"/>
    <w:basedOn w:val="a"/>
    <w:link w:val="a6"/>
    <w:rsid w:val="00DF7D67"/>
    <w:pPr>
      <w:tabs>
        <w:tab w:val="center" w:pos="4677"/>
        <w:tab w:val="right" w:pos="9355"/>
      </w:tabs>
    </w:pPr>
  </w:style>
  <w:style w:type="character" w:customStyle="1" w:styleId="a6">
    <w:name w:val="Нижний колонтитул Знак"/>
    <w:basedOn w:val="a0"/>
    <w:link w:val="a5"/>
    <w:rsid w:val="00DF7D67"/>
    <w:rPr>
      <w:rFonts w:ascii="Times New Roman" w:eastAsia="Times New Roman" w:hAnsi="Times New Roman" w:cs="Times New Roman"/>
      <w:sz w:val="20"/>
      <w:szCs w:val="20"/>
      <w:lang w:val="en-US"/>
    </w:rPr>
  </w:style>
  <w:style w:type="table" w:styleId="a7">
    <w:name w:val="Table Grid"/>
    <w:basedOn w:val="a1"/>
    <w:uiPriority w:val="59"/>
    <w:rsid w:val="00DF7D6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F7D67"/>
    <w:pPr>
      <w:ind w:left="720"/>
      <w:contextualSpacing/>
    </w:pPr>
  </w:style>
  <w:style w:type="character" w:styleId="a9">
    <w:name w:val="Hyperlink"/>
    <w:basedOn w:val="a0"/>
    <w:unhideWhenUsed/>
    <w:rsid w:val="00DF7D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Company>CtrlSoft</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drentadrag</dc:creator>
  <cp:keywords/>
  <dc:description/>
  <cp:lastModifiedBy>drentadrag</cp:lastModifiedBy>
  <cp:revision>2</cp:revision>
  <dcterms:created xsi:type="dcterms:W3CDTF">2018-11-13T11:51:00Z</dcterms:created>
  <dcterms:modified xsi:type="dcterms:W3CDTF">2018-11-13T11:52:00Z</dcterms:modified>
</cp:coreProperties>
</file>