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E0" w:rsidRPr="00FA3DE0" w:rsidRDefault="0040358D" w:rsidP="003333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DE0">
        <w:rPr>
          <w:rFonts w:ascii="Times New Roman" w:hAnsi="Times New Roman" w:cs="Times New Roman"/>
          <w:b/>
          <w:sz w:val="28"/>
          <w:szCs w:val="28"/>
        </w:rPr>
        <w:t xml:space="preserve">Nota </w:t>
      </w:r>
      <w:r w:rsidRP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informativă </w:t>
      </w:r>
      <w:r w:rsidR="00FA3DE0" w:rsidRPr="00FA3DE0">
        <w:rPr>
          <w:rFonts w:ascii="Times New Roman" w:hAnsi="Times New Roman" w:cs="Times New Roman"/>
          <w:b/>
          <w:sz w:val="28"/>
          <w:szCs w:val="28"/>
          <w:lang w:val="ro-RO"/>
        </w:rPr>
        <w:t>la proiectul</w:t>
      </w:r>
    </w:p>
    <w:p w:rsidR="00FA3DE0" w:rsidRPr="00FA3DE0" w:rsidRDefault="00FA3DE0" w:rsidP="003333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FA3DE0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cu privire la modificarea</w:t>
      </w:r>
    </w:p>
    <w:p w:rsidR="0040358D" w:rsidRPr="00FA3DE0" w:rsidRDefault="00A646D0" w:rsidP="003333B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anexei nr. 1 la </w:t>
      </w:r>
      <w:proofErr w:type="spellStart"/>
      <w:r w:rsidR="0040358D" w:rsidRPr="00FA3DE0">
        <w:rPr>
          <w:rFonts w:ascii="Times New Roman" w:hAnsi="Times New Roman" w:cs="Times New Roman"/>
          <w:b/>
          <w:sz w:val="28"/>
          <w:szCs w:val="28"/>
          <w:lang w:val="ro-RO"/>
        </w:rPr>
        <w:t>Hotărîr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ea</w:t>
      </w:r>
      <w:proofErr w:type="spellEnd"/>
      <w:r w:rsidR="0040358D" w:rsidRP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</w:t>
      </w:r>
      <w:r w:rsidR="00FA3D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82</w:t>
      </w:r>
      <w:r w:rsidR="0040358D" w:rsidRPr="00FA3DE0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C74335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40358D" w:rsidRPr="00FA3DE0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09</w:t>
      </w:r>
    </w:p>
    <w:p w:rsidR="00E47F23" w:rsidRPr="009361B9" w:rsidRDefault="00E47F23" w:rsidP="00E47F23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hAnsi="Times New Roman"/>
          <w:iCs/>
          <w:sz w:val="24"/>
          <w:szCs w:val="24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Pr="00E47F23" w:rsidRDefault="00E47F23" w:rsidP="00C0467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hotărârii Guvernului cu privire la modificarea</w:t>
            </w:r>
            <w:r w:rsidR="00A646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anexei nr. 1 la 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646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Hotărărîrea</w:t>
            </w:r>
            <w:proofErr w:type="spellEnd"/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nr. </w:t>
            </w:r>
            <w:r w:rsidR="00A646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820/2009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 cu privire </w:t>
            </w:r>
            <w:r w:rsidR="00A646D0" w:rsidRPr="00A646D0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cu privire la Comisia națională extraordinară de sănătate publică</w:t>
            </w:r>
            <w:r w:rsidR="00A646D0" w:rsidRPr="00A646D0">
              <w:rPr>
                <w:b/>
                <w:bCs/>
                <w:color w:val="000000"/>
                <w:lang w:val="ro-RO"/>
              </w:rPr>
              <w:t xml:space="preserve"> 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(în continuare – proiect)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este elaborat de Ministerul Sănătății, Muncii și Protecției Sociale.</w:t>
            </w:r>
          </w:p>
          <w:p w:rsidR="00E47F23" w:rsidRPr="00E47F23" w:rsidRDefault="00E47F23" w:rsidP="00E47F2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Pr="00E47F23" w:rsidRDefault="00E47F23" w:rsidP="00C0467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prenotat este elaborat în contextul Reformei Administrației Publice Centrale și </w:t>
            </w:r>
            <w:r w:rsidR="00885E4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conformitate cu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Hotărîrea</w:t>
            </w:r>
            <w:proofErr w:type="spellEnd"/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Parlamentului nr. 189 din 29 iulie 2017 pentru aprobarea listei Ministerelor.</w:t>
            </w:r>
          </w:p>
          <w:p w:rsidR="00E47F23" w:rsidRPr="00E47F23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Default="00E47F23" w:rsidP="00E47F23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Prezentul proiect de hotărâre nu contravine legislației UE</w:t>
            </w:r>
            <w:r w:rsidR="003333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E47F23" w:rsidRPr="00E47F23" w:rsidRDefault="00E47F23" w:rsidP="00E47F23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Pr="00491079" w:rsidRDefault="00E47F23" w:rsidP="00C0467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hotărârii </w:t>
            </w:r>
            <w:r w:rsidR="00DF7020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prenotate</w:t>
            </w:r>
            <w:r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stabilește modificarea componenței nominale a 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Comisi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ei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național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e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extraordinar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e</w:t>
            </w:r>
            <w:r w:rsidR="00DF7020" w:rsidRPr="00491079">
              <w:rPr>
                <w:rStyle w:val="docheader"/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de sănătate publică</w:t>
            </w:r>
            <w:r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491079" w:rsidRPr="00491079" w:rsidRDefault="00491079" w:rsidP="00C0467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Misiunea de bază a Comisiei este dea asigura un grad </w:t>
            </w:r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adecvat de pregătire pentru urgenţele de sănătate publică şi managementul acestora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491079" w:rsidRPr="00491079" w:rsidRDefault="00DF7020" w:rsidP="00C04677">
            <w:pPr>
              <w:pStyle w:val="NoSpacing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</w:t>
            </w:r>
            <w:r w:rsid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este </w:t>
            </w:r>
            <w:r w:rsid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investită cu </w:t>
            </w:r>
            <w:r w:rsidR="00491079"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dreptul de adoptare a </w:t>
            </w:r>
            <w:proofErr w:type="spellStart"/>
            <w:r w:rsidR="00491079"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hotărîrilor</w:t>
            </w:r>
            <w:proofErr w:type="spellEnd"/>
            <w:r w:rsidR="00491079"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privind declararea/anularea stării de urgenţă în sănătatea publică, la nivel republican, coordonare a activităţii autorităţilor administraţiei publice centrale, persoanelor fizice şi juridice în scopul prevenirii, diminuării, răspunsului şi lichidării consecinţelor urgenţe</w:t>
            </w:r>
            <w:r w:rsidR="00491079"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lor de sănătate publică. </w:t>
            </w:r>
          </w:p>
          <w:p w:rsidR="00E47F23" w:rsidRPr="00491079" w:rsidRDefault="00491079" w:rsidP="00C0467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Hotărîrile</w:t>
            </w:r>
            <w:proofErr w:type="spellEnd"/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Comisiei naţionale extraordinare de sănătate publică </w:t>
            </w:r>
            <w:proofErr w:type="spellStart"/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sînt</w:t>
            </w:r>
            <w:proofErr w:type="spellEnd"/>
            <w:r w:rsidRPr="0049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executorii pentru autorităţile administraţiei publice centrale şi locale, pentru persoanele fizice şi juridice, indiferent de domeniul de activitate şi forma juridică de organizare</w:t>
            </w:r>
            <w:r w:rsidRPr="0049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 </w:t>
            </w:r>
            <w:r w:rsidRPr="00491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</w:t>
            </w:r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misia</w:t>
            </w:r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include în componenţa sa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și reprezentanții</w:t>
            </w:r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ministerelor şi altor autorităţi </w:t>
            </w:r>
            <w:r w:rsidR="00F329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public</w:t>
            </w:r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 centrale,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</w:t>
            </w:r>
            <w:r w:rsidR="00F329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agauzia</w:t>
            </w:r>
            <w:proofErr w:type="spellEnd"/>
            <w:r w:rsidR="00F329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bookmarkStart w:id="0" w:name="_GoBack"/>
            <w:bookmarkEnd w:id="0"/>
            <w:r w:rsidR="00E47F23" w:rsidRPr="004910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sindicatelor.</w:t>
            </w:r>
          </w:p>
          <w:p w:rsidR="00E47F23" w:rsidRPr="00491079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5. Fundamentarea economico-financiară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Pr="00E47F23" w:rsidRDefault="00E47F23" w:rsidP="00E47F23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E47F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mplementarea prevederilor proiectului nu necesită cheltuieli financiare suplimentare din bugetul de stat.</w:t>
            </w:r>
          </w:p>
          <w:p w:rsidR="00E47F23" w:rsidRPr="00E47F23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C04677" w:rsidP="00C0467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zh-TW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Aprobarea proiectului </w:t>
            </w:r>
            <w:r w:rsidR="003333B1" w:rsidRPr="00E47F23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cu privire la modificarea </w:t>
            </w:r>
            <w:r w:rsidR="00062FD5">
              <w:rPr>
                <w:rFonts w:ascii="Times New Roman" w:hAnsi="Times New Roman" w:cs="Times New Roman"/>
                <w:sz w:val="28"/>
                <w:szCs w:val="28"/>
              </w:rPr>
              <w:t xml:space="preserve">anexei nr. 1 la </w:t>
            </w:r>
            <w:proofErr w:type="spellStart"/>
            <w:r w:rsidR="00062FD5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3333B1" w:rsidRPr="00E47F23">
              <w:rPr>
                <w:rFonts w:ascii="Times New Roman" w:hAnsi="Times New Roman" w:cs="Times New Roman"/>
                <w:sz w:val="28"/>
                <w:szCs w:val="28"/>
              </w:rPr>
              <w:t xml:space="preserve"> Guvernului nr. </w:t>
            </w:r>
            <w:r w:rsidR="00062F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3333B1" w:rsidRPr="00E47F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2F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333B1" w:rsidRPr="00E47F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2FD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33B1" w:rsidRPr="00E47F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nu va </w:t>
            </w:r>
            <w:r w:rsidR="003333B1" w:rsidRPr="003333B1">
              <w:rPr>
                <w:rFonts w:ascii="Times New Roman" w:eastAsia="Times New Roman" w:hAnsi="Times New Roman"/>
                <w:sz w:val="28"/>
                <w:szCs w:val="28"/>
                <w:lang w:val="ro-MO" w:eastAsia="zh-TW" w:bidi="en-US"/>
              </w:rPr>
              <w:t xml:space="preserve">genera modificări și în textul altor </w:t>
            </w:r>
            <w:r w:rsidR="003333B1" w:rsidRPr="003333B1">
              <w:rPr>
                <w:rFonts w:ascii="Times New Roman" w:eastAsia="Times New Roman" w:hAnsi="Times New Roman"/>
                <w:sz w:val="28"/>
                <w:szCs w:val="28"/>
                <w:lang w:val="ro-MO" w:eastAsia="zh-TW" w:bidi="en-US"/>
              </w:rPr>
              <w:lastRenderedPageBreak/>
              <w:t xml:space="preserve">acte </w:t>
            </w:r>
            <w:r w:rsidR="003333B1">
              <w:rPr>
                <w:rFonts w:ascii="Times New Roman" w:eastAsia="Times New Roman" w:hAnsi="Times New Roman"/>
                <w:sz w:val="28"/>
                <w:szCs w:val="28"/>
                <w:lang w:val="ro-MO" w:eastAsia="zh-TW" w:bidi="en-US"/>
              </w:rPr>
              <w:t>normative</w:t>
            </w:r>
            <w:r w:rsidR="003333B1" w:rsidRPr="003333B1">
              <w:rPr>
                <w:rFonts w:ascii="Times New Roman" w:eastAsia="Times New Roman" w:hAnsi="Times New Roman"/>
                <w:sz w:val="28"/>
                <w:szCs w:val="28"/>
                <w:lang w:val="ro-MO" w:eastAsia="zh-TW" w:bidi="en-US"/>
              </w:rPr>
              <w:t>.</w:t>
            </w:r>
          </w:p>
          <w:p w:rsidR="003333B1" w:rsidRPr="00E47F23" w:rsidRDefault="003333B1" w:rsidP="003333B1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F23" w:rsidRPr="009361B9" w:rsidTr="00FC2EDC">
        <w:tc>
          <w:tcPr>
            <w:tcW w:w="5000" w:type="pct"/>
          </w:tcPr>
          <w:p w:rsidR="00E47F23" w:rsidRPr="003333B1" w:rsidRDefault="00E47F23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3B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 Avizarea şi consultarea publică a proiectului</w:t>
            </w:r>
          </w:p>
        </w:tc>
      </w:tr>
      <w:tr w:rsidR="003333B1" w:rsidRPr="009361B9" w:rsidTr="00FC2EDC">
        <w:tc>
          <w:tcPr>
            <w:tcW w:w="5000" w:type="pct"/>
          </w:tcPr>
          <w:p w:rsidR="00062FD5" w:rsidRDefault="00C04677" w:rsidP="00062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</w:t>
            </w:r>
            <w:r w:rsidR="00062FD5">
              <w:rPr>
                <w:rFonts w:ascii="Times New Roman" w:hAnsi="Times New Roman"/>
                <w:sz w:val="28"/>
                <w:szCs w:val="28"/>
                <w:lang w:val="ro-MO"/>
              </w:rPr>
              <w:t>urmează a fi propus spre avizare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și consulta</w:t>
            </w:r>
            <w:r w:rsidR="00062FD5">
              <w:rPr>
                <w:rFonts w:ascii="Times New Roman" w:hAnsi="Times New Roman"/>
                <w:sz w:val="28"/>
                <w:szCs w:val="28"/>
                <w:lang w:val="ro-MO"/>
              </w:rPr>
              <w:t>re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conform procedurii stabilite de </w:t>
            </w:r>
            <w:r w:rsidR="00062FD5">
              <w:rPr>
                <w:rFonts w:ascii="Times New Roman" w:hAnsi="Times New Roman"/>
                <w:sz w:val="28"/>
                <w:szCs w:val="28"/>
                <w:lang w:val="ro-MO"/>
              </w:rPr>
              <w:t>Legea nr. 239/2008 privind transparența în procesul decizional.</w:t>
            </w:r>
            <w:r w:rsidR="003333B1" w:rsidRPr="003333B1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3333B1" w:rsidRPr="003333B1" w:rsidRDefault="003333B1" w:rsidP="00062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</w:p>
        </w:tc>
      </w:tr>
      <w:tr w:rsidR="003333B1" w:rsidRPr="009361B9" w:rsidTr="00FC2EDC">
        <w:tc>
          <w:tcPr>
            <w:tcW w:w="5000" w:type="pct"/>
          </w:tcPr>
          <w:p w:rsidR="003333B1" w:rsidRPr="00EF78A8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F78A8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8. Constatările expertizei anticorupție</w:t>
            </w:r>
          </w:p>
        </w:tc>
      </w:tr>
      <w:tr w:rsidR="003333B1" w:rsidRPr="009361B9" w:rsidTr="00FC2EDC">
        <w:tc>
          <w:tcPr>
            <w:tcW w:w="5000" w:type="pct"/>
          </w:tcPr>
          <w:p w:rsidR="003333B1" w:rsidRPr="00E47F23" w:rsidRDefault="00C04677" w:rsidP="00062FD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</w:t>
            </w:r>
            <w:r w:rsidR="00EF78A8">
              <w:rPr>
                <w:rFonts w:ascii="Times New Roman" w:hAnsi="Times New Roman"/>
                <w:sz w:val="28"/>
                <w:szCs w:val="28"/>
                <w:lang w:val="ro-MO"/>
              </w:rPr>
              <w:t>În conformitate cu art. 28 alin. (2) lit. b) din Legea integrității nr. 82/2017 proiectul nu se supune expertizei anticorupție</w:t>
            </w:r>
            <w:r w:rsidR="00062FD5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</w:tc>
      </w:tr>
      <w:tr w:rsidR="003333B1" w:rsidRPr="009361B9" w:rsidTr="00FC2EDC">
        <w:tc>
          <w:tcPr>
            <w:tcW w:w="5000" w:type="pct"/>
          </w:tcPr>
          <w:p w:rsidR="003333B1" w:rsidRPr="00C04677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C04677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9. Constatările expertizei de compatibilitate</w:t>
            </w:r>
          </w:p>
        </w:tc>
      </w:tr>
      <w:tr w:rsidR="003333B1" w:rsidRPr="009361B9" w:rsidTr="00FC2EDC">
        <w:tc>
          <w:tcPr>
            <w:tcW w:w="5000" w:type="pct"/>
          </w:tcPr>
          <w:p w:rsidR="008219FB" w:rsidRPr="00F93EA0" w:rsidRDefault="008219FB" w:rsidP="0082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Proiectul dat nu cade sub incidența art. 36 </w:t>
            </w:r>
            <w:r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din Legea nr. 100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/</w:t>
            </w:r>
            <w:r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2017 cu privire la actele normative.</w:t>
            </w:r>
          </w:p>
          <w:p w:rsidR="003333B1" w:rsidRPr="008219FB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3333B1" w:rsidRPr="009361B9" w:rsidTr="00FC2EDC">
        <w:tc>
          <w:tcPr>
            <w:tcW w:w="5000" w:type="pct"/>
          </w:tcPr>
          <w:p w:rsidR="003333B1" w:rsidRPr="00F93EA0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F93EA0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10. Constatările expertizei juridice</w:t>
            </w:r>
          </w:p>
        </w:tc>
      </w:tr>
      <w:tr w:rsidR="003333B1" w:rsidRPr="009361B9" w:rsidTr="00FC2EDC">
        <w:tc>
          <w:tcPr>
            <w:tcW w:w="5000" w:type="pct"/>
          </w:tcPr>
          <w:p w:rsidR="00F93EA0" w:rsidRPr="00F93EA0" w:rsidRDefault="00C04677" w:rsidP="00C04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</w:t>
            </w:r>
            <w:r w:rsid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P</w:t>
            </w:r>
            <w:r w:rsidR="00F93EA0"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roiectul </w:t>
            </w:r>
            <w:r w:rsidR="00062F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va fi</w:t>
            </w:r>
            <w:r w:rsidR="00F93EA0"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supus expertizei juridice</w:t>
            </w:r>
            <w:r w:rsidR="00062F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de către Ministerul Justiției în conformitate cu art. </w:t>
            </w:r>
            <w:r w:rsidR="00821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37 </w:t>
            </w:r>
            <w:r w:rsidR="00F93EA0"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din Legea nr. 100</w:t>
            </w:r>
            <w:r w:rsidR="00821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/</w:t>
            </w:r>
            <w:r w:rsidR="00F93EA0" w:rsidRPr="00F93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2017 cu privire la actele normative.</w:t>
            </w:r>
          </w:p>
          <w:p w:rsidR="003333B1" w:rsidRPr="00E47F23" w:rsidRDefault="003333B1" w:rsidP="00C0467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</w:p>
        </w:tc>
      </w:tr>
      <w:tr w:rsidR="003333B1" w:rsidRPr="009361B9" w:rsidTr="00FC2EDC">
        <w:tc>
          <w:tcPr>
            <w:tcW w:w="5000" w:type="pct"/>
          </w:tcPr>
          <w:p w:rsidR="003333B1" w:rsidRPr="00C04677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C04677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11. Constatările altor expertize</w:t>
            </w:r>
          </w:p>
        </w:tc>
      </w:tr>
      <w:tr w:rsidR="003333B1" w:rsidRPr="009361B9" w:rsidTr="00FC2EDC">
        <w:tc>
          <w:tcPr>
            <w:tcW w:w="5000" w:type="pct"/>
          </w:tcPr>
          <w:p w:rsidR="003333B1" w:rsidRPr="00E47F23" w:rsidRDefault="003333B1" w:rsidP="00FC2ED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</w:p>
        </w:tc>
      </w:tr>
    </w:tbl>
    <w:p w:rsidR="00E47F23" w:rsidRPr="009361B9" w:rsidRDefault="00E47F23" w:rsidP="00E47F23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MO"/>
        </w:rPr>
      </w:pPr>
    </w:p>
    <w:p w:rsidR="0040358D" w:rsidRDefault="0040358D" w:rsidP="0040358D"/>
    <w:p w:rsidR="0040358D" w:rsidRDefault="0040358D" w:rsidP="00403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E0">
        <w:rPr>
          <w:rFonts w:ascii="Times New Roman" w:hAnsi="Times New Roman" w:cs="Times New Roman"/>
          <w:b/>
          <w:sz w:val="28"/>
          <w:szCs w:val="28"/>
        </w:rPr>
        <w:t xml:space="preserve">Ministru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A3DE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Svetlana CEBOTARI</w:t>
      </w:r>
    </w:p>
    <w:p w:rsidR="003C01D6" w:rsidRDefault="003C01D6"/>
    <w:sectPr w:rsidR="003C01D6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8D"/>
    <w:rsid w:val="00062FD5"/>
    <w:rsid w:val="000B6CC6"/>
    <w:rsid w:val="001D516B"/>
    <w:rsid w:val="003333B1"/>
    <w:rsid w:val="003C01D6"/>
    <w:rsid w:val="0040358D"/>
    <w:rsid w:val="004502D4"/>
    <w:rsid w:val="00491079"/>
    <w:rsid w:val="0054017C"/>
    <w:rsid w:val="00583CFA"/>
    <w:rsid w:val="008219FB"/>
    <w:rsid w:val="008761A4"/>
    <w:rsid w:val="00885E46"/>
    <w:rsid w:val="00A646D0"/>
    <w:rsid w:val="00C04677"/>
    <w:rsid w:val="00C74335"/>
    <w:rsid w:val="00CD3020"/>
    <w:rsid w:val="00DF7020"/>
    <w:rsid w:val="00E47F23"/>
    <w:rsid w:val="00EF78A8"/>
    <w:rsid w:val="00F329AA"/>
    <w:rsid w:val="00F93EA0"/>
    <w:rsid w:val="00FA3DE0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40358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40358D"/>
  </w:style>
  <w:style w:type="paragraph" w:styleId="NoSpacing">
    <w:name w:val="No Spacing"/>
    <w:uiPriority w:val="1"/>
    <w:qFormat/>
    <w:rsid w:val="00FA3DE0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40358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40358D"/>
  </w:style>
  <w:style w:type="paragraph" w:styleId="NoSpacing">
    <w:name w:val="No Spacing"/>
    <w:uiPriority w:val="1"/>
    <w:qFormat/>
    <w:rsid w:val="00FA3DE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2018-08-17T10:13:00Z</dcterms:created>
  <dcterms:modified xsi:type="dcterms:W3CDTF">2018-08-17T10:31:00Z</dcterms:modified>
</cp:coreProperties>
</file>