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CD0" w:rsidRPr="000C75E2" w:rsidRDefault="004D2CD0" w:rsidP="00413064">
      <w:pPr>
        <w:spacing w:after="0"/>
        <w:jc w:val="center"/>
        <w:rPr>
          <w:rFonts w:ascii="Times New Roman" w:eastAsiaTheme="minorEastAsia" w:hAnsi="Times New Roman"/>
          <w:b/>
          <w:sz w:val="28"/>
          <w:szCs w:val="28"/>
          <w:lang w:val="ro-RO"/>
        </w:rPr>
      </w:pPr>
      <w:r w:rsidRPr="000C75E2">
        <w:rPr>
          <w:rFonts w:ascii="Times New Roman" w:eastAsiaTheme="minorEastAsia" w:hAnsi="Times New Roman"/>
          <w:b/>
          <w:sz w:val="28"/>
          <w:szCs w:val="28"/>
          <w:lang w:val="ro-RO"/>
        </w:rPr>
        <w:t>NOTA INFORMATIVĂ</w:t>
      </w:r>
    </w:p>
    <w:p w:rsidR="004D2CD0" w:rsidRPr="000C75E2" w:rsidRDefault="00E323C8" w:rsidP="00413064">
      <w:pPr>
        <w:spacing w:after="0"/>
        <w:jc w:val="center"/>
        <w:rPr>
          <w:rFonts w:ascii="Times New Roman" w:eastAsiaTheme="minorHAnsi" w:hAnsi="Times New Roman"/>
          <w:b/>
          <w:sz w:val="28"/>
          <w:szCs w:val="28"/>
          <w:lang w:val="ro-MD" w:eastAsia="en-US"/>
        </w:rPr>
      </w:pPr>
      <w:r w:rsidRPr="000C75E2">
        <w:rPr>
          <w:rFonts w:ascii="Times New Roman" w:hAnsi="Times New Roman"/>
          <w:b/>
          <w:sz w:val="28"/>
          <w:szCs w:val="28"/>
          <w:lang w:val="ro-MD"/>
        </w:rPr>
        <w:t>la proiectul hotărâ</w:t>
      </w:r>
      <w:r w:rsidR="006B011B" w:rsidRPr="000C75E2">
        <w:rPr>
          <w:rFonts w:ascii="Times New Roman" w:hAnsi="Times New Roman"/>
          <w:b/>
          <w:sz w:val="28"/>
          <w:szCs w:val="28"/>
          <w:lang w:val="ro-MD"/>
        </w:rPr>
        <w:t xml:space="preserve">rii Guvernului </w:t>
      </w:r>
      <w:r w:rsidR="004D2CD0" w:rsidRPr="000C75E2">
        <w:rPr>
          <w:rFonts w:ascii="Times New Roman" w:eastAsiaTheme="minorHAnsi" w:hAnsi="Times New Roman"/>
          <w:b/>
          <w:sz w:val="28"/>
          <w:szCs w:val="28"/>
          <w:lang w:val="ro-MD" w:eastAsia="en-US"/>
        </w:rPr>
        <w:t>,,</w:t>
      </w:r>
      <w:r w:rsidR="00170B8A" w:rsidRPr="000C75E2">
        <w:rPr>
          <w:sz w:val="28"/>
          <w:szCs w:val="28"/>
          <w:lang w:val="en-US"/>
        </w:rPr>
        <w:t xml:space="preserve"> </w:t>
      </w:r>
      <w:r w:rsidR="00170B8A" w:rsidRPr="000C75E2">
        <w:rPr>
          <w:rFonts w:ascii="Times New Roman" w:eastAsiaTheme="minorHAnsi" w:hAnsi="Times New Roman"/>
          <w:b/>
          <w:sz w:val="28"/>
          <w:szCs w:val="28"/>
          <w:lang w:val="ro-MD" w:eastAsia="en-US"/>
        </w:rPr>
        <w:t>Cu privire la modificarea și completarea Hotăr</w:t>
      </w:r>
      <w:r w:rsidRPr="000C75E2">
        <w:rPr>
          <w:rFonts w:ascii="Times New Roman" w:eastAsiaTheme="minorHAnsi" w:hAnsi="Times New Roman"/>
          <w:b/>
          <w:sz w:val="28"/>
          <w:szCs w:val="28"/>
          <w:lang w:val="ro-MD" w:eastAsia="en-US"/>
        </w:rPr>
        <w:t>â</w:t>
      </w:r>
      <w:r w:rsidR="00170B8A" w:rsidRPr="000C75E2">
        <w:rPr>
          <w:rFonts w:ascii="Times New Roman" w:eastAsiaTheme="minorHAnsi" w:hAnsi="Times New Roman"/>
          <w:b/>
          <w:sz w:val="28"/>
          <w:szCs w:val="28"/>
          <w:lang w:val="ro-MD" w:eastAsia="en-US"/>
        </w:rPr>
        <w:t>rii Guvernului nr.377 din 25 aprilie 2018</w:t>
      </w:r>
      <w:r w:rsidR="004D2CD0" w:rsidRPr="000C75E2">
        <w:rPr>
          <w:rFonts w:ascii="Times New Roman" w:eastAsiaTheme="minorHAnsi" w:hAnsi="Times New Roman"/>
          <w:b/>
          <w:sz w:val="28"/>
          <w:szCs w:val="28"/>
          <w:lang w:val="ro-MD" w:eastAsia="en-US"/>
        </w:rPr>
        <w:t>”</w:t>
      </w:r>
    </w:p>
    <w:p w:rsidR="00DD5CCE" w:rsidRPr="000C75E2" w:rsidRDefault="00DD5CCE" w:rsidP="00413064">
      <w:pPr>
        <w:spacing w:after="0"/>
        <w:jc w:val="center"/>
        <w:rPr>
          <w:rFonts w:ascii="Times New Roman" w:eastAsiaTheme="minorHAnsi" w:hAnsi="Times New Roman"/>
          <w:b/>
          <w:sz w:val="25"/>
          <w:szCs w:val="25"/>
          <w:lang w:val="ro-MD" w:eastAsia="en-US"/>
        </w:rPr>
      </w:pPr>
    </w:p>
    <w:tbl>
      <w:tblPr>
        <w:tblW w:w="5000" w:type="pct"/>
        <w:tblLook w:val="04A0" w:firstRow="1" w:lastRow="0" w:firstColumn="1" w:lastColumn="0" w:noHBand="0" w:noVBand="1"/>
      </w:tblPr>
      <w:tblGrid>
        <w:gridCol w:w="9355"/>
      </w:tblGrid>
      <w:tr w:rsidR="004D2CD0" w:rsidRPr="00837791" w:rsidTr="00517737">
        <w:trPr>
          <w:trHeight w:val="541"/>
        </w:trPr>
        <w:tc>
          <w:tcPr>
            <w:tcW w:w="5000" w:type="pct"/>
            <w:shd w:val="clear" w:color="auto" w:fill="D9D9D9"/>
            <w:hideMark/>
          </w:tcPr>
          <w:p w:rsidR="004D2CD0" w:rsidRPr="000C75E2" w:rsidRDefault="004D2CD0" w:rsidP="00413064">
            <w:pPr>
              <w:pStyle w:val="ListParagraph"/>
              <w:numPr>
                <w:ilvl w:val="0"/>
                <w:numId w:val="1"/>
              </w:numPr>
              <w:spacing w:after="0"/>
              <w:ind w:left="0" w:firstLine="890"/>
              <w:jc w:val="both"/>
              <w:rPr>
                <w:rFonts w:ascii="Times New Roman" w:hAnsi="Times New Roman"/>
                <w:b/>
                <w:sz w:val="25"/>
                <w:szCs w:val="25"/>
                <w:lang w:val="ro-MD" w:eastAsia="en-US"/>
              </w:rPr>
            </w:pPr>
            <w:r w:rsidRPr="000C75E2">
              <w:rPr>
                <w:rFonts w:ascii="Times New Roman" w:hAnsi="Times New Roman"/>
                <w:b/>
                <w:sz w:val="25"/>
                <w:szCs w:val="25"/>
                <w:lang w:val="ro-MD" w:eastAsia="en-US"/>
              </w:rPr>
              <w:t>Denumirea autorului și, după caz, a participanților la elaborarea proiectului</w:t>
            </w:r>
          </w:p>
        </w:tc>
      </w:tr>
      <w:tr w:rsidR="004D2CD0" w:rsidRPr="00837791" w:rsidTr="00517737">
        <w:tc>
          <w:tcPr>
            <w:tcW w:w="5000" w:type="pct"/>
            <w:hideMark/>
          </w:tcPr>
          <w:p w:rsidR="004D2CD0" w:rsidRPr="000C75E2" w:rsidRDefault="00E323C8" w:rsidP="00413064">
            <w:pPr>
              <w:pStyle w:val="NoSpacing"/>
              <w:spacing w:line="276" w:lineRule="auto"/>
              <w:ind w:firstLine="851"/>
              <w:jc w:val="both"/>
              <w:rPr>
                <w:rFonts w:ascii="Times New Roman" w:hAnsi="Times New Roman" w:cs="Times New Roman"/>
                <w:sz w:val="25"/>
                <w:szCs w:val="25"/>
                <w:lang w:val="ro-MD"/>
              </w:rPr>
            </w:pPr>
            <w:r w:rsidRPr="000C75E2">
              <w:rPr>
                <w:rFonts w:ascii="Times New Roman" w:hAnsi="Times New Roman" w:cs="Times New Roman"/>
                <w:sz w:val="25"/>
                <w:szCs w:val="25"/>
                <w:lang w:val="ro-MD"/>
              </w:rPr>
              <w:t>Proiectul hotărâ</w:t>
            </w:r>
            <w:r w:rsidR="004D2CD0" w:rsidRPr="000C75E2">
              <w:rPr>
                <w:rFonts w:ascii="Times New Roman" w:hAnsi="Times New Roman" w:cs="Times New Roman"/>
                <w:sz w:val="25"/>
                <w:szCs w:val="25"/>
                <w:lang w:val="ro-MD"/>
              </w:rPr>
              <w:t xml:space="preserve">rii de Guvern </w:t>
            </w:r>
            <w:r w:rsidR="006B011B" w:rsidRPr="000C75E2">
              <w:rPr>
                <w:rFonts w:ascii="Times New Roman" w:hAnsi="Times New Roman" w:cs="Times New Roman"/>
                <w:sz w:val="25"/>
                <w:szCs w:val="25"/>
                <w:lang w:val="ro-MD"/>
              </w:rPr>
              <w:t>,,</w:t>
            </w:r>
            <w:r w:rsidR="00170B8A" w:rsidRPr="000C75E2">
              <w:rPr>
                <w:rFonts w:ascii="Times New Roman" w:hAnsi="Times New Roman" w:cs="Times New Roman"/>
                <w:sz w:val="25"/>
                <w:szCs w:val="25"/>
                <w:lang w:val="ro-MD"/>
              </w:rPr>
              <w:t>Cu privire la modificarea și completarea Hotăr</w:t>
            </w:r>
            <w:r w:rsidRPr="000C75E2">
              <w:rPr>
                <w:rFonts w:ascii="Times New Roman" w:hAnsi="Times New Roman" w:cs="Times New Roman"/>
                <w:sz w:val="25"/>
                <w:szCs w:val="25"/>
                <w:lang w:val="ro-MD"/>
              </w:rPr>
              <w:t>â</w:t>
            </w:r>
            <w:r w:rsidR="00170B8A" w:rsidRPr="000C75E2">
              <w:rPr>
                <w:rFonts w:ascii="Times New Roman" w:hAnsi="Times New Roman" w:cs="Times New Roman"/>
                <w:sz w:val="25"/>
                <w:szCs w:val="25"/>
                <w:lang w:val="ro-MD"/>
              </w:rPr>
              <w:t xml:space="preserve">rii Guvernului nr.377 din 25 aprilie 2018” </w:t>
            </w:r>
            <w:r w:rsidR="004D2CD0" w:rsidRPr="000C75E2">
              <w:rPr>
                <w:rFonts w:ascii="Times New Roman" w:hAnsi="Times New Roman" w:cs="Times New Roman"/>
                <w:sz w:val="25"/>
                <w:szCs w:val="25"/>
                <w:lang w:val="ro-MD"/>
              </w:rPr>
              <w:t>a fost elaborat de</w:t>
            </w:r>
            <w:r w:rsidR="004D2CD0" w:rsidRPr="000C75E2">
              <w:rPr>
                <w:rFonts w:ascii="Times New Roman" w:hAnsi="Times New Roman" w:cs="Times New Roman"/>
                <w:sz w:val="25"/>
                <w:szCs w:val="25"/>
                <w:lang w:val="fr-FR"/>
              </w:rPr>
              <w:t xml:space="preserve"> c</w:t>
            </w:r>
            <w:proofErr w:type="spellStart"/>
            <w:r w:rsidR="004D2CD0" w:rsidRPr="000C75E2">
              <w:rPr>
                <w:rFonts w:ascii="Times New Roman" w:hAnsi="Times New Roman" w:cs="Times New Roman"/>
                <w:sz w:val="25"/>
                <w:szCs w:val="25"/>
                <w:lang w:val="ro-RO"/>
              </w:rPr>
              <w:t>ătre</w:t>
            </w:r>
            <w:proofErr w:type="spellEnd"/>
            <w:r w:rsidR="004D2CD0" w:rsidRPr="000C75E2">
              <w:rPr>
                <w:rFonts w:ascii="Times New Roman" w:hAnsi="Times New Roman" w:cs="Times New Roman"/>
                <w:sz w:val="25"/>
                <w:szCs w:val="25"/>
                <w:lang w:val="ro-MD"/>
              </w:rPr>
              <w:t xml:space="preserve"> Ministerul Finanțelor. </w:t>
            </w:r>
          </w:p>
          <w:p w:rsidR="00747A3B" w:rsidRPr="000C75E2" w:rsidRDefault="00747A3B" w:rsidP="00413064">
            <w:pPr>
              <w:pStyle w:val="NoSpacing"/>
              <w:spacing w:line="276" w:lineRule="auto"/>
              <w:ind w:firstLine="851"/>
              <w:jc w:val="both"/>
              <w:rPr>
                <w:rFonts w:ascii="Times New Roman" w:hAnsi="Times New Roman" w:cs="Times New Roman"/>
                <w:sz w:val="25"/>
                <w:szCs w:val="25"/>
                <w:lang w:val="ro-MD"/>
              </w:rPr>
            </w:pPr>
          </w:p>
        </w:tc>
      </w:tr>
      <w:tr w:rsidR="004D2CD0" w:rsidRPr="00837791" w:rsidTr="00517737">
        <w:tc>
          <w:tcPr>
            <w:tcW w:w="5000" w:type="pct"/>
            <w:shd w:val="clear" w:color="auto" w:fill="D9D9D9"/>
            <w:hideMark/>
          </w:tcPr>
          <w:p w:rsidR="004D2CD0" w:rsidRPr="000C75E2" w:rsidRDefault="004D2CD0" w:rsidP="00413064">
            <w:pPr>
              <w:pStyle w:val="ListParagraph"/>
              <w:numPr>
                <w:ilvl w:val="0"/>
                <w:numId w:val="1"/>
              </w:numPr>
              <w:tabs>
                <w:tab w:val="left" w:pos="884"/>
              </w:tabs>
              <w:spacing w:after="0"/>
              <w:ind w:left="0" w:firstLine="890"/>
              <w:jc w:val="both"/>
              <w:rPr>
                <w:rFonts w:ascii="Times New Roman" w:hAnsi="Times New Roman"/>
                <w:b/>
                <w:sz w:val="25"/>
                <w:szCs w:val="25"/>
                <w:lang w:val="ro-MD" w:eastAsia="en-US"/>
              </w:rPr>
            </w:pPr>
            <w:r w:rsidRPr="000C75E2">
              <w:rPr>
                <w:rFonts w:ascii="Times New Roman" w:hAnsi="Times New Roman"/>
                <w:b/>
                <w:sz w:val="25"/>
                <w:szCs w:val="25"/>
                <w:lang w:val="ro-MD" w:eastAsia="en-US"/>
              </w:rPr>
              <w:t>Condițiile ce au impus elaborarea proiectului de act normativ și finalitățile urmărite</w:t>
            </w:r>
          </w:p>
        </w:tc>
      </w:tr>
      <w:tr w:rsidR="004D2CD0" w:rsidRPr="00837791" w:rsidTr="00517737">
        <w:tc>
          <w:tcPr>
            <w:tcW w:w="5000" w:type="pct"/>
            <w:hideMark/>
          </w:tcPr>
          <w:p w:rsidR="00985CF7" w:rsidRPr="000C75E2" w:rsidRDefault="00E323C8" w:rsidP="00413064">
            <w:pPr>
              <w:pStyle w:val="NormalWeb"/>
              <w:spacing w:line="276" w:lineRule="auto"/>
              <w:rPr>
                <w:rFonts w:eastAsiaTheme="minorHAnsi"/>
                <w:sz w:val="25"/>
                <w:szCs w:val="25"/>
                <w:lang w:val="ro-MD" w:eastAsia="en-US"/>
              </w:rPr>
            </w:pPr>
            <w:r w:rsidRPr="000C75E2">
              <w:rPr>
                <w:rFonts w:eastAsiaTheme="minorHAnsi"/>
                <w:sz w:val="25"/>
                <w:szCs w:val="25"/>
                <w:lang w:val="ro-MD" w:eastAsia="en-US"/>
              </w:rPr>
              <w:t>Amendarea hotărâ</w:t>
            </w:r>
            <w:r w:rsidR="00EE0C6D" w:rsidRPr="000C75E2">
              <w:rPr>
                <w:rFonts w:eastAsiaTheme="minorHAnsi"/>
                <w:sz w:val="25"/>
                <w:szCs w:val="25"/>
                <w:lang w:val="ro-MD" w:eastAsia="en-US"/>
              </w:rPr>
              <w:t>rii menționate, derivă din necesitatea îmbunătățirii</w:t>
            </w:r>
            <w:r w:rsidR="00E42AA5" w:rsidRPr="000C75E2">
              <w:rPr>
                <w:rFonts w:eastAsiaTheme="minorHAnsi"/>
                <w:sz w:val="25"/>
                <w:szCs w:val="25"/>
                <w:lang w:val="ro-MD" w:eastAsia="en-US"/>
              </w:rPr>
              <w:t xml:space="preserve"> și optimizării </w:t>
            </w:r>
            <w:r w:rsidR="00EE0C6D" w:rsidRPr="000C75E2">
              <w:rPr>
                <w:rFonts w:eastAsiaTheme="minorHAnsi"/>
                <w:sz w:val="25"/>
                <w:szCs w:val="25"/>
                <w:lang w:val="ro-MD" w:eastAsia="en-US"/>
              </w:rPr>
              <w:t>procesului de coordonare a asistenței externe. În acest context</w:t>
            </w:r>
            <w:r w:rsidR="0030362A" w:rsidRPr="000C75E2">
              <w:rPr>
                <w:rFonts w:eastAsiaTheme="minorHAnsi"/>
                <w:sz w:val="25"/>
                <w:szCs w:val="25"/>
                <w:lang w:val="ro-MD" w:eastAsia="en-US"/>
              </w:rPr>
              <w:t>,</w:t>
            </w:r>
            <w:r w:rsidR="00EE0C6D" w:rsidRPr="000C75E2">
              <w:rPr>
                <w:rFonts w:eastAsiaTheme="minorHAnsi"/>
                <w:sz w:val="25"/>
                <w:szCs w:val="25"/>
                <w:lang w:val="ro-MD" w:eastAsia="en-US"/>
              </w:rPr>
              <w:t xml:space="preserve"> se</w:t>
            </w:r>
            <w:r w:rsidR="00985CF7" w:rsidRPr="000C75E2">
              <w:rPr>
                <w:rFonts w:eastAsiaTheme="minorHAnsi"/>
                <w:sz w:val="25"/>
                <w:szCs w:val="25"/>
                <w:lang w:val="ro-MD" w:eastAsia="en-US"/>
              </w:rPr>
              <w:t xml:space="preserve"> propu</w:t>
            </w:r>
            <w:r w:rsidR="00EE0C6D" w:rsidRPr="000C75E2">
              <w:rPr>
                <w:rFonts w:eastAsiaTheme="minorHAnsi"/>
                <w:sz w:val="25"/>
                <w:szCs w:val="25"/>
                <w:lang w:val="ro-MD" w:eastAsia="en-US"/>
              </w:rPr>
              <w:t>n</w:t>
            </w:r>
            <w:r w:rsidR="00985CF7" w:rsidRPr="000C75E2">
              <w:rPr>
                <w:rFonts w:eastAsiaTheme="minorHAnsi"/>
                <w:sz w:val="25"/>
                <w:szCs w:val="25"/>
                <w:lang w:val="ro-MD" w:eastAsia="en-US"/>
              </w:rPr>
              <w:t xml:space="preserve"> următ</w:t>
            </w:r>
            <w:r w:rsidR="00EE0C6D" w:rsidRPr="000C75E2">
              <w:rPr>
                <w:rFonts w:eastAsiaTheme="minorHAnsi"/>
                <w:sz w:val="25"/>
                <w:szCs w:val="25"/>
                <w:lang w:val="ro-MD" w:eastAsia="en-US"/>
              </w:rPr>
              <w:t>oarele modificări și completări.</w:t>
            </w:r>
          </w:p>
          <w:p w:rsidR="0025315A" w:rsidRPr="000C75E2" w:rsidRDefault="0025315A" w:rsidP="00413064">
            <w:pPr>
              <w:pStyle w:val="NormalWeb"/>
              <w:spacing w:line="276" w:lineRule="auto"/>
              <w:rPr>
                <w:rFonts w:eastAsiaTheme="minorHAnsi"/>
                <w:sz w:val="25"/>
                <w:szCs w:val="25"/>
                <w:lang w:val="ro-MD" w:eastAsia="en-US"/>
              </w:rPr>
            </w:pPr>
            <w:r w:rsidRPr="000C75E2">
              <w:rPr>
                <w:rFonts w:eastAsiaTheme="minorHAnsi"/>
                <w:sz w:val="25"/>
                <w:szCs w:val="25"/>
                <w:lang w:val="ro-MD" w:eastAsia="en-US"/>
              </w:rPr>
              <w:t>Un aspect esențial care a condus la elaborarea prezentului proiect de act normativ constituie eliminarea barierelor birocratice care pot tergiversa lansarea proiectelor/programelor noi, dar și facilitarea deciziilor ce țin de extinderea, restructurarea și/sau suspendarea proiectelor/programelor de asistență externă. Proiectul prevede excluderea</w:t>
            </w:r>
            <w:r w:rsidR="000B3635" w:rsidRPr="000C75E2">
              <w:rPr>
                <w:rFonts w:eastAsiaTheme="minorHAnsi"/>
                <w:sz w:val="25"/>
                <w:szCs w:val="25"/>
                <w:lang w:val="ro-MD" w:eastAsia="en-US"/>
              </w:rPr>
              <w:t xml:space="preserve"> platformei de decizie a</w:t>
            </w:r>
            <w:r w:rsidRPr="000C75E2">
              <w:rPr>
                <w:rFonts w:eastAsiaTheme="minorHAnsi"/>
                <w:sz w:val="25"/>
                <w:szCs w:val="25"/>
                <w:lang w:val="ro-MD" w:eastAsia="en-US"/>
              </w:rPr>
              <w:t xml:space="preserve"> Secretarilor generali de stat din procesul de coordonare a asistenței externe. Experiența a demonstrat că</w:t>
            </w:r>
            <w:r w:rsidR="00992811" w:rsidRPr="000C75E2">
              <w:rPr>
                <w:rFonts w:eastAsiaTheme="minorHAnsi"/>
                <w:sz w:val="25"/>
                <w:szCs w:val="25"/>
                <w:lang w:val="ro-MD" w:eastAsia="en-US"/>
              </w:rPr>
              <w:t>,</w:t>
            </w:r>
            <w:r w:rsidRPr="000C75E2">
              <w:rPr>
                <w:rFonts w:eastAsiaTheme="minorHAnsi"/>
                <w:sz w:val="25"/>
                <w:szCs w:val="25"/>
                <w:lang w:val="ro-MD" w:eastAsia="en-US"/>
              </w:rPr>
              <w:t xml:space="preserve"> prevederile pct.29 și 30 din hotărâre nu sunt funcționale</w:t>
            </w:r>
            <w:r w:rsidR="00895366" w:rsidRPr="000C75E2">
              <w:rPr>
                <w:rFonts w:eastAsiaTheme="minorHAnsi"/>
                <w:sz w:val="25"/>
                <w:szCs w:val="25"/>
                <w:lang w:val="ro-MD" w:eastAsia="en-US"/>
              </w:rPr>
              <w:t>, în sensul neasigurării mecanismului participativ al Secretarilor generali de stat</w:t>
            </w:r>
            <w:r w:rsidRPr="000C75E2">
              <w:rPr>
                <w:rFonts w:eastAsiaTheme="minorHAnsi"/>
                <w:sz w:val="25"/>
                <w:szCs w:val="25"/>
                <w:lang w:val="ro-MD" w:eastAsia="en-US"/>
              </w:rPr>
              <w:t xml:space="preserve">. </w:t>
            </w:r>
          </w:p>
          <w:p w:rsidR="0025315A" w:rsidRPr="000C75E2" w:rsidRDefault="0025315A" w:rsidP="00413064">
            <w:pPr>
              <w:pStyle w:val="NormalWeb"/>
              <w:spacing w:line="276" w:lineRule="auto"/>
              <w:rPr>
                <w:rFonts w:eastAsiaTheme="minorHAnsi"/>
                <w:sz w:val="25"/>
                <w:szCs w:val="25"/>
                <w:lang w:val="ro-MD" w:eastAsia="en-US"/>
              </w:rPr>
            </w:pPr>
            <w:r w:rsidRPr="000C75E2">
              <w:rPr>
                <w:rFonts w:eastAsiaTheme="minorHAnsi"/>
                <w:sz w:val="25"/>
                <w:szCs w:val="25"/>
                <w:lang w:val="ro-MD" w:eastAsia="en-US"/>
              </w:rPr>
              <w:t>În acest context, se propune ca deciziile privind extinderea, restructurarea, suspendarea proiectelor/programelor de asistență financiară externă în derulare sau alte modificări necesare pentru a asigura utilizarea durabilă și eficientă a resurselor disponibile se iau de către autoritatea națională de coordonarea asistenței externe, în baza propunerilor argumentate ale coordonatorului sectorial al asistenței externe”; iar deciziile privind extinderea, restructurarea, suspendarea proiectelor/programelor de asistență tehnică externă în derulare sau alte modificări necesare pentru a asigura utilizarea durabilă și eficientă a resurselor disponibile se iau de către Cancelaria de Stat, în baza propunerilor argumentate ale coordonatorului sectorial al asistenței externe”.</w:t>
            </w:r>
          </w:p>
          <w:p w:rsidR="000C6D95" w:rsidRPr="000C75E2" w:rsidRDefault="00EE0C6D" w:rsidP="00413064">
            <w:pPr>
              <w:pStyle w:val="NormalWeb"/>
              <w:spacing w:line="276" w:lineRule="auto"/>
              <w:rPr>
                <w:rFonts w:eastAsiaTheme="minorHAnsi"/>
                <w:sz w:val="25"/>
                <w:szCs w:val="25"/>
                <w:lang w:val="ro-MD" w:eastAsia="en-US"/>
              </w:rPr>
            </w:pPr>
            <w:r w:rsidRPr="000C75E2">
              <w:rPr>
                <w:rFonts w:eastAsiaTheme="minorHAnsi"/>
                <w:sz w:val="25"/>
                <w:szCs w:val="25"/>
                <w:lang w:val="ro-MD" w:eastAsia="en-US"/>
              </w:rPr>
              <w:t>Potrivit Regulamentului cu privire la organizarea și funcționarea Ministerului Finanțelor aprobat prin Hotăr</w:t>
            </w:r>
            <w:r w:rsidR="00E323C8" w:rsidRPr="000C75E2">
              <w:rPr>
                <w:rFonts w:eastAsiaTheme="minorHAnsi"/>
                <w:sz w:val="25"/>
                <w:szCs w:val="25"/>
                <w:lang w:val="ro-MD" w:eastAsia="en-US"/>
              </w:rPr>
              <w:t>â</w:t>
            </w:r>
            <w:r w:rsidRPr="000C75E2">
              <w:rPr>
                <w:rFonts w:eastAsiaTheme="minorHAnsi"/>
                <w:sz w:val="25"/>
                <w:szCs w:val="25"/>
                <w:lang w:val="ro-MD" w:eastAsia="en-US"/>
              </w:rPr>
              <w:t>rea Guvernului nr.696 din 30 august 2017 „Cu privire la organizarea și funcționarea Ministerului Finanțelor”, Ministerului Finanțelor i-au fost transferate competențele, realizate anterior de către Cancelaria de Stat, în domeniul asistenței financiare externe. Întru asigurarea implementării domeniului menționat, în cadrul Ministerului Finanțelor, a fost creată Secția asistență financiară externă în cadrul D</w:t>
            </w:r>
            <w:r w:rsidR="0030362A" w:rsidRPr="000C75E2">
              <w:rPr>
                <w:rFonts w:eastAsiaTheme="minorHAnsi"/>
                <w:sz w:val="25"/>
                <w:szCs w:val="25"/>
                <w:lang w:val="ro-MD" w:eastAsia="en-US"/>
              </w:rPr>
              <w:t>irecției investiții publice și asistență</w:t>
            </w:r>
            <w:r w:rsidRPr="000C75E2">
              <w:rPr>
                <w:rFonts w:eastAsiaTheme="minorHAnsi"/>
                <w:sz w:val="25"/>
                <w:szCs w:val="25"/>
                <w:lang w:val="ro-MD" w:eastAsia="en-US"/>
              </w:rPr>
              <w:t xml:space="preserve"> financiar</w:t>
            </w:r>
            <w:r w:rsidR="0030362A" w:rsidRPr="000C75E2">
              <w:rPr>
                <w:rFonts w:eastAsiaTheme="minorHAnsi"/>
                <w:sz w:val="25"/>
                <w:szCs w:val="25"/>
                <w:lang w:val="ro-MD" w:eastAsia="en-US"/>
              </w:rPr>
              <w:t>ă externă</w:t>
            </w:r>
            <w:r w:rsidRPr="000C75E2">
              <w:rPr>
                <w:rFonts w:eastAsiaTheme="minorHAnsi"/>
                <w:sz w:val="25"/>
                <w:szCs w:val="25"/>
                <w:lang w:val="ro-MD" w:eastAsia="en-US"/>
              </w:rPr>
              <w:t>, cu efectivul de personal în număr de 4</w:t>
            </w:r>
            <w:r w:rsidR="00E323C8" w:rsidRPr="000C75E2">
              <w:rPr>
                <w:rFonts w:eastAsiaTheme="minorHAnsi"/>
                <w:sz w:val="25"/>
                <w:szCs w:val="25"/>
                <w:lang w:val="ro-MD" w:eastAsia="en-US"/>
              </w:rPr>
              <w:t xml:space="preserve"> persoane. Ulterior, prin Hotărâ</w:t>
            </w:r>
            <w:r w:rsidRPr="000C75E2">
              <w:rPr>
                <w:rFonts w:eastAsiaTheme="minorHAnsi"/>
                <w:sz w:val="25"/>
                <w:szCs w:val="25"/>
                <w:lang w:val="ro-MD" w:eastAsia="en-US"/>
              </w:rPr>
              <w:t>rea Guvernului nr.351 din 18 aprilie 2018 „</w:t>
            </w:r>
            <w:r w:rsidR="00E323C8" w:rsidRPr="000C75E2">
              <w:rPr>
                <w:rFonts w:eastAsiaTheme="minorHAnsi"/>
                <w:sz w:val="25"/>
                <w:szCs w:val="25"/>
                <w:lang w:val="ro-MD" w:eastAsia="en-US"/>
              </w:rPr>
              <w:t>Cu privire la modificarea Hotărâ</w:t>
            </w:r>
            <w:r w:rsidRPr="000C75E2">
              <w:rPr>
                <w:rFonts w:eastAsiaTheme="minorHAnsi"/>
                <w:sz w:val="25"/>
                <w:szCs w:val="25"/>
                <w:lang w:val="ro-MD" w:eastAsia="en-US"/>
              </w:rPr>
              <w:t>rii Guvernului nr. 696 din 30 august 2017”</w:t>
            </w:r>
            <w:r w:rsidR="003A35C4" w:rsidRPr="000C75E2">
              <w:rPr>
                <w:rFonts w:eastAsiaTheme="minorHAnsi"/>
                <w:sz w:val="25"/>
                <w:szCs w:val="25"/>
                <w:lang w:val="ro-MD" w:eastAsia="en-US"/>
              </w:rPr>
              <w:t xml:space="preserve"> numărul de unități de personal din cadrul Direcției menționate a fost</w:t>
            </w:r>
            <w:r w:rsidR="00E323C8" w:rsidRPr="000C75E2">
              <w:rPr>
                <w:rFonts w:eastAsiaTheme="minorHAnsi"/>
                <w:sz w:val="25"/>
                <w:szCs w:val="25"/>
                <w:lang w:val="ro-MD" w:eastAsia="en-US"/>
              </w:rPr>
              <w:t xml:space="preserve"> completat cu 5 unități, însă pâ</w:t>
            </w:r>
            <w:r w:rsidR="003A35C4" w:rsidRPr="000C75E2">
              <w:rPr>
                <w:rFonts w:eastAsiaTheme="minorHAnsi"/>
                <w:sz w:val="25"/>
                <w:szCs w:val="25"/>
                <w:lang w:val="ro-MD" w:eastAsia="en-US"/>
              </w:rPr>
              <w:t xml:space="preserve">nă la momentul actual în cadrul </w:t>
            </w:r>
            <w:r w:rsidR="001A3145" w:rsidRPr="000C75E2">
              <w:rPr>
                <w:rFonts w:eastAsiaTheme="minorHAnsi"/>
                <w:sz w:val="25"/>
                <w:szCs w:val="25"/>
                <w:lang w:val="ro-MD" w:eastAsia="en-US"/>
              </w:rPr>
              <w:t>Secției</w:t>
            </w:r>
            <w:r w:rsidR="003A35C4" w:rsidRPr="000C75E2">
              <w:rPr>
                <w:rFonts w:eastAsiaTheme="minorHAnsi"/>
                <w:sz w:val="25"/>
                <w:szCs w:val="25"/>
                <w:lang w:val="ro-MD" w:eastAsia="en-US"/>
              </w:rPr>
              <w:t xml:space="preserve"> activează doar 4 persoane.</w:t>
            </w:r>
          </w:p>
          <w:p w:rsidR="000C6D95" w:rsidRPr="000C75E2" w:rsidRDefault="003A35C4" w:rsidP="00413064">
            <w:pPr>
              <w:pStyle w:val="NormalWeb"/>
              <w:spacing w:line="276" w:lineRule="auto"/>
              <w:rPr>
                <w:rFonts w:eastAsiaTheme="minorHAnsi"/>
                <w:sz w:val="25"/>
                <w:szCs w:val="25"/>
                <w:lang w:val="en-US" w:eastAsia="en-US"/>
              </w:rPr>
            </w:pPr>
            <w:r w:rsidRPr="000C75E2">
              <w:rPr>
                <w:rFonts w:eastAsiaTheme="minorHAnsi"/>
                <w:sz w:val="25"/>
                <w:szCs w:val="25"/>
                <w:lang w:val="ro-MD" w:eastAsia="en-US"/>
              </w:rPr>
              <w:t>În acest context, l</w:t>
            </w:r>
            <w:r w:rsidR="00E323C8" w:rsidRPr="000C75E2">
              <w:rPr>
                <w:rFonts w:eastAsiaTheme="minorHAnsi"/>
                <w:sz w:val="25"/>
                <w:szCs w:val="25"/>
                <w:lang w:val="ro-MD" w:eastAsia="en-US"/>
              </w:rPr>
              <w:t>uâ</w:t>
            </w:r>
            <w:r w:rsidR="00EE0C6D" w:rsidRPr="000C75E2">
              <w:rPr>
                <w:rFonts w:eastAsiaTheme="minorHAnsi"/>
                <w:sz w:val="25"/>
                <w:szCs w:val="25"/>
                <w:lang w:val="ro-MD" w:eastAsia="en-US"/>
              </w:rPr>
              <w:t xml:space="preserve">nd în considerare volumul de lucru evaluat și necesitatea asigurării bunei implementări a obiectivelor propuse de către Guvern se consideră imperativ majorarea </w:t>
            </w:r>
            <w:r w:rsidRPr="000C75E2">
              <w:rPr>
                <w:rFonts w:eastAsiaTheme="minorHAnsi"/>
                <w:sz w:val="25"/>
                <w:szCs w:val="25"/>
                <w:lang w:val="ro-MD" w:eastAsia="en-US"/>
              </w:rPr>
              <w:t>termenului de elaborare a Ghidului operațional privind coordonarea și managementul asistenței externe de la 6 luni la 8 luni</w:t>
            </w:r>
            <w:r w:rsidR="00EE0C6D" w:rsidRPr="000C75E2">
              <w:rPr>
                <w:rFonts w:eastAsiaTheme="minorHAnsi"/>
                <w:sz w:val="25"/>
                <w:szCs w:val="25"/>
                <w:lang w:val="ro-MD" w:eastAsia="en-US"/>
              </w:rPr>
              <w:t>.</w:t>
            </w:r>
            <w:r w:rsidR="00F250D5" w:rsidRPr="000C75E2">
              <w:rPr>
                <w:rFonts w:eastAsiaTheme="minorHAnsi"/>
                <w:sz w:val="25"/>
                <w:szCs w:val="25"/>
                <w:lang w:val="ro-MD" w:eastAsia="en-US"/>
              </w:rPr>
              <w:t xml:space="preserve"> </w:t>
            </w:r>
            <w:r w:rsidR="000C6D95" w:rsidRPr="000C75E2">
              <w:rPr>
                <w:rFonts w:eastAsiaTheme="minorHAnsi"/>
                <w:sz w:val="25"/>
                <w:szCs w:val="25"/>
                <w:lang w:val="ro-MD" w:eastAsia="en-US"/>
              </w:rPr>
              <w:t xml:space="preserve">Totodată, </w:t>
            </w:r>
            <w:r w:rsidR="00296F0C" w:rsidRPr="000C75E2">
              <w:rPr>
                <w:rFonts w:eastAsiaTheme="minorHAnsi"/>
                <w:sz w:val="25"/>
                <w:szCs w:val="25"/>
                <w:lang w:val="ro-MD" w:eastAsia="en-US"/>
              </w:rPr>
              <w:t xml:space="preserve">având în vedere noul cadru normativ în vigoare, accentuăm că, </w:t>
            </w:r>
            <w:r w:rsidR="000C6D95" w:rsidRPr="000C75E2">
              <w:rPr>
                <w:rFonts w:eastAsiaTheme="minorHAnsi"/>
                <w:sz w:val="25"/>
                <w:szCs w:val="25"/>
                <w:lang w:val="ro-MD" w:eastAsia="en-US"/>
              </w:rPr>
              <w:t>Hotărâr</w:t>
            </w:r>
            <w:r w:rsidR="00BA7BC2" w:rsidRPr="000C75E2">
              <w:rPr>
                <w:rFonts w:eastAsiaTheme="minorHAnsi"/>
                <w:sz w:val="25"/>
                <w:szCs w:val="25"/>
                <w:lang w:val="ro-MD" w:eastAsia="en-US"/>
              </w:rPr>
              <w:t>ea</w:t>
            </w:r>
            <w:r w:rsidR="000C6D95" w:rsidRPr="000C75E2">
              <w:rPr>
                <w:rFonts w:eastAsiaTheme="minorHAnsi"/>
                <w:sz w:val="25"/>
                <w:szCs w:val="25"/>
                <w:lang w:val="ro-MD" w:eastAsia="en-US"/>
              </w:rPr>
              <w:t xml:space="preserve"> Guvernului nr.239 din  08.04.2011 „Cu privire la crearea Consiliului Comun de Parteneriat” </w:t>
            </w:r>
            <w:r w:rsidR="00E34CE7" w:rsidRPr="000C75E2">
              <w:rPr>
                <w:rFonts w:eastAsiaTheme="minorHAnsi"/>
                <w:sz w:val="25"/>
                <w:szCs w:val="25"/>
                <w:lang w:val="ro-MD" w:eastAsia="en-US"/>
              </w:rPr>
              <w:t xml:space="preserve">a devenit </w:t>
            </w:r>
            <w:r w:rsidR="000957DD" w:rsidRPr="000C75E2">
              <w:rPr>
                <w:rFonts w:eastAsiaTheme="minorHAnsi"/>
                <w:sz w:val="25"/>
                <w:szCs w:val="25"/>
                <w:lang w:val="ro-MD" w:eastAsia="en-US"/>
              </w:rPr>
              <w:t xml:space="preserve">caducă, astfel, se propune spre abrogare. </w:t>
            </w:r>
          </w:p>
          <w:p w:rsidR="00173FEA" w:rsidRPr="000C75E2" w:rsidRDefault="00173FEA" w:rsidP="00413064">
            <w:pPr>
              <w:pStyle w:val="NormalWeb"/>
              <w:spacing w:line="276" w:lineRule="auto"/>
              <w:rPr>
                <w:bCs/>
                <w:sz w:val="25"/>
                <w:szCs w:val="25"/>
                <w:lang w:val="ro-RO" w:eastAsia="ja-JP"/>
              </w:rPr>
            </w:pPr>
            <w:r w:rsidRPr="000C75E2">
              <w:rPr>
                <w:bCs/>
                <w:sz w:val="25"/>
                <w:szCs w:val="25"/>
                <w:lang w:val="ro-RO" w:eastAsia="ja-JP"/>
              </w:rPr>
              <w:lastRenderedPageBreak/>
              <w:t xml:space="preserve">Totodată, intrarea în vigoare a acestei </w:t>
            </w:r>
            <w:r w:rsidR="00747A3B" w:rsidRPr="000C75E2">
              <w:rPr>
                <w:bCs/>
                <w:sz w:val="25"/>
                <w:szCs w:val="25"/>
                <w:lang w:val="ro-RO" w:eastAsia="ja-JP"/>
              </w:rPr>
              <w:t>h</w:t>
            </w:r>
            <w:r w:rsidRPr="000C75E2">
              <w:rPr>
                <w:bCs/>
                <w:sz w:val="25"/>
                <w:szCs w:val="25"/>
                <w:lang w:val="ro-RO" w:eastAsia="ja-JP"/>
              </w:rPr>
              <w:t xml:space="preserve">otărâri prin derogare de la art.56 alin. (1) „actele normative intră în vigoare peste o lună de la data publicării în Monitorul Oficial al Republicii Moldova sau la data indicată în textul actului normativ” din Legea cu privire la actele normative nr.100 din 22 decembrie 2017, este necesară </w:t>
            </w:r>
            <w:r w:rsidR="00747A3B" w:rsidRPr="000C75E2">
              <w:rPr>
                <w:bCs/>
                <w:sz w:val="25"/>
                <w:szCs w:val="25"/>
                <w:lang w:val="ro-RO" w:eastAsia="ja-JP"/>
              </w:rPr>
              <w:t xml:space="preserve">în vederea </w:t>
            </w:r>
            <w:r w:rsidRPr="000C75E2">
              <w:rPr>
                <w:bCs/>
                <w:sz w:val="25"/>
                <w:szCs w:val="25"/>
                <w:lang w:val="ro-RO" w:eastAsia="ja-JP"/>
              </w:rPr>
              <w:t>asigur</w:t>
            </w:r>
            <w:r w:rsidR="00747A3B" w:rsidRPr="000C75E2">
              <w:rPr>
                <w:bCs/>
                <w:sz w:val="25"/>
                <w:szCs w:val="25"/>
                <w:lang w:val="ro-RO" w:eastAsia="ja-JP"/>
              </w:rPr>
              <w:t>ării</w:t>
            </w:r>
            <w:r w:rsidRPr="000C75E2">
              <w:rPr>
                <w:bCs/>
                <w:sz w:val="25"/>
                <w:szCs w:val="25"/>
                <w:lang w:val="ro-RO" w:eastAsia="ja-JP"/>
              </w:rPr>
              <w:t xml:space="preserve"> implementării imediate a noului proces de coordonare a asistenței externe, cât</w:t>
            </w:r>
            <w:r w:rsidR="00747A3B" w:rsidRPr="000C75E2">
              <w:rPr>
                <w:bCs/>
                <w:sz w:val="25"/>
                <w:szCs w:val="25"/>
                <w:lang w:val="ro-RO" w:eastAsia="ja-JP"/>
              </w:rPr>
              <w:t xml:space="preserve"> și evitării blocajelor instituționale la aspectul</w:t>
            </w:r>
            <w:r w:rsidRPr="000C75E2">
              <w:rPr>
                <w:bCs/>
                <w:sz w:val="25"/>
                <w:szCs w:val="25"/>
                <w:lang w:val="ro-RO" w:eastAsia="ja-JP"/>
              </w:rPr>
              <w:t xml:space="preserve"> luării deciziilor referitor la proiectele de asistență externă </w:t>
            </w:r>
            <w:r w:rsidR="00DD5CCE" w:rsidRPr="000C75E2">
              <w:rPr>
                <w:bCs/>
                <w:sz w:val="25"/>
                <w:szCs w:val="25"/>
                <w:lang w:val="ro-RO" w:eastAsia="ja-JP"/>
              </w:rPr>
              <w:t>în derulare.</w:t>
            </w:r>
            <w:r w:rsidRPr="000C75E2">
              <w:rPr>
                <w:bCs/>
                <w:sz w:val="25"/>
                <w:szCs w:val="25"/>
                <w:lang w:val="ro-RO" w:eastAsia="ja-JP"/>
              </w:rPr>
              <w:t xml:space="preserve"> </w:t>
            </w:r>
          </w:p>
          <w:p w:rsidR="00747A3B" w:rsidRPr="000C75E2" w:rsidRDefault="00295A4F" w:rsidP="003142A3">
            <w:pPr>
              <w:pStyle w:val="NormalWeb"/>
              <w:spacing w:line="276" w:lineRule="auto"/>
              <w:rPr>
                <w:rFonts w:eastAsiaTheme="minorHAnsi"/>
                <w:sz w:val="25"/>
                <w:szCs w:val="25"/>
                <w:lang w:val="ro-MD" w:eastAsia="en-US"/>
              </w:rPr>
            </w:pPr>
            <w:r w:rsidRPr="000C75E2">
              <w:rPr>
                <w:rFonts w:eastAsiaTheme="minorHAnsi"/>
                <w:sz w:val="25"/>
                <w:szCs w:val="25"/>
                <w:lang w:val="ro-MD" w:eastAsia="en-US"/>
              </w:rPr>
              <w:t>Proiectul mai prevede un șir de modificări de ordin</w:t>
            </w:r>
            <w:r w:rsidR="000C6D95" w:rsidRPr="000C75E2">
              <w:rPr>
                <w:rFonts w:eastAsiaTheme="minorHAnsi"/>
                <w:sz w:val="25"/>
                <w:szCs w:val="25"/>
                <w:lang w:val="ro-MD" w:eastAsia="en-US"/>
              </w:rPr>
              <w:t xml:space="preserve"> redacțional și de clarificare. </w:t>
            </w:r>
          </w:p>
        </w:tc>
      </w:tr>
      <w:tr w:rsidR="004D2CD0" w:rsidRPr="000C75E2" w:rsidTr="00517737">
        <w:tc>
          <w:tcPr>
            <w:tcW w:w="5000" w:type="pct"/>
            <w:shd w:val="clear" w:color="auto" w:fill="D9D9D9"/>
            <w:hideMark/>
          </w:tcPr>
          <w:p w:rsidR="004D2CD0" w:rsidRPr="000C75E2" w:rsidRDefault="004D2CD0" w:rsidP="00413064">
            <w:pPr>
              <w:pStyle w:val="ListParagraph"/>
              <w:numPr>
                <w:ilvl w:val="0"/>
                <w:numId w:val="1"/>
              </w:numPr>
              <w:tabs>
                <w:tab w:val="left" w:pos="884"/>
              </w:tabs>
              <w:spacing w:after="0"/>
              <w:ind w:left="0" w:firstLine="890"/>
              <w:jc w:val="both"/>
              <w:rPr>
                <w:rFonts w:ascii="Times New Roman" w:hAnsi="Times New Roman"/>
                <w:b/>
                <w:sz w:val="25"/>
                <w:szCs w:val="25"/>
                <w:lang w:val="ro-MD" w:eastAsia="en-US"/>
              </w:rPr>
            </w:pPr>
            <w:r w:rsidRPr="000C75E2">
              <w:rPr>
                <w:rFonts w:ascii="Times New Roman" w:hAnsi="Times New Roman"/>
                <w:b/>
                <w:sz w:val="25"/>
                <w:szCs w:val="25"/>
                <w:lang w:val="ro-MD" w:eastAsia="en-US"/>
              </w:rPr>
              <w:lastRenderedPageBreak/>
              <w:t xml:space="preserve">Fundamentarea </w:t>
            </w:r>
            <w:proofErr w:type="spellStart"/>
            <w:r w:rsidRPr="000C75E2">
              <w:rPr>
                <w:rFonts w:ascii="Times New Roman" w:hAnsi="Times New Roman"/>
                <w:b/>
                <w:sz w:val="25"/>
                <w:szCs w:val="25"/>
                <w:lang w:val="ro-MD" w:eastAsia="en-US"/>
              </w:rPr>
              <w:t>economico</w:t>
            </w:r>
            <w:proofErr w:type="spellEnd"/>
            <w:r w:rsidRPr="000C75E2">
              <w:rPr>
                <w:rFonts w:ascii="Times New Roman" w:hAnsi="Times New Roman"/>
                <w:b/>
                <w:sz w:val="25"/>
                <w:szCs w:val="25"/>
                <w:lang w:val="ro-MD" w:eastAsia="en-US"/>
              </w:rPr>
              <w:t>-financiară</w:t>
            </w:r>
          </w:p>
        </w:tc>
      </w:tr>
      <w:tr w:rsidR="004D2CD0" w:rsidRPr="00837791" w:rsidTr="00DD5CCE">
        <w:trPr>
          <w:trHeight w:val="679"/>
        </w:trPr>
        <w:tc>
          <w:tcPr>
            <w:tcW w:w="5000" w:type="pct"/>
            <w:hideMark/>
          </w:tcPr>
          <w:p w:rsidR="005D0D6B" w:rsidRPr="000C75E2" w:rsidRDefault="004D2CD0" w:rsidP="00413064">
            <w:pPr>
              <w:spacing w:after="0"/>
              <w:ind w:firstLine="878"/>
              <w:jc w:val="both"/>
              <w:rPr>
                <w:rFonts w:ascii="Times New Roman" w:eastAsiaTheme="minorHAnsi" w:hAnsi="Times New Roman"/>
                <w:sz w:val="25"/>
                <w:szCs w:val="25"/>
                <w:lang w:val="ro-RO" w:eastAsia="en-US"/>
              </w:rPr>
            </w:pPr>
            <w:r w:rsidRPr="000C75E2">
              <w:rPr>
                <w:rFonts w:ascii="Times New Roman" w:eastAsiaTheme="minorHAnsi" w:hAnsi="Times New Roman"/>
                <w:sz w:val="25"/>
                <w:szCs w:val="25"/>
                <w:lang w:val="ro-MD" w:eastAsia="en-US"/>
              </w:rPr>
              <w:t>Adoptarea proiectului de hotăr</w:t>
            </w:r>
            <w:r w:rsidR="00F250D5" w:rsidRPr="000C75E2">
              <w:rPr>
                <w:rFonts w:ascii="Times New Roman" w:eastAsiaTheme="minorHAnsi" w:hAnsi="Times New Roman"/>
                <w:sz w:val="25"/>
                <w:szCs w:val="25"/>
                <w:lang w:val="ro-MD" w:eastAsia="en-US"/>
              </w:rPr>
              <w:t>â</w:t>
            </w:r>
            <w:r w:rsidRPr="000C75E2">
              <w:rPr>
                <w:rFonts w:ascii="Times New Roman" w:eastAsiaTheme="minorHAnsi" w:hAnsi="Times New Roman"/>
                <w:sz w:val="25"/>
                <w:szCs w:val="25"/>
                <w:lang w:val="ro-MD" w:eastAsia="en-US"/>
              </w:rPr>
              <w:t>re nu va implica cheltuieli financiare suplimentare asupra bugetului public național</w:t>
            </w:r>
            <w:r w:rsidRPr="000C75E2">
              <w:rPr>
                <w:rFonts w:ascii="Times New Roman" w:eastAsiaTheme="minorHAnsi" w:hAnsi="Times New Roman"/>
                <w:sz w:val="25"/>
                <w:szCs w:val="25"/>
                <w:lang w:val="ro-RO" w:eastAsia="en-US"/>
              </w:rPr>
              <w:t xml:space="preserve">. </w:t>
            </w:r>
          </w:p>
          <w:p w:rsidR="003142A3" w:rsidRPr="000C75E2" w:rsidRDefault="003142A3" w:rsidP="00413064">
            <w:pPr>
              <w:spacing w:after="0"/>
              <w:ind w:firstLine="878"/>
              <w:jc w:val="both"/>
              <w:rPr>
                <w:rFonts w:ascii="Times New Roman" w:eastAsiaTheme="minorHAnsi" w:hAnsi="Times New Roman"/>
                <w:sz w:val="25"/>
                <w:szCs w:val="25"/>
                <w:lang w:val="ro-RO" w:eastAsia="en-US"/>
              </w:rPr>
            </w:pPr>
          </w:p>
        </w:tc>
      </w:tr>
      <w:tr w:rsidR="004D2CD0" w:rsidRPr="00837791" w:rsidTr="00517737">
        <w:tc>
          <w:tcPr>
            <w:tcW w:w="5000" w:type="pct"/>
            <w:shd w:val="clear" w:color="auto" w:fill="D9D9D9"/>
            <w:hideMark/>
          </w:tcPr>
          <w:p w:rsidR="004D2CD0" w:rsidRPr="000C75E2" w:rsidRDefault="004D2CD0" w:rsidP="00413064">
            <w:pPr>
              <w:pStyle w:val="ListParagraph"/>
              <w:numPr>
                <w:ilvl w:val="0"/>
                <w:numId w:val="1"/>
              </w:numPr>
              <w:tabs>
                <w:tab w:val="left" w:pos="884"/>
              </w:tabs>
              <w:spacing w:after="0"/>
              <w:ind w:left="0" w:firstLine="890"/>
              <w:jc w:val="both"/>
              <w:rPr>
                <w:rFonts w:ascii="Times New Roman" w:hAnsi="Times New Roman"/>
                <w:b/>
                <w:sz w:val="25"/>
                <w:szCs w:val="25"/>
                <w:lang w:val="ro-MD" w:eastAsia="en-US"/>
              </w:rPr>
            </w:pPr>
            <w:r w:rsidRPr="000C75E2">
              <w:rPr>
                <w:rFonts w:ascii="Times New Roman" w:hAnsi="Times New Roman"/>
                <w:b/>
                <w:sz w:val="25"/>
                <w:szCs w:val="25"/>
                <w:lang w:val="ro-MD" w:eastAsia="en-US"/>
              </w:rPr>
              <w:t>Avizarea și consultarea publică a proiectului</w:t>
            </w:r>
          </w:p>
        </w:tc>
      </w:tr>
      <w:tr w:rsidR="004D2CD0" w:rsidRPr="00837791" w:rsidTr="005D0D6B">
        <w:trPr>
          <w:trHeight w:val="1102"/>
        </w:trPr>
        <w:tc>
          <w:tcPr>
            <w:tcW w:w="5000" w:type="pct"/>
            <w:hideMark/>
          </w:tcPr>
          <w:p w:rsidR="004D2CD0" w:rsidRPr="000C75E2" w:rsidRDefault="004D2CD0" w:rsidP="00413064">
            <w:pPr>
              <w:tabs>
                <w:tab w:val="left" w:pos="884"/>
              </w:tabs>
              <w:spacing w:after="0"/>
              <w:ind w:firstLine="890"/>
              <w:jc w:val="both"/>
              <w:rPr>
                <w:rFonts w:ascii="Times New Roman" w:hAnsi="Times New Roman"/>
                <w:sz w:val="25"/>
                <w:szCs w:val="25"/>
                <w:lang w:val="ro-MD" w:eastAsia="en-US"/>
              </w:rPr>
            </w:pPr>
            <w:r w:rsidRPr="000C75E2">
              <w:rPr>
                <w:rFonts w:ascii="Times New Roman" w:hAnsi="Times New Roman"/>
                <w:sz w:val="25"/>
                <w:szCs w:val="25"/>
                <w:lang w:val="ro-MD" w:eastAsia="en-US"/>
              </w:rPr>
              <w:t>În conformi</w:t>
            </w:r>
            <w:r w:rsidR="00DF6239" w:rsidRPr="000C75E2">
              <w:rPr>
                <w:rFonts w:ascii="Times New Roman" w:hAnsi="Times New Roman"/>
                <w:sz w:val="25"/>
                <w:szCs w:val="25"/>
                <w:lang w:val="ro-MD" w:eastAsia="en-US"/>
              </w:rPr>
              <w:t xml:space="preserve">tate cu prevederile Legii nr.100 </w:t>
            </w:r>
            <w:r w:rsidRPr="000C75E2">
              <w:rPr>
                <w:rFonts w:ascii="Times New Roman" w:hAnsi="Times New Roman"/>
                <w:sz w:val="25"/>
                <w:szCs w:val="25"/>
                <w:lang w:val="ro-MD" w:eastAsia="en-US"/>
              </w:rPr>
              <w:t xml:space="preserve">din </w:t>
            </w:r>
            <w:r w:rsidR="00DF6239" w:rsidRPr="000C75E2">
              <w:rPr>
                <w:rFonts w:ascii="Times New Roman" w:hAnsi="Times New Roman"/>
                <w:sz w:val="25"/>
                <w:szCs w:val="25"/>
                <w:lang w:val="ro-MD" w:eastAsia="en-US"/>
              </w:rPr>
              <w:t>22.12.2017</w:t>
            </w:r>
            <w:r w:rsidRPr="000C75E2">
              <w:rPr>
                <w:rFonts w:ascii="Times New Roman" w:hAnsi="Times New Roman"/>
                <w:sz w:val="25"/>
                <w:szCs w:val="25"/>
                <w:lang w:val="ro-MD" w:eastAsia="en-US"/>
              </w:rPr>
              <w:t xml:space="preserve"> </w:t>
            </w:r>
            <w:r w:rsidR="00DF6239" w:rsidRPr="000C75E2">
              <w:rPr>
                <w:rFonts w:ascii="Times New Roman" w:hAnsi="Times New Roman"/>
                <w:color w:val="000000"/>
                <w:sz w:val="25"/>
                <w:szCs w:val="25"/>
                <w:shd w:val="clear" w:color="auto" w:fill="FFFFFF"/>
                <w:lang w:val="ro-MD" w:eastAsia="en-US"/>
              </w:rPr>
              <w:t>cu privire la</w:t>
            </w:r>
            <w:r w:rsidRPr="000C75E2">
              <w:rPr>
                <w:rFonts w:ascii="Times New Roman" w:hAnsi="Times New Roman"/>
                <w:color w:val="000000"/>
                <w:sz w:val="25"/>
                <w:szCs w:val="25"/>
                <w:shd w:val="clear" w:color="auto" w:fill="FFFFFF"/>
                <w:lang w:val="ro-MD" w:eastAsia="en-US"/>
              </w:rPr>
              <w:t xml:space="preserve"> actele normative</w:t>
            </w:r>
            <w:r w:rsidRPr="000C75E2">
              <w:rPr>
                <w:rFonts w:ascii="Times New Roman" w:hAnsi="Times New Roman"/>
                <w:sz w:val="25"/>
                <w:szCs w:val="25"/>
                <w:lang w:val="ro-MD" w:eastAsia="en-US"/>
              </w:rPr>
              <w:t>, Ministerul Fina</w:t>
            </w:r>
            <w:r w:rsidR="00F250D5" w:rsidRPr="000C75E2">
              <w:rPr>
                <w:rFonts w:ascii="Times New Roman" w:hAnsi="Times New Roman"/>
                <w:sz w:val="25"/>
                <w:szCs w:val="25"/>
                <w:lang w:val="ro-MD" w:eastAsia="en-US"/>
              </w:rPr>
              <w:t>nțelor prezintă proiectul hotărâ</w:t>
            </w:r>
            <w:r w:rsidRPr="000C75E2">
              <w:rPr>
                <w:rFonts w:ascii="Times New Roman" w:hAnsi="Times New Roman"/>
                <w:sz w:val="25"/>
                <w:szCs w:val="25"/>
                <w:lang w:val="ro-MD" w:eastAsia="en-US"/>
              </w:rPr>
              <w:t>rii de Guvern pentru avizare și consultare publică.</w:t>
            </w:r>
          </w:p>
        </w:tc>
      </w:tr>
    </w:tbl>
    <w:p w:rsidR="00837791" w:rsidRDefault="004D2CD0" w:rsidP="00413064">
      <w:pPr>
        <w:pStyle w:val="NoSpacing"/>
        <w:spacing w:line="276" w:lineRule="auto"/>
        <w:jc w:val="both"/>
        <w:rPr>
          <w:rFonts w:ascii="Times New Roman" w:hAnsi="Times New Roman" w:cs="Times New Roman"/>
          <w:sz w:val="25"/>
          <w:szCs w:val="25"/>
          <w:lang w:val="ro-MD"/>
        </w:rPr>
      </w:pPr>
      <w:r w:rsidRPr="000C75E2">
        <w:rPr>
          <w:rFonts w:ascii="Times New Roman" w:hAnsi="Times New Roman" w:cs="Times New Roman"/>
          <w:sz w:val="25"/>
          <w:szCs w:val="25"/>
          <w:lang w:val="ro-MD"/>
        </w:rPr>
        <w:tab/>
      </w:r>
    </w:p>
    <w:p w:rsidR="00837791" w:rsidRDefault="00837791" w:rsidP="00413064">
      <w:pPr>
        <w:pStyle w:val="NoSpacing"/>
        <w:spacing w:line="276" w:lineRule="auto"/>
        <w:jc w:val="both"/>
        <w:rPr>
          <w:rFonts w:ascii="Times New Roman" w:hAnsi="Times New Roman" w:cs="Times New Roman"/>
          <w:sz w:val="25"/>
          <w:szCs w:val="25"/>
          <w:lang w:val="ro-MD"/>
        </w:rPr>
      </w:pPr>
    </w:p>
    <w:p w:rsidR="004D2CD0" w:rsidRPr="00DD5CCE" w:rsidRDefault="004D2CD0" w:rsidP="00837791">
      <w:pPr>
        <w:pStyle w:val="NoSpacing"/>
        <w:spacing w:line="276" w:lineRule="auto"/>
        <w:jc w:val="center"/>
        <w:rPr>
          <w:rFonts w:ascii="Times New Roman" w:hAnsi="Times New Roman" w:cs="Times New Roman"/>
          <w:b/>
          <w:sz w:val="25"/>
          <w:szCs w:val="25"/>
          <w:lang w:val="ro-MD"/>
        </w:rPr>
      </w:pPr>
      <w:r w:rsidRPr="000C75E2">
        <w:rPr>
          <w:rFonts w:ascii="Times New Roman" w:hAnsi="Times New Roman" w:cs="Times New Roman"/>
          <w:b/>
          <w:sz w:val="25"/>
          <w:szCs w:val="25"/>
          <w:lang w:val="ro-MD"/>
        </w:rPr>
        <w:t xml:space="preserve">MINISTRU                     </w:t>
      </w:r>
      <w:r w:rsidR="00895366" w:rsidRPr="000C75E2">
        <w:rPr>
          <w:rFonts w:ascii="Times New Roman" w:hAnsi="Times New Roman" w:cs="Times New Roman"/>
          <w:b/>
          <w:sz w:val="25"/>
          <w:szCs w:val="25"/>
          <w:lang w:val="ro-MD"/>
        </w:rPr>
        <w:tab/>
      </w:r>
      <w:r w:rsidR="00895366" w:rsidRPr="000C75E2">
        <w:rPr>
          <w:rFonts w:ascii="Times New Roman" w:hAnsi="Times New Roman" w:cs="Times New Roman"/>
          <w:b/>
          <w:sz w:val="25"/>
          <w:szCs w:val="25"/>
          <w:lang w:val="ro-MD"/>
        </w:rPr>
        <w:tab/>
      </w:r>
      <w:r w:rsidRPr="000C75E2">
        <w:rPr>
          <w:rFonts w:ascii="Times New Roman" w:hAnsi="Times New Roman" w:cs="Times New Roman"/>
          <w:b/>
          <w:sz w:val="25"/>
          <w:szCs w:val="25"/>
          <w:lang w:val="ro-MD"/>
        </w:rPr>
        <w:t xml:space="preserve">                </w:t>
      </w:r>
      <w:bookmarkStart w:id="0" w:name="_GoBack"/>
      <w:bookmarkEnd w:id="0"/>
      <w:r w:rsidRPr="000C75E2">
        <w:rPr>
          <w:rFonts w:ascii="Times New Roman" w:hAnsi="Times New Roman" w:cs="Times New Roman"/>
          <w:b/>
          <w:sz w:val="25"/>
          <w:szCs w:val="25"/>
          <w:lang w:val="ro-MD"/>
        </w:rPr>
        <w:t xml:space="preserve">           Octavian ARMAȘU</w:t>
      </w:r>
    </w:p>
    <w:sectPr w:rsidR="004D2CD0" w:rsidRPr="00DD5CCE" w:rsidSect="00DD5CCE">
      <w:pgSz w:w="11906" w:h="16838"/>
      <w:pgMar w:top="709" w:right="850"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E556B0"/>
    <w:multiLevelType w:val="hybridMultilevel"/>
    <w:tmpl w:val="DAE4F892"/>
    <w:lvl w:ilvl="0" w:tplc="0409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 w15:restartNumberingAfterBreak="0">
    <w:nsid w:val="3C792C84"/>
    <w:multiLevelType w:val="hybridMultilevel"/>
    <w:tmpl w:val="EC3C525A"/>
    <w:lvl w:ilvl="0" w:tplc="FF9459C2">
      <w:start w:val="1"/>
      <w:numFmt w:val="lowerLett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15:restartNumberingAfterBreak="0">
    <w:nsid w:val="40A36428"/>
    <w:multiLevelType w:val="hybridMultilevel"/>
    <w:tmpl w:val="583A0A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CD0"/>
    <w:rsid w:val="000957DD"/>
    <w:rsid w:val="000B3635"/>
    <w:rsid w:val="000C6D95"/>
    <w:rsid w:val="000C75E2"/>
    <w:rsid w:val="00170B8A"/>
    <w:rsid w:val="00173FEA"/>
    <w:rsid w:val="001903F9"/>
    <w:rsid w:val="001A0B77"/>
    <w:rsid w:val="001A3145"/>
    <w:rsid w:val="0025315A"/>
    <w:rsid w:val="00295A4F"/>
    <w:rsid w:val="00296F0C"/>
    <w:rsid w:val="002B1F74"/>
    <w:rsid w:val="0030362A"/>
    <w:rsid w:val="003142A3"/>
    <w:rsid w:val="00367C5E"/>
    <w:rsid w:val="003A35C4"/>
    <w:rsid w:val="003C2131"/>
    <w:rsid w:val="00413064"/>
    <w:rsid w:val="004D2CD0"/>
    <w:rsid w:val="005504AB"/>
    <w:rsid w:val="005D0D6B"/>
    <w:rsid w:val="00615211"/>
    <w:rsid w:val="0061593E"/>
    <w:rsid w:val="0065470C"/>
    <w:rsid w:val="006B011B"/>
    <w:rsid w:val="006F6CFA"/>
    <w:rsid w:val="00747A3B"/>
    <w:rsid w:val="007C0F49"/>
    <w:rsid w:val="00837791"/>
    <w:rsid w:val="00895366"/>
    <w:rsid w:val="008E7074"/>
    <w:rsid w:val="009443D2"/>
    <w:rsid w:val="00985CF7"/>
    <w:rsid w:val="00992811"/>
    <w:rsid w:val="009B46DE"/>
    <w:rsid w:val="00B00FEA"/>
    <w:rsid w:val="00B2096E"/>
    <w:rsid w:val="00BA7BC2"/>
    <w:rsid w:val="00C67402"/>
    <w:rsid w:val="00DD5CCE"/>
    <w:rsid w:val="00DF6239"/>
    <w:rsid w:val="00E323C8"/>
    <w:rsid w:val="00E34CE7"/>
    <w:rsid w:val="00E42AA5"/>
    <w:rsid w:val="00EA16FC"/>
    <w:rsid w:val="00EC3CC4"/>
    <w:rsid w:val="00EE0C6D"/>
    <w:rsid w:val="00F25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EA97E"/>
  <w15:chartTrackingRefBased/>
  <w15:docId w15:val="{F9ED1657-CC65-447E-9C97-6222B8E29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2CD0"/>
    <w:pPr>
      <w:spacing w:after="200" w:line="276" w:lineRule="auto"/>
    </w:pPr>
    <w:rPr>
      <w:rFonts w:ascii="Calibri" w:eastAsia="Times New Roman" w:hAnsi="Calibri" w:cs="Times New Roman"/>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2CD0"/>
    <w:pPr>
      <w:spacing w:after="0" w:line="240" w:lineRule="auto"/>
    </w:pPr>
    <w:rPr>
      <w:lang w:val="ru-RU"/>
    </w:rPr>
  </w:style>
  <w:style w:type="paragraph" w:styleId="ListParagraph">
    <w:name w:val="List Paragraph"/>
    <w:basedOn w:val="Normal"/>
    <w:uiPriority w:val="34"/>
    <w:qFormat/>
    <w:rsid w:val="004D2CD0"/>
    <w:pPr>
      <w:ind w:left="720"/>
      <w:contextualSpacing/>
    </w:pPr>
  </w:style>
  <w:style w:type="paragraph" w:customStyle="1" w:styleId="cb">
    <w:name w:val="cb"/>
    <w:basedOn w:val="Normal"/>
    <w:rsid w:val="004D2CD0"/>
    <w:pPr>
      <w:spacing w:after="0" w:line="240" w:lineRule="auto"/>
      <w:jc w:val="center"/>
    </w:pPr>
    <w:rPr>
      <w:rFonts w:ascii="Times New Roman" w:eastAsiaTheme="minorEastAsia" w:hAnsi="Times New Roman"/>
      <w:b/>
      <w:bCs/>
      <w:sz w:val="24"/>
      <w:szCs w:val="24"/>
    </w:rPr>
  </w:style>
  <w:style w:type="paragraph" w:styleId="NormalWeb">
    <w:name w:val="Normal (Web)"/>
    <w:basedOn w:val="Normal"/>
    <w:uiPriority w:val="99"/>
    <w:unhideWhenUsed/>
    <w:rsid w:val="004D2CD0"/>
    <w:pPr>
      <w:spacing w:after="0" w:line="240" w:lineRule="auto"/>
      <w:ind w:firstLine="567"/>
      <w:jc w:val="both"/>
    </w:pPr>
    <w:rPr>
      <w:rFonts w:ascii="Times New Roman" w:eastAsiaTheme="minorEastAsia" w:hAnsi="Times New Roman"/>
      <w:sz w:val="24"/>
      <w:szCs w:val="24"/>
    </w:rPr>
  </w:style>
  <w:style w:type="paragraph" w:styleId="BalloonText">
    <w:name w:val="Balloon Text"/>
    <w:basedOn w:val="Normal"/>
    <w:link w:val="BalloonTextChar"/>
    <w:uiPriority w:val="99"/>
    <w:semiHidden/>
    <w:unhideWhenUsed/>
    <w:rsid w:val="003036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62A"/>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Pages>
  <Words>696</Words>
  <Characters>3969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Caraus</dc:creator>
  <cp:keywords/>
  <dc:description/>
  <cp:lastModifiedBy>Irina Babuci</cp:lastModifiedBy>
  <cp:revision>59</cp:revision>
  <cp:lastPrinted>2018-08-15T07:51:00Z</cp:lastPrinted>
  <dcterms:created xsi:type="dcterms:W3CDTF">2018-08-03T06:59:00Z</dcterms:created>
  <dcterms:modified xsi:type="dcterms:W3CDTF">2018-08-15T07:51:00Z</dcterms:modified>
</cp:coreProperties>
</file>