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9" w:rsidRPr="00504541" w:rsidRDefault="001222CF" w:rsidP="00453CE9">
      <w:pPr>
        <w:pStyle w:val="tt"/>
        <w:jc w:val="righ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P</w:t>
      </w:r>
      <w:r w:rsidR="00453CE9" w:rsidRPr="00504541">
        <w:rPr>
          <w:b w:val="0"/>
          <w:i/>
          <w:sz w:val="28"/>
          <w:szCs w:val="28"/>
        </w:rPr>
        <w:t>roiect</w:t>
      </w: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4541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4541">
        <w:rPr>
          <w:rFonts w:ascii="Times New Roman" w:hAnsi="Times New Roman"/>
          <w:b/>
          <w:sz w:val="28"/>
          <w:szCs w:val="28"/>
          <w:lang w:val="ro-RO"/>
        </w:rPr>
        <w:t>HOTĂRÎRE nr.______</w:t>
      </w: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04541">
        <w:rPr>
          <w:rFonts w:ascii="Times New Roman" w:hAnsi="Times New Roman"/>
          <w:b/>
          <w:sz w:val="28"/>
          <w:szCs w:val="28"/>
          <w:lang w:val="ro-RO"/>
        </w:rPr>
        <w:t>din</w:t>
      </w:r>
      <w:r w:rsidRPr="00504541">
        <w:rPr>
          <w:rFonts w:ascii="Times New Roman" w:hAnsi="Times New Roman"/>
          <w:b/>
          <w:sz w:val="26"/>
          <w:szCs w:val="26"/>
          <w:lang w:val="ro-RO"/>
        </w:rPr>
        <w:t xml:space="preserve"> ____________________</w:t>
      </w: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453CE9" w:rsidRPr="00504541" w:rsidRDefault="00453CE9" w:rsidP="00453CE9">
      <w:pPr>
        <w:pStyle w:val="a5"/>
        <w:ind w:left="-567" w:firstLine="567"/>
        <w:jc w:val="center"/>
        <w:rPr>
          <w:rFonts w:ascii="Times New Roman" w:hAnsi="Times New Roman"/>
          <w:b/>
          <w:sz w:val="26"/>
          <w:szCs w:val="26"/>
          <w:vertAlign w:val="superscript"/>
          <w:lang w:val="ro-RO"/>
        </w:rPr>
      </w:pPr>
      <w:r w:rsidRPr="00504541">
        <w:rPr>
          <w:rFonts w:ascii="Times New Roman" w:hAnsi="Times New Roman"/>
          <w:b/>
          <w:sz w:val="26"/>
          <w:szCs w:val="26"/>
          <w:vertAlign w:val="superscript"/>
          <w:lang w:val="ro-RO"/>
        </w:rPr>
        <w:t>Chișinău</w:t>
      </w:r>
    </w:p>
    <w:p w:rsidR="00453CE9" w:rsidRPr="00504541" w:rsidRDefault="00453CE9" w:rsidP="00453CE9">
      <w:pPr>
        <w:pStyle w:val="tt"/>
        <w:jc w:val="left"/>
        <w:rPr>
          <w:sz w:val="28"/>
          <w:szCs w:val="28"/>
        </w:rPr>
      </w:pPr>
    </w:p>
    <w:p w:rsidR="00453CE9" w:rsidRPr="00504541" w:rsidRDefault="00332CAB" w:rsidP="00453CE9">
      <w:pPr>
        <w:pStyle w:val="t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c</w:t>
      </w:r>
      <w:r w:rsidR="00453CE9" w:rsidRPr="00504541">
        <w:rPr>
          <w:sz w:val="28"/>
          <w:szCs w:val="28"/>
        </w:rPr>
        <w:t xml:space="preserve">u privire la modificarea </w:t>
      </w:r>
      <w:proofErr w:type="spellStart"/>
      <w:r w:rsidR="00453CE9" w:rsidRPr="00504541">
        <w:rPr>
          <w:sz w:val="28"/>
          <w:szCs w:val="28"/>
        </w:rPr>
        <w:t>Hotărîrii</w:t>
      </w:r>
      <w:proofErr w:type="spellEnd"/>
      <w:r w:rsidR="00453CE9" w:rsidRPr="00504541">
        <w:rPr>
          <w:sz w:val="28"/>
          <w:szCs w:val="28"/>
        </w:rPr>
        <w:t xml:space="preserve"> Guvernului</w:t>
      </w:r>
    </w:p>
    <w:p w:rsidR="00453CE9" w:rsidRPr="00504541" w:rsidRDefault="00790C4A" w:rsidP="00453CE9">
      <w:pPr>
        <w:pStyle w:val="tt"/>
        <w:rPr>
          <w:sz w:val="28"/>
          <w:szCs w:val="28"/>
        </w:rPr>
      </w:pPr>
      <w:r>
        <w:rPr>
          <w:sz w:val="28"/>
          <w:szCs w:val="28"/>
        </w:rPr>
        <w:t>nr.</w:t>
      </w:r>
      <w:r w:rsidRPr="00790C4A">
        <w:t xml:space="preserve"> </w:t>
      </w:r>
      <w:r w:rsidRPr="00790C4A">
        <w:rPr>
          <w:sz w:val="28"/>
          <w:szCs w:val="28"/>
        </w:rPr>
        <w:t>247 din 21 martie 2018</w:t>
      </w:r>
    </w:p>
    <w:bookmarkEnd w:id="0"/>
    <w:p w:rsidR="00453CE9" w:rsidRPr="00504541" w:rsidRDefault="00453CE9" w:rsidP="00453CE9">
      <w:pPr>
        <w:pStyle w:val="tt"/>
        <w:rPr>
          <w:sz w:val="28"/>
          <w:szCs w:val="28"/>
        </w:rPr>
      </w:pPr>
    </w:p>
    <w:p w:rsidR="00453CE9" w:rsidRPr="00FA078E" w:rsidRDefault="00453CE9" w:rsidP="007C1002">
      <w:pPr>
        <w:pStyle w:val="tt"/>
        <w:spacing w:line="276" w:lineRule="auto"/>
        <w:jc w:val="both"/>
        <w:rPr>
          <w:b w:val="0"/>
          <w:sz w:val="28"/>
          <w:szCs w:val="28"/>
        </w:rPr>
      </w:pPr>
      <w:r w:rsidRPr="00FA078E">
        <w:rPr>
          <w:rFonts w:eastAsia="Times New Roman"/>
          <w:b w:val="0"/>
          <w:sz w:val="28"/>
          <w:szCs w:val="28"/>
        </w:rPr>
        <w:t xml:space="preserve">În temeiul </w:t>
      </w:r>
      <w:r w:rsidR="00790C4A" w:rsidRPr="00790C4A">
        <w:rPr>
          <w:rFonts w:eastAsia="Times New Roman"/>
          <w:b w:val="0"/>
          <w:sz w:val="28"/>
          <w:szCs w:val="28"/>
        </w:rPr>
        <w:t xml:space="preserve">art. 3 lit. b) a Legii nr.101 din 07 iunie 2018 „cu privire la modificarea și completarea Legii bugetului de stat </w:t>
      </w:r>
      <w:r w:rsidR="00790C4A">
        <w:rPr>
          <w:rFonts w:eastAsia="Times New Roman"/>
          <w:b w:val="0"/>
          <w:sz w:val="28"/>
          <w:szCs w:val="28"/>
        </w:rPr>
        <w:t xml:space="preserve">pentru anul 2018 nr. 289/2017” </w:t>
      </w:r>
      <w:r w:rsidRPr="00FA078E">
        <w:rPr>
          <w:rFonts w:eastAsia="Times New Roman"/>
          <w:b w:val="0"/>
          <w:sz w:val="28"/>
          <w:szCs w:val="28"/>
        </w:rPr>
        <w:t>(Monitorul Of</w:t>
      </w:r>
      <w:r w:rsidR="00790C4A">
        <w:rPr>
          <w:rFonts w:eastAsia="Times New Roman"/>
          <w:b w:val="0"/>
          <w:sz w:val="28"/>
          <w:szCs w:val="28"/>
        </w:rPr>
        <w:t>icial al Republicii Moldova 2018, nr. 210-223, art. 356</w:t>
      </w:r>
      <w:r w:rsidRPr="00FA078E">
        <w:rPr>
          <w:rFonts w:eastAsia="Times New Roman"/>
          <w:b w:val="0"/>
          <w:sz w:val="28"/>
          <w:szCs w:val="28"/>
        </w:rPr>
        <w:t xml:space="preserve">), </w:t>
      </w:r>
      <w:r w:rsidRPr="00FA078E">
        <w:rPr>
          <w:b w:val="0"/>
          <w:sz w:val="28"/>
          <w:szCs w:val="28"/>
        </w:rPr>
        <w:t xml:space="preserve">Guvernul </w:t>
      </w:r>
      <w:r w:rsidRPr="007D127F">
        <w:rPr>
          <w:b w:val="0"/>
          <w:sz w:val="28"/>
          <w:szCs w:val="28"/>
        </w:rPr>
        <w:t>HOTĂRĂȘTE:</w:t>
      </w:r>
    </w:p>
    <w:p w:rsidR="005F5B7D" w:rsidRPr="00FA078E" w:rsidRDefault="005F5B7D" w:rsidP="007C1002">
      <w:pPr>
        <w:pStyle w:val="tt"/>
        <w:spacing w:line="276" w:lineRule="auto"/>
        <w:jc w:val="both"/>
        <w:rPr>
          <w:b w:val="0"/>
          <w:sz w:val="28"/>
          <w:szCs w:val="28"/>
        </w:rPr>
      </w:pPr>
    </w:p>
    <w:p w:rsidR="00FA078E" w:rsidRDefault="00E20D71" w:rsidP="007D127F">
      <w:pPr>
        <w:pStyle w:val="cn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proofErr w:type="spellStart"/>
      <w:r w:rsidR="00FA078E" w:rsidRPr="00FA078E">
        <w:rPr>
          <w:sz w:val="28"/>
          <w:szCs w:val="28"/>
        </w:rPr>
        <w:t>Hotărîrea</w:t>
      </w:r>
      <w:proofErr w:type="spellEnd"/>
      <w:r w:rsidR="00FA078E" w:rsidRPr="00FA078E">
        <w:rPr>
          <w:sz w:val="28"/>
          <w:szCs w:val="28"/>
        </w:rPr>
        <w:t xml:space="preserve"> Guvernu</w:t>
      </w:r>
      <w:r w:rsidR="00FA078E">
        <w:rPr>
          <w:sz w:val="28"/>
          <w:szCs w:val="28"/>
        </w:rPr>
        <w:t>lui nr.247 din 21 martie 2018 „p</w:t>
      </w:r>
      <w:r w:rsidR="00FA078E" w:rsidRPr="00FA078E">
        <w:rPr>
          <w:sz w:val="28"/>
          <w:szCs w:val="28"/>
        </w:rPr>
        <w:t xml:space="preserve">rivind finanţarea lucrărilor de renovare a instituţiilor de </w:t>
      </w:r>
      <w:proofErr w:type="spellStart"/>
      <w:r w:rsidR="00FA078E" w:rsidRPr="00FA078E">
        <w:rPr>
          <w:sz w:val="28"/>
          <w:szCs w:val="28"/>
        </w:rPr>
        <w:t>învăţămînt</w:t>
      </w:r>
      <w:proofErr w:type="spellEnd"/>
      <w:r w:rsidR="00FA078E" w:rsidRPr="00FA078E">
        <w:rPr>
          <w:sz w:val="28"/>
          <w:szCs w:val="28"/>
        </w:rPr>
        <w:t xml:space="preserve"> primar, gimnazial şi liceal din subordinea autorităţilor publice locale în anul 2018”</w:t>
      </w:r>
      <w:r w:rsidR="007D127F">
        <w:rPr>
          <w:sz w:val="28"/>
          <w:szCs w:val="28"/>
        </w:rPr>
        <w:t xml:space="preserve"> </w:t>
      </w:r>
      <w:r w:rsidR="00FA078E" w:rsidRPr="00FA078E">
        <w:rPr>
          <w:sz w:val="28"/>
          <w:szCs w:val="28"/>
        </w:rPr>
        <w:t>(Monitorul Ofi</w:t>
      </w:r>
      <w:r w:rsidR="00FA078E">
        <w:rPr>
          <w:sz w:val="28"/>
          <w:szCs w:val="28"/>
        </w:rPr>
        <w:t>cial al Republicii Moldova</w:t>
      </w:r>
      <w:r w:rsidR="00FA078E" w:rsidRPr="00FA078E">
        <w:rPr>
          <w:sz w:val="28"/>
          <w:szCs w:val="28"/>
        </w:rPr>
        <w:t xml:space="preserve"> 2018, nr.95-104</w:t>
      </w:r>
      <w:r w:rsidR="00FA078E">
        <w:rPr>
          <w:sz w:val="28"/>
          <w:szCs w:val="28"/>
        </w:rPr>
        <w:t>, art. 280</w:t>
      </w:r>
      <w:r w:rsidR="00FA078E" w:rsidRPr="00FA078E">
        <w:rPr>
          <w:sz w:val="28"/>
          <w:szCs w:val="28"/>
        </w:rPr>
        <w:t>) se modifică</w:t>
      </w:r>
      <w:r w:rsidR="00FA078E">
        <w:rPr>
          <w:sz w:val="28"/>
          <w:szCs w:val="28"/>
        </w:rPr>
        <w:t xml:space="preserve"> </w:t>
      </w:r>
      <w:r w:rsidR="00FA078E" w:rsidRPr="00FA078E">
        <w:rPr>
          <w:sz w:val="28"/>
          <w:szCs w:val="28"/>
        </w:rPr>
        <w:t>după cum urmează:</w:t>
      </w:r>
    </w:p>
    <w:p w:rsidR="00E20D71" w:rsidRDefault="00E20D71" w:rsidP="007D127F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eastAsiaTheme="minorEastAsia" w:hAnsi="Times New Roman"/>
          <w:sz w:val="28"/>
          <w:szCs w:val="28"/>
          <w:lang w:val="ro-RO" w:eastAsia="ro-RO"/>
        </w:rPr>
      </w:pPr>
      <w:proofErr w:type="gramStart"/>
      <w:r w:rsidRPr="00E20D71">
        <w:rPr>
          <w:rFonts w:ascii="Times New Roman" w:hAnsi="Times New Roman"/>
          <w:sz w:val="28"/>
          <w:szCs w:val="28"/>
        </w:rPr>
        <w:t>la</w:t>
      </w:r>
      <w:proofErr w:type="gramEnd"/>
      <w:r w:rsidRPr="00E20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D71">
        <w:rPr>
          <w:rFonts w:ascii="Times New Roman" w:hAnsi="Times New Roman"/>
          <w:sz w:val="28"/>
          <w:szCs w:val="28"/>
        </w:rPr>
        <w:t>punctul</w:t>
      </w:r>
      <w:proofErr w:type="spellEnd"/>
      <w:r w:rsidRPr="00E20D71">
        <w:rPr>
          <w:rFonts w:ascii="Times New Roman" w:hAnsi="Times New Roman"/>
          <w:sz w:val="28"/>
          <w:szCs w:val="28"/>
        </w:rPr>
        <w:t xml:space="preserve"> 2 din </w:t>
      </w:r>
      <w:proofErr w:type="spellStart"/>
      <w:r w:rsidRPr="00E20D71">
        <w:rPr>
          <w:rFonts w:ascii="Times New Roman" w:hAnsi="Times New Roman"/>
          <w:sz w:val="28"/>
          <w:szCs w:val="28"/>
        </w:rPr>
        <w:t>hotărîre</w:t>
      </w:r>
      <w:proofErr w:type="spellEnd"/>
      <w:r w:rsidRPr="00E20D71">
        <w:rPr>
          <w:rFonts w:ascii="Times New Roman" w:hAnsi="Times New Roman"/>
          <w:sz w:val="28"/>
          <w:szCs w:val="28"/>
        </w:rPr>
        <w:t xml:space="preserve">, lit. a), </w:t>
      </w:r>
      <w:proofErr w:type="spellStart"/>
      <w:r w:rsidRPr="00E20D71">
        <w:rPr>
          <w:rFonts w:ascii="Times New Roman" w:hAnsi="Times New Roman"/>
          <w:sz w:val="28"/>
          <w:szCs w:val="28"/>
        </w:rPr>
        <w:t>cifra</w:t>
      </w:r>
      <w:proofErr w:type="spellEnd"/>
      <w:r w:rsidRPr="00E20D71">
        <w:rPr>
          <w:rFonts w:ascii="Times New Roman" w:hAnsi="Times New Roman"/>
          <w:sz w:val="28"/>
          <w:szCs w:val="28"/>
        </w:rPr>
        <w:t xml:space="preserve"> </w:t>
      </w:r>
      <w:r w:rsidRPr="00E20D71">
        <w:rPr>
          <w:rFonts w:ascii="Times New Roman" w:eastAsiaTheme="minorEastAsia" w:hAnsi="Times New Roman"/>
          <w:sz w:val="28"/>
          <w:szCs w:val="28"/>
          <w:lang w:val="ro-RO" w:eastAsia="ro-RO"/>
        </w:rPr>
        <w:t>“5</w:t>
      </w:r>
      <w:r w:rsidR="007D127F">
        <w:rPr>
          <w:rFonts w:ascii="Times New Roman" w:eastAsiaTheme="minorEastAsia" w:hAnsi="Times New Roman"/>
          <w:sz w:val="28"/>
          <w:szCs w:val="28"/>
          <w:lang w:val="ro-RO" w:eastAsia="ro-RO"/>
        </w:rPr>
        <w:t xml:space="preserve">7029,1” se substituie cu cifra </w:t>
      </w:r>
      <w:r w:rsidRPr="00E20D71">
        <w:rPr>
          <w:rFonts w:ascii="Times New Roman" w:eastAsiaTheme="minorEastAsia" w:hAnsi="Times New Roman"/>
          <w:sz w:val="28"/>
          <w:szCs w:val="28"/>
          <w:lang w:val="ro-RO" w:eastAsia="ro-RO"/>
        </w:rPr>
        <w:t>”67029,1” ;</w:t>
      </w:r>
    </w:p>
    <w:p w:rsidR="007D127F" w:rsidRDefault="007D127F" w:rsidP="007D127F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eastAsiaTheme="minorEastAsia" w:hAnsi="Times New Roman"/>
          <w:sz w:val="28"/>
          <w:szCs w:val="28"/>
          <w:lang w:val="ro-RO" w:eastAsia="ro-RO"/>
        </w:rPr>
      </w:pPr>
      <w:r>
        <w:rPr>
          <w:rFonts w:ascii="Times New Roman" w:eastAsiaTheme="minorEastAsia" w:hAnsi="Times New Roman"/>
          <w:sz w:val="28"/>
          <w:szCs w:val="28"/>
          <w:lang w:val="ro-RO" w:eastAsia="ro-RO"/>
        </w:rPr>
        <w:t xml:space="preserve">la anexa nr. 2, coloana a doua a tabelului va avea următorul cuprins: </w:t>
      </w:r>
    </w:p>
    <w:p w:rsidR="00CD559F" w:rsidRPr="00CD559F" w:rsidRDefault="00CD559F" w:rsidP="00CD559F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</w:p>
    <w:tbl>
      <w:tblPr>
        <w:tblStyle w:val="a7"/>
        <w:tblpPr w:leftFromText="180" w:rightFromText="180" w:vertAnchor="text" w:horzAnchor="page" w:tblpX="1731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CD559F" w:rsidTr="00CD559F">
        <w:tc>
          <w:tcPr>
            <w:tcW w:w="1951" w:type="dxa"/>
          </w:tcPr>
          <w:p w:rsidR="00CD559F" w:rsidRPr="00CD559F" w:rsidRDefault="00CD559F" w:rsidP="00CD559F">
            <w:pPr>
              <w:jc w:val="center"/>
              <w:rPr>
                <w:b/>
                <w:sz w:val="28"/>
                <w:szCs w:val="28"/>
              </w:rPr>
            </w:pPr>
            <w:r w:rsidRPr="00CD559F">
              <w:rPr>
                <w:b/>
                <w:sz w:val="28"/>
                <w:szCs w:val="28"/>
              </w:rPr>
              <w:t>Suma</w:t>
            </w:r>
          </w:p>
          <w:p w:rsidR="00CD559F" w:rsidRDefault="00CD559F" w:rsidP="00CD559F">
            <w:pPr>
              <w:jc w:val="center"/>
              <w:rPr>
                <w:sz w:val="28"/>
                <w:szCs w:val="28"/>
              </w:rPr>
            </w:pPr>
            <w:r w:rsidRPr="00CD559F">
              <w:rPr>
                <w:b/>
                <w:sz w:val="28"/>
                <w:szCs w:val="28"/>
              </w:rPr>
              <w:t>(mii lei)</w:t>
            </w:r>
          </w:p>
        </w:tc>
      </w:tr>
      <w:tr w:rsidR="00CD559F" w:rsidTr="00CD559F">
        <w:tc>
          <w:tcPr>
            <w:tcW w:w="1951" w:type="dxa"/>
          </w:tcPr>
          <w:p w:rsidR="00CD559F" w:rsidRDefault="00215FDB" w:rsidP="00CD5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15FDB">
              <w:rPr>
                <w:sz w:val="28"/>
                <w:szCs w:val="28"/>
              </w:rPr>
              <w:t>354,2</w:t>
            </w:r>
          </w:p>
        </w:tc>
      </w:tr>
      <w:tr w:rsidR="00CD559F" w:rsidTr="00CD559F">
        <w:tc>
          <w:tcPr>
            <w:tcW w:w="1951" w:type="dxa"/>
          </w:tcPr>
          <w:p w:rsidR="00CD559F" w:rsidRPr="003D0672" w:rsidRDefault="00215FDB" w:rsidP="00CD559F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067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10213,2</w:t>
            </w:r>
          </w:p>
        </w:tc>
      </w:tr>
      <w:tr w:rsidR="00CD559F" w:rsidTr="00CD559F">
        <w:tc>
          <w:tcPr>
            <w:tcW w:w="1951" w:type="dxa"/>
          </w:tcPr>
          <w:p w:rsidR="00CD559F" w:rsidRPr="003D0672" w:rsidRDefault="00215FDB" w:rsidP="00CD559F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067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8036,7</w:t>
            </w:r>
          </w:p>
        </w:tc>
      </w:tr>
      <w:tr w:rsidR="00CD559F" w:rsidTr="00CD559F">
        <w:tc>
          <w:tcPr>
            <w:tcW w:w="1951" w:type="dxa"/>
          </w:tcPr>
          <w:p w:rsidR="00CD559F" w:rsidRPr="003D0672" w:rsidRDefault="00215FDB" w:rsidP="00CD559F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067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18139,4</w:t>
            </w:r>
          </w:p>
        </w:tc>
      </w:tr>
      <w:tr w:rsidR="003D0672" w:rsidTr="00CD559F">
        <w:tc>
          <w:tcPr>
            <w:tcW w:w="1951" w:type="dxa"/>
          </w:tcPr>
          <w:p w:rsidR="003D0672" w:rsidRPr="003D0672" w:rsidRDefault="003D0672" w:rsidP="003D0672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D067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10883,9</w:t>
            </w:r>
          </w:p>
        </w:tc>
      </w:tr>
      <w:tr w:rsidR="00CD559F" w:rsidTr="00CD559F">
        <w:tc>
          <w:tcPr>
            <w:tcW w:w="1951" w:type="dxa"/>
          </w:tcPr>
          <w:p w:rsidR="00CD559F" w:rsidRPr="003D0672" w:rsidRDefault="003D0672" w:rsidP="00CD559F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3D0672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401,7</w:t>
            </w:r>
          </w:p>
        </w:tc>
      </w:tr>
      <w:tr w:rsidR="003D0672" w:rsidTr="00CD559F">
        <w:tc>
          <w:tcPr>
            <w:tcW w:w="1951" w:type="dxa"/>
          </w:tcPr>
          <w:p w:rsidR="003D0672" w:rsidRPr="003D0672" w:rsidRDefault="003D0672" w:rsidP="00CD559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0C4A">
              <w:rPr>
                <w:rFonts w:eastAsia="Times New Roman"/>
                <w:b/>
                <w:bCs/>
                <w:sz w:val="28"/>
                <w:lang w:eastAsia="ru-RU"/>
              </w:rPr>
              <w:t>67029,1</w:t>
            </w:r>
          </w:p>
        </w:tc>
      </w:tr>
    </w:tbl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CD559F" w:rsidRDefault="00CD559F" w:rsidP="00CD559F">
      <w:pPr>
        <w:jc w:val="both"/>
        <w:rPr>
          <w:sz w:val="28"/>
          <w:szCs w:val="28"/>
        </w:rPr>
      </w:pPr>
    </w:p>
    <w:p w:rsidR="003D0672" w:rsidRDefault="003D0672" w:rsidP="00CD559F">
      <w:pPr>
        <w:jc w:val="both"/>
        <w:rPr>
          <w:sz w:val="28"/>
          <w:szCs w:val="28"/>
        </w:rPr>
      </w:pPr>
    </w:p>
    <w:p w:rsidR="00CD559F" w:rsidRDefault="00A767E5" w:rsidP="00A767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CD559F" w:rsidRDefault="00CD559F" w:rsidP="00CD559F">
      <w:pPr>
        <w:jc w:val="both"/>
        <w:rPr>
          <w:sz w:val="28"/>
          <w:szCs w:val="28"/>
        </w:rPr>
      </w:pPr>
    </w:p>
    <w:p w:rsidR="00453CE9" w:rsidRPr="00A13A5A" w:rsidRDefault="00A13A5A" w:rsidP="00FA078E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13A5A">
        <w:rPr>
          <w:rFonts w:ascii="Times New Roman" w:hAnsi="Times New Roman"/>
          <w:sz w:val="28"/>
          <w:szCs w:val="28"/>
        </w:rPr>
        <w:t>„</w:t>
      </w:r>
    </w:p>
    <w:tbl>
      <w:tblPr>
        <w:tblpPr w:leftFromText="180" w:rightFromText="180" w:vertAnchor="text" w:horzAnchor="margin" w:tblpY="197"/>
        <w:tblW w:w="8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1"/>
        <w:gridCol w:w="2794"/>
      </w:tblGrid>
      <w:tr w:rsidR="00453CE9" w:rsidRPr="00FA078E" w:rsidTr="004D50A7">
        <w:trPr>
          <w:trHeight w:val="10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3CE9" w:rsidRPr="00FA078E" w:rsidRDefault="00453CE9" w:rsidP="00FA078E">
            <w:pPr>
              <w:spacing w:before="24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3CE9" w:rsidRPr="00FA078E" w:rsidRDefault="00453CE9" w:rsidP="00FA078E">
            <w:pPr>
              <w:spacing w:before="240"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 xml:space="preserve">              Pavel FILIP</w:t>
            </w:r>
          </w:p>
          <w:p w:rsidR="00453CE9" w:rsidRPr="00FA078E" w:rsidRDefault="00453CE9" w:rsidP="00FA078E">
            <w:pPr>
              <w:pStyle w:val="a3"/>
              <w:spacing w:line="276" w:lineRule="auto"/>
              <w:rPr>
                <w:b/>
                <w:bCs/>
                <w:sz w:val="28"/>
                <w:szCs w:val="28"/>
              </w:rPr>
            </w:pPr>
            <w:r w:rsidRPr="00FA078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53CE9" w:rsidRPr="00FA078E" w:rsidTr="004D50A7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53CE9" w:rsidRPr="00FA078E" w:rsidTr="004D50A7">
        <w:trPr>
          <w:trHeight w:val="3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Ministrul educaţiei, culturii şi cercetării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 xml:space="preserve">       Monica </w:t>
            </w:r>
            <w:proofErr w:type="spellStart"/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Babuc</w:t>
            </w:r>
            <w:proofErr w:type="spellEnd"/>
          </w:p>
        </w:tc>
      </w:tr>
      <w:tr w:rsidR="00453CE9" w:rsidRPr="00FA078E" w:rsidTr="004D50A7">
        <w:trPr>
          <w:trHeight w:val="3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Ministrul finanţelor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3CE9" w:rsidRPr="00FA078E" w:rsidRDefault="00453CE9" w:rsidP="00FA078E">
            <w:pPr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 xml:space="preserve">    Octavian </w:t>
            </w:r>
            <w:proofErr w:type="spellStart"/>
            <w:r w:rsidRPr="00FA078E">
              <w:rPr>
                <w:rFonts w:eastAsia="Times New Roman"/>
                <w:b/>
                <w:bCs/>
                <w:sz w:val="28"/>
                <w:szCs w:val="28"/>
              </w:rPr>
              <w:t>Armașu</w:t>
            </w:r>
            <w:proofErr w:type="spellEnd"/>
          </w:p>
        </w:tc>
      </w:tr>
    </w:tbl>
    <w:p w:rsidR="00453CE9" w:rsidRPr="00FA078E" w:rsidRDefault="00453CE9" w:rsidP="00FA078E">
      <w:pPr>
        <w:pStyle w:val="a3"/>
        <w:spacing w:line="276" w:lineRule="auto"/>
        <w:ind w:firstLine="0"/>
        <w:rPr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453CE9" w:rsidRPr="00FA078E" w:rsidRDefault="00453CE9" w:rsidP="00FA078E">
      <w:pPr>
        <w:spacing w:line="276" w:lineRule="auto"/>
        <w:mirrorIndents/>
        <w:rPr>
          <w:b/>
          <w:sz w:val="28"/>
          <w:szCs w:val="28"/>
        </w:rPr>
      </w:pPr>
    </w:p>
    <w:p w:rsidR="00A767E5" w:rsidRDefault="00A767E5" w:rsidP="001222CF">
      <w:pPr>
        <w:spacing w:line="276" w:lineRule="auto"/>
        <w:rPr>
          <w:b/>
          <w:sz w:val="28"/>
          <w:szCs w:val="28"/>
          <w:lang w:eastAsia="ru-RU"/>
        </w:rPr>
      </w:pPr>
    </w:p>
    <w:p w:rsidR="004A6FA2" w:rsidRPr="00332CAB" w:rsidRDefault="006C172B" w:rsidP="006C172B">
      <w:pPr>
        <w:spacing w:line="276" w:lineRule="auto"/>
        <w:ind w:left="360"/>
        <w:jc w:val="center"/>
        <w:rPr>
          <w:b/>
          <w:sz w:val="28"/>
          <w:szCs w:val="28"/>
          <w:lang w:eastAsia="ru-RU"/>
        </w:rPr>
      </w:pPr>
      <w:r w:rsidRPr="00332CAB">
        <w:rPr>
          <w:b/>
          <w:sz w:val="28"/>
          <w:szCs w:val="28"/>
          <w:lang w:eastAsia="ru-RU"/>
        </w:rPr>
        <w:t>Notă informativă</w:t>
      </w:r>
    </w:p>
    <w:p w:rsidR="004A6FA2" w:rsidRDefault="00860221" w:rsidP="006C172B">
      <w:pPr>
        <w:spacing w:before="12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la proiectul </w:t>
      </w:r>
      <w:proofErr w:type="spellStart"/>
      <w:r>
        <w:rPr>
          <w:b/>
          <w:sz w:val="28"/>
          <w:szCs w:val="28"/>
          <w:lang w:eastAsia="ru-RU"/>
        </w:rPr>
        <w:t>H</w:t>
      </w:r>
      <w:r w:rsidR="004A6FA2" w:rsidRPr="00332CAB">
        <w:rPr>
          <w:b/>
          <w:sz w:val="28"/>
          <w:szCs w:val="28"/>
          <w:lang w:eastAsia="ru-RU"/>
        </w:rPr>
        <w:t>otărîrii</w:t>
      </w:r>
      <w:proofErr w:type="spellEnd"/>
      <w:r w:rsidR="004A6FA2" w:rsidRPr="00332CAB">
        <w:rPr>
          <w:b/>
          <w:sz w:val="28"/>
          <w:szCs w:val="28"/>
          <w:lang w:eastAsia="ru-RU"/>
        </w:rPr>
        <w:t xml:space="preserve"> </w:t>
      </w:r>
      <w:r w:rsidR="00332CAB" w:rsidRPr="00332CAB">
        <w:rPr>
          <w:b/>
          <w:sz w:val="28"/>
          <w:szCs w:val="28"/>
          <w:lang w:eastAsia="ru-RU"/>
        </w:rPr>
        <w:t xml:space="preserve">de </w:t>
      </w:r>
      <w:r w:rsidR="004A6FA2" w:rsidRPr="00332CAB">
        <w:rPr>
          <w:b/>
          <w:sz w:val="28"/>
          <w:szCs w:val="28"/>
          <w:lang w:eastAsia="ru-RU"/>
        </w:rPr>
        <w:t>Guvern</w:t>
      </w:r>
      <w:r w:rsidR="00332CAB" w:rsidRPr="00332CAB">
        <w:rPr>
          <w:b/>
          <w:sz w:val="28"/>
          <w:szCs w:val="28"/>
          <w:lang w:eastAsia="ru-RU"/>
        </w:rPr>
        <w:t xml:space="preserve"> </w:t>
      </w:r>
      <w:r w:rsidR="00FE200D">
        <w:rPr>
          <w:b/>
          <w:sz w:val="28"/>
          <w:szCs w:val="28"/>
          <w:lang w:eastAsia="ru-RU"/>
        </w:rPr>
        <w:t>„</w:t>
      </w:r>
      <w:r w:rsidR="00332CAB" w:rsidRPr="00332CAB">
        <w:rPr>
          <w:b/>
          <w:sz w:val="28"/>
          <w:szCs w:val="28"/>
          <w:lang w:eastAsia="ru-RU"/>
        </w:rPr>
        <w:t xml:space="preserve">cu privire la </w:t>
      </w:r>
      <w:r w:rsidR="004A6FA2" w:rsidRPr="00332CAB">
        <w:rPr>
          <w:rFonts w:eastAsia="Times New Roman"/>
          <w:b/>
          <w:color w:val="000000"/>
          <w:sz w:val="28"/>
          <w:szCs w:val="28"/>
          <w:lang w:eastAsia="ru-RU"/>
        </w:rPr>
        <w:t xml:space="preserve">modificarea </w:t>
      </w:r>
      <w:proofErr w:type="spellStart"/>
      <w:r w:rsidR="004A6FA2" w:rsidRPr="00332CAB">
        <w:rPr>
          <w:rFonts w:eastAsia="Times New Roman"/>
          <w:b/>
          <w:color w:val="000000"/>
          <w:sz w:val="28"/>
          <w:szCs w:val="28"/>
          <w:lang w:eastAsia="ru-RU"/>
        </w:rPr>
        <w:t>Hotărîrii</w:t>
      </w:r>
      <w:proofErr w:type="spellEnd"/>
      <w:r w:rsidR="004A6FA2" w:rsidRPr="00332CAB">
        <w:rPr>
          <w:rFonts w:eastAsia="Times New Roman"/>
          <w:b/>
          <w:color w:val="000000"/>
          <w:sz w:val="28"/>
          <w:szCs w:val="28"/>
          <w:lang w:eastAsia="ru-RU"/>
        </w:rPr>
        <w:t xml:space="preserve"> Guvernului nr. 247 din 21 martie 2018</w:t>
      </w:r>
      <w:r w:rsidR="00FE200D">
        <w:rPr>
          <w:rFonts w:eastAsia="Times New Roman"/>
          <w:b/>
          <w:color w:val="000000"/>
          <w:sz w:val="28"/>
          <w:szCs w:val="28"/>
          <w:lang w:eastAsia="ru-RU"/>
        </w:rPr>
        <w:t>”</w:t>
      </w:r>
    </w:p>
    <w:p w:rsidR="006C172B" w:rsidRPr="00332CAB" w:rsidRDefault="006C172B" w:rsidP="006C172B">
      <w:pPr>
        <w:spacing w:before="120" w:line="276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C172B" w:rsidRDefault="00860221" w:rsidP="006C172B">
      <w:pPr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Prezentul proiect de </w:t>
      </w:r>
      <w:proofErr w:type="spellStart"/>
      <w:r>
        <w:rPr>
          <w:rFonts w:eastAsia="SimSun"/>
          <w:sz w:val="28"/>
          <w:szCs w:val="28"/>
          <w:lang w:eastAsia="zh-CN"/>
        </w:rPr>
        <w:t>Hotărîre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Guvern a fost elaborat î</w:t>
      </w:r>
      <w:r w:rsidR="00B127E6">
        <w:rPr>
          <w:rFonts w:eastAsia="SimSun"/>
          <w:sz w:val="28"/>
          <w:szCs w:val="28"/>
          <w:lang w:eastAsia="zh-CN"/>
        </w:rPr>
        <w:t xml:space="preserve">n temeiul </w:t>
      </w:r>
      <w:r w:rsidRPr="00332CAB">
        <w:rPr>
          <w:rFonts w:eastAsia="SimSun"/>
          <w:sz w:val="28"/>
          <w:szCs w:val="28"/>
          <w:lang w:eastAsia="zh-CN"/>
        </w:rPr>
        <w:t>art. 3 lit.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332CAB">
        <w:rPr>
          <w:rFonts w:eastAsia="SimSun"/>
          <w:sz w:val="28"/>
          <w:szCs w:val="28"/>
          <w:lang w:eastAsia="zh-CN"/>
        </w:rPr>
        <w:t xml:space="preserve">b) </w:t>
      </w:r>
      <w:r>
        <w:rPr>
          <w:rFonts w:eastAsia="SimSun"/>
          <w:sz w:val="28"/>
          <w:szCs w:val="28"/>
          <w:lang w:eastAsia="zh-CN"/>
        </w:rPr>
        <w:t xml:space="preserve">a </w:t>
      </w:r>
      <w:r w:rsidR="00B127E6" w:rsidRPr="00FE200D">
        <w:rPr>
          <w:rFonts w:eastAsia="SimSun"/>
          <w:sz w:val="28"/>
          <w:szCs w:val="28"/>
          <w:lang w:eastAsia="zh-CN"/>
        </w:rPr>
        <w:t>Legii nr.101 din 07 iunie 2018 „cu privire la modificarea și completarea Legii bugetului de stat pentru anul 2018 nr. 289/2017”</w:t>
      </w:r>
      <w:r>
        <w:rPr>
          <w:rFonts w:eastAsia="SimSun"/>
          <w:sz w:val="28"/>
          <w:szCs w:val="28"/>
          <w:lang w:eastAsia="zh-CN"/>
        </w:rPr>
        <w:t xml:space="preserve">. </w:t>
      </w:r>
      <w:r w:rsidR="006C172B">
        <w:rPr>
          <w:rFonts w:eastAsia="SimSun"/>
          <w:sz w:val="28"/>
          <w:szCs w:val="28"/>
          <w:lang w:eastAsia="zh-CN"/>
        </w:rPr>
        <w:t xml:space="preserve">Conform acestuia, suma alocațiilor pentru renovarea </w:t>
      </w:r>
      <w:r w:rsidR="006C172B" w:rsidRPr="00FE200D">
        <w:rPr>
          <w:rFonts w:eastAsia="SimSun"/>
          <w:sz w:val="28"/>
          <w:szCs w:val="28"/>
          <w:lang w:eastAsia="zh-CN"/>
        </w:rPr>
        <w:t>instituțiilor de învățământ primar și secundar gener</w:t>
      </w:r>
      <w:r w:rsidR="006C172B">
        <w:rPr>
          <w:rFonts w:eastAsia="SimSun"/>
          <w:sz w:val="28"/>
          <w:szCs w:val="28"/>
          <w:lang w:eastAsia="zh-CN"/>
        </w:rPr>
        <w:t xml:space="preserve">al din subordinea autorităților </w:t>
      </w:r>
      <w:r w:rsidR="006C172B" w:rsidRPr="00FE200D">
        <w:rPr>
          <w:rFonts w:eastAsia="SimSun"/>
          <w:sz w:val="28"/>
          <w:szCs w:val="28"/>
          <w:lang w:eastAsia="zh-CN"/>
        </w:rPr>
        <w:t>publice locale, în cadrul proiectului „Reforma învățământului în Moldova</w:t>
      </w:r>
      <w:r w:rsidR="006C172B">
        <w:rPr>
          <w:rFonts w:eastAsia="SimSun"/>
          <w:sz w:val="28"/>
          <w:szCs w:val="28"/>
          <w:lang w:eastAsia="zh-CN"/>
        </w:rPr>
        <w:t xml:space="preserve">” a fost majorată cu 10 </w:t>
      </w:r>
      <w:proofErr w:type="spellStart"/>
      <w:r w:rsidR="006C172B">
        <w:rPr>
          <w:rFonts w:eastAsia="SimSun"/>
          <w:sz w:val="28"/>
          <w:szCs w:val="28"/>
          <w:lang w:eastAsia="zh-CN"/>
        </w:rPr>
        <w:t>mln</w:t>
      </w:r>
      <w:proofErr w:type="spellEnd"/>
      <w:r w:rsidR="006C172B">
        <w:rPr>
          <w:rFonts w:eastAsia="SimSun"/>
          <w:sz w:val="28"/>
          <w:szCs w:val="28"/>
          <w:lang w:eastAsia="zh-CN"/>
        </w:rPr>
        <w:t xml:space="preserve"> lei.</w:t>
      </w:r>
    </w:p>
    <w:p w:rsidR="00D03196" w:rsidRDefault="00A75E61" w:rsidP="00D03196">
      <w:pPr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Operarea modificărilor în </w:t>
      </w:r>
      <w:proofErr w:type="spellStart"/>
      <w:r>
        <w:rPr>
          <w:rFonts w:eastAsia="SimSun"/>
          <w:sz w:val="28"/>
          <w:szCs w:val="28"/>
          <w:lang w:eastAsia="zh-CN"/>
        </w:rPr>
        <w:t>Hotărîrea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Guvern nr. </w:t>
      </w:r>
      <w:r w:rsidRPr="00A75E61">
        <w:rPr>
          <w:rFonts w:eastAsia="SimSun"/>
          <w:sz w:val="28"/>
          <w:szCs w:val="28"/>
          <w:lang w:eastAsia="zh-CN"/>
        </w:rPr>
        <w:t xml:space="preserve">247 din </w:t>
      </w:r>
      <w:r>
        <w:rPr>
          <w:rFonts w:eastAsia="SimSun"/>
          <w:sz w:val="28"/>
          <w:szCs w:val="28"/>
          <w:lang w:eastAsia="zh-CN"/>
        </w:rPr>
        <w:t>21.03.2018 sunt necesare pentru asigurarea finanțării lucrărilor suplimentare constatate în procesul de executare a lucrărilor de renovare, neprevăzute în proiectele și respectiv contractele</w:t>
      </w:r>
      <w:r w:rsidRPr="006D60C6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de antrepriză </w:t>
      </w:r>
      <w:r w:rsidRPr="006D60C6">
        <w:rPr>
          <w:rFonts w:eastAsia="SimSun"/>
          <w:sz w:val="28"/>
          <w:szCs w:val="28"/>
          <w:lang w:eastAsia="zh-CN"/>
        </w:rPr>
        <w:t>iniţial</w:t>
      </w:r>
      <w:r>
        <w:rPr>
          <w:rFonts w:eastAsia="SimSun"/>
          <w:sz w:val="28"/>
          <w:szCs w:val="28"/>
          <w:lang w:eastAsia="zh-CN"/>
        </w:rPr>
        <w:t>e</w:t>
      </w:r>
      <w:r w:rsidRPr="006D60C6">
        <w:rPr>
          <w:rFonts w:eastAsia="SimSun"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6D60C6" w:rsidRPr="006D60C6">
        <w:rPr>
          <w:rFonts w:eastAsia="SimSun"/>
          <w:sz w:val="28"/>
          <w:szCs w:val="28"/>
          <w:lang w:eastAsia="zh-CN"/>
        </w:rPr>
        <w:t>Lucrările au devenit necesare pentru finalizarea unor procese tehnologice la lucrări de fi</w:t>
      </w:r>
      <w:r>
        <w:rPr>
          <w:rFonts w:eastAsia="SimSun"/>
          <w:sz w:val="28"/>
          <w:szCs w:val="28"/>
          <w:lang w:eastAsia="zh-CN"/>
        </w:rPr>
        <w:t xml:space="preserve">nisare, aprovizionare cu apă şi </w:t>
      </w:r>
      <w:r w:rsidR="00D03196">
        <w:rPr>
          <w:rFonts w:eastAsia="SimSun"/>
          <w:sz w:val="28"/>
          <w:szCs w:val="28"/>
          <w:lang w:eastAsia="zh-CN"/>
        </w:rPr>
        <w:t>căldură a instituţiilor și altele.</w:t>
      </w:r>
    </w:p>
    <w:p w:rsidR="006D60C6" w:rsidRDefault="004230C9" w:rsidP="008E5BCF">
      <w:pPr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Modificările în proiectele de antrepriză au fost efectuate în concordanță cu </w:t>
      </w:r>
      <w:r w:rsidRPr="006D60C6">
        <w:rPr>
          <w:rFonts w:eastAsia="SimSun"/>
          <w:sz w:val="28"/>
          <w:szCs w:val="28"/>
          <w:lang w:eastAsia="zh-CN"/>
        </w:rPr>
        <w:t>prevederile Legii nr.721-XIII din 02 februarie 1996 p</w:t>
      </w:r>
      <w:r>
        <w:rPr>
          <w:rFonts w:eastAsia="SimSun"/>
          <w:sz w:val="28"/>
          <w:szCs w:val="28"/>
          <w:lang w:eastAsia="zh-CN"/>
        </w:rPr>
        <w:t>r</w:t>
      </w:r>
      <w:r w:rsidR="008E5BCF">
        <w:rPr>
          <w:rFonts w:eastAsia="SimSun"/>
          <w:sz w:val="28"/>
          <w:szCs w:val="28"/>
          <w:lang w:eastAsia="zh-CN"/>
        </w:rPr>
        <w:t xml:space="preserve">ivind calitatea în construcţii. </w:t>
      </w:r>
      <w:r w:rsidR="00034E69">
        <w:rPr>
          <w:rFonts w:eastAsia="SimSun"/>
          <w:sz w:val="28"/>
          <w:szCs w:val="28"/>
          <w:lang w:eastAsia="zh-CN"/>
        </w:rPr>
        <w:t>S</w:t>
      </w:r>
      <w:r w:rsidR="006D60C6" w:rsidRPr="006D60C6">
        <w:rPr>
          <w:rFonts w:eastAsia="SimSun"/>
          <w:sz w:val="28"/>
          <w:szCs w:val="28"/>
          <w:lang w:eastAsia="zh-CN"/>
        </w:rPr>
        <w:t>oluţionarea neconcordanţelor şi neconformităţilor constatate în procesul executării lucrărilor au fost executate de autorii de p</w:t>
      </w:r>
      <w:r w:rsidR="008E5BCF">
        <w:rPr>
          <w:rFonts w:eastAsia="SimSun"/>
          <w:sz w:val="28"/>
          <w:szCs w:val="28"/>
          <w:lang w:eastAsia="zh-CN"/>
        </w:rPr>
        <w:t>roiect, respectiv verificate repetat conform tuturor rigorilor.</w:t>
      </w:r>
    </w:p>
    <w:p w:rsidR="003D0672" w:rsidRDefault="003D0672" w:rsidP="003D0672">
      <w:pPr>
        <w:spacing w:line="276" w:lineRule="auto"/>
        <w:ind w:firstLine="720"/>
        <w:jc w:val="both"/>
        <w:rPr>
          <w:sz w:val="28"/>
          <w:szCs w:val="28"/>
        </w:rPr>
      </w:pPr>
    </w:p>
    <w:p w:rsidR="003D0672" w:rsidRPr="002F5125" w:rsidRDefault="003D0672" w:rsidP="003D067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scopul respectării prevederilor Legii nr. 239 din 13 noiembrie 2008 privind transparența decizională, proiectul Hotărârii Guvernului a fost plasat pe pagina web a Ministerului Educației, Culturii și Cercetării, compartimentul „Transparență decizională”.</w:t>
      </w:r>
    </w:p>
    <w:p w:rsidR="003D0672" w:rsidRPr="006D60C6" w:rsidRDefault="003D0672" w:rsidP="008E5BCF">
      <w:pPr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4A6FA2" w:rsidRPr="00332CAB" w:rsidRDefault="004A6FA2" w:rsidP="008E5BCF">
      <w:pPr>
        <w:spacing w:before="120" w:line="276" w:lineRule="auto"/>
        <w:jc w:val="both"/>
        <w:rPr>
          <w:rFonts w:eastAsia="SimSun"/>
          <w:sz w:val="28"/>
          <w:szCs w:val="28"/>
          <w:lang w:eastAsia="zh-CN"/>
        </w:rPr>
      </w:pPr>
    </w:p>
    <w:p w:rsidR="00453CE9" w:rsidRPr="00332CAB" w:rsidRDefault="00453CE9" w:rsidP="00034E69">
      <w:pPr>
        <w:spacing w:line="276" w:lineRule="auto"/>
        <w:mirrorIndents/>
        <w:jc w:val="right"/>
        <w:rPr>
          <w:b/>
          <w:sz w:val="28"/>
          <w:szCs w:val="28"/>
        </w:rPr>
      </w:pPr>
    </w:p>
    <w:p w:rsidR="00453CE9" w:rsidRDefault="00034E69" w:rsidP="00034E69">
      <w:pPr>
        <w:spacing w:line="276" w:lineRule="auto"/>
        <w:mirrorIndent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 general de stat </w:t>
      </w:r>
    </w:p>
    <w:p w:rsidR="00034E69" w:rsidRPr="00332CAB" w:rsidRDefault="00034E69" w:rsidP="00034E69">
      <w:pPr>
        <w:spacing w:line="276" w:lineRule="auto"/>
        <w:mirrorIndents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Igor ȘAROV</w:t>
      </w:r>
    </w:p>
    <w:p w:rsidR="00453CE9" w:rsidRPr="00332CAB" w:rsidRDefault="00453CE9" w:rsidP="00332CAB">
      <w:pPr>
        <w:spacing w:line="276" w:lineRule="auto"/>
        <w:mirrorIndents/>
        <w:jc w:val="both"/>
        <w:rPr>
          <w:b/>
          <w:sz w:val="28"/>
          <w:szCs w:val="28"/>
        </w:rPr>
      </w:pPr>
    </w:p>
    <w:sectPr w:rsidR="00453CE9" w:rsidRPr="00332CAB" w:rsidSect="0004709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7C9D"/>
    <w:multiLevelType w:val="hybridMultilevel"/>
    <w:tmpl w:val="BB9AA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D790823"/>
    <w:multiLevelType w:val="hybridMultilevel"/>
    <w:tmpl w:val="336E48DC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9"/>
    <w:rsid w:val="00034E69"/>
    <w:rsid w:val="000364D0"/>
    <w:rsid w:val="001222CF"/>
    <w:rsid w:val="00215FDB"/>
    <w:rsid w:val="002176E4"/>
    <w:rsid w:val="002276A5"/>
    <w:rsid w:val="002A1A9C"/>
    <w:rsid w:val="002D4A7A"/>
    <w:rsid w:val="00332CAB"/>
    <w:rsid w:val="003B49CF"/>
    <w:rsid w:val="003D0672"/>
    <w:rsid w:val="004230C9"/>
    <w:rsid w:val="00453CE9"/>
    <w:rsid w:val="004A6FA2"/>
    <w:rsid w:val="00504541"/>
    <w:rsid w:val="005868AA"/>
    <w:rsid w:val="00592D17"/>
    <w:rsid w:val="005F5B7D"/>
    <w:rsid w:val="00687A60"/>
    <w:rsid w:val="006A1EDD"/>
    <w:rsid w:val="006C172B"/>
    <w:rsid w:val="006D60C6"/>
    <w:rsid w:val="00755BB8"/>
    <w:rsid w:val="00790C4A"/>
    <w:rsid w:val="007912B7"/>
    <w:rsid w:val="007A162E"/>
    <w:rsid w:val="007B1FD0"/>
    <w:rsid w:val="007C1002"/>
    <w:rsid w:val="007C6DF6"/>
    <w:rsid w:val="007D127F"/>
    <w:rsid w:val="0081423C"/>
    <w:rsid w:val="00860221"/>
    <w:rsid w:val="008E5BCF"/>
    <w:rsid w:val="00A13A5A"/>
    <w:rsid w:val="00A315BA"/>
    <w:rsid w:val="00A75E61"/>
    <w:rsid w:val="00A767E5"/>
    <w:rsid w:val="00A83B59"/>
    <w:rsid w:val="00AD2477"/>
    <w:rsid w:val="00B127E6"/>
    <w:rsid w:val="00BC39DB"/>
    <w:rsid w:val="00C535CD"/>
    <w:rsid w:val="00CD559F"/>
    <w:rsid w:val="00D03196"/>
    <w:rsid w:val="00D43AD3"/>
    <w:rsid w:val="00DA64CE"/>
    <w:rsid w:val="00DC2B22"/>
    <w:rsid w:val="00DE719E"/>
    <w:rsid w:val="00E20D71"/>
    <w:rsid w:val="00E80F0C"/>
    <w:rsid w:val="00F47EE0"/>
    <w:rsid w:val="00F77DDC"/>
    <w:rsid w:val="00FA078E"/>
    <w:rsid w:val="00FB0971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E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CE9"/>
    <w:pPr>
      <w:ind w:firstLine="567"/>
      <w:jc w:val="both"/>
    </w:pPr>
  </w:style>
  <w:style w:type="paragraph" w:customStyle="1" w:styleId="tt">
    <w:name w:val="tt"/>
    <w:basedOn w:val="a"/>
    <w:rsid w:val="00453CE9"/>
    <w:pPr>
      <w:jc w:val="center"/>
    </w:pPr>
    <w:rPr>
      <w:b/>
      <w:bCs/>
    </w:rPr>
  </w:style>
  <w:style w:type="paragraph" w:customStyle="1" w:styleId="cn">
    <w:name w:val="cn"/>
    <w:basedOn w:val="a"/>
    <w:rsid w:val="00453CE9"/>
    <w:pPr>
      <w:jc w:val="center"/>
    </w:pPr>
  </w:style>
  <w:style w:type="character" w:styleId="a4">
    <w:name w:val="Hyperlink"/>
    <w:basedOn w:val="a0"/>
    <w:uiPriority w:val="99"/>
    <w:semiHidden/>
    <w:unhideWhenUsed/>
    <w:rsid w:val="00453CE9"/>
    <w:rPr>
      <w:color w:val="0000FF"/>
      <w:u w:val="single"/>
    </w:rPr>
  </w:style>
  <w:style w:type="paragraph" w:styleId="a5">
    <w:name w:val="No Spacing"/>
    <w:uiPriority w:val="1"/>
    <w:qFormat/>
    <w:rsid w:val="00453C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53CE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7D127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E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CE9"/>
    <w:pPr>
      <w:ind w:firstLine="567"/>
      <w:jc w:val="both"/>
    </w:pPr>
  </w:style>
  <w:style w:type="paragraph" w:customStyle="1" w:styleId="tt">
    <w:name w:val="tt"/>
    <w:basedOn w:val="a"/>
    <w:rsid w:val="00453CE9"/>
    <w:pPr>
      <w:jc w:val="center"/>
    </w:pPr>
    <w:rPr>
      <w:b/>
      <w:bCs/>
    </w:rPr>
  </w:style>
  <w:style w:type="paragraph" w:customStyle="1" w:styleId="cn">
    <w:name w:val="cn"/>
    <w:basedOn w:val="a"/>
    <w:rsid w:val="00453CE9"/>
    <w:pPr>
      <w:jc w:val="center"/>
    </w:pPr>
  </w:style>
  <w:style w:type="character" w:styleId="a4">
    <w:name w:val="Hyperlink"/>
    <w:basedOn w:val="a0"/>
    <w:uiPriority w:val="99"/>
    <w:semiHidden/>
    <w:unhideWhenUsed/>
    <w:rsid w:val="00453CE9"/>
    <w:rPr>
      <w:color w:val="0000FF"/>
      <w:u w:val="single"/>
    </w:rPr>
  </w:style>
  <w:style w:type="paragraph" w:styleId="a5">
    <w:name w:val="No Spacing"/>
    <w:uiPriority w:val="1"/>
    <w:qFormat/>
    <w:rsid w:val="00453C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53CE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7">
    <w:name w:val="Table Grid"/>
    <w:basedOn w:val="a1"/>
    <w:uiPriority w:val="39"/>
    <w:rsid w:val="007D127F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8B48-D540-41E1-A92F-E7D0B589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Erhan</cp:lastModifiedBy>
  <cp:revision>21</cp:revision>
  <cp:lastPrinted>2018-08-03T06:21:00Z</cp:lastPrinted>
  <dcterms:created xsi:type="dcterms:W3CDTF">2018-08-02T14:06:00Z</dcterms:created>
  <dcterms:modified xsi:type="dcterms:W3CDTF">2018-08-03T06:49:00Z</dcterms:modified>
</cp:coreProperties>
</file>