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F06" w:rsidRPr="004D7A92" w:rsidRDefault="00C00173" w:rsidP="004B23BD">
      <w:pPr>
        <w:spacing w:line="276" w:lineRule="auto"/>
        <w:ind w:firstLine="720"/>
        <w:jc w:val="center"/>
        <w:rPr>
          <w:b/>
          <w:sz w:val="28"/>
          <w:szCs w:val="28"/>
          <w:lang w:val="ro-RO"/>
        </w:rPr>
      </w:pPr>
      <w:r w:rsidRPr="004B23BD">
        <w:rPr>
          <w:b/>
          <w:sz w:val="26"/>
          <w:szCs w:val="26"/>
          <w:lang w:val="ro-RO"/>
        </w:rPr>
        <w:t xml:space="preserve"> </w:t>
      </w:r>
      <w:r w:rsidR="00325F06" w:rsidRPr="004D7A92">
        <w:rPr>
          <w:b/>
          <w:sz w:val="28"/>
          <w:szCs w:val="28"/>
          <w:lang w:val="ro-RO"/>
        </w:rPr>
        <w:t>Nota informativă</w:t>
      </w:r>
    </w:p>
    <w:p w:rsidR="00CD481E" w:rsidRPr="004D7A92" w:rsidRDefault="00325F06" w:rsidP="004B23BD">
      <w:pPr>
        <w:spacing w:line="276" w:lineRule="auto"/>
        <w:jc w:val="center"/>
        <w:rPr>
          <w:b/>
          <w:sz w:val="28"/>
          <w:szCs w:val="28"/>
          <w:lang w:val="ro-RO"/>
        </w:rPr>
      </w:pPr>
      <w:r w:rsidRPr="004D7A92">
        <w:rPr>
          <w:b/>
          <w:sz w:val="28"/>
          <w:szCs w:val="28"/>
          <w:lang w:val="ro-RO"/>
        </w:rPr>
        <w:t xml:space="preserve">la proiectul </w:t>
      </w:r>
      <w:r w:rsidR="00D82CF1" w:rsidRPr="004D7A92">
        <w:rPr>
          <w:b/>
          <w:sz w:val="28"/>
          <w:szCs w:val="28"/>
          <w:lang w:val="ro-RO"/>
        </w:rPr>
        <w:t>Hotărâ</w:t>
      </w:r>
      <w:r w:rsidR="00810CB5" w:rsidRPr="004D7A92">
        <w:rPr>
          <w:b/>
          <w:sz w:val="28"/>
          <w:szCs w:val="28"/>
          <w:lang w:val="ro-RO"/>
        </w:rPr>
        <w:t xml:space="preserve">rii Guvernului Republicii Moldova </w:t>
      </w:r>
      <w:r w:rsidR="0071257D" w:rsidRPr="004D7A92">
        <w:rPr>
          <w:b/>
          <w:sz w:val="28"/>
          <w:szCs w:val="28"/>
          <w:lang w:val="ro-RO"/>
        </w:rPr>
        <w:t xml:space="preserve">cu privire la </w:t>
      </w:r>
    </w:p>
    <w:p w:rsidR="0023550C" w:rsidRPr="004D7A92" w:rsidRDefault="0023550C" w:rsidP="004B23BD">
      <w:pPr>
        <w:spacing w:line="276" w:lineRule="auto"/>
        <w:jc w:val="center"/>
        <w:rPr>
          <w:b/>
          <w:bCs/>
          <w:sz w:val="28"/>
          <w:szCs w:val="28"/>
          <w:lang w:val="ro-MD"/>
        </w:rPr>
      </w:pPr>
      <w:r w:rsidRPr="004D7A92">
        <w:rPr>
          <w:b/>
          <w:bCs/>
          <w:sz w:val="28"/>
          <w:szCs w:val="28"/>
          <w:lang w:val="ro-MD"/>
        </w:rPr>
        <w:t>stabilirea cadrului instituțional necesar și a unor măsuri pentru producerea și plasarea pe piață a produselor cu denumiri de origine protejate, cu indicaţii geografice protejate şi a specialităţilor tradiţionale garantate</w:t>
      </w:r>
    </w:p>
    <w:p w:rsidR="0023550C" w:rsidRPr="004D7A92" w:rsidRDefault="0023550C" w:rsidP="004B23BD">
      <w:pPr>
        <w:spacing w:line="276" w:lineRule="auto"/>
        <w:jc w:val="center"/>
        <w:rPr>
          <w:b/>
          <w:bCs/>
          <w:sz w:val="28"/>
          <w:szCs w:val="28"/>
          <w:lang w:val="ro-MD"/>
        </w:rPr>
      </w:pPr>
    </w:p>
    <w:p w:rsidR="00F821EF" w:rsidRPr="004D7A92" w:rsidRDefault="00F43067" w:rsidP="006D3B3C">
      <w:pPr>
        <w:autoSpaceDE w:val="0"/>
        <w:autoSpaceDN w:val="0"/>
        <w:adjustRightInd w:val="0"/>
        <w:jc w:val="both"/>
        <w:rPr>
          <w:sz w:val="28"/>
          <w:szCs w:val="28"/>
          <w:lang w:val="ro-RO"/>
        </w:rPr>
      </w:pPr>
      <w:r w:rsidRPr="004D7A92">
        <w:rPr>
          <w:sz w:val="28"/>
          <w:szCs w:val="28"/>
          <w:lang w:val="ro-RO"/>
        </w:rPr>
        <w:tab/>
      </w:r>
      <w:r w:rsidR="00CD481E" w:rsidRPr="004D7A92">
        <w:rPr>
          <w:sz w:val="28"/>
          <w:szCs w:val="28"/>
          <w:lang w:val="ro-RO"/>
        </w:rPr>
        <w:t xml:space="preserve">Oportunităţile de a accede pe piaţa </w:t>
      </w:r>
      <w:r w:rsidR="00E72815" w:rsidRPr="004D7A92">
        <w:rPr>
          <w:sz w:val="28"/>
          <w:szCs w:val="28"/>
          <w:lang w:val="ro-RO"/>
        </w:rPr>
        <w:t xml:space="preserve">internaţională şi în primul rând pe cea </w:t>
      </w:r>
      <w:r w:rsidR="00CD481E" w:rsidRPr="004D7A92">
        <w:rPr>
          <w:sz w:val="28"/>
          <w:szCs w:val="28"/>
          <w:lang w:val="ro-RO"/>
        </w:rPr>
        <w:t>europeană care se deschid în faţa producătorilor autohtoni presupun totodată şi masuri specifice ce trebuie întreprinse în vederea asigurării u</w:t>
      </w:r>
      <w:r w:rsidR="001E702E" w:rsidRPr="004D7A92">
        <w:rPr>
          <w:sz w:val="28"/>
          <w:szCs w:val="28"/>
          <w:lang w:val="ro-RO"/>
        </w:rPr>
        <w:t>nui nivel de calitate sporit, dar şi garantat al produselor. De o apreciere deosebită în faţa consumator</w:t>
      </w:r>
      <w:r w:rsidR="00E72815" w:rsidRPr="004D7A92">
        <w:rPr>
          <w:sz w:val="28"/>
          <w:szCs w:val="28"/>
          <w:lang w:val="ro-RO"/>
        </w:rPr>
        <w:t>ilor</w:t>
      </w:r>
      <w:r w:rsidR="004B23BD" w:rsidRPr="004D7A92">
        <w:rPr>
          <w:sz w:val="28"/>
          <w:szCs w:val="28"/>
          <w:lang w:val="ro-RO"/>
        </w:rPr>
        <w:t xml:space="preserve">, autohtoni și străini, </w:t>
      </w:r>
      <w:r w:rsidR="001E702E" w:rsidRPr="004D7A92">
        <w:rPr>
          <w:sz w:val="28"/>
          <w:szCs w:val="28"/>
          <w:lang w:val="ro-RO"/>
        </w:rPr>
        <w:t>în acest sens se bucură produsele de</w:t>
      </w:r>
      <w:r w:rsidR="007D5696" w:rsidRPr="004D7A92">
        <w:rPr>
          <w:sz w:val="28"/>
          <w:szCs w:val="28"/>
          <w:lang w:val="ro-RO"/>
        </w:rPr>
        <w:t xml:space="preserve">semnate cu indicaţii geografice </w:t>
      </w:r>
      <w:r w:rsidR="001E702E" w:rsidRPr="004D7A92">
        <w:rPr>
          <w:sz w:val="28"/>
          <w:szCs w:val="28"/>
          <w:lang w:val="ro-RO"/>
        </w:rPr>
        <w:t xml:space="preserve">şi denumiri de origine, precum şi produsele ce constituie specialităţi tradiţionale garantate. </w:t>
      </w:r>
      <w:r w:rsidR="000852CE" w:rsidRPr="004D7A92">
        <w:rPr>
          <w:sz w:val="28"/>
          <w:szCs w:val="28"/>
          <w:lang w:val="ro-RO"/>
        </w:rPr>
        <w:t>P</w:t>
      </w:r>
      <w:r w:rsidR="00E72815" w:rsidRPr="004D7A92">
        <w:rPr>
          <w:sz w:val="28"/>
          <w:szCs w:val="28"/>
          <w:lang w:val="ro-RO"/>
        </w:rPr>
        <w:t xml:space="preserve">rotecţia crescândă a semnelor de identificare a originii şi calităţii – </w:t>
      </w:r>
      <w:r w:rsidR="00771E9B" w:rsidRPr="004D7A92">
        <w:rPr>
          <w:sz w:val="28"/>
          <w:szCs w:val="28"/>
          <w:lang w:val="ro-RO"/>
        </w:rPr>
        <w:t>indicaţi</w:t>
      </w:r>
      <w:r w:rsidR="00416003" w:rsidRPr="004D7A92">
        <w:rPr>
          <w:sz w:val="28"/>
          <w:szCs w:val="28"/>
          <w:lang w:val="ro-RO"/>
        </w:rPr>
        <w:t>ile</w:t>
      </w:r>
      <w:r w:rsidR="00771E9B" w:rsidRPr="004D7A92">
        <w:rPr>
          <w:sz w:val="28"/>
          <w:szCs w:val="28"/>
          <w:lang w:val="ro-RO"/>
        </w:rPr>
        <w:t xml:space="preserve"> geografic</w:t>
      </w:r>
      <w:r w:rsidR="00416003" w:rsidRPr="004D7A92">
        <w:rPr>
          <w:sz w:val="28"/>
          <w:szCs w:val="28"/>
          <w:lang w:val="ro-RO"/>
        </w:rPr>
        <w:t>e</w:t>
      </w:r>
      <w:r w:rsidR="004B23BD" w:rsidRPr="004D7A92">
        <w:rPr>
          <w:sz w:val="28"/>
          <w:szCs w:val="28"/>
          <w:lang w:val="ro-RO"/>
        </w:rPr>
        <w:t xml:space="preserve"> (IG)</w:t>
      </w:r>
      <w:r w:rsidR="00E72815" w:rsidRPr="004D7A92">
        <w:rPr>
          <w:sz w:val="28"/>
          <w:szCs w:val="28"/>
          <w:lang w:val="ro-RO"/>
        </w:rPr>
        <w:t xml:space="preserve"> şi </w:t>
      </w:r>
      <w:r w:rsidR="00416003" w:rsidRPr="004D7A92">
        <w:rPr>
          <w:sz w:val="28"/>
          <w:szCs w:val="28"/>
          <w:lang w:val="ro-RO"/>
        </w:rPr>
        <w:t>denumirile de origine</w:t>
      </w:r>
      <w:r w:rsidR="004B23BD" w:rsidRPr="004D7A92">
        <w:rPr>
          <w:sz w:val="28"/>
          <w:szCs w:val="28"/>
          <w:lang w:val="ro-RO"/>
        </w:rPr>
        <w:t xml:space="preserve"> (DO)</w:t>
      </w:r>
      <w:r w:rsidR="00E72815" w:rsidRPr="004D7A92">
        <w:rPr>
          <w:sz w:val="28"/>
          <w:szCs w:val="28"/>
          <w:lang w:val="ro-RO"/>
        </w:rPr>
        <w:t xml:space="preserve"> - şi celor de identificare a tradiţiei - specialităţil</w:t>
      </w:r>
      <w:r w:rsidR="00D32129" w:rsidRPr="004D7A92">
        <w:rPr>
          <w:sz w:val="28"/>
          <w:szCs w:val="28"/>
          <w:lang w:val="ro-RO"/>
        </w:rPr>
        <w:t>e</w:t>
      </w:r>
      <w:r w:rsidR="00E72815" w:rsidRPr="004D7A92">
        <w:rPr>
          <w:sz w:val="28"/>
          <w:szCs w:val="28"/>
          <w:lang w:val="ro-RO"/>
        </w:rPr>
        <w:t xml:space="preserve"> tradiţionale garantate</w:t>
      </w:r>
      <w:r w:rsidR="004B23BD" w:rsidRPr="004D7A92">
        <w:rPr>
          <w:sz w:val="28"/>
          <w:szCs w:val="28"/>
          <w:lang w:val="ro-RO"/>
        </w:rPr>
        <w:t xml:space="preserve"> (STG)</w:t>
      </w:r>
      <w:r w:rsidR="00D32129" w:rsidRPr="004D7A92">
        <w:rPr>
          <w:sz w:val="28"/>
          <w:szCs w:val="28"/>
          <w:lang w:val="ro-RO"/>
        </w:rPr>
        <w:t>,</w:t>
      </w:r>
      <w:r w:rsidR="000852CE" w:rsidRPr="004D7A92">
        <w:rPr>
          <w:sz w:val="28"/>
          <w:szCs w:val="28"/>
          <w:lang w:val="ro-RO"/>
        </w:rPr>
        <w:t xml:space="preserve"> constituie elementul-cheie în politica de calitate a </w:t>
      </w:r>
      <w:r w:rsidR="00416003" w:rsidRPr="004D7A92">
        <w:rPr>
          <w:sz w:val="28"/>
          <w:szCs w:val="28"/>
          <w:lang w:val="ro-RO"/>
        </w:rPr>
        <w:t>Uniunii Europene</w:t>
      </w:r>
      <w:r w:rsidR="000852CE" w:rsidRPr="004D7A92">
        <w:rPr>
          <w:sz w:val="28"/>
          <w:szCs w:val="28"/>
          <w:lang w:val="ro-RO"/>
        </w:rPr>
        <w:t>.</w:t>
      </w:r>
      <w:r w:rsidR="00F821EF" w:rsidRPr="004D7A92">
        <w:rPr>
          <w:sz w:val="28"/>
          <w:szCs w:val="28"/>
          <w:lang w:val="ro-RO"/>
        </w:rPr>
        <w:t xml:space="preserve"> </w:t>
      </w:r>
    </w:p>
    <w:p w:rsidR="00D82CF1" w:rsidRPr="004D7A92" w:rsidRDefault="00F821EF" w:rsidP="006D3B3C">
      <w:pPr>
        <w:autoSpaceDE w:val="0"/>
        <w:autoSpaceDN w:val="0"/>
        <w:adjustRightInd w:val="0"/>
        <w:jc w:val="both"/>
        <w:rPr>
          <w:sz w:val="28"/>
          <w:szCs w:val="28"/>
          <w:lang w:val="ro-MD"/>
        </w:rPr>
      </w:pPr>
      <w:r w:rsidRPr="004D7A92">
        <w:rPr>
          <w:sz w:val="28"/>
          <w:szCs w:val="28"/>
          <w:lang w:val="ro-RO"/>
        </w:rPr>
        <w:tab/>
      </w:r>
      <w:r w:rsidR="00D82CF1" w:rsidRPr="004D7A92">
        <w:rPr>
          <w:sz w:val="28"/>
          <w:szCs w:val="28"/>
          <w:lang w:val="ro-RO"/>
        </w:rPr>
        <w:t xml:space="preserve">Sistemul de protecție a IG, DO și STG în Republica Moldova este constituit și reglementat de prevederile Legii nr. 66-XVI din 27.03.2008 privind protecţia indicaţiilor geografice, denumirilor de origine şi specialităţilor tradiţionale garantate,  </w:t>
      </w:r>
      <w:r w:rsidR="00A111DC" w:rsidRPr="004D7A92">
        <w:rPr>
          <w:sz w:val="28"/>
          <w:szCs w:val="28"/>
          <w:lang w:val="ro-RO"/>
        </w:rPr>
        <w:t xml:space="preserve">ale </w:t>
      </w:r>
      <w:r w:rsidR="00D82CF1" w:rsidRPr="004D7A92">
        <w:rPr>
          <w:sz w:val="28"/>
          <w:szCs w:val="28"/>
          <w:lang w:val="ro-MD"/>
        </w:rPr>
        <w:t xml:space="preserve">Regulamentului privind procedura de depunere, examinare și înregistrare a indicațiilor geografice, a denumirilor de origine și a specialităților tradiționale garantate, aprobat prin </w:t>
      </w:r>
      <w:r w:rsidR="00D82CF1" w:rsidRPr="004D7A92">
        <w:rPr>
          <w:bCs/>
          <w:sz w:val="28"/>
          <w:szCs w:val="28"/>
          <w:lang w:val="ro-MD"/>
        </w:rPr>
        <w:t xml:space="preserve">Hotărârea Guvernului nr.610 din 5 iulie 2010, </w:t>
      </w:r>
      <w:r w:rsidR="00A111DC" w:rsidRPr="004D7A92">
        <w:rPr>
          <w:bCs/>
          <w:sz w:val="28"/>
          <w:szCs w:val="28"/>
          <w:lang w:val="ro-MD"/>
        </w:rPr>
        <w:t xml:space="preserve">cu modificările și completările ulterioare, </w:t>
      </w:r>
      <w:r w:rsidR="00D82CF1" w:rsidRPr="004D7A92">
        <w:rPr>
          <w:bCs/>
          <w:sz w:val="28"/>
          <w:szCs w:val="28"/>
          <w:lang w:val="ro-MD"/>
        </w:rPr>
        <w:t xml:space="preserve">iar cadrul instituțional necesar funcționării acestui sistem </w:t>
      </w:r>
      <w:r w:rsidR="00A111DC" w:rsidRPr="004D7A92">
        <w:rPr>
          <w:bCs/>
          <w:sz w:val="28"/>
          <w:szCs w:val="28"/>
          <w:lang w:val="ro-MD"/>
        </w:rPr>
        <w:t xml:space="preserve">a fost </w:t>
      </w:r>
      <w:r w:rsidR="00D82CF1" w:rsidRPr="004D7A92">
        <w:rPr>
          <w:bCs/>
          <w:sz w:val="28"/>
          <w:szCs w:val="28"/>
          <w:lang w:val="ro-MD"/>
        </w:rPr>
        <w:t xml:space="preserve">desemnat prin Hotărârea Guvernului Guvernului </w:t>
      </w:r>
      <w:r w:rsidR="00D82CF1" w:rsidRPr="004D7A92">
        <w:rPr>
          <w:sz w:val="28"/>
          <w:szCs w:val="28"/>
          <w:lang w:val="ro-MD"/>
        </w:rPr>
        <w:t>nr. 644  din  19.07.2010 cu privire la desemnarea autorităţilor competente abilitate cu atribuţii şi responsabilităţi referitoare la produsele cu denumiri de origine şi indicaţii geografice şi la specialităţile tradiţionale garantate şi a autorităţilor competente responsabile de controale</w:t>
      </w:r>
      <w:r w:rsidR="00EF0492" w:rsidRPr="004D7A92">
        <w:rPr>
          <w:sz w:val="28"/>
          <w:szCs w:val="28"/>
          <w:lang w:val="ro-MD"/>
        </w:rPr>
        <w:t>le oficiale</w:t>
      </w:r>
      <w:r w:rsidR="003A6FDB" w:rsidRPr="004D7A92">
        <w:rPr>
          <w:sz w:val="28"/>
          <w:szCs w:val="28"/>
          <w:lang w:val="ro-MD"/>
        </w:rPr>
        <w:t xml:space="preserve">, </w:t>
      </w:r>
      <w:r w:rsidR="003A6FDB" w:rsidRPr="004D7A92">
        <w:rPr>
          <w:sz w:val="28"/>
          <w:szCs w:val="28"/>
          <w:lang w:val="ro-RO"/>
        </w:rPr>
        <w:t>în scopul executării prevederilor art. 33 şi 34 ale Legii nr. 66/2008</w:t>
      </w:r>
      <w:r w:rsidR="00D82CF1" w:rsidRPr="004D7A92">
        <w:rPr>
          <w:sz w:val="28"/>
          <w:szCs w:val="28"/>
          <w:lang w:val="ro-MD"/>
        </w:rPr>
        <w:t xml:space="preserve">.  </w:t>
      </w:r>
    </w:p>
    <w:p w:rsidR="006F2346" w:rsidRPr="004D7A92" w:rsidRDefault="0057331F" w:rsidP="006D3B3C">
      <w:pPr>
        <w:ind w:firstLine="561"/>
        <w:jc w:val="both"/>
        <w:rPr>
          <w:sz w:val="28"/>
          <w:szCs w:val="28"/>
          <w:lang w:val="ro-RO"/>
        </w:rPr>
      </w:pPr>
      <w:r w:rsidRPr="004D7A92">
        <w:rPr>
          <w:sz w:val="28"/>
          <w:szCs w:val="28"/>
          <w:lang w:val="ro-RO"/>
        </w:rPr>
        <w:t xml:space="preserve"> </w:t>
      </w:r>
      <w:r w:rsidR="006F2346" w:rsidRPr="004D7A92">
        <w:rPr>
          <w:sz w:val="28"/>
          <w:szCs w:val="28"/>
          <w:lang w:val="ro-RO"/>
        </w:rPr>
        <w:t xml:space="preserve">Astfel, pentru a beneficia de o </w:t>
      </w:r>
      <w:r w:rsidR="004B23BD" w:rsidRPr="004D7A92">
        <w:rPr>
          <w:sz w:val="28"/>
          <w:szCs w:val="28"/>
          <w:lang w:val="ro-RO"/>
        </w:rPr>
        <w:t>IG</w:t>
      </w:r>
      <w:r w:rsidR="006F2346" w:rsidRPr="004D7A92">
        <w:rPr>
          <w:sz w:val="28"/>
          <w:szCs w:val="28"/>
          <w:lang w:val="ro-RO"/>
        </w:rPr>
        <w:t xml:space="preserve"> sau de o </w:t>
      </w:r>
      <w:r w:rsidR="004B23BD" w:rsidRPr="004D7A92">
        <w:rPr>
          <w:sz w:val="28"/>
          <w:szCs w:val="28"/>
          <w:lang w:val="ro-RO"/>
        </w:rPr>
        <w:t>DO,</w:t>
      </w:r>
      <w:r w:rsidR="00EF0492" w:rsidRPr="004D7A92">
        <w:rPr>
          <w:sz w:val="28"/>
          <w:szCs w:val="28"/>
          <w:lang w:val="ro-RO"/>
        </w:rPr>
        <w:t xml:space="preserve"> </w:t>
      </w:r>
      <w:r w:rsidR="006F2346" w:rsidRPr="004D7A92">
        <w:rPr>
          <w:sz w:val="28"/>
          <w:szCs w:val="28"/>
          <w:lang w:val="ro-RO"/>
        </w:rPr>
        <w:t xml:space="preserve"> ori pentru a fi recunoscut ca </w:t>
      </w:r>
      <w:r w:rsidR="00EF0492" w:rsidRPr="004D7A92">
        <w:rPr>
          <w:sz w:val="28"/>
          <w:szCs w:val="28"/>
          <w:lang w:val="ro-RO"/>
        </w:rPr>
        <w:t>STG</w:t>
      </w:r>
      <w:r w:rsidR="006F2346" w:rsidRPr="004D7A92">
        <w:rPr>
          <w:sz w:val="28"/>
          <w:szCs w:val="28"/>
          <w:lang w:val="ro-RO"/>
        </w:rPr>
        <w:t xml:space="preserve">, un produs trebuie să fie conform condiţiilor stabilite într-un caiet de sarcini, omologat printr-o decizie a autorităţii competente abilitate. În atribuţiile acestor autorităţi intră de asemenea definitivarea principiilor generale, precum şi aprobarea etapelor şi procedurilor de control în scopul asigurării respectării caietelor de sarcini pentru produsele cu </w:t>
      </w:r>
      <w:r w:rsidR="00EF0492" w:rsidRPr="004D7A92">
        <w:rPr>
          <w:sz w:val="28"/>
          <w:szCs w:val="28"/>
          <w:lang w:val="ro-RO"/>
        </w:rPr>
        <w:t>IG</w:t>
      </w:r>
      <w:r w:rsidR="006F2346" w:rsidRPr="004D7A92">
        <w:rPr>
          <w:sz w:val="28"/>
          <w:szCs w:val="28"/>
          <w:lang w:val="ro-RO"/>
        </w:rPr>
        <w:t xml:space="preserve">, </w:t>
      </w:r>
      <w:r w:rsidR="00EF0492" w:rsidRPr="004D7A92">
        <w:rPr>
          <w:sz w:val="28"/>
          <w:szCs w:val="28"/>
          <w:lang w:val="ro-RO"/>
        </w:rPr>
        <w:t>DO</w:t>
      </w:r>
      <w:r w:rsidR="006F2346" w:rsidRPr="004D7A92">
        <w:rPr>
          <w:sz w:val="28"/>
          <w:szCs w:val="28"/>
          <w:lang w:val="ro-RO"/>
        </w:rPr>
        <w:t xml:space="preserve"> sau a </w:t>
      </w:r>
      <w:r w:rsidR="00EF0492" w:rsidRPr="004D7A92">
        <w:rPr>
          <w:sz w:val="28"/>
          <w:szCs w:val="28"/>
          <w:lang w:val="ro-RO"/>
        </w:rPr>
        <w:t>STG</w:t>
      </w:r>
      <w:r w:rsidR="006F2346" w:rsidRPr="004D7A92">
        <w:rPr>
          <w:sz w:val="28"/>
          <w:szCs w:val="28"/>
          <w:lang w:val="ro-RO"/>
        </w:rPr>
        <w:t xml:space="preserve"> din domeniul reglementat. </w:t>
      </w:r>
    </w:p>
    <w:p w:rsidR="006F2346" w:rsidRPr="004D7A92" w:rsidRDefault="0057331F" w:rsidP="006D3B3C">
      <w:pPr>
        <w:ind w:firstLine="561"/>
        <w:jc w:val="both"/>
        <w:rPr>
          <w:sz w:val="28"/>
          <w:szCs w:val="28"/>
          <w:lang w:val="ro-RO"/>
        </w:rPr>
      </w:pPr>
      <w:r w:rsidRPr="004D7A92">
        <w:rPr>
          <w:sz w:val="28"/>
          <w:szCs w:val="28"/>
          <w:lang w:val="ro-RO"/>
        </w:rPr>
        <w:t xml:space="preserve">  </w:t>
      </w:r>
      <w:r w:rsidR="006F2346" w:rsidRPr="004D7A92">
        <w:rPr>
          <w:sz w:val="28"/>
          <w:szCs w:val="28"/>
          <w:lang w:val="ro-RO"/>
        </w:rPr>
        <w:t xml:space="preserve">Prevederile legale din domeniu conferă oricărui producător, care respectă dispoziţiile normative în vigoare, dreptul să beneficieze de un sistem de control oficial, realizat de o autoritate competentă, desemnată în corespundere cu legislaţia privind evaluarea conformităţii produselor, în scopul stabilirii conformităţii produselor care beneficiază de </w:t>
      </w:r>
      <w:r w:rsidR="004B23BD" w:rsidRPr="004D7A92">
        <w:rPr>
          <w:sz w:val="28"/>
          <w:szCs w:val="28"/>
          <w:lang w:val="ro-RO"/>
        </w:rPr>
        <w:t>IG</w:t>
      </w:r>
      <w:r w:rsidR="006F2346" w:rsidRPr="004D7A92">
        <w:rPr>
          <w:sz w:val="28"/>
          <w:szCs w:val="28"/>
          <w:lang w:val="ro-RO"/>
        </w:rPr>
        <w:t xml:space="preserve"> şi de </w:t>
      </w:r>
      <w:r w:rsidR="004B23BD" w:rsidRPr="004D7A92">
        <w:rPr>
          <w:sz w:val="28"/>
          <w:szCs w:val="28"/>
          <w:lang w:val="ro-RO"/>
        </w:rPr>
        <w:t>DO</w:t>
      </w:r>
      <w:r w:rsidR="006F2346" w:rsidRPr="004D7A92">
        <w:rPr>
          <w:sz w:val="28"/>
          <w:szCs w:val="28"/>
          <w:lang w:val="ro-RO"/>
        </w:rPr>
        <w:t xml:space="preserve">, precum şi conformităţii </w:t>
      </w:r>
      <w:r w:rsidR="00EF0492" w:rsidRPr="004D7A92">
        <w:rPr>
          <w:sz w:val="28"/>
          <w:szCs w:val="28"/>
          <w:lang w:val="ro-RO"/>
        </w:rPr>
        <w:t>STG.</w:t>
      </w:r>
      <w:r w:rsidR="006F2346" w:rsidRPr="004D7A92">
        <w:rPr>
          <w:sz w:val="28"/>
          <w:szCs w:val="28"/>
          <w:lang w:val="ro-RO"/>
        </w:rPr>
        <w:t xml:space="preserve"> </w:t>
      </w:r>
    </w:p>
    <w:p w:rsidR="00A60362" w:rsidRPr="004D7A92" w:rsidRDefault="008C2F33" w:rsidP="006D3B3C">
      <w:pPr>
        <w:pStyle w:val="ListParagraph"/>
        <w:spacing w:after="0" w:line="240" w:lineRule="auto"/>
        <w:ind w:left="0" w:firstLine="561"/>
        <w:jc w:val="both"/>
        <w:rPr>
          <w:rFonts w:ascii="Times New Roman" w:eastAsia="Calibri" w:hAnsi="Times New Roman" w:cs="Times New Roman"/>
          <w:bCs/>
          <w:sz w:val="28"/>
          <w:szCs w:val="28"/>
          <w:lang w:val="ro-RO"/>
        </w:rPr>
      </w:pPr>
      <w:r w:rsidRPr="004D7A92">
        <w:rPr>
          <w:rFonts w:ascii="Times New Roman" w:hAnsi="Times New Roman" w:cs="Times New Roman"/>
          <w:sz w:val="28"/>
          <w:szCs w:val="28"/>
          <w:lang w:val="ro-RO"/>
        </w:rPr>
        <w:t xml:space="preserve"> </w:t>
      </w:r>
      <w:r w:rsidR="00A111DC" w:rsidRPr="004D7A92">
        <w:rPr>
          <w:rFonts w:ascii="Times New Roman" w:hAnsi="Times New Roman" w:cs="Times New Roman"/>
          <w:sz w:val="28"/>
          <w:szCs w:val="28"/>
          <w:lang w:val="ro-MD"/>
        </w:rPr>
        <w:t xml:space="preserve">Totodată, </w:t>
      </w:r>
      <w:r w:rsidR="00CE1C5D" w:rsidRPr="004D7A92">
        <w:rPr>
          <w:rFonts w:ascii="Times New Roman" w:hAnsi="Times New Roman" w:cs="Times New Roman"/>
          <w:sz w:val="28"/>
          <w:szCs w:val="28"/>
          <w:lang w:val="ro-MD"/>
        </w:rPr>
        <w:t xml:space="preserve">deși </w:t>
      </w:r>
      <w:r w:rsidR="00CE1C5D" w:rsidRPr="004D7A92">
        <w:rPr>
          <w:rFonts w:ascii="Times New Roman" w:hAnsi="Times New Roman" w:cs="Times New Roman"/>
          <w:bCs/>
          <w:sz w:val="28"/>
          <w:szCs w:val="28"/>
          <w:lang w:val="ro-MD"/>
        </w:rPr>
        <w:t xml:space="preserve">prin Hotărârea Guvernului </w:t>
      </w:r>
      <w:r w:rsidR="00CE1C5D" w:rsidRPr="004D7A92">
        <w:rPr>
          <w:rFonts w:ascii="Times New Roman" w:hAnsi="Times New Roman" w:cs="Times New Roman"/>
          <w:sz w:val="28"/>
          <w:szCs w:val="28"/>
          <w:lang w:val="ro-MD"/>
        </w:rPr>
        <w:t>nr.644  din  19.07.2010 au fost desemnat</w:t>
      </w:r>
      <w:r w:rsidR="006F2346" w:rsidRPr="004D7A92">
        <w:rPr>
          <w:rFonts w:ascii="Times New Roman" w:hAnsi="Times New Roman" w:cs="Times New Roman"/>
          <w:sz w:val="28"/>
          <w:szCs w:val="28"/>
          <w:lang w:val="ro-MD"/>
        </w:rPr>
        <w:t>e</w:t>
      </w:r>
      <w:r w:rsidR="00CE1C5D" w:rsidRPr="004D7A92">
        <w:rPr>
          <w:rFonts w:ascii="Times New Roman" w:hAnsi="Times New Roman" w:cs="Times New Roman"/>
          <w:sz w:val="28"/>
          <w:szCs w:val="28"/>
          <w:lang w:val="ro-MD"/>
        </w:rPr>
        <w:t xml:space="preserve"> autoritățile vizate, în </w:t>
      </w:r>
      <w:r w:rsidR="006F2346" w:rsidRPr="004D7A92">
        <w:rPr>
          <w:rFonts w:ascii="Times New Roman" w:hAnsi="Times New Roman" w:cs="Times New Roman"/>
          <w:sz w:val="28"/>
          <w:szCs w:val="28"/>
          <w:lang w:val="ro-MD"/>
        </w:rPr>
        <w:t xml:space="preserve">cadrul funcționării </w:t>
      </w:r>
      <w:r w:rsidR="003A6FDB" w:rsidRPr="004D7A92">
        <w:rPr>
          <w:rFonts w:ascii="Times New Roman" w:hAnsi="Times New Roman" w:cs="Times New Roman"/>
          <w:sz w:val="28"/>
          <w:szCs w:val="28"/>
          <w:lang w:val="ro-MD"/>
        </w:rPr>
        <w:t>sistemul</w:t>
      </w:r>
      <w:r w:rsidR="006F2346" w:rsidRPr="004D7A92">
        <w:rPr>
          <w:rFonts w:ascii="Times New Roman" w:hAnsi="Times New Roman" w:cs="Times New Roman"/>
          <w:sz w:val="28"/>
          <w:szCs w:val="28"/>
          <w:lang w:val="ro-MD"/>
        </w:rPr>
        <w:t>ui</w:t>
      </w:r>
      <w:r w:rsidR="003A6FDB" w:rsidRPr="004D7A92">
        <w:rPr>
          <w:rFonts w:ascii="Times New Roman" w:hAnsi="Times New Roman" w:cs="Times New Roman"/>
          <w:sz w:val="28"/>
          <w:szCs w:val="28"/>
          <w:lang w:val="ro-MD"/>
        </w:rPr>
        <w:t xml:space="preserve"> </w:t>
      </w:r>
      <w:r w:rsidR="003A6FDB" w:rsidRPr="004D7A92">
        <w:rPr>
          <w:rFonts w:ascii="Times New Roman" w:hAnsi="Times New Roman" w:cs="Times New Roman"/>
          <w:sz w:val="28"/>
          <w:szCs w:val="28"/>
          <w:lang w:val="ro-RO"/>
        </w:rPr>
        <w:t xml:space="preserve">de protecție a IG, DO și STG </w:t>
      </w:r>
      <w:r w:rsidR="00CE1C5D" w:rsidRPr="004D7A92">
        <w:rPr>
          <w:rFonts w:ascii="Times New Roman" w:hAnsi="Times New Roman" w:cs="Times New Roman"/>
          <w:sz w:val="28"/>
          <w:szCs w:val="28"/>
          <w:lang w:val="ro-RO"/>
        </w:rPr>
        <w:t>au fost constatate deficiențe cauzate de lipsa unor organisme sau instituții de verificare (certificare) a conformității produselor cu IG, DO și STG</w:t>
      </w:r>
      <w:r w:rsidR="006F2346" w:rsidRPr="004D7A92">
        <w:rPr>
          <w:rFonts w:ascii="Times New Roman" w:hAnsi="Times New Roman" w:cs="Times New Roman"/>
          <w:sz w:val="28"/>
          <w:szCs w:val="28"/>
          <w:lang w:val="ro-RO"/>
        </w:rPr>
        <w:t xml:space="preserve">. </w:t>
      </w:r>
      <w:r w:rsidR="00A60362" w:rsidRPr="004D7A92">
        <w:rPr>
          <w:rFonts w:ascii="Times New Roman" w:eastAsia="Calibri" w:hAnsi="Times New Roman" w:cs="Times New Roman"/>
          <w:bCs/>
          <w:sz w:val="28"/>
          <w:szCs w:val="28"/>
          <w:lang w:val="ro-RO"/>
        </w:rPr>
        <w:t xml:space="preserve">Această problemă a constiuit </w:t>
      </w:r>
      <w:r w:rsidR="006D3B3C" w:rsidRPr="004D7A92">
        <w:rPr>
          <w:rFonts w:ascii="Times New Roman" w:eastAsia="Calibri" w:hAnsi="Times New Roman" w:cs="Times New Roman"/>
          <w:bCs/>
          <w:sz w:val="28"/>
          <w:szCs w:val="28"/>
          <w:lang w:val="ro-RO"/>
        </w:rPr>
        <w:t xml:space="preserve">și </w:t>
      </w:r>
      <w:r w:rsidR="00A60362" w:rsidRPr="004D7A92">
        <w:rPr>
          <w:rFonts w:ascii="Times New Roman" w:eastAsia="Calibri" w:hAnsi="Times New Roman" w:cs="Times New Roman"/>
          <w:bCs/>
          <w:sz w:val="28"/>
          <w:szCs w:val="28"/>
          <w:lang w:val="ro-RO"/>
        </w:rPr>
        <w:t xml:space="preserve">subiectul organizării, la data de 21.11.2017, de către Comisia </w:t>
      </w:r>
      <w:r w:rsidR="00A60362" w:rsidRPr="004D7A92">
        <w:rPr>
          <w:rFonts w:ascii="Times New Roman" w:eastAsia="Calibri" w:hAnsi="Times New Roman" w:cs="Times New Roman"/>
          <w:bCs/>
          <w:sz w:val="28"/>
          <w:szCs w:val="28"/>
          <w:lang w:val="ro-RO"/>
        </w:rPr>
        <w:lastRenderedPageBreak/>
        <w:t>parlamentară cultură, educație, tineret, sport și masa-media a audierilor publice cu referire la ”Asigurarea funcționalității sistemului național de indicații geografice prin instituirea unui sistem accesibil de certificare a calității și originii produselor”, cu participarea reprezentanților AGEPI, Ministerului Agriculturii, Dezvoltării Regionale și Mediului, Oficiului Național al Viei și Vinului, Ministerului Educației, Culturii și Cercetării, Centrului Național de Acreditare,  Agenției Naționale pentru Siguranța Alimentelor și Agenției pentru Protecția Consumatorilor, urmare cărora comisia parlamentară a recomandat identificarea organismelor de evaluare a conformității cu funcții de certificare pentru diferite categorii de produse, ce ar putea fi abilitate cu responsabilități privind certificarea produselor cu IG, DO și a STG, precum și modificarea Hotărârii Guvernului nr. 644 din 19.07.2010, în vederea desemnării organelor de certificare a produselor cu IG, DO și a STG, precum și a autorităților competente responsabile de controalele oficiale privind conformitatea produselor cu DO, IG și a STG</w:t>
      </w:r>
      <w:r w:rsidRPr="004D7A92">
        <w:rPr>
          <w:rFonts w:ascii="Times New Roman" w:eastAsia="Calibri" w:hAnsi="Times New Roman" w:cs="Times New Roman"/>
          <w:bCs/>
          <w:sz w:val="28"/>
          <w:szCs w:val="28"/>
          <w:lang w:val="ro-RO"/>
        </w:rPr>
        <w:t xml:space="preserve">. </w:t>
      </w:r>
    </w:p>
    <w:p w:rsidR="00344D82" w:rsidRPr="004D7A92" w:rsidRDefault="00344D82" w:rsidP="006D3B3C">
      <w:pPr>
        <w:ind w:firstLine="708"/>
        <w:jc w:val="both"/>
        <w:rPr>
          <w:rFonts w:eastAsia="Calibri"/>
          <w:bCs/>
          <w:sz w:val="28"/>
          <w:szCs w:val="28"/>
          <w:lang w:val="ro-RO"/>
        </w:rPr>
      </w:pPr>
      <w:r w:rsidRPr="004D7A92">
        <w:rPr>
          <w:sz w:val="28"/>
          <w:szCs w:val="28"/>
          <w:lang w:val="ro-RO"/>
        </w:rPr>
        <w:t xml:space="preserve">În acest sens, AGEPI a solicitat printr-un demers oficial (expediat la data de 22.12.2017), </w:t>
      </w:r>
      <w:r w:rsidRPr="004D7A92">
        <w:rPr>
          <w:rFonts w:eastAsia="Calibri"/>
          <w:bCs/>
          <w:sz w:val="28"/>
          <w:szCs w:val="28"/>
          <w:lang w:val="ro-RO"/>
        </w:rPr>
        <w:t xml:space="preserve">autorităților competente abilitate cu atribuții și responsabilități în domeniu (Ministerul Agriculturii, Dezvoltării Regionale și Mediului, Ministerul Sănătății, Muncii și Protecției Sociale și Ministerul Educației, Culturii și Cercetării) propunerile corespunzătoare cu referire la subiectul vizat, precum și a organizat un șir de întrevederi cu reprezentanții autorităților implicate,  în vederea indentificării posibilelor soluții care ar contribui la instituirea acestui sistem de control oficial. </w:t>
      </w:r>
    </w:p>
    <w:p w:rsidR="00A60362" w:rsidRPr="004D7A92" w:rsidRDefault="00A60362" w:rsidP="006D3B3C">
      <w:pPr>
        <w:shd w:val="clear" w:color="auto" w:fill="FFFFFF"/>
        <w:ind w:firstLine="708"/>
        <w:jc w:val="both"/>
        <w:textAlignment w:val="baseline"/>
        <w:rPr>
          <w:sz w:val="28"/>
          <w:szCs w:val="28"/>
          <w:lang w:val="ro-RO"/>
        </w:rPr>
      </w:pPr>
      <w:r w:rsidRPr="004D7A92">
        <w:rPr>
          <w:sz w:val="28"/>
          <w:szCs w:val="28"/>
          <w:lang w:val="ro-MD"/>
        </w:rPr>
        <w:t xml:space="preserve">Urmare propunerilor recepționate și </w:t>
      </w:r>
      <w:r w:rsidR="008C2F33" w:rsidRPr="004D7A92">
        <w:rPr>
          <w:sz w:val="28"/>
          <w:szCs w:val="28"/>
          <w:lang w:val="ro-MD"/>
        </w:rPr>
        <w:t>aspectelor</w:t>
      </w:r>
      <w:r w:rsidRPr="004D7A92">
        <w:rPr>
          <w:sz w:val="28"/>
          <w:szCs w:val="28"/>
          <w:lang w:val="ro-MD"/>
        </w:rPr>
        <w:t xml:space="preserve"> abordate în cadrul ședințelor menționate a fost </w:t>
      </w:r>
      <w:r w:rsidR="00344D82" w:rsidRPr="004D7A92">
        <w:rPr>
          <w:sz w:val="28"/>
          <w:szCs w:val="28"/>
          <w:lang w:val="ro-MD"/>
        </w:rPr>
        <w:t xml:space="preserve"> </w:t>
      </w:r>
      <w:r w:rsidR="00EF0492" w:rsidRPr="004D7A92">
        <w:rPr>
          <w:sz w:val="28"/>
          <w:szCs w:val="28"/>
          <w:lang w:val="ro-RO"/>
        </w:rPr>
        <w:t xml:space="preserve">elaborat </w:t>
      </w:r>
      <w:r w:rsidR="00EF0492" w:rsidRPr="004D7A92">
        <w:rPr>
          <w:i/>
          <w:sz w:val="28"/>
          <w:szCs w:val="28"/>
          <w:lang w:val="ro-RO"/>
        </w:rPr>
        <w:t xml:space="preserve">proiectul Hotărârii Guvernului Republicii Moldova cu privire la </w:t>
      </w:r>
      <w:r w:rsidR="00EF0492" w:rsidRPr="004D7A92">
        <w:rPr>
          <w:bCs/>
          <w:i/>
          <w:sz w:val="28"/>
          <w:szCs w:val="28"/>
          <w:lang w:val="ro-MD"/>
        </w:rPr>
        <w:t>stabilirea cadrului instituțional necesar și a unor măsuri pentru producerea și plasarea pe piață a produselor cu denumiri de origine protejate, cu indicaţii geografice protejate şi a specialităţilor tradiţionale garantate</w:t>
      </w:r>
      <w:r w:rsidRPr="004D7A92">
        <w:rPr>
          <w:bCs/>
          <w:sz w:val="28"/>
          <w:szCs w:val="28"/>
          <w:lang w:val="ro-MD"/>
        </w:rPr>
        <w:t xml:space="preserve">, </w:t>
      </w:r>
      <w:r w:rsidR="008C2F33" w:rsidRPr="004D7A92">
        <w:rPr>
          <w:bCs/>
          <w:sz w:val="28"/>
          <w:szCs w:val="28"/>
          <w:lang w:val="ro-MD"/>
        </w:rPr>
        <w:t>necesar</w:t>
      </w:r>
      <w:r w:rsidR="008C2F33" w:rsidRPr="004D7A92">
        <w:rPr>
          <w:sz w:val="28"/>
          <w:szCs w:val="28"/>
          <w:lang w:val="ro-RO"/>
        </w:rPr>
        <w:t xml:space="preserve"> </w:t>
      </w:r>
      <w:r w:rsidRPr="004D7A92">
        <w:rPr>
          <w:sz w:val="28"/>
          <w:szCs w:val="28"/>
          <w:lang w:val="ro-RO"/>
        </w:rPr>
        <w:t xml:space="preserve"> </w:t>
      </w:r>
      <w:r w:rsidR="008C2F33" w:rsidRPr="004D7A92">
        <w:rPr>
          <w:sz w:val="28"/>
          <w:szCs w:val="28"/>
          <w:lang w:val="ro-RO"/>
        </w:rPr>
        <w:t xml:space="preserve">asigurării mecanismului </w:t>
      </w:r>
      <w:r w:rsidR="009946DF" w:rsidRPr="004D7A92">
        <w:rPr>
          <w:sz w:val="28"/>
          <w:szCs w:val="28"/>
          <w:lang w:val="ro-RO"/>
        </w:rPr>
        <w:t xml:space="preserve">de realizare a </w:t>
      </w:r>
      <w:r w:rsidRPr="004D7A92">
        <w:rPr>
          <w:sz w:val="28"/>
          <w:szCs w:val="28"/>
          <w:lang w:val="ro-RO"/>
        </w:rPr>
        <w:t>controlului oficial, garantat producătorilor de Legea nr. 66-XVI din 27.03.2008 privind protecția indicațiilor geografice, denumirilor de origine și specialităților tradiționale garantate. </w:t>
      </w:r>
    </w:p>
    <w:p w:rsidR="008C2F33" w:rsidRPr="004D7A92" w:rsidRDefault="00A60362" w:rsidP="000D4961">
      <w:pPr>
        <w:shd w:val="clear" w:color="auto" w:fill="FFFFFF"/>
        <w:ind w:firstLine="708"/>
        <w:jc w:val="both"/>
        <w:textAlignment w:val="baseline"/>
        <w:rPr>
          <w:sz w:val="28"/>
          <w:szCs w:val="28"/>
          <w:lang w:val="ro-MD"/>
        </w:rPr>
      </w:pPr>
      <w:r w:rsidRPr="004D7A92">
        <w:rPr>
          <w:sz w:val="28"/>
          <w:szCs w:val="28"/>
          <w:lang w:val="ro-RO"/>
        </w:rPr>
        <w:t xml:space="preserve">Proiectul în cauză stabilește expres </w:t>
      </w:r>
      <w:r w:rsidRPr="004D7A92">
        <w:rPr>
          <w:bCs/>
          <w:sz w:val="28"/>
          <w:szCs w:val="28"/>
          <w:lang w:val="ro-MD"/>
        </w:rPr>
        <w:t>autoritățile competente</w:t>
      </w:r>
      <w:r w:rsidR="008C2F33" w:rsidRPr="004D7A92">
        <w:rPr>
          <w:sz w:val="28"/>
          <w:szCs w:val="28"/>
          <w:lang w:val="ro-MD"/>
        </w:rPr>
        <w:t xml:space="preserve"> abilitate cu atribuții și responsabilități referitoare la produsele cu </w:t>
      </w:r>
      <w:r w:rsidR="006D3B3C" w:rsidRPr="004D7A92">
        <w:rPr>
          <w:sz w:val="28"/>
          <w:szCs w:val="28"/>
          <w:lang w:val="ro-MD"/>
        </w:rPr>
        <w:t>IG</w:t>
      </w:r>
      <w:r w:rsidR="008C2F33" w:rsidRPr="004D7A92">
        <w:rPr>
          <w:sz w:val="28"/>
          <w:szCs w:val="28"/>
          <w:lang w:val="ro-MD"/>
        </w:rPr>
        <w:t xml:space="preserve">, </w:t>
      </w:r>
      <w:r w:rsidR="006D3B3C" w:rsidRPr="004D7A92">
        <w:rPr>
          <w:sz w:val="28"/>
          <w:szCs w:val="28"/>
          <w:lang w:val="ro-MD"/>
        </w:rPr>
        <w:t>DO</w:t>
      </w:r>
      <w:r w:rsidR="008C2F33" w:rsidRPr="004D7A92">
        <w:rPr>
          <w:sz w:val="28"/>
          <w:szCs w:val="28"/>
          <w:lang w:val="ro-MD"/>
        </w:rPr>
        <w:t>, STG</w:t>
      </w:r>
      <w:r w:rsidRPr="004D7A92">
        <w:rPr>
          <w:bCs/>
          <w:sz w:val="28"/>
          <w:szCs w:val="28"/>
          <w:lang w:val="ro-MD"/>
        </w:rPr>
        <w:t xml:space="preserve">, </w:t>
      </w:r>
      <w:r w:rsidR="008C2F33" w:rsidRPr="004D7A92">
        <w:rPr>
          <w:bCs/>
          <w:sz w:val="28"/>
          <w:szCs w:val="28"/>
          <w:lang w:val="ro-MD"/>
        </w:rPr>
        <w:t>a</w:t>
      </w:r>
      <w:r w:rsidR="008C2F33" w:rsidRPr="004D7A92">
        <w:rPr>
          <w:sz w:val="28"/>
          <w:szCs w:val="28"/>
          <w:lang w:val="ro-MD"/>
        </w:rPr>
        <w:t xml:space="preserve">utoritățile competente responsabile de verificarea conformității produselor  cu </w:t>
      </w:r>
      <w:r w:rsidR="006D3B3C" w:rsidRPr="004D7A92">
        <w:rPr>
          <w:sz w:val="28"/>
          <w:szCs w:val="28"/>
          <w:lang w:val="ro-MD"/>
        </w:rPr>
        <w:t>IG</w:t>
      </w:r>
      <w:r w:rsidR="008C2F33" w:rsidRPr="004D7A92">
        <w:rPr>
          <w:sz w:val="28"/>
          <w:szCs w:val="28"/>
          <w:lang w:val="ro-MD"/>
        </w:rPr>
        <w:t xml:space="preserve">P, </w:t>
      </w:r>
      <w:r w:rsidR="006D3B3C" w:rsidRPr="004D7A92">
        <w:rPr>
          <w:sz w:val="28"/>
          <w:szCs w:val="28"/>
          <w:lang w:val="ro-MD"/>
        </w:rPr>
        <w:t>DO</w:t>
      </w:r>
      <w:r w:rsidR="008C2F33" w:rsidRPr="004D7A92">
        <w:rPr>
          <w:sz w:val="28"/>
          <w:szCs w:val="28"/>
          <w:lang w:val="ro-MD"/>
        </w:rPr>
        <w:t xml:space="preserve">P și a STG cu caietele  de sarcini corespunzătoare și certificarea acestora înainte de plasarea pe piață, autoritățile competente responsabile de </w:t>
      </w:r>
      <w:r w:rsidR="008C2F33" w:rsidRPr="004D7A92">
        <w:rPr>
          <w:color w:val="000000"/>
          <w:sz w:val="28"/>
          <w:szCs w:val="28"/>
          <w:lang w:val="ro-MD"/>
        </w:rPr>
        <w:t xml:space="preserve">supravegherea utilizării denumirilor înregistrate </w:t>
      </w:r>
      <w:r w:rsidR="008C2F33" w:rsidRPr="004D7A92">
        <w:rPr>
          <w:sz w:val="28"/>
          <w:szCs w:val="28"/>
          <w:lang w:val="ro-MD"/>
        </w:rPr>
        <w:t xml:space="preserve">a produselor cu </w:t>
      </w:r>
      <w:r w:rsidR="006D3B3C" w:rsidRPr="004D7A92">
        <w:rPr>
          <w:sz w:val="28"/>
          <w:szCs w:val="28"/>
          <w:lang w:val="ro-MD"/>
        </w:rPr>
        <w:t>IG</w:t>
      </w:r>
      <w:r w:rsidR="008C2F33" w:rsidRPr="004D7A92">
        <w:rPr>
          <w:sz w:val="28"/>
          <w:szCs w:val="28"/>
          <w:lang w:val="ro-MD"/>
        </w:rPr>
        <w:t xml:space="preserve">P, </w:t>
      </w:r>
      <w:r w:rsidR="006D3B3C" w:rsidRPr="004D7A92">
        <w:rPr>
          <w:sz w:val="28"/>
          <w:szCs w:val="28"/>
          <w:lang w:val="ro-MD"/>
        </w:rPr>
        <w:t>DO</w:t>
      </w:r>
      <w:r w:rsidR="008C2F33" w:rsidRPr="004D7A92">
        <w:rPr>
          <w:sz w:val="28"/>
          <w:szCs w:val="28"/>
          <w:lang w:val="ro-MD"/>
        </w:rPr>
        <w:t>P, STG plasate pe piață, în funcție de categoriile de produse sistematizate conform domeniilor reglementa</w:t>
      </w:r>
      <w:r w:rsidR="009946DF" w:rsidRPr="004D7A92">
        <w:rPr>
          <w:sz w:val="28"/>
          <w:szCs w:val="28"/>
          <w:lang w:val="ro-MD"/>
        </w:rPr>
        <w:t xml:space="preserve">te </w:t>
      </w:r>
      <w:r w:rsidR="008C2F33" w:rsidRPr="004D7A92">
        <w:rPr>
          <w:sz w:val="28"/>
          <w:szCs w:val="28"/>
          <w:lang w:val="ro-MD"/>
        </w:rPr>
        <w:t xml:space="preserve">aflate în competența </w:t>
      </w:r>
      <w:r w:rsidR="009946DF" w:rsidRPr="004D7A92">
        <w:rPr>
          <w:sz w:val="28"/>
          <w:szCs w:val="28"/>
          <w:lang w:val="ro-MD"/>
        </w:rPr>
        <w:t>acestora</w:t>
      </w:r>
      <w:r w:rsidR="008C2F33" w:rsidRPr="004D7A92">
        <w:rPr>
          <w:sz w:val="28"/>
          <w:szCs w:val="28"/>
          <w:lang w:val="ro-MD"/>
        </w:rPr>
        <w:t xml:space="preserve">. Totodată, proiectul </w:t>
      </w:r>
      <w:r w:rsidR="009946DF" w:rsidRPr="004D7A92">
        <w:rPr>
          <w:sz w:val="28"/>
          <w:szCs w:val="28"/>
          <w:lang w:val="ro-MD"/>
        </w:rPr>
        <w:t>stabilește</w:t>
      </w:r>
      <w:r w:rsidR="008C2F33" w:rsidRPr="004D7A92">
        <w:rPr>
          <w:sz w:val="28"/>
          <w:szCs w:val="28"/>
          <w:lang w:val="ro-MD"/>
        </w:rPr>
        <w:t xml:space="preserve"> atribuţiile şi responsabilităţile a</w:t>
      </w:r>
      <w:r w:rsidR="009946DF" w:rsidRPr="004D7A92">
        <w:rPr>
          <w:sz w:val="28"/>
          <w:szCs w:val="28"/>
          <w:lang w:val="ro-MD"/>
        </w:rPr>
        <w:t>utorităților vizate</w:t>
      </w:r>
      <w:r w:rsidR="008C2F33" w:rsidRPr="004D7A92">
        <w:rPr>
          <w:sz w:val="28"/>
          <w:szCs w:val="28"/>
          <w:lang w:val="ro-MD"/>
        </w:rPr>
        <w:t xml:space="preserve"> referitoare la produsele cu </w:t>
      </w:r>
      <w:r w:rsidR="006D3B3C" w:rsidRPr="004D7A92">
        <w:rPr>
          <w:sz w:val="28"/>
          <w:szCs w:val="28"/>
          <w:lang w:val="ro-MD"/>
        </w:rPr>
        <w:t>IG</w:t>
      </w:r>
      <w:r w:rsidR="008C2F33" w:rsidRPr="004D7A92">
        <w:rPr>
          <w:sz w:val="28"/>
          <w:szCs w:val="28"/>
          <w:lang w:val="ro-MD"/>
        </w:rPr>
        <w:t xml:space="preserve">, </w:t>
      </w:r>
      <w:r w:rsidR="006D3B3C" w:rsidRPr="004D7A92">
        <w:rPr>
          <w:sz w:val="28"/>
          <w:szCs w:val="28"/>
          <w:lang w:val="ro-MD"/>
        </w:rPr>
        <w:t>DO</w:t>
      </w:r>
      <w:r w:rsidR="008C2F33" w:rsidRPr="004D7A92">
        <w:rPr>
          <w:sz w:val="28"/>
          <w:szCs w:val="28"/>
          <w:lang w:val="ro-MD"/>
        </w:rPr>
        <w:t xml:space="preserve"> şi la STG, precum și unele măsuri care urmează a fi realizate în scopul asigurării funcționalității acestui sistem. </w:t>
      </w:r>
    </w:p>
    <w:p w:rsidR="000D4961" w:rsidRPr="004D7A92" w:rsidRDefault="000D4961" w:rsidP="000D4961">
      <w:pPr>
        <w:ind w:firstLine="708"/>
        <w:jc w:val="both"/>
        <w:rPr>
          <w:sz w:val="28"/>
          <w:szCs w:val="28"/>
          <w:lang w:val="ro-RO"/>
        </w:rPr>
      </w:pPr>
      <w:r w:rsidRPr="004D7A92">
        <w:rPr>
          <w:sz w:val="28"/>
          <w:szCs w:val="28"/>
          <w:lang w:val="ro-MD"/>
        </w:rPr>
        <w:t>Proiectul a fost examinat şi avizat de către</w:t>
      </w:r>
      <w:r w:rsidRPr="004D7A92">
        <w:rPr>
          <w:sz w:val="28"/>
          <w:szCs w:val="28"/>
          <w:lang w:val="ro-RO"/>
        </w:rPr>
        <w:t xml:space="preserve"> Ministerul Agriculturii, Dezvoltării Regionale și Mediului, Ministerul Sănătății, Muncii și Protecției Sociale, Ministerul Finanțelor, Ministerul Afacerilor Interne, Ministerul Afacerilor Externe și Integrării Europene, </w:t>
      </w:r>
      <w:r w:rsidR="004221E4">
        <w:rPr>
          <w:sz w:val="28"/>
          <w:szCs w:val="28"/>
          <w:lang w:val="ro-RO"/>
        </w:rPr>
        <w:t xml:space="preserve">Ministerul Economiei și Infrastructurii, </w:t>
      </w:r>
      <w:r w:rsidRPr="004D7A92">
        <w:rPr>
          <w:sz w:val="28"/>
          <w:szCs w:val="28"/>
          <w:lang w:val="ro-RO"/>
        </w:rPr>
        <w:t xml:space="preserve">Agenția pentru Protecția Consumatorilor și Supravegherea Pieței, Agenția Națională pentru Siguranța Alimentelor, Ministerul Educaţiei, Culturii şi Cercetării, Agenția pentru Supraveghere Tehnică, Agenția Națională pentru Sănătate Publică, Confederația </w:t>
      </w:r>
      <w:r w:rsidRPr="00980E91">
        <w:rPr>
          <w:sz w:val="28"/>
          <w:szCs w:val="28"/>
          <w:lang w:val="ro-RO"/>
        </w:rPr>
        <w:lastRenderedPageBreak/>
        <w:t xml:space="preserve">Națională a Sindicatelor din Moldova, </w:t>
      </w:r>
      <w:r w:rsidR="0008350D" w:rsidRPr="00980E91">
        <w:rPr>
          <w:sz w:val="28"/>
          <w:szCs w:val="28"/>
          <w:lang w:val="ro-RO"/>
        </w:rPr>
        <w:t>Consiliul Concurenței,</w:t>
      </w:r>
      <w:r w:rsidR="00980E91" w:rsidRPr="00980E91">
        <w:rPr>
          <w:sz w:val="28"/>
          <w:szCs w:val="28"/>
          <w:lang w:val="ro-RO"/>
        </w:rPr>
        <w:t xml:space="preserve"> </w:t>
      </w:r>
      <w:r w:rsidR="00980E91" w:rsidRPr="00980E91">
        <w:rPr>
          <w:sz w:val="28"/>
          <w:szCs w:val="28"/>
          <w:lang w:val="ro-RO"/>
        </w:rPr>
        <w:t>precum și expertizat de către Centrul Național Anticorupție</w:t>
      </w:r>
      <w:r w:rsidR="00980E91">
        <w:rPr>
          <w:sz w:val="28"/>
          <w:szCs w:val="28"/>
          <w:lang w:val="ro-RO"/>
        </w:rPr>
        <w:t>,</w:t>
      </w:r>
      <w:bookmarkStart w:id="0" w:name="_GoBack"/>
      <w:bookmarkEnd w:id="0"/>
      <w:r w:rsidR="0008350D" w:rsidRPr="00980E91">
        <w:rPr>
          <w:sz w:val="28"/>
          <w:szCs w:val="28"/>
          <w:lang w:val="ro-RO"/>
        </w:rPr>
        <w:t xml:space="preserve"> </w:t>
      </w:r>
      <w:r w:rsidRPr="00980E91">
        <w:rPr>
          <w:sz w:val="28"/>
          <w:szCs w:val="28"/>
          <w:lang w:val="ro-MD"/>
        </w:rPr>
        <w:t>propunerile şi recomandările cărora au fost luate în considerare la definitivarea proiectului.</w:t>
      </w:r>
    </w:p>
    <w:p w:rsidR="004B23BD" w:rsidRPr="004D7A92" w:rsidRDefault="0088051C" w:rsidP="006D3B3C">
      <w:pPr>
        <w:ind w:firstLine="708"/>
        <w:jc w:val="both"/>
        <w:rPr>
          <w:bCs/>
          <w:color w:val="000000"/>
          <w:sz w:val="28"/>
          <w:szCs w:val="28"/>
          <w:lang w:val="ro-MD"/>
        </w:rPr>
      </w:pPr>
      <w:r w:rsidRPr="004D7A92">
        <w:rPr>
          <w:sz w:val="28"/>
          <w:szCs w:val="28"/>
          <w:lang w:val="ro-RO"/>
        </w:rPr>
        <w:t xml:space="preserve">În această ordine de idei, precizăm că înlăturarea deficiențelor sistemului de protecție a IG, DO și STG constituie o necesitate ce derivă din </w:t>
      </w:r>
      <w:r w:rsidR="00D82CF1" w:rsidRPr="004D7A92">
        <w:rPr>
          <w:rFonts w:eastAsia="Calibri"/>
          <w:bCs/>
          <w:sz w:val="28"/>
          <w:szCs w:val="28"/>
          <w:lang w:val="ro-RO"/>
        </w:rPr>
        <w:t>angajamentel</w:t>
      </w:r>
      <w:r w:rsidRPr="004D7A92">
        <w:rPr>
          <w:rFonts w:eastAsia="Calibri"/>
          <w:bCs/>
          <w:sz w:val="28"/>
          <w:szCs w:val="28"/>
          <w:lang w:val="ro-RO"/>
        </w:rPr>
        <w:t>e</w:t>
      </w:r>
      <w:r w:rsidR="00D82CF1" w:rsidRPr="004D7A92">
        <w:rPr>
          <w:rFonts w:eastAsia="Calibri"/>
          <w:bCs/>
          <w:sz w:val="28"/>
          <w:szCs w:val="28"/>
          <w:lang w:val="ro-RO"/>
        </w:rPr>
        <w:t xml:space="preserve"> asumate </w:t>
      </w:r>
      <w:r w:rsidR="00D82CF1" w:rsidRPr="004D7A92">
        <w:rPr>
          <w:rFonts w:eastAsia="Calibri"/>
          <w:sz w:val="28"/>
          <w:szCs w:val="28"/>
          <w:lang w:val="ro-RO"/>
        </w:rPr>
        <w:t xml:space="preserve">pe segmentul IG, DO și STG </w:t>
      </w:r>
      <w:r w:rsidR="00D82CF1" w:rsidRPr="004D7A92">
        <w:rPr>
          <w:rFonts w:eastAsia="Calibri"/>
          <w:bCs/>
          <w:sz w:val="28"/>
          <w:szCs w:val="28"/>
          <w:lang w:val="ro-RO"/>
        </w:rPr>
        <w:t xml:space="preserve">de către Republica Moldova urmare semnării </w:t>
      </w:r>
      <w:r w:rsidR="00D82CF1" w:rsidRPr="004D7A92">
        <w:rPr>
          <w:rFonts w:eastAsia="Calibri"/>
          <w:sz w:val="28"/>
          <w:szCs w:val="28"/>
          <w:lang w:val="ro-RO"/>
        </w:rPr>
        <w:t xml:space="preserve">Acordului de Asociere dintre Republica Moldova </w:t>
      </w:r>
      <w:r w:rsidR="00D82CF1" w:rsidRPr="004D7A92">
        <w:rPr>
          <w:bCs/>
          <w:sz w:val="28"/>
          <w:szCs w:val="28"/>
          <w:lang w:val="ro-RO"/>
        </w:rPr>
        <w:t>pe de o parte, şi Uniunea Europeană şi Comunitatea Europeană a Energiei Atomice şi statele membre ale acestora, pe de altă parte</w:t>
      </w:r>
      <w:r w:rsidR="00D82CF1" w:rsidRPr="004D7A92">
        <w:rPr>
          <w:rFonts w:eastAsia="Calibri"/>
          <w:sz w:val="28"/>
          <w:szCs w:val="28"/>
          <w:lang w:val="ro-RO"/>
        </w:rPr>
        <w:t xml:space="preserve">, din data de 27.06.2014, </w:t>
      </w:r>
      <w:r w:rsidRPr="004D7A92">
        <w:rPr>
          <w:rFonts w:eastAsia="Calibri"/>
          <w:sz w:val="28"/>
          <w:szCs w:val="28"/>
          <w:lang w:val="ro-RO"/>
        </w:rPr>
        <w:t xml:space="preserve">dar și o prioritate </w:t>
      </w:r>
      <w:r w:rsidR="004B23BD" w:rsidRPr="004D7A92">
        <w:rPr>
          <w:rFonts w:eastAsia="Calibri"/>
          <w:sz w:val="28"/>
          <w:szCs w:val="28"/>
          <w:lang w:val="ro-RO"/>
        </w:rPr>
        <w:t xml:space="preserve">pentru economia națională, dat fiind faptul că </w:t>
      </w:r>
      <w:r w:rsidR="004B23BD" w:rsidRPr="004D7A92">
        <w:rPr>
          <w:sz w:val="28"/>
          <w:szCs w:val="28"/>
          <w:lang w:val="ro-RO"/>
        </w:rPr>
        <w:t>potențialul  major  al produselor cu IG, DO și STG constitui</w:t>
      </w:r>
      <w:r w:rsidR="006D3B3C" w:rsidRPr="004D7A92">
        <w:rPr>
          <w:sz w:val="28"/>
          <w:szCs w:val="28"/>
          <w:lang w:val="ro-RO"/>
        </w:rPr>
        <w:t>e</w:t>
      </w:r>
      <w:r w:rsidR="004B23BD" w:rsidRPr="004D7A92">
        <w:rPr>
          <w:sz w:val="28"/>
          <w:szCs w:val="28"/>
          <w:lang w:val="ro-RO"/>
        </w:rPr>
        <w:t xml:space="preserve"> </w:t>
      </w:r>
      <w:r w:rsidR="004B23BD" w:rsidRPr="004D7A92">
        <w:rPr>
          <w:sz w:val="28"/>
          <w:szCs w:val="28"/>
          <w:lang w:val="ro-MD"/>
        </w:rPr>
        <w:t>un instrument puternic de dezvoltare economică ş</w:t>
      </w:r>
      <w:r w:rsidR="006D3B3C" w:rsidRPr="004D7A92">
        <w:rPr>
          <w:sz w:val="28"/>
          <w:szCs w:val="28"/>
          <w:lang w:val="ro-MD"/>
        </w:rPr>
        <w:t xml:space="preserve">i de progres social şi cultural. În contextul celor relatate </w:t>
      </w:r>
      <w:r w:rsidR="004B23BD" w:rsidRPr="004D7A92">
        <w:rPr>
          <w:bCs/>
          <w:color w:val="000000"/>
          <w:sz w:val="28"/>
          <w:szCs w:val="28"/>
          <w:lang w:val="ro-MD"/>
        </w:rPr>
        <w:t xml:space="preserve">considerăm necesară promovarea proiectului în cauză. </w:t>
      </w:r>
    </w:p>
    <w:p w:rsidR="00AC79C1" w:rsidRDefault="00D82CF1" w:rsidP="00B259F2">
      <w:pPr>
        <w:autoSpaceDE w:val="0"/>
        <w:autoSpaceDN w:val="0"/>
        <w:adjustRightInd w:val="0"/>
        <w:jc w:val="both"/>
        <w:rPr>
          <w:bCs/>
          <w:sz w:val="28"/>
          <w:szCs w:val="28"/>
          <w:lang w:val="ro-MD"/>
        </w:rPr>
      </w:pPr>
      <w:r w:rsidRPr="004D7A92">
        <w:rPr>
          <w:sz w:val="28"/>
          <w:szCs w:val="28"/>
          <w:lang w:val="ro-RO"/>
        </w:rPr>
        <w:tab/>
      </w:r>
      <w:r w:rsidRPr="004D7A92">
        <w:rPr>
          <w:bCs/>
          <w:sz w:val="28"/>
          <w:szCs w:val="28"/>
          <w:lang w:val="ro-MD"/>
        </w:rPr>
        <w:t xml:space="preserve"> </w:t>
      </w:r>
    </w:p>
    <w:p w:rsidR="004D7A92" w:rsidRDefault="004D7A92" w:rsidP="00B259F2">
      <w:pPr>
        <w:autoSpaceDE w:val="0"/>
        <w:autoSpaceDN w:val="0"/>
        <w:adjustRightInd w:val="0"/>
        <w:jc w:val="both"/>
        <w:rPr>
          <w:bCs/>
          <w:sz w:val="28"/>
          <w:szCs w:val="28"/>
          <w:lang w:val="ro-MD"/>
        </w:rPr>
      </w:pPr>
    </w:p>
    <w:p w:rsidR="004D7A92" w:rsidRDefault="004D7A92" w:rsidP="00B259F2">
      <w:pPr>
        <w:autoSpaceDE w:val="0"/>
        <w:autoSpaceDN w:val="0"/>
        <w:adjustRightInd w:val="0"/>
        <w:jc w:val="both"/>
        <w:rPr>
          <w:bCs/>
          <w:sz w:val="28"/>
          <w:szCs w:val="28"/>
          <w:lang w:val="ro-MD"/>
        </w:rPr>
      </w:pPr>
    </w:p>
    <w:p w:rsidR="004D7A92" w:rsidRDefault="004D7A92" w:rsidP="00B259F2">
      <w:pPr>
        <w:autoSpaceDE w:val="0"/>
        <w:autoSpaceDN w:val="0"/>
        <w:adjustRightInd w:val="0"/>
        <w:jc w:val="both"/>
        <w:rPr>
          <w:bCs/>
          <w:sz w:val="28"/>
          <w:szCs w:val="28"/>
          <w:lang w:val="ro-MD"/>
        </w:rPr>
      </w:pPr>
    </w:p>
    <w:p w:rsidR="004D7A92" w:rsidRPr="004D7A92" w:rsidRDefault="004D7A92" w:rsidP="00B259F2">
      <w:pPr>
        <w:autoSpaceDE w:val="0"/>
        <w:autoSpaceDN w:val="0"/>
        <w:adjustRightInd w:val="0"/>
        <w:jc w:val="both"/>
        <w:rPr>
          <w:sz w:val="28"/>
          <w:szCs w:val="28"/>
          <w:lang w:val="ro-RO"/>
        </w:rPr>
      </w:pPr>
    </w:p>
    <w:p w:rsidR="007F5472" w:rsidRPr="004D7A92" w:rsidRDefault="00C9395C" w:rsidP="006D3B3C">
      <w:pPr>
        <w:ind w:firstLine="5670"/>
        <w:rPr>
          <w:rStyle w:val="Emphasis"/>
          <w:b/>
          <w:i w:val="0"/>
          <w:sz w:val="28"/>
          <w:szCs w:val="28"/>
          <w:lang w:val="it-IT"/>
        </w:rPr>
      </w:pPr>
      <w:r w:rsidRPr="004D7A92">
        <w:rPr>
          <w:rStyle w:val="Emphasis"/>
          <w:b/>
          <w:i w:val="0"/>
          <w:sz w:val="28"/>
          <w:szCs w:val="28"/>
          <w:lang w:val="it-IT"/>
        </w:rPr>
        <w:t>Lilia Bolocan</w:t>
      </w:r>
      <w:r w:rsidR="007F5472" w:rsidRPr="004D7A92">
        <w:rPr>
          <w:rStyle w:val="Emphasis"/>
          <w:b/>
          <w:i w:val="0"/>
          <w:sz w:val="28"/>
          <w:szCs w:val="28"/>
          <w:lang w:val="it-IT"/>
        </w:rPr>
        <w:t>,</w:t>
      </w:r>
    </w:p>
    <w:p w:rsidR="007F5472" w:rsidRPr="004D7A92" w:rsidRDefault="007F5472" w:rsidP="006D3B3C">
      <w:pPr>
        <w:ind w:firstLine="5670"/>
        <w:rPr>
          <w:rStyle w:val="Emphasis"/>
          <w:b/>
          <w:i w:val="0"/>
          <w:sz w:val="28"/>
          <w:szCs w:val="28"/>
          <w:lang w:val="it-IT"/>
        </w:rPr>
      </w:pPr>
      <w:r w:rsidRPr="004D7A92">
        <w:rPr>
          <w:rStyle w:val="Emphasis"/>
          <w:b/>
          <w:i w:val="0"/>
          <w:sz w:val="28"/>
          <w:szCs w:val="28"/>
          <w:lang w:val="it-IT"/>
        </w:rPr>
        <w:t xml:space="preserve">Director General al </w:t>
      </w:r>
    </w:p>
    <w:p w:rsidR="007F5472" w:rsidRPr="004D7A92" w:rsidRDefault="007F5472" w:rsidP="006D3B3C">
      <w:pPr>
        <w:ind w:firstLine="5670"/>
        <w:rPr>
          <w:rStyle w:val="Emphasis"/>
          <w:b/>
          <w:i w:val="0"/>
          <w:sz w:val="28"/>
          <w:szCs w:val="28"/>
          <w:lang w:val="it-IT"/>
        </w:rPr>
      </w:pPr>
      <w:r w:rsidRPr="004D7A92">
        <w:rPr>
          <w:rStyle w:val="Emphasis"/>
          <w:b/>
          <w:i w:val="0"/>
          <w:sz w:val="28"/>
          <w:szCs w:val="28"/>
          <w:lang w:val="it-IT"/>
        </w:rPr>
        <w:t>Agenţiei de Stat pentru</w:t>
      </w:r>
    </w:p>
    <w:p w:rsidR="007F5472" w:rsidRPr="004D7A92" w:rsidRDefault="007F5472" w:rsidP="006D3B3C">
      <w:pPr>
        <w:ind w:firstLine="5670"/>
        <w:rPr>
          <w:rStyle w:val="Emphasis"/>
          <w:b/>
          <w:i w:val="0"/>
          <w:sz w:val="28"/>
          <w:szCs w:val="28"/>
          <w:lang w:val="it-IT"/>
        </w:rPr>
      </w:pPr>
      <w:r w:rsidRPr="004D7A92">
        <w:rPr>
          <w:rStyle w:val="Emphasis"/>
          <w:b/>
          <w:i w:val="0"/>
          <w:sz w:val="28"/>
          <w:szCs w:val="28"/>
          <w:lang w:val="it-IT"/>
        </w:rPr>
        <w:t>Proprietatea Intelectuală</w:t>
      </w:r>
    </w:p>
    <w:sectPr w:rsidR="007F5472" w:rsidRPr="004D7A92" w:rsidSect="006D3B3C">
      <w:footerReference w:type="even" r:id="rId7"/>
      <w:footerReference w:type="default" r:id="rId8"/>
      <w:pgSz w:w="11906" w:h="16838" w:code="9"/>
      <w:pgMar w:top="709" w:right="707" w:bottom="107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30E" w:rsidRDefault="00E5330E">
      <w:r>
        <w:separator/>
      </w:r>
    </w:p>
  </w:endnote>
  <w:endnote w:type="continuationSeparator" w:id="0">
    <w:p w:rsidR="00E5330E" w:rsidRDefault="00E5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4" w:rsidRDefault="00E32164" w:rsidP="002C0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2164" w:rsidRDefault="00E32164" w:rsidP="004F03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4" w:rsidRDefault="00E32164" w:rsidP="002C0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0E91">
      <w:rPr>
        <w:rStyle w:val="PageNumber"/>
        <w:noProof/>
      </w:rPr>
      <w:t>3</w:t>
    </w:r>
    <w:r>
      <w:rPr>
        <w:rStyle w:val="PageNumber"/>
      </w:rPr>
      <w:fldChar w:fldCharType="end"/>
    </w:r>
  </w:p>
  <w:p w:rsidR="00E32164" w:rsidRDefault="00E32164" w:rsidP="004F03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30E" w:rsidRDefault="00E5330E">
      <w:r>
        <w:separator/>
      </w:r>
    </w:p>
  </w:footnote>
  <w:footnote w:type="continuationSeparator" w:id="0">
    <w:p w:rsidR="00E5330E" w:rsidRDefault="00E5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3036"/>
    <w:multiLevelType w:val="hybridMultilevel"/>
    <w:tmpl w:val="F4F29F32"/>
    <w:lvl w:ilvl="0" w:tplc="8F54F1DA">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2A4F614A"/>
    <w:multiLevelType w:val="hybridMultilevel"/>
    <w:tmpl w:val="8EA02160"/>
    <w:lvl w:ilvl="0" w:tplc="0419000F">
      <w:start w:val="1"/>
      <w:numFmt w:val="decimal"/>
      <w:lvlText w:val="%1."/>
      <w:lvlJc w:val="left"/>
      <w:pPr>
        <w:tabs>
          <w:tab w:val="num" w:pos="900"/>
        </w:tabs>
        <w:ind w:left="900" w:hanging="360"/>
      </w:pPr>
    </w:lvl>
    <w:lvl w:ilvl="1" w:tplc="0419000F">
      <w:start w:val="1"/>
      <w:numFmt w:val="decimal"/>
      <w:lvlText w:val="%2."/>
      <w:lvlJc w:val="left"/>
      <w:pPr>
        <w:tabs>
          <w:tab w:val="num" w:pos="900"/>
        </w:tabs>
        <w:ind w:left="90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46DE07EF"/>
    <w:multiLevelType w:val="hybridMultilevel"/>
    <w:tmpl w:val="A5842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E91C3B"/>
    <w:multiLevelType w:val="hybridMultilevel"/>
    <w:tmpl w:val="9A3A2F16"/>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 w15:restartNumberingAfterBreak="0">
    <w:nsid w:val="622619AF"/>
    <w:multiLevelType w:val="hybridMultilevel"/>
    <w:tmpl w:val="2192669A"/>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5" w15:restartNumberingAfterBreak="0">
    <w:nsid w:val="70C05735"/>
    <w:multiLevelType w:val="hybridMultilevel"/>
    <w:tmpl w:val="BA142FAA"/>
    <w:lvl w:ilvl="0" w:tplc="0419000F">
      <w:start w:val="1"/>
      <w:numFmt w:val="decimal"/>
      <w:lvlText w:val="%1."/>
      <w:lvlJc w:val="left"/>
      <w:pPr>
        <w:tabs>
          <w:tab w:val="num" w:pos="1035"/>
        </w:tabs>
        <w:ind w:left="1035" w:hanging="360"/>
      </w:pPr>
    </w:lvl>
    <w:lvl w:ilvl="1" w:tplc="DEC48D96">
      <w:numFmt w:val="bullet"/>
      <w:lvlText w:val=""/>
      <w:lvlJc w:val="left"/>
      <w:pPr>
        <w:tabs>
          <w:tab w:val="num" w:pos="2190"/>
        </w:tabs>
        <w:ind w:left="2190" w:hanging="795"/>
      </w:pPr>
      <w:rPr>
        <w:rFonts w:ascii="Wingdings" w:eastAsia="Times New Roman" w:hAnsi="Wingdings" w:cs="Times New Roman" w:hint="default"/>
      </w:r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6" w15:restartNumberingAfterBreak="0">
    <w:nsid w:val="748975D7"/>
    <w:multiLevelType w:val="hybridMultilevel"/>
    <w:tmpl w:val="27C87B84"/>
    <w:lvl w:ilvl="0" w:tplc="D47E77EC">
      <w:start w:val="1"/>
      <w:numFmt w:val="bullet"/>
      <w:lvlText w:val="•"/>
      <w:lvlJc w:val="left"/>
      <w:pPr>
        <w:tabs>
          <w:tab w:val="num" w:pos="720"/>
        </w:tabs>
        <w:ind w:left="720" w:hanging="360"/>
      </w:pPr>
      <w:rPr>
        <w:rFonts w:ascii="Times New Roman" w:hAnsi="Times New Roman" w:hint="default"/>
      </w:rPr>
    </w:lvl>
    <w:lvl w:ilvl="1" w:tplc="0F7EC2FE" w:tentative="1">
      <w:start w:val="1"/>
      <w:numFmt w:val="bullet"/>
      <w:lvlText w:val="•"/>
      <w:lvlJc w:val="left"/>
      <w:pPr>
        <w:tabs>
          <w:tab w:val="num" w:pos="1440"/>
        </w:tabs>
        <w:ind w:left="1440" w:hanging="360"/>
      </w:pPr>
      <w:rPr>
        <w:rFonts w:ascii="Times New Roman" w:hAnsi="Times New Roman" w:hint="default"/>
      </w:rPr>
    </w:lvl>
    <w:lvl w:ilvl="2" w:tplc="048485AA" w:tentative="1">
      <w:start w:val="1"/>
      <w:numFmt w:val="bullet"/>
      <w:lvlText w:val="•"/>
      <w:lvlJc w:val="left"/>
      <w:pPr>
        <w:tabs>
          <w:tab w:val="num" w:pos="2160"/>
        </w:tabs>
        <w:ind w:left="2160" w:hanging="360"/>
      </w:pPr>
      <w:rPr>
        <w:rFonts w:ascii="Times New Roman" w:hAnsi="Times New Roman" w:hint="default"/>
      </w:rPr>
    </w:lvl>
    <w:lvl w:ilvl="3" w:tplc="33EA1838" w:tentative="1">
      <w:start w:val="1"/>
      <w:numFmt w:val="bullet"/>
      <w:lvlText w:val="•"/>
      <w:lvlJc w:val="left"/>
      <w:pPr>
        <w:tabs>
          <w:tab w:val="num" w:pos="2880"/>
        </w:tabs>
        <w:ind w:left="2880" w:hanging="360"/>
      </w:pPr>
      <w:rPr>
        <w:rFonts w:ascii="Times New Roman" w:hAnsi="Times New Roman" w:hint="default"/>
      </w:rPr>
    </w:lvl>
    <w:lvl w:ilvl="4" w:tplc="A18C077A" w:tentative="1">
      <w:start w:val="1"/>
      <w:numFmt w:val="bullet"/>
      <w:lvlText w:val="•"/>
      <w:lvlJc w:val="left"/>
      <w:pPr>
        <w:tabs>
          <w:tab w:val="num" w:pos="3600"/>
        </w:tabs>
        <w:ind w:left="3600" w:hanging="360"/>
      </w:pPr>
      <w:rPr>
        <w:rFonts w:ascii="Times New Roman" w:hAnsi="Times New Roman" w:hint="default"/>
      </w:rPr>
    </w:lvl>
    <w:lvl w:ilvl="5" w:tplc="14AA2FBE" w:tentative="1">
      <w:start w:val="1"/>
      <w:numFmt w:val="bullet"/>
      <w:lvlText w:val="•"/>
      <w:lvlJc w:val="left"/>
      <w:pPr>
        <w:tabs>
          <w:tab w:val="num" w:pos="4320"/>
        </w:tabs>
        <w:ind w:left="4320" w:hanging="360"/>
      </w:pPr>
      <w:rPr>
        <w:rFonts w:ascii="Times New Roman" w:hAnsi="Times New Roman" w:hint="default"/>
      </w:rPr>
    </w:lvl>
    <w:lvl w:ilvl="6" w:tplc="ECF64414" w:tentative="1">
      <w:start w:val="1"/>
      <w:numFmt w:val="bullet"/>
      <w:lvlText w:val="•"/>
      <w:lvlJc w:val="left"/>
      <w:pPr>
        <w:tabs>
          <w:tab w:val="num" w:pos="5040"/>
        </w:tabs>
        <w:ind w:left="5040" w:hanging="360"/>
      </w:pPr>
      <w:rPr>
        <w:rFonts w:ascii="Times New Roman" w:hAnsi="Times New Roman" w:hint="default"/>
      </w:rPr>
    </w:lvl>
    <w:lvl w:ilvl="7" w:tplc="3E50FBF6" w:tentative="1">
      <w:start w:val="1"/>
      <w:numFmt w:val="bullet"/>
      <w:lvlText w:val="•"/>
      <w:lvlJc w:val="left"/>
      <w:pPr>
        <w:tabs>
          <w:tab w:val="num" w:pos="5760"/>
        </w:tabs>
        <w:ind w:left="5760" w:hanging="360"/>
      </w:pPr>
      <w:rPr>
        <w:rFonts w:ascii="Times New Roman" w:hAnsi="Times New Roman" w:hint="default"/>
      </w:rPr>
    </w:lvl>
    <w:lvl w:ilvl="8" w:tplc="D164804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06"/>
    <w:rsid w:val="000071A7"/>
    <w:rsid w:val="00022E86"/>
    <w:rsid w:val="00026CC2"/>
    <w:rsid w:val="00041586"/>
    <w:rsid w:val="00054350"/>
    <w:rsid w:val="000670C5"/>
    <w:rsid w:val="00070CE5"/>
    <w:rsid w:val="0008350D"/>
    <w:rsid w:val="000852CE"/>
    <w:rsid w:val="000B642E"/>
    <w:rsid w:val="000B79E6"/>
    <w:rsid w:val="000D4961"/>
    <w:rsid w:val="000E7129"/>
    <w:rsid w:val="000F43D9"/>
    <w:rsid w:val="00120AFC"/>
    <w:rsid w:val="001213E7"/>
    <w:rsid w:val="00126781"/>
    <w:rsid w:val="0013247C"/>
    <w:rsid w:val="00150C0A"/>
    <w:rsid w:val="0015608E"/>
    <w:rsid w:val="001747C7"/>
    <w:rsid w:val="001879AC"/>
    <w:rsid w:val="00193733"/>
    <w:rsid w:val="00193BBE"/>
    <w:rsid w:val="001946FD"/>
    <w:rsid w:val="0019631A"/>
    <w:rsid w:val="001B75B9"/>
    <w:rsid w:val="001C72C5"/>
    <w:rsid w:val="001E702E"/>
    <w:rsid w:val="00227697"/>
    <w:rsid w:val="00234B64"/>
    <w:rsid w:val="0023550C"/>
    <w:rsid w:val="00242ABA"/>
    <w:rsid w:val="00251FDF"/>
    <w:rsid w:val="00266000"/>
    <w:rsid w:val="0029141F"/>
    <w:rsid w:val="002B1CBC"/>
    <w:rsid w:val="002B398A"/>
    <w:rsid w:val="002C0317"/>
    <w:rsid w:val="002D07C7"/>
    <w:rsid w:val="002D119C"/>
    <w:rsid w:val="002D2A9E"/>
    <w:rsid w:val="002F138E"/>
    <w:rsid w:val="002F539C"/>
    <w:rsid w:val="00303A67"/>
    <w:rsid w:val="00325F06"/>
    <w:rsid w:val="00333A18"/>
    <w:rsid w:val="00336CAD"/>
    <w:rsid w:val="00344D82"/>
    <w:rsid w:val="00371DEA"/>
    <w:rsid w:val="00376382"/>
    <w:rsid w:val="003774EF"/>
    <w:rsid w:val="00383A95"/>
    <w:rsid w:val="003873C3"/>
    <w:rsid w:val="00396AE9"/>
    <w:rsid w:val="003A6FDB"/>
    <w:rsid w:val="003B2415"/>
    <w:rsid w:val="003B5627"/>
    <w:rsid w:val="003E3768"/>
    <w:rsid w:val="00416003"/>
    <w:rsid w:val="00417D96"/>
    <w:rsid w:val="004221E4"/>
    <w:rsid w:val="0043058F"/>
    <w:rsid w:val="0044136A"/>
    <w:rsid w:val="00446B37"/>
    <w:rsid w:val="00446BCF"/>
    <w:rsid w:val="00456AC3"/>
    <w:rsid w:val="00461EAE"/>
    <w:rsid w:val="00485E9F"/>
    <w:rsid w:val="00493E48"/>
    <w:rsid w:val="004A624A"/>
    <w:rsid w:val="004B23BD"/>
    <w:rsid w:val="004C1DAA"/>
    <w:rsid w:val="004C3955"/>
    <w:rsid w:val="004C66DE"/>
    <w:rsid w:val="004D7A92"/>
    <w:rsid w:val="004E35E1"/>
    <w:rsid w:val="004F03C4"/>
    <w:rsid w:val="00502A8E"/>
    <w:rsid w:val="00505A0F"/>
    <w:rsid w:val="00534451"/>
    <w:rsid w:val="005440E3"/>
    <w:rsid w:val="0057331F"/>
    <w:rsid w:val="005B1D1B"/>
    <w:rsid w:val="005E1508"/>
    <w:rsid w:val="005E44E3"/>
    <w:rsid w:val="00615FA6"/>
    <w:rsid w:val="006354A0"/>
    <w:rsid w:val="0064128E"/>
    <w:rsid w:val="00651E1B"/>
    <w:rsid w:val="0065557E"/>
    <w:rsid w:val="006835BD"/>
    <w:rsid w:val="006951BB"/>
    <w:rsid w:val="006A000C"/>
    <w:rsid w:val="006A2F2C"/>
    <w:rsid w:val="006A5E7A"/>
    <w:rsid w:val="006A6A7F"/>
    <w:rsid w:val="006B07EB"/>
    <w:rsid w:val="006B1493"/>
    <w:rsid w:val="006D3B3C"/>
    <w:rsid w:val="006D4DA1"/>
    <w:rsid w:val="006D7501"/>
    <w:rsid w:val="006E08CD"/>
    <w:rsid w:val="006E12F3"/>
    <w:rsid w:val="006F2346"/>
    <w:rsid w:val="00706B48"/>
    <w:rsid w:val="0071009E"/>
    <w:rsid w:val="0071257D"/>
    <w:rsid w:val="0076205F"/>
    <w:rsid w:val="00771E9B"/>
    <w:rsid w:val="00776D92"/>
    <w:rsid w:val="007A24C2"/>
    <w:rsid w:val="007B63FF"/>
    <w:rsid w:val="007D5696"/>
    <w:rsid w:val="007D6751"/>
    <w:rsid w:val="007F5472"/>
    <w:rsid w:val="00806F6D"/>
    <w:rsid w:val="00810CB5"/>
    <w:rsid w:val="008116A6"/>
    <w:rsid w:val="0081209A"/>
    <w:rsid w:val="0086704B"/>
    <w:rsid w:val="00867AB7"/>
    <w:rsid w:val="0088051C"/>
    <w:rsid w:val="008A4A88"/>
    <w:rsid w:val="008B1463"/>
    <w:rsid w:val="008C2F33"/>
    <w:rsid w:val="008C7A8C"/>
    <w:rsid w:val="008D43FC"/>
    <w:rsid w:val="008D78D6"/>
    <w:rsid w:val="008E2102"/>
    <w:rsid w:val="008E7C3A"/>
    <w:rsid w:val="008F00D4"/>
    <w:rsid w:val="008F4684"/>
    <w:rsid w:val="00922FFA"/>
    <w:rsid w:val="0092474A"/>
    <w:rsid w:val="00932940"/>
    <w:rsid w:val="00932A0C"/>
    <w:rsid w:val="00940614"/>
    <w:rsid w:val="009478E4"/>
    <w:rsid w:val="00953196"/>
    <w:rsid w:val="0096726A"/>
    <w:rsid w:val="00980E91"/>
    <w:rsid w:val="009875D8"/>
    <w:rsid w:val="00990145"/>
    <w:rsid w:val="00990968"/>
    <w:rsid w:val="009946DF"/>
    <w:rsid w:val="009A244D"/>
    <w:rsid w:val="009B3108"/>
    <w:rsid w:val="009B536D"/>
    <w:rsid w:val="009C260C"/>
    <w:rsid w:val="009F26FE"/>
    <w:rsid w:val="009F6D20"/>
    <w:rsid w:val="009F6D50"/>
    <w:rsid w:val="00A111DC"/>
    <w:rsid w:val="00A2652F"/>
    <w:rsid w:val="00A447DB"/>
    <w:rsid w:val="00A450E2"/>
    <w:rsid w:val="00A46A40"/>
    <w:rsid w:val="00A550B7"/>
    <w:rsid w:val="00A60362"/>
    <w:rsid w:val="00A83465"/>
    <w:rsid w:val="00AA6F7A"/>
    <w:rsid w:val="00AA7239"/>
    <w:rsid w:val="00AB35E4"/>
    <w:rsid w:val="00AC5D25"/>
    <w:rsid w:val="00AC79C1"/>
    <w:rsid w:val="00AE137E"/>
    <w:rsid w:val="00AE3661"/>
    <w:rsid w:val="00AF0C8C"/>
    <w:rsid w:val="00AF7588"/>
    <w:rsid w:val="00B014E5"/>
    <w:rsid w:val="00B05270"/>
    <w:rsid w:val="00B10E70"/>
    <w:rsid w:val="00B259F2"/>
    <w:rsid w:val="00B430D0"/>
    <w:rsid w:val="00B54748"/>
    <w:rsid w:val="00B622CC"/>
    <w:rsid w:val="00B70B43"/>
    <w:rsid w:val="00B74793"/>
    <w:rsid w:val="00B77309"/>
    <w:rsid w:val="00B84A32"/>
    <w:rsid w:val="00B95961"/>
    <w:rsid w:val="00BC03A9"/>
    <w:rsid w:val="00BD3D03"/>
    <w:rsid w:val="00BE4A3A"/>
    <w:rsid w:val="00BE7015"/>
    <w:rsid w:val="00C00173"/>
    <w:rsid w:val="00C641EF"/>
    <w:rsid w:val="00C7240C"/>
    <w:rsid w:val="00C84186"/>
    <w:rsid w:val="00C925DE"/>
    <w:rsid w:val="00C9395C"/>
    <w:rsid w:val="00CB7EE3"/>
    <w:rsid w:val="00CC59D3"/>
    <w:rsid w:val="00CD0BAD"/>
    <w:rsid w:val="00CD10F9"/>
    <w:rsid w:val="00CD27D3"/>
    <w:rsid w:val="00CD481E"/>
    <w:rsid w:val="00CD7343"/>
    <w:rsid w:val="00CE1C5D"/>
    <w:rsid w:val="00CE6233"/>
    <w:rsid w:val="00CF2B0E"/>
    <w:rsid w:val="00CF7876"/>
    <w:rsid w:val="00D06239"/>
    <w:rsid w:val="00D0725B"/>
    <w:rsid w:val="00D32129"/>
    <w:rsid w:val="00D5751E"/>
    <w:rsid w:val="00D82CF1"/>
    <w:rsid w:val="00D869BF"/>
    <w:rsid w:val="00D86B8E"/>
    <w:rsid w:val="00DB07E7"/>
    <w:rsid w:val="00DC1A95"/>
    <w:rsid w:val="00DD3CBA"/>
    <w:rsid w:val="00DE6C1C"/>
    <w:rsid w:val="00E022DA"/>
    <w:rsid w:val="00E06860"/>
    <w:rsid w:val="00E1276C"/>
    <w:rsid w:val="00E137FC"/>
    <w:rsid w:val="00E26250"/>
    <w:rsid w:val="00E32164"/>
    <w:rsid w:val="00E47EFA"/>
    <w:rsid w:val="00E5330E"/>
    <w:rsid w:val="00E55C92"/>
    <w:rsid w:val="00E56CD7"/>
    <w:rsid w:val="00E624A8"/>
    <w:rsid w:val="00E62B55"/>
    <w:rsid w:val="00E7177C"/>
    <w:rsid w:val="00E72815"/>
    <w:rsid w:val="00E869A4"/>
    <w:rsid w:val="00E86B39"/>
    <w:rsid w:val="00E9200D"/>
    <w:rsid w:val="00E96D1D"/>
    <w:rsid w:val="00EA26A4"/>
    <w:rsid w:val="00EA414F"/>
    <w:rsid w:val="00EC15F8"/>
    <w:rsid w:val="00EC416F"/>
    <w:rsid w:val="00EC6538"/>
    <w:rsid w:val="00EE252F"/>
    <w:rsid w:val="00EE51E8"/>
    <w:rsid w:val="00EF0492"/>
    <w:rsid w:val="00EF16D2"/>
    <w:rsid w:val="00EF545E"/>
    <w:rsid w:val="00EF7EFA"/>
    <w:rsid w:val="00F11C5B"/>
    <w:rsid w:val="00F173ED"/>
    <w:rsid w:val="00F178D9"/>
    <w:rsid w:val="00F32756"/>
    <w:rsid w:val="00F36365"/>
    <w:rsid w:val="00F37FBC"/>
    <w:rsid w:val="00F43067"/>
    <w:rsid w:val="00F43777"/>
    <w:rsid w:val="00F60412"/>
    <w:rsid w:val="00F60804"/>
    <w:rsid w:val="00F7432A"/>
    <w:rsid w:val="00F821EF"/>
    <w:rsid w:val="00F849EF"/>
    <w:rsid w:val="00F9734A"/>
    <w:rsid w:val="00FB4BDE"/>
    <w:rsid w:val="00FC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1AC93"/>
  <w15:chartTrackingRefBased/>
  <w15:docId w15:val="{D7C1FC29-A74F-4382-B147-5D7A1A2D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F06"/>
    <w:rPr>
      <w:sz w:val="24"/>
      <w:szCs w:val="24"/>
    </w:rPr>
  </w:style>
  <w:style w:type="paragraph" w:styleId="Heading1">
    <w:name w:val="heading 1"/>
    <w:basedOn w:val="Normal"/>
    <w:next w:val="Normal"/>
    <w:link w:val="Heading1Char"/>
    <w:qFormat/>
    <w:rsid w:val="003873C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5F06"/>
    <w:rPr>
      <w:color w:val="0000FF"/>
      <w:u w:val="single"/>
    </w:rPr>
  </w:style>
  <w:style w:type="paragraph" w:styleId="BalloonText">
    <w:name w:val="Balloon Text"/>
    <w:basedOn w:val="Normal"/>
    <w:semiHidden/>
    <w:rsid w:val="001213E7"/>
    <w:rPr>
      <w:rFonts w:ascii="Tahoma" w:hAnsi="Tahoma" w:cs="Tahoma"/>
      <w:sz w:val="16"/>
      <w:szCs w:val="16"/>
    </w:rPr>
  </w:style>
  <w:style w:type="paragraph" w:styleId="Footer">
    <w:name w:val="footer"/>
    <w:basedOn w:val="Normal"/>
    <w:rsid w:val="004F03C4"/>
    <w:pPr>
      <w:tabs>
        <w:tab w:val="center" w:pos="4677"/>
        <w:tab w:val="right" w:pos="9355"/>
      </w:tabs>
    </w:pPr>
  </w:style>
  <w:style w:type="character" w:styleId="PageNumber">
    <w:name w:val="page number"/>
    <w:basedOn w:val="DefaultParagraphFont"/>
    <w:rsid w:val="004F03C4"/>
  </w:style>
  <w:style w:type="character" w:customStyle="1" w:styleId="Heading1Char">
    <w:name w:val="Heading 1 Char"/>
    <w:basedOn w:val="DefaultParagraphFont"/>
    <w:link w:val="Heading1"/>
    <w:rsid w:val="003873C3"/>
    <w:rPr>
      <w:rFonts w:ascii="Cambria" w:eastAsia="Times New Roman" w:hAnsi="Cambria" w:cs="Times New Roman"/>
      <w:b/>
      <w:bCs/>
      <w:kern w:val="32"/>
      <w:sz w:val="32"/>
      <w:szCs w:val="32"/>
    </w:rPr>
  </w:style>
  <w:style w:type="character" w:styleId="Emphasis">
    <w:name w:val="Emphasis"/>
    <w:basedOn w:val="DefaultParagraphFont"/>
    <w:qFormat/>
    <w:rsid w:val="003873C3"/>
    <w:rPr>
      <w:i/>
      <w:iCs/>
    </w:rPr>
  </w:style>
  <w:style w:type="paragraph" w:customStyle="1" w:styleId="tt">
    <w:name w:val="tt"/>
    <w:basedOn w:val="Normal"/>
    <w:rsid w:val="00396AE9"/>
    <w:pPr>
      <w:jc w:val="center"/>
    </w:pPr>
    <w:rPr>
      <w:b/>
      <w:bCs/>
    </w:rPr>
  </w:style>
  <w:style w:type="paragraph" w:styleId="NormalWeb">
    <w:name w:val="Normal (Web)"/>
    <w:basedOn w:val="Normal"/>
    <w:rsid w:val="00EC416F"/>
    <w:pPr>
      <w:ind w:firstLine="567"/>
      <w:jc w:val="both"/>
    </w:pPr>
  </w:style>
  <w:style w:type="paragraph" w:styleId="ListParagraph">
    <w:name w:val="List Paragraph"/>
    <w:basedOn w:val="Normal"/>
    <w:uiPriority w:val="34"/>
    <w:qFormat/>
    <w:rsid w:val="00A6036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0D496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7064">
      <w:bodyDiv w:val="1"/>
      <w:marLeft w:val="0"/>
      <w:marRight w:val="0"/>
      <w:marTop w:val="0"/>
      <w:marBottom w:val="0"/>
      <w:divBdr>
        <w:top w:val="none" w:sz="0" w:space="0" w:color="auto"/>
        <w:left w:val="none" w:sz="0" w:space="0" w:color="auto"/>
        <w:bottom w:val="none" w:sz="0" w:space="0" w:color="auto"/>
        <w:right w:val="none" w:sz="0" w:space="0" w:color="auto"/>
      </w:divBdr>
    </w:div>
    <w:div w:id="548147262">
      <w:bodyDiv w:val="1"/>
      <w:marLeft w:val="0"/>
      <w:marRight w:val="0"/>
      <w:marTop w:val="0"/>
      <w:marBottom w:val="0"/>
      <w:divBdr>
        <w:top w:val="none" w:sz="0" w:space="0" w:color="auto"/>
        <w:left w:val="none" w:sz="0" w:space="0" w:color="auto"/>
        <w:bottom w:val="none" w:sz="0" w:space="0" w:color="auto"/>
        <w:right w:val="none" w:sz="0" w:space="0" w:color="auto"/>
      </w:divBdr>
    </w:div>
    <w:div w:id="1800145480">
      <w:bodyDiv w:val="1"/>
      <w:marLeft w:val="0"/>
      <w:marRight w:val="0"/>
      <w:marTop w:val="0"/>
      <w:marBottom w:val="0"/>
      <w:divBdr>
        <w:top w:val="none" w:sz="0" w:space="0" w:color="auto"/>
        <w:left w:val="none" w:sz="0" w:space="0" w:color="auto"/>
        <w:bottom w:val="none" w:sz="0" w:space="0" w:color="auto"/>
        <w:right w:val="none" w:sz="0" w:space="0" w:color="auto"/>
      </w:divBdr>
      <w:divsChild>
        <w:div w:id="132214277">
          <w:marLeft w:val="0"/>
          <w:marRight w:val="0"/>
          <w:marTop w:val="0"/>
          <w:marBottom w:val="0"/>
          <w:divBdr>
            <w:top w:val="none" w:sz="0" w:space="0" w:color="auto"/>
            <w:left w:val="none" w:sz="0" w:space="0" w:color="auto"/>
            <w:bottom w:val="none" w:sz="0" w:space="0" w:color="auto"/>
            <w:right w:val="none" w:sz="0" w:space="0" w:color="auto"/>
          </w:divBdr>
          <w:divsChild>
            <w:div w:id="1294095479">
              <w:marLeft w:val="0"/>
              <w:marRight w:val="0"/>
              <w:marTop w:val="0"/>
              <w:marBottom w:val="0"/>
              <w:divBdr>
                <w:top w:val="none" w:sz="0" w:space="0" w:color="auto"/>
                <w:left w:val="none" w:sz="0" w:space="0" w:color="auto"/>
                <w:bottom w:val="none" w:sz="0" w:space="0" w:color="auto"/>
                <w:right w:val="none" w:sz="0" w:space="0" w:color="auto"/>
              </w:divBdr>
              <w:divsChild>
                <w:div w:id="1044251887">
                  <w:marLeft w:val="0"/>
                  <w:marRight w:val="0"/>
                  <w:marTop w:val="0"/>
                  <w:marBottom w:val="0"/>
                  <w:divBdr>
                    <w:top w:val="none" w:sz="0" w:space="0" w:color="auto"/>
                    <w:left w:val="none" w:sz="0" w:space="0" w:color="auto"/>
                    <w:bottom w:val="none" w:sz="0" w:space="0" w:color="auto"/>
                    <w:right w:val="none" w:sz="0" w:space="0" w:color="auto"/>
                  </w:divBdr>
                  <w:divsChild>
                    <w:div w:id="1111969372">
                      <w:marLeft w:val="150"/>
                      <w:marRight w:val="150"/>
                      <w:marTop w:val="0"/>
                      <w:marBottom w:val="0"/>
                      <w:divBdr>
                        <w:top w:val="none" w:sz="0" w:space="0" w:color="auto"/>
                        <w:left w:val="none" w:sz="0" w:space="0" w:color="auto"/>
                        <w:bottom w:val="none" w:sz="0" w:space="0" w:color="auto"/>
                        <w:right w:val="none" w:sz="0" w:space="0" w:color="auto"/>
                      </w:divBdr>
                      <w:divsChild>
                        <w:div w:id="504512485">
                          <w:marLeft w:val="0"/>
                          <w:marRight w:val="0"/>
                          <w:marTop w:val="0"/>
                          <w:marBottom w:val="0"/>
                          <w:divBdr>
                            <w:top w:val="none" w:sz="0" w:space="0" w:color="auto"/>
                            <w:left w:val="none" w:sz="0" w:space="0" w:color="auto"/>
                            <w:bottom w:val="none" w:sz="0" w:space="0" w:color="auto"/>
                            <w:right w:val="none" w:sz="0" w:space="0" w:color="auto"/>
                          </w:divBdr>
                          <w:divsChild>
                            <w:div w:id="1476488981">
                              <w:marLeft w:val="0"/>
                              <w:marRight w:val="0"/>
                              <w:marTop w:val="0"/>
                              <w:marBottom w:val="0"/>
                              <w:divBdr>
                                <w:top w:val="none" w:sz="0" w:space="0" w:color="auto"/>
                                <w:left w:val="none" w:sz="0" w:space="0" w:color="auto"/>
                                <w:bottom w:val="none" w:sz="0" w:space="0" w:color="auto"/>
                                <w:right w:val="none" w:sz="0" w:space="0" w:color="auto"/>
                              </w:divBdr>
                              <w:divsChild>
                                <w:div w:id="1574777114">
                                  <w:marLeft w:val="0"/>
                                  <w:marRight w:val="0"/>
                                  <w:marTop w:val="0"/>
                                  <w:marBottom w:val="0"/>
                                  <w:divBdr>
                                    <w:top w:val="none" w:sz="0" w:space="0" w:color="auto"/>
                                    <w:left w:val="none" w:sz="0" w:space="0" w:color="auto"/>
                                    <w:bottom w:val="none" w:sz="0" w:space="0" w:color="auto"/>
                                    <w:right w:val="none" w:sz="0" w:space="0" w:color="auto"/>
                                  </w:divBdr>
                                  <w:divsChild>
                                    <w:div w:id="1812946236">
                                      <w:marLeft w:val="0"/>
                                      <w:marRight w:val="0"/>
                                      <w:marTop w:val="0"/>
                                      <w:marBottom w:val="0"/>
                                      <w:divBdr>
                                        <w:top w:val="none" w:sz="0" w:space="0" w:color="auto"/>
                                        <w:left w:val="none" w:sz="0" w:space="0" w:color="auto"/>
                                        <w:bottom w:val="none" w:sz="0" w:space="0" w:color="auto"/>
                                        <w:right w:val="none" w:sz="0" w:space="0" w:color="auto"/>
                                      </w:divBdr>
                                      <w:divsChild>
                                        <w:div w:id="190724576">
                                          <w:marLeft w:val="0"/>
                                          <w:marRight w:val="0"/>
                                          <w:marTop w:val="0"/>
                                          <w:marBottom w:val="0"/>
                                          <w:divBdr>
                                            <w:top w:val="none" w:sz="0" w:space="0" w:color="auto"/>
                                            <w:left w:val="none" w:sz="0" w:space="0" w:color="auto"/>
                                            <w:bottom w:val="none" w:sz="0" w:space="0" w:color="auto"/>
                                            <w:right w:val="none" w:sz="0" w:space="0" w:color="auto"/>
                                          </w:divBdr>
                                          <w:divsChild>
                                            <w:div w:id="1013608429">
                                              <w:marLeft w:val="0"/>
                                              <w:marRight w:val="0"/>
                                              <w:marTop w:val="0"/>
                                              <w:marBottom w:val="0"/>
                                              <w:divBdr>
                                                <w:top w:val="none" w:sz="0" w:space="0" w:color="auto"/>
                                                <w:left w:val="none" w:sz="0" w:space="0" w:color="auto"/>
                                                <w:bottom w:val="none" w:sz="0" w:space="0" w:color="auto"/>
                                                <w:right w:val="none" w:sz="0" w:space="0" w:color="auto"/>
                                              </w:divBdr>
                                              <w:divsChild>
                                                <w:div w:id="82529053">
                                                  <w:marLeft w:val="0"/>
                                                  <w:marRight w:val="0"/>
                                                  <w:marTop w:val="0"/>
                                                  <w:marBottom w:val="0"/>
                                                  <w:divBdr>
                                                    <w:top w:val="none" w:sz="0" w:space="0" w:color="auto"/>
                                                    <w:left w:val="none" w:sz="0" w:space="0" w:color="auto"/>
                                                    <w:bottom w:val="none" w:sz="0" w:space="0" w:color="auto"/>
                                                    <w:right w:val="none" w:sz="0" w:space="0" w:color="auto"/>
                                                  </w:divBdr>
                                                  <w:divsChild>
                                                    <w:div w:id="1114325947">
                                                      <w:marLeft w:val="0"/>
                                                      <w:marRight w:val="0"/>
                                                      <w:marTop w:val="0"/>
                                                      <w:marBottom w:val="0"/>
                                                      <w:divBdr>
                                                        <w:top w:val="none" w:sz="0" w:space="0" w:color="auto"/>
                                                        <w:left w:val="none" w:sz="0" w:space="0" w:color="auto"/>
                                                        <w:bottom w:val="none" w:sz="0" w:space="0" w:color="auto"/>
                                                        <w:right w:val="none" w:sz="0" w:space="0" w:color="auto"/>
                                                      </w:divBdr>
                                                      <w:divsChild>
                                                        <w:div w:id="312490877">
                                                          <w:marLeft w:val="0"/>
                                                          <w:marRight w:val="0"/>
                                                          <w:marTop w:val="0"/>
                                                          <w:marBottom w:val="0"/>
                                                          <w:divBdr>
                                                            <w:top w:val="none" w:sz="0" w:space="0" w:color="auto"/>
                                                            <w:left w:val="none" w:sz="0" w:space="0" w:color="auto"/>
                                                            <w:bottom w:val="none" w:sz="0" w:space="0" w:color="auto"/>
                                                            <w:right w:val="none" w:sz="0" w:space="0" w:color="auto"/>
                                                          </w:divBdr>
                                                          <w:divsChild>
                                                            <w:div w:id="1591043740">
                                                              <w:marLeft w:val="0"/>
                                                              <w:marRight w:val="0"/>
                                                              <w:marTop w:val="0"/>
                                                              <w:marBottom w:val="0"/>
                                                              <w:divBdr>
                                                                <w:top w:val="none" w:sz="0" w:space="0" w:color="auto"/>
                                                                <w:left w:val="none" w:sz="0" w:space="0" w:color="auto"/>
                                                                <w:bottom w:val="none" w:sz="0" w:space="0" w:color="auto"/>
                                                                <w:right w:val="none" w:sz="0" w:space="0" w:color="auto"/>
                                                              </w:divBdr>
                                                              <w:divsChild>
                                                                <w:div w:id="499737386">
                                                                  <w:marLeft w:val="0"/>
                                                                  <w:marRight w:val="0"/>
                                                                  <w:marTop w:val="0"/>
                                                                  <w:marBottom w:val="0"/>
                                                                  <w:divBdr>
                                                                    <w:top w:val="none" w:sz="0" w:space="0" w:color="auto"/>
                                                                    <w:left w:val="none" w:sz="0" w:space="0" w:color="auto"/>
                                                                    <w:bottom w:val="none" w:sz="0" w:space="0" w:color="auto"/>
                                                                    <w:right w:val="none" w:sz="0" w:space="0" w:color="auto"/>
                                                                  </w:divBdr>
                                                                  <w:divsChild>
                                                                    <w:div w:id="424156933">
                                                                      <w:marLeft w:val="0"/>
                                                                      <w:marRight w:val="0"/>
                                                                      <w:marTop w:val="0"/>
                                                                      <w:marBottom w:val="0"/>
                                                                      <w:divBdr>
                                                                        <w:top w:val="none" w:sz="0" w:space="0" w:color="auto"/>
                                                                        <w:left w:val="none" w:sz="0" w:space="0" w:color="auto"/>
                                                                        <w:bottom w:val="none" w:sz="0" w:space="0" w:color="auto"/>
                                                                        <w:right w:val="none" w:sz="0" w:space="0" w:color="auto"/>
                                                                      </w:divBdr>
                                                                      <w:divsChild>
                                                                        <w:div w:id="1738899389">
                                                                          <w:marLeft w:val="0"/>
                                                                          <w:marRight w:val="0"/>
                                                                          <w:marTop w:val="0"/>
                                                                          <w:marBottom w:val="0"/>
                                                                          <w:divBdr>
                                                                            <w:top w:val="none" w:sz="0" w:space="0" w:color="auto"/>
                                                                            <w:left w:val="none" w:sz="0" w:space="0" w:color="auto"/>
                                                                            <w:bottom w:val="none" w:sz="0" w:space="0" w:color="auto"/>
                                                                            <w:right w:val="none" w:sz="0" w:space="0" w:color="auto"/>
                                                                          </w:divBdr>
                                                                          <w:divsChild>
                                                                            <w:div w:id="17811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1089</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corina</dc:creator>
  <cp:keywords/>
  <dc:description/>
  <cp:lastModifiedBy>Colsatschi Dorina</cp:lastModifiedBy>
  <cp:revision>7</cp:revision>
  <cp:lastPrinted>2018-06-25T11:19:00Z</cp:lastPrinted>
  <dcterms:created xsi:type="dcterms:W3CDTF">2018-06-21T13:14:00Z</dcterms:created>
  <dcterms:modified xsi:type="dcterms:W3CDTF">2018-07-23T07:15:00Z</dcterms:modified>
</cp:coreProperties>
</file>