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71" w:rsidRDefault="009A0B71"/>
    <w:p w:rsidR="009A0B71" w:rsidRDefault="009A0B71"/>
    <w:p w:rsidR="009A0B71" w:rsidRDefault="009A0B71"/>
    <w:p w:rsidR="009A0B71" w:rsidRDefault="009A0B71"/>
    <w:tbl>
      <w:tblPr>
        <w:tblW w:w="10350" w:type="dxa"/>
        <w:tblInd w:w="-635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10350"/>
      </w:tblGrid>
      <w:tr w:rsidR="00756C60" w:rsidRPr="00891803" w:rsidTr="00891803">
        <w:trPr>
          <w:trHeight w:val="1832"/>
        </w:trPr>
        <w:tc>
          <w:tcPr>
            <w:tcW w:w="10350" w:type="dxa"/>
            <w:shd w:val="clear" w:color="auto" w:fill="FFFFFF" w:themeFill="background1"/>
          </w:tcPr>
          <w:p w:rsidR="00756C60" w:rsidRPr="00626E33" w:rsidRDefault="00A60A4F" w:rsidP="00626E33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626E33">
              <w:rPr>
                <w:rFonts w:ascii="Times New Roman" w:hAnsi="Times New Roman"/>
                <w:lang w:val="ro-RO"/>
              </w:rPr>
              <w:t xml:space="preserve">                                         </w:t>
            </w:r>
            <w:r w:rsidR="009A0B71">
              <w:rPr>
                <w:rFonts w:ascii="Times New Roman" w:hAnsi="Times New Roman"/>
                <w:lang w:val="ro-RO"/>
              </w:rPr>
              <w:t xml:space="preserve">    </w:t>
            </w:r>
            <w:r w:rsidRPr="00626E33">
              <w:rPr>
                <w:rFonts w:ascii="Times New Roman" w:hAnsi="Times New Roman"/>
                <w:lang w:val="ro-RO"/>
              </w:rPr>
              <w:t xml:space="preserve">          </w:t>
            </w:r>
            <w:r w:rsidR="00756C60" w:rsidRPr="00626E33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NOTA INFORMATIVĂ</w:t>
            </w:r>
          </w:p>
          <w:p w:rsidR="00756C60" w:rsidRPr="00A60A4F" w:rsidRDefault="00756C60" w:rsidP="009A0B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la proiectul </w:t>
            </w:r>
            <w:proofErr w:type="spellStart"/>
            <w:r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Hotărîrii</w:t>
            </w:r>
            <w:proofErr w:type="spellEnd"/>
            <w:r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Guvernului </w:t>
            </w:r>
            <w:r w:rsidR="00E43DDE"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,,C</w:t>
            </w:r>
            <w:r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u privire la </w:t>
            </w:r>
            <w:r w:rsidR="00E43DDE"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aprobarea Nomenclatorului lucrărilor efectuate şi serviciilor prestate, contra plată, de instituţiile bugetare</w:t>
            </w:r>
            <w:r w:rsidR="00251E11"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monitorizate de către Cancelaria de Stat şi tarifelor la acestea, precum şi a Regulamentelor privind modul de formare a veniturilor de la prestarea serviciilor cu plată”</w:t>
            </w:r>
            <w:r w:rsidRPr="00A60A4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</w:t>
            </w:r>
          </w:p>
        </w:tc>
      </w:tr>
    </w:tbl>
    <w:p w:rsidR="00756C60" w:rsidRPr="00DD3C49" w:rsidRDefault="00756C60" w:rsidP="00756C60">
      <w:pPr>
        <w:pStyle w:val="Listparagraf"/>
        <w:spacing w:line="240" w:lineRule="auto"/>
        <w:rPr>
          <w:rFonts w:ascii="Times New Roman" w:hAnsi="Times New Roman"/>
          <w:sz w:val="26"/>
          <w:szCs w:val="26"/>
          <w:lang w:val="ro-RO"/>
        </w:rPr>
      </w:pPr>
    </w:p>
    <w:tbl>
      <w:tblPr>
        <w:tblW w:w="10350" w:type="dxa"/>
        <w:tblInd w:w="-635" w:type="dxa"/>
        <w:tblLook w:val="04A0" w:firstRow="1" w:lastRow="0" w:firstColumn="1" w:lastColumn="0" w:noHBand="0" w:noVBand="1"/>
      </w:tblPr>
      <w:tblGrid>
        <w:gridCol w:w="10350"/>
      </w:tblGrid>
      <w:tr w:rsidR="00756C60" w:rsidRPr="00891803" w:rsidTr="00891803">
        <w:tc>
          <w:tcPr>
            <w:tcW w:w="10350" w:type="dxa"/>
            <w:shd w:val="clear" w:color="auto" w:fill="FFFFFF" w:themeFill="background1"/>
          </w:tcPr>
          <w:p w:rsidR="00756C60" w:rsidRPr="00DD3C49" w:rsidRDefault="00756C60" w:rsidP="00756C60">
            <w:pPr>
              <w:pStyle w:val="Listparagraf"/>
              <w:numPr>
                <w:ilvl w:val="0"/>
                <w:numId w:val="3"/>
              </w:numPr>
              <w:tabs>
                <w:tab w:val="left" w:pos="270"/>
              </w:tabs>
              <w:spacing w:before="80" w:after="80" w:line="240" w:lineRule="auto"/>
              <w:ind w:left="702" w:hanging="342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Condiţiile ce au impus elaborarea proiectului şi scopul urmărit</w:t>
            </w:r>
          </w:p>
        </w:tc>
      </w:tr>
      <w:tr w:rsidR="00756C60" w:rsidRPr="00891803" w:rsidTr="00891803">
        <w:tc>
          <w:tcPr>
            <w:tcW w:w="10350" w:type="dxa"/>
          </w:tcPr>
          <w:p w:rsidR="00756C60" w:rsidRPr="00DD3C49" w:rsidRDefault="00756C60" w:rsidP="009403F5">
            <w:pPr>
              <w:spacing w:before="80"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</w:t>
            </w:r>
            <w:proofErr w:type="spellStart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Hotărîrii</w:t>
            </w:r>
            <w:proofErr w:type="spellEnd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Guvernului </w:t>
            </w:r>
            <w:r w:rsidR="008E7177">
              <w:rPr>
                <w:rFonts w:ascii="Times New Roman" w:hAnsi="Times New Roman"/>
                <w:sz w:val="26"/>
                <w:szCs w:val="26"/>
                <w:lang w:val="ro-RO"/>
              </w:rPr>
              <w:t>,,C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u privire la </w:t>
            </w:r>
            <w:r w:rsidR="008E7177">
              <w:rPr>
                <w:rFonts w:ascii="Times New Roman" w:hAnsi="Times New Roman"/>
                <w:sz w:val="26"/>
                <w:szCs w:val="26"/>
                <w:lang w:val="ro-RO"/>
              </w:rPr>
              <w:t>aprobarea Nomenclatorului lucrărilor efectuate şi serviciilor prestate, contra plată, de instituţiile bugetare monitorizate de către Cancelaria de Stat şi tarifelor la acestea, precum şi a Regulamentelor privind modul de formare a veniturilor de la prestarea serviciilor cu plată” a fost elaborat de către Cancelaria de Stat, cu respectarea prevederilor Legii nr.317-XV din 18 iunie 2003 privind actele normative ale Guvernului şi ale altor autorităţi ale administraţiei publice centrale şi locale.</w:t>
            </w:r>
          </w:p>
          <w:p w:rsidR="00756C60" w:rsidRPr="00DD3C49" w:rsidRDefault="00756C60" w:rsidP="009403F5">
            <w:pPr>
              <w:spacing w:before="80"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Elaborarea proiectului este generată de demararea reformei administrației publice centrale, </w:t>
            </w:r>
            <w:proofErr w:type="spellStart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constînd</w:t>
            </w:r>
            <w:proofErr w:type="spellEnd"/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 fuzionarea instituţiilor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>bugetare monitorizate de către Cancelaria de Stat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. </w:t>
            </w:r>
          </w:p>
          <w:p w:rsidR="00756C60" w:rsidRPr="00DD3C49" w:rsidRDefault="00756C60" w:rsidP="009403F5">
            <w:pPr>
              <w:spacing w:before="80" w:after="0" w:line="240" w:lineRule="auto"/>
              <w:ind w:firstLine="431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În contextul celor expuse, </w:t>
            </w:r>
            <w:r w:rsidRPr="00626E33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scopul proiectului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este ajustarea cadrului normativ necesar pentru asigurarea realizării eficiente a misiunii şi sarcinilor cu care este investit</w:t>
            </w:r>
            <w:r w:rsidR="001C1D68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ă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</w:t>
            </w:r>
            <w:r w:rsidR="001C1D68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Cancelaria de Stat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, </w:t>
            </w:r>
            <w:r w:rsidR="001C1D68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o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rdonarea și revizuirea/reglementarea serviciilor prestate de </w:t>
            </w:r>
            <w:r w:rsidR="001C1D68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instituţiile bugetare monitorizate de către Cancelaria de Stat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.</w:t>
            </w:r>
          </w:p>
          <w:p w:rsidR="00756C60" w:rsidRPr="00DD3C49" w:rsidRDefault="00756C60" w:rsidP="009403F5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756C60" w:rsidRPr="00DD3C49" w:rsidTr="00891803">
        <w:tc>
          <w:tcPr>
            <w:tcW w:w="10350" w:type="dxa"/>
            <w:shd w:val="clear" w:color="auto" w:fill="FFFFFF" w:themeFill="background1"/>
          </w:tcPr>
          <w:p w:rsidR="00756C60" w:rsidRPr="00DD3C49" w:rsidRDefault="00756C60" w:rsidP="009403F5">
            <w:pPr>
              <w:spacing w:before="80" w:after="80" w:line="240" w:lineRule="auto"/>
              <w:ind w:firstLine="432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II.  Principalele prevederi ale proiectului </w:t>
            </w:r>
          </w:p>
        </w:tc>
      </w:tr>
      <w:tr w:rsidR="00756C60" w:rsidRPr="00891803" w:rsidTr="00891803">
        <w:tc>
          <w:tcPr>
            <w:tcW w:w="10350" w:type="dxa"/>
          </w:tcPr>
          <w:p w:rsidR="00756C60" w:rsidRPr="00DD3C49" w:rsidRDefault="00756C60" w:rsidP="009403F5">
            <w:pPr>
              <w:spacing w:before="80" w:after="0" w:line="240" w:lineRule="auto"/>
              <w:ind w:firstLine="432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Prin proiectul </w:t>
            </w:r>
            <w:proofErr w:type="spellStart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hotărîrii</w:t>
            </w:r>
            <w:proofErr w:type="spellEnd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Guvernului se propune</w:t>
            </w:r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elaborarea şi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aprobarea</w:t>
            </w:r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unei noi </w:t>
            </w:r>
            <w:proofErr w:type="spellStart"/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>h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otărîri</w:t>
            </w:r>
            <w:proofErr w:type="spellEnd"/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C1D68">
              <w:rPr>
                <w:rFonts w:ascii="Times New Roman" w:hAnsi="Times New Roman"/>
                <w:sz w:val="26"/>
                <w:szCs w:val="26"/>
                <w:lang w:val="ro-RO"/>
              </w:rPr>
              <w:t>d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e Guvern, precum și abrogarea un</w:t>
            </w:r>
            <w:r w:rsidR="0006421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ei </w:t>
            </w:r>
            <w:proofErr w:type="spellStart"/>
            <w:r w:rsidR="00064210">
              <w:rPr>
                <w:rFonts w:ascii="Times New Roman" w:hAnsi="Times New Roman"/>
                <w:sz w:val="26"/>
                <w:szCs w:val="26"/>
                <w:lang w:val="ro-RO"/>
              </w:rPr>
              <w:t>hotărîri</w:t>
            </w:r>
            <w:proofErr w:type="spellEnd"/>
            <w:r w:rsidR="0006421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e Guvern</w:t>
            </w:r>
            <w:r w:rsidR="00064210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</w:t>
            </w:r>
          </w:p>
          <w:p w:rsidR="00756C60" w:rsidRPr="00DD3C49" w:rsidRDefault="00756C60" w:rsidP="009403F5">
            <w:pPr>
              <w:spacing w:before="120" w:after="0" w:line="240" w:lineRule="auto"/>
              <w:ind w:firstLine="499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1. 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Din necesitatea </w:t>
            </w:r>
            <w:r w:rsidRPr="00626E33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ordonării serviciilor prestate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de</w:t>
            </w:r>
            <w:r w:rsidR="00064210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instituţiile bugetare monitorizate de Cancelaria de Stat se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</w:t>
            </w:r>
            <w:r w:rsidR="00064210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p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ropun</w:t>
            </w:r>
            <w:r w:rsidR="00064210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>e aprobarea unui nou Nomenclator</w:t>
            </w:r>
            <w:r w:rsidRPr="00DD3C49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 </w:t>
            </w:r>
            <w:r w:rsidR="00064210"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  <w:t xml:space="preserve">al lucrărilor efectuate şi serviciilor prestate, contra plată. </w:t>
            </w:r>
          </w:p>
          <w:p w:rsidR="00756C60" w:rsidRPr="00DD3C49" w:rsidRDefault="00756C60" w:rsidP="009403F5">
            <w:pPr>
              <w:pStyle w:val="Listparagraf"/>
              <w:spacing w:before="80" w:after="0" w:line="240" w:lineRule="auto"/>
              <w:ind w:left="49" w:firstLine="45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1) În prezent, </w:t>
            </w:r>
            <w:r w:rsidR="00064210">
              <w:rPr>
                <w:rFonts w:ascii="Times New Roman" w:hAnsi="Times New Roman"/>
                <w:sz w:val="26"/>
                <w:szCs w:val="26"/>
                <w:lang w:val="ro-RO"/>
              </w:rPr>
              <w:t>Direcţia generală pentru administrarea clădirilor Guvernului</w:t>
            </w:r>
            <w:r w:rsidR="004A31C1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prestează un spectru mai larg de servicii, care rezultă din alte acte normative. Cu titlu de exemplu, </w:t>
            </w:r>
            <w:proofErr w:type="spellStart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Guvernului nr.99 din23.02.2017 cu privire la reorganizarea unor persoane juridice, </w:t>
            </w:r>
            <w:proofErr w:type="spellStart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Guvernului nr.980 din 15.11.2017 cu privire la reorganizarea unor persoane juridice, </w:t>
            </w:r>
            <w:proofErr w:type="spellStart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>Hotărîrea</w:t>
            </w:r>
            <w:proofErr w:type="spellEnd"/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Guvernului nr.587 din24.07.2017 cu privire la transmiterea unor bunuri, părţi sociale deţinute în unele societăţi comerciale şi reorganizarea unei persoane juridice.</w:t>
            </w:r>
          </w:p>
          <w:p w:rsidR="00756C60" w:rsidRPr="00DD3C49" w:rsidRDefault="00756C60" w:rsidP="005C3013">
            <w:pPr>
              <w:pStyle w:val="Listparagraf"/>
              <w:spacing w:before="80" w:after="0" w:line="240" w:lineRule="auto"/>
              <w:ind w:left="49" w:firstLine="450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Totodată, pentru unele servicii prestate, </w:t>
            </w:r>
            <w:r w:rsidR="005C3013">
              <w:rPr>
                <w:rFonts w:ascii="Times New Roman" w:hAnsi="Times New Roman"/>
                <w:sz w:val="26"/>
                <w:szCs w:val="26"/>
                <w:lang w:val="ro-RO"/>
              </w:rPr>
              <w:t>Direcţia generală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urmează să-și recupereze cheltuielile. </w:t>
            </w:r>
          </w:p>
          <w:p w:rsidR="00756C60" w:rsidRPr="00DD3C49" w:rsidRDefault="00536159" w:rsidP="009403F5">
            <w:pPr>
              <w:spacing w:before="120"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2</w:t>
            </w:r>
            <w:r w:rsidR="00756C60"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) </w:t>
            </w:r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Referitor la serviciile prestate de </w:t>
            </w:r>
            <w:r w:rsidR="00C270EB">
              <w:rPr>
                <w:rFonts w:ascii="Times New Roman" w:hAnsi="Times New Roman"/>
                <w:sz w:val="26"/>
                <w:szCs w:val="26"/>
                <w:lang w:val="ro-RO"/>
              </w:rPr>
              <w:t>Baza Auto a Cancelariei de Stat</w:t>
            </w:r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acestea au fost revizuite </w:t>
            </w:r>
            <w:proofErr w:type="spellStart"/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>av</w:t>
            </w:r>
            <w:r w:rsidR="00626E33">
              <w:rPr>
                <w:rFonts w:ascii="Times New Roman" w:hAnsi="Times New Roman"/>
                <w:sz w:val="26"/>
                <w:szCs w:val="26"/>
                <w:lang w:val="ro-RO"/>
              </w:rPr>
              <w:t>î</w:t>
            </w:r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>nd</w:t>
            </w:r>
            <w:proofErr w:type="spellEnd"/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la bază două raționamente:</w:t>
            </w:r>
          </w:p>
          <w:p w:rsidR="00756C60" w:rsidRPr="00DD3C49" w:rsidRDefault="00756C60" w:rsidP="009403F5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- </w:t>
            </w:r>
            <w:r w:rsidR="00C270EB">
              <w:rPr>
                <w:rFonts w:ascii="Times New Roman" w:hAnsi="Times New Roman"/>
                <w:sz w:val="26"/>
                <w:szCs w:val="26"/>
                <w:lang w:val="ro-RO"/>
              </w:rPr>
              <w:t>prestarea pe bază de contract şi la comandă a serviciilor de transport persoanelor juridice şi fizice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>;</w:t>
            </w:r>
          </w:p>
          <w:p w:rsidR="00756C60" w:rsidRPr="00DD3C49" w:rsidRDefault="00756C60" w:rsidP="009403F5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- </w:t>
            </w:r>
            <w:r w:rsidR="00C270EB">
              <w:rPr>
                <w:rFonts w:ascii="Times New Roman" w:hAnsi="Times New Roman"/>
                <w:sz w:val="26"/>
                <w:szCs w:val="26"/>
                <w:lang w:val="ro-RO"/>
              </w:rPr>
              <w:t>darea în locaţiune/comodat a patrimoniului de stat</w:t>
            </w:r>
            <w:r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.  </w:t>
            </w:r>
          </w:p>
          <w:p w:rsidR="00756C60" w:rsidRPr="00DD3C49" w:rsidRDefault="00C270EB" w:rsidP="009A0B71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     </w:t>
            </w:r>
            <w:r w:rsidR="00FF1BC2" w:rsidRPr="00DD3C49">
              <w:rPr>
                <w:rFonts w:ascii="Times New Roman" w:hAnsi="Times New Roman"/>
                <w:sz w:val="26"/>
                <w:szCs w:val="26"/>
                <w:lang w:val="ro-RO"/>
              </w:rPr>
              <w:t>Mijloacele financiare care vor fi încasate vor putea fi utilizate pentru</w:t>
            </w:r>
            <w:r w:rsidR="009F4D0F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întreţinerea curentă, pentru consolidarea bazei tehnico-materiale şi</w:t>
            </w:r>
            <w:r w:rsidR="00FF1BC2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dezvoltarea </w:t>
            </w:r>
            <w:r w:rsidR="009F4D0F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instituţiilor bugetare. </w:t>
            </w:r>
          </w:p>
        </w:tc>
      </w:tr>
      <w:tr w:rsidR="00756C60" w:rsidRPr="00DD3C49" w:rsidTr="00891803">
        <w:tc>
          <w:tcPr>
            <w:tcW w:w="10350" w:type="dxa"/>
            <w:shd w:val="clear" w:color="auto" w:fill="FFFFFF" w:themeFill="background1"/>
          </w:tcPr>
          <w:p w:rsidR="00756C60" w:rsidRPr="00DD3C49" w:rsidRDefault="00756C60" w:rsidP="009403F5">
            <w:pPr>
              <w:spacing w:before="80" w:after="80" w:line="240" w:lineRule="auto"/>
              <w:ind w:firstLine="432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III. Fundamentarea economico-financiară </w:t>
            </w:r>
          </w:p>
        </w:tc>
      </w:tr>
      <w:tr w:rsidR="00756C60" w:rsidRPr="00891803" w:rsidTr="00891803">
        <w:tc>
          <w:tcPr>
            <w:tcW w:w="10350" w:type="dxa"/>
          </w:tcPr>
          <w:p w:rsidR="00756C60" w:rsidRPr="00DD3C49" w:rsidRDefault="00756C60" w:rsidP="009403F5">
            <w:pPr>
              <w:spacing w:before="80" w:after="120" w:line="240" w:lineRule="auto"/>
              <w:ind w:firstLine="431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Este important a preciza că </w:t>
            </w:r>
            <w:r w:rsidRPr="00924ABC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prin acumularea mijloacelor financiare,</w:t>
            </w:r>
            <w:r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 obţinute din prestarea serviciilor contra plată de către </w:t>
            </w:r>
            <w:r w:rsidR="00626E33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instituţiile bugetare monitorizate de Cancelaria de Stat</w:t>
            </w:r>
            <w:r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, </w:t>
            </w:r>
            <w:r w:rsidRPr="00924ABC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nu se urmărește obţinerea profitului,</w:t>
            </w:r>
            <w:r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 ci doar compensarea cheltuielilor aferente, reieşind din costurile reale pentru prestarea serviciilor</w:t>
            </w:r>
            <w:r w:rsidR="00924ABC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.</w:t>
            </w:r>
            <w:r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  </w:t>
            </w:r>
          </w:p>
          <w:p w:rsidR="00756C60" w:rsidRPr="00DD3C49" w:rsidRDefault="00924ABC" w:rsidP="009403F5">
            <w:pPr>
              <w:spacing w:before="80" w:after="120" w:line="240" w:lineRule="auto"/>
              <w:ind w:firstLine="431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Implementarea unei noi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>hotărîri</w:t>
            </w:r>
            <w:proofErr w:type="spellEnd"/>
            <w:r w:rsidR="00756C60" w:rsidRPr="00DD3C49">
              <w:rPr>
                <w:rFonts w:ascii="Times New Roman" w:hAnsi="Times New Roman"/>
                <w:spacing w:val="-8"/>
                <w:sz w:val="26"/>
                <w:szCs w:val="26"/>
                <w:lang w:val="ro-RO"/>
              </w:rPr>
              <w:t xml:space="preserve"> nu necesită cheltuieli suplimentare de la bugetul public naţional.</w:t>
            </w:r>
          </w:p>
        </w:tc>
      </w:tr>
      <w:tr w:rsidR="00756C60" w:rsidRPr="00DD3C49" w:rsidTr="00891803">
        <w:tc>
          <w:tcPr>
            <w:tcW w:w="10350" w:type="dxa"/>
            <w:shd w:val="clear" w:color="auto" w:fill="FFFFFF" w:themeFill="background1"/>
          </w:tcPr>
          <w:p w:rsidR="009A0B71" w:rsidRPr="00DD3C49" w:rsidRDefault="00756C60" w:rsidP="009A0B71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DD3C49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IV. Transparenţa în procesul decizional</w:t>
            </w:r>
          </w:p>
        </w:tc>
      </w:tr>
      <w:tr w:rsidR="00891803" w:rsidRPr="00DD3C49" w:rsidTr="00891803">
        <w:tc>
          <w:tcPr>
            <w:tcW w:w="10350" w:type="dxa"/>
            <w:shd w:val="clear" w:color="auto" w:fill="FFFFFF" w:themeFill="background1"/>
          </w:tcPr>
          <w:p w:rsidR="00626E33" w:rsidRPr="00DD3C49" w:rsidRDefault="00626E33" w:rsidP="009A0B71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</w:tr>
      <w:tr w:rsidR="00756C60" w:rsidRPr="00DD3C49" w:rsidTr="00891803">
        <w:tc>
          <w:tcPr>
            <w:tcW w:w="10350" w:type="dxa"/>
          </w:tcPr>
          <w:p w:rsidR="00756C60" w:rsidRPr="00DD3C49" w:rsidRDefault="009A0B71" w:rsidP="009A0B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      </w:t>
            </w:r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scopul respectării prevederilor Legii nr.239 din 13 noiembrie 2008 privind transparenţa în procesul decizional, proiectul este plasat pe pagina web </w:t>
            </w:r>
            <w:proofErr w:type="spellStart"/>
            <w:r w:rsidR="00626E33">
              <w:rPr>
                <w:rFonts w:ascii="Times New Roman" w:hAnsi="Times New Roman"/>
                <w:sz w:val="26"/>
                <w:szCs w:val="26"/>
                <w:lang w:val="ro-RO"/>
              </w:rPr>
              <w:t>particip.gov.md</w:t>
            </w:r>
            <w:proofErr w:type="spellEnd"/>
            <w:r w:rsidR="00756C60" w:rsidRPr="00DD3C49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</w:tc>
      </w:tr>
      <w:tr w:rsidR="00756C60" w:rsidRPr="00DD3C49" w:rsidTr="00891803">
        <w:tblPrEx>
          <w:tblLook w:val="00A0" w:firstRow="1" w:lastRow="0" w:firstColumn="1" w:lastColumn="0" w:noHBand="0" w:noVBand="0"/>
        </w:tblPrEx>
        <w:tc>
          <w:tcPr>
            <w:tcW w:w="10350" w:type="dxa"/>
            <w:shd w:val="clear" w:color="auto" w:fill="auto"/>
          </w:tcPr>
          <w:p w:rsidR="00756C60" w:rsidRPr="00924ABC" w:rsidRDefault="00756C60" w:rsidP="00626E33">
            <w:pPr>
              <w:spacing w:before="120" w:after="0"/>
              <w:ind w:right="72" w:firstLine="43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756C60" w:rsidRPr="00DD3C49" w:rsidTr="00891803">
        <w:tblPrEx>
          <w:tblLook w:val="00A0" w:firstRow="1" w:lastRow="0" w:firstColumn="1" w:lastColumn="0" w:noHBand="0" w:noVBand="0"/>
        </w:tblPrEx>
        <w:trPr>
          <w:trHeight w:val="60"/>
        </w:trPr>
        <w:tc>
          <w:tcPr>
            <w:tcW w:w="10350" w:type="dxa"/>
            <w:shd w:val="clear" w:color="auto" w:fill="auto"/>
          </w:tcPr>
          <w:p w:rsidR="00756C60" w:rsidRPr="00A60A4F" w:rsidRDefault="00A60A4F" w:rsidP="00626E33">
            <w:pPr>
              <w:spacing w:before="120" w:after="0" w:line="240" w:lineRule="auto"/>
              <w:ind w:right="72" w:firstLine="14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ro-RO"/>
              </w:rPr>
              <w:t xml:space="preserve">       </w:t>
            </w:r>
            <w:r w:rsidRPr="00A60A4F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Secretar general adjunct</w:t>
            </w:r>
          </w:p>
          <w:p w:rsidR="00A60A4F" w:rsidRPr="00DD3C49" w:rsidRDefault="00A60A4F" w:rsidP="00626E33">
            <w:pPr>
              <w:spacing w:before="120" w:after="0" w:line="240" w:lineRule="auto"/>
              <w:ind w:right="72" w:firstLine="142"/>
              <w:jc w:val="both"/>
              <w:rPr>
                <w:rFonts w:ascii="Times New Roman" w:hAnsi="Times New Roman"/>
                <w:bCs/>
                <w:sz w:val="26"/>
                <w:szCs w:val="26"/>
                <w:lang w:val="ro-RO"/>
              </w:rPr>
            </w:pPr>
            <w:r w:rsidRPr="00A60A4F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      al Guvernului                        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             </w:t>
            </w:r>
            <w:r w:rsidRPr="00A60A4F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                                                 Mihail CASAPU</w:t>
            </w:r>
          </w:p>
        </w:tc>
      </w:tr>
    </w:tbl>
    <w:p w:rsidR="00756C60" w:rsidRPr="00DD3C49" w:rsidRDefault="00756C60" w:rsidP="00A60A4F">
      <w:pPr>
        <w:spacing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p w:rsidR="00756C60" w:rsidRPr="00DD3C49" w:rsidRDefault="00756C60" w:rsidP="00756C6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756C60" w:rsidRPr="00CD5BF7" w:rsidRDefault="00756C60" w:rsidP="00756C60">
      <w:pPr>
        <w:rPr>
          <w:rFonts w:ascii="Times New Roman" w:hAnsi="Times New Roman"/>
          <w:sz w:val="28"/>
          <w:szCs w:val="28"/>
        </w:rPr>
      </w:pPr>
    </w:p>
    <w:p w:rsidR="00756C60" w:rsidRDefault="00756C60" w:rsidP="00756C60">
      <w:pPr>
        <w:rPr>
          <w:rFonts w:ascii="Times New Roman" w:hAnsi="Times New Roman"/>
          <w:sz w:val="28"/>
          <w:szCs w:val="28"/>
        </w:rPr>
      </w:pPr>
    </w:p>
    <w:p w:rsidR="00756C60" w:rsidRPr="00CD5BF7" w:rsidRDefault="00756C60" w:rsidP="00756C60">
      <w:pPr>
        <w:jc w:val="center"/>
        <w:rPr>
          <w:rFonts w:ascii="Times New Roman" w:hAnsi="Times New Roman"/>
          <w:sz w:val="28"/>
          <w:szCs w:val="28"/>
        </w:rPr>
      </w:pPr>
    </w:p>
    <w:p w:rsidR="008608B4" w:rsidRDefault="008608B4"/>
    <w:sectPr w:rsidR="008608B4" w:rsidSect="00CD5BF7">
      <w:footerReference w:type="even" r:id="rId8"/>
      <w:footerReference w:type="default" r:id="rId9"/>
      <w:pgSz w:w="12240" w:h="15840"/>
      <w:pgMar w:top="630" w:right="1440" w:bottom="540" w:left="180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92" w:rsidRDefault="00D01992">
      <w:pPr>
        <w:spacing w:after="0" w:line="240" w:lineRule="auto"/>
      </w:pPr>
      <w:r>
        <w:separator/>
      </w:r>
    </w:p>
  </w:endnote>
  <w:endnote w:type="continuationSeparator" w:id="0">
    <w:p w:rsidR="00D01992" w:rsidRDefault="00D0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14" w:rsidRDefault="00756C60" w:rsidP="00EB5662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960B14" w:rsidRDefault="00D01992" w:rsidP="004A73C0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887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BF7" w:rsidRDefault="00756C6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0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B14" w:rsidRDefault="00D01992" w:rsidP="004A73C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92" w:rsidRDefault="00D01992">
      <w:pPr>
        <w:spacing w:after="0" w:line="240" w:lineRule="auto"/>
      </w:pPr>
      <w:r>
        <w:separator/>
      </w:r>
    </w:p>
  </w:footnote>
  <w:footnote w:type="continuationSeparator" w:id="0">
    <w:p w:rsidR="00D01992" w:rsidRDefault="00D01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16A"/>
    <w:multiLevelType w:val="hybridMultilevel"/>
    <w:tmpl w:val="A46C2FC2"/>
    <w:lvl w:ilvl="0" w:tplc="05A63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F06A0"/>
    <w:multiLevelType w:val="hybridMultilevel"/>
    <w:tmpl w:val="0FF2390E"/>
    <w:lvl w:ilvl="0" w:tplc="60C85524">
      <w:start w:val="1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54045C27"/>
    <w:multiLevelType w:val="hybridMultilevel"/>
    <w:tmpl w:val="B9B4B6D6"/>
    <w:lvl w:ilvl="0" w:tplc="A164083E">
      <w:start w:val="2"/>
      <w:numFmt w:val="bullet"/>
      <w:lvlText w:val="-"/>
      <w:lvlJc w:val="left"/>
      <w:pPr>
        <w:ind w:left="791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60"/>
    <w:rsid w:val="00022B63"/>
    <w:rsid w:val="00064210"/>
    <w:rsid w:val="00083721"/>
    <w:rsid w:val="001C1D68"/>
    <w:rsid w:val="00251E11"/>
    <w:rsid w:val="00255F32"/>
    <w:rsid w:val="002A5CA2"/>
    <w:rsid w:val="002D71A6"/>
    <w:rsid w:val="00386CE3"/>
    <w:rsid w:val="0043525A"/>
    <w:rsid w:val="00487B87"/>
    <w:rsid w:val="004A31C1"/>
    <w:rsid w:val="004A44B5"/>
    <w:rsid w:val="004D2073"/>
    <w:rsid w:val="00505ACE"/>
    <w:rsid w:val="00531CDE"/>
    <w:rsid w:val="00536159"/>
    <w:rsid w:val="005C3013"/>
    <w:rsid w:val="00601169"/>
    <w:rsid w:val="00626E33"/>
    <w:rsid w:val="0066168F"/>
    <w:rsid w:val="00670E96"/>
    <w:rsid w:val="006C4C53"/>
    <w:rsid w:val="0072585D"/>
    <w:rsid w:val="00756C60"/>
    <w:rsid w:val="00791CB2"/>
    <w:rsid w:val="007A6D7A"/>
    <w:rsid w:val="008332C5"/>
    <w:rsid w:val="008608B4"/>
    <w:rsid w:val="00891803"/>
    <w:rsid w:val="008E7177"/>
    <w:rsid w:val="00924ABC"/>
    <w:rsid w:val="0097434E"/>
    <w:rsid w:val="009A0B71"/>
    <w:rsid w:val="009A36DC"/>
    <w:rsid w:val="009B6B1D"/>
    <w:rsid w:val="009F4D0F"/>
    <w:rsid w:val="00A11084"/>
    <w:rsid w:val="00A60A4F"/>
    <w:rsid w:val="00C270EB"/>
    <w:rsid w:val="00C52B78"/>
    <w:rsid w:val="00CB6267"/>
    <w:rsid w:val="00D01992"/>
    <w:rsid w:val="00D46EB2"/>
    <w:rsid w:val="00D5406F"/>
    <w:rsid w:val="00D6435A"/>
    <w:rsid w:val="00DD3C49"/>
    <w:rsid w:val="00E24F32"/>
    <w:rsid w:val="00E43DDE"/>
    <w:rsid w:val="00F91B1D"/>
    <w:rsid w:val="00FD17E2"/>
    <w:rsid w:val="00FE4DBB"/>
    <w:rsid w:val="00FF1BC2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756C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rsid w:val="00756C6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6C60"/>
    <w:rPr>
      <w:rFonts w:ascii="Calibri" w:eastAsia="Calibri" w:hAnsi="Calibri" w:cs="Times New Roman"/>
    </w:rPr>
  </w:style>
  <w:style w:type="character" w:styleId="Numrdepagin">
    <w:name w:val="page number"/>
    <w:basedOn w:val="Fontdeparagrafimplicit"/>
    <w:rsid w:val="00756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756C6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rsid w:val="00756C60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56C60"/>
    <w:rPr>
      <w:rFonts w:ascii="Calibri" w:eastAsia="Calibri" w:hAnsi="Calibri" w:cs="Times New Roman"/>
    </w:rPr>
  </w:style>
  <w:style w:type="character" w:styleId="Numrdepagin">
    <w:name w:val="page number"/>
    <w:basedOn w:val="Fontdeparagrafimplicit"/>
    <w:rsid w:val="0075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CM. Melnic</dc:creator>
  <cp:lastModifiedBy>user</cp:lastModifiedBy>
  <cp:revision>3</cp:revision>
  <cp:lastPrinted>2018-07-05T09:23:00Z</cp:lastPrinted>
  <dcterms:created xsi:type="dcterms:W3CDTF">2018-07-05T09:24:00Z</dcterms:created>
  <dcterms:modified xsi:type="dcterms:W3CDTF">2018-07-05T09:24:00Z</dcterms:modified>
</cp:coreProperties>
</file>