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1E" w:rsidRDefault="0030031E" w:rsidP="0050126E">
      <w:pPr>
        <w:spacing w:after="0" w:line="276" w:lineRule="auto"/>
        <w:ind w:left="-720" w:firstLine="720"/>
        <w:jc w:val="center"/>
        <w:rPr>
          <w:rFonts w:ascii="Times New Roman" w:eastAsia="Times New Roman" w:hAnsi="Times New Roman"/>
          <w:b/>
          <w:sz w:val="28"/>
          <w:szCs w:val="28"/>
          <w:lang w:val="ro-MD" w:eastAsia="ro-RO"/>
        </w:rPr>
      </w:pPr>
    </w:p>
    <w:p w:rsidR="00092A73" w:rsidRPr="0030031E" w:rsidRDefault="00345B50" w:rsidP="0050126E">
      <w:pPr>
        <w:spacing w:after="0" w:line="276" w:lineRule="auto"/>
        <w:ind w:left="-720" w:firstLine="720"/>
        <w:jc w:val="center"/>
        <w:rPr>
          <w:rFonts w:ascii="Times New Roman" w:eastAsia="Times New Roman" w:hAnsi="Times New Roman"/>
          <w:b/>
          <w:sz w:val="28"/>
          <w:szCs w:val="28"/>
          <w:lang w:val="ro-MD" w:eastAsia="ro-RO"/>
        </w:rPr>
      </w:pPr>
      <w:r w:rsidRPr="0030031E">
        <w:rPr>
          <w:rFonts w:ascii="Times New Roman" w:eastAsia="Times New Roman" w:hAnsi="Times New Roman"/>
          <w:b/>
          <w:sz w:val="28"/>
          <w:szCs w:val="28"/>
          <w:lang w:val="ro-MD" w:eastAsia="ro-RO"/>
        </w:rPr>
        <w:t xml:space="preserve">Notă informativă </w:t>
      </w:r>
    </w:p>
    <w:p w:rsidR="00C72F89" w:rsidRPr="0030031E" w:rsidRDefault="00345B50" w:rsidP="0050126E">
      <w:pPr>
        <w:spacing w:after="0" w:line="276" w:lineRule="auto"/>
        <w:ind w:left="-720" w:firstLine="720"/>
        <w:jc w:val="center"/>
        <w:outlineLvl w:val="0"/>
        <w:rPr>
          <w:rFonts w:ascii="Times New Roman" w:hAnsi="Times New Roman"/>
          <w:b/>
          <w:sz w:val="28"/>
          <w:szCs w:val="28"/>
          <w:lang w:val="ro-MD"/>
        </w:rPr>
      </w:pPr>
      <w:r w:rsidRPr="0030031E">
        <w:rPr>
          <w:rFonts w:ascii="Times New Roman" w:eastAsia="Times New Roman" w:hAnsi="Times New Roman"/>
          <w:b/>
          <w:sz w:val="28"/>
          <w:szCs w:val="28"/>
          <w:lang w:val="ro-MD" w:eastAsia="ro-RO"/>
        </w:rPr>
        <w:t>la proiectul hotărîrii Guvernului „</w:t>
      </w:r>
      <w:r w:rsidR="00FD2A42" w:rsidRPr="0030031E">
        <w:rPr>
          <w:rFonts w:ascii="Times New Roman" w:eastAsia="Times New Roman" w:hAnsi="Times New Roman"/>
          <w:b/>
          <w:sz w:val="28"/>
          <w:szCs w:val="28"/>
          <w:lang w:val="ro-MD" w:eastAsia="ro-RO"/>
        </w:rPr>
        <w:t xml:space="preserve">Cu privire la modificarea și completarea unor hotărîri ale Guvernului” </w:t>
      </w:r>
    </w:p>
    <w:p w:rsidR="00FD2A42" w:rsidRPr="0030031E" w:rsidRDefault="00FD2A42" w:rsidP="0050126E">
      <w:pPr>
        <w:spacing w:after="0" w:line="276" w:lineRule="auto"/>
        <w:ind w:left="-720" w:firstLine="720"/>
        <w:jc w:val="center"/>
        <w:outlineLvl w:val="0"/>
        <w:rPr>
          <w:rFonts w:ascii="Times New Roman" w:hAnsi="Times New Roman"/>
          <w:b/>
          <w:sz w:val="28"/>
          <w:szCs w:val="28"/>
          <w:lang w:val="ro-MD"/>
        </w:rPr>
      </w:pPr>
    </w:p>
    <w:p w:rsidR="00FD2A42" w:rsidRPr="0030031E" w:rsidRDefault="00FD2A42" w:rsidP="0050126E">
      <w:pPr>
        <w:spacing w:after="0" w:line="276" w:lineRule="auto"/>
        <w:ind w:left="-720" w:firstLine="720"/>
        <w:jc w:val="center"/>
        <w:outlineLvl w:val="0"/>
        <w:rPr>
          <w:rFonts w:ascii="Times New Roman" w:hAnsi="Times New Roman"/>
          <w:b/>
          <w:sz w:val="28"/>
          <w:szCs w:val="28"/>
          <w:lang w:val="ro-MD"/>
        </w:rPr>
      </w:pPr>
      <w:bookmarkStart w:id="0" w:name="_GoBack"/>
      <w:bookmarkEnd w:id="0"/>
    </w:p>
    <w:p w:rsidR="00C72F89" w:rsidRPr="0030031E" w:rsidRDefault="00C72F89" w:rsidP="0050126E">
      <w:pPr>
        <w:spacing w:after="0" w:line="276" w:lineRule="auto"/>
        <w:ind w:left="-720" w:firstLine="720"/>
        <w:jc w:val="center"/>
        <w:outlineLvl w:val="0"/>
        <w:rPr>
          <w:rFonts w:ascii="Times New Roman" w:hAnsi="Times New Roman"/>
          <w:b/>
          <w:sz w:val="28"/>
          <w:szCs w:val="28"/>
          <w:lang w:val="ro-MD"/>
        </w:rPr>
      </w:pPr>
    </w:p>
    <w:p w:rsidR="00345B50" w:rsidRPr="0030031E" w:rsidRDefault="00FD2A42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30031E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345B50" w:rsidRPr="0030031E">
        <w:rPr>
          <w:rFonts w:ascii="Times New Roman" w:hAnsi="Times New Roman"/>
          <w:b/>
          <w:sz w:val="28"/>
          <w:szCs w:val="28"/>
          <w:lang w:val="ro-MD"/>
        </w:rPr>
        <w:t>Condițiile ce au impus elaborarea proiectului și finalitățile urmărite</w:t>
      </w:r>
    </w:p>
    <w:p w:rsidR="00FD2A42" w:rsidRPr="0030031E" w:rsidRDefault="00FD2A42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FD2A42" w:rsidRPr="0030031E" w:rsidRDefault="00FD2A42" w:rsidP="0050126E">
      <w:pPr>
        <w:pStyle w:val="NormalWeb"/>
        <w:spacing w:after="0" w:line="276" w:lineRule="auto"/>
        <w:ind w:left="-720" w:firstLine="720"/>
        <w:jc w:val="both"/>
        <w:rPr>
          <w:rFonts w:eastAsia="Times New Roman"/>
          <w:i/>
          <w:sz w:val="28"/>
          <w:szCs w:val="28"/>
          <w:lang w:val="ro-MD" w:eastAsia="en-GB"/>
        </w:rPr>
      </w:pPr>
      <w:r w:rsidRPr="0030031E">
        <w:rPr>
          <w:sz w:val="28"/>
          <w:szCs w:val="28"/>
          <w:lang w:val="ro-MD"/>
        </w:rPr>
        <w:t xml:space="preserve"> Conform prevederilor art.2 alin. (1) al </w:t>
      </w:r>
      <w:hyperlink r:id="rId6" w:history="1">
        <w:r w:rsidRPr="0030031E">
          <w:rPr>
            <w:rStyle w:val="Hyperlink"/>
            <w:color w:val="auto"/>
            <w:sz w:val="28"/>
            <w:szCs w:val="28"/>
            <w:u w:val="none"/>
            <w:lang w:val="ro-MD"/>
          </w:rPr>
          <w:t>Legii nr.246 din 23 noiembrie 2017</w:t>
        </w:r>
      </w:hyperlink>
      <w:r w:rsidRPr="0030031E">
        <w:rPr>
          <w:sz w:val="28"/>
          <w:szCs w:val="28"/>
          <w:lang w:val="ro-MD"/>
        </w:rPr>
        <w:t xml:space="preserve"> cu privire la întreprinderea de stat și întreprinderea municipală, „</w:t>
      </w:r>
      <w:r w:rsidRPr="0030031E">
        <w:rPr>
          <w:rFonts w:eastAsia="Times New Roman"/>
          <w:i/>
          <w:sz w:val="28"/>
          <w:szCs w:val="28"/>
          <w:lang w:val="ro-MD" w:eastAsia="en-GB"/>
        </w:rPr>
        <w:t>Funcţia de fondator al întreprinderii de stat, în numele Guvernului, este exercitată de Agenţia Proprietăţii Publice, subordonată Guvernului.„</w:t>
      </w:r>
    </w:p>
    <w:p w:rsidR="00FD2A42" w:rsidRPr="0030031E" w:rsidRDefault="00FD2A42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>Întru implementarea acestor prevederi, a fost aprobată Hotărîrea Guvernului nr.902 din 06.11.2017 cu privire la organizarea şi funcţionarea Agenţiei Proprietăţii Publice.</w:t>
      </w:r>
    </w:p>
    <w:p w:rsidR="000D7DB9" w:rsidRPr="0030031E" w:rsidRDefault="00FD2A42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i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 xml:space="preserve">În virtutea pct.4 al Hotărîrii de Guvern citate, </w:t>
      </w:r>
      <w:r w:rsidRPr="0030031E">
        <w:rPr>
          <w:rFonts w:ascii="Times New Roman" w:hAnsi="Times New Roman"/>
          <w:i/>
          <w:sz w:val="28"/>
          <w:szCs w:val="28"/>
          <w:lang w:val="ro-MD"/>
        </w:rPr>
        <w:t xml:space="preserve">Ministerele, alte autorităţi administrative centrale din subordinea Guvernului, precum şi autorităţile administrative din subordinea acestora, în termen de 6 luni de la data intrării în vigoare a prezentei hotărîri, vor transmite întreprinderile de stat în care exercită funcţia de fondator Agenţiei Proprietăţii Publice, în conformitate cu prevederile Regulamentului cu privire la modul de transmitere a bunurilor proprietate publică, aprobat prin </w:t>
      </w:r>
      <w:hyperlink r:id="rId7" w:history="1">
        <w:r w:rsidRPr="0030031E">
          <w:rPr>
            <w:rStyle w:val="Hyperlink"/>
            <w:rFonts w:ascii="Times New Roman" w:hAnsi="Times New Roman"/>
            <w:i/>
            <w:color w:val="auto"/>
            <w:sz w:val="28"/>
            <w:szCs w:val="28"/>
            <w:u w:val="none"/>
            <w:lang w:val="ro-MD"/>
          </w:rPr>
          <w:t>Hotărîrea Guvernului nr.901 din 31 decembrie 2015</w:t>
        </w:r>
      </w:hyperlink>
      <w:r w:rsidRPr="0030031E">
        <w:rPr>
          <w:rFonts w:ascii="Times New Roman" w:hAnsi="Times New Roman"/>
          <w:i/>
          <w:sz w:val="28"/>
          <w:szCs w:val="28"/>
          <w:lang w:val="ro-MD"/>
        </w:rPr>
        <w:t>.</w:t>
      </w:r>
    </w:p>
    <w:p w:rsidR="000D7DB9" w:rsidRPr="0030031E" w:rsidRDefault="000D7DB9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0D7DB9" w:rsidRDefault="000D7DB9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30031E">
        <w:rPr>
          <w:rFonts w:ascii="Times New Roman" w:hAnsi="Times New Roman"/>
          <w:b/>
          <w:sz w:val="28"/>
          <w:szCs w:val="28"/>
          <w:lang w:val="ro-MD"/>
        </w:rPr>
        <w:t>Principalele prevederi ale proiectului și evidențierea elementelor noi</w:t>
      </w:r>
    </w:p>
    <w:p w:rsidR="0030031E" w:rsidRPr="0030031E" w:rsidRDefault="0030031E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i/>
          <w:sz w:val="28"/>
          <w:szCs w:val="28"/>
          <w:lang w:val="ro-MD"/>
        </w:rPr>
      </w:pPr>
    </w:p>
    <w:p w:rsidR="00FD2A42" w:rsidRPr="0030031E" w:rsidRDefault="000D7DB9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 xml:space="preserve">Prin intermediul 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>proiect</w:t>
      </w:r>
      <w:r w:rsidRPr="0030031E">
        <w:rPr>
          <w:rFonts w:ascii="Times New Roman" w:hAnsi="Times New Roman"/>
          <w:sz w:val="28"/>
          <w:szCs w:val="28"/>
          <w:lang w:val="ro-MD"/>
        </w:rPr>
        <w:t>ului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 xml:space="preserve"> de at normativ</w:t>
      </w:r>
      <w:r w:rsidRPr="0030031E">
        <w:rPr>
          <w:rFonts w:ascii="Times New Roman" w:hAnsi="Times New Roman"/>
          <w:sz w:val="28"/>
          <w:szCs w:val="28"/>
          <w:lang w:val="ro-MD"/>
        </w:rPr>
        <w:t xml:space="preserve"> se propun următoarele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>:</w:t>
      </w:r>
    </w:p>
    <w:p w:rsidR="000D7DB9" w:rsidRPr="0030031E" w:rsidRDefault="00FD2A42" w:rsidP="0050126E">
      <w:pPr>
        <w:pStyle w:val="Listparagraf"/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 xml:space="preserve">Anexa nr.4 la </w:t>
      </w:r>
      <w:hyperlink r:id="rId8" w:history="1">
        <w:r w:rsidRPr="0030031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ro-MD"/>
          </w:rPr>
          <w:t>Hotărîrea Guvernului nr.902 din 6 noiembrie 2017</w:t>
        </w:r>
      </w:hyperlink>
      <w:r w:rsidRPr="0030031E">
        <w:rPr>
          <w:rFonts w:ascii="Times New Roman" w:hAnsi="Times New Roman"/>
          <w:sz w:val="28"/>
          <w:szCs w:val="28"/>
          <w:lang w:val="ro-MD"/>
        </w:rPr>
        <w:t xml:space="preserve"> „Cu privire la organizarea şi funcţionarea Agenţiei Proprietăţii Publice” - Lista întreprinderilor de stat fondate de Agenţia Proprietăţii Publice, se completează cu pozițiile ce reflectă lista întreprinderilor de stat fondate </w:t>
      </w:r>
      <w:r w:rsidR="000D7DB9" w:rsidRPr="0030031E">
        <w:rPr>
          <w:rFonts w:ascii="Times New Roman" w:hAnsi="Times New Roman"/>
          <w:sz w:val="28"/>
          <w:szCs w:val="28"/>
          <w:lang w:val="ro-MD"/>
        </w:rPr>
        <w:t>de m</w:t>
      </w:r>
      <w:r w:rsidRPr="0030031E">
        <w:rPr>
          <w:rFonts w:ascii="Times New Roman" w:hAnsi="Times New Roman"/>
          <w:sz w:val="28"/>
          <w:szCs w:val="28"/>
          <w:lang w:val="ro-MD"/>
        </w:rPr>
        <w:t>inistere, alte autorităţi administrative centrale din subordinea Guvernului, precum şi autorităţile administrative din subordinea acestora</w:t>
      </w:r>
      <w:r w:rsidR="000D7DB9" w:rsidRPr="0030031E">
        <w:rPr>
          <w:rFonts w:ascii="Times New Roman" w:hAnsi="Times New Roman"/>
          <w:sz w:val="28"/>
          <w:szCs w:val="28"/>
          <w:lang w:val="ro-MD"/>
        </w:rPr>
        <w:t>.</w:t>
      </w:r>
    </w:p>
    <w:p w:rsidR="000D7DB9" w:rsidRPr="0030031E" w:rsidRDefault="000D7DB9" w:rsidP="0050126E">
      <w:pPr>
        <w:pStyle w:val="Listparagraf"/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>Astfel, drept efect al respectivelor modificări, se propune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 xml:space="preserve"> transmite</w:t>
      </w:r>
      <w:r w:rsidRPr="0030031E">
        <w:rPr>
          <w:rFonts w:ascii="Times New Roman" w:hAnsi="Times New Roman"/>
          <w:sz w:val="28"/>
          <w:szCs w:val="28"/>
          <w:lang w:val="ro-MD"/>
        </w:rPr>
        <w:t>rea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 xml:space="preserve"> întreprinderil</w:t>
      </w:r>
      <w:r w:rsidRPr="0030031E">
        <w:rPr>
          <w:rFonts w:ascii="Times New Roman" w:hAnsi="Times New Roman"/>
          <w:sz w:val="28"/>
          <w:szCs w:val="28"/>
          <w:lang w:val="ro-MD"/>
        </w:rPr>
        <w:t>or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 xml:space="preserve"> de stat</w:t>
      </w:r>
      <w:r w:rsidRPr="0030031E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>în care</w:t>
      </w:r>
      <w:r w:rsidRPr="0030031E">
        <w:rPr>
          <w:rFonts w:ascii="Times New Roman" w:hAnsi="Times New Roman"/>
          <w:sz w:val="28"/>
          <w:szCs w:val="28"/>
          <w:lang w:val="ro-MD"/>
        </w:rPr>
        <w:t xml:space="preserve"> ministerele, alte autorităţi administrative centrale din subordinea Guvernului, precum şi autorităţile administrative din subordinea acestora, 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 xml:space="preserve">exercită funcţia de fondator, </w:t>
      </w:r>
      <w:r w:rsidRPr="0030031E">
        <w:rPr>
          <w:rFonts w:ascii="Times New Roman" w:hAnsi="Times New Roman"/>
          <w:sz w:val="28"/>
          <w:szCs w:val="28"/>
          <w:lang w:val="ro-MD"/>
        </w:rPr>
        <w:t xml:space="preserve">către 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>Agenţi</w:t>
      </w:r>
      <w:r w:rsidRPr="0030031E">
        <w:rPr>
          <w:rFonts w:ascii="Times New Roman" w:hAnsi="Times New Roman"/>
          <w:sz w:val="28"/>
          <w:szCs w:val="28"/>
          <w:lang w:val="ro-MD"/>
        </w:rPr>
        <w:t>a</w:t>
      </w:r>
      <w:r w:rsidR="00FD2A42" w:rsidRPr="0030031E">
        <w:rPr>
          <w:rFonts w:ascii="Times New Roman" w:hAnsi="Times New Roman"/>
          <w:sz w:val="28"/>
          <w:szCs w:val="28"/>
          <w:lang w:val="ro-MD"/>
        </w:rPr>
        <w:t xml:space="preserve"> Proprietăţii Publice</w:t>
      </w:r>
      <w:r w:rsidRPr="0030031E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0D7DB9" w:rsidRPr="0030031E" w:rsidRDefault="000D7DB9" w:rsidP="0050126E">
      <w:pPr>
        <w:pStyle w:val="Listparagraf"/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 xml:space="preserve">Consecutiv, se propun spre abrogare </w:t>
      </w:r>
      <w:r w:rsidR="0030031E">
        <w:rPr>
          <w:rFonts w:ascii="Times New Roman" w:hAnsi="Times New Roman"/>
          <w:sz w:val="28"/>
          <w:szCs w:val="28"/>
          <w:lang w:val="ro-MD"/>
        </w:rPr>
        <w:t>a</w:t>
      </w:r>
      <w:r w:rsidRPr="0030031E">
        <w:rPr>
          <w:rFonts w:ascii="Times New Roman" w:hAnsi="Times New Roman"/>
          <w:sz w:val="28"/>
          <w:szCs w:val="28"/>
          <w:lang w:val="ro-MD"/>
        </w:rPr>
        <w:t>nexele la actele normative ce aprobă, la moment, listele întreprinderilor de stat fondate de către ministere, alte autorităţi administrative centrale din subordinea Guvernului, precum şi autorităţile administrative din subordinea acestora</w:t>
      </w:r>
      <w:r w:rsidR="0030031E">
        <w:rPr>
          <w:rFonts w:ascii="Times New Roman" w:hAnsi="Times New Roman"/>
          <w:sz w:val="28"/>
          <w:szCs w:val="28"/>
          <w:lang w:val="ro-MD"/>
        </w:rPr>
        <w:t>.</w:t>
      </w:r>
    </w:p>
    <w:p w:rsidR="0050126E" w:rsidRDefault="000D7DB9" w:rsidP="0050126E">
      <w:pPr>
        <w:pStyle w:val="tt"/>
        <w:spacing w:line="276" w:lineRule="auto"/>
        <w:ind w:left="-720" w:firstLine="720"/>
        <w:jc w:val="both"/>
        <w:rPr>
          <w:b w:val="0"/>
          <w:sz w:val="28"/>
          <w:szCs w:val="28"/>
          <w:lang w:val="ro-MD"/>
        </w:rPr>
      </w:pPr>
      <w:r w:rsidRPr="0030031E">
        <w:rPr>
          <w:b w:val="0"/>
          <w:sz w:val="28"/>
          <w:szCs w:val="28"/>
          <w:lang w:val="ro-MD"/>
        </w:rPr>
        <w:t xml:space="preserve">La fel, se dispune completarea </w:t>
      </w:r>
      <w:hyperlink r:id="rId9" w:history="1">
        <w:r w:rsidRPr="0030031E">
          <w:rPr>
            <w:rStyle w:val="Hyperlink"/>
            <w:rFonts w:eastAsia="Calibri"/>
            <w:b w:val="0"/>
            <w:color w:val="auto"/>
            <w:sz w:val="28"/>
            <w:szCs w:val="28"/>
            <w:u w:val="none"/>
            <w:lang w:val="ro-MD"/>
          </w:rPr>
          <w:t>Hotărîr</w:t>
        </w:r>
        <w:r w:rsidRPr="0030031E">
          <w:rPr>
            <w:rStyle w:val="Hyperlink"/>
            <w:b w:val="0"/>
            <w:color w:val="auto"/>
            <w:sz w:val="28"/>
            <w:szCs w:val="28"/>
            <w:u w:val="none"/>
            <w:lang w:val="ro-MD"/>
          </w:rPr>
          <w:t>ii</w:t>
        </w:r>
        <w:r w:rsidRPr="0030031E">
          <w:rPr>
            <w:rStyle w:val="Hyperlink"/>
            <w:rFonts w:eastAsia="Calibri"/>
            <w:b w:val="0"/>
            <w:color w:val="auto"/>
            <w:sz w:val="28"/>
            <w:szCs w:val="28"/>
            <w:u w:val="none"/>
            <w:lang w:val="ro-MD"/>
          </w:rPr>
          <w:t xml:space="preserve"> Guvernului nr.902 din 6 noiembrie 2017</w:t>
        </w:r>
      </w:hyperlink>
      <w:r w:rsidRPr="0030031E">
        <w:rPr>
          <w:rStyle w:val="Hyperlink"/>
          <w:b w:val="0"/>
          <w:color w:val="auto"/>
          <w:sz w:val="28"/>
          <w:szCs w:val="28"/>
          <w:u w:val="none"/>
          <w:lang w:val="ro-MD"/>
        </w:rPr>
        <w:t xml:space="preserve"> cu o nouă Anexă, care va reflecta Lista </w:t>
      </w:r>
      <w:r w:rsidRPr="0030031E">
        <w:rPr>
          <w:b w:val="0"/>
          <w:sz w:val="28"/>
          <w:szCs w:val="28"/>
          <w:lang w:val="ro-MD"/>
        </w:rPr>
        <w:t>societăților pe acțiuni în care Agenţia Proprietăţii Publice exercită funcția de deținător de acțiuni (părți sociale)</w:t>
      </w:r>
      <w:r w:rsidR="002E230C" w:rsidRPr="0030031E">
        <w:rPr>
          <w:b w:val="0"/>
          <w:sz w:val="28"/>
          <w:szCs w:val="28"/>
          <w:lang w:val="ro-MD"/>
        </w:rPr>
        <w:t xml:space="preserve">, în temeiul art.7 alin.(3) lit. d) din </w:t>
      </w:r>
      <w:hyperlink r:id="rId10" w:history="1">
        <w:r w:rsidR="002E230C" w:rsidRPr="0030031E">
          <w:rPr>
            <w:rStyle w:val="Hyperlink"/>
            <w:b w:val="0"/>
            <w:color w:val="auto"/>
            <w:sz w:val="28"/>
            <w:szCs w:val="28"/>
            <w:u w:val="none"/>
            <w:lang w:val="ro-MD"/>
          </w:rPr>
          <w:t>Legea nr.121-XVI din 4 mai 2007</w:t>
        </w:r>
      </w:hyperlink>
      <w:r w:rsidR="002E230C" w:rsidRPr="0030031E">
        <w:rPr>
          <w:b w:val="0"/>
          <w:sz w:val="28"/>
          <w:szCs w:val="28"/>
          <w:lang w:val="ro-MD"/>
        </w:rPr>
        <w:t xml:space="preserve"> privind administrarea şi deetatizarea proprietăţii publice.</w:t>
      </w:r>
    </w:p>
    <w:p w:rsidR="002E230C" w:rsidRPr="0050126E" w:rsidRDefault="000D7DB9" w:rsidP="0050126E">
      <w:pPr>
        <w:pStyle w:val="tt"/>
        <w:spacing w:line="276" w:lineRule="auto"/>
        <w:ind w:left="-720" w:firstLine="720"/>
        <w:jc w:val="both"/>
        <w:rPr>
          <w:b w:val="0"/>
          <w:sz w:val="28"/>
          <w:szCs w:val="28"/>
          <w:lang w:val="ro-MD"/>
        </w:rPr>
      </w:pPr>
      <w:r w:rsidRPr="0050126E">
        <w:rPr>
          <w:b w:val="0"/>
          <w:sz w:val="28"/>
          <w:szCs w:val="28"/>
          <w:lang w:val="ro-MD"/>
        </w:rPr>
        <w:lastRenderedPageBreak/>
        <w:t xml:space="preserve">Remarcăm că, listele propuse spre aprobare, reflectă </w:t>
      </w:r>
      <w:r w:rsidR="00FD2A42" w:rsidRPr="0050126E">
        <w:rPr>
          <w:b w:val="0"/>
          <w:sz w:val="28"/>
          <w:szCs w:val="28"/>
          <w:lang w:val="ro-MD"/>
        </w:rPr>
        <w:t xml:space="preserve">datele din Registrul patrimoniului public, la situația din 13.06.2018, </w:t>
      </w:r>
      <w:r w:rsidR="0030031E" w:rsidRPr="0050126E">
        <w:rPr>
          <w:b w:val="0"/>
          <w:sz w:val="28"/>
          <w:szCs w:val="28"/>
          <w:lang w:val="ro-MD"/>
        </w:rPr>
        <w:t xml:space="preserve">privind întreprinderile de stat </w:t>
      </w:r>
      <w:r w:rsidRPr="0050126E">
        <w:rPr>
          <w:b w:val="0"/>
          <w:sz w:val="28"/>
          <w:szCs w:val="28"/>
          <w:lang w:val="ro-MD"/>
        </w:rPr>
        <w:t xml:space="preserve">aflate </w:t>
      </w:r>
      <w:r w:rsidR="00FD2A42" w:rsidRPr="0050126E">
        <w:rPr>
          <w:b w:val="0"/>
          <w:sz w:val="28"/>
          <w:szCs w:val="28"/>
          <w:lang w:val="ro-MD"/>
        </w:rPr>
        <w:t xml:space="preserve">în administrarea  </w:t>
      </w:r>
      <w:r w:rsidRPr="0050126E">
        <w:rPr>
          <w:b w:val="0"/>
          <w:sz w:val="28"/>
          <w:szCs w:val="28"/>
          <w:lang w:val="ro-MD"/>
        </w:rPr>
        <w:t xml:space="preserve">tuturor </w:t>
      </w:r>
      <w:r w:rsidR="00FD2A42" w:rsidRPr="0050126E">
        <w:rPr>
          <w:b w:val="0"/>
          <w:sz w:val="28"/>
          <w:szCs w:val="28"/>
          <w:lang w:val="ro-MD"/>
        </w:rPr>
        <w:t>ministere</w:t>
      </w:r>
      <w:r w:rsidRPr="0050126E">
        <w:rPr>
          <w:b w:val="0"/>
          <w:sz w:val="28"/>
          <w:szCs w:val="28"/>
          <w:lang w:val="ro-MD"/>
        </w:rPr>
        <w:t>lor</w:t>
      </w:r>
      <w:r w:rsidR="00FD2A42" w:rsidRPr="0050126E">
        <w:rPr>
          <w:b w:val="0"/>
          <w:sz w:val="28"/>
          <w:szCs w:val="28"/>
          <w:lang w:val="ro-MD"/>
        </w:rPr>
        <w:t>, autorităţi</w:t>
      </w:r>
      <w:r w:rsidRPr="0050126E">
        <w:rPr>
          <w:b w:val="0"/>
          <w:sz w:val="28"/>
          <w:szCs w:val="28"/>
          <w:lang w:val="ro-MD"/>
        </w:rPr>
        <w:t>lor</w:t>
      </w:r>
      <w:r w:rsidR="00FD2A42" w:rsidRPr="0050126E">
        <w:rPr>
          <w:b w:val="0"/>
          <w:sz w:val="28"/>
          <w:szCs w:val="28"/>
          <w:lang w:val="ro-MD"/>
        </w:rPr>
        <w:t xml:space="preserve"> administrative centrale din subordinea Guvernului și a Academiei de Științe a Moldovei</w:t>
      </w:r>
      <w:r w:rsidR="0030031E" w:rsidRPr="0050126E">
        <w:rPr>
          <w:b w:val="0"/>
          <w:sz w:val="28"/>
          <w:szCs w:val="28"/>
          <w:lang w:val="ro-MD"/>
        </w:rPr>
        <w:t xml:space="preserve">, </w:t>
      </w:r>
      <w:r w:rsidR="002E230C" w:rsidRPr="0050126E">
        <w:rPr>
          <w:b w:val="0"/>
          <w:sz w:val="28"/>
          <w:szCs w:val="28"/>
          <w:lang w:val="ro-MD"/>
        </w:rPr>
        <w:t xml:space="preserve">cu considerarea faptului că, anumite entități dintre acestea au fost reorganizate deja în instituții publice, </w:t>
      </w:r>
      <w:r w:rsidR="0050126E">
        <w:rPr>
          <w:b w:val="0"/>
          <w:sz w:val="28"/>
          <w:szCs w:val="28"/>
          <w:lang w:val="ro-MD"/>
        </w:rPr>
        <w:t xml:space="preserve">precum și </w:t>
      </w:r>
      <w:r w:rsidR="002E230C" w:rsidRPr="0050126E">
        <w:rPr>
          <w:b w:val="0"/>
          <w:sz w:val="28"/>
          <w:szCs w:val="28"/>
          <w:lang w:val="ro-MD"/>
        </w:rPr>
        <w:t>proiectele actelor normative privind reorganizarea unor entități</w:t>
      </w:r>
      <w:r w:rsidR="0050126E">
        <w:rPr>
          <w:b w:val="0"/>
          <w:sz w:val="28"/>
          <w:szCs w:val="28"/>
          <w:lang w:val="ro-MD"/>
        </w:rPr>
        <w:t>,</w:t>
      </w:r>
      <w:r w:rsidR="0030031E" w:rsidRPr="0050126E">
        <w:rPr>
          <w:b w:val="0"/>
          <w:sz w:val="28"/>
          <w:szCs w:val="28"/>
          <w:lang w:val="ro-MD"/>
        </w:rPr>
        <w:t xml:space="preserve"> care </w:t>
      </w:r>
      <w:r w:rsidR="002E230C" w:rsidRPr="0050126E">
        <w:rPr>
          <w:b w:val="0"/>
          <w:sz w:val="28"/>
          <w:szCs w:val="28"/>
          <w:lang w:val="ro-MD"/>
        </w:rPr>
        <w:t xml:space="preserve">se află în procedură de definitivare. </w:t>
      </w:r>
    </w:p>
    <w:p w:rsidR="002E230C" w:rsidRPr="0030031E" w:rsidRDefault="00FD2A42" w:rsidP="0050126E">
      <w:pPr>
        <w:spacing w:after="0" w:line="276" w:lineRule="auto"/>
        <w:ind w:left="-720" w:firstLine="720"/>
        <w:jc w:val="both"/>
        <w:rPr>
          <w:b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2E230C" w:rsidRPr="0030031E" w:rsidRDefault="002E230C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345B50" w:rsidRPr="0030031E" w:rsidRDefault="00345B50" w:rsidP="0050126E">
      <w:pPr>
        <w:tabs>
          <w:tab w:val="left" w:pos="1134"/>
        </w:tabs>
        <w:spacing w:after="0" w:line="276" w:lineRule="auto"/>
        <w:ind w:left="-720" w:firstLine="720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</w:p>
    <w:p w:rsidR="00345B50" w:rsidRPr="0030031E" w:rsidRDefault="00345B50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30031E">
        <w:rPr>
          <w:rFonts w:ascii="Times New Roman" w:hAnsi="Times New Roman"/>
          <w:b/>
          <w:sz w:val="28"/>
          <w:szCs w:val="28"/>
          <w:lang w:val="ro-MD"/>
        </w:rPr>
        <w:t>Descrierea gradului de compatibilitate a prevederilor proiectului cu legislația Uniunii Europene</w:t>
      </w:r>
    </w:p>
    <w:p w:rsidR="00C15478" w:rsidRPr="0030031E" w:rsidRDefault="00C15478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345B50" w:rsidRPr="0030031E" w:rsidRDefault="00345B50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>Prezentul proiect de act normativ nu contravine legislației Uniunii Europene.</w:t>
      </w:r>
    </w:p>
    <w:p w:rsidR="00345B50" w:rsidRPr="0030031E" w:rsidRDefault="00345B50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2E230C" w:rsidRPr="0030031E" w:rsidRDefault="00345B50" w:rsidP="0050126E">
      <w:pPr>
        <w:spacing w:after="0" w:line="276" w:lineRule="auto"/>
        <w:ind w:left="-720" w:firstLine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MD" w:eastAsia="ro-RO"/>
        </w:rPr>
      </w:pPr>
      <w:r w:rsidRPr="0030031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MD" w:eastAsia="ro-RO"/>
        </w:rPr>
        <w:t>Fundamentarea economico-financiară</w:t>
      </w:r>
    </w:p>
    <w:p w:rsidR="002E230C" w:rsidRPr="0030031E" w:rsidRDefault="002E230C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2E230C" w:rsidRPr="0030031E" w:rsidRDefault="002E230C" w:rsidP="0050126E">
      <w:pPr>
        <w:spacing w:after="0" w:line="276" w:lineRule="auto"/>
        <w:ind w:left="-720"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MD" w:eastAsia="ro-RO"/>
        </w:rPr>
      </w:pPr>
      <w:r w:rsidRPr="0030031E">
        <w:rPr>
          <w:rFonts w:ascii="Times New Roman" w:hAnsi="Times New Roman"/>
          <w:sz w:val="28"/>
          <w:szCs w:val="28"/>
          <w:lang w:val="ro-MD"/>
        </w:rPr>
        <w:t xml:space="preserve">Realizarea proiectului implică cheltuieli financiare aferente înregistrării modificărilor în Registrul persoanelor juridice și întreprinzătorilor individuali, ținut de Agenția Servicii Publice, conform costului reglementat de Anexa la Legea nr.220/2007 privind înregistrarea de stat a persoanelor juridice </w:t>
      </w:r>
      <w:r w:rsidRPr="0030031E">
        <w:rPr>
          <w:rFonts w:ascii="Times New Roman" w:eastAsia="Times New Roman" w:hAnsi="Times New Roman"/>
          <w:bCs/>
          <w:sz w:val="28"/>
          <w:szCs w:val="28"/>
          <w:lang w:val="ro-MD" w:eastAsia="en-GB"/>
        </w:rPr>
        <w:t xml:space="preserve">şi a întreprinzătorilor individuali. </w:t>
      </w:r>
    </w:p>
    <w:p w:rsidR="002E230C" w:rsidRPr="0030031E" w:rsidRDefault="002E230C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eastAsia="Times New Roman" w:hAnsi="Times New Roman"/>
          <w:bCs/>
          <w:sz w:val="28"/>
          <w:szCs w:val="28"/>
          <w:lang w:val="ro-MD" w:eastAsia="en-GB"/>
        </w:rPr>
        <w:t> </w:t>
      </w:r>
    </w:p>
    <w:p w:rsidR="002E230C" w:rsidRPr="0030031E" w:rsidRDefault="002E230C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8209DC" w:rsidRPr="0030031E" w:rsidRDefault="008209DC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345B50" w:rsidRPr="0030031E" w:rsidRDefault="00345B50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C15478" w:rsidRPr="0030031E" w:rsidRDefault="00C15478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345B50" w:rsidRPr="0030031E" w:rsidRDefault="00345B50" w:rsidP="0050126E">
      <w:pPr>
        <w:spacing w:after="0" w:line="276" w:lineRule="auto"/>
        <w:ind w:left="-720" w:firstLine="720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30031E">
        <w:rPr>
          <w:rFonts w:ascii="Times New Roman" w:hAnsi="Times New Roman"/>
          <w:b/>
          <w:bCs/>
          <w:sz w:val="28"/>
          <w:szCs w:val="28"/>
          <w:lang w:val="ro-MD"/>
        </w:rPr>
        <w:t>Iurie CIOCAN,</w:t>
      </w:r>
    </w:p>
    <w:p w:rsidR="00C57B2F" w:rsidRPr="0030031E" w:rsidRDefault="00C57B2F" w:rsidP="0050126E">
      <w:pPr>
        <w:spacing w:after="0" w:line="276" w:lineRule="auto"/>
        <w:ind w:left="-720" w:firstLine="720"/>
        <w:rPr>
          <w:rFonts w:ascii="Times New Roman" w:hAnsi="Times New Roman"/>
          <w:b/>
          <w:bCs/>
          <w:sz w:val="28"/>
          <w:szCs w:val="28"/>
          <w:lang w:val="ro-MD"/>
        </w:rPr>
      </w:pPr>
    </w:p>
    <w:p w:rsidR="00345B50" w:rsidRPr="0030031E" w:rsidRDefault="00345B50" w:rsidP="0050126E">
      <w:pPr>
        <w:spacing w:after="0" w:line="276" w:lineRule="auto"/>
        <w:ind w:left="-720" w:firstLine="720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30031E">
        <w:rPr>
          <w:rFonts w:ascii="Times New Roman" w:hAnsi="Times New Roman"/>
          <w:b/>
          <w:bCs/>
          <w:sz w:val="28"/>
          <w:szCs w:val="28"/>
          <w:lang w:val="ro-MD"/>
        </w:rPr>
        <w:t xml:space="preserve">Director </w:t>
      </w:r>
    </w:p>
    <w:p w:rsidR="00834D46" w:rsidRPr="0030031E" w:rsidRDefault="00345B50" w:rsidP="0050126E">
      <w:pPr>
        <w:spacing w:after="0" w:line="276" w:lineRule="auto"/>
        <w:ind w:left="-720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30031E">
        <w:rPr>
          <w:rFonts w:ascii="Times New Roman" w:hAnsi="Times New Roman"/>
          <w:b/>
          <w:bCs/>
          <w:sz w:val="28"/>
          <w:szCs w:val="28"/>
          <w:lang w:val="ro-MD"/>
        </w:rPr>
        <w:t>Centrul de implementare</w:t>
      </w:r>
      <w:r w:rsidR="00626EC5" w:rsidRPr="0030031E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30031E">
        <w:rPr>
          <w:rFonts w:ascii="Times New Roman" w:hAnsi="Times New Roman"/>
          <w:b/>
          <w:bCs/>
          <w:sz w:val="28"/>
          <w:szCs w:val="28"/>
          <w:lang w:val="ro-MD"/>
        </w:rPr>
        <w:t xml:space="preserve">a Reformelor                          </w:t>
      </w:r>
    </w:p>
    <w:sectPr w:rsidR="00834D46" w:rsidRPr="0030031E" w:rsidSect="00FB3953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43E"/>
    <w:multiLevelType w:val="hybridMultilevel"/>
    <w:tmpl w:val="73EA7A46"/>
    <w:lvl w:ilvl="0" w:tplc="542442DC">
      <w:numFmt w:val="bullet"/>
      <w:lvlText w:val="-"/>
      <w:lvlJc w:val="left"/>
      <w:pPr>
        <w:ind w:left="18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</w:abstractNum>
  <w:abstractNum w:abstractNumId="1" w15:restartNumberingAfterBreak="0">
    <w:nsid w:val="37963A89"/>
    <w:multiLevelType w:val="hybridMultilevel"/>
    <w:tmpl w:val="00A04348"/>
    <w:lvl w:ilvl="0" w:tplc="5A560402"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4D394C5C"/>
    <w:multiLevelType w:val="hybridMultilevel"/>
    <w:tmpl w:val="BB1211AC"/>
    <w:lvl w:ilvl="0" w:tplc="880E11FE">
      <w:numFmt w:val="bullet"/>
      <w:lvlText w:val="-"/>
      <w:lvlJc w:val="left"/>
      <w:pPr>
        <w:ind w:left="18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</w:abstractNum>
  <w:abstractNum w:abstractNumId="3" w15:restartNumberingAfterBreak="0">
    <w:nsid w:val="74094221"/>
    <w:multiLevelType w:val="hybridMultilevel"/>
    <w:tmpl w:val="7F7EA074"/>
    <w:lvl w:ilvl="0" w:tplc="9D786E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0"/>
    <w:rsid w:val="00004995"/>
    <w:rsid w:val="00092A73"/>
    <w:rsid w:val="000B6F51"/>
    <w:rsid w:val="000D7DB9"/>
    <w:rsid w:val="001859AA"/>
    <w:rsid w:val="001C586A"/>
    <w:rsid w:val="001F0898"/>
    <w:rsid w:val="002442B5"/>
    <w:rsid w:val="002E230C"/>
    <w:rsid w:val="0030031E"/>
    <w:rsid w:val="00345B50"/>
    <w:rsid w:val="00433E01"/>
    <w:rsid w:val="00463D42"/>
    <w:rsid w:val="004C2846"/>
    <w:rsid w:val="0050126E"/>
    <w:rsid w:val="00553311"/>
    <w:rsid w:val="00607D16"/>
    <w:rsid w:val="00626EC5"/>
    <w:rsid w:val="00765AF7"/>
    <w:rsid w:val="007A2F8E"/>
    <w:rsid w:val="008209DC"/>
    <w:rsid w:val="00834D46"/>
    <w:rsid w:val="008D56AA"/>
    <w:rsid w:val="00942B8E"/>
    <w:rsid w:val="00AE4BE2"/>
    <w:rsid w:val="00B250A8"/>
    <w:rsid w:val="00C1066C"/>
    <w:rsid w:val="00C15478"/>
    <w:rsid w:val="00C20B0B"/>
    <w:rsid w:val="00C540B4"/>
    <w:rsid w:val="00C57B2F"/>
    <w:rsid w:val="00C67656"/>
    <w:rsid w:val="00C72F89"/>
    <w:rsid w:val="00D47135"/>
    <w:rsid w:val="00E45785"/>
    <w:rsid w:val="00F25D86"/>
    <w:rsid w:val="00F900B8"/>
    <w:rsid w:val="00FD2A42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8B04"/>
  <w15:chartTrackingRefBased/>
  <w15:docId w15:val="{6EDFFC68-CB3A-44C2-8D1E-F416150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B50"/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b">
    <w:name w:val="cb"/>
    <w:basedOn w:val="Normal"/>
    <w:rsid w:val="007A2F8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2F8E"/>
    <w:rPr>
      <w:rFonts w:ascii="Segoe UI" w:eastAsia="Calibri" w:hAnsi="Segoe UI" w:cs="Segoe UI"/>
      <w:sz w:val="18"/>
      <w:szCs w:val="18"/>
      <w:lang w:val="ru-RU"/>
    </w:rPr>
  </w:style>
  <w:style w:type="paragraph" w:customStyle="1" w:styleId="cn">
    <w:name w:val="cn"/>
    <w:basedOn w:val="Normal"/>
    <w:rsid w:val="00F900B8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tt">
    <w:name w:val="tt"/>
    <w:basedOn w:val="Normal"/>
    <w:rsid w:val="00433E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styleId="Hyperlink">
    <w:name w:val="Hyperlink"/>
    <w:basedOn w:val="Fontdeparagrafimplicit"/>
    <w:uiPriority w:val="99"/>
    <w:semiHidden/>
    <w:unhideWhenUsed/>
    <w:rsid w:val="00FD2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2A42"/>
    <w:rPr>
      <w:rFonts w:ascii="Times New Roman" w:hAnsi="Times New Roman"/>
      <w:sz w:val="24"/>
      <w:szCs w:val="24"/>
    </w:rPr>
  </w:style>
  <w:style w:type="paragraph" w:styleId="Listparagraf">
    <w:name w:val="List Paragraph"/>
    <w:basedOn w:val="Normal"/>
    <w:uiPriority w:val="99"/>
    <w:qFormat/>
    <w:rsid w:val="00FD2A42"/>
    <w:pPr>
      <w:ind w:left="720"/>
      <w:contextualSpacing/>
    </w:pPr>
  </w:style>
  <w:style w:type="paragraph" w:customStyle="1" w:styleId="cp">
    <w:name w:val="cp"/>
    <w:basedOn w:val="Normal"/>
    <w:rsid w:val="00FD2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rg">
    <w:name w:val="rg"/>
    <w:basedOn w:val="Normal"/>
    <w:rsid w:val="000D7DB9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171106902" TargetMode="External"/><Relationship Id="rId3" Type="http://schemas.openxmlformats.org/officeDocument/2006/relationships/styles" Target="styles.xml"/><Relationship Id="rId7" Type="http://schemas.openxmlformats.org/officeDocument/2006/relationships/hyperlink" Target="lex:HGHG201512319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1994061614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lex:LPLP20070504121" TargetMode="External"/><Relationship Id="rId4" Type="http://schemas.openxmlformats.org/officeDocument/2006/relationships/settings" Target="settings.xml"/><Relationship Id="rId9" Type="http://schemas.openxmlformats.org/officeDocument/2006/relationships/hyperlink" Target="lex:HGHG2017110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E263-5DA4-48AC-9460-D3449E55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Dabija</dc:creator>
  <cp:keywords/>
  <dc:description/>
  <cp:lastModifiedBy>Lilia Dabija</cp:lastModifiedBy>
  <cp:revision>30</cp:revision>
  <cp:lastPrinted>2018-07-05T12:42:00Z</cp:lastPrinted>
  <dcterms:created xsi:type="dcterms:W3CDTF">2018-02-05T09:08:00Z</dcterms:created>
  <dcterms:modified xsi:type="dcterms:W3CDTF">2018-07-05T13:21:00Z</dcterms:modified>
</cp:coreProperties>
</file>