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99" w:rsidRPr="00931244" w:rsidRDefault="00897299" w:rsidP="00897299">
      <w:pPr>
        <w:spacing w:line="240" w:lineRule="auto"/>
        <w:contextualSpacing/>
        <w:jc w:val="center"/>
        <w:rPr>
          <w:rFonts w:ascii="Times New Roman" w:hAnsi="Times New Roman" w:cs="Times New Roman"/>
          <w:b/>
          <w:sz w:val="26"/>
          <w:szCs w:val="26"/>
        </w:rPr>
      </w:pPr>
      <w:r w:rsidRPr="00931244">
        <w:rPr>
          <w:rFonts w:ascii="Times New Roman" w:hAnsi="Times New Roman" w:cs="Times New Roman"/>
          <w:b/>
          <w:sz w:val="26"/>
          <w:szCs w:val="26"/>
        </w:rPr>
        <w:t>NOTĂ INFORMATIVĂ</w:t>
      </w:r>
    </w:p>
    <w:p w:rsidR="00897299" w:rsidRPr="00931244" w:rsidRDefault="00897299" w:rsidP="00897299">
      <w:pPr>
        <w:spacing w:line="240" w:lineRule="auto"/>
        <w:contextualSpacing/>
        <w:jc w:val="center"/>
        <w:rPr>
          <w:rFonts w:ascii="Times New Roman" w:hAnsi="Times New Roman" w:cs="Times New Roman"/>
          <w:b/>
          <w:sz w:val="26"/>
          <w:szCs w:val="26"/>
          <w:lang w:val="ro-MO"/>
        </w:rPr>
      </w:pPr>
      <w:r w:rsidRPr="00931244">
        <w:rPr>
          <w:rFonts w:ascii="Times New Roman" w:hAnsi="Times New Roman" w:cs="Times New Roman"/>
          <w:b/>
          <w:sz w:val="26"/>
          <w:szCs w:val="26"/>
        </w:rPr>
        <w:t xml:space="preserve">la proiectul hotărârii Guvernului </w:t>
      </w:r>
      <w:r w:rsidRPr="00931244">
        <w:rPr>
          <w:rFonts w:ascii="Times New Roman" w:hAnsi="Times New Roman" w:cs="Times New Roman"/>
          <w:b/>
          <w:sz w:val="26"/>
          <w:szCs w:val="26"/>
          <w:lang w:val="ro-MO"/>
        </w:rPr>
        <w:t xml:space="preserve">cu privire la transmiterea unor bunuri </w:t>
      </w:r>
    </w:p>
    <w:p w:rsidR="00897299" w:rsidRPr="00931244" w:rsidRDefault="00897299" w:rsidP="00897299">
      <w:pPr>
        <w:spacing w:line="240" w:lineRule="auto"/>
        <w:contextualSpacing/>
        <w:rPr>
          <w:rFonts w:ascii="Times New Roman" w:hAnsi="Times New Roman" w:cs="Times New Roman"/>
          <w:sz w:val="26"/>
          <w:szCs w:val="26"/>
        </w:rPr>
      </w:pPr>
    </w:p>
    <w:tbl>
      <w:tblPr>
        <w:tblW w:w="5000" w:type="pct"/>
        <w:jc w:val="center"/>
        <w:tblInd w:w="-3869" w:type="dxa"/>
        <w:tblCellMar>
          <w:top w:w="15" w:type="dxa"/>
          <w:left w:w="15" w:type="dxa"/>
          <w:bottom w:w="15" w:type="dxa"/>
          <w:right w:w="15" w:type="dxa"/>
        </w:tblCellMar>
        <w:tblLook w:val="04A0" w:firstRow="1" w:lastRow="0" w:firstColumn="1" w:lastColumn="0" w:noHBand="0" w:noVBand="1"/>
      </w:tblPr>
      <w:tblGrid>
        <w:gridCol w:w="9445"/>
      </w:tblGrid>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1.</w:t>
            </w:r>
            <w:r w:rsidRPr="00931244">
              <w:rPr>
                <w:rFonts w:ascii="Times New Roman" w:hAnsi="Times New Roman" w:cs="Times New Roman"/>
                <w:sz w:val="26"/>
                <w:szCs w:val="26"/>
                <w:lang w:eastAsia="ro-RO"/>
              </w:rPr>
              <w:t xml:space="preserve"> Denumirea autorului şi, după caz, a participanţilor la elaborarea proiectului </w:t>
            </w:r>
          </w:p>
        </w:tc>
      </w:tr>
      <w:tr w:rsidR="00897299" w:rsidRPr="00931244" w:rsidTr="00D13202">
        <w:trPr>
          <w:trHeight w:val="455"/>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Pr="00931244" w:rsidRDefault="00897299" w:rsidP="00D13202">
            <w:pPr>
              <w:spacing w:line="240" w:lineRule="auto"/>
              <w:ind w:firstLine="497"/>
              <w:contextualSpacing/>
              <w:jc w:val="both"/>
              <w:rPr>
                <w:rFonts w:ascii="Times New Roman" w:hAnsi="Times New Roman" w:cs="Times New Roman"/>
                <w:sz w:val="26"/>
                <w:szCs w:val="26"/>
                <w:lang w:eastAsia="ro-RO"/>
              </w:rPr>
            </w:pPr>
            <w:r w:rsidRPr="00205B5F">
              <w:rPr>
                <w:rFonts w:ascii="Times New Roman" w:eastAsia="Times New Roman" w:hAnsi="Times New Roman" w:cs="Times New Roman"/>
                <w:sz w:val="25"/>
                <w:szCs w:val="25"/>
                <w:lang w:eastAsia="ro-RO"/>
              </w:rPr>
              <w:t>Proiectul este inițiat de către Inspectoratul General al Poliției de Frontieră, prin intermediul Ministerului Afacerilor Interne</w:t>
            </w:r>
            <w:r>
              <w:rPr>
                <w:rFonts w:ascii="Times New Roman" w:eastAsia="Times New Roman" w:hAnsi="Times New Roman" w:cs="Times New Roman"/>
                <w:sz w:val="25"/>
                <w:szCs w:val="25"/>
                <w:lang w:eastAsia="ro-RO"/>
              </w:rPr>
              <w:t>.</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jc w:val="both"/>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2.</w:t>
            </w:r>
            <w:r w:rsidRPr="00931244">
              <w:rPr>
                <w:rFonts w:ascii="Times New Roman" w:hAnsi="Times New Roman" w:cs="Times New Roman"/>
                <w:sz w:val="26"/>
                <w:szCs w:val="26"/>
                <w:lang w:eastAsia="ro-RO"/>
              </w:rPr>
              <w:t xml:space="preserve"> Condiţiile ce au impus elaborarea proiectului de act normativ şi finalităţile urmărite </w:t>
            </w:r>
          </w:p>
        </w:tc>
      </w:tr>
      <w:tr w:rsidR="00897299" w:rsidRPr="00931244" w:rsidTr="00D13202">
        <w:trPr>
          <w:trHeight w:val="338"/>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color w:val="000000"/>
                <w:sz w:val="26"/>
                <w:szCs w:val="26"/>
                <w:lang w:val="ro-MO"/>
              </w:rPr>
              <w:t xml:space="preserve">Proiectul a fost elaborat în scopul adaptării </w:t>
            </w:r>
            <w:proofErr w:type="spellStart"/>
            <w:r>
              <w:rPr>
                <w:rFonts w:ascii="Times New Roman" w:hAnsi="Times New Roman" w:cs="Times New Roman"/>
                <w:color w:val="000000"/>
                <w:sz w:val="26"/>
                <w:szCs w:val="26"/>
                <w:lang w:val="ro-MO"/>
              </w:rPr>
              <w:t>Hotărîrii</w:t>
            </w:r>
            <w:proofErr w:type="spellEnd"/>
            <w:r>
              <w:rPr>
                <w:rFonts w:ascii="Times New Roman" w:hAnsi="Times New Roman" w:cs="Times New Roman"/>
                <w:color w:val="000000"/>
                <w:sz w:val="26"/>
                <w:szCs w:val="26"/>
                <w:lang w:val="ro-MO"/>
              </w:rPr>
              <w:t xml:space="preserve"> Guvernului nr.765 din 18 septembrie 2014 „Cu privire la aprobarea listei documentelor de călătorie acceptate pentru traversarea de către străini a frontierei de stat a Republicii Moldova” la prevederile Convenției </w:t>
            </w:r>
            <w:r w:rsidRPr="00DC50B7">
              <w:rPr>
                <w:rFonts w:ascii="Times New Roman" w:hAnsi="Times New Roman" w:cs="Times New Roman"/>
                <w:color w:val="000000"/>
                <w:sz w:val="26"/>
                <w:szCs w:val="26"/>
                <w:lang w:val="ro-MO"/>
              </w:rPr>
              <w:t>privind statutul refugiaţilor, încheiată</w:t>
            </w:r>
            <w:r>
              <w:rPr>
                <w:rFonts w:ascii="Times New Roman" w:hAnsi="Times New Roman" w:cs="Times New Roman"/>
                <w:color w:val="000000"/>
                <w:sz w:val="26"/>
                <w:szCs w:val="26"/>
                <w:lang w:val="ro-MO"/>
              </w:rPr>
              <w:t xml:space="preserve"> la Geneva la 28 iulie 1951 și la prevederile Convenției privind statutul apatrizilor din 28 septembrie 1954, în ceea ce ține de completarea listei statelor părți la Convențiile menționate ale căror documente de călătorie eliberate pentru refugiați și apatrizi, Republica Moldova, urmează să le recunoască. </w:t>
            </w:r>
          </w:p>
          <w:p w:rsidR="00897299" w:rsidRPr="00931244"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color w:val="000000"/>
                <w:sz w:val="26"/>
                <w:szCs w:val="26"/>
                <w:lang w:val="ro-MO"/>
              </w:rPr>
              <w:t xml:space="preserve">Totodată, un alt temei pentru completarea Listei </w:t>
            </w:r>
            <w:r w:rsidRPr="00DC50B7">
              <w:rPr>
                <w:rFonts w:ascii="Times New Roman" w:hAnsi="Times New Roman" w:cs="Times New Roman"/>
                <w:color w:val="000000"/>
                <w:sz w:val="26"/>
                <w:szCs w:val="26"/>
                <w:lang w:val="ro-MO"/>
              </w:rPr>
              <w:t>documentelor de călătorie emise de ţări terţe, entităţi şi autorităţi</w:t>
            </w:r>
            <w:r>
              <w:rPr>
                <w:rFonts w:ascii="Times New Roman" w:hAnsi="Times New Roman" w:cs="Times New Roman"/>
                <w:color w:val="000000"/>
                <w:sz w:val="26"/>
                <w:szCs w:val="26"/>
                <w:lang w:val="ro-MO"/>
              </w:rPr>
              <w:t xml:space="preserve"> </w:t>
            </w:r>
            <w:r w:rsidRPr="00DC50B7">
              <w:rPr>
                <w:rFonts w:ascii="Times New Roman" w:hAnsi="Times New Roman" w:cs="Times New Roman"/>
                <w:color w:val="000000"/>
                <w:sz w:val="26"/>
                <w:szCs w:val="26"/>
                <w:lang w:val="ro-MO"/>
              </w:rPr>
              <w:t>teritoriale</w:t>
            </w:r>
            <w:r>
              <w:rPr>
                <w:rFonts w:ascii="Times New Roman" w:hAnsi="Times New Roman" w:cs="Times New Roman"/>
                <w:color w:val="000000"/>
                <w:sz w:val="26"/>
                <w:szCs w:val="26"/>
                <w:lang w:val="ro-MO"/>
              </w:rPr>
              <w:t>, îl constituie solicitarea Ministerului Afacerilor Externe și Integrării Europene privind includerea actelor de călătorie emise de autoritățile olandeze, ale căror specimene au fost remise în adresa Ministerului Afacerilor Interne.</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jc w:val="both"/>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3.</w:t>
            </w:r>
            <w:r w:rsidRPr="00931244">
              <w:rPr>
                <w:rFonts w:ascii="Times New Roman" w:hAnsi="Times New Roman" w:cs="Times New Roman"/>
                <w:sz w:val="26"/>
                <w:szCs w:val="26"/>
                <w:lang w:eastAsia="ro-RO"/>
              </w:rPr>
              <w:t xml:space="preserve"> Principalele prevederi ale proiectului şi evidenţierea elementelor noi</w:t>
            </w:r>
          </w:p>
        </w:tc>
      </w:tr>
      <w:tr w:rsidR="00897299" w:rsidRPr="00931244" w:rsidTr="00D13202">
        <w:trPr>
          <w:trHeight w:val="23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sz w:val="26"/>
                <w:szCs w:val="26"/>
              </w:rPr>
              <w:t xml:space="preserve">Primul punct din proiect prevede excluderea din pct.1 din </w:t>
            </w:r>
            <w:proofErr w:type="spellStart"/>
            <w:r>
              <w:rPr>
                <w:rFonts w:ascii="Times New Roman" w:hAnsi="Times New Roman" w:cs="Times New Roman"/>
                <w:sz w:val="26"/>
                <w:szCs w:val="26"/>
              </w:rPr>
              <w:t>Hotărîre</w:t>
            </w:r>
            <w:proofErr w:type="spellEnd"/>
            <w:r>
              <w:rPr>
                <w:rFonts w:ascii="Times New Roman" w:hAnsi="Times New Roman" w:cs="Times New Roman"/>
                <w:sz w:val="26"/>
                <w:szCs w:val="26"/>
              </w:rPr>
              <w:t xml:space="preserve"> și din titlul anexelor la aceasta a sintagmei „acceptate de Republica Moldova” din motiv că nu toate documentele de călătorie incluse în lista vizată sunt acceptate pentru traversarea frontierei de stat a Republicii Moldova. Astfel, în coloana a doua din tabelele din anexe sunt reprezentate actele de călătorie emise de către </w:t>
            </w:r>
            <w:r w:rsidRPr="00DC50B7">
              <w:rPr>
                <w:rFonts w:ascii="Times New Roman" w:hAnsi="Times New Roman" w:cs="Times New Roman"/>
                <w:color w:val="000000"/>
                <w:sz w:val="26"/>
                <w:szCs w:val="26"/>
                <w:lang w:val="ro-MO"/>
              </w:rPr>
              <w:t>ţări terţe, entităţi şi autorităţi</w:t>
            </w:r>
            <w:r>
              <w:rPr>
                <w:rFonts w:ascii="Times New Roman" w:hAnsi="Times New Roman" w:cs="Times New Roman"/>
                <w:color w:val="000000"/>
                <w:sz w:val="26"/>
                <w:szCs w:val="26"/>
                <w:lang w:val="ro-MO"/>
              </w:rPr>
              <w:t xml:space="preserve"> </w:t>
            </w:r>
            <w:r w:rsidRPr="00DC50B7">
              <w:rPr>
                <w:rFonts w:ascii="Times New Roman" w:hAnsi="Times New Roman" w:cs="Times New Roman"/>
                <w:color w:val="000000"/>
                <w:sz w:val="26"/>
                <w:szCs w:val="26"/>
                <w:lang w:val="ro-MO"/>
              </w:rPr>
              <w:t>teritoriale</w:t>
            </w:r>
            <w:r>
              <w:rPr>
                <w:rFonts w:ascii="Times New Roman" w:hAnsi="Times New Roman" w:cs="Times New Roman"/>
                <w:color w:val="000000"/>
                <w:sz w:val="26"/>
                <w:szCs w:val="26"/>
                <w:lang w:val="ro-MO"/>
              </w:rPr>
              <w:t xml:space="preserve"> și de organizaţiile internaţionale. În coloana a treia, prin intermediul asteriscului, sunt identificate acele acte de călătorie care sunt acceptate pentru traversarea frontierei de stat. </w:t>
            </w:r>
            <w:proofErr w:type="spellStart"/>
            <w:r>
              <w:rPr>
                <w:rFonts w:ascii="Times New Roman" w:hAnsi="Times New Roman" w:cs="Times New Roman"/>
                <w:color w:val="000000"/>
                <w:sz w:val="26"/>
                <w:szCs w:val="26"/>
                <w:lang w:val="ro-MO"/>
              </w:rPr>
              <w:t>Avînd</w:t>
            </w:r>
            <w:proofErr w:type="spellEnd"/>
            <w:r>
              <w:rPr>
                <w:rFonts w:ascii="Times New Roman" w:hAnsi="Times New Roman" w:cs="Times New Roman"/>
                <w:color w:val="000000"/>
                <w:sz w:val="26"/>
                <w:szCs w:val="26"/>
                <w:lang w:val="ro-MO"/>
              </w:rPr>
              <w:t xml:space="preserve"> în vedere redacția actuală a </w:t>
            </w:r>
            <w:proofErr w:type="spellStart"/>
            <w:r>
              <w:rPr>
                <w:rFonts w:ascii="Times New Roman" w:hAnsi="Times New Roman" w:cs="Times New Roman"/>
                <w:color w:val="000000"/>
                <w:sz w:val="26"/>
                <w:szCs w:val="26"/>
                <w:lang w:val="ro-MO"/>
              </w:rPr>
              <w:t>Hotărîrii</w:t>
            </w:r>
            <w:proofErr w:type="spellEnd"/>
            <w:r>
              <w:rPr>
                <w:rFonts w:ascii="Times New Roman" w:hAnsi="Times New Roman" w:cs="Times New Roman"/>
                <w:color w:val="000000"/>
                <w:sz w:val="26"/>
                <w:szCs w:val="26"/>
                <w:lang w:val="ro-MO"/>
              </w:rPr>
              <w:t xml:space="preserve"> Guvernului ( sintagma „acceptate de Republica Moldova) și prezența asteriscului concomitent, se creează o situație de neclaritate în recunoașterea documentelor pentru traversarea frontierei de stat.</w:t>
            </w:r>
          </w:p>
          <w:p w:rsidR="00897299"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color w:val="000000"/>
                <w:sz w:val="26"/>
                <w:szCs w:val="26"/>
                <w:lang w:val="ro-MO"/>
              </w:rPr>
              <w:t>Astfel, proiectul prevede excluderea sintagmei sus-menționate și la punctul 3 completarea cu mențiunea „</w:t>
            </w:r>
            <w:r w:rsidRPr="000F3F3A">
              <w:rPr>
                <w:rFonts w:ascii="Times New Roman" w:hAnsi="Times New Roman" w:cs="Times New Roman"/>
                <w:color w:val="000000"/>
                <w:sz w:val="26"/>
                <w:szCs w:val="26"/>
                <w:lang w:val="ro-MO"/>
              </w:rPr>
              <w:t>* - documentul acceptat de Republica Moldova pentru traversarea frontierei de stat.”</w:t>
            </w:r>
            <w:r>
              <w:rPr>
                <w:rFonts w:ascii="Times New Roman" w:hAnsi="Times New Roman" w:cs="Times New Roman"/>
                <w:color w:val="000000"/>
                <w:sz w:val="26"/>
                <w:szCs w:val="26"/>
                <w:lang w:val="ro-MO"/>
              </w:rPr>
              <w:t>, ceea ce va aduce claritate în ceea ce ține de actele de călătorie acceptate pentru traversarea frontierei de stat.</w:t>
            </w:r>
          </w:p>
          <w:p w:rsidR="00897299"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color w:val="000000"/>
                <w:sz w:val="26"/>
                <w:szCs w:val="26"/>
                <w:lang w:val="ro-MO"/>
              </w:rPr>
              <w:t xml:space="preserve">Punctul 2 din proiect redă esența proiectului, or, în acesta se regăsesc completările de rigoare în ceea ce ține de documentele de călătorie pentru refugiați și apatrizi. </w:t>
            </w:r>
          </w:p>
          <w:p w:rsidR="00897299"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color w:val="000000"/>
                <w:sz w:val="26"/>
                <w:szCs w:val="26"/>
                <w:lang w:val="ro-MO"/>
              </w:rPr>
              <w:t>Potrivit prevederilor art.28 alin. (1) din Convenția privind statutul refugiaților, semnată la Geneva la 28 iulie 1951, statele contractante vor elibera refugiaților care își au reședința obișnuită pe teritoriul lor, documente de călătorie care să le permită să călătorească în afara acestui teritoriu, afară de cazul că rațiuni imperioase privind securitatea națională sau ordinea publică nu se opun la aceasta. Consecvent, potrivit prevederilor Paragrafului 7 din Anexa la Convenție, Statele contractante vor recunoaște valabilitatea documentelor eliberate conform dispozițiilor art.28 din Convenție. În aceeași ordine de idei sunt și prevederile Convenției privind statutul apatrizilor din 28 septembrie 1954.</w:t>
            </w:r>
          </w:p>
          <w:p w:rsidR="00897299" w:rsidRPr="000F3F3A" w:rsidRDefault="00897299" w:rsidP="00D13202">
            <w:pPr>
              <w:spacing w:line="240" w:lineRule="auto"/>
              <w:ind w:firstLine="567"/>
              <w:contextualSpacing/>
              <w:jc w:val="both"/>
              <w:rPr>
                <w:rFonts w:ascii="Times New Roman" w:hAnsi="Times New Roman" w:cs="Times New Roman"/>
                <w:color w:val="000000"/>
                <w:sz w:val="26"/>
                <w:szCs w:val="26"/>
                <w:lang w:val="ro-MO"/>
              </w:rPr>
            </w:pPr>
            <w:r>
              <w:rPr>
                <w:rFonts w:ascii="Times New Roman" w:hAnsi="Times New Roman" w:cs="Times New Roman"/>
                <w:color w:val="000000"/>
                <w:sz w:val="26"/>
                <w:szCs w:val="26"/>
                <w:lang w:val="ro-MO"/>
              </w:rPr>
              <w:t>Prin urmare, toate documentele de călătorie vizate, eliberate de un stat parte la Convențiile respective, urmează să fie acceptate pentru traversarea frontierei de stat a Republicii Moldova. Astfel, Anexa nr.1 a fost completată cu Documentele de călătorie pentru refugiați și pentru apatrizi eliberate de către statele părți, la pozițiile în care nu erau prevăzute aceste documente, în conformitate cu listele statelor părți la Convențiile vizate.</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lastRenderedPageBreak/>
              <w:t>5.</w:t>
            </w:r>
            <w:r w:rsidRPr="00931244">
              <w:rPr>
                <w:rFonts w:ascii="Times New Roman" w:hAnsi="Times New Roman" w:cs="Times New Roman"/>
                <w:sz w:val="26"/>
                <w:szCs w:val="26"/>
                <w:lang w:eastAsia="ro-RO"/>
              </w:rPr>
              <w:t xml:space="preserve"> Fundamentarea economico-financiară </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Pr="00931244" w:rsidRDefault="00897299" w:rsidP="00D13202">
            <w:pPr>
              <w:spacing w:line="240" w:lineRule="auto"/>
              <w:ind w:firstLine="567"/>
              <w:contextualSpacing/>
              <w:jc w:val="both"/>
              <w:rPr>
                <w:rFonts w:ascii="Times New Roman" w:hAnsi="Times New Roman" w:cs="Times New Roman"/>
                <w:color w:val="000000"/>
                <w:sz w:val="26"/>
                <w:szCs w:val="26"/>
                <w:lang w:val="ro-MO"/>
              </w:rPr>
            </w:pPr>
            <w:r w:rsidRPr="00931244">
              <w:rPr>
                <w:rFonts w:ascii="Times New Roman" w:hAnsi="Times New Roman" w:cs="Times New Roman"/>
                <w:color w:val="000000"/>
                <w:sz w:val="26"/>
                <w:szCs w:val="26"/>
                <w:lang w:val="ro-MO"/>
              </w:rPr>
              <w:t>La implementarea proiectului nu vor fi atrase careva cheltuieli financiare suplimentare.</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6.</w:t>
            </w:r>
            <w:r w:rsidRPr="00931244">
              <w:rPr>
                <w:rFonts w:ascii="Times New Roman" w:hAnsi="Times New Roman" w:cs="Times New Roman"/>
                <w:sz w:val="26"/>
                <w:szCs w:val="26"/>
                <w:lang w:eastAsia="ro-RO"/>
              </w:rPr>
              <w:t xml:space="preserve"> Modul de încorporare a actului în cadrul normativ în vigoare</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Pr="00931244" w:rsidRDefault="00897299" w:rsidP="00D13202">
            <w:pPr>
              <w:spacing w:line="240" w:lineRule="auto"/>
              <w:ind w:firstLine="567"/>
              <w:contextualSpacing/>
              <w:jc w:val="both"/>
              <w:rPr>
                <w:rFonts w:ascii="Times New Roman" w:hAnsi="Times New Roman" w:cs="Times New Roman"/>
                <w:sz w:val="26"/>
                <w:szCs w:val="26"/>
                <w:lang w:eastAsia="ro-RO"/>
              </w:rPr>
            </w:pPr>
            <w:r w:rsidRPr="00931244">
              <w:rPr>
                <w:rFonts w:ascii="Times New Roman" w:hAnsi="Times New Roman" w:cs="Times New Roman"/>
                <w:sz w:val="26"/>
                <w:szCs w:val="26"/>
                <w:lang w:eastAsia="ro-RO"/>
              </w:rPr>
              <w:t>Proiectul elaborat se încadrează în cadrul normativ în vigoare, iar promovarea acestuia și eventuala sa aprobare nu va genera ca consecință necesitatea amendării altor acte normative.</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7.</w:t>
            </w:r>
            <w:r w:rsidRPr="00931244">
              <w:rPr>
                <w:rFonts w:ascii="Times New Roman" w:hAnsi="Times New Roman" w:cs="Times New Roman"/>
                <w:sz w:val="26"/>
                <w:szCs w:val="26"/>
                <w:lang w:eastAsia="ro-RO"/>
              </w:rPr>
              <w:t xml:space="preserve"> Avizarea şi consultarea publică a proiectului </w:t>
            </w:r>
          </w:p>
        </w:tc>
      </w:tr>
      <w:tr w:rsidR="00897299" w:rsidRPr="00931244" w:rsidTr="00D13202">
        <w:trPr>
          <w:trHeight w:val="59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Pr="00931244" w:rsidRDefault="00897299" w:rsidP="00D13202">
            <w:pPr>
              <w:spacing w:line="240" w:lineRule="auto"/>
              <w:ind w:firstLine="567"/>
              <w:contextualSpacing/>
              <w:jc w:val="both"/>
              <w:rPr>
                <w:rFonts w:ascii="Times New Roman" w:hAnsi="Times New Roman" w:cs="Times New Roman"/>
                <w:sz w:val="26"/>
                <w:szCs w:val="26"/>
                <w:lang w:eastAsia="ro-RO"/>
              </w:rPr>
            </w:pP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8.</w:t>
            </w:r>
            <w:r w:rsidRPr="00931244">
              <w:rPr>
                <w:rFonts w:ascii="Times New Roman" w:hAnsi="Times New Roman" w:cs="Times New Roman"/>
                <w:sz w:val="26"/>
                <w:szCs w:val="26"/>
                <w:lang w:eastAsia="ro-RO"/>
              </w:rPr>
              <w:t xml:space="preserve"> Constatările expertizei anticorupţie </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sz w:val="26"/>
                <w:szCs w:val="26"/>
                <w:lang w:eastAsia="ro-RO"/>
              </w:rPr>
              <w:t> </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897299" w:rsidRPr="00931244" w:rsidRDefault="00897299" w:rsidP="00D13202">
            <w:pPr>
              <w:spacing w:line="240" w:lineRule="auto"/>
              <w:contextualSpacing/>
              <w:rPr>
                <w:rFonts w:ascii="Times New Roman" w:hAnsi="Times New Roman" w:cs="Times New Roman"/>
                <w:sz w:val="26"/>
                <w:szCs w:val="26"/>
                <w:lang w:eastAsia="ro-RO"/>
              </w:rPr>
            </w:pPr>
            <w:r w:rsidRPr="00931244">
              <w:rPr>
                <w:rFonts w:ascii="Times New Roman" w:hAnsi="Times New Roman" w:cs="Times New Roman"/>
                <w:b/>
                <w:bCs/>
                <w:sz w:val="26"/>
                <w:szCs w:val="26"/>
                <w:lang w:eastAsia="ro-RO"/>
              </w:rPr>
              <w:t>10.</w:t>
            </w:r>
            <w:r w:rsidRPr="00931244">
              <w:rPr>
                <w:rFonts w:ascii="Times New Roman" w:hAnsi="Times New Roman" w:cs="Times New Roman"/>
                <w:sz w:val="26"/>
                <w:szCs w:val="26"/>
                <w:lang w:eastAsia="ro-RO"/>
              </w:rPr>
              <w:t xml:space="preserve"> Constatările expertizei juridice </w:t>
            </w:r>
          </w:p>
        </w:tc>
      </w:tr>
      <w:tr w:rsidR="00897299" w:rsidRPr="00931244" w:rsidTr="00D13202">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897299" w:rsidRPr="00931244" w:rsidRDefault="00897299" w:rsidP="00D13202">
            <w:pPr>
              <w:spacing w:line="240" w:lineRule="auto"/>
              <w:contextualSpacing/>
              <w:rPr>
                <w:rFonts w:ascii="Times New Roman" w:hAnsi="Times New Roman" w:cs="Times New Roman"/>
                <w:b/>
                <w:bCs/>
                <w:color w:val="FFFFFF" w:themeColor="background1"/>
                <w:sz w:val="26"/>
                <w:szCs w:val="26"/>
                <w:lang w:eastAsia="ro-RO"/>
              </w:rPr>
            </w:pPr>
          </w:p>
        </w:tc>
      </w:tr>
    </w:tbl>
    <w:p w:rsidR="00897299" w:rsidRPr="00931244" w:rsidRDefault="00897299" w:rsidP="00897299">
      <w:pPr>
        <w:spacing w:line="240" w:lineRule="auto"/>
        <w:contextualSpacing/>
        <w:rPr>
          <w:rFonts w:ascii="Times New Roman" w:hAnsi="Times New Roman" w:cs="Times New Roman"/>
          <w:sz w:val="26"/>
          <w:szCs w:val="26"/>
          <w:lang w:val="en-US"/>
        </w:rPr>
      </w:pPr>
    </w:p>
    <w:p w:rsidR="00897299" w:rsidRPr="00931244" w:rsidRDefault="00897299" w:rsidP="00897299">
      <w:pPr>
        <w:spacing w:line="240" w:lineRule="auto"/>
        <w:contextualSpacing/>
        <w:rPr>
          <w:rFonts w:ascii="Times New Roman" w:hAnsi="Times New Roman" w:cs="Times New Roman"/>
          <w:sz w:val="26"/>
          <w:szCs w:val="26"/>
          <w:lang w:val="en-US"/>
        </w:rPr>
      </w:pPr>
    </w:p>
    <w:p w:rsidR="00897299" w:rsidRPr="00931244" w:rsidRDefault="00897299" w:rsidP="00897299">
      <w:pPr>
        <w:spacing w:line="240" w:lineRule="auto"/>
        <w:contextualSpacing/>
        <w:rPr>
          <w:rFonts w:ascii="Times New Roman" w:hAnsi="Times New Roman" w:cs="Times New Roman"/>
          <w:sz w:val="26"/>
          <w:szCs w:val="26"/>
          <w:lang w:val="en-US"/>
        </w:rPr>
      </w:pPr>
    </w:p>
    <w:p w:rsidR="00897299" w:rsidRPr="00931244" w:rsidRDefault="00897299" w:rsidP="00897299">
      <w:pPr>
        <w:spacing w:line="240" w:lineRule="auto"/>
        <w:contextualSpacing/>
        <w:rPr>
          <w:rFonts w:ascii="Times New Roman" w:hAnsi="Times New Roman" w:cs="Times New Roman"/>
          <w:b/>
          <w:color w:val="000000"/>
          <w:sz w:val="26"/>
          <w:szCs w:val="26"/>
          <w:lang w:val="ro-MO"/>
        </w:rPr>
      </w:pPr>
      <w:r w:rsidRPr="00931244">
        <w:rPr>
          <w:rFonts w:ascii="Times New Roman" w:hAnsi="Times New Roman" w:cs="Times New Roman"/>
          <w:b/>
          <w:color w:val="000000"/>
          <w:sz w:val="26"/>
          <w:szCs w:val="26"/>
          <w:lang w:val="ro-MO"/>
        </w:rPr>
        <w:t>Ministru                                                                                              Alexandru JIZDAN</w:t>
      </w:r>
    </w:p>
    <w:p w:rsidR="00897299" w:rsidRPr="00931244" w:rsidRDefault="00897299" w:rsidP="00897299">
      <w:pPr>
        <w:spacing w:after="0" w:line="240" w:lineRule="auto"/>
        <w:ind w:right="-5"/>
        <w:jc w:val="both"/>
        <w:rPr>
          <w:rFonts w:ascii="Times New Roman" w:hAnsi="Times New Roman" w:cs="Times New Roman"/>
          <w:b/>
          <w:sz w:val="26"/>
          <w:szCs w:val="26"/>
        </w:rPr>
      </w:pPr>
    </w:p>
    <w:p w:rsidR="00897299" w:rsidRPr="00931244" w:rsidRDefault="00897299" w:rsidP="00897299">
      <w:pPr>
        <w:spacing w:after="0"/>
        <w:ind w:right="-5"/>
        <w:rPr>
          <w:rFonts w:ascii="Times New Roman" w:hAnsi="Times New Roman" w:cs="Times New Roman"/>
          <w:b/>
          <w:sz w:val="26"/>
          <w:szCs w:val="26"/>
        </w:rPr>
      </w:pPr>
    </w:p>
    <w:p w:rsidR="00D3259D" w:rsidRDefault="00D3259D">
      <w:bookmarkStart w:id="0" w:name="_GoBack"/>
      <w:bookmarkEnd w:id="0"/>
    </w:p>
    <w:sectPr w:rsidR="00D3259D" w:rsidSect="00DB12AC">
      <w:pgSz w:w="11906" w:h="16838"/>
      <w:pgMar w:top="568" w:right="85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E3"/>
    <w:rsid w:val="0018144C"/>
    <w:rsid w:val="001E59E3"/>
    <w:rsid w:val="00897299"/>
    <w:rsid w:val="00D3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299"/>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299"/>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3923</Characters>
  <Application>Microsoft Office Word</Application>
  <DocSecurity>0</DocSecurity>
  <Lines>32</Lines>
  <Paragraphs>9</Paragraphs>
  <ScaleCrop>false</ScaleCrop>
  <Company>diakov.net</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2018-07-02T07:52:00Z</dcterms:created>
  <dcterms:modified xsi:type="dcterms:W3CDTF">2018-07-02T07:52:00Z</dcterms:modified>
</cp:coreProperties>
</file>