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2EEF9" w14:textId="77777777" w:rsidR="00D52459" w:rsidRDefault="00D52459" w:rsidP="00D52459">
      <w:pPr>
        <w:pStyle w:val="Normal1"/>
        <w:tabs>
          <w:tab w:val="left" w:pos="426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C467849" w14:textId="77777777" w:rsidR="00D52459" w:rsidRPr="004422D7" w:rsidRDefault="00D52459" w:rsidP="00D52459">
      <w:pPr>
        <w:pStyle w:val="Normal1"/>
        <w:tabs>
          <w:tab w:val="left" w:pos="426"/>
        </w:tabs>
        <w:spacing w:after="120"/>
        <w:jc w:val="center"/>
        <w:rPr>
          <w:lang w:val="it-IT"/>
        </w:rPr>
      </w:pPr>
      <w:r w:rsidRPr="004422D7">
        <w:rPr>
          <w:rFonts w:ascii="Times New Roman" w:hAnsi="Times New Roman" w:cs="Times New Roman"/>
          <w:b/>
          <w:sz w:val="28"/>
          <w:szCs w:val="28"/>
          <w:lang w:val="it-IT"/>
        </w:rPr>
        <w:t>GUVERNUL REPUBLICII MOLDOVA</w:t>
      </w:r>
    </w:p>
    <w:p w14:paraId="76815A57" w14:textId="77777777" w:rsidR="00D52459" w:rsidRPr="004422D7" w:rsidRDefault="00D52459" w:rsidP="00D52459">
      <w:pPr>
        <w:pStyle w:val="Normal1"/>
        <w:tabs>
          <w:tab w:val="left" w:pos="426"/>
        </w:tabs>
        <w:spacing w:after="120"/>
        <w:jc w:val="center"/>
        <w:rPr>
          <w:lang w:val="it-IT"/>
        </w:rPr>
      </w:pPr>
    </w:p>
    <w:p w14:paraId="5B73A2EE" w14:textId="77777777" w:rsidR="00D52459" w:rsidRPr="004422D7" w:rsidRDefault="00D52459" w:rsidP="00D52459">
      <w:pPr>
        <w:pStyle w:val="Normal1"/>
        <w:tabs>
          <w:tab w:val="left" w:pos="426"/>
        </w:tabs>
        <w:spacing w:after="120"/>
        <w:jc w:val="center"/>
        <w:rPr>
          <w:lang w:val="it-IT"/>
        </w:rPr>
      </w:pPr>
      <w:r w:rsidRPr="004422D7">
        <w:rPr>
          <w:rFonts w:ascii="Times New Roman" w:hAnsi="Times New Roman" w:cs="Times New Roman"/>
          <w:b/>
          <w:sz w:val="28"/>
          <w:szCs w:val="28"/>
          <w:lang w:val="it-IT"/>
        </w:rPr>
        <w:t>H O T Ă R Î R E nr. _____</w:t>
      </w:r>
    </w:p>
    <w:p w14:paraId="7E3E70E1" w14:textId="77777777" w:rsidR="00D52459" w:rsidRPr="004422D7" w:rsidRDefault="00D52459" w:rsidP="00D52459">
      <w:pPr>
        <w:pStyle w:val="Normal1"/>
        <w:tabs>
          <w:tab w:val="left" w:pos="426"/>
        </w:tabs>
        <w:spacing w:after="120"/>
        <w:jc w:val="center"/>
        <w:rPr>
          <w:lang w:val="it-IT"/>
        </w:rPr>
      </w:pPr>
      <w:r w:rsidRPr="004422D7">
        <w:rPr>
          <w:rFonts w:ascii="Times New Roman" w:hAnsi="Times New Roman" w:cs="Times New Roman"/>
          <w:b/>
          <w:sz w:val="28"/>
          <w:szCs w:val="28"/>
          <w:lang w:val="it-IT"/>
        </w:rPr>
        <w:t>din ____________201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8</w:t>
      </w:r>
    </w:p>
    <w:p w14:paraId="3C7D6192" w14:textId="77777777" w:rsidR="00D52459" w:rsidRDefault="00D52459" w:rsidP="00D52459">
      <w:pPr>
        <w:pStyle w:val="Normal1"/>
        <w:tabs>
          <w:tab w:val="left" w:pos="426"/>
        </w:tabs>
        <w:spacing w:after="120"/>
        <w:jc w:val="center"/>
        <w:rPr>
          <w:lang w:val="it-IT"/>
        </w:rPr>
      </w:pPr>
    </w:p>
    <w:p w14:paraId="3115055E" w14:textId="77777777" w:rsidR="00D52459" w:rsidRPr="004422D7" w:rsidRDefault="00D52459" w:rsidP="00D52459">
      <w:pPr>
        <w:pStyle w:val="Normal1"/>
        <w:tabs>
          <w:tab w:val="left" w:pos="426"/>
        </w:tabs>
        <w:spacing w:after="120"/>
        <w:jc w:val="center"/>
        <w:rPr>
          <w:lang w:val="it-IT"/>
        </w:rPr>
      </w:pPr>
    </w:p>
    <w:p w14:paraId="0E7BAD23" w14:textId="77777777" w:rsidR="00D52459" w:rsidRPr="00D936DE" w:rsidRDefault="00D52459" w:rsidP="00D524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cu privire la aprobarea Regulamentului privind ajustarea periodică</w:t>
      </w:r>
    </w:p>
    <w:p w14:paraId="39ADBDDB" w14:textId="77777777" w:rsidR="00D52459" w:rsidRPr="00D936DE" w:rsidRDefault="00D52459" w:rsidP="00D524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a valorii contractelor de achiziţii publice cu executare continuă,</w:t>
      </w:r>
    </w:p>
    <w:p w14:paraId="59593F7E" w14:textId="77777777" w:rsidR="00D52459" w:rsidRPr="00D936DE" w:rsidRDefault="00D52459" w:rsidP="00D524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încheiate pe un termen mai mare de un an</w:t>
      </w:r>
    </w:p>
    <w:p w14:paraId="4FE5A2CF" w14:textId="77777777" w:rsidR="00D52459" w:rsidRPr="00F15803" w:rsidRDefault="00D52459" w:rsidP="00D52459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7A3B777" w14:textId="77777777" w:rsidR="00D52459" w:rsidRPr="00F35D0B" w:rsidRDefault="00D52459" w:rsidP="00D52459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EC22906" w14:textId="77777777" w:rsidR="00D52459" w:rsidRPr="00D936DE" w:rsidRDefault="00D52459" w:rsidP="00D524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/>
          <w:sz w:val="28"/>
          <w:szCs w:val="28"/>
          <w:lang w:val="ro-MD" w:eastAsia="en-GB"/>
        </w:rPr>
        <w:t>În scopul executării art.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>72</w:t>
      </w:r>
      <w:r w:rsidRPr="00D936DE"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 alin.(4) din Legea nr.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131 din </w:t>
      </w:r>
      <w:r w:rsidRPr="00D936DE"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3 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iulie </w:t>
      </w:r>
      <w:r w:rsidRPr="00D936DE">
        <w:rPr>
          <w:rFonts w:ascii="Times New Roman" w:eastAsia="Times New Roman" w:hAnsi="Times New Roman"/>
          <w:sz w:val="28"/>
          <w:szCs w:val="28"/>
          <w:lang w:val="ro-MD" w:eastAsia="en-GB"/>
        </w:rPr>
        <w:t>20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>15</w:t>
      </w:r>
      <w:r w:rsidRPr="00D936DE"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 privind achiziţiile publice (Monitorul Oficial al Republicii Moldova, 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>nr.197-205, art.402 din 31.07.2015</w:t>
      </w:r>
      <w:r w:rsidRPr="00D936DE">
        <w:rPr>
          <w:rFonts w:ascii="Times New Roman" w:eastAsia="Times New Roman" w:hAnsi="Times New Roman"/>
          <w:sz w:val="28"/>
          <w:szCs w:val="28"/>
          <w:lang w:val="ro-MD" w:eastAsia="en-GB"/>
        </w:rPr>
        <w:t>), cu modificările şi completările ulterioare, şi aplicării unei metode transparente şi eficiente de ajustare periodică a valorii contractelor de achiziţii publice cu executare continuă, încheiate pe un termen mai mare de un an, Guvernul</w:t>
      </w:r>
    </w:p>
    <w:p w14:paraId="19AC8806" w14:textId="77777777" w:rsidR="00D52459" w:rsidRDefault="00D52459" w:rsidP="00D52459">
      <w:pPr>
        <w:pStyle w:val="cn"/>
        <w:spacing w:before="0" w:beforeAutospacing="0" w:after="0" w:afterAutospacing="0"/>
        <w:jc w:val="center"/>
        <w:rPr>
          <w:b/>
          <w:bCs/>
          <w:sz w:val="28"/>
          <w:lang w:val="ro-MD"/>
        </w:rPr>
      </w:pPr>
    </w:p>
    <w:p w14:paraId="0AEB148A" w14:textId="77777777" w:rsidR="00D52459" w:rsidRPr="00087ADE" w:rsidRDefault="00D52459" w:rsidP="00D52459">
      <w:pPr>
        <w:pStyle w:val="cn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rFonts w:ascii="Arial" w:hAnsi="Arial" w:cs="Arial"/>
          <w:sz w:val="23"/>
          <w:szCs w:val="23"/>
        </w:rPr>
        <w:br/>
      </w:r>
      <w:r w:rsidRPr="007858AF">
        <w:rPr>
          <w:b/>
          <w:bCs/>
          <w:sz w:val="28"/>
        </w:rPr>
        <w:t>HOTĂRĂŞTE:</w:t>
      </w:r>
    </w:p>
    <w:p w14:paraId="777FBB1C" w14:textId="77777777" w:rsidR="00D52459" w:rsidRPr="00512521" w:rsidRDefault="00D52459" w:rsidP="00D524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MD" w:eastAsia="en-GB"/>
        </w:rPr>
      </w:pP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br/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        </w:t>
      </w: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t>1. Se aprobă Regulamentul privind ajustarea periodică a valorii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 </w:t>
      </w: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t>contractelor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 de </w:t>
      </w: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t>achiziţii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 </w:t>
      </w: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t>publice cu executare continuă, încheiate pe un termen mai mare de un an (se anexează).</w:t>
      </w:r>
    </w:p>
    <w:p w14:paraId="7A3A1E39" w14:textId="77777777" w:rsidR="00D52459" w:rsidRPr="00512521" w:rsidRDefault="00D52459" w:rsidP="00D524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MD" w:eastAsia="en-GB"/>
        </w:rPr>
      </w:pP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t>2. Se abrogă Hotă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>r</w:t>
      </w: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t>îrea Guvernului nr.640 din 19 iulie 2010 cu privire la aprobarea Regulamentului privind ajustarea periodică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 </w:t>
      </w: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t>a valorii contractelor de achiziţii publice cu executare continuă,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 xml:space="preserve"> </w:t>
      </w: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t>încheiate pe un termen mai mare de un an</w:t>
      </w:r>
      <w:r>
        <w:rPr>
          <w:rFonts w:ascii="Times New Roman" w:eastAsia="Times New Roman" w:hAnsi="Times New Roman"/>
          <w:sz w:val="28"/>
          <w:szCs w:val="28"/>
          <w:lang w:val="ro-MD" w:eastAsia="en-GB"/>
        </w:rPr>
        <w:t>.</w:t>
      </w:r>
    </w:p>
    <w:p w14:paraId="22A6770E" w14:textId="77777777" w:rsidR="00D52459" w:rsidRPr="00512521" w:rsidRDefault="00D52459" w:rsidP="00D524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MD" w:eastAsia="en-GB"/>
        </w:rPr>
      </w:pPr>
      <w:r w:rsidRPr="00512521">
        <w:rPr>
          <w:rFonts w:ascii="Times New Roman" w:eastAsia="Times New Roman" w:hAnsi="Times New Roman"/>
          <w:sz w:val="28"/>
          <w:szCs w:val="28"/>
          <w:lang w:val="ro-MD" w:eastAsia="en-GB"/>
        </w:rPr>
        <w:t> </w:t>
      </w:r>
    </w:p>
    <w:p w14:paraId="673221C9" w14:textId="77777777" w:rsidR="00D52459" w:rsidRPr="00F15803" w:rsidRDefault="00D52459" w:rsidP="00D52459">
      <w:pPr>
        <w:pStyle w:val="NormalWeb"/>
        <w:spacing w:before="0" w:beforeAutospacing="0" w:after="0" w:afterAutospacing="0"/>
        <w:ind w:firstLine="567"/>
        <w:jc w:val="both"/>
        <w:rPr>
          <w:lang w:val="ro-MD"/>
        </w:rPr>
      </w:pPr>
    </w:p>
    <w:p w14:paraId="094703B9" w14:textId="77777777" w:rsidR="00D52459" w:rsidRDefault="00D52459" w:rsidP="00D52459">
      <w:pPr>
        <w:pStyle w:val="Normal1"/>
        <w:tabs>
          <w:tab w:val="left" w:pos="426"/>
        </w:tabs>
        <w:spacing w:after="120"/>
        <w:jc w:val="both"/>
        <w:rPr>
          <w:lang w:val="fr-FR"/>
        </w:rPr>
      </w:pPr>
    </w:p>
    <w:p w14:paraId="046692AC" w14:textId="77777777" w:rsidR="00D52459" w:rsidRPr="00733B79" w:rsidRDefault="00D52459" w:rsidP="00D52459">
      <w:pPr>
        <w:spacing w:line="360" w:lineRule="auto"/>
        <w:ind w:left="720" w:firstLine="720"/>
        <w:rPr>
          <w:rFonts w:ascii="Times New Roman" w:eastAsia="Times New Roman" w:hAnsi="Times New Roman"/>
          <w:b/>
          <w:noProof/>
          <w:sz w:val="28"/>
          <w:szCs w:val="28"/>
          <w:lang w:val="en-US"/>
        </w:rPr>
      </w:pPr>
      <w:r w:rsidRPr="00733B79"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w:t>PRIM-MINISTRU</w:t>
      </w:r>
      <w:r w:rsidRPr="00733B79"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w:tab/>
      </w:r>
      <w:r w:rsidRPr="00733B79"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w:tab/>
      </w:r>
      <w:r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w:t xml:space="preserve">      </w:t>
      </w:r>
      <w:r w:rsidRPr="00733B79"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w:tab/>
        <w:t>Pavel FILIP</w:t>
      </w:r>
    </w:p>
    <w:p w14:paraId="6E158861" w14:textId="77777777" w:rsidR="00D52459" w:rsidRDefault="00D52459" w:rsidP="00D52459">
      <w:pPr>
        <w:ind w:left="1440"/>
        <w:rPr>
          <w:rFonts w:ascii="Times New Roman" w:eastAsia="Times New Roman" w:hAnsi="Times New Roman"/>
          <w:noProof/>
          <w:sz w:val="28"/>
          <w:szCs w:val="28"/>
          <w:lang w:val="en-US"/>
        </w:rPr>
      </w:pPr>
      <w:r w:rsidRPr="00733B79">
        <w:rPr>
          <w:rFonts w:ascii="Times New Roman" w:eastAsia="Times New Roman" w:hAnsi="Times New Roman"/>
          <w:noProof/>
          <w:sz w:val="28"/>
          <w:szCs w:val="28"/>
          <w:lang w:val="en-US"/>
        </w:rPr>
        <w:t>Contrasemnează:</w:t>
      </w:r>
    </w:p>
    <w:p w14:paraId="4B1DDE69" w14:textId="77777777" w:rsidR="00D52459" w:rsidRDefault="00D52459" w:rsidP="00D52459">
      <w:pPr>
        <w:spacing w:after="0"/>
        <w:ind w:left="1440"/>
        <w:rPr>
          <w:rFonts w:ascii="Times New Roman" w:eastAsia="Times New Roman" w:hAnsi="Times New Roman"/>
          <w:noProof/>
          <w:sz w:val="28"/>
          <w:szCs w:val="28"/>
          <w:lang w:val="ro-MD"/>
        </w:rPr>
      </w:pPr>
      <w:r>
        <w:rPr>
          <w:rFonts w:ascii="Times New Roman" w:eastAsia="Times New Roman" w:hAnsi="Times New Roman"/>
          <w:noProof/>
          <w:sz w:val="28"/>
          <w:szCs w:val="28"/>
          <w:lang w:val="en-US"/>
        </w:rPr>
        <w:t xml:space="preserve">Ministrul Economiei </w:t>
      </w:r>
      <w:r>
        <w:rPr>
          <w:rFonts w:ascii="Times New Roman" w:eastAsia="Times New Roman" w:hAnsi="Times New Roman"/>
          <w:noProof/>
          <w:sz w:val="28"/>
          <w:szCs w:val="28"/>
          <w:lang w:val="ro-MD"/>
        </w:rPr>
        <w:t>și                         Chiril Gaburici</w:t>
      </w:r>
    </w:p>
    <w:p w14:paraId="53EA2EA5" w14:textId="77777777" w:rsidR="00D52459" w:rsidRDefault="00D52459" w:rsidP="00D52459">
      <w:pPr>
        <w:spacing w:after="0"/>
        <w:ind w:left="1440"/>
        <w:rPr>
          <w:rFonts w:ascii="Times New Roman" w:eastAsia="Times New Roman" w:hAnsi="Times New Roman"/>
          <w:noProof/>
          <w:sz w:val="28"/>
          <w:szCs w:val="28"/>
          <w:lang w:val="ro-MD"/>
        </w:rPr>
      </w:pPr>
      <w:r>
        <w:rPr>
          <w:rFonts w:ascii="Times New Roman" w:eastAsia="Times New Roman" w:hAnsi="Times New Roman"/>
          <w:noProof/>
          <w:sz w:val="28"/>
          <w:szCs w:val="28"/>
          <w:lang w:val="ro-MD"/>
        </w:rPr>
        <w:t>Infrastructurii</w:t>
      </w:r>
    </w:p>
    <w:p w14:paraId="5A0C5B3D" w14:textId="77777777" w:rsidR="00D52459" w:rsidRPr="00F15803" w:rsidRDefault="00D52459" w:rsidP="00D52459">
      <w:pPr>
        <w:spacing w:after="0"/>
        <w:ind w:left="1440"/>
        <w:rPr>
          <w:rFonts w:ascii="Times New Roman" w:eastAsia="Times New Roman" w:hAnsi="Times New Roman"/>
          <w:noProof/>
          <w:sz w:val="28"/>
          <w:szCs w:val="28"/>
          <w:lang w:val="ro-MD"/>
        </w:rPr>
      </w:pPr>
    </w:p>
    <w:p w14:paraId="27151132" w14:textId="77777777" w:rsidR="00D52459" w:rsidRPr="008B07C0" w:rsidRDefault="00D52459" w:rsidP="00D52459">
      <w:pPr>
        <w:ind w:left="720" w:firstLine="720"/>
        <w:rPr>
          <w:rFonts w:ascii="Times New Roman" w:hAnsi="Times New Roman"/>
          <w:b/>
          <w:sz w:val="28"/>
          <w:szCs w:val="28"/>
          <w:lang w:val="ro-RO"/>
        </w:rPr>
      </w:pPr>
      <w:r w:rsidRPr="00733B79">
        <w:rPr>
          <w:rFonts w:ascii="Times New Roman" w:eastAsia="Times New Roman" w:hAnsi="Times New Roman"/>
          <w:noProof/>
          <w:sz w:val="28"/>
          <w:szCs w:val="28"/>
          <w:lang w:val="en-US"/>
        </w:rPr>
        <w:t>Ministrul finanțelor</w:t>
      </w:r>
      <w:r w:rsidRPr="00733B79">
        <w:rPr>
          <w:rFonts w:ascii="Times New Roman" w:eastAsia="Times New Roman" w:hAnsi="Times New Roman"/>
          <w:noProof/>
          <w:sz w:val="28"/>
          <w:szCs w:val="28"/>
          <w:lang w:val="en-US"/>
        </w:rPr>
        <w:tab/>
      </w:r>
      <w:r w:rsidRPr="00733B79">
        <w:rPr>
          <w:rFonts w:ascii="Times New Roman" w:eastAsia="Times New Roman" w:hAnsi="Times New Roman"/>
          <w:noProof/>
          <w:sz w:val="28"/>
          <w:szCs w:val="28"/>
          <w:lang w:val="en-US"/>
        </w:rPr>
        <w:tab/>
      </w:r>
      <w:r w:rsidRPr="00733B79">
        <w:rPr>
          <w:rFonts w:ascii="Times New Roman" w:eastAsia="Times New Roman" w:hAnsi="Times New Roman"/>
          <w:noProof/>
          <w:sz w:val="28"/>
          <w:szCs w:val="28"/>
          <w:lang w:val="en-US"/>
        </w:rPr>
        <w:tab/>
      </w:r>
      <w:r w:rsidRPr="00F15803">
        <w:rPr>
          <w:rFonts w:ascii="Times New Roman" w:eastAsia="Times New Roman" w:hAnsi="Times New Roman"/>
          <w:noProof/>
          <w:sz w:val="28"/>
          <w:szCs w:val="28"/>
        </w:rPr>
        <w:t>Octavian Armașu</w:t>
      </w:r>
    </w:p>
    <w:p w14:paraId="0B3196CD" w14:textId="625BEBC0" w:rsidR="00D52459" w:rsidRDefault="00D52459" w:rsidP="00D524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bookmarkStart w:id="0" w:name="_GoBack"/>
      <w:bookmarkEnd w:id="0"/>
    </w:p>
    <w:p w14:paraId="57BA6B31" w14:textId="3972FBC5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lastRenderedPageBreak/>
        <w:t>REGULAMENTUL</w:t>
      </w:r>
    </w:p>
    <w:p w14:paraId="25AF2074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privind ajustarea periodică a valorii contractelor de achiziţii publice</w:t>
      </w:r>
    </w:p>
    <w:p w14:paraId="4A7CB9F6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cu executare continuă, încheiate pe un termen mai mare de un an</w:t>
      </w:r>
    </w:p>
    <w:p w14:paraId="2DF6F892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 </w:t>
      </w:r>
    </w:p>
    <w:p w14:paraId="76AAC995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proofErr w:type="spellStart"/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Secţiunea</w:t>
      </w:r>
      <w:proofErr w:type="spellEnd"/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 xml:space="preserve"> 1</w:t>
      </w:r>
    </w:p>
    <w:p w14:paraId="11046373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DISPOZIŢII GENERALE</w:t>
      </w:r>
    </w:p>
    <w:p w14:paraId="7067F23D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1.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Regulamentul privind ajustarea periodică a valorii contractelor de achiziţii publice cu executare continuă, încheiate pe un termen mai mare de un an (în continuare – Regulament) are drept scop stabilirea şi aplicarea unei metode unice transparente şi eficiente pentru ajustarea periodică a valorii contractelor de achiziţii publice cu executare continuă, încheiate pe un termen mai mare de un an.</w:t>
      </w:r>
    </w:p>
    <w:p w14:paraId="5EC50897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2.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În sensul prezentului Regulament se folosesc următoarele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noţiuni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:</w:t>
      </w:r>
    </w:p>
    <w:p w14:paraId="47E78191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en-GB"/>
        </w:rPr>
        <w:t>contract de achiziţii publice încheiat pe un termen mai mare de un an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– contract de achiziţii publice de bunuri, lucrări şi servicii a cărui perioadă de realizare continuă este mai mare de un an;</w:t>
      </w:r>
    </w:p>
    <w:p w14:paraId="1762630E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en-GB"/>
        </w:rPr>
        <w:t>ajustarea valorii contractului de achiziţii publice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– operarea modificărilor la soldul contractului de achiziţii publice, ca urmare a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inflaţiei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sau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deflaţiei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;</w:t>
      </w:r>
    </w:p>
    <w:p w14:paraId="347EDF96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en-GB"/>
        </w:rPr>
        <w:t>preţ unitar –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preţul format ca sumă a costurilor (fără TVA) resurselor (manoperă, materiale şi/sau elemente de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construcţii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utilaje), necesare pentru executarea unei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unităţi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de măsură din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operaţia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tehnologică, prevăzută în devizul de cheltuieli.</w:t>
      </w:r>
    </w:p>
    <w:p w14:paraId="02544C9F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3.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Operaţiunile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de ajustare a valorii contractelor de achiziţii publice cu executare continuă se vor efectua cel mult o dată pe parcursul unui an bugetar.</w:t>
      </w:r>
    </w:p>
    <w:p w14:paraId="770C1C0B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Ajustarea se face la începutul anului bugetar, imediat după publicarea datelor statistice privind indicele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inflaţiei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sau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deflaţiei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pe anul precedent, inclusiv la contractele care au fost încheiate pe parcursul anului precedent şi se află în proces de executare mai puţin de un an.</w:t>
      </w:r>
    </w:p>
    <w:p w14:paraId="269CB940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Resursele financiare alocate şi executate în modul corespunzător în primul an bugetar de gestiune a contractului nu sînt susceptibile ajustării.</w:t>
      </w:r>
    </w:p>
    <w:p w14:paraId="657BA257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4.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Prevederile prezentului Regulament nu se aplică contractelor de achiziţii publice de adeziune, încheiate, pe un termen mai mare de un an, cu operatorii economici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nerezidenţi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dacă modalitatea de ajustare a valorii acestuia este prestabilită în contractul-tip cu caracter de adeziune, aprobat/publicat de operatorul economic.</w:t>
      </w:r>
    </w:p>
    <w:p w14:paraId="530FD87E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 </w:t>
      </w:r>
    </w:p>
    <w:p w14:paraId="21F14167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proofErr w:type="spellStart"/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Secţiunea</w:t>
      </w:r>
      <w:proofErr w:type="spellEnd"/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 xml:space="preserve"> a 2-a</w:t>
      </w:r>
    </w:p>
    <w:p w14:paraId="3F66C7E9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PROCEDURA DE EXAMINARE A SOLICITĂRII DE AJUSTARE</w:t>
      </w:r>
    </w:p>
    <w:p w14:paraId="65101806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5.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Ajustarea valorii contractului de achiziţii publice cu executare continuă poate fi solicitată în scris de către:</w:t>
      </w:r>
    </w:p>
    <w:p w14:paraId="35768AFA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a) operatorul economic;</w:t>
      </w:r>
    </w:p>
    <w:p w14:paraId="1FBE68C5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b) autoritatea contractantă (din proprie iniţiativă sau la propunerea organului abilitat prin lege cu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funcţia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de control).</w:t>
      </w:r>
    </w:p>
    <w:p w14:paraId="66C62023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6.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Ajustarea valorii contractului de achiziţii publice se efectuează în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condiţiile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întrunirii cumulative a următoarelor cerinţe:</w:t>
      </w:r>
    </w:p>
    <w:p w14:paraId="59CBBEFF" w14:textId="6237E0AA" w:rsidR="00D936DE" w:rsidRPr="00D936DE" w:rsidRDefault="00D936DE" w:rsidP="00871B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lastRenderedPageBreak/>
        <w:t xml:space="preserve">a) </w:t>
      </w:r>
      <w:r w:rsidR="00871BA5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 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contractul de achiziţii publice de bunuri, lucrări sau servicii cu executare continuă este încheiat pe un termen mai mare de un an;</w:t>
      </w:r>
    </w:p>
    <w:p w14:paraId="786B2622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b) partea contractantă care a depus solicitarea de ajustare a valorii contractului şi-a îndeplinit angajamentele contractuale;</w:t>
      </w:r>
    </w:p>
    <w:p w14:paraId="41A2DCF7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c) formula de ajustare a valorii contractului a fost stabilită de către autoritatea contractantă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atît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în documentele de licitaţie sau în alte documente de atragere a ofertelor corespunzătoare procedurii de achiziţii</w:t>
      </w:r>
      <w:r w:rsidR="004C7D5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publice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utilizate,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cît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şi în contractul de achiziţii publice;</w:t>
      </w:r>
    </w:p>
    <w:p w14:paraId="2003B7E4" w14:textId="14B2B76C" w:rsidR="00D936DE" w:rsidRPr="00D936DE" w:rsidRDefault="00D936DE" w:rsidP="00871B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d) </w:t>
      </w:r>
      <w:r w:rsidR="00871BA5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solicitarea nu depăşeşte 60 de zile din data publicării datelor statistice privind indicele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inflaţiei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sau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deflaţiei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pe anul precedent.</w:t>
      </w:r>
    </w:p>
    <w:p w14:paraId="49B2563B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7.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Partea contractantă în adresa căreia a parvenit solicitarea de ajustare a valorii contractului are obligaţia să se expună, în formă scrisă, pe marginea acesteia în termen de 20 de zile din data depunerii.</w:t>
      </w:r>
    </w:p>
    <w:p w14:paraId="59A2FC4F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8.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Examinarea solicitării operatorului economic sau propunerii de ajustare a organului abilitat prin lege cu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funcţia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de control în acest domeniu se efectuează de către autoritatea contractantă prin intermediul grupului de lucru pentru achiziţii</w:t>
      </w:r>
      <w:r w:rsidR="004C7D5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publice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, cu întocmirea procesului-verbal corespunzător.</w:t>
      </w:r>
    </w:p>
    <w:p w14:paraId="5CB64B99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9.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În procesul de examinare a solicitării, autoritatea contractantă este în drept să invite experţi în domeniu, care vor prezenta rapoarte în scris şi/sau verbale în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şedinţa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de examinare a solicitării.</w:t>
      </w:r>
    </w:p>
    <w:p w14:paraId="587F11CF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10.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Autoritatea contractantă va respinge, fără examinare, solicitarea în cazul în care aceasta nu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întruneşte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cerinţele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punctului 6 din prezentul Regulament.</w:t>
      </w:r>
    </w:p>
    <w:p w14:paraId="1DDB1B40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11.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Acceptarea solicitării presupune întocmirea unui acord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adiţional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la contractul de achiziţii publice, semnat de autoritatea contractantă şi operatorul economic.</w:t>
      </w:r>
    </w:p>
    <w:p w14:paraId="3333C572" w14:textId="300D7D94" w:rsidR="00B513AA" w:rsidRPr="00D936DE" w:rsidRDefault="00D936DE" w:rsidP="00B513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12.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="00B513A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D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area de seamă, se prezintă spre examinare,</w:t>
      </w:r>
      <w:r w:rsidR="00B513A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Agenţiei Achiziţii Publice,</w:t>
      </w:r>
    </w:p>
    <w:p w14:paraId="79B1330C" w14:textId="1097667E" w:rsidR="00D936DE" w:rsidRPr="00D936DE" w:rsidRDefault="00D936DE" w:rsidP="00B51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în termen de 5 zile</w:t>
      </w:r>
      <w:r w:rsidR="00B513A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din</w:t>
      </w:r>
      <w:r w:rsidR="00B513AA" w:rsidRPr="00B513A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data </w:t>
      </w:r>
      <w:r w:rsidR="00B513A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semnării acordului adițional.</w:t>
      </w:r>
      <w:r w:rsidR="00EF124A">
        <w:rPr>
          <w:rFonts w:ascii="Arial" w:hAnsi="Arial" w:cs="Arial"/>
          <w:sz w:val="29"/>
          <w:szCs w:val="29"/>
        </w:rPr>
        <w:t xml:space="preserve"> </w:t>
      </w:r>
    </w:p>
    <w:p w14:paraId="1E005A88" w14:textId="72B0A28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13.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Acordul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adiţional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, se înregistrează de către autorităţile contractante, a căror gestionare a mijloacelor financiare se efectuează prin intermediul sistemului trezorerial, în una dintre Trezoreri</w:t>
      </w:r>
      <w:r w:rsidR="004C7D5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ile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="004C7D5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regionale ale Ministerului Finanțelor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. Acordurile adiţionale, care nu au fost înregistrate în modul stabilit, nu au putere juridică.</w:t>
      </w:r>
    </w:p>
    <w:p w14:paraId="0E9DE0F6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 </w:t>
      </w:r>
    </w:p>
    <w:p w14:paraId="59CBF0C4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proofErr w:type="spellStart"/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Secţiunea</w:t>
      </w:r>
      <w:proofErr w:type="spellEnd"/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 xml:space="preserve"> a 3-a</w:t>
      </w:r>
    </w:p>
    <w:p w14:paraId="7FE08044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MODUL DE AJUSTARE</w:t>
      </w:r>
    </w:p>
    <w:p w14:paraId="62A5B493" w14:textId="4FDFB72A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14.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Formula de ajustare a valorii contractului de achiziţii publice cu executare continuă, care urmează a fi încheiat pe un termen mai mare de un an, cu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excepţia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prevăzută în punctul 4 din prezentul Regulament, se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stabileşte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obligatoriu de către autoritatea contractantă,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atît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în documentele de licitaţie sau în alte documente de atragere a ofertelor,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cît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şi în contractele de achiziţii</w:t>
      </w:r>
      <w:r w:rsidR="00EF124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publice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. Lipsa formulei respective din documentele de licitaţie şi din conţinutul contractului atrage după sine imposibilitatea de ajustare a valorii contractului.</w:t>
      </w:r>
    </w:p>
    <w:p w14:paraId="0A0D5F9F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lastRenderedPageBreak/>
        <w:t>15.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Ajustarea valorii contractului de achiziţii publice, încheiat pe un termen mai mare de un an, se efectuează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reieşind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din rata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inflaţiei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sau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deflaţiei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, calculată pentru anul precedent ajustării şi publicată de Biroul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Naţional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de Statistică în mijloacele oficiale de informare în masă, conform formulelor:</w:t>
      </w:r>
    </w:p>
    <w:p w14:paraId="3E19FFAC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a) pentru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inflaţie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:</w:t>
      </w:r>
    </w:p>
    <w:p w14:paraId="06724A12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470"/>
        <w:gridCol w:w="1812"/>
      </w:tblGrid>
      <w:tr w:rsidR="00D936DE" w:rsidRPr="00D936DE" w14:paraId="0D1F61AC" w14:textId="77777777" w:rsidTr="00D936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04D2F" w14:textId="77777777" w:rsidR="00D936DE" w:rsidRPr="00D936DE" w:rsidRDefault="00D936DE" w:rsidP="00D9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DEA33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proofErr w:type="spellStart"/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R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E9678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  <w:tr w:rsidR="00D936DE" w:rsidRPr="00D936DE" w14:paraId="6A38ED6D" w14:textId="77777777" w:rsidTr="00D936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2C26E" w14:textId="77777777" w:rsidR="00D936DE" w:rsidRPr="00D936DE" w:rsidRDefault="00D936DE" w:rsidP="00D9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V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a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= [ (V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1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– V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2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) 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99942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(––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91B4A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× </w:t>
            </w:r>
            <w:proofErr w:type="spellStart"/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Nλ</w:t>
            </w:r>
            <w:proofErr w:type="spellEnd"/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) % ] + V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3</w:t>
            </w:r>
          </w:p>
        </w:tc>
      </w:tr>
      <w:tr w:rsidR="00D936DE" w:rsidRPr="00D936DE" w14:paraId="27F9C306" w14:textId="77777777" w:rsidTr="00D936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95F11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0DB4E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A07CB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</w:tbl>
    <w:p w14:paraId="33BB9393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 </w:t>
      </w:r>
    </w:p>
    <w:p w14:paraId="3E193270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b) pentru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deflaţie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:</w:t>
      </w:r>
    </w:p>
    <w:p w14:paraId="67B0C9D4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470"/>
        <w:gridCol w:w="1222"/>
      </w:tblGrid>
      <w:tr w:rsidR="00D936DE" w:rsidRPr="00D936DE" w14:paraId="77B750A0" w14:textId="77777777" w:rsidTr="00D936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BAD60" w14:textId="77777777" w:rsidR="00D936DE" w:rsidRPr="00D936DE" w:rsidRDefault="00D936DE" w:rsidP="00D9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6E9CF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R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46AEF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  <w:tr w:rsidR="00D936DE" w:rsidRPr="00D936DE" w14:paraId="4526F5ED" w14:textId="77777777" w:rsidTr="00D936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D14F7" w14:textId="77777777" w:rsidR="00D936DE" w:rsidRPr="00D936DE" w:rsidRDefault="00D936DE" w:rsidP="00D9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V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a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= V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3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– [ (V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1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– V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o-MD" w:eastAsia="en-GB"/>
              </w:rPr>
              <w:t>2</w:t>
            </w: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) 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A37E5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(––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F492D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× </w:t>
            </w:r>
            <w:proofErr w:type="spellStart"/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Nλ</w:t>
            </w:r>
            <w:proofErr w:type="spellEnd"/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) % ]</w:t>
            </w:r>
          </w:p>
        </w:tc>
      </w:tr>
      <w:tr w:rsidR="00D936DE" w:rsidRPr="00D936DE" w14:paraId="7EC8B486" w14:textId="77777777" w:rsidTr="00D936D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54FE1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628DC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D936D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A234A" w14:textId="77777777" w:rsidR="00D936DE" w:rsidRPr="00D936DE" w:rsidRDefault="00D936DE" w:rsidP="00D9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</w:tbl>
    <w:p w14:paraId="74C2864B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 </w:t>
      </w:r>
    </w:p>
    <w:p w14:paraId="65A6D0C6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unde:</w:t>
      </w:r>
    </w:p>
    <w:p w14:paraId="4BA41A90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V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a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– valoarea actualizată a contractului;</w:t>
      </w:r>
    </w:p>
    <w:p w14:paraId="719BEFF5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V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1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– valoarea totală a contractului;</w:t>
      </w:r>
    </w:p>
    <w:p w14:paraId="06518E8E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V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2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– valoarea executată a contractului;</w:t>
      </w:r>
    </w:p>
    <w:p w14:paraId="01D69D81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V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3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–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diferenţa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dintre valoarea totală a contractului şi valoarea executată a contractului (V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3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= V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1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-V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2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);</w:t>
      </w:r>
    </w:p>
    <w:p w14:paraId="21650F05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R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– rata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inflaţiei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pentru anul precedent ajustării;</w:t>
      </w:r>
    </w:p>
    <w:p w14:paraId="3CFDEC4A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R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d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– rata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deflaţiei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pentru anul precedent ajustării;</w:t>
      </w:r>
    </w:p>
    <w:p w14:paraId="745EA992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N</w:t>
      </w:r>
      <w:r w:rsidRPr="00D936DE">
        <w:rPr>
          <w:rFonts w:ascii="Times New Roman" w:eastAsia="Times New Roman" w:hAnsi="Times New Roman" w:cs="Times New Roman"/>
          <w:sz w:val="28"/>
          <w:szCs w:val="28"/>
          <w:vertAlign w:val="subscript"/>
          <w:lang w:val="ro-MD" w:eastAsia="en-GB"/>
        </w:rPr>
        <w:t>λ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– numărul de luni de la începerea executării contractului sau de la ultima ajustare.</w:t>
      </w:r>
    </w:p>
    <w:p w14:paraId="6E9C4C4F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16.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Ajustarea valorii contractului de achiziţii publice de lucrări nu va schimba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preţurile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unitare din devizul-ofertă. Valoarea ajustată va fi reflectată într-un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rînd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distinct în devizul-ofertă şi în procesele-verbale de </w:t>
      </w:r>
      <w:proofErr w:type="spellStart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recepţie</w:t>
      </w:r>
      <w:proofErr w:type="spellEnd"/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a lucrărilor executate, înainte de Taxa pe Valoarea Adăugată.</w:t>
      </w:r>
    </w:p>
    <w:p w14:paraId="7D285FB7" w14:textId="77777777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 </w:t>
      </w:r>
    </w:p>
    <w:p w14:paraId="10ECFAC6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proofErr w:type="spellStart"/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Secţiunea</w:t>
      </w:r>
      <w:proofErr w:type="spellEnd"/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 xml:space="preserve"> a 4-a</w:t>
      </w:r>
    </w:p>
    <w:p w14:paraId="6E5D4B2E" w14:textId="77777777" w:rsidR="00D936DE" w:rsidRPr="00D936DE" w:rsidRDefault="00D936DE" w:rsidP="00D9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MODUL DE CONTESTARE A PROCEDURII DE AJUSTARE</w:t>
      </w:r>
    </w:p>
    <w:p w14:paraId="0C1A07F8" w14:textId="7D580E80" w:rsidR="004C7D5D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17.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Orice operator economic care consideră că a suportat sau că este pasibil de a suporta daune prin refuzul solicitării de ajustare sau în urma procedurii de ajustare a valorii contractului de achiziţii publice are dreptul să conteste </w:t>
      </w:r>
      <w:r w:rsidR="00557288"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acțiunile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sau deciziile autorităţii contractante</w:t>
      </w:r>
      <w:r w:rsidR="004C7D5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="004C7D5D" w:rsidRPr="004C7D5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în instanţa judecătorească competentă</w:t>
      </w:r>
      <w:r w:rsidR="004C7D5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.</w:t>
      </w:r>
      <w:r w:rsidR="004C7D5D" w:rsidRPr="004C7D5D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br/>
      </w:r>
    </w:p>
    <w:p w14:paraId="5DB06A11" w14:textId="1D4D8653" w:rsidR="00D936DE" w:rsidRPr="00D936DE" w:rsidRDefault="00D936DE" w:rsidP="00D93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D936D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en-GB"/>
        </w:rPr>
        <w:t>18.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Examinarea şi soluţionarea contestaţiilor se efectuează de către Agenţia </w:t>
      </w:r>
      <w:r w:rsidR="00E35ECC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Națională pentru Soluționarea Contesta</w:t>
      </w:r>
      <w:r w:rsidR="00497A34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ț</w:t>
      </w:r>
      <w:r w:rsidR="00E35ECC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iilor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, în conformitate cu prevederile Legii nr.</w:t>
      </w:r>
      <w:r w:rsidR="00E35ECC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131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din 3 </w:t>
      </w:r>
      <w:r w:rsidR="00E35ECC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iulie</w:t>
      </w:r>
      <w:r w:rsidR="00E35ECC"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20</w:t>
      </w:r>
      <w:r w:rsidR="00E35ECC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15</w:t>
      </w:r>
      <w:r w:rsidR="00E35ECC"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privind achiziţiile publice.</w:t>
      </w:r>
    </w:p>
    <w:p w14:paraId="1EF8B752" w14:textId="0B107F7F" w:rsidR="006D7945" w:rsidRPr="00D936DE" w:rsidRDefault="00D936DE" w:rsidP="00557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936DE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 </w:t>
      </w:r>
    </w:p>
    <w:sectPr w:rsidR="006D7945" w:rsidRPr="00D936DE" w:rsidSect="00557288">
      <w:pgSz w:w="11906" w:h="16838"/>
      <w:pgMar w:top="1440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DE"/>
    <w:rsid w:val="000039C0"/>
    <w:rsid w:val="000D7F02"/>
    <w:rsid w:val="001E039F"/>
    <w:rsid w:val="003A37F2"/>
    <w:rsid w:val="00497A34"/>
    <w:rsid w:val="004C7D5D"/>
    <w:rsid w:val="00557288"/>
    <w:rsid w:val="006D7945"/>
    <w:rsid w:val="007658B0"/>
    <w:rsid w:val="00871BA5"/>
    <w:rsid w:val="0090656D"/>
    <w:rsid w:val="00A7491C"/>
    <w:rsid w:val="00B513AA"/>
    <w:rsid w:val="00D52459"/>
    <w:rsid w:val="00D936DE"/>
    <w:rsid w:val="00E35ECC"/>
    <w:rsid w:val="00E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5170"/>
  <w15:chartTrackingRefBased/>
  <w15:docId w15:val="{F4B739E4-BB8D-4FB9-B200-D49AAB1A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D9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t">
    <w:name w:val="tt"/>
    <w:basedOn w:val="Normal"/>
    <w:rsid w:val="00D9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mit">
    <w:name w:val="emit"/>
    <w:basedOn w:val="Normal"/>
    <w:rsid w:val="00D9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D9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n">
    <w:name w:val="cn"/>
    <w:basedOn w:val="Normal"/>
    <w:rsid w:val="00D9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Normal"/>
    <w:rsid w:val="00D9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g">
    <w:name w:val="rg"/>
    <w:basedOn w:val="Normal"/>
    <w:rsid w:val="00D9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p">
    <w:name w:val="cp"/>
    <w:basedOn w:val="Normal"/>
    <w:rsid w:val="00D9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7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5D"/>
    <w:rPr>
      <w:rFonts w:ascii="Segoe UI" w:hAnsi="Segoe UI" w:cs="Segoe UI"/>
      <w:sz w:val="18"/>
      <w:szCs w:val="18"/>
    </w:rPr>
  </w:style>
  <w:style w:type="paragraph" w:customStyle="1" w:styleId="Normal1">
    <w:name w:val="Normal1"/>
    <w:uiPriority w:val="99"/>
    <w:rsid w:val="00D52459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Galusca</dc:creator>
  <cp:keywords/>
  <dc:description/>
  <cp:lastModifiedBy>Corina Galusca</cp:lastModifiedBy>
  <cp:revision>11</cp:revision>
  <dcterms:created xsi:type="dcterms:W3CDTF">2018-04-04T14:20:00Z</dcterms:created>
  <dcterms:modified xsi:type="dcterms:W3CDTF">2018-06-21T08:28:00Z</dcterms:modified>
</cp:coreProperties>
</file>