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E9" w:rsidRPr="0000657A" w:rsidRDefault="00A57AE9" w:rsidP="00A57AE9">
      <w:pPr>
        <w:jc w:val="center"/>
        <w:rPr>
          <w:b/>
          <w:sz w:val="28"/>
          <w:szCs w:val="28"/>
          <w:lang w:val="ro-RO"/>
        </w:rPr>
      </w:pPr>
      <w:r w:rsidRPr="0000657A">
        <w:rPr>
          <w:b/>
          <w:sz w:val="28"/>
          <w:szCs w:val="28"/>
          <w:lang w:val="ro-RO"/>
        </w:rPr>
        <w:t>NOTĂ INFORMATIVĂ</w:t>
      </w:r>
    </w:p>
    <w:p w:rsidR="00A57AE9" w:rsidRPr="0000657A" w:rsidRDefault="00A57AE9" w:rsidP="00A57AE9">
      <w:pPr>
        <w:pStyle w:val="BodyTextIndent2"/>
        <w:tabs>
          <w:tab w:val="left" w:pos="1440"/>
        </w:tabs>
        <w:ind w:right="0" w:firstLine="0"/>
        <w:rPr>
          <w:b/>
          <w:szCs w:val="28"/>
          <w:lang w:val="ro-RO"/>
        </w:rPr>
      </w:pPr>
      <w:r w:rsidRPr="0000657A">
        <w:rPr>
          <w:b/>
          <w:szCs w:val="28"/>
          <w:lang w:val="ro-RO"/>
        </w:rPr>
        <w:t xml:space="preserve">la proiectul hotărîrii Guvernului cu privire la organizarea </w:t>
      </w:r>
    </w:p>
    <w:p w:rsidR="00A57AE9" w:rsidRPr="0000657A" w:rsidRDefault="00A57AE9" w:rsidP="00A57AE9">
      <w:pPr>
        <w:pStyle w:val="BodyTextIndent2"/>
        <w:tabs>
          <w:tab w:val="left" w:pos="1440"/>
        </w:tabs>
        <w:ind w:right="0" w:firstLine="0"/>
        <w:rPr>
          <w:b/>
          <w:szCs w:val="28"/>
          <w:lang w:val="ro-RO"/>
        </w:rPr>
      </w:pPr>
      <w:r w:rsidRPr="0000657A">
        <w:rPr>
          <w:b/>
          <w:szCs w:val="28"/>
          <w:lang w:val="ro-RO"/>
        </w:rPr>
        <w:t>şi funcţionarea Inspectoratului militar al Ministerului Apărării</w:t>
      </w:r>
    </w:p>
    <w:p w:rsidR="00A57AE9" w:rsidRPr="0000657A" w:rsidRDefault="00A57AE9" w:rsidP="00A57AE9">
      <w:pPr>
        <w:pStyle w:val="BodyTextIndent2"/>
        <w:tabs>
          <w:tab w:val="left" w:pos="1440"/>
        </w:tabs>
        <w:ind w:right="0" w:firstLine="0"/>
        <w:jc w:val="both"/>
        <w:rPr>
          <w:szCs w:val="28"/>
          <w:lang w:val="ro-RO"/>
        </w:rPr>
      </w:pPr>
    </w:p>
    <w:p w:rsidR="00A57AE9" w:rsidRPr="0000657A" w:rsidRDefault="00A57AE9" w:rsidP="00A57AE9">
      <w:pPr>
        <w:pStyle w:val="Default"/>
        <w:ind w:firstLine="709"/>
        <w:jc w:val="both"/>
        <w:rPr>
          <w:b/>
          <w:i/>
          <w:color w:val="auto"/>
          <w:sz w:val="28"/>
          <w:szCs w:val="28"/>
          <w:lang w:val="ro-RO"/>
        </w:rPr>
      </w:pPr>
      <w:r w:rsidRPr="0000657A">
        <w:rPr>
          <w:b/>
          <w:i/>
          <w:color w:val="auto"/>
          <w:sz w:val="28"/>
          <w:szCs w:val="28"/>
          <w:lang w:val="ro-RO"/>
        </w:rPr>
        <w:t>1. Condiţiile ce au impus elaborarea proiectului şi scopul urmărit</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 xml:space="preserve">Proiectul hotărârii Guvernului și Regulamentul privind </w:t>
      </w:r>
      <w:r w:rsidRPr="0000657A">
        <w:rPr>
          <w:color w:val="auto"/>
          <w:sz w:val="28"/>
          <w:szCs w:val="28"/>
          <w:lang w:val="ro-RO" w:eastAsia="ru-RU"/>
        </w:rPr>
        <w:t>organizarea şi funcţionarea</w:t>
      </w:r>
      <w:r w:rsidRPr="0000657A">
        <w:rPr>
          <w:color w:val="auto"/>
          <w:sz w:val="28"/>
          <w:szCs w:val="28"/>
          <w:lang w:val="ro-RO"/>
        </w:rPr>
        <w:t xml:space="preserve"> Inspectoratului militar al Ministerului Apărării a fost elaborat în temeiul Legii nr.98 din 4 mai 2012 privind administraţia publică centrală de specialitate şi întru executarea prevederilor pct.9 subpct.17) şi 18) din Hotărârea Guvernului nr.692 din 30.08.2017 „Cu privire la organizarea şi funcţionarea Ministerului Apărării”. </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Odată cu iniţierea reformei administraţiei publice, potrivit strategiei aprobate în acest sens, a apărut necesitatea, de a ralia dimensiunile structurale şi funcţionale ale entităţii menţionate la rigorile art.14 din Legea nr.98 din 4 mai 2012 privind administraţia publică centrală de specialitate, care stipulează, că pentru asigurarea implementării politicii statului în anumite subdomenii sau sfere din domeniile de activitate care îi sunt încredinţate unui minister, în subordinea acestuia pot fi create autorităţi administrative cu forma de organizare juridică de agenţii, servicii de stat şi de inspectorate de stat.</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 xml:space="preserve">Prin urmare, luând în considerare volumul şi complexitatea funcţiilor şi atribuţiilor exercitate pentru administrarea eficientă şi eficace a domeniului </w:t>
      </w:r>
      <w:r w:rsidRPr="0000657A">
        <w:rPr>
          <w:i/>
          <w:color w:val="auto"/>
          <w:sz w:val="28"/>
          <w:szCs w:val="28"/>
          <w:lang w:val="ro-RO"/>
        </w:rPr>
        <w:t>supraveghere şi control,</w:t>
      </w:r>
      <w:r w:rsidRPr="0000657A">
        <w:rPr>
          <w:color w:val="auto"/>
          <w:sz w:val="28"/>
          <w:szCs w:val="28"/>
          <w:lang w:val="ro-RO"/>
        </w:rPr>
        <w:t xml:space="preserve"> se constată necesitatea de constituire a</w:t>
      </w:r>
      <w:r w:rsidRPr="0000657A">
        <w:rPr>
          <w:color w:val="auto"/>
          <w:sz w:val="28"/>
          <w:szCs w:val="28"/>
          <w:lang w:val="ro-RO" w:eastAsia="ru-RU"/>
        </w:rPr>
        <w:t xml:space="preserve"> </w:t>
      </w:r>
      <w:r w:rsidRPr="0000657A">
        <w:rPr>
          <w:color w:val="auto"/>
          <w:sz w:val="28"/>
          <w:szCs w:val="28"/>
          <w:lang w:val="ro-RO"/>
        </w:rPr>
        <w:t>Inspectoratului militar al Ministerului Apărării,</w:t>
      </w:r>
      <w:r w:rsidRPr="0000657A">
        <w:rPr>
          <w:color w:val="auto"/>
          <w:sz w:val="28"/>
          <w:szCs w:val="28"/>
          <w:lang w:val="ro-RO" w:eastAsia="ru-RU"/>
        </w:rPr>
        <w:t xml:space="preserve"> succesoare de drept a Direcţiei inspecţie generală a Ministerului Apărării, Centrului de medicină preventivă și a Comisiei centrale de expertiză medico-militară a Forțelor Armate.</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Scopul prezentului proiect constă în crearea unui cadru comprehensiv ce va reglementa organizarea şi funcţionarea Inspectoratului militar al Ministerului Apărării. A</w:t>
      </w:r>
      <w:r w:rsidRPr="0000657A">
        <w:rPr>
          <w:color w:val="auto"/>
          <w:sz w:val="27"/>
          <w:szCs w:val="27"/>
          <w:lang w:val="ro-RO"/>
        </w:rPr>
        <w:t>probarea Regulamentului, structurii şi organigramei Inspectoratului va</w:t>
      </w:r>
      <w:r w:rsidRPr="0000657A">
        <w:rPr>
          <w:color w:val="auto"/>
          <w:sz w:val="28"/>
          <w:szCs w:val="28"/>
          <w:lang w:val="ro-RO"/>
        </w:rPr>
        <w:t xml:space="preserve"> contribui la realizarea conformă a misiunii şi sarcinilor cu care este investit. </w:t>
      </w:r>
    </w:p>
    <w:p w:rsidR="00A57AE9" w:rsidRPr="0000657A" w:rsidRDefault="00A57AE9" w:rsidP="00A57AE9">
      <w:pPr>
        <w:pStyle w:val="Default"/>
        <w:spacing w:before="120"/>
        <w:ind w:firstLine="567"/>
        <w:jc w:val="both"/>
        <w:rPr>
          <w:b/>
          <w:i/>
          <w:color w:val="auto"/>
          <w:sz w:val="28"/>
          <w:szCs w:val="28"/>
          <w:lang w:val="ro-RO"/>
        </w:rPr>
      </w:pPr>
      <w:r w:rsidRPr="0000657A">
        <w:rPr>
          <w:b/>
          <w:i/>
          <w:color w:val="auto"/>
          <w:sz w:val="28"/>
          <w:szCs w:val="28"/>
          <w:lang w:val="ro-RO"/>
        </w:rPr>
        <w:t>2. Principalele prevederi ale proiectului</w:t>
      </w:r>
    </w:p>
    <w:p w:rsidR="00A57AE9" w:rsidRPr="0000657A" w:rsidRDefault="00A57AE9" w:rsidP="00A57AE9">
      <w:pPr>
        <w:ind w:firstLine="567"/>
        <w:jc w:val="both"/>
        <w:rPr>
          <w:rFonts w:eastAsia="Calibri"/>
          <w:sz w:val="28"/>
          <w:szCs w:val="28"/>
          <w:lang w:val="ro-RO"/>
        </w:rPr>
      </w:pPr>
      <w:r w:rsidRPr="0000657A">
        <w:rPr>
          <w:sz w:val="28"/>
          <w:szCs w:val="28"/>
          <w:lang w:val="ro-RO"/>
        </w:rPr>
        <w:t xml:space="preserve">Proiectul hotărârii Guvernului propus spre </w:t>
      </w:r>
      <w:r w:rsidRPr="0000657A">
        <w:rPr>
          <w:rFonts w:eastAsia="Calibri"/>
          <w:sz w:val="28"/>
          <w:szCs w:val="28"/>
          <w:lang w:val="ro-RO"/>
        </w:rPr>
        <w:t>stabileşte forma organizatorico-juridică</w:t>
      </w:r>
      <w:r w:rsidRPr="0000657A">
        <w:rPr>
          <w:sz w:val="28"/>
          <w:szCs w:val="28"/>
          <w:lang w:val="ro-RO"/>
        </w:rPr>
        <w:t xml:space="preserve"> al Inspectoratului</w:t>
      </w:r>
      <w:r w:rsidRPr="0000657A">
        <w:rPr>
          <w:rFonts w:eastAsia="Calibri"/>
          <w:sz w:val="28"/>
          <w:szCs w:val="28"/>
          <w:lang w:val="ro-RO"/>
        </w:rPr>
        <w:t xml:space="preserve">, competenţele, atribuţiile, modul de organizare a activităţii </w:t>
      </w:r>
      <w:r w:rsidRPr="0000657A">
        <w:rPr>
          <w:sz w:val="28"/>
          <w:szCs w:val="28"/>
          <w:lang w:val="ro-RO"/>
        </w:rPr>
        <w:t>Inspectoratului</w:t>
      </w:r>
      <w:r w:rsidRPr="0000657A">
        <w:rPr>
          <w:rFonts w:eastAsia="Calibri"/>
          <w:sz w:val="28"/>
          <w:szCs w:val="28"/>
          <w:lang w:val="ro-RO"/>
        </w:rPr>
        <w:t xml:space="preserve">, structura şi efectivul-limită al </w:t>
      </w:r>
      <w:r w:rsidRPr="0000657A">
        <w:rPr>
          <w:sz w:val="28"/>
          <w:szCs w:val="28"/>
          <w:lang w:val="ro-RO"/>
        </w:rPr>
        <w:t>acestuia</w:t>
      </w:r>
      <w:r w:rsidRPr="0000657A">
        <w:rPr>
          <w:rFonts w:eastAsia="Calibri"/>
          <w:sz w:val="28"/>
          <w:szCs w:val="28"/>
          <w:lang w:val="ro-RO"/>
        </w:rPr>
        <w:t>.</w:t>
      </w:r>
    </w:p>
    <w:p w:rsidR="00A57AE9" w:rsidRPr="0000657A" w:rsidRDefault="00A57AE9" w:rsidP="00A57AE9">
      <w:pPr>
        <w:ind w:firstLine="567"/>
        <w:jc w:val="both"/>
        <w:rPr>
          <w:sz w:val="28"/>
          <w:szCs w:val="28"/>
          <w:lang w:val="ro-RO"/>
        </w:rPr>
      </w:pPr>
      <w:r w:rsidRPr="0000657A">
        <w:rPr>
          <w:sz w:val="28"/>
          <w:szCs w:val="28"/>
          <w:lang w:val="ro-RO"/>
        </w:rPr>
        <w:t xml:space="preserve">Pentru îndeplinirea atribuțiilor și responsabilităților Ministerului Apărării, Inspectoratul militar fiind o autoritate administrativă de specialitate separată </w:t>
      </w:r>
      <w:r w:rsidRPr="0000657A">
        <w:rPr>
          <w:bCs/>
          <w:sz w:val="28"/>
          <w:szCs w:val="28"/>
          <w:lang w:val="ro-RO"/>
        </w:rPr>
        <w:t xml:space="preserve">în sistemul administrativ al </w:t>
      </w:r>
      <w:r w:rsidRPr="0000657A">
        <w:rPr>
          <w:sz w:val="28"/>
          <w:szCs w:val="28"/>
          <w:lang w:val="ro-RO"/>
        </w:rPr>
        <w:t>Ministerului Apărării, cu competenţă generală de realizare a funcţiilor de supraveghere şi control, investigaţii şi evaluare de sistem, prevenire a corupţiei şi investigare a fraudelor, apreciere a stării de sănătate şi dezvoltarea fizică a cetăţenilor la momentul examenului medical, în scopul determinării aptitudinii lor pentru îndeplinirea obligaţiilor serviciului militar în timp de pace sau de război, precum și măsuri ce țin de supravegherea sănătăţii publice în Ministerul Apărării şi Armata Naţională.</w:t>
      </w:r>
    </w:p>
    <w:p w:rsidR="00A57AE9" w:rsidRPr="0000657A" w:rsidRDefault="00A57AE9" w:rsidP="00A57AE9">
      <w:pPr>
        <w:ind w:firstLine="567"/>
        <w:jc w:val="both"/>
        <w:rPr>
          <w:sz w:val="28"/>
          <w:szCs w:val="28"/>
          <w:lang w:val="ro-RO"/>
        </w:rPr>
      </w:pPr>
      <w:r w:rsidRPr="0000657A">
        <w:rPr>
          <w:sz w:val="28"/>
          <w:szCs w:val="28"/>
          <w:lang w:val="ro-RO"/>
        </w:rPr>
        <w:t>Proiectul Regulamentului este structurat în 3 capitole, care reglementează misiunea, funcţiile, domeniile de activitate şi drepturile cu care se investeşte Inspectoratul, precum şi organizarea activităţii acestuia.</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lastRenderedPageBreak/>
        <w:t xml:space="preserve">Regulamentul prevede în anexele nr.2 și 3 structura și organigrama Inspectoratului, precum şi stabileşte efectivul-limită al acestuia în număr de 41 de unităţi de personal, cu statut de funcţionari publici cu statul special şi angajaţi civili. </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 xml:space="preserve">În acest context, este de menționat că, numărul de personal al Inspectoratului, ca succesor al Direcției inspecție generală, </w:t>
      </w:r>
      <w:r w:rsidRPr="0000657A">
        <w:rPr>
          <w:color w:val="auto"/>
          <w:sz w:val="28"/>
          <w:szCs w:val="28"/>
          <w:lang w:val="ro-RO" w:eastAsia="ru-RU"/>
        </w:rPr>
        <w:t xml:space="preserve">Centrului de medicină preventivă și a Comisiei centrale de expertiză medico-militară a Forțelor Armate, </w:t>
      </w:r>
      <w:r w:rsidRPr="0000657A">
        <w:rPr>
          <w:color w:val="auto"/>
          <w:sz w:val="28"/>
          <w:szCs w:val="28"/>
          <w:lang w:val="ro-RO"/>
        </w:rPr>
        <w:t>nu necesită modificări, deoarece Direcția inspecție generală a fost reorganizată în anul 2014, iar ca rezultat numărul de personal a fost redus de la 21 la 10 unități.</w:t>
      </w:r>
    </w:p>
    <w:p w:rsidR="00A57AE9" w:rsidRPr="0000657A" w:rsidRDefault="00A57AE9" w:rsidP="00A57AE9">
      <w:pPr>
        <w:pStyle w:val="BodyText"/>
        <w:ind w:right="-1" w:firstLine="708"/>
        <w:rPr>
          <w:szCs w:val="28"/>
          <w:lang w:val="ro-RO"/>
        </w:rPr>
      </w:pPr>
      <w:r w:rsidRPr="0000657A">
        <w:rPr>
          <w:szCs w:val="28"/>
          <w:lang w:val="ro-RO"/>
        </w:rPr>
        <w:t>Totodată, statele de personal al Centrului de medicină preventivă era constituit din 38 unităţi, care începând cu anul 2010, odată cu iniţierea şi desfăşurarea proceselor de optimizare şi reorganizare şi până în 2015 a fost redus treptat până la 23 de unităţi, acesta constituind numărul limită de personal necesar pentru acreditarea Centrului de către Consiliul Naţional de Evaluare şi Acreditare în Sănătate în conformitate cu Legea nr.552-XV din 18.10.2001 privind evaluarea şi acreditarea în sănătate.</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Numărul funcţiilor de conducere nu depăşeşte 30% din efectivul limită al acesteia, în acest sens fiind asigurată</w:t>
      </w:r>
      <w:r w:rsidRPr="0000657A">
        <w:rPr>
          <w:color w:val="auto"/>
          <w:lang w:val="ro-RO"/>
        </w:rPr>
        <w:t xml:space="preserve"> </w:t>
      </w:r>
      <w:r w:rsidRPr="0000657A">
        <w:rPr>
          <w:color w:val="auto"/>
          <w:sz w:val="28"/>
          <w:szCs w:val="28"/>
          <w:lang w:val="ro-RO"/>
        </w:rPr>
        <w:t>respectarea prevederilor Hotărârii Guvernului nr.1001 din 26 decembrie 2011 „Privind punerea în aplicare a unor acte legislative”.</w:t>
      </w:r>
    </w:p>
    <w:p w:rsidR="00A57AE9" w:rsidRPr="0000657A" w:rsidRDefault="00A57AE9" w:rsidP="00A57AE9">
      <w:pPr>
        <w:ind w:firstLine="708"/>
        <w:jc w:val="both"/>
        <w:rPr>
          <w:sz w:val="28"/>
          <w:szCs w:val="28"/>
          <w:lang w:val="ro-RO"/>
        </w:rPr>
      </w:pPr>
      <w:r w:rsidRPr="0000657A">
        <w:rPr>
          <w:sz w:val="28"/>
          <w:szCs w:val="28"/>
          <w:lang w:val="ro-RO"/>
        </w:rPr>
        <w:t>Conform organigramei, serviciul arhivă constituie parte componentă a Comisiei centrale de expertiză medico-militară a Forțelor Armate, aceasta fiind condiționată de faptul că arhiva Comisiei gestionează toate documentele medico-militare ale veteranilor de război și a participanților la conflictele armate, fișele medicale de staționar și ambulatoriu ale militarilor prin contract și militarilor în termen, certificatele-decizie ale militarilor eliberați din serviciul militar pe motiv de boală, registrele de evidență statistică ale tinerilor apreciați inapți pentru serviciul militar în timp de pace, apt necombatanți la război, excluși din evidență militară.</w:t>
      </w:r>
    </w:p>
    <w:p w:rsidR="00A57AE9" w:rsidRPr="0000657A" w:rsidRDefault="00A57AE9" w:rsidP="00A57AE9">
      <w:pPr>
        <w:ind w:firstLine="708"/>
        <w:jc w:val="both"/>
        <w:rPr>
          <w:sz w:val="28"/>
          <w:szCs w:val="28"/>
          <w:lang w:val="ro-RO"/>
        </w:rPr>
      </w:pPr>
      <w:r w:rsidRPr="0000657A">
        <w:rPr>
          <w:sz w:val="28"/>
          <w:szCs w:val="28"/>
          <w:lang w:val="ro-RO"/>
        </w:rPr>
        <w:t>Concomitent, prin prisma prevederilor pct.1</w:t>
      </w:r>
      <w:r w:rsidRPr="0000657A">
        <w:rPr>
          <w:sz w:val="28"/>
          <w:szCs w:val="28"/>
          <w:vertAlign w:val="superscript"/>
          <w:lang w:val="ro-RO"/>
        </w:rPr>
        <w:t>1</w:t>
      </w:r>
      <w:r w:rsidRPr="0000657A">
        <w:rPr>
          <w:sz w:val="28"/>
          <w:szCs w:val="28"/>
          <w:lang w:val="ro-RO"/>
        </w:rPr>
        <w:t xml:space="preserve"> din Hotărîrea Guvernului nr.433 din 15.07.2015</w:t>
      </w:r>
      <w:r w:rsidRPr="0000657A">
        <w:rPr>
          <w:lang w:val="ro-RO"/>
        </w:rPr>
        <w:t xml:space="preserve"> </w:t>
      </w:r>
      <w:r w:rsidRPr="0000657A">
        <w:rPr>
          <w:sz w:val="28"/>
          <w:szCs w:val="28"/>
          <w:lang w:val="ro-RO"/>
        </w:rPr>
        <w:t>privind aprobarea Regulamentului-cadru de activitate a serviciilor financiare atribuţiile în domeniul financiar ale Inspectoratului sînt exercitate de către serviciul financiar-administrativ al Ministerului Apărării.</w:t>
      </w:r>
    </w:p>
    <w:p w:rsidR="00A57AE9" w:rsidRPr="0000657A" w:rsidRDefault="00A57AE9" w:rsidP="00A57AE9">
      <w:pPr>
        <w:pStyle w:val="Default"/>
        <w:spacing w:before="120"/>
        <w:ind w:firstLine="709"/>
        <w:jc w:val="both"/>
        <w:rPr>
          <w:b/>
          <w:i/>
          <w:color w:val="auto"/>
          <w:sz w:val="28"/>
          <w:szCs w:val="28"/>
          <w:lang w:val="ro-RO"/>
        </w:rPr>
      </w:pPr>
      <w:r w:rsidRPr="0000657A">
        <w:rPr>
          <w:b/>
          <w:i/>
          <w:color w:val="auto"/>
          <w:sz w:val="28"/>
          <w:szCs w:val="28"/>
          <w:lang w:val="ro-RO"/>
        </w:rPr>
        <w:t>3. Fundamentarea economico-financiară</w:t>
      </w:r>
    </w:p>
    <w:p w:rsidR="00A57AE9" w:rsidRPr="0000657A" w:rsidRDefault="00A57AE9" w:rsidP="00A57AE9">
      <w:pPr>
        <w:ind w:firstLine="709"/>
        <w:jc w:val="both"/>
        <w:rPr>
          <w:rFonts w:eastAsia="Calibri"/>
          <w:bCs/>
          <w:sz w:val="28"/>
          <w:szCs w:val="28"/>
          <w:lang w:val="ro-RO"/>
        </w:rPr>
      </w:pPr>
      <w:r w:rsidRPr="0000657A">
        <w:rPr>
          <w:rFonts w:eastAsia="Calibri"/>
          <w:bCs/>
          <w:sz w:val="28"/>
          <w:szCs w:val="28"/>
          <w:lang w:val="ro-RO"/>
        </w:rPr>
        <w:t>Aprobarea proiectului</w:t>
      </w:r>
      <w:r w:rsidRPr="0000657A">
        <w:rPr>
          <w:sz w:val="28"/>
          <w:szCs w:val="28"/>
          <w:lang w:val="ro-RO"/>
        </w:rPr>
        <w:t xml:space="preserve"> </w:t>
      </w:r>
      <w:r w:rsidRPr="0000657A">
        <w:rPr>
          <w:rStyle w:val="Emphasis"/>
          <w:i w:val="0"/>
          <w:sz w:val="28"/>
          <w:szCs w:val="28"/>
          <w:shd w:val="clear" w:color="auto" w:fill="FFFFFF"/>
          <w:lang w:val="ro-RO"/>
        </w:rPr>
        <w:t>Hotărârii Guvernului</w:t>
      </w:r>
      <w:r w:rsidRPr="0000657A">
        <w:rPr>
          <w:rStyle w:val="Emphasis"/>
          <w:sz w:val="28"/>
          <w:szCs w:val="28"/>
          <w:shd w:val="clear" w:color="auto" w:fill="FFFFFF"/>
          <w:lang w:val="ro-RO"/>
        </w:rPr>
        <w:t xml:space="preserve"> </w:t>
      </w:r>
      <w:r w:rsidRPr="0000657A">
        <w:rPr>
          <w:bCs/>
          <w:sz w:val="28"/>
          <w:szCs w:val="28"/>
          <w:lang w:val="ro-RO"/>
        </w:rPr>
        <w:t>„</w:t>
      </w:r>
      <w:r w:rsidRPr="0000657A">
        <w:rPr>
          <w:i/>
          <w:sz w:val="28"/>
          <w:szCs w:val="28"/>
          <w:lang w:val="ro-RO"/>
        </w:rPr>
        <w:t>Cu privire la organizarea şi funcţionarea Inspectoratului militar al Ministerului Apărării</w:t>
      </w:r>
      <w:r w:rsidRPr="0000657A">
        <w:rPr>
          <w:sz w:val="28"/>
          <w:szCs w:val="28"/>
          <w:lang w:val="ro-RO"/>
        </w:rPr>
        <w:t>”</w:t>
      </w:r>
      <w:bookmarkStart w:id="0" w:name="_GoBack"/>
      <w:bookmarkEnd w:id="0"/>
      <w:r w:rsidRPr="0000657A">
        <w:rPr>
          <w:rFonts w:eastAsia="Calibri"/>
          <w:sz w:val="28"/>
          <w:szCs w:val="28"/>
          <w:lang w:val="ro-RO"/>
        </w:rPr>
        <w:t xml:space="preserve"> </w:t>
      </w:r>
      <w:r w:rsidRPr="0000657A">
        <w:rPr>
          <w:rFonts w:eastAsia="Calibri"/>
          <w:bCs/>
          <w:sz w:val="28"/>
          <w:szCs w:val="28"/>
          <w:lang w:val="ro-RO"/>
        </w:rPr>
        <w:t>nu necesită cheltuieli suplimentare din contul bugetului de stat.</w:t>
      </w:r>
    </w:p>
    <w:p w:rsidR="00A57AE9" w:rsidRPr="0000657A" w:rsidRDefault="00A57AE9" w:rsidP="00A57AE9">
      <w:pPr>
        <w:pStyle w:val="Default"/>
        <w:spacing w:before="120"/>
        <w:ind w:firstLine="709"/>
        <w:jc w:val="both"/>
        <w:rPr>
          <w:b/>
          <w:i/>
          <w:color w:val="auto"/>
          <w:sz w:val="28"/>
          <w:szCs w:val="28"/>
          <w:lang w:val="ro-RO"/>
        </w:rPr>
      </w:pPr>
      <w:r w:rsidRPr="0000657A">
        <w:rPr>
          <w:b/>
          <w:i/>
          <w:color w:val="auto"/>
          <w:sz w:val="28"/>
          <w:szCs w:val="28"/>
          <w:lang w:val="ro-RO"/>
        </w:rPr>
        <w:t>4. Acţiuni ce urmează a fi întreprinse în baza actului normativ</w:t>
      </w:r>
    </w:p>
    <w:p w:rsidR="00A57AE9" w:rsidRPr="0000657A" w:rsidRDefault="00A57AE9" w:rsidP="00A57AE9">
      <w:pPr>
        <w:pStyle w:val="Default"/>
        <w:ind w:firstLine="709"/>
        <w:jc w:val="both"/>
        <w:rPr>
          <w:color w:val="auto"/>
          <w:sz w:val="28"/>
          <w:szCs w:val="28"/>
          <w:lang w:val="ro-RO"/>
        </w:rPr>
      </w:pPr>
      <w:r w:rsidRPr="0000657A">
        <w:rPr>
          <w:color w:val="auto"/>
          <w:sz w:val="28"/>
          <w:szCs w:val="28"/>
          <w:lang w:val="ro-RO"/>
        </w:rPr>
        <w:t>Urmare a adoptării prezentului proiect, va fi elaborat noul stat de personal al Inspectoratului și schema de încadrare.</w:t>
      </w:r>
    </w:p>
    <w:p w:rsidR="00A57AE9" w:rsidRPr="0000657A" w:rsidRDefault="00A57AE9" w:rsidP="00A57AE9">
      <w:pPr>
        <w:pStyle w:val="Default"/>
        <w:spacing w:before="120"/>
        <w:ind w:firstLine="709"/>
        <w:jc w:val="both"/>
        <w:rPr>
          <w:b/>
          <w:i/>
          <w:color w:val="auto"/>
          <w:sz w:val="28"/>
          <w:szCs w:val="28"/>
          <w:lang w:val="ro-RO"/>
        </w:rPr>
      </w:pPr>
      <w:r w:rsidRPr="0000657A">
        <w:rPr>
          <w:b/>
          <w:i/>
          <w:color w:val="auto"/>
          <w:sz w:val="28"/>
          <w:szCs w:val="28"/>
          <w:lang w:val="ro-RO"/>
        </w:rPr>
        <w:t>5. Transparenţa în procesul decizional/ Coordonarea proiectului</w:t>
      </w:r>
    </w:p>
    <w:p w:rsidR="00FE052F" w:rsidRDefault="00A57AE9" w:rsidP="00FE052F">
      <w:pPr>
        <w:pStyle w:val="Default"/>
        <w:ind w:firstLine="709"/>
        <w:jc w:val="both"/>
        <w:rPr>
          <w:bCs/>
          <w:color w:val="auto"/>
          <w:sz w:val="28"/>
          <w:szCs w:val="28"/>
          <w:lang w:val="ro-RO"/>
        </w:rPr>
      </w:pPr>
      <w:r w:rsidRPr="0000657A">
        <w:rPr>
          <w:color w:val="auto"/>
          <w:sz w:val="28"/>
          <w:szCs w:val="28"/>
          <w:lang w:val="ro-RO"/>
        </w:rPr>
        <w:t xml:space="preserve">În scopul respectării prevederilor Legii nr.239 din 13 noiembrie 2008 privind transparenţa în procesul decizional, proiectul a fost plasat pe pagina web </w:t>
      </w:r>
      <w:hyperlink r:id="rId8" w:history="1">
        <w:r w:rsidRPr="0000657A">
          <w:rPr>
            <w:rStyle w:val="Hyperlink"/>
            <w:color w:val="auto"/>
            <w:sz w:val="28"/>
            <w:szCs w:val="28"/>
            <w:lang w:val="ro-RO"/>
          </w:rPr>
          <w:t>www.particip.gov.md</w:t>
        </w:r>
      </w:hyperlink>
      <w:r w:rsidRPr="0000657A">
        <w:rPr>
          <w:color w:val="auto"/>
          <w:sz w:val="28"/>
          <w:szCs w:val="28"/>
          <w:lang w:val="ro-RO"/>
        </w:rPr>
        <w:t xml:space="preserve">, precum și pe pagina web oficială a Ministerului Apărării </w:t>
      </w:r>
      <w:hyperlink r:id="rId9" w:history="1">
        <w:r w:rsidRPr="0000657A">
          <w:rPr>
            <w:rStyle w:val="Hyperlink"/>
            <w:color w:val="auto"/>
            <w:sz w:val="28"/>
            <w:szCs w:val="28"/>
            <w:lang w:val="ro-RO"/>
          </w:rPr>
          <w:t>www.army.md</w:t>
        </w:r>
      </w:hyperlink>
      <w:r w:rsidRPr="0000657A">
        <w:rPr>
          <w:color w:val="auto"/>
          <w:sz w:val="28"/>
          <w:szCs w:val="28"/>
          <w:lang w:val="ro-RO"/>
        </w:rPr>
        <w:t xml:space="preserve">, </w:t>
      </w:r>
      <w:r w:rsidRPr="0000657A">
        <w:rPr>
          <w:bCs/>
          <w:color w:val="auto"/>
          <w:sz w:val="28"/>
          <w:szCs w:val="28"/>
          <w:lang w:val="ro-RO"/>
        </w:rPr>
        <w:t xml:space="preserve">compartimentul </w:t>
      </w:r>
      <w:r w:rsidRPr="0000657A">
        <w:rPr>
          <w:bCs/>
          <w:i/>
          <w:color w:val="auto"/>
          <w:sz w:val="28"/>
          <w:szCs w:val="28"/>
          <w:lang w:val="ro-RO"/>
        </w:rPr>
        <w:t>Transparența decizională</w:t>
      </w:r>
      <w:r w:rsidRPr="0000657A">
        <w:rPr>
          <w:bCs/>
          <w:color w:val="auto"/>
          <w:sz w:val="28"/>
          <w:szCs w:val="28"/>
          <w:lang w:val="ro-RO"/>
        </w:rPr>
        <w:t xml:space="preserve">, la directoriul </w:t>
      </w:r>
      <w:r w:rsidRPr="0000657A">
        <w:rPr>
          <w:bCs/>
          <w:i/>
          <w:color w:val="auto"/>
          <w:sz w:val="28"/>
          <w:szCs w:val="28"/>
          <w:lang w:val="ro-RO"/>
        </w:rPr>
        <w:t>Modul de participare</w:t>
      </w:r>
      <w:r w:rsidRPr="0000657A">
        <w:rPr>
          <w:bCs/>
          <w:color w:val="auto"/>
          <w:sz w:val="28"/>
          <w:szCs w:val="28"/>
          <w:lang w:val="ro-RO"/>
        </w:rPr>
        <w:t>.</w:t>
      </w:r>
    </w:p>
    <w:p w:rsidR="00FE052F" w:rsidRDefault="00FE052F" w:rsidP="00FE052F">
      <w:pPr>
        <w:pStyle w:val="Default"/>
        <w:ind w:firstLine="709"/>
        <w:jc w:val="both"/>
        <w:rPr>
          <w:bCs/>
          <w:color w:val="auto"/>
          <w:sz w:val="28"/>
          <w:szCs w:val="28"/>
          <w:lang w:val="ro-RO"/>
        </w:rPr>
      </w:pPr>
    </w:p>
    <w:p w:rsidR="00591C8F" w:rsidRPr="0000657A" w:rsidRDefault="00A57AE9" w:rsidP="00FE052F">
      <w:pPr>
        <w:pStyle w:val="Default"/>
        <w:ind w:firstLine="709"/>
        <w:jc w:val="both"/>
        <w:rPr>
          <w:sz w:val="28"/>
          <w:szCs w:val="28"/>
          <w:lang w:val="ro-RO"/>
        </w:rPr>
      </w:pPr>
      <w:r w:rsidRPr="0000657A">
        <w:rPr>
          <w:sz w:val="28"/>
          <w:szCs w:val="28"/>
          <w:lang w:val="ro-RO"/>
        </w:rPr>
        <w:t>Ministru                                                    Eugeniu STURZA</w:t>
      </w:r>
    </w:p>
    <w:sectPr w:rsidR="00591C8F" w:rsidRPr="0000657A" w:rsidSect="0025181E">
      <w:headerReference w:type="even" r:id="rId10"/>
      <w:pgSz w:w="11906" w:h="16838" w:code="9"/>
      <w:pgMar w:top="851"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71" w:rsidRDefault="00735A71">
      <w:r>
        <w:separator/>
      </w:r>
    </w:p>
  </w:endnote>
  <w:endnote w:type="continuationSeparator" w:id="1">
    <w:p w:rsidR="00735A71" w:rsidRDefault="00735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71" w:rsidRDefault="00735A71">
      <w:r>
        <w:separator/>
      </w:r>
    </w:p>
  </w:footnote>
  <w:footnote w:type="continuationSeparator" w:id="1">
    <w:p w:rsidR="00735A71" w:rsidRDefault="00735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01" w:rsidRDefault="0041690D" w:rsidP="007B6ACC">
    <w:pPr>
      <w:pStyle w:val="Header"/>
      <w:framePr w:wrap="around" w:vAnchor="text" w:hAnchor="margin" w:xAlign="center" w:y="1"/>
      <w:rPr>
        <w:rStyle w:val="PageNumber"/>
      </w:rPr>
    </w:pPr>
    <w:r>
      <w:rPr>
        <w:rStyle w:val="PageNumber"/>
      </w:rPr>
      <w:fldChar w:fldCharType="begin"/>
    </w:r>
    <w:r w:rsidR="00A17F01">
      <w:rPr>
        <w:rStyle w:val="PageNumber"/>
      </w:rPr>
      <w:instrText xml:space="preserve">PAGE  </w:instrText>
    </w:r>
    <w:r>
      <w:rPr>
        <w:rStyle w:val="PageNumber"/>
      </w:rPr>
      <w:fldChar w:fldCharType="end"/>
    </w:r>
  </w:p>
  <w:p w:rsidR="00A17F01" w:rsidRDefault="00A17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A42"/>
    <w:multiLevelType w:val="multilevel"/>
    <w:tmpl w:val="60ECDC56"/>
    <w:lvl w:ilvl="0">
      <w:start w:val="12"/>
      <w:numFmt w:val="decimal"/>
      <w:lvlText w:val="%1."/>
      <w:lvlJc w:val="left"/>
      <w:pPr>
        <w:tabs>
          <w:tab w:val="num" w:pos="555"/>
        </w:tabs>
        <w:ind w:left="555" w:hanging="555"/>
      </w:pPr>
      <w:rPr>
        <w:rFonts w:hint="default"/>
      </w:rPr>
    </w:lvl>
    <w:lvl w:ilvl="1">
      <w:start w:val="8"/>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2A5396"/>
    <w:multiLevelType w:val="hybridMultilevel"/>
    <w:tmpl w:val="64601E58"/>
    <w:lvl w:ilvl="0" w:tplc="0170974E">
      <w:start w:val="6"/>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396D4C"/>
    <w:multiLevelType w:val="multilevel"/>
    <w:tmpl w:val="7B062D20"/>
    <w:lvl w:ilvl="0">
      <w:start w:val="11"/>
      <w:numFmt w:val="decimal"/>
      <w:lvlText w:val="%1."/>
      <w:lvlJc w:val="left"/>
      <w:pPr>
        <w:tabs>
          <w:tab w:val="num" w:pos="555"/>
        </w:tabs>
        <w:ind w:left="555" w:hanging="555"/>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229C64AF"/>
    <w:multiLevelType w:val="hybridMultilevel"/>
    <w:tmpl w:val="A63A82F8"/>
    <w:lvl w:ilvl="0" w:tplc="9070A99C">
      <w:start w:val="1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A2802"/>
    <w:multiLevelType w:val="hybridMultilevel"/>
    <w:tmpl w:val="D2F0D714"/>
    <w:lvl w:ilvl="0" w:tplc="53882056">
      <w:start w:val="1"/>
      <w:numFmt w:val="decimal"/>
      <w:lvlText w:val="%1)"/>
      <w:lvlJc w:val="left"/>
      <w:pPr>
        <w:ind w:left="2655" w:hanging="15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BC5282"/>
    <w:multiLevelType w:val="hybridMultilevel"/>
    <w:tmpl w:val="0ED417C6"/>
    <w:lvl w:ilvl="0" w:tplc="88768F8E">
      <w:start w:val="1"/>
      <w:numFmt w:val="decimal"/>
      <w:lvlText w:val="%1)"/>
      <w:lvlJc w:val="left"/>
      <w:pPr>
        <w:ind w:left="785"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CF97C18"/>
    <w:multiLevelType w:val="multilevel"/>
    <w:tmpl w:val="1102D3E4"/>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3845469"/>
    <w:multiLevelType w:val="hybridMultilevel"/>
    <w:tmpl w:val="C6F40D00"/>
    <w:lvl w:ilvl="0" w:tplc="60761A1A">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5E35491"/>
    <w:multiLevelType w:val="hybridMultilevel"/>
    <w:tmpl w:val="7DA6E21C"/>
    <w:lvl w:ilvl="0" w:tplc="EA6A9126">
      <w:start w:val="1"/>
      <w:numFmt w:val="decimal"/>
      <w:lvlText w:val="%1."/>
      <w:lvlJc w:val="left"/>
      <w:pPr>
        <w:tabs>
          <w:tab w:val="num" w:pos="1815"/>
        </w:tabs>
        <w:ind w:left="1815" w:hanging="1095"/>
      </w:pPr>
      <w:rPr>
        <w:rFonts w:hint="default"/>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ABB361B"/>
    <w:multiLevelType w:val="hybridMultilevel"/>
    <w:tmpl w:val="7FEAA5A0"/>
    <w:lvl w:ilvl="0" w:tplc="05EA1D18">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106341"/>
    <w:multiLevelType w:val="hybridMultilevel"/>
    <w:tmpl w:val="0A2A454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EB237E"/>
    <w:multiLevelType w:val="hybridMultilevel"/>
    <w:tmpl w:val="A6EE9396"/>
    <w:lvl w:ilvl="0" w:tplc="7DCC6CA6">
      <w:start w:val="1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11D12"/>
    <w:multiLevelType w:val="hybridMultilevel"/>
    <w:tmpl w:val="124EA6DE"/>
    <w:lvl w:ilvl="0" w:tplc="FD2AD932">
      <w:numFmt w:val="bullet"/>
      <w:lvlText w:val="-"/>
      <w:lvlJc w:val="left"/>
      <w:pPr>
        <w:ind w:left="1211" w:hanging="360"/>
      </w:pPr>
      <w:rPr>
        <w:rFonts w:ascii="Times New Roman" w:eastAsia="PMingLiU"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3">
    <w:nsid w:val="53582C3C"/>
    <w:multiLevelType w:val="multilevel"/>
    <w:tmpl w:val="60ECDC56"/>
    <w:lvl w:ilvl="0">
      <w:start w:val="12"/>
      <w:numFmt w:val="decimal"/>
      <w:lvlText w:val="%1."/>
      <w:lvlJc w:val="left"/>
      <w:pPr>
        <w:tabs>
          <w:tab w:val="num" w:pos="555"/>
        </w:tabs>
        <w:ind w:left="555" w:hanging="555"/>
      </w:pPr>
      <w:rPr>
        <w:rFonts w:hint="default"/>
      </w:rPr>
    </w:lvl>
    <w:lvl w:ilvl="1">
      <w:start w:val="8"/>
      <w:numFmt w:val="decimal"/>
      <w:lvlText w:val="%1.%2."/>
      <w:lvlJc w:val="left"/>
      <w:pPr>
        <w:tabs>
          <w:tab w:val="num" w:pos="1980"/>
        </w:tabs>
        <w:ind w:left="19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74956BB"/>
    <w:multiLevelType w:val="hybridMultilevel"/>
    <w:tmpl w:val="2968C742"/>
    <w:lvl w:ilvl="0" w:tplc="EC2E4E60">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FE243D"/>
    <w:multiLevelType w:val="hybridMultilevel"/>
    <w:tmpl w:val="F4E21E2A"/>
    <w:lvl w:ilvl="0" w:tplc="A21C9E6E">
      <w:start w:val="1"/>
      <w:numFmt w:val="decimal"/>
      <w:lvlText w:val="%1."/>
      <w:lvlJc w:val="left"/>
      <w:pPr>
        <w:ind w:left="1495" w:hanging="360"/>
      </w:pPr>
      <w:rPr>
        <w:b/>
      </w:rPr>
    </w:lvl>
    <w:lvl w:ilvl="1" w:tplc="F82091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FF4659"/>
    <w:multiLevelType w:val="hybridMultilevel"/>
    <w:tmpl w:val="C7B61588"/>
    <w:lvl w:ilvl="0" w:tplc="86F880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95354C"/>
    <w:multiLevelType w:val="hybridMultilevel"/>
    <w:tmpl w:val="6EC640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3337F1"/>
    <w:multiLevelType w:val="hybridMultilevel"/>
    <w:tmpl w:val="E8C6BC70"/>
    <w:lvl w:ilvl="0" w:tplc="7D106E4C">
      <w:start w:val="1"/>
      <w:numFmt w:val="decimal"/>
      <w:lvlText w:val="%1."/>
      <w:lvlJc w:val="left"/>
      <w:pPr>
        <w:ind w:left="106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7A11B1B"/>
    <w:multiLevelType w:val="hybridMultilevel"/>
    <w:tmpl w:val="2E524514"/>
    <w:lvl w:ilvl="0" w:tplc="73782C32">
      <w:start w:val="1"/>
      <w:numFmt w:val="decimal"/>
      <w:lvlText w:val="%1."/>
      <w:lvlJc w:val="left"/>
      <w:pPr>
        <w:tabs>
          <w:tab w:val="num" w:pos="2535"/>
        </w:tabs>
        <w:ind w:left="2535" w:hanging="10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EC10E14"/>
    <w:multiLevelType w:val="hybridMultilevel"/>
    <w:tmpl w:val="2122981C"/>
    <w:lvl w:ilvl="0" w:tplc="67269164">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6"/>
  </w:num>
  <w:num w:numId="4">
    <w:abstractNumId w:val="2"/>
  </w:num>
  <w:num w:numId="5">
    <w:abstractNumId w:val="17"/>
  </w:num>
  <w:num w:numId="6">
    <w:abstractNumId w:val="8"/>
  </w:num>
  <w:num w:numId="7">
    <w:abstractNumId w:val="19"/>
  </w:num>
  <w:num w:numId="8">
    <w:abstractNumId w:val="7"/>
  </w:num>
  <w:num w:numId="9">
    <w:abstractNumId w:val="12"/>
  </w:num>
  <w:num w:numId="10">
    <w:abstractNumId w:val="13"/>
  </w:num>
  <w:num w:numId="11">
    <w:abstractNumId w:val="0"/>
  </w:num>
  <w:num w:numId="12">
    <w:abstractNumId w:val="1"/>
  </w:num>
  <w:num w:numId="13">
    <w:abstractNumId w:val="16"/>
  </w:num>
  <w:num w:numId="14">
    <w:abstractNumId w:val="4"/>
  </w:num>
  <w:num w:numId="15">
    <w:abstractNumId w:val="20"/>
  </w:num>
  <w:num w:numId="16">
    <w:abstractNumId w:val="14"/>
  </w:num>
  <w:num w:numId="17">
    <w:abstractNumId w:val="11"/>
  </w:num>
  <w:num w:numId="18">
    <w:abstractNumId w:val="10"/>
  </w:num>
  <w:num w:numId="19">
    <w:abstractNumId w:val="3"/>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243D8"/>
    <w:rsid w:val="000043FB"/>
    <w:rsid w:val="0000657A"/>
    <w:rsid w:val="00015878"/>
    <w:rsid w:val="00022DC3"/>
    <w:rsid w:val="000250F3"/>
    <w:rsid w:val="00027FC9"/>
    <w:rsid w:val="0003786E"/>
    <w:rsid w:val="00050885"/>
    <w:rsid w:val="00066756"/>
    <w:rsid w:val="00097DAC"/>
    <w:rsid w:val="000B05B5"/>
    <w:rsid w:val="000B53C4"/>
    <w:rsid w:val="000C5058"/>
    <w:rsid w:val="000C550B"/>
    <w:rsid w:val="000C6C3F"/>
    <w:rsid w:val="000D15B3"/>
    <w:rsid w:val="000D1CA5"/>
    <w:rsid w:val="000D4CBC"/>
    <w:rsid w:val="000E0854"/>
    <w:rsid w:val="000F0734"/>
    <w:rsid w:val="00100649"/>
    <w:rsid w:val="00101D0D"/>
    <w:rsid w:val="00105713"/>
    <w:rsid w:val="00107988"/>
    <w:rsid w:val="00114B75"/>
    <w:rsid w:val="001261BE"/>
    <w:rsid w:val="001316A0"/>
    <w:rsid w:val="00131B59"/>
    <w:rsid w:val="001449F7"/>
    <w:rsid w:val="00157469"/>
    <w:rsid w:val="00161373"/>
    <w:rsid w:val="00170BFD"/>
    <w:rsid w:val="001751DA"/>
    <w:rsid w:val="0018148F"/>
    <w:rsid w:val="00195749"/>
    <w:rsid w:val="00197680"/>
    <w:rsid w:val="001A0795"/>
    <w:rsid w:val="001A44D9"/>
    <w:rsid w:val="001B4B83"/>
    <w:rsid w:val="001D219B"/>
    <w:rsid w:val="001E12F4"/>
    <w:rsid w:val="001F1CA6"/>
    <w:rsid w:val="001F33E8"/>
    <w:rsid w:val="001F3899"/>
    <w:rsid w:val="001F5F1F"/>
    <w:rsid w:val="001F5F6C"/>
    <w:rsid w:val="00201847"/>
    <w:rsid w:val="00202576"/>
    <w:rsid w:val="002052F7"/>
    <w:rsid w:val="00206F5C"/>
    <w:rsid w:val="0022288E"/>
    <w:rsid w:val="002410B7"/>
    <w:rsid w:val="0025181E"/>
    <w:rsid w:val="0026131B"/>
    <w:rsid w:val="002626CB"/>
    <w:rsid w:val="0026602C"/>
    <w:rsid w:val="00282827"/>
    <w:rsid w:val="002855B7"/>
    <w:rsid w:val="0028685C"/>
    <w:rsid w:val="00297BE4"/>
    <w:rsid w:val="002A06D4"/>
    <w:rsid w:val="002A3A63"/>
    <w:rsid w:val="002A7D71"/>
    <w:rsid w:val="002B06FF"/>
    <w:rsid w:val="002B1CC9"/>
    <w:rsid w:val="002B6FEF"/>
    <w:rsid w:val="002C2248"/>
    <w:rsid w:val="002C6A07"/>
    <w:rsid w:val="002D354B"/>
    <w:rsid w:val="002D6135"/>
    <w:rsid w:val="002E17C8"/>
    <w:rsid w:val="002E747D"/>
    <w:rsid w:val="002E76CB"/>
    <w:rsid w:val="002E7FDF"/>
    <w:rsid w:val="002F1A3A"/>
    <w:rsid w:val="002F310C"/>
    <w:rsid w:val="002F67E9"/>
    <w:rsid w:val="00301E51"/>
    <w:rsid w:val="00314305"/>
    <w:rsid w:val="003147CB"/>
    <w:rsid w:val="00321C73"/>
    <w:rsid w:val="003235D3"/>
    <w:rsid w:val="00324BD4"/>
    <w:rsid w:val="00355F10"/>
    <w:rsid w:val="003563F3"/>
    <w:rsid w:val="00357E3C"/>
    <w:rsid w:val="0037229E"/>
    <w:rsid w:val="00373473"/>
    <w:rsid w:val="003744E6"/>
    <w:rsid w:val="00374E19"/>
    <w:rsid w:val="003809D3"/>
    <w:rsid w:val="00383D03"/>
    <w:rsid w:val="00383E63"/>
    <w:rsid w:val="00394D31"/>
    <w:rsid w:val="00394FFE"/>
    <w:rsid w:val="003956D7"/>
    <w:rsid w:val="003A4DCD"/>
    <w:rsid w:val="003B3446"/>
    <w:rsid w:val="003B3D15"/>
    <w:rsid w:val="003B4717"/>
    <w:rsid w:val="003C0C10"/>
    <w:rsid w:val="003C68AD"/>
    <w:rsid w:val="003D22AB"/>
    <w:rsid w:val="003E00C9"/>
    <w:rsid w:val="003E0293"/>
    <w:rsid w:val="003E1029"/>
    <w:rsid w:val="003F0659"/>
    <w:rsid w:val="003F08A6"/>
    <w:rsid w:val="003F1669"/>
    <w:rsid w:val="003F46E0"/>
    <w:rsid w:val="00401277"/>
    <w:rsid w:val="00410722"/>
    <w:rsid w:val="004121EF"/>
    <w:rsid w:val="0041690D"/>
    <w:rsid w:val="004300A6"/>
    <w:rsid w:val="00432519"/>
    <w:rsid w:val="004343AA"/>
    <w:rsid w:val="00437F87"/>
    <w:rsid w:val="004430C3"/>
    <w:rsid w:val="0044762E"/>
    <w:rsid w:val="00454121"/>
    <w:rsid w:val="00476867"/>
    <w:rsid w:val="00487586"/>
    <w:rsid w:val="00491FD5"/>
    <w:rsid w:val="00496CBE"/>
    <w:rsid w:val="004A3AF2"/>
    <w:rsid w:val="004A5228"/>
    <w:rsid w:val="004B2165"/>
    <w:rsid w:val="004D6E8D"/>
    <w:rsid w:val="004E0FF9"/>
    <w:rsid w:val="004E1F77"/>
    <w:rsid w:val="004E6240"/>
    <w:rsid w:val="004E66C1"/>
    <w:rsid w:val="004F109E"/>
    <w:rsid w:val="005077D1"/>
    <w:rsid w:val="00513709"/>
    <w:rsid w:val="005144D2"/>
    <w:rsid w:val="00515094"/>
    <w:rsid w:val="00522745"/>
    <w:rsid w:val="00531FBC"/>
    <w:rsid w:val="0055676D"/>
    <w:rsid w:val="00561102"/>
    <w:rsid w:val="00563F5D"/>
    <w:rsid w:val="00563F7D"/>
    <w:rsid w:val="00565CD2"/>
    <w:rsid w:val="00571A2F"/>
    <w:rsid w:val="00591C8F"/>
    <w:rsid w:val="0059328D"/>
    <w:rsid w:val="00593D47"/>
    <w:rsid w:val="00595F55"/>
    <w:rsid w:val="005A436B"/>
    <w:rsid w:val="005C2CD9"/>
    <w:rsid w:val="005D13B5"/>
    <w:rsid w:val="005E533F"/>
    <w:rsid w:val="005E6CF0"/>
    <w:rsid w:val="00604F65"/>
    <w:rsid w:val="00607CCA"/>
    <w:rsid w:val="00611373"/>
    <w:rsid w:val="00613001"/>
    <w:rsid w:val="0061374F"/>
    <w:rsid w:val="006235F7"/>
    <w:rsid w:val="00631CF2"/>
    <w:rsid w:val="006357F9"/>
    <w:rsid w:val="0063654B"/>
    <w:rsid w:val="00637D02"/>
    <w:rsid w:val="00657F7C"/>
    <w:rsid w:val="0067462A"/>
    <w:rsid w:val="00680991"/>
    <w:rsid w:val="00682093"/>
    <w:rsid w:val="0068318F"/>
    <w:rsid w:val="00693832"/>
    <w:rsid w:val="006A5D96"/>
    <w:rsid w:val="006B167A"/>
    <w:rsid w:val="006B283E"/>
    <w:rsid w:val="006C319F"/>
    <w:rsid w:val="006C69DA"/>
    <w:rsid w:val="006D18D8"/>
    <w:rsid w:val="006D1941"/>
    <w:rsid w:val="006D3F59"/>
    <w:rsid w:val="006E25CC"/>
    <w:rsid w:val="006F023D"/>
    <w:rsid w:val="006F08E3"/>
    <w:rsid w:val="006F3146"/>
    <w:rsid w:val="006F422A"/>
    <w:rsid w:val="00732912"/>
    <w:rsid w:val="00735A71"/>
    <w:rsid w:val="0074342D"/>
    <w:rsid w:val="00751505"/>
    <w:rsid w:val="007543E0"/>
    <w:rsid w:val="00763004"/>
    <w:rsid w:val="007728F9"/>
    <w:rsid w:val="00791D19"/>
    <w:rsid w:val="007A4EE2"/>
    <w:rsid w:val="007A6905"/>
    <w:rsid w:val="007B2D58"/>
    <w:rsid w:val="007B6ACC"/>
    <w:rsid w:val="007C7672"/>
    <w:rsid w:val="007D7208"/>
    <w:rsid w:val="007E0CD9"/>
    <w:rsid w:val="007F70A0"/>
    <w:rsid w:val="00810B3F"/>
    <w:rsid w:val="00821344"/>
    <w:rsid w:val="00824A68"/>
    <w:rsid w:val="00843435"/>
    <w:rsid w:val="00843F84"/>
    <w:rsid w:val="00861F71"/>
    <w:rsid w:val="00867F4B"/>
    <w:rsid w:val="00873004"/>
    <w:rsid w:val="0088095A"/>
    <w:rsid w:val="00896826"/>
    <w:rsid w:val="008A25EA"/>
    <w:rsid w:val="008B60CF"/>
    <w:rsid w:val="008C2A6B"/>
    <w:rsid w:val="008C622D"/>
    <w:rsid w:val="008D5EC0"/>
    <w:rsid w:val="008D6A66"/>
    <w:rsid w:val="008E5365"/>
    <w:rsid w:val="008E7E6C"/>
    <w:rsid w:val="008F02E4"/>
    <w:rsid w:val="0091780A"/>
    <w:rsid w:val="00922A6E"/>
    <w:rsid w:val="00924850"/>
    <w:rsid w:val="00932837"/>
    <w:rsid w:val="00933013"/>
    <w:rsid w:val="009369E1"/>
    <w:rsid w:val="00942F95"/>
    <w:rsid w:val="00946806"/>
    <w:rsid w:val="00966B7C"/>
    <w:rsid w:val="00975FB5"/>
    <w:rsid w:val="009841D2"/>
    <w:rsid w:val="00985A18"/>
    <w:rsid w:val="009869F0"/>
    <w:rsid w:val="00994104"/>
    <w:rsid w:val="009A433F"/>
    <w:rsid w:val="009A4810"/>
    <w:rsid w:val="009B0CB3"/>
    <w:rsid w:val="009B1AA8"/>
    <w:rsid w:val="009B373B"/>
    <w:rsid w:val="009B4F6B"/>
    <w:rsid w:val="009B7A71"/>
    <w:rsid w:val="009C6497"/>
    <w:rsid w:val="009D0716"/>
    <w:rsid w:val="009D65A0"/>
    <w:rsid w:val="009E203C"/>
    <w:rsid w:val="009E3B5E"/>
    <w:rsid w:val="009F1C91"/>
    <w:rsid w:val="009F5A56"/>
    <w:rsid w:val="00A00BFE"/>
    <w:rsid w:val="00A01758"/>
    <w:rsid w:val="00A05164"/>
    <w:rsid w:val="00A17F01"/>
    <w:rsid w:val="00A248AF"/>
    <w:rsid w:val="00A2705D"/>
    <w:rsid w:val="00A332A6"/>
    <w:rsid w:val="00A3772C"/>
    <w:rsid w:val="00A40A4F"/>
    <w:rsid w:val="00A462E0"/>
    <w:rsid w:val="00A50C62"/>
    <w:rsid w:val="00A5121D"/>
    <w:rsid w:val="00A52458"/>
    <w:rsid w:val="00A56EED"/>
    <w:rsid w:val="00A57AE9"/>
    <w:rsid w:val="00A70359"/>
    <w:rsid w:val="00A760B2"/>
    <w:rsid w:val="00A7660D"/>
    <w:rsid w:val="00A83C50"/>
    <w:rsid w:val="00A8405F"/>
    <w:rsid w:val="00A963B3"/>
    <w:rsid w:val="00AA0403"/>
    <w:rsid w:val="00AA1E35"/>
    <w:rsid w:val="00AA6F23"/>
    <w:rsid w:val="00AB121C"/>
    <w:rsid w:val="00AC2009"/>
    <w:rsid w:val="00AE0F50"/>
    <w:rsid w:val="00AE32ED"/>
    <w:rsid w:val="00AF11D4"/>
    <w:rsid w:val="00AF3E22"/>
    <w:rsid w:val="00AF4852"/>
    <w:rsid w:val="00AF498F"/>
    <w:rsid w:val="00AF6090"/>
    <w:rsid w:val="00B17816"/>
    <w:rsid w:val="00B23559"/>
    <w:rsid w:val="00B243D8"/>
    <w:rsid w:val="00B26F6C"/>
    <w:rsid w:val="00B37AF2"/>
    <w:rsid w:val="00B424BA"/>
    <w:rsid w:val="00B47655"/>
    <w:rsid w:val="00B51AF9"/>
    <w:rsid w:val="00B51F35"/>
    <w:rsid w:val="00B53E0E"/>
    <w:rsid w:val="00B571F5"/>
    <w:rsid w:val="00B82C8C"/>
    <w:rsid w:val="00B9307F"/>
    <w:rsid w:val="00B97F1B"/>
    <w:rsid w:val="00BA137F"/>
    <w:rsid w:val="00BA1F0C"/>
    <w:rsid w:val="00BB2539"/>
    <w:rsid w:val="00BB7529"/>
    <w:rsid w:val="00BD3CE2"/>
    <w:rsid w:val="00BD5625"/>
    <w:rsid w:val="00BD5661"/>
    <w:rsid w:val="00BE3AA2"/>
    <w:rsid w:val="00C045D3"/>
    <w:rsid w:val="00C13C75"/>
    <w:rsid w:val="00C4296C"/>
    <w:rsid w:val="00C431F5"/>
    <w:rsid w:val="00C43954"/>
    <w:rsid w:val="00C50673"/>
    <w:rsid w:val="00C5157C"/>
    <w:rsid w:val="00C625EF"/>
    <w:rsid w:val="00C65072"/>
    <w:rsid w:val="00C7285F"/>
    <w:rsid w:val="00C72FFB"/>
    <w:rsid w:val="00C812C2"/>
    <w:rsid w:val="00C823D8"/>
    <w:rsid w:val="00C85FCC"/>
    <w:rsid w:val="00C90DB8"/>
    <w:rsid w:val="00C95707"/>
    <w:rsid w:val="00C96867"/>
    <w:rsid w:val="00CA2CB6"/>
    <w:rsid w:val="00CB240D"/>
    <w:rsid w:val="00CB3232"/>
    <w:rsid w:val="00CC4054"/>
    <w:rsid w:val="00CC4E6D"/>
    <w:rsid w:val="00CC5967"/>
    <w:rsid w:val="00CD32F2"/>
    <w:rsid w:val="00CD63F5"/>
    <w:rsid w:val="00CE2D19"/>
    <w:rsid w:val="00CF0746"/>
    <w:rsid w:val="00CF1194"/>
    <w:rsid w:val="00D1014D"/>
    <w:rsid w:val="00D108F8"/>
    <w:rsid w:val="00D20CE4"/>
    <w:rsid w:val="00D21BD1"/>
    <w:rsid w:val="00D31142"/>
    <w:rsid w:val="00D36AB9"/>
    <w:rsid w:val="00D45375"/>
    <w:rsid w:val="00D47BE5"/>
    <w:rsid w:val="00D64B51"/>
    <w:rsid w:val="00D71073"/>
    <w:rsid w:val="00D72161"/>
    <w:rsid w:val="00D76E88"/>
    <w:rsid w:val="00D77AE9"/>
    <w:rsid w:val="00D91818"/>
    <w:rsid w:val="00DB3279"/>
    <w:rsid w:val="00DC0C15"/>
    <w:rsid w:val="00DC26F9"/>
    <w:rsid w:val="00DC7243"/>
    <w:rsid w:val="00DD6E0B"/>
    <w:rsid w:val="00DE1C46"/>
    <w:rsid w:val="00DE1CFD"/>
    <w:rsid w:val="00DF6CE9"/>
    <w:rsid w:val="00E04ECF"/>
    <w:rsid w:val="00E05173"/>
    <w:rsid w:val="00E12DF5"/>
    <w:rsid w:val="00E2142F"/>
    <w:rsid w:val="00E239AC"/>
    <w:rsid w:val="00E25141"/>
    <w:rsid w:val="00E30DBF"/>
    <w:rsid w:val="00E32072"/>
    <w:rsid w:val="00E33097"/>
    <w:rsid w:val="00E43B30"/>
    <w:rsid w:val="00E46098"/>
    <w:rsid w:val="00E47639"/>
    <w:rsid w:val="00E507B5"/>
    <w:rsid w:val="00E5328F"/>
    <w:rsid w:val="00E558AA"/>
    <w:rsid w:val="00E61B39"/>
    <w:rsid w:val="00E61D02"/>
    <w:rsid w:val="00E66AAE"/>
    <w:rsid w:val="00E753BD"/>
    <w:rsid w:val="00E87B72"/>
    <w:rsid w:val="00EA31B4"/>
    <w:rsid w:val="00EA401B"/>
    <w:rsid w:val="00EB584F"/>
    <w:rsid w:val="00EC17AF"/>
    <w:rsid w:val="00ED3422"/>
    <w:rsid w:val="00ED5D19"/>
    <w:rsid w:val="00ED68E4"/>
    <w:rsid w:val="00ED78A2"/>
    <w:rsid w:val="00EE52FA"/>
    <w:rsid w:val="00EF2982"/>
    <w:rsid w:val="00EF36DF"/>
    <w:rsid w:val="00F04F5C"/>
    <w:rsid w:val="00F06178"/>
    <w:rsid w:val="00F11882"/>
    <w:rsid w:val="00F17BC2"/>
    <w:rsid w:val="00F21672"/>
    <w:rsid w:val="00F24375"/>
    <w:rsid w:val="00F30E66"/>
    <w:rsid w:val="00F3160B"/>
    <w:rsid w:val="00F35808"/>
    <w:rsid w:val="00F374E2"/>
    <w:rsid w:val="00F45FCC"/>
    <w:rsid w:val="00F549C4"/>
    <w:rsid w:val="00F6036E"/>
    <w:rsid w:val="00F64648"/>
    <w:rsid w:val="00F65F3A"/>
    <w:rsid w:val="00F71185"/>
    <w:rsid w:val="00F8297F"/>
    <w:rsid w:val="00F8320E"/>
    <w:rsid w:val="00F90645"/>
    <w:rsid w:val="00F93399"/>
    <w:rsid w:val="00F96735"/>
    <w:rsid w:val="00FA6B26"/>
    <w:rsid w:val="00FB64A5"/>
    <w:rsid w:val="00FC0B4F"/>
    <w:rsid w:val="00FC2A3D"/>
    <w:rsid w:val="00FD1C57"/>
    <w:rsid w:val="00FD215B"/>
    <w:rsid w:val="00FD24D2"/>
    <w:rsid w:val="00FD5C39"/>
    <w:rsid w:val="00FE052F"/>
    <w:rsid w:val="00FF5C80"/>
    <w:rsid w:val="00FF6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3D8"/>
    <w:rPr>
      <w:lang w:val="ru-RU" w:eastAsia="ru-RU"/>
    </w:rPr>
  </w:style>
  <w:style w:type="paragraph" w:styleId="Heading1">
    <w:name w:val="heading 1"/>
    <w:basedOn w:val="Normal"/>
    <w:next w:val="Normal"/>
    <w:link w:val="Heading1Char"/>
    <w:qFormat/>
    <w:rsid w:val="00B243D8"/>
    <w:pPr>
      <w:keepNext/>
      <w:jc w:val="center"/>
      <w:outlineLvl w:val="0"/>
    </w:pPr>
    <w:rPr>
      <w:sz w:val="28"/>
    </w:rPr>
  </w:style>
  <w:style w:type="paragraph" w:styleId="Heading3">
    <w:name w:val="heading 3"/>
    <w:basedOn w:val="Normal"/>
    <w:next w:val="Normal"/>
    <w:qFormat/>
    <w:rsid w:val="00B243D8"/>
    <w:pPr>
      <w:keepNext/>
      <w:jc w:val="center"/>
      <w:outlineLvl w:val="2"/>
    </w:pPr>
    <w:rPr>
      <w:sz w:val="24"/>
      <w:lang w:val="ro-RO"/>
    </w:rPr>
  </w:style>
  <w:style w:type="paragraph" w:styleId="Heading4">
    <w:name w:val="heading 4"/>
    <w:basedOn w:val="Normal"/>
    <w:next w:val="Normal"/>
    <w:qFormat/>
    <w:rsid w:val="00B243D8"/>
    <w:pPr>
      <w:keepNext/>
      <w:ind w:firstLine="720"/>
      <w:jc w:val="center"/>
      <w:outlineLvl w:val="3"/>
    </w:pPr>
    <w:rPr>
      <w:b/>
      <w:sz w:val="28"/>
      <w:lang w:val="ro-RO"/>
    </w:rPr>
  </w:style>
  <w:style w:type="paragraph" w:styleId="Heading5">
    <w:name w:val="heading 5"/>
    <w:basedOn w:val="Normal"/>
    <w:next w:val="Normal"/>
    <w:qFormat/>
    <w:rsid w:val="00B243D8"/>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591C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243D8"/>
    <w:pPr>
      <w:ind w:firstLine="720"/>
      <w:jc w:val="both"/>
    </w:pPr>
    <w:rPr>
      <w:sz w:val="28"/>
    </w:rPr>
  </w:style>
  <w:style w:type="paragraph" w:styleId="BodyText">
    <w:name w:val="Body Text"/>
    <w:basedOn w:val="Normal"/>
    <w:rsid w:val="00B243D8"/>
    <w:pPr>
      <w:ind w:right="-766"/>
      <w:jc w:val="both"/>
    </w:pPr>
    <w:rPr>
      <w:sz w:val="28"/>
    </w:rPr>
  </w:style>
  <w:style w:type="paragraph" w:styleId="BodyTextIndent2">
    <w:name w:val="Body Text Indent 2"/>
    <w:basedOn w:val="Normal"/>
    <w:link w:val="BodyTextIndent2Char"/>
    <w:rsid w:val="00B243D8"/>
    <w:pPr>
      <w:ind w:right="-766" w:firstLine="720"/>
      <w:jc w:val="center"/>
    </w:pPr>
    <w:rPr>
      <w:sz w:val="28"/>
    </w:rPr>
  </w:style>
  <w:style w:type="character" w:customStyle="1" w:styleId="sttart">
    <w:name w:val="st_tart"/>
    <w:basedOn w:val="DefaultParagraphFont"/>
    <w:rsid w:val="00B243D8"/>
  </w:style>
  <w:style w:type="character" w:customStyle="1" w:styleId="sttlitera">
    <w:name w:val="st_tlitera"/>
    <w:basedOn w:val="DefaultParagraphFont"/>
    <w:rsid w:val="00B243D8"/>
  </w:style>
  <w:style w:type="character" w:customStyle="1" w:styleId="Heading1Char">
    <w:name w:val="Heading 1 Char"/>
    <w:link w:val="Heading1"/>
    <w:rsid w:val="00B243D8"/>
    <w:rPr>
      <w:sz w:val="28"/>
      <w:lang w:val="ru-RU" w:eastAsia="ru-RU" w:bidi="ar-SA"/>
    </w:rPr>
  </w:style>
  <w:style w:type="character" w:customStyle="1" w:styleId="BodyTextIndent2Char">
    <w:name w:val="Body Text Indent 2 Char"/>
    <w:link w:val="BodyTextIndent2"/>
    <w:rsid w:val="00B243D8"/>
    <w:rPr>
      <w:sz w:val="28"/>
      <w:lang w:val="ru-RU" w:eastAsia="ru-RU" w:bidi="ar-SA"/>
    </w:rPr>
  </w:style>
  <w:style w:type="paragraph" w:customStyle="1" w:styleId="1">
    <w:name w:val="Абзац списка1"/>
    <w:basedOn w:val="Normal"/>
    <w:uiPriority w:val="34"/>
    <w:qFormat/>
    <w:rsid w:val="00EF36DF"/>
    <w:pPr>
      <w:ind w:left="708"/>
    </w:pPr>
  </w:style>
  <w:style w:type="character" w:customStyle="1" w:styleId="s1">
    <w:name w:val="s1"/>
    <w:rsid w:val="00F71185"/>
  </w:style>
  <w:style w:type="table" w:styleId="TableGrid">
    <w:name w:val="Table Grid"/>
    <w:basedOn w:val="TableNormal"/>
    <w:rsid w:val="009D07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B6ACC"/>
    <w:pPr>
      <w:tabs>
        <w:tab w:val="center" w:pos="4677"/>
        <w:tab w:val="right" w:pos="9355"/>
      </w:tabs>
    </w:pPr>
  </w:style>
  <w:style w:type="character" w:styleId="PageNumber">
    <w:name w:val="page number"/>
    <w:basedOn w:val="DefaultParagraphFont"/>
    <w:rsid w:val="007B6ACC"/>
  </w:style>
  <w:style w:type="paragraph" w:styleId="Footer">
    <w:name w:val="footer"/>
    <w:basedOn w:val="Normal"/>
    <w:rsid w:val="007B6ACC"/>
    <w:pPr>
      <w:tabs>
        <w:tab w:val="center" w:pos="4677"/>
        <w:tab w:val="right" w:pos="9355"/>
      </w:tabs>
    </w:pPr>
  </w:style>
  <w:style w:type="paragraph" w:customStyle="1" w:styleId="CharChar2">
    <w:name w:val="Char Char2"/>
    <w:basedOn w:val="Normal"/>
    <w:rsid w:val="0026602C"/>
    <w:pPr>
      <w:spacing w:after="160" w:line="240" w:lineRule="exact"/>
    </w:pPr>
    <w:rPr>
      <w:rFonts w:ascii="Arial" w:eastAsia="Batang" w:hAnsi="Arial" w:cs="Arial"/>
      <w:lang w:val="en-US" w:eastAsia="en-US"/>
    </w:rPr>
  </w:style>
  <w:style w:type="paragraph" w:styleId="ListParagraph">
    <w:name w:val="List Paragraph"/>
    <w:basedOn w:val="Normal"/>
    <w:link w:val="ListParagraphChar"/>
    <w:uiPriority w:val="34"/>
    <w:qFormat/>
    <w:rsid w:val="006235F7"/>
    <w:pPr>
      <w:ind w:left="720"/>
      <w:jc w:val="both"/>
    </w:pPr>
    <w:rPr>
      <w:rFonts w:eastAsia="PMingLiU"/>
      <w:lang w:val="ro-RO"/>
    </w:rPr>
  </w:style>
  <w:style w:type="character" w:customStyle="1" w:styleId="ListParagraphChar">
    <w:name w:val="List Paragraph Char"/>
    <w:link w:val="ListParagraph"/>
    <w:uiPriority w:val="34"/>
    <w:locked/>
    <w:rsid w:val="00FA6B26"/>
    <w:rPr>
      <w:rFonts w:eastAsia="PMingLiU"/>
      <w:lang w:val="ro-RO" w:eastAsia="ru-RU"/>
    </w:rPr>
  </w:style>
  <w:style w:type="paragraph" w:customStyle="1" w:styleId="Default">
    <w:name w:val="Default"/>
    <w:rsid w:val="00AA1E35"/>
    <w:pPr>
      <w:autoSpaceDE w:val="0"/>
      <w:autoSpaceDN w:val="0"/>
      <w:adjustRightInd w:val="0"/>
    </w:pPr>
    <w:rPr>
      <w:rFonts w:eastAsia="Calibri"/>
      <w:color w:val="000000"/>
      <w:sz w:val="24"/>
      <w:szCs w:val="24"/>
      <w:lang w:val="ru-RU"/>
    </w:rPr>
  </w:style>
  <w:style w:type="character" w:styleId="Emphasis">
    <w:name w:val="Emphasis"/>
    <w:uiPriority w:val="20"/>
    <w:qFormat/>
    <w:rsid w:val="00AA1E35"/>
    <w:rPr>
      <w:i/>
      <w:iCs/>
    </w:rPr>
  </w:style>
  <w:style w:type="paragraph" w:customStyle="1" w:styleId="rg">
    <w:name w:val="rg"/>
    <w:basedOn w:val="Normal"/>
    <w:rsid w:val="00C7285F"/>
    <w:pPr>
      <w:jc w:val="right"/>
    </w:pPr>
    <w:rPr>
      <w:sz w:val="24"/>
      <w:szCs w:val="24"/>
    </w:rPr>
  </w:style>
  <w:style w:type="character" w:styleId="Hyperlink">
    <w:name w:val="Hyperlink"/>
    <w:basedOn w:val="DefaultParagraphFont"/>
    <w:rsid w:val="002B6FEF"/>
    <w:rPr>
      <w:color w:val="0000FF"/>
      <w:u w:val="single"/>
    </w:rPr>
  </w:style>
  <w:style w:type="character" w:customStyle="1" w:styleId="Heading8Char">
    <w:name w:val="Heading 8 Char"/>
    <w:basedOn w:val="DefaultParagraphFont"/>
    <w:link w:val="Heading8"/>
    <w:semiHidden/>
    <w:rsid w:val="00591C8F"/>
    <w:rPr>
      <w:rFonts w:asciiTheme="majorHAnsi" w:eastAsiaTheme="majorEastAsia" w:hAnsiTheme="majorHAnsi" w:cstheme="majorBidi"/>
      <w:color w:val="404040" w:themeColor="text1" w:themeTint="BF"/>
      <w:lang w:val="ru-RU" w:eastAsia="ru-RU"/>
    </w:rPr>
  </w:style>
  <w:style w:type="paragraph" w:customStyle="1" w:styleId="tt">
    <w:name w:val="tt"/>
    <w:basedOn w:val="Normal"/>
    <w:rsid w:val="00591C8F"/>
    <w:pPr>
      <w:jc w:val="center"/>
    </w:pPr>
    <w:rPr>
      <w:b/>
      <w:bCs/>
      <w:sz w:val="24"/>
      <w:szCs w:val="24"/>
    </w:rPr>
  </w:style>
  <w:style w:type="paragraph" w:customStyle="1" w:styleId="news">
    <w:name w:val="news"/>
    <w:basedOn w:val="Normal"/>
    <w:rsid w:val="00591C8F"/>
    <w:rPr>
      <w:rFonts w:ascii="Arial" w:hAnsi="Arial" w:cs="Arial"/>
    </w:rPr>
  </w:style>
  <w:style w:type="paragraph" w:styleId="NormalWeb">
    <w:name w:val="Normal (Web)"/>
    <w:basedOn w:val="Normal"/>
    <w:link w:val="NormalWebChar"/>
    <w:uiPriority w:val="99"/>
    <w:unhideWhenUsed/>
    <w:rsid w:val="00A57AE9"/>
    <w:pPr>
      <w:ind w:firstLine="567"/>
      <w:jc w:val="both"/>
    </w:pPr>
    <w:rPr>
      <w:sz w:val="24"/>
      <w:szCs w:val="24"/>
      <w:lang w:val="en-US" w:eastAsia="en-US"/>
    </w:rPr>
  </w:style>
  <w:style w:type="character" w:customStyle="1" w:styleId="NormalWebChar">
    <w:name w:val="Normal (Web) Char"/>
    <w:basedOn w:val="DefaultParagraphFont"/>
    <w:link w:val="NormalWeb"/>
    <w:uiPriority w:val="99"/>
    <w:rsid w:val="00A57AE9"/>
    <w:rPr>
      <w:sz w:val="24"/>
      <w:szCs w:val="24"/>
    </w:rPr>
  </w:style>
  <w:style w:type="paragraph" w:customStyle="1" w:styleId="cp">
    <w:name w:val="cp"/>
    <w:basedOn w:val="Normal"/>
    <w:rsid w:val="00A57AE9"/>
    <w:pPr>
      <w:jc w:val="center"/>
    </w:pPr>
    <w:rP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649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ticip.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y.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049D-A44F-445F-B241-BC477512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2</Pages>
  <Words>972</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Anexă</vt:lpstr>
      <vt:lpstr>Anexă</vt:lpstr>
    </vt:vector>
  </TitlesOfParts>
  <Company/>
  <LinksUpToDate>false</LinksUpToDate>
  <CharactersWithSpaces>6506</CharactersWithSpaces>
  <SharedDoc>false</SharedDoc>
  <HLinks>
    <vt:vector size="12" baseType="variant">
      <vt:variant>
        <vt:i4>7143478</vt:i4>
      </vt:variant>
      <vt:variant>
        <vt:i4>3</vt:i4>
      </vt:variant>
      <vt:variant>
        <vt:i4>0</vt:i4>
      </vt:variant>
      <vt:variant>
        <vt:i4>5</vt:i4>
      </vt:variant>
      <vt:variant>
        <vt:lpwstr>http://www.army.md/</vt:lpwstr>
      </vt:variant>
      <vt:variant>
        <vt:lpwstr/>
      </vt:variant>
      <vt:variant>
        <vt:i4>2228266</vt:i4>
      </vt:variant>
      <vt:variant>
        <vt:i4>0</vt:i4>
      </vt:variant>
      <vt:variant>
        <vt:i4>0</vt:i4>
      </vt:variant>
      <vt:variant>
        <vt:i4>5</vt:i4>
      </vt:variant>
      <vt:variant>
        <vt:lpwstr>http://www.particip.gov.md/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subject/>
  <dc:creator>victor.pirtina</dc:creator>
  <cp:keywords/>
  <dc:description/>
  <cp:lastModifiedBy>vasile.bzovii</cp:lastModifiedBy>
  <cp:revision>17</cp:revision>
  <cp:lastPrinted>2018-03-28T08:16:00Z</cp:lastPrinted>
  <dcterms:created xsi:type="dcterms:W3CDTF">2014-06-27T13:35:00Z</dcterms:created>
  <dcterms:modified xsi:type="dcterms:W3CDTF">2018-05-02T14:22:00Z</dcterms:modified>
</cp:coreProperties>
</file>