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A94" w:rsidRPr="00931C55" w:rsidRDefault="005B6A94" w:rsidP="005B6A94">
      <w:pPr>
        <w:spacing w:after="0"/>
        <w:mirrorIndents/>
        <w:jc w:val="center"/>
        <w:rPr>
          <w:rFonts w:ascii="Times New Roman" w:hAnsi="Times New Roman"/>
          <w:b/>
          <w:sz w:val="28"/>
          <w:szCs w:val="28"/>
          <w:lang w:val="ro-MO"/>
        </w:rPr>
      </w:pPr>
      <w:r w:rsidRPr="00931C55">
        <w:rPr>
          <w:rFonts w:ascii="Times New Roman" w:hAnsi="Times New Roman"/>
          <w:b/>
          <w:sz w:val="28"/>
          <w:szCs w:val="28"/>
          <w:lang w:val="ro-MO"/>
        </w:rPr>
        <w:t>NOTĂ INFORMATIVĂ</w:t>
      </w:r>
    </w:p>
    <w:p w:rsidR="005B6A94" w:rsidRPr="00931C55" w:rsidRDefault="005B6A94" w:rsidP="00655063">
      <w:pPr>
        <w:pStyle w:val="NoSpacing"/>
        <w:jc w:val="center"/>
        <w:rPr>
          <w:rFonts w:ascii="Times New Roman" w:eastAsia="Times New Roman" w:hAnsi="Times New Roman" w:cs="Times New Roman"/>
          <w:b/>
          <w:i/>
          <w:sz w:val="28"/>
          <w:szCs w:val="28"/>
          <w:lang w:val="ro-MO"/>
        </w:rPr>
      </w:pPr>
      <w:r w:rsidRPr="00931C55">
        <w:rPr>
          <w:rFonts w:ascii="Times New Roman" w:hAnsi="Times New Roman" w:cs="Times New Roman"/>
          <w:b/>
          <w:i/>
          <w:sz w:val="28"/>
          <w:szCs w:val="28"/>
          <w:lang w:val="ro-MO"/>
        </w:rPr>
        <w:t>la proiectul hotărârii Guvernului „</w:t>
      </w:r>
      <w:r w:rsidR="007F1AE0" w:rsidRPr="00931C55">
        <w:rPr>
          <w:rFonts w:ascii="Times New Roman" w:eastAsia="Times New Roman" w:hAnsi="Times New Roman" w:cs="Times New Roman"/>
          <w:b/>
          <w:i/>
          <w:sz w:val="28"/>
          <w:szCs w:val="28"/>
          <w:lang w:val="ro-MO"/>
        </w:rPr>
        <w:t xml:space="preserve">Cu privire la </w:t>
      </w:r>
      <w:r w:rsidR="007F1AE0" w:rsidRPr="00931C55">
        <w:rPr>
          <w:rStyle w:val="docheader"/>
          <w:rFonts w:ascii="Times New Roman" w:hAnsi="Times New Roman" w:cs="Times New Roman"/>
          <w:b/>
          <w:bCs/>
          <w:i/>
          <w:sz w:val="28"/>
          <w:szCs w:val="28"/>
          <w:lang w:val="ro-MO"/>
        </w:rPr>
        <w:t>aprobarea stru</w:t>
      </w:r>
      <w:r w:rsidR="00050A0F" w:rsidRPr="00931C55">
        <w:rPr>
          <w:rStyle w:val="docheader"/>
          <w:rFonts w:ascii="Times New Roman" w:hAnsi="Times New Roman" w:cs="Times New Roman"/>
          <w:b/>
          <w:bCs/>
          <w:i/>
          <w:sz w:val="28"/>
          <w:szCs w:val="28"/>
          <w:lang w:val="ro-MO"/>
        </w:rPr>
        <w:t>cturii și efectivului-limită al</w:t>
      </w:r>
      <w:r w:rsidR="00655063" w:rsidRPr="00931C55">
        <w:rPr>
          <w:rFonts w:ascii="Times New Roman" w:eastAsia="Times New Roman" w:hAnsi="Times New Roman" w:cs="Times New Roman"/>
          <w:b/>
          <w:i/>
          <w:sz w:val="28"/>
          <w:szCs w:val="28"/>
          <w:lang w:val="ro-MO"/>
        </w:rPr>
        <w:t xml:space="preserve"> </w:t>
      </w:r>
      <w:r w:rsidR="007F1AE0" w:rsidRPr="00931C55">
        <w:rPr>
          <w:rFonts w:ascii="Times New Roman" w:eastAsia="Times New Roman" w:hAnsi="Times New Roman" w:cs="Times New Roman"/>
          <w:b/>
          <w:i/>
          <w:sz w:val="28"/>
          <w:szCs w:val="28"/>
          <w:lang w:val="ro-MO"/>
        </w:rPr>
        <w:t>Serviciului Prevenirea şi Combaterea Spălării Banilor</w:t>
      </w:r>
      <w:r w:rsidRPr="00931C55">
        <w:rPr>
          <w:rFonts w:ascii="Times New Roman" w:hAnsi="Times New Roman" w:cs="Times New Roman"/>
          <w:b/>
          <w:i/>
          <w:sz w:val="28"/>
          <w:szCs w:val="28"/>
          <w:lang w:val="ro-MO"/>
        </w:rPr>
        <w:t>”</w:t>
      </w:r>
    </w:p>
    <w:p w:rsidR="005B6A94" w:rsidRPr="00931C55" w:rsidRDefault="005B6A94" w:rsidP="005B6A94">
      <w:pPr>
        <w:spacing w:after="0"/>
        <w:mirrorIndents/>
        <w:jc w:val="center"/>
        <w:rPr>
          <w:rFonts w:ascii="Times New Roman" w:hAnsi="Times New Roman"/>
          <w:b/>
          <w:i/>
          <w:sz w:val="24"/>
          <w:szCs w:val="24"/>
          <w:lang w:val="ro-MO"/>
        </w:rPr>
      </w:pPr>
    </w:p>
    <w:tbl>
      <w:tblPr>
        <w:tblW w:w="9360" w:type="dxa"/>
        <w:tblInd w:w="18" w:type="dxa"/>
        <w:tblLook w:val="04A0" w:firstRow="1" w:lastRow="0" w:firstColumn="1" w:lastColumn="0" w:noHBand="0" w:noVBand="1"/>
      </w:tblPr>
      <w:tblGrid>
        <w:gridCol w:w="9360"/>
      </w:tblGrid>
      <w:tr w:rsidR="005B6A94" w:rsidRPr="00097217" w:rsidTr="002C3455">
        <w:tc>
          <w:tcPr>
            <w:tcW w:w="9360" w:type="dxa"/>
            <w:shd w:val="clear" w:color="auto" w:fill="D9D9D9"/>
          </w:tcPr>
          <w:p w:rsidR="005B6A94" w:rsidRPr="00931C55" w:rsidRDefault="005B6A94" w:rsidP="005B6A94">
            <w:pPr>
              <w:numPr>
                <w:ilvl w:val="0"/>
                <w:numId w:val="2"/>
              </w:numPr>
              <w:spacing w:after="120" w:line="259" w:lineRule="auto"/>
              <w:ind w:left="418"/>
              <w:mirrorIndents/>
              <w:jc w:val="both"/>
              <w:rPr>
                <w:rFonts w:ascii="Times New Roman" w:hAnsi="Times New Roman"/>
                <w:b/>
                <w:i/>
                <w:sz w:val="24"/>
                <w:szCs w:val="24"/>
                <w:lang w:val="ro-MO"/>
              </w:rPr>
            </w:pPr>
            <w:r w:rsidRPr="00931C55">
              <w:rPr>
                <w:rFonts w:ascii="Times New Roman" w:hAnsi="Times New Roman"/>
                <w:b/>
                <w:i/>
                <w:sz w:val="24"/>
                <w:szCs w:val="24"/>
                <w:lang w:val="ro-MO"/>
              </w:rPr>
              <w:t>Condițiile ce au impus elaborarea proiectului de act normativ și finalitățile urmărite</w:t>
            </w:r>
          </w:p>
        </w:tc>
      </w:tr>
      <w:tr w:rsidR="005B6A94" w:rsidRPr="00097217" w:rsidTr="002C3455">
        <w:tc>
          <w:tcPr>
            <w:tcW w:w="9360" w:type="dxa"/>
            <w:shd w:val="clear" w:color="auto" w:fill="auto"/>
          </w:tcPr>
          <w:p w:rsidR="005171ED" w:rsidRPr="00931C55" w:rsidRDefault="00392233" w:rsidP="00047B2F">
            <w:pPr>
              <w:pStyle w:val="NoSpacing"/>
              <w:ind w:firstLine="549"/>
              <w:jc w:val="both"/>
              <w:rPr>
                <w:rFonts w:ascii="Times New Roman" w:hAnsi="Times New Roman" w:cs="Times New Roman"/>
                <w:sz w:val="28"/>
                <w:szCs w:val="28"/>
                <w:lang w:val="ro-MO"/>
              </w:rPr>
            </w:pPr>
            <w:r w:rsidRPr="00931C55">
              <w:rPr>
                <w:rFonts w:ascii="Times New Roman" w:hAnsi="Times New Roman" w:cs="Times New Roman"/>
                <w:sz w:val="28"/>
                <w:szCs w:val="28"/>
                <w:lang w:val="ro-MO"/>
              </w:rPr>
              <w:t>La 22 decembrie 2017, Parla</w:t>
            </w:r>
            <w:r w:rsidR="001D746A" w:rsidRPr="00931C55">
              <w:rPr>
                <w:rFonts w:ascii="Times New Roman" w:hAnsi="Times New Roman" w:cs="Times New Roman"/>
                <w:sz w:val="28"/>
                <w:szCs w:val="28"/>
                <w:lang w:val="ro-MO"/>
              </w:rPr>
              <w:t>mentul a a</w:t>
            </w:r>
            <w:r w:rsidR="003B741B" w:rsidRPr="00931C55">
              <w:rPr>
                <w:rFonts w:ascii="Times New Roman" w:hAnsi="Times New Roman" w:cs="Times New Roman"/>
                <w:sz w:val="28"/>
                <w:szCs w:val="28"/>
                <w:lang w:val="ro-MO"/>
              </w:rPr>
              <w:t>dopt</w:t>
            </w:r>
            <w:r w:rsidR="00655063" w:rsidRPr="00931C55">
              <w:rPr>
                <w:rFonts w:ascii="Times New Roman" w:hAnsi="Times New Roman" w:cs="Times New Roman"/>
                <w:sz w:val="28"/>
                <w:szCs w:val="28"/>
                <w:lang w:val="ro-MO"/>
              </w:rPr>
              <w:t>at Legea nr.30</w:t>
            </w:r>
            <w:r w:rsidR="001D746A" w:rsidRPr="00931C55">
              <w:rPr>
                <w:rFonts w:ascii="Times New Roman" w:hAnsi="Times New Roman" w:cs="Times New Roman"/>
                <w:sz w:val="28"/>
                <w:szCs w:val="28"/>
                <w:lang w:val="ro-MO"/>
              </w:rPr>
              <w:t>8</w:t>
            </w:r>
            <w:r w:rsidR="00071442" w:rsidRPr="00931C55">
              <w:rPr>
                <w:rFonts w:ascii="Times New Roman" w:hAnsi="Times New Roman" w:cs="Times New Roman"/>
                <w:sz w:val="28"/>
                <w:szCs w:val="28"/>
                <w:lang w:val="ro-MO"/>
              </w:rPr>
              <w:t xml:space="preserve"> </w:t>
            </w:r>
            <w:r w:rsidR="00655063" w:rsidRPr="00931C55">
              <w:rPr>
                <w:rFonts w:ascii="Times New Roman" w:hAnsi="Times New Roman" w:cs="Times New Roman"/>
                <w:sz w:val="28"/>
                <w:szCs w:val="28"/>
                <w:lang w:val="ro-MO"/>
              </w:rPr>
              <w:t>cu privire la prevenirea și combaterea spălării banilor și finanțării terorismului</w:t>
            </w:r>
            <w:r w:rsidR="00C9270C" w:rsidRPr="00931C55">
              <w:rPr>
                <w:rFonts w:ascii="Times New Roman" w:hAnsi="Times New Roman" w:cs="Times New Roman"/>
                <w:sz w:val="28"/>
                <w:szCs w:val="28"/>
                <w:lang w:val="ro-MO"/>
              </w:rPr>
              <w:t>.</w:t>
            </w:r>
          </w:p>
          <w:p w:rsidR="00F066F5" w:rsidRPr="00931C55" w:rsidRDefault="00047B2F" w:rsidP="009914D6">
            <w:pPr>
              <w:pStyle w:val="NoSpacing"/>
              <w:ind w:firstLine="549"/>
              <w:jc w:val="both"/>
              <w:rPr>
                <w:rFonts w:ascii="Times New Roman" w:hAnsi="Times New Roman" w:cs="Times New Roman"/>
                <w:color w:val="000000"/>
                <w:sz w:val="28"/>
                <w:szCs w:val="28"/>
                <w:shd w:val="clear" w:color="auto" w:fill="FFFFFF"/>
                <w:lang w:val="ro-MO"/>
              </w:rPr>
            </w:pPr>
            <w:r w:rsidRPr="00931C55">
              <w:rPr>
                <w:rFonts w:ascii="Times New Roman" w:hAnsi="Times New Roman" w:cs="Times New Roman"/>
                <w:sz w:val="28"/>
                <w:szCs w:val="28"/>
                <w:lang w:val="ro-MO"/>
              </w:rPr>
              <w:t xml:space="preserve">Conform </w:t>
            </w:r>
            <w:r w:rsidR="00C9270C" w:rsidRPr="00931C55">
              <w:rPr>
                <w:rFonts w:ascii="Times New Roman" w:hAnsi="Times New Roman" w:cs="Times New Roman"/>
                <w:sz w:val="28"/>
                <w:szCs w:val="28"/>
                <w:lang w:val="ro-MO"/>
              </w:rPr>
              <w:t xml:space="preserve">art.18 alin.(1) din Legea nr.308/2017, </w:t>
            </w:r>
            <w:r w:rsidR="00C9270C" w:rsidRPr="00931C55">
              <w:rPr>
                <w:rFonts w:ascii="Times New Roman" w:hAnsi="Times New Roman" w:cs="Times New Roman"/>
                <w:color w:val="000000"/>
                <w:sz w:val="28"/>
                <w:szCs w:val="28"/>
                <w:shd w:val="clear" w:color="auto" w:fill="FFFFFF"/>
                <w:lang w:val="ro-MO"/>
              </w:rPr>
              <w:t xml:space="preserve">Serviciul Prevenirea şi Combaterea Spălării Banilor </w:t>
            </w:r>
            <w:r w:rsidR="009914D6" w:rsidRPr="00931C55">
              <w:rPr>
                <w:rFonts w:ascii="Times New Roman" w:hAnsi="Times New Roman" w:cs="Times New Roman"/>
                <w:color w:val="000000"/>
                <w:sz w:val="28"/>
                <w:szCs w:val="28"/>
                <w:shd w:val="clear" w:color="auto" w:fill="FFFFFF"/>
                <w:lang w:val="ro-MO"/>
              </w:rPr>
              <w:t>(în continuare – S</w:t>
            </w:r>
            <w:r w:rsidR="003844A5">
              <w:rPr>
                <w:rFonts w:ascii="Times New Roman" w:hAnsi="Times New Roman" w:cs="Times New Roman"/>
                <w:color w:val="000000"/>
                <w:sz w:val="28"/>
                <w:szCs w:val="28"/>
                <w:shd w:val="clear" w:color="auto" w:fill="FFFFFF"/>
                <w:lang w:val="ro-MO"/>
              </w:rPr>
              <w:t>PCSB</w:t>
            </w:r>
            <w:r w:rsidR="009914D6" w:rsidRPr="00931C55">
              <w:rPr>
                <w:rFonts w:ascii="Times New Roman" w:hAnsi="Times New Roman" w:cs="Times New Roman"/>
                <w:color w:val="000000"/>
                <w:sz w:val="28"/>
                <w:szCs w:val="28"/>
                <w:shd w:val="clear" w:color="auto" w:fill="FFFFFF"/>
                <w:lang w:val="ro-MO"/>
              </w:rPr>
              <w:t xml:space="preserve">) </w:t>
            </w:r>
            <w:r w:rsidR="00C9270C" w:rsidRPr="00931C55">
              <w:rPr>
                <w:rFonts w:ascii="Times New Roman" w:hAnsi="Times New Roman" w:cs="Times New Roman"/>
                <w:color w:val="000000"/>
                <w:sz w:val="28"/>
                <w:szCs w:val="28"/>
                <w:shd w:val="clear" w:color="auto" w:fill="FFFFFF"/>
                <w:lang w:val="ro-MO"/>
              </w:rPr>
              <w:t>este o autoritate publică independentă în raport cu celelalte persoane juridice şi fizice, indiferent de tipul de proprietate şi de forma juridică de organizare, şi funcţionează ca organ central de specialitate autonom şi independent.</w:t>
            </w:r>
          </w:p>
          <w:p w:rsidR="009914D6" w:rsidRPr="00931C55" w:rsidRDefault="009914D6" w:rsidP="003844A5">
            <w:pPr>
              <w:pStyle w:val="NoSpacing"/>
              <w:ind w:firstLine="549"/>
              <w:jc w:val="both"/>
              <w:rPr>
                <w:rFonts w:ascii="Times New Roman" w:hAnsi="Times New Roman" w:cs="Times New Roman"/>
                <w:sz w:val="28"/>
                <w:szCs w:val="28"/>
                <w:lang w:val="ro-MO"/>
              </w:rPr>
            </w:pPr>
            <w:r w:rsidRPr="00931C55">
              <w:rPr>
                <w:rFonts w:ascii="Times New Roman" w:hAnsi="Times New Roman" w:cs="Times New Roman"/>
                <w:color w:val="000000"/>
                <w:sz w:val="28"/>
                <w:szCs w:val="28"/>
                <w:shd w:val="clear" w:color="auto" w:fill="FFFFFF"/>
                <w:lang w:val="ro-MO"/>
              </w:rPr>
              <w:t>Iar,</w:t>
            </w:r>
            <w:r w:rsidR="0090363D" w:rsidRPr="00931C55">
              <w:rPr>
                <w:rFonts w:ascii="Times New Roman" w:hAnsi="Times New Roman" w:cs="Times New Roman"/>
                <w:color w:val="000000"/>
                <w:sz w:val="28"/>
                <w:szCs w:val="28"/>
                <w:shd w:val="clear" w:color="auto" w:fill="FFFFFF"/>
                <w:lang w:val="ro-MO"/>
              </w:rPr>
              <w:t xml:space="preserve"> potrivit </w:t>
            </w:r>
            <w:r w:rsidR="00155DCA" w:rsidRPr="00931C55">
              <w:rPr>
                <w:rFonts w:ascii="Times New Roman" w:hAnsi="Times New Roman" w:cs="Times New Roman"/>
                <w:color w:val="000000"/>
                <w:sz w:val="28"/>
                <w:szCs w:val="28"/>
                <w:shd w:val="clear" w:color="auto" w:fill="FFFFFF"/>
                <w:lang w:val="ro-MO"/>
              </w:rPr>
              <w:t xml:space="preserve">art.18 </w:t>
            </w:r>
            <w:r w:rsidR="0090363D" w:rsidRPr="00931C55">
              <w:rPr>
                <w:rFonts w:ascii="Times New Roman" w:hAnsi="Times New Roman" w:cs="Times New Roman"/>
                <w:color w:val="000000"/>
                <w:sz w:val="28"/>
                <w:szCs w:val="28"/>
                <w:shd w:val="clear" w:color="auto" w:fill="FFFFFF"/>
                <w:lang w:val="ro-MO"/>
              </w:rPr>
              <w:t xml:space="preserve">alin.(6) și art.37 alin.(6) </w:t>
            </w:r>
            <w:proofErr w:type="spellStart"/>
            <w:r w:rsidR="0090363D" w:rsidRPr="00931C55">
              <w:rPr>
                <w:rFonts w:ascii="Times New Roman" w:hAnsi="Times New Roman" w:cs="Times New Roman"/>
                <w:color w:val="000000"/>
                <w:sz w:val="28"/>
                <w:szCs w:val="28"/>
                <w:shd w:val="clear" w:color="auto" w:fill="FFFFFF"/>
                <w:lang w:val="ro-MO"/>
              </w:rPr>
              <w:t>lit.</w:t>
            </w:r>
            <w:r w:rsidR="00155DCA" w:rsidRPr="00931C55">
              <w:rPr>
                <w:rFonts w:ascii="Times New Roman" w:hAnsi="Times New Roman" w:cs="Times New Roman"/>
                <w:color w:val="000000"/>
                <w:sz w:val="28"/>
                <w:szCs w:val="28"/>
                <w:shd w:val="clear" w:color="auto" w:fill="FFFFFF"/>
                <w:lang w:val="ro-MO"/>
              </w:rPr>
              <w:t>b</w:t>
            </w:r>
            <w:proofErr w:type="spellEnd"/>
            <w:r w:rsidR="00155DCA" w:rsidRPr="00931C55">
              <w:rPr>
                <w:rFonts w:ascii="Times New Roman" w:hAnsi="Times New Roman" w:cs="Times New Roman"/>
                <w:color w:val="000000"/>
                <w:sz w:val="28"/>
                <w:szCs w:val="28"/>
                <w:shd w:val="clear" w:color="auto" w:fill="FFFFFF"/>
                <w:lang w:val="ro-MO"/>
              </w:rPr>
              <w:t>) din Legea nr.308/2017, s</w:t>
            </w:r>
            <w:r w:rsidRPr="00931C55">
              <w:rPr>
                <w:rFonts w:ascii="Times New Roman" w:hAnsi="Times New Roman" w:cs="Times New Roman"/>
                <w:color w:val="000000"/>
                <w:sz w:val="28"/>
                <w:szCs w:val="28"/>
                <w:shd w:val="clear" w:color="auto" w:fill="FFFFFF"/>
                <w:lang w:val="ro-MO"/>
              </w:rPr>
              <w:t>tructura şi efectivul-limită ale S</w:t>
            </w:r>
            <w:r w:rsidR="003844A5">
              <w:rPr>
                <w:rFonts w:ascii="Times New Roman" w:hAnsi="Times New Roman" w:cs="Times New Roman"/>
                <w:color w:val="000000"/>
                <w:sz w:val="28"/>
                <w:szCs w:val="28"/>
                <w:shd w:val="clear" w:color="auto" w:fill="FFFFFF"/>
                <w:lang w:val="ro-MO"/>
              </w:rPr>
              <w:t>PCSB</w:t>
            </w:r>
            <w:r w:rsidRPr="00931C55">
              <w:rPr>
                <w:rFonts w:ascii="Times New Roman" w:hAnsi="Times New Roman" w:cs="Times New Roman"/>
                <w:color w:val="000000"/>
                <w:sz w:val="28"/>
                <w:szCs w:val="28"/>
                <w:shd w:val="clear" w:color="auto" w:fill="FFFFFF"/>
                <w:lang w:val="ro-MO"/>
              </w:rPr>
              <w:t xml:space="preserve"> se aprobă de Guvern, la propunerea directorului Serviciului.</w:t>
            </w:r>
          </w:p>
        </w:tc>
      </w:tr>
      <w:tr w:rsidR="005B6A94" w:rsidRPr="00097217" w:rsidTr="002C3455">
        <w:tc>
          <w:tcPr>
            <w:tcW w:w="9360" w:type="dxa"/>
            <w:shd w:val="clear" w:color="auto" w:fill="D9D9D9"/>
          </w:tcPr>
          <w:p w:rsidR="005B6A94" w:rsidRPr="00931C55" w:rsidRDefault="005B6A94" w:rsidP="005B6A94">
            <w:pPr>
              <w:numPr>
                <w:ilvl w:val="0"/>
                <w:numId w:val="2"/>
              </w:numPr>
              <w:spacing w:after="80" w:line="259" w:lineRule="auto"/>
              <w:ind w:left="414"/>
              <w:mirrorIndents/>
              <w:jc w:val="both"/>
              <w:rPr>
                <w:rFonts w:ascii="Times New Roman" w:hAnsi="Times New Roman"/>
                <w:b/>
                <w:sz w:val="24"/>
                <w:szCs w:val="24"/>
                <w:lang w:val="ro-MO"/>
              </w:rPr>
            </w:pPr>
            <w:r w:rsidRPr="00931C55">
              <w:rPr>
                <w:rFonts w:ascii="Times New Roman" w:hAnsi="Times New Roman"/>
                <w:b/>
                <w:i/>
                <w:sz w:val="24"/>
                <w:szCs w:val="24"/>
                <w:lang w:val="ro-MO"/>
              </w:rPr>
              <w:t xml:space="preserve">Principalele prevederi, locul actului în sistemul de acte normative, evidenţierea elementelor noi </w:t>
            </w:r>
          </w:p>
        </w:tc>
      </w:tr>
      <w:tr w:rsidR="005B6A94" w:rsidRPr="00097217" w:rsidTr="002C3455">
        <w:tc>
          <w:tcPr>
            <w:tcW w:w="9360" w:type="dxa"/>
            <w:shd w:val="clear" w:color="auto" w:fill="auto"/>
          </w:tcPr>
          <w:p w:rsidR="008E6E14" w:rsidRPr="00931C55" w:rsidRDefault="00EA7866" w:rsidP="008E6E14">
            <w:pPr>
              <w:pStyle w:val="NoSpacing"/>
              <w:ind w:firstLine="549"/>
              <w:jc w:val="both"/>
              <w:rPr>
                <w:rFonts w:ascii="Times New Roman" w:hAnsi="Times New Roman" w:cs="Times New Roman"/>
                <w:i/>
                <w:sz w:val="28"/>
                <w:szCs w:val="28"/>
                <w:lang w:val="ro-MO"/>
              </w:rPr>
            </w:pPr>
            <w:r w:rsidRPr="00931C55">
              <w:rPr>
                <w:rFonts w:ascii="Times New Roman" w:hAnsi="Times New Roman" w:cs="Times New Roman"/>
                <w:sz w:val="28"/>
                <w:szCs w:val="28"/>
                <w:lang w:val="ro-MO"/>
              </w:rPr>
              <w:t xml:space="preserve">În scopul </w:t>
            </w:r>
            <w:r w:rsidR="00155DCA" w:rsidRPr="00931C55">
              <w:rPr>
                <w:rFonts w:ascii="Times New Roman" w:hAnsi="Times New Roman" w:cs="Times New Roman"/>
                <w:sz w:val="28"/>
                <w:szCs w:val="28"/>
                <w:lang w:val="ro-MO"/>
              </w:rPr>
              <w:t xml:space="preserve">executării prevederilor </w:t>
            </w:r>
            <w:r w:rsidR="00155DCA" w:rsidRPr="00931C55">
              <w:rPr>
                <w:rFonts w:ascii="Times New Roman" w:hAnsi="Times New Roman" w:cs="Times New Roman"/>
                <w:color w:val="000000"/>
                <w:sz w:val="28"/>
                <w:szCs w:val="28"/>
                <w:shd w:val="clear" w:color="auto" w:fill="FFFFFF"/>
                <w:lang w:val="ro-MO"/>
              </w:rPr>
              <w:t xml:space="preserve">art.18 alin.(6) și art.37 alin.(6) </w:t>
            </w:r>
            <w:proofErr w:type="spellStart"/>
            <w:r w:rsidR="00155DCA" w:rsidRPr="00931C55">
              <w:rPr>
                <w:rFonts w:ascii="Times New Roman" w:hAnsi="Times New Roman" w:cs="Times New Roman"/>
                <w:color w:val="000000"/>
                <w:sz w:val="28"/>
                <w:szCs w:val="28"/>
                <w:shd w:val="clear" w:color="auto" w:fill="FFFFFF"/>
                <w:lang w:val="ro-MO"/>
              </w:rPr>
              <w:t>lit.b</w:t>
            </w:r>
            <w:proofErr w:type="spellEnd"/>
            <w:r w:rsidR="00155DCA" w:rsidRPr="00931C55">
              <w:rPr>
                <w:rFonts w:ascii="Times New Roman" w:hAnsi="Times New Roman" w:cs="Times New Roman"/>
                <w:color w:val="000000"/>
                <w:sz w:val="28"/>
                <w:szCs w:val="28"/>
                <w:shd w:val="clear" w:color="auto" w:fill="FFFFFF"/>
                <w:lang w:val="ro-MO"/>
              </w:rPr>
              <w:t>) din Legea nr.308/2017</w:t>
            </w:r>
            <w:r w:rsidRPr="00931C55">
              <w:rPr>
                <w:rFonts w:ascii="Times New Roman" w:hAnsi="Times New Roman" w:cs="Times New Roman"/>
                <w:sz w:val="28"/>
                <w:szCs w:val="28"/>
                <w:lang w:val="ro-MO"/>
              </w:rPr>
              <w:t xml:space="preserve"> a fost elaborat proiectul </w:t>
            </w:r>
            <w:r w:rsidR="00050A0F" w:rsidRPr="00931C55">
              <w:rPr>
                <w:rFonts w:ascii="Times New Roman" w:hAnsi="Times New Roman" w:cs="Times New Roman"/>
                <w:i/>
                <w:sz w:val="28"/>
                <w:szCs w:val="28"/>
                <w:lang w:val="ro-MO"/>
              </w:rPr>
              <w:t>hotărârii Guvernului ,,</w:t>
            </w:r>
            <w:r w:rsidR="00050A0F" w:rsidRPr="00931C55">
              <w:rPr>
                <w:rFonts w:ascii="Times New Roman" w:eastAsia="Times New Roman" w:hAnsi="Times New Roman" w:cs="Times New Roman"/>
                <w:i/>
                <w:sz w:val="28"/>
                <w:szCs w:val="28"/>
                <w:lang w:val="ro-MO"/>
              </w:rPr>
              <w:t xml:space="preserve">Cu privire la </w:t>
            </w:r>
            <w:r w:rsidR="00050A0F" w:rsidRPr="00931C55">
              <w:rPr>
                <w:rStyle w:val="docheader"/>
                <w:rFonts w:ascii="Times New Roman" w:hAnsi="Times New Roman" w:cs="Times New Roman"/>
                <w:bCs/>
                <w:i/>
                <w:sz w:val="28"/>
                <w:szCs w:val="28"/>
                <w:lang w:val="ro-MO"/>
              </w:rPr>
              <w:t>aprobarea structurii și efectivului-limită al</w:t>
            </w:r>
            <w:r w:rsidR="00050A0F" w:rsidRPr="00931C55">
              <w:rPr>
                <w:rFonts w:ascii="Times New Roman" w:eastAsia="Times New Roman" w:hAnsi="Times New Roman" w:cs="Times New Roman"/>
                <w:i/>
                <w:sz w:val="28"/>
                <w:szCs w:val="28"/>
                <w:lang w:val="ro-MO"/>
              </w:rPr>
              <w:t xml:space="preserve"> Serviciului Prevenirea şi Combaterea Spălării Banilor</w:t>
            </w:r>
            <w:r w:rsidRPr="00931C55">
              <w:rPr>
                <w:rFonts w:ascii="Times New Roman" w:hAnsi="Times New Roman" w:cs="Times New Roman"/>
                <w:i/>
                <w:sz w:val="28"/>
                <w:szCs w:val="28"/>
                <w:lang w:val="ro-MO"/>
              </w:rPr>
              <w:t>”.</w:t>
            </w:r>
          </w:p>
          <w:p w:rsidR="00623C68" w:rsidRPr="00931C55" w:rsidRDefault="001F3F51" w:rsidP="00623C68">
            <w:pPr>
              <w:pStyle w:val="NoSpacing"/>
              <w:ind w:firstLine="549"/>
              <w:jc w:val="both"/>
              <w:rPr>
                <w:rFonts w:ascii="Times New Roman" w:hAnsi="Times New Roman" w:cs="Times New Roman"/>
                <w:color w:val="000000"/>
                <w:sz w:val="28"/>
                <w:szCs w:val="28"/>
                <w:shd w:val="clear" w:color="auto" w:fill="FFFFFF"/>
                <w:lang w:val="ro-MO"/>
              </w:rPr>
            </w:pPr>
            <w:r w:rsidRPr="00931C55">
              <w:rPr>
                <w:rFonts w:ascii="Times New Roman" w:hAnsi="Times New Roman" w:cs="Times New Roman"/>
                <w:sz w:val="28"/>
                <w:szCs w:val="28"/>
                <w:lang w:val="ro-MO"/>
              </w:rPr>
              <w:t xml:space="preserve">Astfel, se propune un efectiv limită al </w:t>
            </w:r>
            <w:r w:rsidR="00FB3648" w:rsidRPr="00931C55">
              <w:rPr>
                <w:rFonts w:ascii="Times New Roman" w:hAnsi="Times New Roman" w:cs="Times New Roman"/>
                <w:color w:val="000000"/>
                <w:sz w:val="28"/>
                <w:szCs w:val="28"/>
                <w:shd w:val="clear" w:color="auto" w:fill="FFFFFF"/>
                <w:lang w:val="ro-MO"/>
              </w:rPr>
              <w:t>S</w:t>
            </w:r>
            <w:r w:rsidR="00FB3648">
              <w:rPr>
                <w:rFonts w:ascii="Times New Roman" w:hAnsi="Times New Roman" w:cs="Times New Roman"/>
                <w:color w:val="000000"/>
                <w:sz w:val="28"/>
                <w:szCs w:val="28"/>
                <w:shd w:val="clear" w:color="auto" w:fill="FFFFFF"/>
                <w:lang w:val="ro-MO"/>
              </w:rPr>
              <w:t>PCSB</w:t>
            </w:r>
            <w:r w:rsidRPr="00931C55">
              <w:rPr>
                <w:rFonts w:ascii="Times New Roman" w:hAnsi="Times New Roman" w:cs="Times New Roman"/>
                <w:sz w:val="28"/>
                <w:szCs w:val="28"/>
                <w:lang w:val="ro-MO"/>
              </w:rPr>
              <w:t xml:space="preserve"> de 25 unități de personal</w:t>
            </w:r>
            <w:r w:rsidR="008E6E14" w:rsidRPr="00931C55">
              <w:rPr>
                <w:rFonts w:ascii="Times New Roman" w:hAnsi="Times New Roman" w:cs="Times New Roman"/>
                <w:sz w:val="28"/>
                <w:szCs w:val="28"/>
                <w:lang w:val="ro-MO"/>
              </w:rPr>
              <w:t xml:space="preserve"> cu</w:t>
            </w:r>
            <w:r w:rsidR="008E6E14" w:rsidRPr="00931C55">
              <w:rPr>
                <w:rFonts w:ascii="Times New Roman" w:hAnsi="Times New Roman" w:cs="Times New Roman"/>
                <w:color w:val="000000"/>
                <w:sz w:val="28"/>
                <w:szCs w:val="28"/>
                <w:shd w:val="clear" w:color="auto" w:fill="FFFFFF"/>
                <w:lang w:val="ro-MO"/>
              </w:rPr>
              <w:t xml:space="preserve"> un fond anual de retribuire a muncii conform legislaţiei.</w:t>
            </w:r>
          </w:p>
          <w:p w:rsidR="00623C68" w:rsidRPr="00931C55" w:rsidRDefault="00623C68" w:rsidP="00623C68">
            <w:pPr>
              <w:pStyle w:val="NoSpacing"/>
              <w:ind w:firstLine="549"/>
              <w:jc w:val="both"/>
              <w:rPr>
                <w:rFonts w:ascii="Times New Roman" w:hAnsi="Times New Roman" w:cs="Times New Roman"/>
                <w:sz w:val="28"/>
                <w:szCs w:val="28"/>
                <w:lang w:val="ro-MO"/>
              </w:rPr>
            </w:pPr>
            <w:r w:rsidRPr="00931C55">
              <w:rPr>
                <w:rFonts w:ascii="Times New Roman" w:hAnsi="Times New Roman" w:cs="Times New Roman"/>
                <w:sz w:val="28"/>
                <w:szCs w:val="28"/>
                <w:lang w:val="ro-MO"/>
              </w:rPr>
              <w:t xml:space="preserve">Totodată, </w:t>
            </w:r>
            <w:proofErr w:type="spellStart"/>
            <w:r w:rsidRPr="00931C55">
              <w:rPr>
                <w:rFonts w:ascii="Times New Roman" w:hAnsi="Times New Roman" w:cs="Times New Roman"/>
                <w:sz w:val="28"/>
                <w:szCs w:val="28"/>
                <w:lang w:val="ro-MO"/>
              </w:rPr>
              <w:t>pînă</w:t>
            </w:r>
            <w:proofErr w:type="spellEnd"/>
            <w:r w:rsidRPr="00931C55">
              <w:rPr>
                <w:rFonts w:ascii="Times New Roman" w:hAnsi="Times New Roman" w:cs="Times New Roman"/>
                <w:sz w:val="28"/>
                <w:szCs w:val="28"/>
                <w:lang w:val="ro-MO"/>
              </w:rPr>
              <w:t xml:space="preserve"> la aprobarea </w:t>
            </w:r>
            <w:r w:rsidR="00216F79">
              <w:rPr>
                <w:rFonts w:ascii="Times New Roman" w:hAnsi="Times New Roman" w:cs="Times New Roman"/>
                <w:sz w:val="28"/>
                <w:szCs w:val="28"/>
                <w:lang w:val="ro-MO"/>
              </w:rPr>
              <w:t xml:space="preserve">modificărilor </w:t>
            </w:r>
            <w:r w:rsidRPr="00931C55">
              <w:rPr>
                <w:rFonts w:ascii="Times New Roman" w:hAnsi="Times New Roman" w:cs="Times New Roman"/>
                <w:sz w:val="28"/>
                <w:szCs w:val="28"/>
                <w:lang w:val="ro-MO"/>
              </w:rPr>
              <w:t>cadrului normativ necesar în domeniul salarizării a</w:t>
            </w:r>
            <w:r w:rsidR="001B3BD9">
              <w:rPr>
                <w:rFonts w:ascii="Times New Roman" w:hAnsi="Times New Roman" w:cs="Times New Roman"/>
                <w:sz w:val="28"/>
                <w:szCs w:val="28"/>
                <w:lang w:val="ro-MO"/>
              </w:rPr>
              <w:t>ngajaților</w:t>
            </w:r>
            <w:r w:rsidRPr="00931C55">
              <w:rPr>
                <w:rFonts w:ascii="Times New Roman" w:hAnsi="Times New Roman" w:cs="Times New Roman"/>
                <w:sz w:val="28"/>
                <w:szCs w:val="28"/>
                <w:lang w:val="ro-MO"/>
              </w:rPr>
              <w:t xml:space="preserve"> </w:t>
            </w:r>
            <w:r w:rsidR="00FB3648" w:rsidRPr="00931C55">
              <w:rPr>
                <w:rFonts w:ascii="Times New Roman" w:hAnsi="Times New Roman" w:cs="Times New Roman"/>
                <w:color w:val="000000"/>
                <w:sz w:val="28"/>
                <w:szCs w:val="28"/>
                <w:shd w:val="clear" w:color="auto" w:fill="FFFFFF"/>
                <w:lang w:val="ro-MO"/>
              </w:rPr>
              <w:t>S</w:t>
            </w:r>
            <w:r w:rsidR="00FB3648">
              <w:rPr>
                <w:rFonts w:ascii="Times New Roman" w:hAnsi="Times New Roman" w:cs="Times New Roman"/>
                <w:color w:val="000000"/>
                <w:sz w:val="28"/>
                <w:szCs w:val="28"/>
                <w:shd w:val="clear" w:color="auto" w:fill="FFFFFF"/>
                <w:lang w:val="ro-MO"/>
              </w:rPr>
              <w:t>PCSB</w:t>
            </w:r>
            <w:r w:rsidRPr="00931C55">
              <w:rPr>
                <w:rFonts w:ascii="Times New Roman" w:hAnsi="Times New Roman" w:cs="Times New Roman"/>
                <w:sz w:val="28"/>
                <w:szCs w:val="28"/>
                <w:lang w:val="ro-MO"/>
              </w:rPr>
              <w:t xml:space="preserve">, aceștia </w:t>
            </w:r>
            <w:r w:rsidR="007715C7" w:rsidRPr="00931C55">
              <w:rPr>
                <w:rFonts w:ascii="Times New Roman" w:hAnsi="Times New Roman" w:cs="Times New Roman"/>
                <w:sz w:val="28"/>
                <w:szCs w:val="28"/>
                <w:lang w:val="ro-MO"/>
              </w:rPr>
              <w:t>vor fi</w:t>
            </w:r>
            <w:r w:rsidRPr="00931C55">
              <w:rPr>
                <w:rFonts w:ascii="Times New Roman" w:hAnsi="Times New Roman" w:cs="Times New Roman"/>
                <w:sz w:val="28"/>
                <w:szCs w:val="28"/>
                <w:lang w:val="ro-MO"/>
              </w:rPr>
              <w:t xml:space="preserve"> salariz</w:t>
            </w:r>
            <w:r w:rsidR="007715C7" w:rsidRPr="00931C55">
              <w:rPr>
                <w:rFonts w:ascii="Times New Roman" w:hAnsi="Times New Roman" w:cs="Times New Roman"/>
                <w:sz w:val="28"/>
                <w:szCs w:val="28"/>
                <w:lang w:val="ro-MO"/>
              </w:rPr>
              <w:t>ați</w:t>
            </w:r>
            <w:r w:rsidRPr="00931C55">
              <w:rPr>
                <w:rFonts w:ascii="Times New Roman" w:hAnsi="Times New Roman" w:cs="Times New Roman"/>
                <w:sz w:val="28"/>
                <w:szCs w:val="28"/>
                <w:lang w:val="ro-MO"/>
              </w:rPr>
              <w:t xml:space="preserve"> similar condițiilor de retribuire a muncii prevăzute pentru angajații Centrului Național Anticorupție.</w:t>
            </w:r>
          </w:p>
          <w:p w:rsidR="00DA0C1B" w:rsidRPr="00931C55" w:rsidRDefault="00FB3648" w:rsidP="00623C68">
            <w:pPr>
              <w:pStyle w:val="NoSpacing"/>
              <w:ind w:firstLine="549"/>
              <w:jc w:val="both"/>
              <w:rPr>
                <w:rFonts w:ascii="Times New Roman" w:hAnsi="Times New Roman" w:cs="Times New Roman"/>
                <w:sz w:val="28"/>
                <w:szCs w:val="28"/>
                <w:lang w:val="ro-MO"/>
              </w:rPr>
            </w:pPr>
            <w:r w:rsidRPr="00931C55">
              <w:rPr>
                <w:rFonts w:ascii="Times New Roman" w:hAnsi="Times New Roman" w:cs="Times New Roman"/>
                <w:color w:val="000000"/>
                <w:sz w:val="28"/>
                <w:szCs w:val="28"/>
                <w:shd w:val="clear" w:color="auto" w:fill="FFFFFF"/>
                <w:lang w:val="ro-MO"/>
              </w:rPr>
              <w:t>S</w:t>
            </w:r>
            <w:r>
              <w:rPr>
                <w:rFonts w:ascii="Times New Roman" w:hAnsi="Times New Roman" w:cs="Times New Roman"/>
                <w:color w:val="000000"/>
                <w:sz w:val="28"/>
                <w:szCs w:val="28"/>
                <w:shd w:val="clear" w:color="auto" w:fill="FFFFFF"/>
                <w:lang w:val="ro-MO"/>
              </w:rPr>
              <w:t>PCSB</w:t>
            </w:r>
            <w:r w:rsidR="00DA0C1B" w:rsidRPr="00931C55">
              <w:rPr>
                <w:rFonts w:ascii="Times New Roman" w:hAnsi="Times New Roman" w:cs="Times New Roman"/>
                <w:sz w:val="28"/>
                <w:szCs w:val="28"/>
                <w:lang w:val="ro-MO"/>
              </w:rPr>
              <w:t xml:space="preserve"> va avea următoarea structură:</w:t>
            </w:r>
          </w:p>
          <w:p w:rsidR="00944E3A" w:rsidRPr="00931C55" w:rsidRDefault="00944E3A" w:rsidP="00944E3A">
            <w:pPr>
              <w:pStyle w:val="NoSpacing"/>
              <w:ind w:firstLine="549"/>
              <w:jc w:val="both"/>
              <w:rPr>
                <w:rFonts w:ascii="Times New Roman" w:hAnsi="Times New Roman" w:cs="Times New Roman"/>
                <w:color w:val="000000"/>
                <w:sz w:val="28"/>
                <w:szCs w:val="28"/>
                <w:shd w:val="clear" w:color="auto" w:fill="FFFFFF"/>
                <w:lang w:val="ro-MO"/>
              </w:rPr>
            </w:pPr>
            <w:r w:rsidRPr="00931C55">
              <w:rPr>
                <w:rFonts w:ascii="Times New Roman" w:hAnsi="Times New Roman" w:cs="Times New Roman"/>
                <w:color w:val="000000"/>
                <w:sz w:val="28"/>
                <w:szCs w:val="28"/>
                <w:shd w:val="clear" w:color="auto" w:fill="FFFFFF"/>
                <w:lang w:val="ro-MO"/>
              </w:rPr>
              <w:t xml:space="preserve">- </w:t>
            </w:r>
            <w:r w:rsidR="008F3523" w:rsidRPr="00931C55">
              <w:rPr>
                <w:rFonts w:ascii="Times New Roman" w:hAnsi="Times New Roman" w:cs="Times New Roman"/>
                <w:color w:val="000000"/>
                <w:sz w:val="28"/>
                <w:szCs w:val="28"/>
                <w:shd w:val="clear" w:color="auto" w:fill="FFFFFF"/>
                <w:lang w:val="ro-MO"/>
              </w:rPr>
              <w:t>Conducerea</w:t>
            </w:r>
            <w:r w:rsidR="00D00D5B" w:rsidRPr="00931C55">
              <w:rPr>
                <w:rFonts w:ascii="Times New Roman" w:hAnsi="Times New Roman" w:cs="Times New Roman"/>
                <w:color w:val="000000"/>
                <w:sz w:val="28"/>
                <w:szCs w:val="28"/>
                <w:shd w:val="clear" w:color="auto" w:fill="FFFFFF"/>
                <w:lang w:val="ro-MO"/>
              </w:rPr>
              <w:t xml:space="preserve">, constituită din: </w:t>
            </w:r>
            <w:r w:rsidR="008F3523" w:rsidRPr="00931C55">
              <w:rPr>
                <w:rFonts w:ascii="Times New Roman" w:hAnsi="Times New Roman" w:cs="Times New Roman"/>
                <w:color w:val="000000"/>
                <w:sz w:val="28"/>
                <w:szCs w:val="28"/>
                <w:shd w:val="clear" w:color="auto" w:fill="FFFFFF"/>
                <w:lang w:val="ro-MO"/>
              </w:rPr>
              <w:t xml:space="preserve">un </w:t>
            </w:r>
            <w:r w:rsidR="008F3523" w:rsidRPr="00931C55">
              <w:rPr>
                <w:rFonts w:ascii="Times New Roman" w:hAnsi="Times New Roman" w:cs="Times New Roman"/>
                <w:i/>
                <w:color w:val="000000"/>
                <w:sz w:val="28"/>
                <w:szCs w:val="28"/>
                <w:shd w:val="clear" w:color="auto" w:fill="FFFFFF"/>
                <w:lang w:val="ro-MO"/>
              </w:rPr>
              <w:t>director</w:t>
            </w:r>
            <w:r w:rsidR="008F3523" w:rsidRPr="00931C55">
              <w:rPr>
                <w:rFonts w:ascii="Times New Roman" w:hAnsi="Times New Roman" w:cs="Times New Roman"/>
                <w:color w:val="000000"/>
                <w:sz w:val="28"/>
                <w:szCs w:val="28"/>
                <w:shd w:val="clear" w:color="auto" w:fill="FFFFFF"/>
                <w:lang w:val="ro-MO"/>
              </w:rPr>
              <w:t xml:space="preserve"> şi doi </w:t>
            </w:r>
            <w:r w:rsidR="008F3523" w:rsidRPr="00931C55">
              <w:rPr>
                <w:rFonts w:ascii="Times New Roman" w:hAnsi="Times New Roman" w:cs="Times New Roman"/>
                <w:i/>
                <w:color w:val="000000"/>
                <w:sz w:val="28"/>
                <w:szCs w:val="28"/>
                <w:shd w:val="clear" w:color="auto" w:fill="FFFFFF"/>
                <w:lang w:val="ro-MO"/>
              </w:rPr>
              <w:t>directori adjuncţi</w:t>
            </w:r>
            <w:r w:rsidR="00D00D5B" w:rsidRPr="00931C55">
              <w:rPr>
                <w:rFonts w:ascii="Times New Roman" w:hAnsi="Times New Roman" w:cs="Times New Roman"/>
                <w:color w:val="000000"/>
                <w:sz w:val="28"/>
                <w:szCs w:val="28"/>
                <w:shd w:val="clear" w:color="auto" w:fill="FFFFFF"/>
                <w:lang w:val="ro-MO"/>
              </w:rPr>
              <w:t xml:space="preserve"> (conform ar</w:t>
            </w:r>
            <w:r w:rsidRPr="00931C55">
              <w:rPr>
                <w:rFonts w:ascii="Times New Roman" w:hAnsi="Times New Roman" w:cs="Times New Roman"/>
                <w:color w:val="000000"/>
                <w:sz w:val="28"/>
                <w:szCs w:val="28"/>
                <w:shd w:val="clear" w:color="auto" w:fill="FFFFFF"/>
                <w:lang w:val="ro-MO"/>
              </w:rPr>
              <w:t>t.21 alin.(1) din Legea nr.308);</w:t>
            </w:r>
          </w:p>
          <w:p w:rsidR="000E75AF" w:rsidRPr="00112FB8" w:rsidRDefault="00DA0C1B" w:rsidP="004C4D4E">
            <w:pPr>
              <w:pStyle w:val="NoSpacing"/>
              <w:ind w:firstLine="549"/>
              <w:jc w:val="both"/>
              <w:rPr>
                <w:rFonts w:ascii="Times New Roman" w:hAnsi="Times New Roman" w:cs="Times New Roman"/>
                <w:sz w:val="28"/>
                <w:szCs w:val="28"/>
                <w:lang w:val="ro-MO"/>
              </w:rPr>
            </w:pPr>
            <w:r w:rsidRPr="00D6210E">
              <w:rPr>
                <w:rFonts w:ascii="Times New Roman" w:hAnsi="Times New Roman" w:cs="Times New Roman"/>
                <w:i/>
                <w:sz w:val="28"/>
                <w:szCs w:val="28"/>
                <w:u w:val="single"/>
                <w:lang w:val="ro-MO" w:eastAsia="ru-RU"/>
              </w:rPr>
              <w:t>Secția analiză strategică</w:t>
            </w:r>
            <w:r w:rsidR="00A447B0" w:rsidRPr="00931C55">
              <w:rPr>
                <w:rFonts w:ascii="Times New Roman" w:hAnsi="Times New Roman" w:cs="Times New Roman"/>
                <w:i/>
                <w:sz w:val="28"/>
                <w:szCs w:val="28"/>
                <w:lang w:val="ro-MO" w:eastAsia="ru-RU"/>
              </w:rPr>
              <w:t xml:space="preserve"> </w:t>
            </w:r>
            <w:r w:rsidR="00593FD6" w:rsidRPr="00593FD6">
              <w:rPr>
                <w:rFonts w:ascii="Times New Roman" w:hAnsi="Times New Roman" w:cs="Times New Roman"/>
                <w:sz w:val="28"/>
                <w:szCs w:val="28"/>
                <w:lang w:val="ro-MO"/>
              </w:rPr>
              <w:t>va avea ca atribuții de bază:</w:t>
            </w:r>
            <w:r w:rsidR="00593FD6" w:rsidRPr="00931C55">
              <w:rPr>
                <w:sz w:val="28"/>
                <w:szCs w:val="28"/>
                <w:lang w:val="ro-MO"/>
              </w:rPr>
              <w:t xml:space="preserve"> </w:t>
            </w:r>
            <w:r w:rsidR="004C4D4E" w:rsidRPr="00BB5AEE">
              <w:rPr>
                <w:rFonts w:ascii="Times New Roman" w:hAnsi="Times New Roman" w:cs="Times New Roman"/>
                <w:sz w:val="28"/>
                <w:szCs w:val="28"/>
                <w:lang w:val="ro-MO"/>
              </w:rPr>
              <w:t xml:space="preserve">analiza şi studiul în scopul identificării riscurilor sporite de spălare a banilor şi finanţare a terorismului al sectoarelor supravegheate; </w:t>
            </w:r>
            <w:r w:rsidR="00895B0B">
              <w:rPr>
                <w:rFonts w:ascii="Times New Roman" w:hAnsi="Times New Roman" w:cs="Times New Roman"/>
                <w:sz w:val="28"/>
                <w:szCs w:val="28"/>
                <w:lang w:val="ro-MO"/>
              </w:rPr>
              <w:t>i</w:t>
            </w:r>
            <w:r w:rsidR="004C4D4E" w:rsidRPr="00BB5AEE">
              <w:rPr>
                <w:rFonts w:ascii="Times New Roman" w:hAnsi="Times New Roman" w:cs="Times New Roman"/>
                <w:sz w:val="28"/>
                <w:szCs w:val="28"/>
                <w:lang w:val="ro-MO"/>
              </w:rPr>
              <w:t xml:space="preserve">dentificarea tipologiilor de spălare a </w:t>
            </w:r>
            <w:r w:rsidR="004C4D4E" w:rsidRPr="00112FB8">
              <w:rPr>
                <w:rFonts w:ascii="Times New Roman" w:hAnsi="Times New Roman" w:cs="Times New Roman"/>
                <w:sz w:val="28"/>
                <w:szCs w:val="28"/>
                <w:lang w:val="ro-MO"/>
              </w:rPr>
              <w:t>bani</w:t>
            </w:r>
            <w:r w:rsidR="00895B0B" w:rsidRPr="00112FB8">
              <w:rPr>
                <w:rFonts w:ascii="Times New Roman" w:hAnsi="Times New Roman" w:cs="Times New Roman"/>
                <w:sz w:val="28"/>
                <w:szCs w:val="28"/>
                <w:lang w:val="ro-MO"/>
              </w:rPr>
              <w:t>lor şi finanţare a terorismului; oferirea suportului pentru entităţile raportoare în privinţa utilităţii formularelor, corectitudinii completării acestora şi informarea despre tipolo</w:t>
            </w:r>
            <w:r w:rsidR="00AF62C8" w:rsidRPr="00112FB8">
              <w:rPr>
                <w:rFonts w:ascii="Times New Roman" w:hAnsi="Times New Roman" w:cs="Times New Roman"/>
                <w:sz w:val="28"/>
                <w:szCs w:val="28"/>
                <w:lang w:val="ro-MO"/>
              </w:rPr>
              <w:t>giile şi tendinţele din domeniu; elaborarea notelor analitice privind tendinţele şi tipologiile în domeniul spălării banilor şi finanţării terorismului cu informarea organelor de drept, organelor de supraveghere şi altor autorităţi cu competenţe directe sau indirecte în domeniu; identificarea sectoarelor cu risc sporit de spălare a banilor şi finanţare a terorismului cu formularea propunerilor, inclusiv legislative întru eliminarea acestora</w:t>
            </w:r>
            <w:r w:rsidR="00112FB8">
              <w:rPr>
                <w:rFonts w:ascii="Times New Roman" w:hAnsi="Times New Roman" w:cs="Times New Roman"/>
                <w:sz w:val="28"/>
                <w:szCs w:val="28"/>
                <w:lang w:val="ro-MO"/>
              </w:rPr>
              <w:t xml:space="preserve">. În cadrul Secției se propun – </w:t>
            </w:r>
            <w:r w:rsidR="00112FB8" w:rsidRPr="00112FB8">
              <w:rPr>
                <w:rFonts w:ascii="Times New Roman" w:hAnsi="Times New Roman" w:cs="Times New Roman"/>
                <w:sz w:val="28"/>
                <w:szCs w:val="28"/>
                <w:lang w:val="ro-MO" w:eastAsia="ru-RU"/>
              </w:rPr>
              <w:t>4</w:t>
            </w:r>
            <w:r w:rsidR="00112FB8">
              <w:rPr>
                <w:rFonts w:ascii="Times New Roman" w:hAnsi="Times New Roman" w:cs="Times New Roman"/>
                <w:sz w:val="28"/>
                <w:szCs w:val="28"/>
                <w:lang w:val="ro-MO" w:eastAsia="ru-RU"/>
              </w:rPr>
              <w:t xml:space="preserve"> unități de personal.</w:t>
            </w:r>
          </w:p>
          <w:p w:rsidR="00E55DA9" w:rsidRPr="00112FB8" w:rsidRDefault="00DA0C1B" w:rsidP="00E55DA9">
            <w:pPr>
              <w:pStyle w:val="NoSpacing"/>
              <w:ind w:firstLine="549"/>
              <w:jc w:val="both"/>
              <w:rPr>
                <w:rFonts w:ascii="Times New Roman" w:hAnsi="Times New Roman" w:cs="Times New Roman"/>
                <w:sz w:val="28"/>
                <w:szCs w:val="28"/>
                <w:lang w:val="ro-MO"/>
              </w:rPr>
            </w:pPr>
            <w:r w:rsidRPr="00D6210E">
              <w:rPr>
                <w:rFonts w:ascii="Times New Roman" w:hAnsi="Times New Roman" w:cs="Times New Roman"/>
                <w:i/>
                <w:sz w:val="28"/>
                <w:szCs w:val="28"/>
                <w:u w:val="single"/>
                <w:lang w:val="ro-MO" w:eastAsia="ru-RU"/>
              </w:rPr>
              <w:t>Secția analiză operaţională</w:t>
            </w:r>
            <w:r w:rsidR="00A447B0" w:rsidRPr="00931C55">
              <w:rPr>
                <w:rFonts w:ascii="Times New Roman" w:hAnsi="Times New Roman" w:cs="Times New Roman"/>
                <w:i/>
                <w:sz w:val="28"/>
                <w:szCs w:val="28"/>
                <w:lang w:val="ro-MO" w:eastAsia="ru-RU"/>
              </w:rPr>
              <w:t xml:space="preserve"> </w:t>
            </w:r>
            <w:r w:rsidR="00E55DA9" w:rsidRPr="00593FD6">
              <w:rPr>
                <w:rFonts w:ascii="Times New Roman" w:hAnsi="Times New Roman" w:cs="Times New Roman"/>
                <w:sz w:val="28"/>
                <w:szCs w:val="28"/>
                <w:lang w:val="ro-MO"/>
              </w:rPr>
              <w:t>va avea ca atribuții de bază:</w:t>
            </w:r>
            <w:r w:rsidR="00E55DA9">
              <w:rPr>
                <w:rFonts w:ascii="Times New Roman" w:hAnsi="Times New Roman" w:cs="Times New Roman"/>
                <w:sz w:val="28"/>
                <w:szCs w:val="28"/>
                <w:lang w:val="ro-MO"/>
              </w:rPr>
              <w:t xml:space="preserve"> </w:t>
            </w:r>
            <w:r w:rsidR="00E50AB0">
              <w:rPr>
                <w:rFonts w:ascii="Times New Roman" w:hAnsi="Times New Roman" w:cs="Times New Roman"/>
                <w:sz w:val="28"/>
                <w:szCs w:val="28"/>
                <w:lang w:val="ro-MO"/>
              </w:rPr>
              <w:t xml:space="preserve">primirea, </w:t>
            </w:r>
            <w:r w:rsidR="00E55DA9" w:rsidRPr="00984E99">
              <w:rPr>
                <w:rFonts w:ascii="Times New Roman" w:hAnsi="Times New Roman" w:cs="Times New Roman"/>
                <w:sz w:val="28"/>
                <w:szCs w:val="28"/>
                <w:lang w:val="ro-MO"/>
              </w:rPr>
              <w:t>analiza şi prelucrarea informaţiilor privind tranzacţiile suspecte, limitate şi cu numerar</w:t>
            </w:r>
            <w:r w:rsidR="00E50AB0" w:rsidRPr="00984E99">
              <w:rPr>
                <w:rFonts w:ascii="Times New Roman" w:hAnsi="Times New Roman" w:cs="Times New Roman"/>
                <w:sz w:val="28"/>
                <w:szCs w:val="28"/>
                <w:lang w:val="ro-MO"/>
              </w:rPr>
              <w:t xml:space="preserve">, </w:t>
            </w:r>
            <w:r w:rsidR="00E55DA9" w:rsidRPr="00984E99">
              <w:rPr>
                <w:rFonts w:ascii="Times New Roman" w:hAnsi="Times New Roman" w:cs="Times New Roman"/>
                <w:lang w:val="ro-MO"/>
              </w:rPr>
              <w:t xml:space="preserve"> </w:t>
            </w:r>
            <w:r w:rsidR="00D91674" w:rsidRPr="00984E99">
              <w:rPr>
                <w:rFonts w:ascii="Times New Roman" w:hAnsi="Times New Roman" w:cs="Times New Roman"/>
                <w:sz w:val="28"/>
                <w:szCs w:val="28"/>
                <w:lang w:val="ro-MO"/>
              </w:rPr>
              <w:t xml:space="preserve">infracţiunilor asociate spălării banilor şi de finanţare a terorismului </w:t>
            </w:r>
            <w:r w:rsidR="00E55DA9" w:rsidRPr="00984E99">
              <w:rPr>
                <w:rFonts w:ascii="Times New Roman" w:hAnsi="Times New Roman" w:cs="Times New Roman"/>
                <w:sz w:val="28"/>
                <w:szCs w:val="28"/>
                <w:lang w:val="ro-MO"/>
              </w:rPr>
              <w:t xml:space="preserve">prezentate de </w:t>
            </w:r>
            <w:r w:rsidR="00E55DA9" w:rsidRPr="00984E99">
              <w:rPr>
                <w:rFonts w:ascii="Times New Roman" w:hAnsi="Times New Roman" w:cs="Times New Roman"/>
                <w:sz w:val="28"/>
                <w:szCs w:val="28"/>
                <w:lang w:val="ro-MO"/>
              </w:rPr>
              <w:lastRenderedPageBreak/>
              <w:t>entităţile raportoare;</w:t>
            </w:r>
            <w:r w:rsidR="00E50AB0" w:rsidRPr="00984E99">
              <w:rPr>
                <w:rFonts w:ascii="Times New Roman" w:hAnsi="Times New Roman" w:cs="Times New Roman"/>
                <w:sz w:val="28"/>
                <w:szCs w:val="28"/>
                <w:lang w:val="ro-MO"/>
              </w:rPr>
              <w:t xml:space="preserve"> elaborarea notelor şi rapoartelor analitice în conformitate cu instrucţiunile interne; efectuarea investigaţii</w:t>
            </w:r>
            <w:r w:rsidR="00D6210E">
              <w:rPr>
                <w:rFonts w:ascii="Times New Roman" w:hAnsi="Times New Roman" w:cs="Times New Roman"/>
                <w:sz w:val="28"/>
                <w:szCs w:val="28"/>
                <w:lang w:val="ro-MO"/>
              </w:rPr>
              <w:t>lor</w:t>
            </w:r>
            <w:r w:rsidR="00E50AB0" w:rsidRPr="00984E99">
              <w:rPr>
                <w:rFonts w:ascii="Times New Roman" w:hAnsi="Times New Roman" w:cs="Times New Roman"/>
                <w:sz w:val="28"/>
                <w:szCs w:val="28"/>
                <w:lang w:val="ro-MO"/>
              </w:rPr>
              <w:t xml:space="preserve"> financiare a tranzacţiilor suspecte de spălare a banilor şi de finanţare a terorismului, cu acumularea i</w:t>
            </w:r>
            <w:r w:rsidR="00097217">
              <w:rPr>
                <w:rFonts w:ascii="Times New Roman" w:hAnsi="Times New Roman" w:cs="Times New Roman"/>
                <w:sz w:val="28"/>
                <w:szCs w:val="28"/>
                <w:lang w:val="ro-MO"/>
              </w:rPr>
              <w:t>nformaţiilor din bazele de date</w:t>
            </w:r>
            <w:r w:rsidR="00E50AB0" w:rsidRPr="00984E99">
              <w:rPr>
                <w:rFonts w:ascii="Times New Roman" w:hAnsi="Times New Roman" w:cs="Times New Roman"/>
                <w:sz w:val="28"/>
                <w:szCs w:val="28"/>
                <w:lang w:val="ro-MO"/>
              </w:rPr>
              <w:t xml:space="preserve"> disponibile, solicitarea informaţiilor de la entităţile raportoare, inclusiv a documentelor confirmative </w:t>
            </w:r>
            <w:r w:rsidR="00836E46" w:rsidRPr="00984E99">
              <w:rPr>
                <w:rFonts w:ascii="Times New Roman" w:hAnsi="Times New Roman" w:cs="Times New Roman"/>
                <w:sz w:val="28"/>
                <w:szCs w:val="28"/>
                <w:lang w:val="ro-MO"/>
              </w:rPr>
              <w:t xml:space="preserve">de la subiecţii investigaţiilor; identificarea posibilelor tipologii privind </w:t>
            </w:r>
            <w:proofErr w:type="spellStart"/>
            <w:r w:rsidR="00836E46" w:rsidRPr="00984E99">
              <w:rPr>
                <w:rFonts w:ascii="Times New Roman" w:hAnsi="Times New Roman" w:cs="Times New Roman"/>
                <w:sz w:val="28"/>
                <w:szCs w:val="28"/>
                <w:lang w:val="ro-MO"/>
              </w:rPr>
              <w:t>săvîrşirea</w:t>
            </w:r>
            <w:proofErr w:type="spellEnd"/>
            <w:r w:rsidR="00836E46" w:rsidRPr="00984E99">
              <w:rPr>
                <w:rFonts w:ascii="Times New Roman" w:hAnsi="Times New Roman" w:cs="Times New Roman"/>
                <w:sz w:val="28"/>
                <w:szCs w:val="28"/>
                <w:lang w:val="ro-MO"/>
              </w:rPr>
              <w:t xml:space="preserve"> infracţiunilor de spălare a banilor, infracţiunilor asociate spălării banilor şi de finanţare a terorismului; sesizarea organelor de drept competente imediat ce s-au stabilit suspiciuni rezonabile cu privire la spălarea banilor, la finanţarea terorismului sau la alte infracţiuni ce s-au soldat cu obţinerea bunurilor ilicite, precum şi Serviciul Informaţii şi Securitate în partea ce ţine de finanţarea terorismului;</w:t>
            </w:r>
            <w:r w:rsidR="00984E99" w:rsidRPr="00984E99">
              <w:rPr>
                <w:rFonts w:ascii="Times New Roman" w:hAnsi="Times New Roman" w:cs="Times New Roman"/>
                <w:sz w:val="28"/>
                <w:szCs w:val="28"/>
                <w:lang w:val="ro-MO"/>
              </w:rPr>
              <w:t xml:space="preserve"> pregătirea materialelor respective pentru aplicarea măsurilor asiguratorii în privinţa tranzacţiilor sau activităţilor suspecte de spălare a banilor, altor infracţiuni asociate acestora şi finanţare a terorismului; monitoriz</w:t>
            </w:r>
            <w:r w:rsidR="00950473">
              <w:rPr>
                <w:rFonts w:ascii="Times New Roman" w:hAnsi="Times New Roman" w:cs="Times New Roman"/>
                <w:sz w:val="28"/>
                <w:szCs w:val="28"/>
                <w:lang w:val="ro-MO"/>
              </w:rPr>
              <w:t>area</w:t>
            </w:r>
            <w:r w:rsidR="00984E99" w:rsidRPr="00984E99">
              <w:rPr>
                <w:rFonts w:ascii="Times New Roman" w:hAnsi="Times New Roman" w:cs="Times New Roman"/>
                <w:sz w:val="28"/>
                <w:szCs w:val="28"/>
                <w:lang w:val="ro-MO"/>
              </w:rPr>
              <w:t xml:space="preserve"> rezultatel</w:t>
            </w:r>
            <w:r w:rsidR="00950473">
              <w:rPr>
                <w:rFonts w:ascii="Times New Roman" w:hAnsi="Times New Roman" w:cs="Times New Roman"/>
                <w:sz w:val="28"/>
                <w:szCs w:val="28"/>
                <w:lang w:val="ro-MO"/>
              </w:rPr>
              <w:t>or</w:t>
            </w:r>
            <w:r w:rsidR="00984E99" w:rsidRPr="00984E99">
              <w:rPr>
                <w:rFonts w:ascii="Times New Roman" w:hAnsi="Times New Roman" w:cs="Times New Roman"/>
                <w:sz w:val="28"/>
                <w:szCs w:val="28"/>
                <w:lang w:val="ro-MO"/>
              </w:rPr>
              <w:t xml:space="preserve"> înregistrate de organele competente urmare a examinării in</w:t>
            </w:r>
            <w:r w:rsidR="00950473">
              <w:rPr>
                <w:rFonts w:ascii="Times New Roman" w:hAnsi="Times New Roman" w:cs="Times New Roman"/>
                <w:sz w:val="28"/>
                <w:szCs w:val="28"/>
                <w:lang w:val="ro-MO"/>
              </w:rPr>
              <w:t xml:space="preserve">formaţiilor diseminate de </w:t>
            </w:r>
            <w:r w:rsidR="00950473" w:rsidRPr="00931C55">
              <w:rPr>
                <w:rFonts w:ascii="Times New Roman" w:hAnsi="Times New Roman" w:cs="Times New Roman"/>
                <w:color w:val="000000"/>
                <w:sz w:val="28"/>
                <w:szCs w:val="28"/>
                <w:shd w:val="clear" w:color="auto" w:fill="FFFFFF"/>
                <w:lang w:val="ro-MO"/>
              </w:rPr>
              <w:t>S</w:t>
            </w:r>
            <w:r w:rsidR="00950473">
              <w:rPr>
                <w:rFonts w:ascii="Times New Roman" w:hAnsi="Times New Roman" w:cs="Times New Roman"/>
                <w:color w:val="000000"/>
                <w:sz w:val="28"/>
                <w:szCs w:val="28"/>
                <w:shd w:val="clear" w:color="auto" w:fill="FFFFFF"/>
                <w:lang w:val="ro-MO"/>
              </w:rPr>
              <w:t>PCSB</w:t>
            </w:r>
            <w:r w:rsidR="00984E99">
              <w:rPr>
                <w:rFonts w:ascii="Times New Roman" w:hAnsi="Times New Roman" w:cs="Times New Roman"/>
                <w:sz w:val="28"/>
                <w:szCs w:val="28"/>
                <w:lang w:val="ro-MO"/>
              </w:rPr>
              <w:t>.</w:t>
            </w:r>
            <w:r w:rsidR="00E55DA9" w:rsidRPr="00931C55">
              <w:rPr>
                <w:sz w:val="28"/>
                <w:szCs w:val="28"/>
                <w:lang w:val="ro-MO"/>
              </w:rPr>
              <w:t xml:space="preserve"> </w:t>
            </w:r>
            <w:r w:rsidR="00E55DA9">
              <w:rPr>
                <w:rFonts w:ascii="Times New Roman" w:hAnsi="Times New Roman" w:cs="Times New Roman"/>
                <w:sz w:val="28"/>
                <w:szCs w:val="28"/>
                <w:lang w:val="ro-MO"/>
              </w:rPr>
              <w:t xml:space="preserve">În cadrul Secției se propun – </w:t>
            </w:r>
            <w:r w:rsidR="00950473">
              <w:rPr>
                <w:rFonts w:ascii="Times New Roman" w:hAnsi="Times New Roman" w:cs="Times New Roman"/>
                <w:sz w:val="28"/>
                <w:szCs w:val="28"/>
                <w:lang w:val="ro-MO" w:eastAsia="ru-RU"/>
              </w:rPr>
              <w:t>8</w:t>
            </w:r>
            <w:r w:rsidR="00E55DA9">
              <w:rPr>
                <w:rFonts w:ascii="Times New Roman" w:hAnsi="Times New Roman" w:cs="Times New Roman"/>
                <w:sz w:val="28"/>
                <w:szCs w:val="28"/>
                <w:lang w:val="ro-MO" w:eastAsia="ru-RU"/>
              </w:rPr>
              <w:t xml:space="preserve"> unități de personal.</w:t>
            </w:r>
          </w:p>
          <w:p w:rsidR="00DA0C1B" w:rsidRPr="00931C55" w:rsidRDefault="00DA0C1B" w:rsidP="000E75AF">
            <w:pPr>
              <w:pStyle w:val="NormalWeb"/>
              <w:tabs>
                <w:tab w:val="left" w:pos="1080"/>
              </w:tabs>
              <w:ind w:firstLine="549"/>
              <w:rPr>
                <w:i/>
                <w:sz w:val="28"/>
                <w:szCs w:val="28"/>
                <w:lang w:val="ro-MO"/>
              </w:rPr>
            </w:pPr>
            <w:r w:rsidRPr="00B5232C">
              <w:rPr>
                <w:i/>
                <w:sz w:val="28"/>
                <w:szCs w:val="28"/>
                <w:u w:val="single"/>
                <w:lang w:val="ro-MO"/>
              </w:rPr>
              <w:t>Serviciul supraveghere şi conformitate</w:t>
            </w:r>
            <w:r w:rsidR="00A447B0" w:rsidRPr="00931C55">
              <w:rPr>
                <w:i/>
                <w:sz w:val="28"/>
                <w:szCs w:val="28"/>
                <w:lang w:val="ro-MO"/>
              </w:rPr>
              <w:t xml:space="preserve"> </w:t>
            </w:r>
            <w:r w:rsidR="007B5996" w:rsidRPr="00931C55">
              <w:rPr>
                <w:sz w:val="28"/>
                <w:szCs w:val="28"/>
                <w:lang w:val="ro-MO"/>
              </w:rPr>
              <w:t>va avea ca atribuții de bază</w:t>
            </w:r>
            <w:r w:rsidR="00D15648" w:rsidRPr="00931C55">
              <w:rPr>
                <w:sz w:val="28"/>
                <w:szCs w:val="28"/>
                <w:lang w:val="ro-MO"/>
              </w:rPr>
              <w:t xml:space="preserve">: </w:t>
            </w:r>
            <w:r w:rsidR="007B5996" w:rsidRPr="00931C55">
              <w:rPr>
                <w:sz w:val="28"/>
                <w:szCs w:val="28"/>
                <w:lang w:val="ro-MO"/>
              </w:rPr>
              <w:t>monitorizarea entităţilor raportoare privind respectarea prevederilor legislaţiei privind spăl</w:t>
            </w:r>
            <w:r w:rsidR="00116298" w:rsidRPr="00931C55">
              <w:rPr>
                <w:sz w:val="28"/>
                <w:szCs w:val="28"/>
                <w:lang w:val="ro-MO"/>
              </w:rPr>
              <w:t>area</w:t>
            </w:r>
            <w:r w:rsidR="007B5996" w:rsidRPr="00931C55">
              <w:rPr>
                <w:sz w:val="28"/>
                <w:szCs w:val="28"/>
                <w:lang w:val="ro-MO"/>
              </w:rPr>
              <w:t xml:space="preserve"> ba</w:t>
            </w:r>
            <w:r w:rsidR="00EC3BC3" w:rsidRPr="00931C55">
              <w:rPr>
                <w:sz w:val="28"/>
                <w:szCs w:val="28"/>
                <w:lang w:val="ro-MO"/>
              </w:rPr>
              <w:t>nilor și finanț</w:t>
            </w:r>
            <w:r w:rsidR="00116298" w:rsidRPr="00931C55">
              <w:rPr>
                <w:sz w:val="28"/>
                <w:szCs w:val="28"/>
                <w:lang w:val="ro-MO"/>
              </w:rPr>
              <w:t>area</w:t>
            </w:r>
            <w:r w:rsidR="00EC3BC3" w:rsidRPr="00931C55">
              <w:rPr>
                <w:sz w:val="28"/>
                <w:szCs w:val="28"/>
                <w:lang w:val="ro-MO"/>
              </w:rPr>
              <w:t xml:space="preserve"> terorismului;</w:t>
            </w:r>
            <w:r w:rsidR="00F50424" w:rsidRPr="00931C55">
              <w:rPr>
                <w:sz w:val="28"/>
                <w:szCs w:val="28"/>
                <w:lang w:val="ro-MO"/>
              </w:rPr>
              <w:t xml:space="preserve"> constatare</w:t>
            </w:r>
            <w:r w:rsidR="001420EF" w:rsidRPr="00931C55">
              <w:rPr>
                <w:sz w:val="28"/>
                <w:szCs w:val="28"/>
                <w:lang w:val="ro-MO"/>
              </w:rPr>
              <w:t>a</w:t>
            </w:r>
            <w:r w:rsidR="00F50424" w:rsidRPr="00931C55">
              <w:rPr>
                <w:sz w:val="28"/>
                <w:szCs w:val="28"/>
                <w:lang w:val="ro-MO"/>
              </w:rPr>
              <w:t xml:space="preserve"> și examin</w:t>
            </w:r>
            <w:r w:rsidR="001420EF" w:rsidRPr="00931C55">
              <w:rPr>
                <w:sz w:val="28"/>
                <w:szCs w:val="28"/>
                <w:lang w:val="ro-MO"/>
              </w:rPr>
              <w:t>area cauzelor</w:t>
            </w:r>
            <w:r w:rsidR="00F50424" w:rsidRPr="00931C55">
              <w:rPr>
                <w:sz w:val="28"/>
                <w:szCs w:val="28"/>
                <w:lang w:val="ro-MO"/>
              </w:rPr>
              <w:t xml:space="preserve"> contravenționale atribuite în competența </w:t>
            </w:r>
            <w:r w:rsidR="001420EF" w:rsidRPr="00931C55">
              <w:rPr>
                <w:sz w:val="28"/>
                <w:szCs w:val="28"/>
                <w:lang w:val="ro-MO"/>
              </w:rPr>
              <w:t>Serviciului</w:t>
            </w:r>
            <w:r w:rsidR="00F50424" w:rsidRPr="00931C55">
              <w:rPr>
                <w:sz w:val="28"/>
                <w:szCs w:val="28"/>
                <w:lang w:val="ro-MO"/>
              </w:rPr>
              <w:t xml:space="preserve"> și iniți</w:t>
            </w:r>
            <w:r w:rsidR="001420EF" w:rsidRPr="00931C55">
              <w:rPr>
                <w:sz w:val="28"/>
                <w:szCs w:val="28"/>
                <w:lang w:val="ro-MO"/>
              </w:rPr>
              <w:t>erea</w:t>
            </w:r>
            <w:r w:rsidR="00F50424" w:rsidRPr="00931C55">
              <w:rPr>
                <w:sz w:val="28"/>
                <w:szCs w:val="28"/>
                <w:lang w:val="ro-MO"/>
              </w:rPr>
              <w:t xml:space="preserve"> proceduri</w:t>
            </w:r>
            <w:r w:rsidR="001420EF" w:rsidRPr="00931C55">
              <w:rPr>
                <w:sz w:val="28"/>
                <w:szCs w:val="28"/>
                <w:lang w:val="ro-MO"/>
              </w:rPr>
              <w:t>lor</w:t>
            </w:r>
            <w:r w:rsidR="00F50424" w:rsidRPr="00931C55">
              <w:rPr>
                <w:sz w:val="28"/>
                <w:szCs w:val="28"/>
                <w:lang w:val="ro-MO"/>
              </w:rPr>
              <w:t xml:space="preserve"> de aplicare a sancțiunii pecuniare;</w:t>
            </w:r>
            <w:r w:rsidR="00BA1530" w:rsidRPr="00931C55">
              <w:rPr>
                <w:sz w:val="28"/>
                <w:szCs w:val="28"/>
                <w:lang w:val="ro-MO"/>
              </w:rPr>
              <w:t xml:space="preserve"> monitorizarea regimului de raportare</w:t>
            </w:r>
            <w:r w:rsidR="007042EF" w:rsidRPr="00931C55">
              <w:rPr>
                <w:sz w:val="28"/>
                <w:szCs w:val="28"/>
                <w:lang w:val="ro-MO"/>
              </w:rPr>
              <w:t xml:space="preserve">. În cadrul serviciului vor </w:t>
            </w:r>
            <w:r w:rsidR="00116298" w:rsidRPr="00931C55">
              <w:rPr>
                <w:sz w:val="28"/>
                <w:szCs w:val="28"/>
                <w:lang w:val="ro-MO"/>
              </w:rPr>
              <w:t xml:space="preserve">activa </w:t>
            </w:r>
            <w:r w:rsidR="00A447B0" w:rsidRPr="00931C55">
              <w:rPr>
                <w:sz w:val="28"/>
                <w:szCs w:val="28"/>
                <w:lang w:val="ro-MO"/>
              </w:rPr>
              <w:t>2 u</w:t>
            </w:r>
            <w:r w:rsidR="007042EF" w:rsidRPr="00931C55">
              <w:rPr>
                <w:sz w:val="28"/>
                <w:szCs w:val="28"/>
                <w:lang w:val="ro-MO"/>
              </w:rPr>
              <w:t>nități de personal.</w:t>
            </w:r>
          </w:p>
          <w:p w:rsidR="001E22CD" w:rsidRPr="00931C55" w:rsidRDefault="00DA0C1B" w:rsidP="000E75AF">
            <w:pPr>
              <w:pStyle w:val="NormalWeb"/>
              <w:tabs>
                <w:tab w:val="left" w:pos="1080"/>
              </w:tabs>
              <w:ind w:firstLine="549"/>
              <w:rPr>
                <w:i/>
                <w:sz w:val="28"/>
                <w:szCs w:val="28"/>
                <w:lang w:val="ro-MO"/>
              </w:rPr>
            </w:pPr>
            <w:r w:rsidRPr="00B5232C">
              <w:rPr>
                <w:i/>
                <w:sz w:val="28"/>
                <w:szCs w:val="28"/>
                <w:u w:val="single"/>
                <w:lang w:val="ro-MO"/>
              </w:rPr>
              <w:t>Serviciul cooperare naţională şi internaţională</w:t>
            </w:r>
            <w:r w:rsidR="00D15648" w:rsidRPr="00931C55">
              <w:rPr>
                <w:i/>
                <w:sz w:val="28"/>
                <w:szCs w:val="28"/>
                <w:lang w:val="ro-MO"/>
              </w:rPr>
              <w:t xml:space="preserve"> </w:t>
            </w:r>
            <w:r w:rsidR="00D15648" w:rsidRPr="00931C55">
              <w:rPr>
                <w:sz w:val="28"/>
                <w:szCs w:val="28"/>
                <w:lang w:val="ro-MO"/>
              </w:rPr>
              <w:t>va avea ca atribuții de bază</w:t>
            </w:r>
            <w:r w:rsidR="00116298" w:rsidRPr="00931C55">
              <w:rPr>
                <w:sz w:val="28"/>
                <w:szCs w:val="28"/>
                <w:lang w:val="ro-MO"/>
              </w:rPr>
              <w:t>:</w:t>
            </w:r>
            <w:r w:rsidR="00D15648" w:rsidRPr="00931C55">
              <w:rPr>
                <w:sz w:val="28"/>
                <w:szCs w:val="28"/>
                <w:lang w:val="ro-MO"/>
              </w:rPr>
              <w:t xml:space="preserve"> </w:t>
            </w:r>
            <w:r w:rsidR="00666667" w:rsidRPr="00931C55">
              <w:rPr>
                <w:sz w:val="28"/>
                <w:szCs w:val="28"/>
                <w:lang w:val="ro-MO"/>
              </w:rPr>
              <w:t>evaluarea riscurilor aferente spălării banilor şi finanţării terorismului; evidenţa solicitărilor şi răspunsurilor privind schimbul de informaţii cu servicii similare şi diferite organe competente din alte jurisdicţii;</w:t>
            </w:r>
            <w:r w:rsidR="001E22CD" w:rsidRPr="00931C55">
              <w:rPr>
                <w:sz w:val="28"/>
                <w:szCs w:val="28"/>
                <w:lang w:val="ro-MO"/>
              </w:rPr>
              <w:t xml:space="preserve"> asistenţa în traducerea şi transmiterea solicitărilor de informaţii către serviciile similare din alte state, inclusiv prin intermediul paginii securizate a Grupului Egmont; </w:t>
            </w:r>
            <w:r w:rsidR="0027307F" w:rsidRPr="00931C55">
              <w:rPr>
                <w:sz w:val="28"/>
                <w:szCs w:val="28"/>
                <w:lang w:val="ro-MO"/>
              </w:rPr>
              <w:t>sup</w:t>
            </w:r>
            <w:r w:rsidR="001E22CD" w:rsidRPr="00931C55">
              <w:rPr>
                <w:sz w:val="28"/>
                <w:szCs w:val="28"/>
                <w:lang w:val="ro-MO"/>
              </w:rPr>
              <w:t xml:space="preserve">ort în procesul de elaborare a acordurilor de colaborare bilaterale şi multilaterale, în vederea dezvoltării parteneriatului cu statele partenere şi organizaţiile internaţionale în domeniul prevenirii şi combaterii spălării banilor şi finanţării terorismului; </w:t>
            </w:r>
            <w:r w:rsidR="0027307F" w:rsidRPr="00931C55">
              <w:rPr>
                <w:sz w:val="28"/>
                <w:szCs w:val="28"/>
                <w:lang w:val="ro-MO"/>
              </w:rPr>
              <w:t>analiza informaţiilor necesare pentru participarea la Şedinţele MONEYVAL, Conferinţei părţilor la Convenţia de la Varşovia, Grupului Egmont, GEA, C</w:t>
            </w:r>
            <w:r w:rsidR="00931C55" w:rsidRPr="00931C55">
              <w:rPr>
                <w:sz w:val="28"/>
                <w:szCs w:val="28"/>
                <w:lang w:val="ro-MO"/>
              </w:rPr>
              <w:t>ARIN, GUAM, p</w:t>
            </w:r>
            <w:r w:rsidR="0027307F" w:rsidRPr="00931C55">
              <w:rPr>
                <w:sz w:val="28"/>
                <w:szCs w:val="28"/>
                <w:lang w:val="ro-MO"/>
              </w:rPr>
              <w:t>latformele promovate de căt</w:t>
            </w:r>
            <w:r w:rsidR="00931C55" w:rsidRPr="00931C55">
              <w:rPr>
                <w:sz w:val="28"/>
                <w:szCs w:val="28"/>
                <w:lang w:val="ro-MO"/>
              </w:rPr>
              <w:t xml:space="preserve">re Comisia Europeană şi EUROPOL. Statul de personal al acestei subdiviziuni </w:t>
            </w:r>
            <w:r w:rsidR="000A4EEE">
              <w:rPr>
                <w:sz w:val="28"/>
                <w:szCs w:val="28"/>
                <w:lang w:val="ro-MO"/>
              </w:rPr>
              <w:t xml:space="preserve">se </w:t>
            </w:r>
            <w:r w:rsidR="00931C55" w:rsidRPr="00931C55">
              <w:rPr>
                <w:sz w:val="28"/>
                <w:szCs w:val="28"/>
                <w:lang w:val="ro-MO"/>
              </w:rPr>
              <w:t xml:space="preserve">constituie </w:t>
            </w:r>
            <w:r w:rsidR="000A4EEE">
              <w:rPr>
                <w:sz w:val="28"/>
                <w:szCs w:val="28"/>
                <w:lang w:val="ro-MO"/>
              </w:rPr>
              <w:t xml:space="preserve">din </w:t>
            </w:r>
            <w:r w:rsidR="00931C55" w:rsidRPr="00931C55">
              <w:rPr>
                <w:sz w:val="28"/>
                <w:szCs w:val="28"/>
                <w:lang w:val="ro-MO"/>
              </w:rPr>
              <w:t>2 unități de personal.</w:t>
            </w:r>
          </w:p>
          <w:p w:rsidR="00DA0C1B" w:rsidRPr="00931C55" w:rsidRDefault="00DA0C1B" w:rsidP="00473BC0">
            <w:pPr>
              <w:pStyle w:val="NormalWeb"/>
              <w:tabs>
                <w:tab w:val="left" w:pos="1080"/>
              </w:tabs>
              <w:ind w:firstLine="549"/>
              <w:rPr>
                <w:sz w:val="28"/>
                <w:szCs w:val="28"/>
                <w:lang w:val="ro-MO"/>
              </w:rPr>
            </w:pPr>
            <w:r w:rsidRPr="00B5232C">
              <w:rPr>
                <w:i/>
                <w:sz w:val="28"/>
                <w:szCs w:val="28"/>
                <w:u w:val="single"/>
                <w:lang w:val="ro-MO"/>
              </w:rPr>
              <w:t>Serviciul securitate şi IT</w:t>
            </w:r>
            <w:r w:rsidR="00A238B3" w:rsidRPr="00931C55">
              <w:rPr>
                <w:i/>
                <w:sz w:val="28"/>
                <w:szCs w:val="28"/>
                <w:lang w:val="ro-MO"/>
              </w:rPr>
              <w:t xml:space="preserve">, </w:t>
            </w:r>
            <w:r w:rsidR="00905F31" w:rsidRPr="00931C55">
              <w:rPr>
                <w:sz w:val="28"/>
                <w:szCs w:val="28"/>
                <w:lang w:val="ro-MO"/>
              </w:rPr>
              <w:t xml:space="preserve">va avea ca obiectiv realizarea </w:t>
            </w:r>
            <w:r w:rsidR="00B6777B" w:rsidRPr="00931C55">
              <w:rPr>
                <w:sz w:val="28"/>
                <w:szCs w:val="28"/>
                <w:lang w:val="ro-MO"/>
              </w:rPr>
              <w:t>auditului complex a activităţii utilizatorilor în cadrul SI SPCSB, controlul ameninţări</w:t>
            </w:r>
            <w:r w:rsidR="00FA07AA" w:rsidRPr="00931C55">
              <w:rPr>
                <w:sz w:val="28"/>
                <w:szCs w:val="28"/>
                <w:lang w:val="ro-MO"/>
              </w:rPr>
              <w:t>lor</w:t>
            </w:r>
            <w:r w:rsidR="00B6777B" w:rsidRPr="00931C55">
              <w:rPr>
                <w:sz w:val="28"/>
                <w:szCs w:val="28"/>
                <w:lang w:val="ro-MO"/>
              </w:rPr>
              <w:t xml:space="preserve"> externe a SI SPCSB</w:t>
            </w:r>
            <w:r w:rsidR="00FA07AA" w:rsidRPr="00931C55">
              <w:rPr>
                <w:sz w:val="28"/>
                <w:szCs w:val="28"/>
                <w:lang w:val="ro-MO"/>
              </w:rPr>
              <w:t>; control</w:t>
            </w:r>
            <w:r w:rsidR="004C2509" w:rsidRPr="00931C55">
              <w:rPr>
                <w:sz w:val="28"/>
                <w:szCs w:val="28"/>
                <w:lang w:val="ro-MO"/>
              </w:rPr>
              <w:t>ul ș</w:t>
            </w:r>
            <w:r w:rsidR="00FA07AA" w:rsidRPr="00931C55">
              <w:rPr>
                <w:sz w:val="28"/>
                <w:szCs w:val="28"/>
                <w:lang w:val="ro-MO"/>
              </w:rPr>
              <w:t>i auditul accesului la sistemele informaţionale a Serviciului</w:t>
            </w:r>
            <w:r w:rsidR="004C2509" w:rsidRPr="00931C55">
              <w:rPr>
                <w:sz w:val="28"/>
                <w:szCs w:val="28"/>
                <w:lang w:val="ro-MO"/>
              </w:rPr>
              <w:t xml:space="preserve">; gestionarea sistemelor de poştă electronică şi schimbul </w:t>
            </w:r>
            <w:r w:rsidR="00FB1A70">
              <w:rPr>
                <w:sz w:val="28"/>
                <w:szCs w:val="28"/>
                <w:lang w:val="ro-MO"/>
              </w:rPr>
              <w:t>informaț</w:t>
            </w:r>
            <w:r w:rsidR="00EA7829" w:rsidRPr="00931C55">
              <w:rPr>
                <w:sz w:val="28"/>
                <w:szCs w:val="28"/>
                <w:lang w:val="ro-MO"/>
              </w:rPr>
              <w:t xml:space="preserve">ional. În cadrul serviciului vor </w:t>
            </w:r>
            <w:r w:rsidR="007042EF" w:rsidRPr="00931C55">
              <w:rPr>
                <w:sz w:val="28"/>
                <w:szCs w:val="28"/>
                <w:lang w:val="ro-MO"/>
              </w:rPr>
              <w:t>activa</w:t>
            </w:r>
            <w:r w:rsidR="00EA7829" w:rsidRPr="00931C55">
              <w:rPr>
                <w:sz w:val="28"/>
                <w:szCs w:val="28"/>
                <w:lang w:val="ro-MO"/>
              </w:rPr>
              <w:t xml:space="preserve"> </w:t>
            </w:r>
            <w:r w:rsidR="00A238B3" w:rsidRPr="00931C55">
              <w:rPr>
                <w:sz w:val="28"/>
                <w:szCs w:val="28"/>
                <w:lang w:val="ro-MO"/>
              </w:rPr>
              <w:t xml:space="preserve">2 unități </w:t>
            </w:r>
            <w:r w:rsidR="00EA7829" w:rsidRPr="00931C55">
              <w:rPr>
                <w:sz w:val="28"/>
                <w:szCs w:val="28"/>
                <w:lang w:val="ro-MO"/>
              </w:rPr>
              <w:t>de personal.</w:t>
            </w:r>
          </w:p>
          <w:p w:rsidR="003A4259" w:rsidRPr="00931C55" w:rsidRDefault="00DA0C1B" w:rsidP="003A4259">
            <w:pPr>
              <w:pStyle w:val="NoSpacing"/>
              <w:ind w:firstLine="549"/>
              <w:jc w:val="both"/>
              <w:rPr>
                <w:rFonts w:ascii="Times New Roman" w:hAnsi="Times New Roman" w:cs="Times New Roman"/>
                <w:sz w:val="28"/>
                <w:szCs w:val="28"/>
                <w:lang w:val="ro-MO"/>
              </w:rPr>
            </w:pPr>
            <w:r w:rsidRPr="00B5232C">
              <w:rPr>
                <w:rFonts w:ascii="Times New Roman" w:hAnsi="Times New Roman" w:cs="Times New Roman"/>
                <w:i/>
                <w:sz w:val="28"/>
                <w:szCs w:val="28"/>
                <w:u w:val="single"/>
                <w:lang w:val="ro-MO" w:eastAsia="ru-RU"/>
              </w:rPr>
              <w:t>Secția management instituțional</w:t>
            </w:r>
            <w:r w:rsidR="003A4259" w:rsidRPr="00931C55">
              <w:rPr>
                <w:rFonts w:ascii="Times New Roman" w:hAnsi="Times New Roman" w:cs="Times New Roman"/>
                <w:sz w:val="28"/>
                <w:szCs w:val="28"/>
                <w:lang w:val="ro-MO"/>
              </w:rPr>
              <w:t xml:space="preserve"> va avea drept obiectiv principal asigurarea s</w:t>
            </w:r>
            <w:r w:rsidR="00C32B55">
              <w:rPr>
                <w:rFonts w:ascii="Times New Roman" w:hAnsi="Times New Roman" w:cs="Times New Roman"/>
                <w:sz w:val="28"/>
                <w:szCs w:val="28"/>
                <w:lang w:val="ro-MO"/>
              </w:rPr>
              <w:t>uportului</w:t>
            </w:r>
            <w:r w:rsidR="003A4259" w:rsidRPr="00931C55">
              <w:rPr>
                <w:rFonts w:ascii="Times New Roman" w:hAnsi="Times New Roman" w:cs="Times New Roman"/>
                <w:sz w:val="28"/>
                <w:szCs w:val="28"/>
                <w:lang w:val="ro-MO"/>
              </w:rPr>
              <w:t xml:space="preserve"> necesar funcţionării eficiente </w:t>
            </w:r>
            <w:r w:rsidR="00C32B55" w:rsidRPr="00931C55">
              <w:rPr>
                <w:rFonts w:ascii="Times New Roman" w:hAnsi="Times New Roman" w:cs="Times New Roman"/>
                <w:color w:val="000000"/>
                <w:sz w:val="28"/>
                <w:szCs w:val="28"/>
                <w:shd w:val="clear" w:color="auto" w:fill="FFFFFF"/>
                <w:lang w:val="ro-MO"/>
              </w:rPr>
              <w:t>S</w:t>
            </w:r>
            <w:r w:rsidR="00C32B55">
              <w:rPr>
                <w:rFonts w:ascii="Times New Roman" w:hAnsi="Times New Roman" w:cs="Times New Roman"/>
                <w:color w:val="000000"/>
                <w:sz w:val="28"/>
                <w:szCs w:val="28"/>
                <w:shd w:val="clear" w:color="auto" w:fill="FFFFFF"/>
                <w:lang w:val="ro-MO"/>
              </w:rPr>
              <w:t>PCSB</w:t>
            </w:r>
            <w:r w:rsidR="003A4259" w:rsidRPr="00931C55">
              <w:rPr>
                <w:rFonts w:ascii="Times New Roman" w:hAnsi="Times New Roman" w:cs="Times New Roman"/>
                <w:sz w:val="28"/>
                <w:szCs w:val="28"/>
                <w:lang w:val="ro-MO"/>
              </w:rPr>
              <w:t xml:space="preserve">. În acest sens Secția management va fi formată </w:t>
            </w:r>
            <w:r w:rsidR="005A5D62" w:rsidRPr="00931C55">
              <w:rPr>
                <w:rFonts w:ascii="Times New Roman" w:hAnsi="Times New Roman" w:cs="Times New Roman"/>
                <w:sz w:val="28"/>
                <w:szCs w:val="28"/>
                <w:lang w:val="ro-MO"/>
              </w:rPr>
              <w:t xml:space="preserve">din 4 unități de personal: </w:t>
            </w:r>
            <w:r w:rsidR="00045969" w:rsidRPr="00931C55">
              <w:rPr>
                <w:rFonts w:ascii="Times New Roman" w:hAnsi="Times New Roman" w:cs="Times New Roman"/>
                <w:sz w:val="28"/>
                <w:szCs w:val="28"/>
                <w:lang w:val="ro-MO"/>
              </w:rPr>
              <w:t xml:space="preserve">1 </w:t>
            </w:r>
            <w:proofErr w:type="spellStart"/>
            <w:r w:rsidR="00045969" w:rsidRPr="00931C55">
              <w:rPr>
                <w:rFonts w:ascii="Times New Roman" w:hAnsi="Times New Roman" w:cs="Times New Roman"/>
                <w:sz w:val="28"/>
                <w:szCs w:val="28"/>
                <w:lang w:val="ro-MO"/>
              </w:rPr>
              <w:t>u.p</w:t>
            </w:r>
            <w:proofErr w:type="spellEnd"/>
            <w:r w:rsidR="00045969" w:rsidRPr="00931C55">
              <w:rPr>
                <w:rFonts w:ascii="Times New Roman" w:hAnsi="Times New Roman" w:cs="Times New Roman"/>
                <w:sz w:val="28"/>
                <w:szCs w:val="28"/>
                <w:lang w:val="ro-MO"/>
              </w:rPr>
              <w:t xml:space="preserve"> -</w:t>
            </w:r>
            <w:r w:rsidR="003A4259" w:rsidRPr="00931C55">
              <w:rPr>
                <w:rFonts w:ascii="Times New Roman" w:hAnsi="Times New Roman" w:cs="Times New Roman"/>
                <w:sz w:val="28"/>
                <w:szCs w:val="28"/>
                <w:lang w:val="ro-MO"/>
              </w:rPr>
              <w:t xml:space="preserve"> resurse umane, </w:t>
            </w:r>
            <w:r w:rsidR="00045969" w:rsidRPr="00931C55">
              <w:rPr>
                <w:rFonts w:ascii="Times New Roman" w:hAnsi="Times New Roman" w:cs="Times New Roman"/>
                <w:sz w:val="28"/>
                <w:szCs w:val="28"/>
                <w:lang w:val="ro-MO"/>
              </w:rPr>
              <w:t xml:space="preserve">1 </w:t>
            </w:r>
            <w:proofErr w:type="spellStart"/>
            <w:r w:rsidR="00045969" w:rsidRPr="00931C55">
              <w:rPr>
                <w:rFonts w:ascii="Times New Roman" w:hAnsi="Times New Roman" w:cs="Times New Roman"/>
                <w:sz w:val="28"/>
                <w:szCs w:val="28"/>
                <w:lang w:val="ro-MO"/>
              </w:rPr>
              <w:t>u.p</w:t>
            </w:r>
            <w:proofErr w:type="spellEnd"/>
            <w:r w:rsidR="00045969" w:rsidRPr="00931C55">
              <w:rPr>
                <w:rFonts w:ascii="Times New Roman" w:hAnsi="Times New Roman" w:cs="Times New Roman"/>
                <w:sz w:val="28"/>
                <w:szCs w:val="28"/>
                <w:lang w:val="ro-MO"/>
              </w:rPr>
              <w:t xml:space="preserve"> - jurist</w:t>
            </w:r>
            <w:r w:rsidR="003A4259" w:rsidRPr="00931C55">
              <w:rPr>
                <w:rFonts w:ascii="Times New Roman" w:hAnsi="Times New Roman" w:cs="Times New Roman"/>
                <w:sz w:val="28"/>
                <w:szCs w:val="28"/>
                <w:lang w:val="ro-MO"/>
              </w:rPr>
              <w:t xml:space="preserve">, </w:t>
            </w:r>
            <w:r w:rsidR="00045969" w:rsidRPr="00931C55">
              <w:rPr>
                <w:rFonts w:ascii="Times New Roman" w:hAnsi="Times New Roman" w:cs="Times New Roman"/>
                <w:sz w:val="28"/>
                <w:szCs w:val="28"/>
                <w:lang w:val="ro-MO"/>
              </w:rPr>
              <w:t xml:space="preserve">1 </w:t>
            </w:r>
            <w:proofErr w:type="spellStart"/>
            <w:r w:rsidR="00045969" w:rsidRPr="00931C55">
              <w:rPr>
                <w:rFonts w:ascii="Times New Roman" w:hAnsi="Times New Roman" w:cs="Times New Roman"/>
                <w:sz w:val="28"/>
                <w:szCs w:val="28"/>
                <w:lang w:val="ro-MO"/>
              </w:rPr>
              <w:t>u.p</w:t>
            </w:r>
            <w:proofErr w:type="spellEnd"/>
            <w:r w:rsidR="00045969" w:rsidRPr="00931C55">
              <w:rPr>
                <w:rFonts w:ascii="Times New Roman" w:hAnsi="Times New Roman" w:cs="Times New Roman"/>
                <w:sz w:val="28"/>
                <w:szCs w:val="28"/>
                <w:lang w:val="ro-MO"/>
              </w:rPr>
              <w:t xml:space="preserve"> – </w:t>
            </w:r>
            <w:r w:rsidR="003A4259" w:rsidRPr="00931C55">
              <w:rPr>
                <w:rFonts w:ascii="Times New Roman" w:hAnsi="Times New Roman" w:cs="Times New Roman"/>
                <w:sz w:val="28"/>
                <w:szCs w:val="28"/>
                <w:lang w:val="ro-MO"/>
              </w:rPr>
              <w:t>contabi</w:t>
            </w:r>
            <w:r w:rsidR="00045969" w:rsidRPr="00931C55">
              <w:rPr>
                <w:rFonts w:ascii="Times New Roman" w:hAnsi="Times New Roman" w:cs="Times New Roman"/>
                <w:sz w:val="28"/>
                <w:szCs w:val="28"/>
                <w:lang w:val="ro-MO"/>
              </w:rPr>
              <w:t xml:space="preserve">l și 1 </w:t>
            </w:r>
            <w:proofErr w:type="spellStart"/>
            <w:r w:rsidR="00045969" w:rsidRPr="00931C55">
              <w:rPr>
                <w:rFonts w:ascii="Times New Roman" w:hAnsi="Times New Roman" w:cs="Times New Roman"/>
                <w:sz w:val="28"/>
                <w:szCs w:val="28"/>
                <w:lang w:val="ro-MO"/>
              </w:rPr>
              <w:t>u.p-</w:t>
            </w:r>
            <w:proofErr w:type="spellEnd"/>
            <w:r w:rsidR="00045969" w:rsidRPr="00931C55">
              <w:rPr>
                <w:rFonts w:ascii="Times New Roman" w:hAnsi="Times New Roman" w:cs="Times New Roman"/>
                <w:sz w:val="28"/>
                <w:szCs w:val="28"/>
                <w:lang w:val="ro-MO"/>
              </w:rPr>
              <w:t xml:space="preserve"> </w:t>
            </w:r>
            <w:r w:rsidR="00473BC0" w:rsidRPr="00931C55">
              <w:rPr>
                <w:rFonts w:ascii="Times New Roman" w:hAnsi="Times New Roman" w:cs="Times New Roman"/>
                <w:sz w:val="28"/>
                <w:szCs w:val="28"/>
                <w:lang w:val="ro-MO"/>
              </w:rPr>
              <w:t xml:space="preserve">secretariat, </w:t>
            </w:r>
            <w:r w:rsidR="003A4259" w:rsidRPr="00931C55">
              <w:rPr>
                <w:rFonts w:ascii="Times New Roman" w:hAnsi="Times New Roman" w:cs="Times New Roman"/>
                <w:sz w:val="28"/>
                <w:szCs w:val="28"/>
                <w:lang w:val="ro-MO"/>
              </w:rPr>
              <w:t>arhivă</w:t>
            </w:r>
            <w:r w:rsidR="00AC3DAC">
              <w:rPr>
                <w:rFonts w:ascii="Times New Roman" w:hAnsi="Times New Roman" w:cs="Times New Roman"/>
                <w:sz w:val="28"/>
                <w:szCs w:val="28"/>
                <w:lang w:val="ro-MO"/>
              </w:rPr>
              <w:t>, statistică și logistică</w:t>
            </w:r>
            <w:bookmarkStart w:id="0" w:name="_GoBack"/>
            <w:bookmarkEnd w:id="0"/>
            <w:r w:rsidR="003A4259" w:rsidRPr="00931C55">
              <w:rPr>
                <w:rFonts w:ascii="Times New Roman" w:hAnsi="Times New Roman" w:cs="Times New Roman"/>
                <w:sz w:val="28"/>
                <w:szCs w:val="28"/>
                <w:lang w:val="ro-MO"/>
              </w:rPr>
              <w:t>.</w:t>
            </w:r>
          </w:p>
          <w:p w:rsidR="006251D4" w:rsidRPr="00931C55" w:rsidRDefault="006251D4" w:rsidP="00092B59">
            <w:pPr>
              <w:pStyle w:val="NoSpacing"/>
              <w:ind w:firstLine="549"/>
              <w:jc w:val="both"/>
              <w:rPr>
                <w:rFonts w:ascii="Times New Roman" w:hAnsi="Times New Roman"/>
                <w:sz w:val="14"/>
                <w:szCs w:val="26"/>
                <w:lang w:val="ro-MO"/>
              </w:rPr>
            </w:pPr>
          </w:p>
        </w:tc>
      </w:tr>
      <w:tr w:rsidR="005B6A94" w:rsidRPr="00097217" w:rsidTr="002C3455">
        <w:tc>
          <w:tcPr>
            <w:tcW w:w="9360" w:type="dxa"/>
            <w:shd w:val="clear" w:color="auto" w:fill="D9D9D9"/>
          </w:tcPr>
          <w:p w:rsidR="005B6A94" w:rsidRPr="00931C55" w:rsidRDefault="005B6A94" w:rsidP="005B6A94">
            <w:pPr>
              <w:numPr>
                <w:ilvl w:val="0"/>
                <w:numId w:val="2"/>
              </w:numPr>
              <w:spacing w:after="80" w:line="259" w:lineRule="auto"/>
              <w:ind w:left="414"/>
              <w:mirrorIndents/>
              <w:jc w:val="both"/>
              <w:rPr>
                <w:rFonts w:ascii="Times New Roman" w:hAnsi="Times New Roman"/>
                <w:b/>
                <w:i/>
                <w:sz w:val="24"/>
                <w:szCs w:val="24"/>
                <w:lang w:val="ro-MO"/>
              </w:rPr>
            </w:pPr>
            <w:r w:rsidRPr="00931C55">
              <w:rPr>
                <w:rFonts w:ascii="Times New Roman" w:hAnsi="Times New Roman"/>
                <w:b/>
                <w:i/>
                <w:sz w:val="24"/>
                <w:szCs w:val="24"/>
                <w:lang w:val="ro-MO"/>
              </w:rPr>
              <w:lastRenderedPageBreak/>
              <w:t>Descrierea gradului de compatibilitate  a prevederilor proiectului cu legislația Uniunii Europene</w:t>
            </w:r>
          </w:p>
        </w:tc>
      </w:tr>
      <w:tr w:rsidR="005B6A94" w:rsidRPr="00097217" w:rsidTr="002C3455">
        <w:tc>
          <w:tcPr>
            <w:tcW w:w="9360" w:type="dxa"/>
            <w:shd w:val="clear" w:color="auto" w:fill="auto"/>
          </w:tcPr>
          <w:p w:rsidR="005B6A94" w:rsidRPr="00931C55" w:rsidRDefault="005B6A94" w:rsidP="00610CBA">
            <w:pPr>
              <w:spacing w:after="120"/>
              <w:ind w:firstLine="549"/>
              <w:mirrorIndents/>
              <w:jc w:val="both"/>
              <w:rPr>
                <w:rFonts w:ascii="Times New Roman" w:hAnsi="Times New Roman"/>
                <w:sz w:val="28"/>
                <w:szCs w:val="28"/>
                <w:lang w:val="ro-MO"/>
              </w:rPr>
            </w:pPr>
            <w:r w:rsidRPr="00931C55">
              <w:rPr>
                <w:rFonts w:ascii="Times New Roman" w:hAnsi="Times New Roman"/>
                <w:sz w:val="28"/>
                <w:szCs w:val="28"/>
                <w:lang w:val="ro-MO"/>
              </w:rPr>
              <w:t>Prezentul proiect de nu contravine legislației Uniunii Europene.</w:t>
            </w:r>
          </w:p>
        </w:tc>
      </w:tr>
      <w:tr w:rsidR="005B6A94" w:rsidRPr="00931C55" w:rsidTr="002C3455">
        <w:tc>
          <w:tcPr>
            <w:tcW w:w="9360" w:type="dxa"/>
            <w:shd w:val="clear" w:color="auto" w:fill="D9D9D9"/>
          </w:tcPr>
          <w:p w:rsidR="005B6A94" w:rsidRPr="00931C55" w:rsidRDefault="005B6A94" w:rsidP="005B6A94">
            <w:pPr>
              <w:numPr>
                <w:ilvl w:val="0"/>
                <w:numId w:val="2"/>
              </w:numPr>
              <w:spacing w:after="80" w:line="259" w:lineRule="auto"/>
              <w:ind w:left="414"/>
              <w:mirrorIndents/>
              <w:jc w:val="both"/>
              <w:rPr>
                <w:rFonts w:ascii="Times New Roman" w:hAnsi="Times New Roman"/>
                <w:b/>
                <w:sz w:val="24"/>
                <w:szCs w:val="24"/>
                <w:lang w:val="ro-MO"/>
              </w:rPr>
            </w:pPr>
            <w:r w:rsidRPr="00931C55">
              <w:rPr>
                <w:rFonts w:ascii="Times New Roman" w:hAnsi="Times New Roman"/>
                <w:b/>
                <w:i/>
                <w:sz w:val="24"/>
                <w:szCs w:val="24"/>
                <w:lang w:val="ro-MO"/>
              </w:rPr>
              <w:t>Fundamentarea economico-financiară</w:t>
            </w:r>
          </w:p>
        </w:tc>
      </w:tr>
      <w:tr w:rsidR="00A82402" w:rsidRPr="00097217" w:rsidTr="002C3455">
        <w:tc>
          <w:tcPr>
            <w:tcW w:w="9360" w:type="dxa"/>
            <w:shd w:val="clear" w:color="auto" w:fill="auto"/>
          </w:tcPr>
          <w:p w:rsidR="005B6A94" w:rsidRPr="00931C55" w:rsidRDefault="005B6A94" w:rsidP="00610CBA">
            <w:pPr>
              <w:spacing w:after="0"/>
              <w:ind w:firstLine="549"/>
              <w:mirrorIndents/>
              <w:jc w:val="both"/>
              <w:rPr>
                <w:rFonts w:ascii="Times New Roman" w:hAnsi="Times New Roman"/>
                <w:sz w:val="28"/>
                <w:szCs w:val="28"/>
                <w:lang w:val="ro-MO"/>
              </w:rPr>
            </w:pPr>
            <w:r w:rsidRPr="00931C55">
              <w:rPr>
                <w:rFonts w:ascii="Times New Roman" w:hAnsi="Times New Roman"/>
                <w:sz w:val="28"/>
                <w:szCs w:val="28"/>
                <w:lang w:val="ro-MO"/>
              </w:rPr>
              <w:t xml:space="preserve">Implementarea prevederilor proiectului </w:t>
            </w:r>
            <w:r w:rsidR="00092B59" w:rsidRPr="00931C55">
              <w:rPr>
                <w:rFonts w:ascii="Times New Roman" w:hAnsi="Times New Roman"/>
                <w:sz w:val="28"/>
                <w:szCs w:val="28"/>
                <w:lang w:val="ro-MO"/>
              </w:rPr>
              <w:t>va necesita</w:t>
            </w:r>
            <w:r w:rsidRPr="00931C55">
              <w:rPr>
                <w:rFonts w:ascii="Times New Roman" w:hAnsi="Times New Roman"/>
                <w:sz w:val="28"/>
                <w:szCs w:val="28"/>
                <w:lang w:val="ro-MO"/>
              </w:rPr>
              <w:t xml:space="preserve"> cheltuieli financiare </w:t>
            </w:r>
            <w:r w:rsidR="00A82402" w:rsidRPr="00931C55">
              <w:rPr>
                <w:rFonts w:ascii="Times New Roman" w:hAnsi="Times New Roman"/>
                <w:sz w:val="28"/>
                <w:szCs w:val="28"/>
                <w:lang w:val="ro-MO"/>
              </w:rPr>
              <w:t>din bugetul de stat</w:t>
            </w:r>
            <w:r w:rsidR="00D45AB0" w:rsidRPr="00931C55">
              <w:rPr>
                <w:rFonts w:ascii="Times New Roman" w:hAnsi="Times New Roman"/>
                <w:sz w:val="28"/>
                <w:szCs w:val="28"/>
                <w:lang w:val="ro-MO"/>
              </w:rPr>
              <w:t>,</w:t>
            </w:r>
            <w:r w:rsidR="00ED12D3" w:rsidRPr="00931C55">
              <w:rPr>
                <w:rFonts w:ascii="Times New Roman" w:hAnsi="Times New Roman"/>
                <w:sz w:val="28"/>
                <w:szCs w:val="28"/>
                <w:lang w:val="ro-MO"/>
              </w:rPr>
              <w:t xml:space="preserve"> care vor fi acoperite</w:t>
            </w:r>
            <w:r w:rsidR="00D45AB0" w:rsidRPr="00931C55">
              <w:rPr>
                <w:rFonts w:ascii="Times New Roman" w:hAnsi="Times New Roman"/>
                <w:sz w:val="28"/>
                <w:szCs w:val="28"/>
                <w:lang w:val="ro-MO"/>
              </w:rPr>
              <w:t xml:space="preserve"> </w:t>
            </w:r>
            <w:r w:rsidR="004E3152" w:rsidRPr="00931C55">
              <w:rPr>
                <w:rFonts w:ascii="Times New Roman" w:hAnsi="Times New Roman"/>
                <w:sz w:val="28"/>
                <w:szCs w:val="28"/>
                <w:lang w:val="ro-MO"/>
              </w:rPr>
              <w:t xml:space="preserve">prin redistribuirea alocațiilor prevăzute </w:t>
            </w:r>
            <w:r w:rsidR="004E3152" w:rsidRPr="00931C55">
              <w:rPr>
                <w:rFonts w:ascii="Times New Roman" w:hAnsi="Times New Roman"/>
                <w:sz w:val="28"/>
                <w:szCs w:val="28"/>
                <w:shd w:val="clear" w:color="auto" w:fill="FFFFFF"/>
                <w:lang w:val="ro-MO"/>
              </w:rPr>
              <w:t>în domeniul prevenirii şi combaterii spălării banilor şi finanţării terorismului </w:t>
            </w:r>
            <w:r w:rsidR="00ED12D3" w:rsidRPr="00931C55">
              <w:rPr>
                <w:rFonts w:ascii="Times New Roman" w:hAnsi="Times New Roman"/>
                <w:sz w:val="28"/>
                <w:szCs w:val="28"/>
                <w:shd w:val="clear" w:color="auto" w:fill="FFFFFF"/>
                <w:lang w:val="ro-MO"/>
              </w:rPr>
              <w:t>de la C</w:t>
            </w:r>
            <w:r w:rsidR="00B708B0" w:rsidRPr="00931C55">
              <w:rPr>
                <w:rFonts w:ascii="Times New Roman" w:hAnsi="Times New Roman"/>
                <w:sz w:val="28"/>
                <w:szCs w:val="28"/>
                <w:shd w:val="clear" w:color="auto" w:fill="FFFFFF"/>
                <w:lang w:val="ro-MO"/>
              </w:rPr>
              <w:t xml:space="preserve">entrul Național </w:t>
            </w:r>
            <w:r w:rsidR="00ED12D3" w:rsidRPr="00931C55">
              <w:rPr>
                <w:rFonts w:ascii="Times New Roman" w:hAnsi="Times New Roman"/>
                <w:sz w:val="28"/>
                <w:szCs w:val="28"/>
                <w:shd w:val="clear" w:color="auto" w:fill="FFFFFF"/>
                <w:lang w:val="ro-MO"/>
              </w:rPr>
              <w:t>A</w:t>
            </w:r>
            <w:r w:rsidR="00B708B0" w:rsidRPr="00931C55">
              <w:rPr>
                <w:rFonts w:ascii="Times New Roman" w:hAnsi="Times New Roman"/>
                <w:sz w:val="28"/>
                <w:szCs w:val="28"/>
                <w:shd w:val="clear" w:color="auto" w:fill="FFFFFF"/>
                <w:lang w:val="ro-MO"/>
              </w:rPr>
              <w:t>nticorupție</w:t>
            </w:r>
            <w:r w:rsidR="00ED12D3" w:rsidRPr="00931C55">
              <w:rPr>
                <w:rFonts w:ascii="Times New Roman" w:hAnsi="Times New Roman"/>
                <w:sz w:val="28"/>
                <w:szCs w:val="28"/>
                <w:shd w:val="clear" w:color="auto" w:fill="FFFFFF"/>
                <w:lang w:val="ro-MO"/>
              </w:rPr>
              <w:t xml:space="preserve"> către </w:t>
            </w:r>
            <w:r w:rsidR="00B708B0" w:rsidRPr="00931C55">
              <w:rPr>
                <w:rFonts w:ascii="Times New Roman" w:hAnsi="Times New Roman"/>
                <w:sz w:val="28"/>
                <w:szCs w:val="28"/>
                <w:lang w:val="ro-MO"/>
              </w:rPr>
              <w:t>Serviciul Prevenirea şi Combaterea Spălării Banilor</w:t>
            </w:r>
            <w:r w:rsidR="002136C7">
              <w:rPr>
                <w:rFonts w:ascii="Times New Roman" w:hAnsi="Times New Roman"/>
                <w:sz w:val="28"/>
                <w:szCs w:val="28"/>
                <w:lang w:val="ro-MO"/>
              </w:rPr>
              <w:t>,</w:t>
            </w:r>
            <w:r w:rsidR="004E3152" w:rsidRPr="00931C55">
              <w:rPr>
                <w:rFonts w:ascii="Times New Roman" w:hAnsi="Times New Roman"/>
                <w:sz w:val="28"/>
                <w:szCs w:val="28"/>
                <w:lang w:val="ro-MO"/>
              </w:rPr>
              <w:t xml:space="preserve"> </w:t>
            </w:r>
            <w:r w:rsidR="00B708B0" w:rsidRPr="00931C55">
              <w:rPr>
                <w:rFonts w:ascii="Times New Roman" w:hAnsi="Times New Roman"/>
                <w:sz w:val="28"/>
                <w:szCs w:val="28"/>
                <w:lang w:val="ro-MO"/>
              </w:rPr>
              <w:t xml:space="preserve">în </w:t>
            </w:r>
            <w:r w:rsidR="00D45AB0" w:rsidRPr="00931C55">
              <w:rPr>
                <w:rFonts w:ascii="Times New Roman" w:hAnsi="Times New Roman"/>
                <w:sz w:val="28"/>
                <w:szCs w:val="28"/>
                <w:lang w:val="ro-MO"/>
              </w:rPr>
              <w:t>conform</w:t>
            </w:r>
            <w:r w:rsidR="00B708B0" w:rsidRPr="00931C55">
              <w:rPr>
                <w:rFonts w:ascii="Times New Roman" w:hAnsi="Times New Roman"/>
                <w:sz w:val="28"/>
                <w:szCs w:val="28"/>
                <w:lang w:val="ro-MO"/>
              </w:rPr>
              <w:t>itate cu prevederile</w:t>
            </w:r>
            <w:r w:rsidR="00D45AB0" w:rsidRPr="00931C55">
              <w:rPr>
                <w:rFonts w:ascii="Times New Roman" w:hAnsi="Times New Roman"/>
                <w:sz w:val="28"/>
                <w:szCs w:val="28"/>
                <w:lang w:val="ro-MO"/>
              </w:rPr>
              <w:t xml:space="preserve"> art.37 alin.(7) </w:t>
            </w:r>
            <w:r w:rsidR="00B708B0" w:rsidRPr="00931C55">
              <w:rPr>
                <w:rFonts w:ascii="Times New Roman" w:hAnsi="Times New Roman"/>
                <w:sz w:val="28"/>
                <w:szCs w:val="28"/>
                <w:lang w:val="ro-MO"/>
              </w:rPr>
              <w:t>din L</w:t>
            </w:r>
            <w:r w:rsidR="00ED12D3" w:rsidRPr="00931C55">
              <w:rPr>
                <w:rFonts w:ascii="Times New Roman" w:hAnsi="Times New Roman"/>
                <w:sz w:val="28"/>
                <w:szCs w:val="28"/>
                <w:lang w:val="ro-MO"/>
              </w:rPr>
              <w:t>egea nr.308/2017.</w:t>
            </w:r>
          </w:p>
        </w:tc>
      </w:tr>
    </w:tbl>
    <w:p w:rsidR="005B6A94" w:rsidRPr="00931C55" w:rsidRDefault="005B6A94" w:rsidP="005B6A94">
      <w:pPr>
        <w:spacing w:after="0"/>
        <w:ind w:firstLine="810"/>
        <w:mirrorIndents/>
        <w:jc w:val="both"/>
        <w:rPr>
          <w:rFonts w:ascii="Times New Roman" w:hAnsi="Times New Roman"/>
          <w:b/>
          <w:sz w:val="24"/>
          <w:szCs w:val="24"/>
          <w:lang w:val="ro-MO"/>
        </w:rPr>
      </w:pPr>
    </w:p>
    <w:p w:rsidR="00FB12DF" w:rsidRPr="00931C55" w:rsidRDefault="00FB12DF" w:rsidP="005B6A94">
      <w:pPr>
        <w:spacing w:after="0"/>
        <w:ind w:firstLine="810"/>
        <w:mirrorIndents/>
        <w:jc w:val="both"/>
        <w:rPr>
          <w:rFonts w:ascii="Times New Roman" w:hAnsi="Times New Roman"/>
          <w:b/>
          <w:sz w:val="24"/>
          <w:szCs w:val="24"/>
          <w:lang w:val="ro-MO"/>
        </w:rPr>
      </w:pPr>
    </w:p>
    <w:p w:rsidR="00FB12DF" w:rsidRPr="00931C55" w:rsidRDefault="00FB12DF" w:rsidP="005B6A94">
      <w:pPr>
        <w:spacing w:after="0"/>
        <w:ind w:firstLine="810"/>
        <w:mirrorIndents/>
        <w:jc w:val="both"/>
        <w:rPr>
          <w:rFonts w:ascii="Times New Roman" w:hAnsi="Times New Roman"/>
          <w:b/>
          <w:sz w:val="24"/>
          <w:szCs w:val="24"/>
          <w:lang w:val="ro-MO"/>
        </w:rPr>
      </w:pPr>
    </w:p>
    <w:p w:rsidR="00CA4ECF" w:rsidRPr="00931C55" w:rsidRDefault="00CA4ECF" w:rsidP="00CA4ECF">
      <w:pPr>
        <w:pStyle w:val="NoSpacing"/>
        <w:rPr>
          <w:rFonts w:ascii="Times New Roman" w:hAnsi="Times New Roman" w:cs="Times New Roman"/>
          <w:sz w:val="28"/>
          <w:szCs w:val="28"/>
          <w:lang w:val="ro-MO"/>
        </w:rPr>
      </w:pPr>
      <w:r w:rsidRPr="00931C55">
        <w:rPr>
          <w:rFonts w:ascii="Times New Roman" w:hAnsi="Times New Roman" w:cs="Times New Roman"/>
          <w:sz w:val="28"/>
          <w:szCs w:val="28"/>
          <w:lang w:val="ro-MO"/>
        </w:rPr>
        <w:tab/>
        <w:t>Director                                                                                     Iurie CIOCAN</w:t>
      </w:r>
    </w:p>
    <w:p w:rsidR="00CA4ECF" w:rsidRPr="00931C55" w:rsidRDefault="00CA4ECF" w:rsidP="005B6A94">
      <w:pPr>
        <w:pStyle w:val="NoSpacing"/>
        <w:jc w:val="both"/>
        <w:rPr>
          <w:rFonts w:ascii="Times New Roman" w:hAnsi="Times New Roman" w:cs="Times New Roman"/>
          <w:sz w:val="28"/>
          <w:szCs w:val="28"/>
          <w:lang w:val="ro-MO"/>
        </w:rPr>
      </w:pPr>
      <w:r w:rsidRPr="00931C55">
        <w:rPr>
          <w:rFonts w:ascii="Times New Roman" w:hAnsi="Times New Roman" w:cs="Times New Roman"/>
          <w:sz w:val="28"/>
          <w:szCs w:val="28"/>
          <w:lang w:val="ro-MO"/>
        </w:rPr>
        <w:t xml:space="preserve">al Centrului de Implementare a  Reformelor                                      </w:t>
      </w:r>
    </w:p>
    <w:p w:rsidR="00F67792" w:rsidRPr="00931C55" w:rsidRDefault="005B6A94" w:rsidP="00A96FDA">
      <w:pPr>
        <w:pStyle w:val="NoSpacing"/>
        <w:jc w:val="both"/>
        <w:rPr>
          <w:lang w:val="ro-MO"/>
        </w:rPr>
      </w:pPr>
      <w:r w:rsidRPr="00931C55">
        <w:rPr>
          <w:rFonts w:ascii="Times New Roman" w:hAnsi="Times New Roman" w:cs="Times New Roman"/>
          <w:sz w:val="28"/>
          <w:szCs w:val="28"/>
          <w:lang w:val="ro-MO"/>
        </w:rPr>
        <w:tab/>
      </w:r>
      <w:r w:rsidRPr="00931C55">
        <w:rPr>
          <w:rFonts w:ascii="Times New Roman" w:hAnsi="Times New Roman" w:cs="Times New Roman"/>
          <w:sz w:val="28"/>
          <w:szCs w:val="28"/>
          <w:lang w:val="ro-MO"/>
        </w:rPr>
        <w:tab/>
      </w:r>
    </w:p>
    <w:sectPr w:rsidR="00F67792" w:rsidRPr="00931C55" w:rsidSect="00F066F5">
      <w:pgSz w:w="11906" w:h="16838"/>
      <w:pgMar w:top="1134"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2FCE64C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3811AE6"/>
    <w:multiLevelType w:val="hybridMultilevel"/>
    <w:tmpl w:val="115EB43A"/>
    <w:lvl w:ilvl="0" w:tplc="3E78FCE8">
      <w:start w:val="1"/>
      <w:numFmt w:val="decimal"/>
      <w:lvlText w:val="%1."/>
      <w:lvlJc w:val="left"/>
      <w:pPr>
        <w:ind w:left="786"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C8A43D4"/>
    <w:multiLevelType w:val="hybridMultilevel"/>
    <w:tmpl w:val="9E8E2628"/>
    <w:lvl w:ilvl="0" w:tplc="5A9C94C4">
      <w:start w:val="1"/>
      <w:numFmt w:val="decimal"/>
      <w:lvlText w:val="%1."/>
      <w:lvlJc w:val="left"/>
      <w:pPr>
        <w:ind w:left="1070" w:hanging="360"/>
      </w:pPr>
      <w:rPr>
        <w:i/>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3">
    <w:nsid w:val="1EB1250B"/>
    <w:multiLevelType w:val="multilevel"/>
    <w:tmpl w:val="2FCE64C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nsid w:val="31E556B0"/>
    <w:multiLevelType w:val="hybridMultilevel"/>
    <w:tmpl w:val="DAE4F892"/>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nsid w:val="62D311D7"/>
    <w:multiLevelType w:val="hybridMultilevel"/>
    <w:tmpl w:val="EE166962"/>
    <w:lvl w:ilvl="0" w:tplc="8E9A5264">
      <w:start w:val="1"/>
      <w:numFmt w:val="decimal"/>
      <w:lvlText w:val="%1)"/>
      <w:lvlJc w:val="left"/>
      <w:pPr>
        <w:ind w:left="1070" w:hanging="360"/>
      </w:pPr>
      <w:rPr>
        <w:rFonts w:hint="default"/>
        <w:b w:val="0"/>
      </w:rPr>
    </w:lvl>
    <w:lvl w:ilvl="1" w:tplc="3EB04520">
      <w:start w:val="1"/>
      <w:numFmt w:val="lowerLetter"/>
      <w:lvlText w:val="%2)"/>
      <w:lvlJc w:val="left"/>
      <w:pPr>
        <w:ind w:left="1650" w:hanging="855"/>
      </w:pPr>
      <w:rPr>
        <w:rFonts w:hint="default"/>
      </w:r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6">
    <w:nsid w:val="691C17F0"/>
    <w:multiLevelType w:val="hybridMultilevel"/>
    <w:tmpl w:val="0F08EB06"/>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nsid w:val="7D4768D6"/>
    <w:multiLevelType w:val="hybridMultilevel"/>
    <w:tmpl w:val="467C88D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7"/>
  </w:num>
  <w:num w:numId="5">
    <w:abstractNumId w:val="5"/>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A94"/>
    <w:rsid w:val="00001AF7"/>
    <w:rsid w:val="0000464C"/>
    <w:rsid w:val="0000757E"/>
    <w:rsid w:val="00020B8F"/>
    <w:rsid w:val="00024362"/>
    <w:rsid w:val="00036C50"/>
    <w:rsid w:val="00036DDF"/>
    <w:rsid w:val="00040179"/>
    <w:rsid w:val="00045969"/>
    <w:rsid w:val="00047B2F"/>
    <w:rsid w:val="00050A0F"/>
    <w:rsid w:val="00056C49"/>
    <w:rsid w:val="00071442"/>
    <w:rsid w:val="00071F39"/>
    <w:rsid w:val="00092B59"/>
    <w:rsid w:val="00092D5F"/>
    <w:rsid w:val="00097217"/>
    <w:rsid w:val="000A4EEE"/>
    <w:rsid w:val="000B3042"/>
    <w:rsid w:val="000B7E98"/>
    <w:rsid w:val="000D118A"/>
    <w:rsid w:val="000D2111"/>
    <w:rsid w:val="000E75AF"/>
    <w:rsid w:val="00106395"/>
    <w:rsid w:val="001111AC"/>
    <w:rsid w:val="00112FB8"/>
    <w:rsid w:val="00116298"/>
    <w:rsid w:val="001420EF"/>
    <w:rsid w:val="00142304"/>
    <w:rsid w:val="00147B1C"/>
    <w:rsid w:val="00155DCA"/>
    <w:rsid w:val="0017722D"/>
    <w:rsid w:val="00193943"/>
    <w:rsid w:val="001B2095"/>
    <w:rsid w:val="001B3BD9"/>
    <w:rsid w:val="001C721B"/>
    <w:rsid w:val="001D746A"/>
    <w:rsid w:val="001E22CD"/>
    <w:rsid w:val="001E362B"/>
    <w:rsid w:val="001E591D"/>
    <w:rsid w:val="001F3F51"/>
    <w:rsid w:val="0020762E"/>
    <w:rsid w:val="002136C7"/>
    <w:rsid w:val="00216F79"/>
    <w:rsid w:val="002230B2"/>
    <w:rsid w:val="00237DED"/>
    <w:rsid w:val="00250952"/>
    <w:rsid w:val="00251C46"/>
    <w:rsid w:val="0027307F"/>
    <w:rsid w:val="00281139"/>
    <w:rsid w:val="00281E75"/>
    <w:rsid w:val="002A7F68"/>
    <w:rsid w:val="002C0A44"/>
    <w:rsid w:val="002D43A4"/>
    <w:rsid w:val="002E0E6C"/>
    <w:rsid w:val="00303830"/>
    <w:rsid w:val="00323427"/>
    <w:rsid w:val="00332CDE"/>
    <w:rsid w:val="00336086"/>
    <w:rsid w:val="00337804"/>
    <w:rsid w:val="00344B5D"/>
    <w:rsid w:val="00344BE2"/>
    <w:rsid w:val="0035504B"/>
    <w:rsid w:val="00363AB5"/>
    <w:rsid w:val="00366FD7"/>
    <w:rsid w:val="00371499"/>
    <w:rsid w:val="003844A5"/>
    <w:rsid w:val="00392233"/>
    <w:rsid w:val="00394FAC"/>
    <w:rsid w:val="003A4259"/>
    <w:rsid w:val="003A4D14"/>
    <w:rsid w:val="003B0927"/>
    <w:rsid w:val="003B741B"/>
    <w:rsid w:val="003D7C72"/>
    <w:rsid w:val="003E0A6E"/>
    <w:rsid w:val="003E682F"/>
    <w:rsid w:val="003E686D"/>
    <w:rsid w:val="003F4981"/>
    <w:rsid w:val="0040256E"/>
    <w:rsid w:val="00417B12"/>
    <w:rsid w:val="00435617"/>
    <w:rsid w:val="00445580"/>
    <w:rsid w:val="00461087"/>
    <w:rsid w:val="00473BC0"/>
    <w:rsid w:val="00481193"/>
    <w:rsid w:val="00487747"/>
    <w:rsid w:val="0049661F"/>
    <w:rsid w:val="004A7401"/>
    <w:rsid w:val="004A7C7E"/>
    <w:rsid w:val="004B3E21"/>
    <w:rsid w:val="004C2509"/>
    <w:rsid w:val="004C4D4E"/>
    <w:rsid w:val="004E3152"/>
    <w:rsid w:val="004E68C5"/>
    <w:rsid w:val="004F1A73"/>
    <w:rsid w:val="004F4094"/>
    <w:rsid w:val="004F6607"/>
    <w:rsid w:val="005141E3"/>
    <w:rsid w:val="005171ED"/>
    <w:rsid w:val="0052386C"/>
    <w:rsid w:val="005247A9"/>
    <w:rsid w:val="005340F2"/>
    <w:rsid w:val="005342CE"/>
    <w:rsid w:val="00537706"/>
    <w:rsid w:val="0056337A"/>
    <w:rsid w:val="0058409C"/>
    <w:rsid w:val="005862BC"/>
    <w:rsid w:val="00593FD6"/>
    <w:rsid w:val="005A5D62"/>
    <w:rsid w:val="005B6A94"/>
    <w:rsid w:val="005C1D73"/>
    <w:rsid w:val="005C55E0"/>
    <w:rsid w:val="005C7297"/>
    <w:rsid w:val="005D0544"/>
    <w:rsid w:val="005E3BBB"/>
    <w:rsid w:val="005E4126"/>
    <w:rsid w:val="005F263C"/>
    <w:rsid w:val="005F2DD3"/>
    <w:rsid w:val="00610CBA"/>
    <w:rsid w:val="00617FC6"/>
    <w:rsid w:val="00623C68"/>
    <w:rsid w:val="00624F20"/>
    <w:rsid w:val="006251D4"/>
    <w:rsid w:val="0063059D"/>
    <w:rsid w:val="006355B3"/>
    <w:rsid w:val="006526D0"/>
    <w:rsid w:val="006527B3"/>
    <w:rsid w:val="00655063"/>
    <w:rsid w:val="006627C5"/>
    <w:rsid w:val="00666667"/>
    <w:rsid w:val="00680BB7"/>
    <w:rsid w:val="006A114D"/>
    <w:rsid w:val="006B333B"/>
    <w:rsid w:val="006B7E6B"/>
    <w:rsid w:val="006C27F1"/>
    <w:rsid w:val="006D7330"/>
    <w:rsid w:val="0070193D"/>
    <w:rsid w:val="007042EF"/>
    <w:rsid w:val="00716388"/>
    <w:rsid w:val="007206D3"/>
    <w:rsid w:val="0072150B"/>
    <w:rsid w:val="00727903"/>
    <w:rsid w:val="00740FA3"/>
    <w:rsid w:val="00753156"/>
    <w:rsid w:val="007653E2"/>
    <w:rsid w:val="007715C7"/>
    <w:rsid w:val="007B5996"/>
    <w:rsid w:val="007B6E7E"/>
    <w:rsid w:val="007C242B"/>
    <w:rsid w:val="007E68AD"/>
    <w:rsid w:val="007E6ECD"/>
    <w:rsid w:val="007F1AE0"/>
    <w:rsid w:val="008025A4"/>
    <w:rsid w:val="0080440B"/>
    <w:rsid w:val="0080641E"/>
    <w:rsid w:val="00825A4F"/>
    <w:rsid w:val="00836E46"/>
    <w:rsid w:val="008452C9"/>
    <w:rsid w:val="0085073D"/>
    <w:rsid w:val="008507F6"/>
    <w:rsid w:val="008509BE"/>
    <w:rsid w:val="00895B0B"/>
    <w:rsid w:val="008A5565"/>
    <w:rsid w:val="008E6E14"/>
    <w:rsid w:val="008F3523"/>
    <w:rsid w:val="008F5CC2"/>
    <w:rsid w:val="0090363D"/>
    <w:rsid w:val="00905F31"/>
    <w:rsid w:val="009219DD"/>
    <w:rsid w:val="00922326"/>
    <w:rsid w:val="00931C55"/>
    <w:rsid w:val="00941E99"/>
    <w:rsid w:val="00944E3A"/>
    <w:rsid w:val="00950473"/>
    <w:rsid w:val="009518EA"/>
    <w:rsid w:val="0096161A"/>
    <w:rsid w:val="009736C4"/>
    <w:rsid w:val="00980FBE"/>
    <w:rsid w:val="00984E99"/>
    <w:rsid w:val="00986C63"/>
    <w:rsid w:val="009914D6"/>
    <w:rsid w:val="00992E4C"/>
    <w:rsid w:val="00997AB6"/>
    <w:rsid w:val="009A3890"/>
    <w:rsid w:val="009A7B65"/>
    <w:rsid w:val="009B6B8F"/>
    <w:rsid w:val="009B72AA"/>
    <w:rsid w:val="009E42C8"/>
    <w:rsid w:val="00A238B3"/>
    <w:rsid w:val="00A34BAC"/>
    <w:rsid w:val="00A43848"/>
    <w:rsid w:val="00A447B0"/>
    <w:rsid w:val="00A55156"/>
    <w:rsid w:val="00A65E11"/>
    <w:rsid w:val="00A665B2"/>
    <w:rsid w:val="00A767C7"/>
    <w:rsid w:val="00A82402"/>
    <w:rsid w:val="00A84B2F"/>
    <w:rsid w:val="00A864D1"/>
    <w:rsid w:val="00A9028C"/>
    <w:rsid w:val="00A96FDA"/>
    <w:rsid w:val="00AA29B9"/>
    <w:rsid w:val="00AA35DC"/>
    <w:rsid w:val="00AA73C4"/>
    <w:rsid w:val="00AB2245"/>
    <w:rsid w:val="00AB71CA"/>
    <w:rsid w:val="00AC3DAC"/>
    <w:rsid w:val="00AD4C0B"/>
    <w:rsid w:val="00AD7FE1"/>
    <w:rsid w:val="00AE5FB1"/>
    <w:rsid w:val="00AF62C8"/>
    <w:rsid w:val="00B101AA"/>
    <w:rsid w:val="00B1207E"/>
    <w:rsid w:val="00B21F76"/>
    <w:rsid w:val="00B5232C"/>
    <w:rsid w:val="00B526EF"/>
    <w:rsid w:val="00B6777B"/>
    <w:rsid w:val="00B708B0"/>
    <w:rsid w:val="00BA1530"/>
    <w:rsid w:val="00BB5AEE"/>
    <w:rsid w:val="00BC0A05"/>
    <w:rsid w:val="00BD36D5"/>
    <w:rsid w:val="00C16CCB"/>
    <w:rsid w:val="00C20F99"/>
    <w:rsid w:val="00C215DD"/>
    <w:rsid w:val="00C25CE2"/>
    <w:rsid w:val="00C315FE"/>
    <w:rsid w:val="00C32B55"/>
    <w:rsid w:val="00C36009"/>
    <w:rsid w:val="00C85DF9"/>
    <w:rsid w:val="00C9270C"/>
    <w:rsid w:val="00CA47C0"/>
    <w:rsid w:val="00CA4ECF"/>
    <w:rsid w:val="00CA7FB5"/>
    <w:rsid w:val="00CB40AF"/>
    <w:rsid w:val="00CB5D92"/>
    <w:rsid w:val="00CC23EE"/>
    <w:rsid w:val="00D00D5B"/>
    <w:rsid w:val="00D042FE"/>
    <w:rsid w:val="00D1315C"/>
    <w:rsid w:val="00D15648"/>
    <w:rsid w:val="00D27051"/>
    <w:rsid w:val="00D410E2"/>
    <w:rsid w:val="00D43B6A"/>
    <w:rsid w:val="00D45AB0"/>
    <w:rsid w:val="00D6210E"/>
    <w:rsid w:val="00D64413"/>
    <w:rsid w:val="00D77366"/>
    <w:rsid w:val="00D876EA"/>
    <w:rsid w:val="00D91674"/>
    <w:rsid w:val="00DA0C1B"/>
    <w:rsid w:val="00DA2FA2"/>
    <w:rsid w:val="00DB7216"/>
    <w:rsid w:val="00DD0923"/>
    <w:rsid w:val="00DE0DDE"/>
    <w:rsid w:val="00DF52BD"/>
    <w:rsid w:val="00E04FC4"/>
    <w:rsid w:val="00E16D9F"/>
    <w:rsid w:val="00E34950"/>
    <w:rsid w:val="00E50AB0"/>
    <w:rsid w:val="00E55DA9"/>
    <w:rsid w:val="00E611FB"/>
    <w:rsid w:val="00E6368F"/>
    <w:rsid w:val="00E87BE6"/>
    <w:rsid w:val="00E92F49"/>
    <w:rsid w:val="00E96DA8"/>
    <w:rsid w:val="00EA7829"/>
    <w:rsid w:val="00EA7866"/>
    <w:rsid w:val="00EB0FA6"/>
    <w:rsid w:val="00EC3BC3"/>
    <w:rsid w:val="00EC659B"/>
    <w:rsid w:val="00EC6CDD"/>
    <w:rsid w:val="00ED12D3"/>
    <w:rsid w:val="00EE0A17"/>
    <w:rsid w:val="00EE22C1"/>
    <w:rsid w:val="00F066F5"/>
    <w:rsid w:val="00F109A4"/>
    <w:rsid w:val="00F17D26"/>
    <w:rsid w:val="00F26B34"/>
    <w:rsid w:val="00F27731"/>
    <w:rsid w:val="00F4267A"/>
    <w:rsid w:val="00F44815"/>
    <w:rsid w:val="00F46D29"/>
    <w:rsid w:val="00F50424"/>
    <w:rsid w:val="00F67792"/>
    <w:rsid w:val="00F70914"/>
    <w:rsid w:val="00F72E1A"/>
    <w:rsid w:val="00F746E1"/>
    <w:rsid w:val="00F904E6"/>
    <w:rsid w:val="00F906CD"/>
    <w:rsid w:val="00F90806"/>
    <w:rsid w:val="00F92EF2"/>
    <w:rsid w:val="00FA07AA"/>
    <w:rsid w:val="00FB12DF"/>
    <w:rsid w:val="00FB1A70"/>
    <w:rsid w:val="00FB3648"/>
    <w:rsid w:val="00FB7398"/>
    <w:rsid w:val="00FC1DCD"/>
    <w:rsid w:val="00FC56E5"/>
    <w:rsid w:val="00FE4C09"/>
    <w:rsid w:val="00FF15E7"/>
    <w:rsid w:val="00FF6F28"/>
    <w:rsid w:val="00FF7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A94"/>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6A94"/>
    <w:pPr>
      <w:spacing w:after="0" w:line="240" w:lineRule="auto"/>
    </w:pPr>
  </w:style>
  <w:style w:type="paragraph" w:styleId="ListParagraph">
    <w:name w:val="List Paragraph"/>
    <w:basedOn w:val="Normal"/>
    <w:uiPriority w:val="34"/>
    <w:qFormat/>
    <w:rsid w:val="005B6A94"/>
    <w:pPr>
      <w:ind w:left="720"/>
      <w:contextualSpacing/>
    </w:pPr>
  </w:style>
  <w:style w:type="character" w:customStyle="1" w:styleId="BodyTextChar">
    <w:name w:val="Body Text Char"/>
    <w:link w:val="BodyText"/>
    <w:uiPriority w:val="99"/>
    <w:rsid w:val="005B6A94"/>
    <w:rPr>
      <w:sz w:val="29"/>
      <w:szCs w:val="29"/>
      <w:shd w:val="clear" w:color="auto" w:fill="FFFFFF"/>
    </w:rPr>
  </w:style>
  <w:style w:type="paragraph" w:styleId="BodyText">
    <w:name w:val="Body Text"/>
    <w:basedOn w:val="Normal"/>
    <w:link w:val="BodyTextChar"/>
    <w:uiPriority w:val="99"/>
    <w:rsid w:val="005B6A94"/>
    <w:pPr>
      <w:shd w:val="clear" w:color="auto" w:fill="FFFFFF"/>
      <w:spacing w:after="1860" w:line="365" w:lineRule="exact"/>
      <w:jc w:val="both"/>
    </w:pPr>
    <w:rPr>
      <w:rFonts w:asciiTheme="minorHAnsi" w:eastAsiaTheme="minorHAnsi" w:hAnsiTheme="minorHAnsi" w:cstheme="minorBidi"/>
      <w:sz w:val="29"/>
      <w:szCs w:val="29"/>
      <w:lang w:eastAsia="en-US"/>
    </w:rPr>
  </w:style>
  <w:style w:type="character" w:customStyle="1" w:styleId="BodyTextChar1">
    <w:name w:val="Body Text Char1"/>
    <w:basedOn w:val="DefaultParagraphFont"/>
    <w:uiPriority w:val="99"/>
    <w:semiHidden/>
    <w:rsid w:val="005B6A94"/>
    <w:rPr>
      <w:rFonts w:ascii="Calibri" w:eastAsia="Times New Roman" w:hAnsi="Calibri" w:cs="Times New Roman"/>
      <w:lang w:eastAsia="ru-RU"/>
    </w:rPr>
  </w:style>
  <w:style w:type="paragraph" w:styleId="NormalWeb">
    <w:name w:val="Normal (Web)"/>
    <w:aliases w:val="Знак,webb Знак Знак,webb"/>
    <w:basedOn w:val="Normal"/>
    <w:link w:val="NormalWebChar"/>
    <w:uiPriority w:val="99"/>
    <w:unhideWhenUsed/>
    <w:qFormat/>
    <w:rsid w:val="00E611FB"/>
    <w:pPr>
      <w:spacing w:after="0" w:line="240" w:lineRule="auto"/>
      <w:ind w:firstLine="567"/>
      <w:jc w:val="both"/>
    </w:pPr>
    <w:rPr>
      <w:rFonts w:ascii="Times New Roman" w:hAnsi="Times New Roman"/>
      <w:sz w:val="24"/>
      <w:szCs w:val="24"/>
    </w:rPr>
  </w:style>
  <w:style w:type="paragraph" w:customStyle="1" w:styleId="cp">
    <w:name w:val="cp"/>
    <w:basedOn w:val="Normal"/>
    <w:rsid w:val="0063059D"/>
    <w:pPr>
      <w:spacing w:after="0" w:line="240" w:lineRule="auto"/>
      <w:jc w:val="center"/>
    </w:pPr>
    <w:rPr>
      <w:rFonts w:ascii="Times New Roman" w:hAnsi="Times New Roman"/>
      <w:b/>
      <w:bCs/>
      <w:sz w:val="24"/>
      <w:szCs w:val="24"/>
    </w:rPr>
  </w:style>
  <w:style w:type="paragraph" w:customStyle="1" w:styleId="cb">
    <w:name w:val="cb"/>
    <w:basedOn w:val="Normal"/>
    <w:rsid w:val="0063059D"/>
    <w:pPr>
      <w:spacing w:after="0" w:line="240" w:lineRule="auto"/>
      <w:jc w:val="center"/>
    </w:pPr>
    <w:rPr>
      <w:rFonts w:ascii="Times New Roman" w:hAnsi="Times New Roman"/>
      <w:b/>
      <w:bCs/>
      <w:sz w:val="24"/>
      <w:szCs w:val="24"/>
    </w:rPr>
  </w:style>
  <w:style w:type="paragraph" w:styleId="BalloonText">
    <w:name w:val="Balloon Text"/>
    <w:basedOn w:val="Normal"/>
    <w:link w:val="BalloonTextChar"/>
    <w:uiPriority w:val="99"/>
    <w:semiHidden/>
    <w:unhideWhenUsed/>
    <w:rsid w:val="00E96D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DA8"/>
    <w:rPr>
      <w:rFonts w:ascii="Tahoma" w:eastAsia="Times New Roman" w:hAnsi="Tahoma" w:cs="Tahoma"/>
      <w:sz w:val="16"/>
      <w:szCs w:val="16"/>
      <w:lang w:eastAsia="ru-RU"/>
    </w:rPr>
  </w:style>
  <w:style w:type="table" w:styleId="TableGrid">
    <w:name w:val="Table Grid"/>
    <w:basedOn w:val="TableNormal"/>
    <w:uiPriority w:val="39"/>
    <w:rsid w:val="003E682F"/>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
    <w:basedOn w:val="DefaultParagraphFont"/>
    <w:rsid w:val="003E682F"/>
    <w:rPr>
      <w:rFonts w:ascii="Times New Roman" w:eastAsia="Times New Roman" w:hAnsi="Times New Roman" w:cs="Times New Roman"/>
      <w:b w:val="0"/>
      <w:bCs w:val="0"/>
      <w:i w:val="0"/>
      <w:iCs w:val="0"/>
      <w:smallCaps w:val="0"/>
      <w:strike w:val="0"/>
      <w:spacing w:val="20"/>
      <w:sz w:val="20"/>
      <w:szCs w:val="20"/>
    </w:rPr>
  </w:style>
  <w:style w:type="character" w:customStyle="1" w:styleId="docheader">
    <w:name w:val="doc_header"/>
    <w:basedOn w:val="DefaultParagraphFont"/>
    <w:rsid w:val="007F1AE0"/>
  </w:style>
  <w:style w:type="character" w:customStyle="1" w:styleId="NormalWebChar">
    <w:name w:val="Normal (Web) Char"/>
    <w:aliases w:val="Знак Char,webb Знак Знак Char,webb Char"/>
    <w:link w:val="NormalWeb"/>
    <w:uiPriority w:val="99"/>
    <w:locked/>
    <w:rsid w:val="00DA0C1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A94"/>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6A94"/>
    <w:pPr>
      <w:spacing w:after="0" w:line="240" w:lineRule="auto"/>
    </w:pPr>
  </w:style>
  <w:style w:type="paragraph" w:styleId="ListParagraph">
    <w:name w:val="List Paragraph"/>
    <w:basedOn w:val="Normal"/>
    <w:uiPriority w:val="34"/>
    <w:qFormat/>
    <w:rsid w:val="005B6A94"/>
    <w:pPr>
      <w:ind w:left="720"/>
      <w:contextualSpacing/>
    </w:pPr>
  </w:style>
  <w:style w:type="character" w:customStyle="1" w:styleId="BodyTextChar">
    <w:name w:val="Body Text Char"/>
    <w:link w:val="BodyText"/>
    <w:uiPriority w:val="99"/>
    <w:rsid w:val="005B6A94"/>
    <w:rPr>
      <w:sz w:val="29"/>
      <w:szCs w:val="29"/>
      <w:shd w:val="clear" w:color="auto" w:fill="FFFFFF"/>
    </w:rPr>
  </w:style>
  <w:style w:type="paragraph" w:styleId="BodyText">
    <w:name w:val="Body Text"/>
    <w:basedOn w:val="Normal"/>
    <w:link w:val="BodyTextChar"/>
    <w:uiPriority w:val="99"/>
    <w:rsid w:val="005B6A94"/>
    <w:pPr>
      <w:shd w:val="clear" w:color="auto" w:fill="FFFFFF"/>
      <w:spacing w:after="1860" w:line="365" w:lineRule="exact"/>
      <w:jc w:val="both"/>
    </w:pPr>
    <w:rPr>
      <w:rFonts w:asciiTheme="minorHAnsi" w:eastAsiaTheme="minorHAnsi" w:hAnsiTheme="minorHAnsi" w:cstheme="minorBidi"/>
      <w:sz w:val="29"/>
      <w:szCs w:val="29"/>
      <w:lang w:eastAsia="en-US"/>
    </w:rPr>
  </w:style>
  <w:style w:type="character" w:customStyle="1" w:styleId="BodyTextChar1">
    <w:name w:val="Body Text Char1"/>
    <w:basedOn w:val="DefaultParagraphFont"/>
    <w:uiPriority w:val="99"/>
    <w:semiHidden/>
    <w:rsid w:val="005B6A94"/>
    <w:rPr>
      <w:rFonts w:ascii="Calibri" w:eastAsia="Times New Roman" w:hAnsi="Calibri" w:cs="Times New Roman"/>
      <w:lang w:eastAsia="ru-RU"/>
    </w:rPr>
  </w:style>
  <w:style w:type="paragraph" w:styleId="NormalWeb">
    <w:name w:val="Normal (Web)"/>
    <w:aliases w:val="Знак,webb Знак Знак,webb"/>
    <w:basedOn w:val="Normal"/>
    <w:link w:val="NormalWebChar"/>
    <w:uiPriority w:val="99"/>
    <w:unhideWhenUsed/>
    <w:qFormat/>
    <w:rsid w:val="00E611FB"/>
    <w:pPr>
      <w:spacing w:after="0" w:line="240" w:lineRule="auto"/>
      <w:ind w:firstLine="567"/>
      <w:jc w:val="both"/>
    </w:pPr>
    <w:rPr>
      <w:rFonts w:ascii="Times New Roman" w:hAnsi="Times New Roman"/>
      <w:sz w:val="24"/>
      <w:szCs w:val="24"/>
    </w:rPr>
  </w:style>
  <w:style w:type="paragraph" w:customStyle="1" w:styleId="cp">
    <w:name w:val="cp"/>
    <w:basedOn w:val="Normal"/>
    <w:rsid w:val="0063059D"/>
    <w:pPr>
      <w:spacing w:after="0" w:line="240" w:lineRule="auto"/>
      <w:jc w:val="center"/>
    </w:pPr>
    <w:rPr>
      <w:rFonts w:ascii="Times New Roman" w:hAnsi="Times New Roman"/>
      <w:b/>
      <w:bCs/>
      <w:sz w:val="24"/>
      <w:szCs w:val="24"/>
    </w:rPr>
  </w:style>
  <w:style w:type="paragraph" w:customStyle="1" w:styleId="cb">
    <w:name w:val="cb"/>
    <w:basedOn w:val="Normal"/>
    <w:rsid w:val="0063059D"/>
    <w:pPr>
      <w:spacing w:after="0" w:line="240" w:lineRule="auto"/>
      <w:jc w:val="center"/>
    </w:pPr>
    <w:rPr>
      <w:rFonts w:ascii="Times New Roman" w:hAnsi="Times New Roman"/>
      <w:b/>
      <w:bCs/>
      <w:sz w:val="24"/>
      <w:szCs w:val="24"/>
    </w:rPr>
  </w:style>
  <w:style w:type="paragraph" w:styleId="BalloonText">
    <w:name w:val="Balloon Text"/>
    <w:basedOn w:val="Normal"/>
    <w:link w:val="BalloonTextChar"/>
    <w:uiPriority w:val="99"/>
    <w:semiHidden/>
    <w:unhideWhenUsed/>
    <w:rsid w:val="00E96D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DA8"/>
    <w:rPr>
      <w:rFonts w:ascii="Tahoma" w:eastAsia="Times New Roman" w:hAnsi="Tahoma" w:cs="Tahoma"/>
      <w:sz w:val="16"/>
      <w:szCs w:val="16"/>
      <w:lang w:eastAsia="ru-RU"/>
    </w:rPr>
  </w:style>
  <w:style w:type="table" w:styleId="TableGrid">
    <w:name w:val="Table Grid"/>
    <w:basedOn w:val="TableNormal"/>
    <w:uiPriority w:val="39"/>
    <w:rsid w:val="003E682F"/>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
    <w:basedOn w:val="DefaultParagraphFont"/>
    <w:rsid w:val="003E682F"/>
    <w:rPr>
      <w:rFonts w:ascii="Times New Roman" w:eastAsia="Times New Roman" w:hAnsi="Times New Roman" w:cs="Times New Roman"/>
      <w:b w:val="0"/>
      <w:bCs w:val="0"/>
      <w:i w:val="0"/>
      <w:iCs w:val="0"/>
      <w:smallCaps w:val="0"/>
      <w:strike w:val="0"/>
      <w:spacing w:val="20"/>
      <w:sz w:val="20"/>
      <w:szCs w:val="20"/>
    </w:rPr>
  </w:style>
  <w:style w:type="character" w:customStyle="1" w:styleId="docheader">
    <w:name w:val="doc_header"/>
    <w:basedOn w:val="DefaultParagraphFont"/>
    <w:rsid w:val="007F1AE0"/>
  </w:style>
  <w:style w:type="character" w:customStyle="1" w:styleId="NormalWebChar">
    <w:name w:val="Normal (Web) Char"/>
    <w:aliases w:val="Знак Char,webb Знак Знак Char,webb Char"/>
    <w:link w:val="NormalWeb"/>
    <w:uiPriority w:val="99"/>
    <w:locked/>
    <w:rsid w:val="00DA0C1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160510">
      <w:bodyDiv w:val="1"/>
      <w:marLeft w:val="0"/>
      <w:marRight w:val="0"/>
      <w:marTop w:val="0"/>
      <w:marBottom w:val="0"/>
      <w:divBdr>
        <w:top w:val="none" w:sz="0" w:space="0" w:color="auto"/>
        <w:left w:val="none" w:sz="0" w:space="0" w:color="auto"/>
        <w:bottom w:val="none" w:sz="0" w:space="0" w:color="auto"/>
        <w:right w:val="none" w:sz="0" w:space="0" w:color="auto"/>
      </w:divBdr>
    </w:div>
    <w:div w:id="693581082">
      <w:bodyDiv w:val="1"/>
      <w:marLeft w:val="0"/>
      <w:marRight w:val="0"/>
      <w:marTop w:val="0"/>
      <w:marBottom w:val="0"/>
      <w:divBdr>
        <w:top w:val="none" w:sz="0" w:space="0" w:color="auto"/>
        <w:left w:val="none" w:sz="0" w:space="0" w:color="auto"/>
        <w:bottom w:val="none" w:sz="0" w:space="0" w:color="auto"/>
        <w:right w:val="none" w:sz="0" w:space="0" w:color="auto"/>
      </w:divBdr>
    </w:div>
    <w:div w:id="1094397325">
      <w:bodyDiv w:val="1"/>
      <w:marLeft w:val="0"/>
      <w:marRight w:val="0"/>
      <w:marTop w:val="0"/>
      <w:marBottom w:val="0"/>
      <w:divBdr>
        <w:top w:val="none" w:sz="0" w:space="0" w:color="auto"/>
        <w:left w:val="none" w:sz="0" w:space="0" w:color="auto"/>
        <w:bottom w:val="none" w:sz="0" w:space="0" w:color="auto"/>
        <w:right w:val="none" w:sz="0" w:space="0" w:color="auto"/>
      </w:divBdr>
    </w:div>
    <w:div w:id="1593733896">
      <w:bodyDiv w:val="1"/>
      <w:marLeft w:val="0"/>
      <w:marRight w:val="0"/>
      <w:marTop w:val="0"/>
      <w:marBottom w:val="0"/>
      <w:divBdr>
        <w:top w:val="none" w:sz="0" w:space="0" w:color="auto"/>
        <w:left w:val="none" w:sz="0" w:space="0" w:color="auto"/>
        <w:bottom w:val="none" w:sz="0" w:space="0" w:color="auto"/>
        <w:right w:val="none" w:sz="0" w:space="0" w:color="auto"/>
      </w:divBdr>
    </w:div>
    <w:div w:id="165795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524</TotalTime>
  <Pages>3</Pages>
  <Words>1078</Words>
  <Characters>6151</Characters>
  <Application>Microsoft Office Word</Application>
  <DocSecurity>0</DocSecurity>
  <Lines>51</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7215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Computer</dc:creator>
  <cp:lastModifiedBy>Sergiu Bivol</cp:lastModifiedBy>
  <cp:revision>79</cp:revision>
  <cp:lastPrinted>2018-01-15T07:21:00Z</cp:lastPrinted>
  <dcterms:created xsi:type="dcterms:W3CDTF">2017-09-27T05:06:00Z</dcterms:created>
  <dcterms:modified xsi:type="dcterms:W3CDTF">2018-03-21T05:46:00Z</dcterms:modified>
</cp:coreProperties>
</file>