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7B" w:rsidRDefault="00590F25" w:rsidP="003C2041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7C2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1A7167" w:rsidRPr="00F87C24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Pr="00F87C24">
        <w:rPr>
          <w:rFonts w:ascii="Times New Roman" w:hAnsi="Times New Roman" w:cs="Times New Roman"/>
          <w:b/>
          <w:sz w:val="28"/>
          <w:szCs w:val="28"/>
          <w:lang w:val="en-US"/>
        </w:rPr>
        <w:t>TĂ INFORMATIVĂ</w:t>
      </w:r>
    </w:p>
    <w:p w:rsidR="004C404A" w:rsidRPr="00471E2D" w:rsidRDefault="004C404A" w:rsidP="004C404A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hotărîrii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</w:p>
    <w:p w:rsidR="004C404A" w:rsidRPr="00471E2D" w:rsidRDefault="004C404A" w:rsidP="004C404A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proofErr w:type="gram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transmiterea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unor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1E2D">
        <w:rPr>
          <w:rFonts w:ascii="Times New Roman" w:hAnsi="Times New Roman" w:cs="Times New Roman"/>
          <w:b/>
          <w:sz w:val="24"/>
          <w:szCs w:val="24"/>
          <w:lang w:val="ro-RO"/>
        </w:rPr>
        <w:t>terenuri</w:t>
      </w:r>
    </w:p>
    <w:p w:rsidR="004C404A" w:rsidRDefault="004C404A" w:rsidP="004C404A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0527B" w:rsidRPr="00F87C24" w:rsidRDefault="00F0527B" w:rsidP="00A52E53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F1220" w:rsidRPr="007923D2" w:rsidRDefault="00590F25" w:rsidP="007923D2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4C404A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3C2041">
        <w:rPr>
          <w:rFonts w:ascii="Times New Roman" w:hAnsi="Times New Roman" w:cs="Times New Roman"/>
          <w:sz w:val="28"/>
          <w:szCs w:val="28"/>
          <w:lang w:val="ro-RO"/>
        </w:rPr>
        <w:t xml:space="preserve">otărîrii de Guvern </w:t>
      </w:r>
      <w:r w:rsidR="00F463EA">
        <w:rPr>
          <w:rFonts w:ascii="Times New Roman" w:hAnsi="Times New Roman" w:cs="Times New Roman"/>
          <w:sz w:val="28"/>
          <w:szCs w:val="28"/>
          <w:lang w:val="ro-RO"/>
        </w:rPr>
        <w:t xml:space="preserve">cu privire la transmiterea unor terenuri 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>a fost e</w:t>
      </w:r>
      <w:r w:rsidR="00A245FF" w:rsidRPr="007923D2">
        <w:rPr>
          <w:rFonts w:ascii="Times New Roman" w:hAnsi="Times New Roman" w:cs="Times New Roman"/>
          <w:sz w:val="28"/>
          <w:szCs w:val="28"/>
          <w:lang w:val="ro-RO"/>
        </w:rPr>
        <w:t>laborat în temeiul prevederilor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art.6 alin.(1) lit.a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şi art.14 alin.(1) lit.c) din </w:t>
      </w:r>
      <w:r w:rsidR="00EC0FD4">
        <w:fldChar w:fldCharType="begin"/>
      </w:r>
      <w:r w:rsidR="00EC0FD4" w:rsidRPr="00BC434F">
        <w:rPr>
          <w:lang w:val="en-US"/>
        </w:rPr>
        <w:instrText>HYPERLINK "lex:LPLP20070504121"</w:instrText>
      </w:r>
      <w:r w:rsidR="00EC0FD4">
        <w:fldChar w:fldCharType="separate"/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Legea nr.121-XVI din 4 mai 2007</w:t>
      </w:r>
      <w:r w:rsidR="00EC0FD4">
        <w:fldChar w:fldCharType="end"/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privind administrarea şi </w:t>
      </w:r>
      <w:r w:rsidR="00615BEA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reetatizarea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15BEA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proprietății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publice, precum şi art. 15 din </w:t>
      </w:r>
      <w:r w:rsidR="00EC0FD4">
        <w:fldChar w:fldCharType="begin"/>
      </w:r>
      <w:r w:rsidR="00EC0FD4" w:rsidRPr="00BC434F">
        <w:rPr>
          <w:lang w:val="en-US"/>
        </w:rPr>
        <w:instrText>HYPERLINK "lex:LPLP19911225828"</w:instrText>
      </w:r>
      <w:r w:rsidR="00EC0FD4">
        <w:fldChar w:fldCharType="separate"/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Codul funciar nr.828-XII din 25 decembrie 1991</w:t>
      </w:r>
      <w:r w:rsidR="00EC0FD4">
        <w:fldChar w:fldCharType="end"/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239EA" w:rsidRPr="007923D2" w:rsidRDefault="00F87C24" w:rsidP="007923D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sz w:val="28"/>
          <w:szCs w:val="28"/>
          <w:lang w:val="ro-RO" w:eastAsia="en-GB"/>
        </w:rPr>
      </w:pPr>
      <w:r w:rsidRPr="007923D2">
        <w:rPr>
          <w:rFonts w:ascii="Times New Roman" w:hAnsi="Times New Roman" w:cs="Times New Roman"/>
          <w:color w:val="000000"/>
          <w:sz w:val="28"/>
          <w:szCs w:val="28"/>
          <w:lang w:val="ro-RO"/>
        </w:rPr>
        <w:t>Concomitent, reliefăm faptul că</w:t>
      </w:r>
      <w:r w:rsidRPr="007923D2">
        <w:rPr>
          <w:color w:val="000000"/>
          <w:sz w:val="28"/>
          <w:szCs w:val="28"/>
          <w:lang w:val="ro-RO"/>
        </w:rPr>
        <w:t xml:space="preserve"> î</w:t>
      </w:r>
      <w:r w:rsidRPr="007923D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 contextul realizării proiectului ”Consolidarea capacităților operaționale de control vamal prin dotarea punctului de trecere a frontierei Ocnița- Sokireanî cu sistemul de scanare a mărfurilor și mijloacelor de transport pe calea ferată (NUCTECH TMRF 6010) Republica Moldova a primit </w:t>
      </w:r>
      <w:r w:rsidR="005239EA" w:rsidRPr="00F463E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asistență </w:t>
      </w:r>
      <w:r w:rsidRPr="00F463EA">
        <w:rPr>
          <w:rFonts w:ascii="Times New Roman" w:hAnsi="Times New Roman" w:cs="Times New Roman"/>
          <w:color w:val="000000"/>
          <w:sz w:val="28"/>
          <w:szCs w:val="28"/>
          <w:lang w:val="ro-RO"/>
        </w:rPr>
        <w:t>tehnice din</w:t>
      </w:r>
      <w:r w:rsidRPr="007923D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Partea Guvernului Republicii Populare Chineze</w:t>
      </w:r>
      <w:r w:rsidR="005239EA" w:rsidRPr="007923D2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5239EA" w:rsidRPr="007923D2">
        <w:rPr>
          <w:color w:val="000000"/>
          <w:sz w:val="28"/>
          <w:szCs w:val="28"/>
          <w:lang w:val="ro-RO"/>
        </w:rPr>
        <w:t xml:space="preserve"> </w:t>
      </w:r>
      <w:r w:rsidR="005239EA" w:rsidRPr="007923D2">
        <w:rPr>
          <w:rFonts w:ascii="Times New Roman" w:eastAsia="SimSun" w:hAnsi="Times New Roman" w:cs="Times New Roman"/>
          <w:sz w:val="28"/>
          <w:szCs w:val="28"/>
          <w:lang w:val="ro-RO" w:eastAsia="en-GB"/>
        </w:rPr>
        <w:t>(echipamentul staționar de scanare care constituie 37 mil. 330 mii iuani).</w:t>
      </w:r>
    </w:p>
    <w:p w:rsidR="00F87C24" w:rsidRPr="007923D2" w:rsidRDefault="00615BEA" w:rsidP="007923D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Aceasta, va permite </w:t>
      </w:r>
      <w:r w:rsidR="00F87C24" w:rsidRPr="007923D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implementarea procedurilor vamale moderne, care </w:t>
      </w:r>
      <w:r w:rsidR="00F463E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va </w:t>
      </w:r>
      <w:bookmarkStart w:id="0" w:name="_GoBack"/>
      <w:bookmarkEnd w:id="0"/>
      <w:r w:rsidR="00F87C24" w:rsidRPr="007923D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asigura eficientizarea controlului vamal, sporirea colectărilor vamale şi fluidizarea traficului de mărfuri la postul vamal Ocnița-Sokireanî, securizarea și facilitarea comerțului internațional, precum și </w:t>
      </w:r>
      <w:r w:rsidR="00F87C24" w:rsidRPr="007923D2">
        <w:rPr>
          <w:rFonts w:ascii="Times New Roman" w:hAnsi="Times New Roman" w:cs="Times New Roman"/>
          <w:iCs/>
          <w:sz w:val="28"/>
          <w:szCs w:val="28"/>
          <w:lang w:val="ro-RO" w:eastAsia="en-GB"/>
        </w:rPr>
        <w:t>consolidarea capacităților operaționale de control vamal prin dotarea punctului de trecere a frontierei.</w:t>
      </w:r>
    </w:p>
    <w:p w:rsidR="00F87C24" w:rsidRPr="007923D2" w:rsidRDefault="00615BEA" w:rsidP="007923D2">
      <w:pPr>
        <w:tabs>
          <w:tab w:val="left" w:pos="4678"/>
        </w:tabs>
        <w:spacing w:after="0" w:line="240" w:lineRule="auto"/>
        <w:ind w:left="-567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en-GB"/>
        </w:rPr>
        <w:t>În acest sens, reliefăm că u</w:t>
      </w:r>
      <w:r w:rsidR="00F87C24" w:rsidRPr="007923D2">
        <w:rPr>
          <w:rFonts w:ascii="Times New Roman" w:eastAsia="SimSun" w:hAnsi="Times New Roman" w:cs="Times New Roman"/>
          <w:sz w:val="28"/>
          <w:szCs w:val="28"/>
          <w:lang w:val="ro-RO" w:eastAsia="en-GB"/>
        </w:rPr>
        <w:t>nul din elementele indispensabile a sistemului vamal modern cu aspirațiile europene este dotarea tehnică cu echipament performant de control, care permite efectuarea eficientă a inspecțiilor vamale, depistarea fraudelor și fluidizarea traficului internațional. Totodată infrastructura modernă a punctelor de trecere asigură securitatea economică a statului și sporirea colectărilor la bugetul de stat.</w:t>
      </w:r>
    </w:p>
    <w:p w:rsidR="00F87C24" w:rsidRPr="007923D2" w:rsidRDefault="00F87C24" w:rsidP="00D51086">
      <w:pPr>
        <w:pStyle w:val="a8"/>
        <w:tabs>
          <w:tab w:val="left" w:pos="4678"/>
        </w:tabs>
        <w:spacing w:after="0"/>
        <w:ind w:left="-567" w:firstLine="709"/>
        <w:jc w:val="both"/>
        <w:rPr>
          <w:color w:val="000000"/>
          <w:sz w:val="28"/>
          <w:szCs w:val="28"/>
          <w:lang w:val="ro-RO"/>
        </w:rPr>
      </w:pPr>
      <w:r w:rsidRPr="007923D2">
        <w:rPr>
          <w:rFonts w:eastAsia="SimSun"/>
          <w:sz w:val="28"/>
          <w:szCs w:val="28"/>
          <w:lang w:val="ro-RO" w:eastAsia="en-GB"/>
        </w:rPr>
        <w:t>La etapă actuală Republica Moldova nu dispune de sistem de scanare feroviar staționar și sistemul de scanare X-ray CT, ceea ce stagnează dezvoltarea capacităților sistemului vamal național de fluidizare a traficului legal și prevenirea fraudelor</w:t>
      </w:r>
      <w:r w:rsidR="00D51086">
        <w:rPr>
          <w:rFonts w:eastAsia="SimSun"/>
          <w:sz w:val="28"/>
          <w:szCs w:val="28"/>
          <w:lang w:val="ro-RO" w:eastAsia="en-GB"/>
        </w:rPr>
        <w:t>.</w:t>
      </w:r>
    </w:p>
    <w:p w:rsidR="00615BEA" w:rsidRPr="00D51086" w:rsidRDefault="00F87C24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D51086">
        <w:rPr>
          <w:rFonts w:ascii="Times New Roman" w:hAnsi="Times New Roman" w:cs="Times New Roman"/>
          <w:sz w:val="28"/>
          <w:szCs w:val="28"/>
          <w:lang w:val="ro-RO" w:eastAsia="en-GB"/>
        </w:rPr>
        <w:t>Printre numeroasele beneficii și avantaje asociate cu instalarea echipamentului staționar de scanare se includ: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e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ficientizarea efectuării controlului vamal nedistructiv prin inspectarea și analiza imaginilor;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r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educerea timpului de traversare a frontierei, fapt ce va decongestiona traficul pe căile de acces la punctele de trecere;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s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porirea capacității punctului de trecere de inspectare a mijloacelor de t</w:t>
      </w: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ransport;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p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revenirea și contracararea tentativelor de introducere / scoatere ilegală a mărfurilor;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s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porirea colectărilor vamale prin detectarea tentativelor de diminuare a valorii în vamă și de nedeclararea a mărfurilor transportate;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a</w:t>
      </w:r>
      <w:r w:rsidR="00F87C24" w:rsidRPr="00615BEA">
        <w:rPr>
          <w:rFonts w:ascii="Times New Roman" w:eastAsia="Calibri" w:hAnsi="Times New Roman" w:cs="Times New Roman"/>
          <w:sz w:val="28"/>
          <w:szCs w:val="28"/>
          <w:lang w:val="ro-RO" w:eastAsia="en-GB"/>
        </w:rPr>
        <w:t>sigurarea securității la frontiera Republicii Moldova;</w:t>
      </w:r>
    </w:p>
    <w:p w:rsid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SimSun" w:hAnsi="Times New Roman" w:cs="Times New Roman"/>
          <w:sz w:val="28"/>
          <w:szCs w:val="28"/>
          <w:lang w:val="ro-RO" w:eastAsia="en-GB"/>
        </w:rPr>
        <w:t>c</w:t>
      </w:r>
      <w:r w:rsidR="00F87C24" w:rsidRPr="00615BEA">
        <w:rPr>
          <w:rFonts w:ascii="Times New Roman" w:eastAsia="SimSun" w:hAnsi="Times New Roman" w:cs="Times New Roman"/>
          <w:sz w:val="28"/>
          <w:szCs w:val="28"/>
          <w:lang w:val="ro-RO" w:eastAsia="en-GB"/>
        </w:rPr>
        <w:t>reșterea volumului comerțului internațional de mărfuri;</w:t>
      </w:r>
    </w:p>
    <w:p w:rsidR="00F87C24" w:rsidRPr="00615BEA" w:rsidRDefault="00615BEA" w:rsidP="00D51086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en-GB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en-GB"/>
        </w:rPr>
        <w:t>-</w:t>
      </w:r>
      <w:r w:rsidRPr="00615BEA">
        <w:rPr>
          <w:rFonts w:ascii="Times New Roman" w:eastAsia="SimSun" w:hAnsi="Times New Roman" w:cs="Times New Roman"/>
          <w:sz w:val="28"/>
          <w:szCs w:val="28"/>
          <w:lang w:val="ro-RO" w:eastAsia="en-GB"/>
        </w:rPr>
        <w:t>r</w:t>
      </w:r>
      <w:r w:rsidR="00F87C24" w:rsidRPr="00615BEA">
        <w:rPr>
          <w:rFonts w:ascii="Times New Roman" w:eastAsia="SimSun" w:hAnsi="Times New Roman" w:cs="Times New Roman"/>
          <w:sz w:val="28"/>
          <w:szCs w:val="28"/>
          <w:lang w:val="ro-RO" w:eastAsia="en-GB"/>
        </w:rPr>
        <w:t>idicarea imaginii Republicii Moldova ca țară de transit;</w:t>
      </w:r>
    </w:p>
    <w:p w:rsidR="0051429C" w:rsidRPr="007923D2" w:rsidRDefault="005239EA" w:rsidP="00D51086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23D2">
        <w:rPr>
          <w:rFonts w:ascii="Times New Roman" w:hAnsi="Times New Roman" w:cs="Times New Roman"/>
          <w:sz w:val="28"/>
          <w:szCs w:val="28"/>
          <w:lang w:val="ro-RO"/>
        </w:rPr>
        <w:t>Astfel, întru realizarea celor relatate supra la</w:t>
      </w:r>
      <w:r w:rsidR="00CC18A6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923D2">
        <w:rPr>
          <w:rFonts w:ascii="Times New Roman" w:hAnsi="Times New Roman" w:cs="Times New Roman"/>
          <w:bCs/>
          <w:sz w:val="28"/>
          <w:szCs w:val="28"/>
          <w:lang w:val="ro-RO"/>
        </w:rPr>
        <w:t>stația</w:t>
      </w:r>
      <w:r w:rsidR="00A14D33" w:rsidRPr="007923D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Ocnița a</w:t>
      </w:r>
      <w:r w:rsidR="00A14D33" w:rsidRPr="007923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Î.S</w:t>
      </w:r>
      <w:r w:rsidR="00A14D33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„Calea Ferată din Moldova”,</w:t>
      </w:r>
      <w:r w:rsidR="00CC18A6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este necesar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C18A6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construcția și amplasarea scaner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staționar de efectuare a inspecției non-intruzive din mers a trenurilor de marfă </w:t>
      </w:r>
      <w:r w:rsidR="00CC18A6" w:rsidRPr="007923D2">
        <w:rPr>
          <w:rFonts w:ascii="Times New Roman" w:hAnsi="Times New Roman" w:cs="Times New Roman"/>
          <w:sz w:val="28"/>
          <w:szCs w:val="28"/>
          <w:lang w:val="ro-RO"/>
        </w:rPr>
        <w:t>și a altor obiecte de infrastructură.</w:t>
      </w:r>
    </w:p>
    <w:p w:rsidR="002C4332" w:rsidRPr="007923D2" w:rsidRDefault="007923D2" w:rsidP="00D51086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În continuare relatăm</w:t>
      </w:r>
      <w:r w:rsidR="00615BEA">
        <w:rPr>
          <w:rFonts w:ascii="Times New Roman" w:hAnsi="Times New Roman" w:cs="Times New Roman"/>
          <w:sz w:val="28"/>
          <w:szCs w:val="28"/>
          <w:lang w:val="ro-RO"/>
        </w:rPr>
        <w:t xml:space="preserve"> 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întru realizarea celor invocate l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C433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solicitare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C433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Serviciului Vamal, 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</w:t>
      </w:r>
      <w:r w:rsidR="00615B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Economiei și Infrastructurii precum și 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Întreprinderea de </w:t>
      </w:r>
      <w:r w:rsidR="00E1772D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Stat „Calea Ferată din Moldova”</w:t>
      </w:r>
      <w:r w:rsidR="002C4332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C433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au dat acordul și </w:t>
      </w:r>
      <w:r w:rsidR="00A560DA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au </w:t>
      </w:r>
      <w:r w:rsidR="002C433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format </w:t>
      </w:r>
      <w:r w:rsidR="005239EA" w:rsidRPr="007923D2">
        <w:rPr>
          <w:rFonts w:ascii="Times New Roman" w:hAnsi="Times New Roman" w:cs="Times New Roman"/>
          <w:sz w:val="28"/>
          <w:szCs w:val="28"/>
          <w:lang w:val="ro-RO"/>
        </w:rPr>
        <w:t>prin separare</w:t>
      </w:r>
      <w:r w:rsidR="00A560DA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din terenul cu numărul cadastral  6201111.381 cu suprafaţa 18,5119 ha,  </w:t>
      </w:r>
      <w:r w:rsidR="002C433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a două </w:t>
      </w:r>
      <w:r w:rsidR="00615BEA">
        <w:rPr>
          <w:rFonts w:ascii="Times New Roman" w:hAnsi="Times New Roman" w:cs="Times New Roman"/>
          <w:sz w:val="28"/>
          <w:szCs w:val="28"/>
          <w:lang w:val="ro-RO"/>
        </w:rPr>
        <w:t xml:space="preserve">terenuri: </w:t>
      </w:r>
      <w:r w:rsidR="00A560DA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numărul cadastral 6201111.405 cu suprafaţa 0,0237 și cu numărul cadastral 6201111.406 cu suprafaţa 0,2895 ha, 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560DA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n scopul transmiterii acestora Serviciului Vamal pentru construcția și amplasarea unui scaner staționar de efectuare a inspecției non-intruzive </w:t>
      </w:r>
      <w:r w:rsidR="008E3D25" w:rsidRPr="007923D2">
        <w:rPr>
          <w:rFonts w:ascii="Times New Roman" w:hAnsi="Times New Roman" w:cs="Times New Roman"/>
          <w:sz w:val="28"/>
          <w:szCs w:val="28"/>
          <w:lang w:val="ro-RO"/>
        </w:rPr>
        <w:t>din mers a trenurilor de marfă.</w:t>
      </w:r>
      <w:r w:rsidR="00A560DA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14D33" w:rsidRPr="007923D2" w:rsidRDefault="008E3D25" w:rsidP="00D51086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Astfel, 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proiectul de hotărîre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prevede </w:t>
      </w:r>
      <w:r w:rsidR="00B27CF6" w:rsidRPr="007923D2">
        <w:rPr>
          <w:rFonts w:ascii="Times New Roman" w:hAnsi="Times New Roman" w:cs="Times New Roman"/>
          <w:sz w:val="28"/>
          <w:szCs w:val="28"/>
          <w:lang w:val="ro-RO"/>
        </w:rPr>
        <w:t>transmite</w:t>
      </w:r>
      <w:r w:rsidR="00615BEA">
        <w:rPr>
          <w:rFonts w:ascii="Times New Roman" w:hAnsi="Times New Roman" w:cs="Times New Roman"/>
          <w:sz w:val="28"/>
          <w:szCs w:val="28"/>
          <w:lang w:val="ro-RO"/>
        </w:rPr>
        <w:t>rea cu titlu</w:t>
      </w:r>
      <w:r w:rsidR="00B27CF6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gratuit, </w:t>
      </w:r>
      <w:r w:rsidR="00A14D33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din administrarea Ministerului Economiei și Infrastructurii (gestiunea Î.S. „Calea Ferată din Moldova”)  în administrarea Ministerului Finanţelor (gestiunea Serviciului Vamal) 0, 3132 ha de terenuri ( numărul cadastral 6201111405 – 0,0237 ha, numărul cadastral 6201111406 – 0,2895 ha),  proprietate publică a statului, amplasate în intravilanul or. Ocnița, </w:t>
      </w:r>
      <w:r w:rsidR="00A14D33" w:rsidRPr="007923D2">
        <w:rPr>
          <w:rFonts w:ascii="Times New Roman" w:hAnsi="Times New Roman" w:cs="Times New Roman"/>
          <w:sz w:val="28"/>
          <w:szCs w:val="28"/>
          <w:lang w:val="ro-RO"/>
        </w:rPr>
        <w:t>în scopul construcției și amplasării scanerului staționar.</w:t>
      </w:r>
    </w:p>
    <w:p w:rsidR="00590F25" w:rsidRPr="007923D2" w:rsidRDefault="007923D2" w:rsidP="007923D2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23D2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F0527B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5804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adoptarea </w:t>
      </w:r>
      <w:r w:rsidR="004C404A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DC5804" w:rsidRPr="007923D2">
        <w:rPr>
          <w:rFonts w:ascii="Times New Roman" w:hAnsi="Times New Roman" w:cs="Times New Roman"/>
          <w:sz w:val="28"/>
          <w:szCs w:val="28"/>
          <w:lang w:val="ro-RO"/>
        </w:rPr>
        <w:t>otărîrii respective,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429C" w:rsidRPr="00792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Ministerului Economiei și Infrastructurii, în comun cu Ministerul Finanţelor</w:t>
      </w:r>
      <w:r w:rsidR="0051429C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5BEA">
        <w:rPr>
          <w:rFonts w:ascii="Times New Roman" w:hAnsi="Times New Roman" w:cs="Times New Roman"/>
          <w:sz w:val="28"/>
          <w:szCs w:val="28"/>
          <w:lang w:val="ro-RO"/>
        </w:rPr>
        <w:t>va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5BE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nstitui Comisia de transmitere a </w:t>
      </w:r>
      <w:r w:rsidR="00B27CF6" w:rsidRPr="007923D2">
        <w:rPr>
          <w:rFonts w:ascii="Times New Roman" w:hAnsi="Times New Roman" w:cs="Times New Roman"/>
          <w:sz w:val="28"/>
          <w:szCs w:val="28"/>
          <w:lang w:val="ro-RO"/>
        </w:rPr>
        <w:t>tere</w:t>
      </w:r>
      <w:r w:rsidR="00DC5804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nurilor 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>în conformitate cu prevederile Regulamentului cu privire la modul de transmitere a</w:t>
      </w:r>
      <w:r w:rsidR="00DC5804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bunurilor proprietate publică ap</w:t>
      </w:r>
      <w:r w:rsidR="003C2041">
        <w:rPr>
          <w:rFonts w:ascii="Times New Roman" w:hAnsi="Times New Roman" w:cs="Times New Roman"/>
          <w:sz w:val="28"/>
          <w:szCs w:val="28"/>
          <w:lang w:val="ro-RO"/>
        </w:rPr>
        <w:t>robat prin Hotărîrea Guvernului</w:t>
      </w:r>
      <w:r w:rsidR="00DC5804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nr. 901 din 31 decembrie 2015</w:t>
      </w:r>
      <w:r w:rsidR="00E1772D" w:rsidRPr="007923D2">
        <w:rPr>
          <w:rFonts w:ascii="Times New Roman" w:hAnsi="Times New Roman" w:cs="Times New Roman"/>
          <w:sz w:val="28"/>
          <w:szCs w:val="28"/>
          <w:lang w:val="ro-RO"/>
        </w:rPr>
        <w:t>, iar</w:t>
      </w:r>
      <w:r w:rsidR="003C2041">
        <w:rPr>
          <w:rFonts w:ascii="Times New Roman" w:hAnsi="Times New Roman" w:cs="Times New Roman"/>
          <w:sz w:val="28"/>
          <w:szCs w:val="28"/>
          <w:lang w:val="ro-RO"/>
        </w:rPr>
        <w:t xml:space="preserve"> Agenția Servicii Publice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va efectua modificările documentației cadastrale la cererea titularului de drept în conformitate cu prevederile prezentei hotărîri.</w:t>
      </w:r>
    </w:p>
    <w:p w:rsidR="00590F25" w:rsidRPr="007923D2" w:rsidRDefault="00E1772D" w:rsidP="007923D2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23D2">
        <w:rPr>
          <w:rFonts w:ascii="Times New Roman" w:hAnsi="Times New Roman" w:cs="Times New Roman"/>
          <w:sz w:val="28"/>
          <w:szCs w:val="28"/>
          <w:lang w:val="ro-RO"/>
        </w:rPr>
        <w:t>Implementarea</w:t>
      </w:r>
      <w:r w:rsidR="007923D2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prezentului proiect de </w:t>
      </w:r>
      <w:r w:rsidR="004C404A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7923D2" w:rsidRPr="007923D2">
        <w:rPr>
          <w:rFonts w:ascii="Times New Roman" w:hAnsi="Times New Roman" w:cs="Times New Roman"/>
          <w:sz w:val="28"/>
          <w:szCs w:val="28"/>
          <w:lang w:val="ro-RO"/>
        </w:rPr>
        <w:t>otărîre de Guvern nu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presupune cheltuieli financiare suplimentare din bugetul de stat.</w:t>
      </w:r>
    </w:p>
    <w:p w:rsidR="00590F25" w:rsidRPr="00BC434F" w:rsidRDefault="007923D2" w:rsidP="007923D2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În scopul respectării prevederilor Legii 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>nr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>. 239 din 13 noiembrie</w:t>
      </w:r>
      <w:r w:rsidR="00590F25"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 2008 privind transparenţa în procesul decizional, 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4C404A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7923D2">
        <w:rPr>
          <w:rFonts w:ascii="Times New Roman" w:hAnsi="Times New Roman" w:cs="Times New Roman"/>
          <w:sz w:val="28"/>
          <w:szCs w:val="28"/>
          <w:lang w:val="ro-RO"/>
        </w:rPr>
        <w:t xml:space="preserve">otărîrii Guvernului a fost plasat pe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 web 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 a 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Finanțelor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BC434F" w:rsidRPr="00BC434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www.</w:t>
        </w:r>
        <w:r w:rsidR="00BC434F" w:rsidRPr="00BC434F">
          <w:rPr>
            <w:rStyle w:val="a5"/>
            <w:rFonts w:ascii="Times New Roman" w:hAnsi="Times New Roman" w:cs="Times New Roman"/>
            <w:i/>
            <w:sz w:val="28"/>
            <w:szCs w:val="28"/>
            <w:lang w:val="ro-RO"/>
          </w:rPr>
          <w:t>mf</w:t>
        </w:r>
        <w:r w:rsidR="00BC434F" w:rsidRPr="00BC434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.</w:t>
        </w:r>
        <w:proofErr w:type="spellStart"/>
        <w:r w:rsidR="00BC434F" w:rsidRPr="00BC434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gov.md</w:t>
        </w:r>
        <w:proofErr w:type="spellEnd"/>
      </w:hyperlink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Transparenţa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434F" w:rsidRPr="00BC434F">
        <w:rPr>
          <w:rFonts w:ascii="Times New Roman" w:hAnsi="Times New Roman" w:cs="Times New Roman"/>
          <w:sz w:val="28"/>
          <w:szCs w:val="28"/>
          <w:lang w:val="en-US"/>
        </w:rPr>
        <w:t>decizională</w:t>
      </w:r>
      <w:proofErr w:type="spellEnd"/>
      <w:r w:rsidR="00BC434F" w:rsidRPr="00BC434F">
        <w:rPr>
          <w:rFonts w:ascii="Times New Roman" w:hAnsi="Times New Roman" w:cs="Times New Roman"/>
          <w:sz w:val="28"/>
          <w:szCs w:val="28"/>
          <w:lang w:val="ro-RO"/>
        </w:rPr>
        <w:t>, la rubrica  ”Procesul decizional”</w:t>
      </w:r>
      <w:r w:rsidR="0051429C" w:rsidRPr="00BC434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C5804" w:rsidRDefault="00DC5804" w:rsidP="0051429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031DD" w:rsidRDefault="00B031DD" w:rsidP="0051429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E2D" w:rsidRPr="007923D2" w:rsidRDefault="00471E2D" w:rsidP="0051429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5804" w:rsidRPr="007923D2" w:rsidRDefault="00DC5804" w:rsidP="0051429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A7167" w:rsidRPr="00615BEA" w:rsidRDefault="00B9347B" w:rsidP="00615BEA">
      <w:pPr>
        <w:ind w:left="-567" w:right="-143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F87C2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Ministru</w:t>
      </w:r>
      <w:r w:rsidR="001A7167" w:rsidRPr="00F87C2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 xml:space="preserve">                                   </w:t>
      </w:r>
      <w:r w:rsidRPr="00F87C24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Octavian ARMAȘU</w:t>
      </w:r>
    </w:p>
    <w:p w:rsidR="001A7167" w:rsidRDefault="001A7167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D51086" w:rsidRDefault="00D51086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D51086" w:rsidRDefault="00D51086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B031DD" w:rsidRDefault="00B031DD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B031DD" w:rsidRDefault="00B031DD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B031DD" w:rsidRDefault="00B031DD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B031DD" w:rsidRDefault="00B031DD" w:rsidP="001A7167">
      <w:pPr>
        <w:jc w:val="center"/>
        <w:textAlignment w:val="baseline"/>
        <w:rPr>
          <w:b/>
          <w:color w:val="000000"/>
          <w:sz w:val="28"/>
          <w:szCs w:val="28"/>
          <w:lang w:val="ro-RO"/>
        </w:rPr>
      </w:pPr>
    </w:p>
    <w:p w:rsidR="00471E2D" w:rsidRDefault="00471E2D" w:rsidP="001A7167">
      <w:pPr>
        <w:spacing w:before="100" w:beforeAutospacing="1" w:after="100" w:afterAutospacing="1"/>
        <w:contextualSpacing/>
        <w:rPr>
          <w:rStyle w:val="a6"/>
          <w:rFonts w:ascii="Times New Roman" w:hAnsi="Times New Roman" w:cs="Times New Roman"/>
          <w:color w:val="auto"/>
          <w:sz w:val="18"/>
          <w:lang w:val="ro-RO"/>
        </w:rPr>
      </w:pPr>
    </w:p>
    <w:p w:rsidR="001A7167" w:rsidRPr="00471E2D" w:rsidRDefault="001A7167" w:rsidP="001A7167">
      <w:pPr>
        <w:spacing w:before="100" w:beforeAutospacing="1" w:after="100" w:afterAutospacing="1"/>
        <w:contextualSpacing/>
        <w:rPr>
          <w:rStyle w:val="a6"/>
          <w:rFonts w:ascii="Times New Roman" w:hAnsi="Times New Roman" w:cs="Times New Roman"/>
          <w:color w:val="auto"/>
          <w:sz w:val="18"/>
          <w:szCs w:val="24"/>
          <w:lang w:val="en-US"/>
        </w:rPr>
      </w:pPr>
      <w:r w:rsidRPr="00471E2D">
        <w:rPr>
          <w:rStyle w:val="a6"/>
          <w:rFonts w:ascii="Times New Roman" w:hAnsi="Times New Roman" w:cs="Times New Roman"/>
          <w:color w:val="auto"/>
          <w:sz w:val="18"/>
          <w:lang w:val="ro-RO"/>
        </w:rPr>
        <w:t xml:space="preserve">  </w:t>
      </w:r>
      <w:r w:rsidR="00471E2D" w:rsidRPr="00471E2D">
        <w:rPr>
          <w:rStyle w:val="a6"/>
          <w:rFonts w:ascii="Times New Roman" w:hAnsi="Times New Roman" w:cs="Times New Roman"/>
          <w:color w:val="auto"/>
          <w:sz w:val="18"/>
          <w:lang w:val="ro-RO"/>
        </w:rPr>
        <w:t xml:space="preserve">Ex. </w:t>
      </w:r>
      <w:r w:rsidRPr="00471E2D">
        <w:rPr>
          <w:rStyle w:val="a6"/>
          <w:rFonts w:ascii="Times New Roman" w:hAnsi="Times New Roman" w:cs="Times New Roman"/>
          <w:color w:val="auto"/>
          <w:sz w:val="18"/>
          <w:lang w:val="ro-RO"/>
        </w:rPr>
        <w:t>A. Negrescu</w:t>
      </w:r>
    </w:p>
    <w:p w:rsidR="001A7167" w:rsidRPr="00471E2D" w:rsidRDefault="00471E2D" w:rsidP="00615BEA">
      <w:pPr>
        <w:spacing w:before="100" w:beforeAutospacing="1" w:after="100" w:afterAutospacing="1"/>
        <w:contextualSpacing/>
        <w:rPr>
          <w:rFonts w:ascii="Times New Roman" w:hAnsi="Times New Roman" w:cs="Times New Roman"/>
          <w:i/>
          <w:iCs/>
          <w:sz w:val="18"/>
          <w:lang w:val="en-US"/>
        </w:rPr>
      </w:pPr>
      <w:r w:rsidRPr="00471E2D">
        <w:rPr>
          <w:rStyle w:val="a6"/>
          <w:rFonts w:ascii="Times New Roman" w:hAnsi="Times New Roman" w:cs="Times New Roman"/>
          <w:color w:val="auto"/>
          <w:sz w:val="18"/>
          <w:lang w:val="ro-RO"/>
        </w:rPr>
        <w:t xml:space="preserve">Tel. </w:t>
      </w:r>
      <w:r w:rsidR="001A7167" w:rsidRPr="00471E2D">
        <w:rPr>
          <w:rStyle w:val="a6"/>
          <w:rFonts w:ascii="Times New Roman" w:hAnsi="Times New Roman" w:cs="Times New Roman"/>
          <w:color w:val="auto"/>
          <w:sz w:val="18"/>
          <w:lang w:val="ro-RO"/>
        </w:rPr>
        <w:t xml:space="preserve">022 </w:t>
      </w:r>
      <w:r w:rsidR="001A7167" w:rsidRPr="00471E2D">
        <w:rPr>
          <w:rStyle w:val="a6"/>
          <w:rFonts w:ascii="Times New Roman" w:hAnsi="Times New Roman" w:cs="Times New Roman"/>
          <w:color w:val="auto"/>
          <w:sz w:val="18"/>
          <w:lang w:val="en-US"/>
        </w:rPr>
        <w:t>574 137</w:t>
      </w:r>
    </w:p>
    <w:sectPr w:rsidR="001A7167" w:rsidRPr="00471E2D" w:rsidSect="00B031DD">
      <w:pgSz w:w="11906" w:h="16838"/>
      <w:pgMar w:top="568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BB0"/>
    <w:multiLevelType w:val="hybridMultilevel"/>
    <w:tmpl w:val="28383428"/>
    <w:lvl w:ilvl="0" w:tplc="4B765C1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5D67C3"/>
    <w:multiLevelType w:val="hybridMultilevel"/>
    <w:tmpl w:val="1B6A1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B43F7"/>
    <w:multiLevelType w:val="hybridMultilevel"/>
    <w:tmpl w:val="DA8483F0"/>
    <w:lvl w:ilvl="0" w:tplc="A90A608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B972C8"/>
    <w:multiLevelType w:val="hybridMultilevel"/>
    <w:tmpl w:val="B5202864"/>
    <w:lvl w:ilvl="0" w:tplc="6E1CC9A8">
      <w:start w:val="3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90F25"/>
    <w:rsid w:val="00075236"/>
    <w:rsid w:val="000A0C3B"/>
    <w:rsid w:val="000C6E56"/>
    <w:rsid w:val="00102BE9"/>
    <w:rsid w:val="00185899"/>
    <w:rsid w:val="001A7167"/>
    <w:rsid w:val="001C7DCB"/>
    <w:rsid w:val="00252C87"/>
    <w:rsid w:val="00296DD7"/>
    <w:rsid w:val="002C4332"/>
    <w:rsid w:val="003057B9"/>
    <w:rsid w:val="00370654"/>
    <w:rsid w:val="003C2041"/>
    <w:rsid w:val="003F1220"/>
    <w:rsid w:val="00471E2D"/>
    <w:rsid w:val="004C404A"/>
    <w:rsid w:val="0051429C"/>
    <w:rsid w:val="005239EA"/>
    <w:rsid w:val="00590F25"/>
    <w:rsid w:val="00615BEA"/>
    <w:rsid w:val="00616047"/>
    <w:rsid w:val="006F6C7C"/>
    <w:rsid w:val="007923D2"/>
    <w:rsid w:val="00856D3C"/>
    <w:rsid w:val="008B1989"/>
    <w:rsid w:val="008E3D25"/>
    <w:rsid w:val="009358FF"/>
    <w:rsid w:val="0094413F"/>
    <w:rsid w:val="009F01E1"/>
    <w:rsid w:val="00A14D33"/>
    <w:rsid w:val="00A245FF"/>
    <w:rsid w:val="00A320FA"/>
    <w:rsid w:val="00A52E53"/>
    <w:rsid w:val="00A560DA"/>
    <w:rsid w:val="00A609C0"/>
    <w:rsid w:val="00AA0198"/>
    <w:rsid w:val="00B031DD"/>
    <w:rsid w:val="00B27CF6"/>
    <w:rsid w:val="00B9347B"/>
    <w:rsid w:val="00B95269"/>
    <w:rsid w:val="00BC434F"/>
    <w:rsid w:val="00C84842"/>
    <w:rsid w:val="00CA0AEB"/>
    <w:rsid w:val="00CC18A6"/>
    <w:rsid w:val="00D51086"/>
    <w:rsid w:val="00DC5804"/>
    <w:rsid w:val="00E1772D"/>
    <w:rsid w:val="00E92E16"/>
    <w:rsid w:val="00E92FD8"/>
    <w:rsid w:val="00EC0FD4"/>
    <w:rsid w:val="00F0527B"/>
    <w:rsid w:val="00F463EA"/>
    <w:rsid w:val="00F70E03"/>
    <w:rsid w:val="00F8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a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A0C3B"/>
    <w:rPr>
      <w:color w:val="0000FF"/>
      <w:u w:val="single"/>
    </w:rPr>
  </w:style>
  <w:style w:type="character" w:styleId="a6">
    <w:name w:val="Subtle Emphasis"/>
    <w:uiPriority w:val="19"/>
    <w:qFormat/>
    <w:rsid w:val="001A7167"/>
    <w:rPr>
      <w:i/>
      <w:iCs/>
      <w:color w:val="808080"/>
    </w:rPr>
  </w:style>
  <w:style w:type="character" w:styleId="a7">
    <w:name w:val="Strong"/>
    <w:basedOn w:val="a0"/>
    <w:uiPriority w:val="22"/>
    <w:qFormat/>
    <w:rsid w:val="001A7167"/>
    <w:rPr>
      <w:b/>
      <w:bCs/>
    </w:rPr>
  </w:style>
  <w:style w:type="paragraph" w:customStyle="1" w:styleId="tt">
    <w:name w:val="tt"/>
    <w:basedOn w:val="a"/>
    <w:rsid w:val="00E177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8">
    <w:name w:val="Body Text"/>
    <w:basedOn w:val="a"/>
    <w:link w:val="a9"/>
    <w:uiPriority w:val="99"/>
    <w:rsid w:val="003F12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F12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4DB5C-6AB2-4436-8388-8017A81F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15</cp:revision>
  <cp:lastPrinted>2018-01-19T07:59:00Z</cp:lastPrinted>
  <dcterms:created xsi:type="dcterms:W3CDTF">2018-02-21T07:57:00Z</dcterms:created>
  <dcterms:modified xsi:type="dcterms:W3CDTF">2018-03-12T14:23:00Z</dcterms:modified>
</cp:coreProperties>
</file>