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6" w:rsidRPr="005B1E78" w:rsidRDefault="00C6521F" w:rsidP="003E308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5B1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Proiect</w:t>
      </w:r>
      <w:proofErr w:type="spellEnd"/>
      <w:r w:rsidRPr="005B1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</w:p>
    <w:p w:rsidR="00C6521F" w:rsidRPr="005B1E78" w:rsidRDefault="00C6521F" w:rsidP="008917F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GUVERNUL </w:t>
      </w:r>
      <w:r w:rsidRPr="005B1E7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REPUBLICI </w:t>
      </w:r>
      <w:r w:rsidRPr="005B1E7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>MOLDOVA</w:t>
      </w:r>
    </w:p>
    <w:p w:rsidR="001F28C6" w:rsidRPr="005B1E78" w:rsidRDefault="00C6521F" w:rsidP="008917F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B1E78">
        <w:rPr>
          <w:rFonts w:ascii="Times New Roman" w:hAnsi="Times New Roman" w:cs="Times New Roman"/>
          <w:sz w:val="28"/>
          <w:szCs w:val="28"/>
          <w:lang w:val="en-US"/>
        </w:rPr>
        <w:t>HOTAR</w:t>
      </w:r>
      <w:r w:rsidR="001F28C6" w:rsidRPr="005B1E7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5B1E78">
        <w:rPr>
          <w:rFonts w:ascii="Times New Roman" w:hAnsi="Times New Roman" w:cs="Times New Roman"/>
          <w:sz w:val="28"/>
          <w:szCs w:val="28"/>
          <w:lang w:val="en-US"/>
        </w:rPr>
        <w:t>RE nr.</w:t>
      </w:r>
      <w:r w:rsidR="001F28C6" w:rsidRPr="005B1E78">
        <w:rPr>
          <w:rFonts w:ascii="Times New Roman" w:hAnsi="Times New Roman" w:cs="Times New Roman"/>
          <w:sz w:val="28"/>
          <w:szCs w:val="28"/>
          <w:lang w:val="ro-RO"/>
        </w:rPr>
        <w:t>______</w:t>
      </w:r>
    </w:p>
    <w:p w:rsidR="00C6521F" w:rsidRPr="005B1E78" w:rsidRDefault="00C6521F" w:rsidP="008917F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B1E78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8C6" w:rsidRPr="005B1E78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5B1E78">
        <w:rPr>
          <w:rFonts w:ascii="Times New Roman" w:hAnsi="Times New Roman" w:cs="Times New Roman"/>
          <w:sz w:val="28"/>
          <w:szCs w:val="28"/>
          <w:lang w:val="en-US"/>
        </w:rPr>
        <w:t>2018</w:t>
      </w:r>
    </w:p>
    <w:p w:rsidR="00D71E41" w:rsidRPr="005B1E78" w:rsidRDefault="00D71E41" w:rsidP="00D71E4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>transmiterea</w:t>
      </w:r>
      <w:proofErr w:type="spellEnd"/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1E78">
        <w:rPr>
          <w:rFonts w:ascii="Times New Roman" w:hAnsi="Times New Roman" w:cs="Times New Roman"/>
          <w:b/>
          <w:sz w:val="28"/>
          <w:szCs w:val="28"/>
          <w:lang w:val="ro-RO"/>
        </w:rPr>
        <w:t>terenuri</w:t>
      </w:r>
    </w:p>
    <w:p w:rsidR="005B1E78" w:rsidRDefault="005B1E78" w:rsidP="00541762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1762" w:rsidRPr="005B1E78" w:rsidRDefault="00541762" w:rsidP="00541762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art.6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.(1) lit.a</w:t>
      </w:r>
      <w:r w:rsidRPr="005B1E7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art.14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.(1)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lit.c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din </w:t>
      </w:r>
      <w:hyperlink r:id="rId5" w:history="1">
        <w:proofErr w:type="spellStart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Legea</w:t>
        </w:r>
        <w:proofErr w:type="spellEnd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nr.121-XVI din 4 </w:t>
        </w:r>
        <w:proofErr w:type="spellStart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</w:t>
        </w:r>
        <w:proofErr w:type="spellEnd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2007</w:t>
        </w:r>
      </w:hyperlink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administrarea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deetatizarea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2007, nr.90-93, art.401), cu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modificările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completările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ulterioare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precum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 15 din </w:t>
      </w:r>
      <w:hyperlink r:id="rId6" w:history="1">
        <w:proofErr w:type="spellStart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Codul</w:t>
        </w:r>
        <w:proofErr w:type="spellEnd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funciar</w:t>
        </w:r>
        <w:proofErr w:type="spellEnd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nr.828-XII din 25 </w:t>
        </w:r>
        <w:proofErr w:type="spellStart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decembrie</w:t>
        </w:r>
        <w:proofErr w:type="spellEnd"/>
        <w:r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1991</w:t>
        </w:r>
      </w:hyperlink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republicat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2001, nr.107, art.817), cu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modificările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completările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ulterioare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71E41" w:rsidRPr="005B1E78" w:rsidRDefault="00D71E41" w:rsidP="00541762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1762" w:rsidRPr="005B1E78" w:rsidRDefault="00541762" w:rsidP="00541762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HOTĂRĂŞTE:</w:t>
      </w:r>
    </w:p>
    <w:p w:rsidR="007E1275" w:rsidRPr="005B1E78" w:rsidRDefault="007E1275" w:rsidP="00541762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541762" w:rsidRPr="005B1E78" w:rsidRDefault="00541762" w:rsidP="00541762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1.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transmit, cu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titlu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gratuit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din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administrarea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Economiei</w:t>
      </w:r>
      <w:proofErr w:type="spellEnd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Infrastructurii</w:t>
      </w:r>
      <w:proofErr w:type="spellEnd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gestiunea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Întreprinderii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Stat „</w:t>
      </w:r>
      <w:proofErr w:type="spellStart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Calea</w:t>
      </w:r>
      <w:proofErr w:type="spellEnd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Ferată</w:t>
      </w:r>
      <w:proofErr w:type="spellEnd"/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Moldova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”)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administrarea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Finanţelor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gestiunea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Serviciului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Vamal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0, 3132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hectare de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terenuri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sectorul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nr.1 cu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numărul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cadastral </w:t>
      </w:r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6201111405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0,0</w:t>
      </w:r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237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ha,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sectorul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nr.2 cu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numărul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cadastral </w:t>
      </w:r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6201111406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0,</w:t>
      </w:r>
      <w:r w:rsidR="00D71E4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2895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ha) din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categoria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terenuri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destinate</w:t>
      </w:r>
      <w:proofErr w:type="spellEnd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industriei</w:t>
      </w:r>
      <w:proofErr w:type="spellEnd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transporturilor</w:t>
      </w:r>
      <w:proofErr w:type="spellEnd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telecomunicaţiilor</w:t>
      </w:r>
      <w:proofErr w:type="spellEnd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destinaţii</w:t>
      </w:r>
      <w:proofErr w:type="spellEnd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5861" w:rsidRPr="005B1E78">
        <w:rPr>
          <w:rFonts w:ascii="Times New Roman" w:hAnsi="Times New Roman" w:cs="Times New Roman"/>
          <w:sz w:val="28"/>
          <w:szCs w:val="28"/>
          <w:lang w:val="en-US"/>
        </w:rPr>
        <w:t>speciale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proprietate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statului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amplasate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0586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travilanul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0586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or. </w:t>
      </w:r>
      <w:proofErr w:type="spellStart"/>
      <w:r w:rsidR="0010586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Ocnița</w:t>
      </w:r>
      <w:proofErr w:type="spellEnd"/>
      <w:proofErr w:type="gramStart"/>
      <w:r w:rsidR="0010586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raionul</w:t>
      </w:r>
      <w:proofErr w:type="spellEnd"/>
      <w:proofErr w:type="gram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05861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Ocnița</w:t>
      </w:r>
      <w:proofErr w:type="spellEnd"/>
      <w:r w:rsidR="00B67750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67750" w:rsidRPr="005B1E7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67750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7750" w:rsidRPr="005B1E78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>construcției</w:t>
      </w:r>
      <w:proofErr w:type="spellEnd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>amplasării</w:t>
      </w:r>
      <w:proofErr w:type="spellEnd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>scanerului</w:t>
      </w:r>
      <w:proofErr w:type="spellEnd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>staționar</w:t>
      </w:r>
      <w:proofErr w:type="spellEnd"/>
      <w:r w:rsidR="005B1E78" w:rsidRPr="005B1E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E1275" w:rsidRPr="005B1E78" w:rsidRDefault="007E1275" w:rsidP="00541762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1762" w:rsidRPr="005B1E78" w:rsidRDefault="00D71E41" w:rsidP="00541762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541762"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Economiei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Infrastructurii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comun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Finanţelor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transmitere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transmiterea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terenurilor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termen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o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lună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transmitere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bunurilor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proprietate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aprobat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7" w:history="1">
        <w:proofErr w:type="spellStart"/>
        <w:r w:rsidR="00541762"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Hotărîrea</w:t>
        </w:r>
        <w:proofErr w:type="spellEnd"/>
        <w:r w:rsidR="00541762"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="00541762"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Guvernului</w:t>
        </w:r>
        <w:proofErr w:type="spellEnd"/>
        <w:r w:rsidR="00541762"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nr.901 din 31 </w:t>
        </w:r>
        <w:proofErr w:type="spellStart"/>
        <w:r w:rsidR="00541762"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decembrie</w:t>
        </w:r>
        <w:proofErr w:type="spellEnd"/>
        <w:r w:rsidR="00541762" w:rsidRPr="005B1E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2015</w:t>
        </w:r>
      </w:hyperlink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2016, nr.1, art.2), cu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modificările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completările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ulterioare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E1275" w:rsidRPr="005B1E78" w:rsidRDefault="007E1275" w:rsidP="00541762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1762" w:rsidRPr="005B1E78" w:rsidRDefault="00D71E41" w:rsidP="00D71E41">
      <w:pPr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</w:t>
      </w:r>
      <w:r w:rsidR="00541762"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Agenţia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efectua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modificarea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documentaţiei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</w:t>
      </w:r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astrale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la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cererea</w:t>
      </w:r>
      <w:proofErr w:type="spellEnd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titularului</w:t>
      </w:r>
      <w:proofErr w:type="spellEnd"/>
      <w:r w:rsidR="007E1275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drept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prevederile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hotărîri</w:t>
      </w:r>
      <w:proofErr w:type="spellEnd"/>
      <w:r w:rsidR="00541762" w:rsidRPr="005B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41762" w:rsidRDefault="00541762" w:rsidP="008917F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54C56" w:rsidRPr="005B1E78" w:rsidRDefault="00E54C56" w:rsidP="00D13D27">
      <w:pPr>
        <w:spacing w:before="240"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PRIM-MINISTRU</w:t>
      </w:r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</w:t>
      </w:r>
      <w:r w:rsidR="00D13D27"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</w:t>
      </w:r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      </w:t>
      </w:r>
      <w:proofErr w:type="spellStart"/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Pavel</w:t>
      </w:r>
      <w:proofErr w:type="spellEnd"/>
      <w:r w:rsidRPr="005B1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FILIP</w:t>
      </w:r>
    </w:p>
    <w:p w:rsidR="007E1275" w:rsidRDefault="007E1275" w:rsidP="008917FD">
      <w:pPr>
        <w:widowControl w:val="0"/>
        <w:spacing w:after="100" w:afterAutospacing="1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5B1E78" w:rsidRPr="005B1E78" w:rsidRDefault="005B1E78" w:rsidP="008917FD">
      <w:pPr>
        <w:widowControl w:val="0"/>
        <w:spacing w:after="100" w:afterAutospacing="1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tblCellSpacing w:w="15" w:type="dxa"/>
        <w:tblInd w:w="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3685"/>
      </w:tblGrid>
      <w:tr w:rsidR="00277946" w:rsidRPr="003E3082" w:rsidTr="007E1275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7E1275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o-R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3E3082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7946" w:rsidRPr="003E3082" w:rsidTr="007E1275">
        <w:trPr>
          <w:trHeight w:val="27"/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3E3082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3E3082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7946" w:rsidRPr="003E3082" w:rsidTr="007E1275">
        <w:trPr>
          <w:trHeight w:val="27"/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3E3082" w:rsidRDefault="005B1E78" w:rsidP="005B1E78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E127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Contrasemnează</w:t>
            </w:r>
            <w:proofErr w:type="spellEnd"/>
            <w:r w:rsidRPr="007E127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3E3082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7946" w:rsidRPr="003E3082" w:rsidTr="007E1275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7E1275" w:rsidRPr="007E1275" w:rsidRDefault="007E1275" w:rsidP="00277946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</w:p>
          <w:p w:rsidR="007E1275" w:rsidRPr="007E1275" w:rsidRDefault="007E1275" w:rsidP="007E1275">
            <w:pPr>
              <w:spacing w:after="0"/>
              <w:ind w:left="993" w:right="-354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proofErr w:type="spellStart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Ministrul</w:t>
            </w:r>
            <w:proofErr w:type="spellEnd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economiei</w:t>
            </w:r>
            <w:proofErr w:type="spellEnd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şi</w:t>
            </w:r>
            <w:proofErr w:type="spellEnd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infrastructurii</w:t>
            </w:r>
            <w:proofErr w:type="spellEnd"/>
          </w:p>
          <w:p w:rsidR="007E1275" w:rsidRDefault="007E1275" w:rsidP="00277946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</w:p>
          <w:p w:rsidR="00277946" w:rsidRPr="007E1275" w:rsidRDefault="00277946" w:rsidP="00277946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proofErr w:type="spellStart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Ministrul</w:t>
            </w:r>
            <w:proofErr w:type="spellEnd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B6775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finanţelor</w:t>
            </w:r>
            <w:proofErr w:type="spellEnd"/>
            <w:r w:rsidRPr="007E1275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7E1275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7E1275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         </w:t>
            </w:r>
          </w:p>
          <w:p w:rsidR="007E1275" w:rsidRPr="007E1275" w:rsidRDefault="007E1275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</w:p>
          <w:p w:rsidR="007E1275" w:rsidRPr="007E1275" w:rsidRDefault="007E1275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             </w:t>
            </w:r>
            <w:r w:rsidRPr="007E1275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 </w:t>
            </w:r>
            <w:proofErr w:type="spellStart"/>
            <w:r w:rsidRPr="007E1275">
              <w:rPr>
                <w:rFonts w:ascii="Times New Roman" w:eastAsia="Times New Roman" w:hAnsi="Times New Roman" w:cs="Times New Roman"/>
                <w:bCs/>
                <w:lang w:eastAsia="ru-RU"/>
              </w:rPr>
              <w:t>Chiril</w:t>
            </w:r>
            <w:proofErr w:type="spellEnd"/>
            <w:r w:rsidRPr="007E12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E1275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</w:t>
            </w:r>
            <w:proofErr w:type="spellStart"/>
            <w:r w:rsidRPr="007E1275">
              <w:rPr>
                <w:rFonts w:ascii="Times New Roman" w:eastAsia="Times New Roman" w:hAnsi="Times New Roman" w:cs="Times New Roman"/>
                <w:bCs/>
                <w:lang w:eastAsia="ru-RU"/>
              </w:rPr>
              <w:t>Gaburici</w:t>
            </w:r>
            <w:proofErr w:type="spellEnd"/>
          </w:p>
          <w:p w:rsidR="007E1275" w:rsidRPr="007E1275" w:rsidRDefault="007E1275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</w:p>
          <w:p w:rsidR="00277946" w:rsidRPr="007E1275" w:rsidRDefault="007E1275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1275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          </w:t>
            </w:r>
            <w:r w:rsidRPr="007E1275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 </w:t>
            </w:r>
            <w:r w:rsidR="00277946" w:rsidRPr="007E1275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 </w:t>
            </w:r>
            <w:proofErr w:type="spellStart"/>
            <w:r w:rsidR="00277946" w:rsidRPr="007E1275">
              <w:rPr>
                <w:rFonts w:ascii="Times New Roman" w:eastAsia="Times New Roman" w:hAnsi="Times New Roman" w:cs="Times New Roman"/>
                <w:bCs/>
                <w:lang w:eastAsia="ru-RU"/>
              </w:rPr>
              <w:t>Octavian</w:t>
            </w:r>
            <w:proofErr w:type="spellEnd"/>
            <w:r w:rsidR="00277946" w:rsidRPr="007E12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277946" w:rsidRPr="007E1275">
              <w:rPr>
                <w:rFonts w:ascii="Times New Roman" w:eastAsia="Times New Roman" w:hAnsi="Times New Roman" w:cs="Times New Roman"/>
                <w:bCs/>
                <w:lang w:eastAsia="ru-RU"/>
              </w:rPr>
              <w:t>Armaşu</w:t>
            </w:r>
            <w:proofErr w:type="spellEnd"/>
          </w:p>
        </w:tc>
      </w:tr>
    </w:tbl>
    <w:p w:rsidR="00DB31C9" w:rsidRPr="00D13D27" w:rsidRDefault="00DB31C9" w:rsidP="003E3082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B31C9" w:rsidRPr="00D13D27" w:rsidSect="003E3082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4AD7"/>
    <w:rsid w:val="00105861"/>
    <w:rsid w:val="001743BF"/>
    <w:rsid w:val="001835BD"/>
    <w:rsid w:val="001F28C6"/>
    <w:rsid w:val="001F38A6"/>
    <w:rsid w:val="00277946"/>
    <w:rsid w:val="002D7350"/>
    <w:rsid w:val="002E491B"/>
    <w:rsid w:val="00303084"/>
    <w:rsid w:val="00377ED5"/>
    <w:rsid w:val="003E3082"/>
    <w:rsid w:val="00461EBB"/>
    <w:rsid w:val="00541762"/>
    <w:rsid w:val="005B1E78"/>
    <w:rsid w:val="005C7108"/>
    <w:rsid w:val="00663F40"/>
    <w:rsid w:val="006C0C3D"/>
    <w:rsid w:val="007E1275"/>
    <w:rsid w:val="0080431D"/>
    <w:rsid w:val="008917FD"/>
    <w:rsid w:val="00922D32"/>
    <w:rsid w:val="00947B3C"/>
    <w:rsid w:val="00954E04"/>
    <w:rsid w:val="00A44AD7"/>
    <w:rsid w:val="00A771C2"/>
    <w:rsid w:val="00AF27F7"/>
    <w:rsid w:val="00B67750"/>
    <w:rsid w:val="00C55576"/>
    <w:rsid w:val="00C6521F"/>
    <w:rsid w:val="00CF0C36"/>
    <w:rsid w:val="00D0280D"/>
    <w:rsid w:val="00D13D27"/>
    <w:rsid w:val="00D2354A"/>
    <w:rsid w:val="00D50B88"/>
    <w:rsid w:val="00D71E41"/>
    <w:rsid w:val="00DB31C9"/>
    <w:rsid w:val="00E16E03"/>
    <w:rsid w:val="00E54C56"/>
    <w:rsid w:val="00E870E0"/>
    <w:rsid w:val="00F2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541762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1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HGHG201512319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19911225828" TargetMode="External"/><Relationship Id="rId5" Type="http://schemas.openxmlformats.org/officeDocument/2006/relationships/hyperlink" Target="lex:LPLP200705041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4</cp:revision>
  <cp:lastPrinted>2018-01-19T12:32:00Z</cp:lastPrinted>
  <dcterms:created xsi:type="dcterms:W3CDTF">2018-02-20T15:02:00Z</dcterms:created>
  <dcterms:modified xsi:type="dcterms:W3CDTF">2018-02-21T07:34:00Z</dcterms:modified>
</cp:coreProperties>
</file>