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1AFF" w14:textId="77777777" w:rsidR="00F0134C" w:rsidRPr="00A35A1F" w:rsidRDefault="00F0134C" w:rsidP="00F0134C">
      <w:pPr>
        <w:ind w:left="3600" w:firstLine="720"/>
        <w:jc w:val="right"/>
        <w:rPr>
          <w:lang w:val="ro-RO"/>
        </w:rPr>
      </w:pPr>
      <w:r w:rsidRPr="00A35A1F">
        <w:rPr>
          <w:lang w:val="ro-RO"/>
        </w:rPr>
        <w:t>Anexa nr. 3</w:t>
      </w:r>
    </w:p>
    <w:p w14:paraId="58FC8E2A" w14:textId="77777777" w:rsidR="00F0134C" w:rsidRPr="00A35A1F" w:rsidRDefault="00F0134C" w:rsidP="00F0134C">
      <w:pPr>
        <w:ind w:left="4956"/>
        <w:jc w:val="center"/>
        <w:rPr>
          <w:lang w:val="ro-RO"/>
        </w:rPr>
      </w:pPr>
      <w:r w:rsidRPr="00A35A1F">
        <w:rPr>
          <w:lang w:val="ro-RO"/>
        </w:rPr>
        <w:t>la Hotărîrea Guvernului nr._____________</w:t>
      </w:r>
    </w:p>
    <w:p w14:paraId="6BE6BFD1" w14:textId="77777777" w:rsidR="00F0134C" w:rsidRPr="00A35A1F" w:rsidRDefault="00F0134C" w:rsidP="00F0134C">
      <w:pPr>
        <w:ind w:left="4248" w:firstLine="708"/>
        <w:rPr>
          <w:lang w:val="ro-RO"/>
        </w:rPr>
      </w:pPr>
      <w:r w:rsidRPr="00A35A1F">
        <w:rPr>
          <w:lang w:val="ro-RO"/>
        </w:rPr>
        <w:t xml:space="preserve">  din_________________2018</w:t>
      </w:r>
    </w:p>
    <w:p w14:paraId="0E59979C" w14:textId="77777777" w:rsidR="00F0134C" w:rsidRPr="00A35A1F" w:rsidRDefault="00F0134C" w:rsidP="00F0134C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1E19F7B1" w14:textId="77777777" w:rsidR="00F0134C" w:rsidRPr="00A35A1F" w:rsidRDefault="00F0134C" w:rsidP="00F0134C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</w:p>
    <w:p w14:paraId="654007BB" w14:textId="77777777" w:rsidR="00F0134C" w:rsidRPr="00A35A1F" w:rsidRDefault="00F0134C" w:rsidP="00F0134C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 xml:space="preserve">REGULAMENTUL </w:t>
      </w:r>
    </w:p>
    <w:p w14:paraId="6475873E" w14:textId="13B4A0CA" w:rsidR="00F0134C" w:rsidRPr="00A35A1F" w:rsidRDefault="000C10F4" w:rsidP="00F0134C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>cu privire la</w:t>
      </w:r>
      <w:r w:rsidR="00F0134C" w:rsidRPr="00A35A1F">
        <w:rPr>
          <w:b/>
          <w:sz w:val="28"/>
          <w:szCs w:val="28"/>
          <w:lang w:val="ro-RO"/>
        </w:rPr>
        <w:t xml:space="preserve"> </w:t>
      </w:r>
      <w:r w:rsidRPr="00A35A1F">
        <w:rPr>
          <w:b/>
          <w:sz w:val="28"/>
          <w:szCs w:val="28"/>
          <w:lang w:val="ro-RO"/>
        </w:rPr>
        <w:t>mecanismul de coordonare a procesului de</w:t>
      </w:r>
      <w:r w:rsidR="00F0134C" w:rsidRPr="00A35A1F">
        <w:rPr>
          <w:b/>
          <w:sz w:val="28"/>
          <w:szCs w:val="28"/>
          <w:lang w:val="ro-RO"/>
        </w:rPr>
        <w:t xml:space="preserve"> adaptare la schimbările climatice</w:t>
      </w:r>
    </w:p>
    <w:p w14:paraId="0BD24E76" w14:textId="77777777" w:rsidR="004D3BC3" w:rsidRPr="00A35A1F" w:rsidRDefault="004D3BC3" w:rsidP="00F0134C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</w:p>
    <w:p w14:paraId="1E18BECA" w14:textId="77777777" w:rsidR="00F0134C" w:rsidRPr="00A35A1F" w:rsidRDefault="00F0134C" w:rsidP="00F0134C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365C0E85" w14:textId="77777777" w:rsidR="00F0134C" w:rsidRPr="00A35A1F" w:rsidRDefault="004D3BC3" w:rsidP="004D3BC3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b/>
          <w:sz w:val="28"/>
          <w:szCs w:val="28"/>
          <w:lang w:val="ro-RO"/>
        </w:rPr>
        <w:t>INTRODUCERE</w:t>
      </w:r>
    </w:p>
    <w:p w14:paraId="04A5D492" w14:textId="77777777" w:rsidR="004D3BC3" w:rsidRPr="00A35A1F" w:rsidRDefault="004D3BC3" w:rsidP="004D3BC3">
      <w:pPr>
        <w:ind w:left="360"/>
        <w:rPr>
          <w:b/>
          <w:sz w:val="28"/>
          <w:szCs w:val="28"/>
          <w:lang w:val="ro-RO"/>
        </w:rPr>
      </w:pPr>
    </w:p>
    <w:p w14:paraId="68D886C1" w14:textId="068745C8" w:rsidR="00F0134C" w:rsidRPr="00A35A1F" w:rsidRDefault="00F0134C" w:rsidP="00F0134C">
      <w:pPr>
        <w:numPr>
          <w:ilvl w:val="0"/>
          <w:numId w:val="1"/>
        </w:numPr>
        <w:tabs>
          <w:tab w:val="left" w:pos="360"/>
          <w:tab w:val="left" w:pos="1080"/>
          <w:tab w:val="left" w:pos="1170"/>
        </w:tabs>
        <w:ind w:left="0" w:firstLine="54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 xml:space="preserve">Regulamentul </w:t>
      </w:r>
      <w:r w:rsidR="000C10F4" w:rsidRPr="00A35A1F">
        <w:rPr>
          <w:sz w:val="28"/>
          <w:szCs w:val="28"/>
          <w:lang w:val="ro-RO"/>
        </w:rPr>
        <w:t>cu privire la m</w:t>
      </w:r>
      <w:r w:rsidR="00016089" w:rsidRPr="00A35A1F">
        <w:rPr>
          <w:sz w:val="28"/>
          <w:szCs w:val="28"/>
          <w:lang w:val="ro-RO"/>
        </w:rPr>
        <w:t>ecanismul de coordonare a proces</w:t>
      </w:r>
      <w:r w:rsidR="000C10F4" w:rsidRPr="00A35A1F">
        <w:rPr>
          <w:sz w:val="28"/>
          <w:szCs w:val="28"/>
          <w:lang w:val="ro-RO"/>
        </w:rPr>
        <w:t xml:space="preserve">ului </w:t>
      </w:r>
      <w:r w:rsidRPr="00A35A1F">
        <w:rPr>
          <w:sz w:val="28"/>
          <w:szCs w:val="28"/>
          <w:lang w:val="ro-RO"/>
        </w:rPr>
        <w:t>de adaptare la schimbările climatice (în continuare – Regulament) este elaborat în scopul instituirii cadrului normativ pentru luarea deciziilor în domeniul adaptării la schimbările climatice, susținut prin instrumente de planificare</w:t>
      </w:r>
      <w:r w:rsidR="000C10F4" w:rsidRPr="00A35A1F">
        <w:rPr>
          <w:sz w:val="28"/>
          <w:szCs w:val="28"/>
          <w:lang w:val="ro-RO"/>
        </w:rPr>
        <w:t xml:space="preserve">, implementare, </w:t>
      </w:r>
      <w:r w:rsidRPr="00A35A1F">
        <w:rPr>
          <w:sz w:val="28"/>
          <w:szCs w:val="28"/>
          <w:lang w:val="ro-RO"/>
        </w:rPr>
        <w:t xml:space="preserve">monitorizare, raportare și evaluare. </w:t>
      </w:r>
    </w:p>
    <w:p w14:paraId="55B69046" w14:textId="5FDA4B48" w:rsidR="00F0134C" w:rsidRPr="00A35A1F" w:rsidRDefault="00F0134C" w:rsidP="00F0134C">
      <w:pPr>
        <w:numPr>
          <w:ilvl w:val="0"/>
          <w:numId w:val="1"/>
        </w:numPr>
        <w:tabs>
          <w:tab w:val="left" w:pos="360"/>
          <w:tab w:val="left" w:pos="1080"/>
          <w:tab w:val="left" w:pos="1170"/>
        </w:tabs>
        <w:ind w:left="0" w:firstLine="54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 xml:space="preserve">În sensul prezentului Regulament, </w:t>
      </w:r>
      <w:r w:rsidR="00C86DCC" w:rsidRPr="00A35A1F">
        <w:rPr>
          <w:sz w:val="28"/>
          <w:szCs w:val="28"/>
          <w:lang w:val="ro-RO"/>
        </w:rPr>
        <w:t>mecanismul de coordonare a procesului de adaptare la schimbările climatice este constituit din</w:t>
      </w:r>
      <w:r w:rsidRPr="00A35A1F">
        <w:rPr>
          <w:sz w:val="28"/>
          <w:szCs w:val="28"/>
          <w:lang w:val="ro-RO"/>
        </w:rPr>
        <w:t>:</w:t>
      </w:r>
    </w:p>
    <w:p w14:paraId="20E54126" w14:textId="2764FBE4" w:rsidR="000C10F4" w:rsidRPr="00A35A1F" w:rsidRDefault="0055715A" w:rsidP="00F0134C">
      <w:pPr>
        <w:numPr>
          <w:ilvl w:val="0"/>
          <w:numId w:val="2"/>
        </w:numPr>
        <w:tabs>
          <w:tab w:val="left" w:pos="360"/>
          <w:tab w:val="left" w:pos="1080"/>
          <w:tab w:val="left" w:pos="1170"/>
        </w:tabs>
        <w:ind w:left="0" w:firstLine="54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>Plan</w:t>
      </w:r>
      <w:r w:rsidR="000C10F4" w:rsidRPr="00A35A1F">
        <w:rPr>
          <w:sz w:val="28"/>
          <w:szCs w:val="28"/>
          <w:lang w:val="ro-RO"/>
        </w:rPr>
        <w:t xml:space="preserve"> național de adaptare (în continuare PNA) – </w:t>
      </w:r>
      <w:r w:rsidR="00C86DCC" w:rsidRPr="00A35A1F">
        <w:rPr>
          <w:sz w:val="28"/>
          <w:szCs w:val="28"/>
          <w:lang w:val="ro-RO"/>
        </w:rPr>
        <w:t xml:space="preserve">proces de </w:t>
      </w:r>
      <w:r w:rsidR="000C10F4" w:rsidRPr="00A35A1F">
        <w:rPr>
          <w:sz w:val="28"/>
          <w:szCs w:val="28"/>
          <w:lang w:val="ro-RO"/>
        </w:rPr>
        <w:t>planificare</w:t>
      </w:r>
      <w:r w:rsidR="00C86DCC" w:rsidRPr="00A35A1F">
        <w:rPr>
          <w:sz w:val="28"/>
          <w:szCs w:val="28"/>
          <w:lang w:val="ro-RO"/>
        </w:rPr>
        <w:t xml:space="preserve"> </w:t>
      </w:r>
      <w:r w:rsidR="000C10F4" w:rsidRPr="00A35A1F">
        <w:rPr>
          <w:sz w:val="28"/>
          <w:szCs w:val="28"/>
          <w:lang w:val="ro-RO"/>
        </w:rPr>
        <w:t xml:space="preserve">a acțiunilor de adaptare la schimbările climatice la nivel național pe termen mediu și/sau lung în toate sectoarele naționale.   </w:t>
      </w:r>
    </w:p>
    <w:p w14:paraId="57C9B86D" w14:textId="5A2AD5C1" w:rsidR="00F0134C" w:rsidRPr="00A35A1F" w:rsidRDefault="0055715A" w:rsidP="00F0134C">
      <w:pPr>
        <w:numPr>
          <w:ilvl w:val="0"/>
          <w:numId w:val="2"/>
        </w:numPr>
        <w:tabs>
          <w:tab w:val="left" w:pos="360"/>
          <w:tab w:val="left" w:pos="1080"/>
          <w:tab w:val="left" w:pos="1170"/>
        </w:tabs>
        <w:ind w:left="0" w:firstLine="54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>P</w:t>
      </w:r>
      <w:r w:rsidR="00F0134C" w:rsidRPr="00A35A1F">
        <w:rPr>
          <w:sz w:val="28"/>
          <w:szCs w:val="28"/>
          <w:lang w:val="ro-RO"/>
        </w:rPr>
        <w:t>lan sectorial de adaptare la sc</w:t>
      </w:r>
      <w:r w:rsidRPr="00A35A1F">
        <w:rPr>
          <w:sz w:val="28"/>
          <w:szCs w:val="28"/>
          <w:lang w:val="ro-RO"/>
        </w:rPr>
        <w:t>h</w:t>
      </w:r>
      <w:r w:rsidR="00F0134C" w:rsidRPr="00A35A1F">
        <w:rPr>
          <w:sz w:val="28"/>
          <w:szCs w:val="28"/>
          <w:lang w:val="ro-RO"/>
        </w:rPr>
        <w:t>imb</w:t>
      </w:r>
      <w:r w:rsidR="004D3BC3" w:rsidRPr="00A35A1F">
        <w:rPr>
          <w:sz w:val="28"/>
          <w:szCs w:val="28"/>
          <w:lang w:val="ro-RO"/>
        </w:rPr>
        <w:t>ă</w:t>
      </w:r>
      <w:r w:rsidR="00F0134C" w:rsidRPr="00A35A1F">
        <w:rPr>
          <w:sz w:val="28"/>
          <w:szCs w:val="28"/>
          <w:lang w:val="ro-RO"/>
        </w:rPr>
        <w:t>rile climatice (în continuare – PSA) – document de planificare ce formulează și pune în aplicare acțiunile de adaptare la schimbările climatice stabilite în strategiile naționale de adaptare;</w:t>
      </w:r>
    </w:p>
    <w:p w14:paraId="70B5161F" w14:textId="0C861AE8" w:rsidR="00F0134C" w:rsidRPr="00A35A1F" w:rsidRDefault="0055715A" w:rsidP="00F0134C">
      <w:pPr>
        <w:numPr>
          <w:ilvl w:val="0"/>
          <w:numId w:val="2"/>
        </w:numPr>
        <w:tabs>
          <w:tab w:val="left" w:pos="360"/>
          <w:tab w:val="left" w:pos="1080"/>
          <w:tab w:val="left" w:pos="1170"/>
        </w:tabs>
        <w:ind w:left="0" w:firstLine="54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>P</w:t>
      </w:r>
      <w:r w:rsidR="00F0134C" w:rsidRPr="00A35A1F">
        <w:rPr>
          <w:sz w:val="28"/>
          <w:szCs w:val="28"/>
          <w:lang w:val="ro-RO"/>
        </w:rPr>
        <w:t>lan de adaptare la schimbările climatice integrat (în continuare denumit – PAI)</w:t>
      </w:r>
      <w:r w:rsidR="00F0134C" w:rsidRPr="00A35A1F">
        <w:rPr>
          <w:i/>
          <w:sz w:val="28"/>
          <w:szCs w:val="28"/>
          <w:lang w:val="ro-RO"/>
        </w:rPr>
        <w:t xml:space="preserve"> – </w:t>
      </w:r>
      <w:r w:rsidRPr="00A35A1F">
        <w:rPr>
          <w:sz w:val="28"/>
          <w:szCs w:val="28"/>
          <w:lang w:val="ro-RO"/>
        </w:rPr>
        <w:t xml:space="preserve">procedură de </w:t>
      </w:r>
      <w:r w:rsidR="00F0134C" w:rsidRPr="00A35A1F">
        <w:rPr>
          <w:sz w:val="28"/>
          <w:szCs w:val="28"/>
          <w:lang w:val="ro-RO"/>
        </w:rPr>
        <w:t>planificare</w:t>
      </w:r>
      <w:r w:rsidRPr="00A35A1F">
        <w:rPr>
          <w:sz w:val="28"/>
          <w:szCs w:val="28"/>
          <w:lang w:val="ro-RO"/>
        </w:rPr>
        <w:t xml:space="preserve"> a adaptării la schimbările climatice</w:t>
      </w:r>
      <w:r w:rsidR="00F0134C" w:rsidRPr="00A35A1F">
        <w:rPr>
          <w:sz w:val="28"/>
          <w:szCs w:val="28"/>
          <w:lang w:val="ro-RO"/>
        </w:rPr>
        <w:t xml:space="preserve"> </w:t>
      </w:r>
      <w:r w:rsidRPr="00A35A1F">
        <w:rPr>
          <w:sz w:val="28"/>
          <w:szCs w:val="28"/>
          <w:lang w:val="ro-RO"/>
        </w:rPr>
        <w:t>prin</w:t>
      </w:r>
      <w:r w:rsidR="00F0134C" w:rsidRPr="00A35A1F">
        <w:rPr>
          <w:sz w:val="28"/>
          <w:szCs w:val="28"/>
          <w:lang w:val="ro-RO"/>
        </w:rPr>
        <w:t xml:space="preserve"> integra</w:t>
      </w:r>
      <w:r w:rsidRPr="00A35A1F">
        <w:rPr>
          <w:sz w:val="28"/>
          <w:szCs w:val="28"/>
          <w:lang w:val="ro-RO"/>
        </w:rPr>
        <w:t>rea</w:t>
      </w:r>
      <w:r w:rsidR="00F0134C" w:rsidRPr="00A35A1F">
        <w:rPr>
          <w:sz w:val="28"/>
          <w:szCs w:val="28"/>
          <w:lang w:val="ro-RO"/>
        </w:rPr>
        <w:t xml:space="preserve"> acțiunil</w:t>
      </w:r>
      <w:r w:rsidRPr="00A35A1F">
        <w:rPr>
          <w:sz w:val="28"/>
          <w:szCs w:val="28"/>
          <w:lang w:val="ro-RO"/>
        </w:rPr>
        <w:t>or</w:t>
      </w:r>
      <w:r w:rsidR="00F0134C" w:rsidRPr="00A35A1F">
        <w:rPr>
          <w:sz w:val="28"/>
          <w:szCs w:val="28"/>
          <w:lang w:val="ro-RO"/>
        </w:rPr>
        <w:t xml:space="preserve"> de adaptare în strategiile și programele de dezvoltare</w:t>
      </w:r>
      <w:r w:rsidR="000C10F4" w:rsidRPr="00A35A1F">
        <w:rPr>
          <w:sz w:val="28"/>
          <w:szCs w:val="28"/>
          <w:lang w:val="ro-RO"/>
        </w:rPr>
        <w:t xml:space="preserve"> </w:t>
      </w:r>
      <w:r w:rsidR="00727F21" w:rsidRPr="00A35A1F">
        <w:rPr>
          <w:sz w:val="28"/>
          <w:szCs w:val="28"/>
          <w:lang w:val="ro-RO"/>
        </w:rPr>
        <w:t>secto</w:t>
      </w:r>
      <w:r w:rsidR="000C10F4" w:rsidRPr="00A35A1F">
        <w:rPr>
          <w:sz w:val="28"/>
          <w:szCs w:val="28"/>
          <w:lang w:val="ro-RO"/>
        </w:rPr>
        <w:t>riale</w:t>
      </w:r>
      <w:r w:rsidR="00F0134C" w:rsidRPr="00A35A1F">
        <w:rPr>
          <w:sz w:val="28"/>
          <w:szCs w:val="28"/>
          <w:lang w:val="ro-RO"/>
        </w:rPr>
        <w:t>.</w:t>
      </w:r>
    </w:p>
    <w:p w14:paraId="6E1E8C02" w14:textId="4E73540A" w:rsidR="00F0134C" w:rsidRPr="00A35A1F" w:rsidRDefault="00F0134C" w:rsidP="00F0134C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>Autoritatea centrală de specialitate cu atribuții în domeniul schimbărilor climatice coordonea</w:t>
      </w:r>
      <w:r w:rsidR="006D223D" w:rsidRPr="00A35A1F">
        <w:rPr>
          <w:sz w:val="28"/>
          <w:szCs w:val="28"/>
          <w:lang w:val="ro-RO"/>
        </w:rPr>
        <w:t>ză</w:t>
      </w:r>
      <w:r w:rsidRPr="00A35A1F">
        <w:rPr>
          <w:sz w:val="28"/>
          <w:szCs w:val="28"/>
          <w:lang w:val="ro-RO"/>
        </w:rPr>
        <w:t xml:space="preserve"> procesul de planificare, implementare, monitorizare, raportare și evaluare a </w:t>
      </w:r>
      <w:r w:rsidR="00C86DCC" w:rsidRPr="00A35A1F">
        <w:rPr>
          <w:sz w:val="28"/>
          <w:szCs w:val="28"/>
          <w:lang w:val="ro-RO"/>
        </w:rPr>
        <w:t>PNA, PSA și PAI</w:t>
      </w:r>
      <w:r w:rsidRPr="00A35A1F">
        <w:rPr>
          <w:sz w:val="28"/>
          <w:szCs w:val="28"/>
          <w:lang w:val="ro-RO"/>
        </w:rPr>
        <w:t xml:space="preserve"> </w:t>
      </w:r>
      <w:r w:rsidR="006D223D" w:rsidRPr="00A35A1F">
        <w:rPr>
          <w:sz w:val="28"/>
          <w:szCs w:val="28"/>
          <w:lang w:val="ro-RO"/>
        </w:rPr>
        <w:t xml:space="preserve">în colaborare </w:t>
      </w:r>
      <w:r w:rsidRPr="00A35A1F">
        <w:rPr>
          <w:sz w:val="28"/>
          <w:szCs w:val="28"/>
          <w:lang w:val="ro-RO"/>
        </w:rPr>
        <w:t>cu autoritățile publice centrale și locale, sectorul privat</w:t>
      </w:r>
      <w:r w:rsidR="006D223D" w:rsidRPr="00A35A1F">
        <w:rPr>
          <w:sz w:val="28"/>
          <w:szCs w:val="28"/>
          <w:lang w:val="ro-RO"/>
        </w:rPr>
        <w:t xml:space="preserve"> și</w:t>
      </w:r>
      <w:r w:rsidRPr="00A35A1F">
        <w:rPr>
          <w:sz w:val="28"/>
          <w:szCs w:val="28"/>
          <w:lang w:val="ro-RO"/>
        </w:rPr>
        <w:t xml:space="preserve"> societatea civilă.</w:t>
      </w:r>
    </w:p>
    <w:p w14:paraId="24EE2688" w14:textId="1E0AF2C5" w:rsidR="006D223D" w:rsidRPr="00A35A1F" w:rsidRDefault="00C86DCC" w:rsidP="00F0134C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>Mecanismul de coordonare a procesului de adaptare la schimbările climatice</w:t>
      </w:r>
      <w:r w:rsidR="00F0134C" w:rsidRPr="00A35A1F">
        <w:rPr>
          <w:sz w:val="28"/>
          <w:szCs w:val="28"/>
          <w:lang w:val="ro-RO"/>
        </w:rPr>
        <w:t xml:space="preserve"> </w:t>
      </w:r>
      <w:r w:rsidR="006D223D" w:rsidRPr="00A35A1F">
        <w:rPr>
          <w:sz w:val="28"/>
          <w:szCs w:val="28"/>
          <w:lang w:val="ro-RO"/>
        </w:rPr>
        <w:t xml:space="preserve">are scopul de a </w:t>
      </w:r>
      <w:r w:rsidR="00F0134C" w:rsidRPr="00A35A1F">
        <w:rPr>
          <w:sz w:val="28"/>
          <w:szCs w:val="28"/>
          <w:lang w:val="ro-RO"/>
        </w:rPr>
        <w:t xml:space="preserve">promova integrarea treptată a adaptării </w:t>
      </w:r>
      <w:r w:rsidR="006D223D" w:rsidRPr="00A35A1F">
        <w:rPr>
          <w:sz w:val="28"/>
          <w:szCs w:val="28"/>
          <w:lang w:val="ro-RO"/>
        </w:rPr>
        <w:t xml:space="preserve">la schimbările climatice </w:t>
      </w:r>
      <w:r w:rsidR="00F0134C" w:rsidRPr="00A35A1F">
        <w:rPr>
          <w:sz w:val="28"/>
          <w:szCs w:val="28"/>
          <w:lang w:val="ro-RO"/>
        </w:rPr>
        <w:t xml:space="preserve">în </w:t>
      </w:r>
      <w:r w:rsidR="006D223D" w:rsidRPr="00A35A1F">
        <w:rPr>
          <w:sz w:val="28"/>
          <w:szCs w:val="28"/>
          <w:lang w:val="ro-RO"/>
        </w:rPr>
        <w:t xml:space="preserve">sectoarele </w:t>
      </w:r>
      <w:r w:rsidR="00F0134C" w:rsidRPr="00A35A1F">
        <w:rPr>
          <w:sz w:val="28"/>
          <w:szCs w:val="28"/>
          <w:lang w:val="ro-RO"/>
        </w:rPr>
        <w:t>priorit</w:t>
      </w:r>
      <w:r w:rsidR="006D223D" w:rsidRPr="00A35A1F">
        <w:rPr>
          <w:sz w:val="28"/>
          <w:szCs w:val="28"/>
          <w:lang w:val="ro-RO"/>
        </w:rPr>
        <w:t>are ale</w:t>
      </w:r>
      <w:r w:rsidR="00F0134C" w:rsidRPr="00A35A1F">
        <w:rPr>
          <w:sz w:val="28"/>
          <w:szCs w:val="28"/>
          <w:lang w:val="ro-RO"/>
        </w:rPr>
        <w:t xml:space="preserve"> Guvernului</w:t>
      </w:r>
      <w:r w:rsidR="006D223D" w:rsidRPr="00A35A1F">
        <w:rPr>
          <w:sz w:val="28"/>
          <w:szCs w:val="28"/>
          <w:lang w:val="ro-RO"/>
        </w:rPr>
        <w:t>,</w:t>
      </w:r>
      <w:r w:rsidR="00F0134C" w:rsidRPr="00A35A1F">
        <w:rPr>
          <w:sz w:val="28"/>
          <w:szCs w:val="28"/>
          <w:lang w:val="ro-RO"/>
        </w:rPr>
        <w:t xml:space="preserve"> la </w:t>
      </w:r>
      <w:r w:rsidR="006D223D" w:rsidRPr="00A35A1F">
        <w:rPr>
          <w:sz w:val="28"/>
          <w:szCs w:val="28"/>
          <w:lang w:val="ro-RO"/>
        </w:rPr>
        <w:t>nive</w:t>
      </w:r>
      <w:r w:rsidR="00F0134C" w:rsidRPr="00A35A1F">
        <w:rPr>
          <w:sz w:val="28"/>
          <w:szCs w:val="28"/>
          <w:lang w:val="ro-RO"/>
        </w:rPr>
        <w:t>l</w:t>
      </w:r>
      <w:r w:rsidR="006D223D" w:rsidRPr="00A35A1F">
        <w:rPr>
          <w:sz w:val="28"/>
          <w:szCs w:val="28"/>
          <w:lang w:val="ro-RO"/>
        </w:rPr>
        <w:t xml:space="preserve"> național și local</w:t>
      </w:r>
      <w:r w:rsidR="00F0134C" w:rsidRPr="00A35A1F">
        <w:rPr>
          <w:sz w:val="28"/>
          <w:szCs w:val="28"/>
          <w:lang w:val="ro-RO"/>
        </w:rPr>
        <w:t xml:space="preserve">. </w:t>
      </w:r>
    </w:p>
    <w:p w14:paraId="0FD2091D" w14:textId="1197B041" w:rsidR="00F0134C" w:rsidRPr="00A35A1F" w:rsidRDefault="00F0134C" w:rsidP="00054EFF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A35A1F">
        <w:rPr>
          <w:sz w:val="28"/>
          <w:szCs w:val="28"/>
          <w:lang w:val="ro-RO"/>
        </w:rPr>
        <w:t>Cadrul instituțional</w:t>
      </w:r>
      <w:r w:rsidR="00C86DCC" w:rsidRPr="00A35A1F">
        <w:rPr>
          <w:sz w:val="28"/>
          <w:szCs w:val="28"/>
          <w:lang w:val="ro-RO"/>
        </w:rPr>
        <w:t xml:space="preserve"> de coordonare a procesului de adaptare</w:t>
      </w:r>
      <w:r w:rsidRPr="00A35A1F">
        <w:rPr>
          <w:sz w:val="28"/>
          <w:szCs w:val="28"/>
          <w:lang w:val="ro-RO"/>
        </w:rPr>
        <w:t xml:space="preserve">, precum și PNA sunt supuse evaluării sistematice, inclusiv </w:t>
      </w:r>
      <w:r w:rsidR="007D647A" w:rsidRPr="00A35A1F">
        <w:rPr>
          <w:sz w:val="28"/>
          <w:szCs w:val="28"/>
          <w:lang w:val="ro-RO"/>
        </w:rPr>
        <w:t>din punct de vedere al</w:t>
      </w:r>
      <w:r w:rsidRPr="00A35A1F">
        <w:rPr>
          <w:sz w:val="28"/>
          <w:szCs w:val="28"/>
          <w:lang w:val="ro-RO"/>
        </w:rPr>
        <w:t xml:space="preserve"> impactului asupra diverselor grupuri sociale, </w:t>
      </w:r>
      <w:r w:rsidR="007D647A" w:rsidRPr="00A35A1F">
        <w:rPr>
          <w:sz w:val="28"/>
          <w:szCs w:val="28"/>
          <w:lang w:val="ro-RO"/>
        </w:rPr>
        <w:t xml:space="preserve">în scopul </w:t>
      </w:r>
      <w:r w:rsidRPr="00A35A1F">
        <w:rPr>
          <w:sz w:val="28"/>
          <w:szCs w:val="28"/>
          <w:lang w:val="ro-RO"/>
        </w:rPr>
        <w:t>asigur</w:t>
      </w:r>
      <w:r w:rsidR="007D647A" w:rsidRPr="00A35A1F">
        <w:rPr>
          <w:sz w:val="28"/>
          <w:szCs w:val="28"/>
          <w:lang w:val="ro-RO"/>
        </w:rPr>
        <w:t xml:space="preserve">ării </w:t>
      </w:r>
      <w:r w:rsidRPr="00A35A1F">
        <w:rPr>
          <w:sz w:val="28"/>
          <w:szCs w:val="28"/>
          <w:lang w:val="ro-RO"/>
        </w:rPr>
        <w:t>coerenț</w:t>
      </w:r>
      <w:r w:rsidR="007D647A" w:rsidRPr="00A35A1F">
        <w:rPr>
          <w:sz w:val="28"/>
          <w:szCs w:val="28"/>
          <w:lang w:val="ro-RO"/>
        </w:rPr>
        <w:t>ei</w:t>
      </w:r>
      <w:r w:rsidRPr="00A35A1F">
        <w:rPr>
          <w:sz w:val="28"/>
          <w:szCs w:val="28"/>
          <w:lang w:val="ro-RO"/>
        </w:rPr>
        <w:t xml:space="preserve"> cu prioritățile și obiectivele naționale.</w:t>
      </w:r>
    </w:p>
    <w:p w14:paraId="07B45BA8" w14:textId="77777777" w:rsidR="00F0134C" w:rsidRPr="00A35A1F" w:rsidRDefault="00F0134C" w:rsidP="00F0134C">
      <w:pPr>
        <w:rPr>
          <w:lang w:val="ro-RO"/>
        </w:rPr>
      </w:pPr>
    </w:p>
    <w:p w14:paraId="1F8E5FD7" w14:textId="77777777" w:rsidR="00054EFF" w:rsidRPr="00A35A1F" w:rsidRDefault="00054EFF" w:rsidP="00054EFF">
      <w:pPr>
        <w:pStyle w:val="ListParagraph"/>
        <w:numPr>
          <w:ilvl w:val="0"/>
          <w:numId w:val="3"/>
        </w:numPr>
        <w:ind w:left="0" w:firstLine="36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b/>
          <w:sz w:val="28"/>
          <w:szCs w:val="28"/>
          <w:lang w:val="ro-RO"/>
        </w:rPr>
        <w:t>CADRUL INSTITUȚIONAL</w:t>
      </w:r>
    </w:p>
    <w:p w14:paraId="5062E5C6" w14:textId="77777777" w:rsidR="00054EFF" w:rsidRPr="00A35A1F" w:rsidRDefault="00054EFF" w:rsidP="00054EFF">
      <w:pPr>
        <w:pStyle w:val="ListParagraph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9A5F109" w14:textId="77777777" w:rsidR="00054EFF" w:rsidRPr="00A35A1F" w:rsidRDefault="00F0134C" w:rsidP="00054EF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În sensul prezentului Regulament, Comisia națională pentru schimbările climatice (în continuare – Comisia națională) în comun cu autoritățile administrației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lastRenderedPageBreak/>
        <w:t>publice centrale și locale asigură cadrul instituțional pentru implementarea cadrului de adaptare național.</w:t>
      </w:r>
    </w:p>
    <w:p w14:paraId="19CAA574" w14:textId="50173442" w:rsidR="00F0134C" w:rsidRPr="00A35A1F" w:rsidRDefault="00F0134C" w:rsidP="00054EF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Comisia națională solicit</w:t>
      </w:r>
      <w:r w:rsidR="00054EFF" w:rsidRPr="00A35A1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autorităților administrației publice centrale și locale </w:t>
      </w:r>
      <w:r w:rsidR="003C6B96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să </w:t>
      </w:r>
      <w:r w:rsidR="00054EFF" w:rsidRPr="00A35A1F">
        <w:rPr>
          <w:rFonts w:ascii="Times New Roman" w:hAnsi="Times New Roman" w:cs="Times New Roman"/>
          <w:sz w:val="28"/>
          <w:szCs w:val="28"/>
          <w:lang w:val="ro-RO"/>
        </w:rPr>
        <w:t>întreprindă</w:t>
      </w:r>
      <w:r w:rsidR="003C6B96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măsuri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necesare</w:t>
      </w:r>
      <w:r w:rsidR="00054EF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în vederea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identificării vulnerabilităților și acțiunilor de adaptare</w:t>
      </w:r>
      <w:r w:rsidR="003C6B96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la schimbările climatice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și integr</w:t>
      </w:r>
      <w:r w:rsidR="00054EFF" w:rsidRPr="00A35A1F">
        <w:rPr>
          <w:rFonts w:ascii="Times New Roman" w:hAnsi="Times New Roman" w:cs="Times New Roman"/>
          <w:sz w:val="28"/>
          <w:szCs w:val="28"/>
          <w:lang w:val="ro-RO"/>
        </w:rPr>
        <w:t>ării acestora</w:t>
      </w:r>
      <w:r w:rsidR="003C6B96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054EF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planurile și programele st</w:t>
      </w:r>
      <w:r w:rsidR="00727F21" w:rsidRPr="00A35A1F">
        <w:rPr>
          <w:rFonts w:ascii="Times New Roman" w:hAnsi="Times New Roman" w:cs="Times New Roman"/>
          <w:sz w:val="28"/>
          <w:szCs w:val="28"/>
          <w:lang w:val="ro-RO"/>
        </w:rPr>
        <w:t>ra</w:t>
      </w:r>
      <w:r w:rsidR="00054EFF" w:rsidRPr="00A35A1F">
        <w:rPr>
          <w:rFonts w:ascii="Times New Roman" w:hAnsi="Times New Roman" w:cs="Times New Roman"/>
          <w:sz w:val="28"/>
          <w:szCs w:val="28"/>
          <w:lang w:val="ro-RO"/>
        </w:rPr>
        <w:t>tegice de dezvoltare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E3A1D8C" w14:textId="77777777" w:rsidR="00F0134C" w:rsidRPr="00A35A1F" w:rsidRDefault="00F0134C" w:rsidP="00F0134C">
      <w:pPr>
        <w:jc w:val="center"/>
        <w:rPr>
          <w:b/>
          <w:sz w:val="28"/>
          <w:szCs w:val="28"/>
          <w:lang w:val="ro-RO"/>
        </w:rPr>
      </w:pPr>
    </w:p>
    <w:p w14:paraId="2E52F779" w14:textId="64529ACC" w:rsidR="00F0134C" w:rsidRPr="00A35A1F" w:rsidRDefault="00054EFF" w:rsidP="003C6B96">
      <w:pPr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 xml:space="preserve">IV. MECANISMUL DE COORDONARE </w:t>
      </w:r>
      <w:r w:rsidR="00456315" w:rsidRPr="00A35A1F">
        <w:rPr>
          <w:b/>
          <w:sz w:val="28"/>
          <w:szCs w:val="28"/>
          <w:lang w:val="ro-RO"/>
        </w:rPr>
        <w:t xml:space="preserve">A </w:t>
      </w:r>
      <w:r w:rsidR="003C6B96" w:rsidRPr="00A35A1F">
        <w:rPr>
          <w:b/>
          <w:sz w:val="28"/>
          <w:szCs w:val="28"/>
          <w:lang w:val="ro-RO"/>
        </w:rPr>
        <w:t xml:space="preserve">PROCESULUI </w:t>
      </w:r>
      <w:r w:rsidRPr="00A35A1F">
        <w:rPr>
          <w:b/>
          <w:sz w:val="28"/>
          <w:szCs w:val="28"/>
          <w:lang w:val="ro-RO"/>
        </w:rPr>
        <w:t xml:space="preserve">DE ADAPTARE NAȚIONAL </w:t>
      </w:r>
    </w:p>
    <w:p w14:paraId="3FECAABC" w14:textId="77777777" w:rsidR="00F0134C" w:rsidRPr="00A35A1F" w:rsidRDefault="00F0134C" w:rsidP="00F0134C">
      <w:pPr>
        <w:jc w:val="center"/>
        <w:rPr>
          <w:b/>
          <w:sz w:val="28"/>
          <w:szCs w:val="28"/>
          <w:lang w:val="ro-RO"/>
        </w:rPr>
      </w:pPr>
    </w:p>
    <w:p w14:paraId="755EB69A" w14:textId="77777777" w:rsidR="00F0134C" w:rsidRPr="00A35A1F" w:rsidRDefault="00F0134C" w:rsidP="00F0134C">
      <w:pPr>
        <w:tabs>
          <w:tab w:val="left" w:pos="1134"/>
        </w:tabs>
        <w:ind w:firstLine="720"/>
        <w:jc w:val="both"/>
        <w:rPr>
          <w:sz w:val="28"/>
          <w:szCs w:val="28"/>
          <w:lang w:val="pt-PT"/>
        </w:rPr>
      </w:pPr>
    </w:p>
    <w:p w14:paraId="4D9016A6" w14:textId="77777777" w:rsidR="00F0134C" w:rsidRPr="00A35A1F" w:rsidRDefault="00F0134C" w:rsidP="0085287E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>Planificare</w:t>
      </w:r>
    </w:p>
    <w:p w14:paraId="2BC1BCF1" w14:textId="65811ECA" w:rsidR="00F0134C" w:rsidRPr="00A35A1F" w:rsidRDefault="00C75089" w:rsidP="0085287E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>Planul Național de Adaptare</w:t>
      </w:r>
    </w:p>
    <w:p w14:paraId="2692C458" w14:textId="77777777" w:rsidR="0085287E" w:rsidRPr="00A35A1F" w:rsidRDefault="0085287E" w:rsidP="00C75089">
      <w:pPr>
        <w:tabs>
          <w:tab w:val="left" w:pos="720"/>
        </w:tabs>
        <w:jc w:val="center"/>
        <w:rPr>
          <w:b/>
          <w:sz w:val="28"/>
          <w:szCs w:val="28"/>
          <w:lang w:val="ro-RO"/>
        </w:rPr>
      </w:pPr>
    </w:p>
    <w:p w14:paraId="0ABDBB06" w14:textId="07792E0A" w:rsidR="0085287E" w:rsidRPr="00A35A1F" w:rsidRDefault="00F0134C" w:rsidP="00C75089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Adaptarea la schimbările climatice reprezintă un proces 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identific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>are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necesitățil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adaptare pe termen mediu și lung 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>și de dezvoltare a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strategii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 programe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abordare a acestor necesități. </w:t>
      </w:r>
    </w:p>
    <w:p w14:paraId="1D355487" w14:textId="22607D5E" w:rsidR="00ED2F2F" w:rsidRPr="00A35A1F" w:rsidRDefault="00C75089" w:rsidP="00ED2F2F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PNA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este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un</w:t>
      </w:r>
      <w:r w:rsidR="00F0134C" w:rsidRPr="00A35A1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proces de planificare și implementare a acțiunil</w:t>
      </w:r>
      <w:r w:rsidR="0085287E" w:rsidRPr="00A35A1F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adaptare </w:t>
      </w:r>
      <w:r w:rsidR="001C060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la schimbările climatice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la nivel național pe termen mediu și lung</w:t>
      </w:r>
      <w:r w:rsidR="00885B67" w:rsidRPr="00A35A1F">
        <w:rPr>
          <w:rFonts w:ascii="Times New Roman" w:hAnsi="Times New Roman" w:cs="Times New Roman"/>
          <w:sz w:val="28"/>
          <w:szCs w:val="28"/>
          <w:lang w:val="ro-RO"/>
        </w:rPr>
        <w:t>. Acestea sînt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formulate în strategi</w:t>
      </w:r>
      <w:r w:rsidR="00ED2F2F" w:rsidRPr="00A35A1F">
        <w:rPr>
          <w:rFonts w:ascii="Times New Roman" w:hAnsi="Times New Roman" w:cs="Times New Roman"/>
          <w:sz w:val="28"/>
          <w:szCs w:val="28"/>
          <w:lang w:val="ro-RO"/>
        </w:rPr>
        <w:t>a națională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adaptare </w:t>
      </w:r>
      <w:r w:rsidR="00ED2F2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la schimbările climatice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și planul de implementare</w:t>
      </w:r>
      <w:r w:rsidR="00885B6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ED2F2F" w:rsidRPr="00A35A1F">
        <w:rPr>
          <w:rFonts w:ascii="Times New Roman" w:hAnsi="Times New Roman" w:cs="Times New Roman"/>
          <w:sz w:val="28"/>
          <w:szCs w:val="28"/>
          <w:lang w:val="ro-RO"/>
        </w:rPr>
        <w:t>acesteia</w:t>
      </w:r>
      <w:r w:rsidR="00663B80" w:rsidRPr="00A35A1F">
        <w:rPr>
          <w:rFonts w:ascii="Times New Roman" w:hAnsi="Times New Roman" w:cs="Times New Roman"/>
          <w:sz w:val="28"/>
          <w:szCs w:val="28"/>
          <w:lang w:val="ro-RO"/>
        </w:rPr>
        <w:t>, elaborate de către autoritatea centrală cu competențe în domeniul schimbărilor climatice</w:t>
      </w:r>
      <w:r w:rsidR="00885B67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iclu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>l de planificare a strategiei naționale de ad</w:t>
      </w:r>
      <w:r w:rsidR="00727F21" w:rsidRPr="00A35A1F">
        <w:rPr>
          <w:rFonts w:ascii="Times New Roman" w:hAnsi="Times New Roman" w:cs="Times New Roman"/>
          <w:sz w:val="28"/>
          <w:szCs w:val="28"/>
          <w:lang w:val="ro-RO"/>
        </w:rPr>
        <w:t>aptare și a planului de implemen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>tare este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4 ani. 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>PNA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este un proces continuu, iterativ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, participativ, transparent și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aborde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>ază aspectul de gen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B231614" w14:textId="77777777" w:rsidR="00A546F9" w:rsidRPr="00A35A1F" w:rsidRDefault="00A546F9" w:rsidP="00A546F9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627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Procesul de elaborare a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strategiei de adaptare la schimbările climatice</w:t>
      </w:r>
      <w:r w:rsidR="0030426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06275" w:rsidRPr="00A35A1F">
        <w:rPr>
          <w:rFonts w:ascii="Times New Roman" w:hAnsi="Times New Roman" w:cs="Times New Roman"/>
          <w:sz w:val="28"/>
          <w:szCs w:val="28"/>
          <w:lang w:val="ro-RO"/>
        </w:rPr>
        <w:t>se desfășoară în conformitate cu prevederile</w:t>
      </w:r>
      <w:r w:rsidR="00ED2F2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Hotărîrii Guvernului nr. 33 din  11.01.2007 cu privire la regulile de elaborare şi cerinţele unificate faţă de documentele de politici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523B33F" w14:textId="7C12D18E" w:rsidR="00A546F9" w:rsidRPr="00A35A1F" w:rsidRDefault="00A546F9" w:rsidP="00A546F9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PNA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include următoarele componente:</w:t>
      </w:r>
    </w:p>
    <w:p w14:paraId="68A01FDE" w14:textId="3EA0CED5" w:rsidR="00A546F9" w:rsidRPr="00A35A1F" w:rsidRDefault="00F0134C" w:rsidP="00A546F9">
      <w:pPr>
        <w:pStyle w:val="ListParagraph"/>
        <w:numPr>
          <w:ilvl w:val="0"/>
          <w:numId w:val="4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elaborarea strategi</w:t>
      </w:r>
      <w:r w:rsidR="00A546F9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ei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de adaptare</w:t>
      </w:r>
      <w:r w:rsidR="00A546F9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la schimbările climatice;</w:t>
      </w:r>
    </w:p>
    <w:p w14:paraId="6AC0C5F5" w14:textId="3A2B86D7" w:rsidR="00A546F9" w:rsidRPr="00A35A1F" w:rsidRDefault="00F0134C" w:rsidP="00A546F9">
      <w:pPr>
        <w:pStyle w:val="ListParagraph"/>
        <w:numPr>
          <w:ilvl w:val="0"/>
          <w:numId w:val="4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elaborarea indicatorilor sectoriali și intersectoriali de adaptare la schimbările climatice;</w:t>
      </w:r>
    </w:p>
    <w:p w14:paraId="0F3E77F4" w14:textId="46E0BB96" w:rsidR="00A546F9" w:rsidRPr="00A35A1F" w:rsidRDefault="00F0134C" w:rsidP="00A546F9">
      <w:pPr>
        <w:pStyle w:val="ListParagraph"/>
        <w:numPr>
          <w:ilvl w:val="0"/>
          <w:numId w:val="4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instruir</w:t>
      </w:r>
      <w:r w:rsidR="007B0920" w:rsidRPr="00A35A1F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planificatori</w:t>
      </w:r>
      <w:r w:rsidR="007B0920" w:rsidRPr="00A35A1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sectoriali;</w:t>
      </w:r>
    </w:p>
    <w:p w14:paraId="1510E963" w14:textId="77777777" w:rsidR="00A546F9" w:rsidRPr="00A35A1F" w:rsidRDefault="00F0134C" w:rsidP="00A546F9">
      <w:pPr>
        <w:pStyle w:val="ListParagraph"/>
        <w:numPr>
          <w:ilvl w:val="0"/>
          <w:numId w:val="4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dezvoltarea de metodologii;</w:t>
      </w:r>
    </w:p>
    <w:p w14:paraId="292655E3" w14:textId="1E23A1E8" w:rsidR="00A546F9" w:rsidRPr="00A35A1F" w:rsidRDefault="007B0920" w:rsidP="007B0920">
      <w:pPr>
        <w:pStyle w:val="ListParagraph"/>
        <w:numPr>
          <w:ilvl w:val="0"/>
          <w:numId w:val="4"/>
        </w:numPr>
        <w:tabs>
          <w:tab w:val="left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organizarea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consultări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publice și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activități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comunicare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7E8F92C" w14:textId="4AD0C183" w:rsidR="00F0134C" w:rsidRPr="00A35A1F" w:rsidRDefault="00F0134C" w:rsidP="007B0920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>Planurile sectoriale de adaptare și Planurile de ada</w:t>
      </w:r>
      <w:r w:rsidR="000131F5" w:rsidRPr="00A35A1F">
        <w:rPr>
          <w:b/>
          <w:sz w:val="28"/>
          <w:szCs w:val="28"/>
          <w:lang w:val="ro-RO"/>
        </w:rPr>
        <w:t>p</w:t>
      </w:r>
      <w:r w:rsidRPr="00A35A1F">
        <w:rPr>
          <w:b/>
          <w:sz w:val="28"/>
          <w:szCs w:val="28"/>
          <w:lang w:val="ro-RO"/>
        </w:rPr>
        <w:t>tare integrate</w:t>
      </w:r>
    </w:p>
    <w:p w14:paraId="3559C3AC" w14:textId="77777777" w:rsidR="007B0920" w:rsidRPr="00A35A1F" w:rsidRDefault="007B0920" w:rsidP="008A294E">
      <w:pPr>
        <w:tabs>
          <w:tab w:val="left" w:pos="1134"/>
        </w:tabs>
        <w:ind w:firstLine="450"/>
        <w:jc w:val="center"/>
        <w:rPr>
          <w:b/>
          <w:sz w:val="28"/>
          <w:szCs w:val="28"/>
          <w:lang w:val="ro-RO"/>
        </w:rPr>
      </w:pPr>
    </w:p>
    <w:p w14:paraId="64935C42" w14:textId="38DF6717" w:rsidR="000622F2" w:rsidRPr="00A35A1F" w:rsidRDefault="00F0134C" w:rsidP="008A294E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Ministerele și</w:t>
      </w:r>
      <w:r w:rsidRPr="00A35A1F">
        <w:rPr>
          <w:rFonts w:ascii="Times New Roman" w:hAnsi="Times New Roman" w:cs="Times New Roman"/>
          <w:lang w:val="pt-PT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alte autorităţi administrative centrale elabore</w:t>
      </w:r>
      <w:r w:rsidR="007B0920" w:rsidRPr="00A35A1F">
        <w:rPr>
          <w:rFonts w:ascii="Times New Roman" w:hAnsi="Times New Roman" w:cs="Times New Roman"/>
          <w:sz w:val="28"/>
          <w:szCs w:val="28"/>
          <w:lang w:val="ro-RO"/>
        </w:rPr>
        <w:t>ază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 aprob</w:t>
      </w:r>
      <w:r w:rsidR="008A294E" w:rsidRPr="00A35A1F">
        <w:rPr>
          <w:rFonts w:ascii="Times New Roman" w:hAnsi="Times New Roman" w:cs="Times New Roman"/>
          <w:sz w:val="28"/>
          <w:szCs w:val="28"/>
          <w:lang w:val="ro-RO"/>
        </w:rPr>
        <w:t>ă planur</w:t>
      </w:r>
      <w:r w:rsidR="00552A8B" w:rsidRPr="00A35A1F">
        <w:rPr>
          <w:rFonts w:ascii="Times New Roman" w:hAnsi="Times New Roman" w:cs="Times New Roman"/>
          <w:sz w:val="28"/>
          <w:szCs w:val="28"/>
          <w:lang w:val="ro-RO"/>
        </w:rPr>
        <w:t>ile sectoriale de adaptare sau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integre</w:t>
      </w:r>
      <w:r w:rsidR="00552A8B" w:rsidRPr="00A35A1F">
        <w:rPr>
          <w:rFonts w:ascii="Times New Roman" w:hAnsi="Times New Roman" w:cs="Times New Roman"/>
          <w:sz w:val="28"/>
          <w:szCs w:val="28"/>
          <w:lang w:val="ro-RO"/>
        </w:rPr>
        <w:t>ază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măsurile de adaptare în </w:t>
      </w:r>
      <w:bookmarkStart w:id="0" w:name="_Hlk505122476"/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programele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lastRenderedPageBreak/>
        <w:t>de dezvoltare strategică</w:t>
      </w:r>
      <w:bookmarkEnd w:id="0"/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294E" w:rsidRPr="00A35A1F">
        <w:rPr>
          <w:rFonts w:ascii="Times New Roman" w:hAnsi="Times New Roman" w:cs="Times New Roman"/>
          <w:sz w:val="28"/>
          <w:szCs w:val="28"/>
          <w:lang w:val="ro-RO"/>
        </w:rPr>
        <w:t>sectoriale existente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prin intermediul </w:t>
      </w:r>
      <w:r w:rsidR="000622F2" w:rsidRPr="00A35A1F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552A8B" w:rsidRPr="00A35A1F">
        <w:rPr>
          <w:rFonts w:ascii="Times New Roman" w:hAnsi="Times New Roman" w:cs="Times New Roman"/>
          <w:sz w:val="28"/>
          <w:szCs w:val="28"/>
          <w:lang w:val="ro-RO"/>
        </w:rPr>
        <w:t>lanului</w:t>
      </w:r>
      <w:r w:rsidR="008A294E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2A8B" w:rsidRPr="00A35A1F">
        <w:rPr>
          <w:rFonts w:ascii="Times New Roman" w:hAnsi="Times New Roman" w:cs="Times New Roman"/>
          <w:sz w:val="28"/>
          <w:szCs w:val="28"/>
          <w:lang w:val="ro-RO"/>
        </w:rPr>
        <w:t>de adaptare integrat</w:t>
      </w:r>
      <w:r w:rsidR="000622F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. Planurile sectoriale de adaptare și planurile de adaptare integrate vor fi revizuite și actualizate o dată la 4 ani. </w:t>
      </w:r>
    </w:p>
    <w:p w14:paraId="3496C36A" w14:textId="77777777" w:rsidR="00824E80" w:rsidRPr="00A35A1F" w:rsidRDefault="00F0134C" w:rsidP="00824E80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Auto</w:t>
      </w:r>
      <w:r w:rsidR="008A294E" w:rsidRPr="00A35A1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ităților  </w:t>
      </w:r>
      <w:r w:rsidR="000622F2" w:rsidRPr="00A35A1F">
        <w:rPr>
          <w:rFonts w:ascii="Times New Roman" w:hAnsi="Times New Roman" w:cs="Times New Roman"/>
          <w:sz w:val="28"/>
          <w:szCs w:val="28"/>
          <w:lang w:val="ro-RO"/>
        </w:rPr>
        <w:t>administrației publice locale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se recomandă să elaboreze și să aprobe P</w:t>
      </w:r>
      <w:r w:rsidR="000622F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lanuri sectoriale de adaptare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sau să integreze </w:t>
      </w:r>
      <w:r w:rsidR="000622F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măsurile de adaptare în programele de dezvoltare strategică sectoriale existente prin intermediul Planului de adaptare integrat. Planurile sectoriale de adaptare și planurile de adaptare integrate vor fi revizuite și actualizate o dată la 4 ani. </w:t>
      </w:r>
    </w:p>
    <w:p w14:paraId="070BF5F8" w14:textId="65613D0D" w:rsidR="00832952" w:rsidRPr="00A35A1F" w:rsidRDefault="00832952" w:rsidP="00BE49AF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Ministerele și</w:t>
      </w:r>
      <w:r w:rsidRPr="00A35A1F">
        <w:rPr>
          <w:rFonts w:ascii="Times New Roman" w:hAnsi="Times New Roman" w:cs="Times New Roman"/>
          <w:lang w:val="pt-PT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alte autorităţi administrative centrale, indiferent de abordarea adoptată (PSA sau PAI), identifică un set de acțiuni prioritare de adaptare care urmează a fi implementate. La identificarea acțiunilor prioritare se ia în calcul impactul potențial al schimbărilor climatice asupra diverselor grupuri sociale, inclusiv femei, copii, persoane în etate, persoane cu dezabilități. </w:t>
      </w:r>
    </w:p>
    <w:p w14:paraId="76326D53" w14:textId="5058719C" w:rsidR="00BE49AF" w:rsidRPr="00A35A1F" w:rsidRDefault="00F0134C" w:rsidP="00BE49AF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În procesul de elaborare și aprobare, PSA 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>și PAI sînt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consult</w:t>
      </w:r>
      <w:r w:rsidR="006F0429" w:rsidRPr="00A35A1F">
        <w:rPr>
          <w:rFonts w:ascii="Times New Roman" w:hAnsi="Times New Roman" w:cs="Times New Roman"/>
          <w:sz w:val="28"/>
          <w:szCs w:val="28"/>
          <w:lang w:val="ro-RO"/>
        </w:rPr>
        <w:t>at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cu Comisia națională</w:t>
      </w:r>
      <w:r w:rsidR="000131F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pentru schimbări climatice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>asigurării alinierii acestora la prioritățile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strategi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adaptare la schimb</w:t>
      </w:r>
      <w:r w:rsidR="000131F5" w:rsidRPr="00A35A1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rile climatice.</w:t>
      </w:r>
      <w:r w:rsidR="000131F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Comisia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națională</w:t>
      </w:r>
      <w:r w:rsidR="000131F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emite aviz</w:t>
      </w:r>
      <w:r w:rsidR="006F0429" w:rsidRPr="00A35A1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ce reprezintă sinteza tuturor punctelor de vedere și recomandărilor membrilor Comisiei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naționale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BE49AF" w:rsidRPr="00A35A1F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omitetelor tehnice competente.</w:t>
      </w:r>
    </w:p>
    <w:p w14:paraId="40F405FF" w14:textId="77777777" w:rsidR="004D2C14" w:rsidRPr="00A35A1F" w:rsidRDefault="00F0134C" w:rsidP="004D2C14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PSA</w:t>
      </w:r>
      <w:r w:rsidR="00393530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PAI aprobate de ministerele și</w:t>
      </w:r>
      <w:r w:rsidRPr="00A35A1F">
        <w:rPr>
          <w:rFonts w:ascii="Times New Roman" w:hAnsi="Times New Roman" w:cs="Times New Roman"/>
          <w:lang w:val="pt-PT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alte autorităţi administrative centrale</w:t>
      </w:r>
      <w:r w:rsidR="00393530" w:rsidRPr="00A35A1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precum și</w:t>
      </w:r>
      <w:r w:rsidR="00393530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către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autoritățile administrației publice locale, se prezintă pentru informare Comisiei</w:t>
      </w:r>
      <w:r w:rsidR="00393530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naționale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0AE5CEE" w14:textId="77777777" w:rsidR="00F0134C" w:rsidRPr="00A35A1F" w:rsidRDefault="00F0134C" w:rsidP="00F0134C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7C2FDE04" w14:textId="77777777" w:rsidR="00F0134C" w:rsidRPr="00A35A1F" w:rsidRDefault="00F0134C" w:rsidP="00F0134C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>Implementare</w:t>
      </w:r>
    </w:p>
    <w:p w14:paraId="6E738990" w14:textId="77777777" w:rsidR="004D2C14" w:rsidRPr="00A35A1F" w:rsidRDefault="004D2C14" w:rsidP="00F0134C">
      <w:pPr>
        <w:tabs>
          <w:tab w:val="left" w:pos="1134"/>
        </w:tabs>
        <w:jc w:val="center"/>
        <w:rPr>
          <w:sz w:val="28"/>
          <w:szCs w:val="28"/>
          <w:lang w:val="ro-RO"/>
        </w:rPr>
      </w:pPr>
    </w:p>
    <w:p w14:paraId="0578BFBE" w14:textId="77777777" w:rsidR="0091070C" w:rsidRPr="00A35A1F" w:rsidRDefault="004D2C14" w:rsidP="0091070C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Comisia națională, prin intermediul Secretariatului său, coordonează implementarea acțiunilor comune pentru toate sectoarele. </w:t>
      </w:r>
    </w:p>
    <w:p w14:paraId="7B7037CC" w14:textId="2C1BF0EC" w:rsidR="0091070C" w:rsidRPr="00A35A1F" w:rsidRDefault="00F0134C" w:rsidP="0091070C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Ministerele</w:t>
      </w:r>
      <w:r w:rsidR="00965848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, alte autorităţi administrative centrale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și autoritățile</w:t>
      </w:r>
      <w:r w:rsidR="004D2C14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administrației publice locale implementează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acțiuni</w:t>
      </w:r>
      <w:r w:rsidR="005C3D95" w:rsidRPr="00A35A1F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965848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prevăzute în PSA și/sau PAI.</w:t>
      </w:r>
    </w:p>
    <w:p w14:paraId="7BCAA84C" w14:textId="5CD3997B" w:rsidR="0091070C" w:rsidRPr="00A35A1F" w:rsidRDefault="00965848" w:rsidP="0091070C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PNA,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PSA și PAI</w:t>
      </w:r>
      <w:r w:rsidR="008273B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sînt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implementa</w:t>
      </w:r>
      <w:r w:rsidR="008273B5" w:rsidRPr="00A35A1F">
        <w:rPr>
          <w:rFonts w:ascii="Times New Roman" w:hAnsi="Times New Roman" w:cs="Times New Roman"/>
          <w:sz w:val="28"/>
          <w:szCs w:val="28"/>
          <w:lang w:val="ro-RO"/>
        </w:rPr>
        <w:t>te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din surse bugetare alocate anual în bugetul de stat și bugetele locale, inclusiv din resursele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partenerilor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externi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dezvoltare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0860675" w14:textId="28A7606D" w:rsidR="00F0134C" w:rsidRPr="00A35A1F" w:rsidRDefault="00F0134C" w:rsidP="0091070C">
      <w:pPr>
        <w:pStyle w:val="ListParagraph"/>
        <w:numPr>
          <w:ilvl w:val="0"/>
          <w:numId w:val="1"/>
        </w:numPr>
        <w:tabs>
          <w:tab w:val="left" w:pos="1134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Bugetul pentru </w:t>
      </w:r>
      <w:r w:rsidR="00965848" w:rsidRPr="00A35A1F">
        <w:rPr>
          <w:rFonts w:ascii="Times New Roman" w:hAnsi="Times New Roman" w:cs="Times New Roman"/>
          <w:sz w:val="28"/>
          <w:szCs w:val="28"/>
          <w:lang w:val="ro-RO"/>
        </w:rPr>
        <w:t>Planul național de adaptare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va</w:t>
      </w:r>
      <w:r w:rsidR="00965848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fi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stabili</w:t>
      </w:r>
      <w:r w:rsidR="00965848" w:rsidRPr="00A35A1F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în strategiile naționale de adaptare și Cadrul de Buget pe Termen Mediu. </w:t>
      </w:r>
    </w:p>
    <w:p w14:paraId="70B29343" w14:textId="77777777" w:rsidR="00F0134C" w:rsidRPr="00A35A1F" w:rsidRDefault="00F0134C" w:rsidP="00F0134C">
      <w:pPr>
        <w:rPr>
          <w:lang w:val="ro-RO"/>
        </w:rPr>
      </w:pPr>
    </w:p>
    <w:p w14:paraId="0DC86C9A" w14:textId="77777777" w:rsidR="00F0134C" w:rsidRPr="00A35A1F" w:rsidRDefault="00F0134C" w:rsidP="00F0134C">
      <w:p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 xml:space="preserve">V. Sistemul de monitorizare, raportare și evaluare </w:t>
      </w:r>
    </w:p>
    <w:p w14:paraId="5CFAFBC7" w14:textId="77777777" w:rsidR="00F0134C" w:rsidRPr="00A35A1F" w:rsidRDefault="00F0134C" w:rsidP="00F0134C">
      <w:pPr>
        <w:tabs>
          <w:tab w:val="left" w:pos="1134"/>
        </w:tabs>
        <w:jc w:val="center"/>
        <w:rPr>
          <w:sz w:val="28"/>
          <w:szCs w:val="28"/>
          <w:lang w:val="ro-RO"/>
        </w:rPr>
      </w:pPr>
      <w:r w:rsidRPr="00A35A1F">
        <w:rPr>
          <w:b/>
          <w:sz w:val="28"/>
          <w:szCs w:val="28"/>
          <w:lang w:val="ro-RO"/>
        </w:rPr>
        <w:t>privind adaptarea la schimbările climatice</w:t>
      </w:r>
    </w:p>
    <w:p w14:paraId="2399E519" w14:textId="77777777" w:rsidR="00F0134C" w:rsidRPr="00A35A1F" w:rsidRDefault="00F0134C" w:rsidP="00F0134C">
      <w:pPr>
        <w:tabs>
          <w:tab w:val="left" w:pos="1134"/>
        </w:tabs>
        <w:ind w:firstLine="720"/>
        <w:jc w:val="center"/>
        <w:rPr>
          <w:b/>
          <w:sz w:val="28"/>
          <w:szCs w:val="28"/>
          <w:lang w:val="ro-RO"/>
        </w:rPr>
      </w:pPr>
    </w:p>
    <w:p w14:paraId="47134689" w14:textId="6E7F80A1" w:rsidR="0091070C" w:rsidRPr="00A35A1F" w:rsidRDefault="004D2C14" w:rsidP="0091070C">
      <w:pPr>
        <w:pStyle w:val="ListParagraph"/>
        <w:numPr>
          <w:ilvl w:val="0"/>
          <w:numId w:val="1"/>
        </w:numPr>
        <w:tabs>
          <w:tab w:val="left" w:pos="1170"/>
        </w:tabs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La sfîrșitul perioadei de planificare</w:t>
      </w:r>
      <w:r w:rsidR="0091070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, ministerele,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alte autorităţi administrative centrale</w:t>
      </w:r>
      <w:r w:rsidR="0091070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și autoritățile administrației publice locale raportează cu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privire la acțiunile </w:t>
      </w:r>
      <w:r w:rsidR="0091070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întreprinse în scopul realizării PNA, PSA și PAI. Raportarea se face prin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intermediul sistemului informațional de monitorizare, raportare și verificare a activităților în domeniul schimbărilor climatice</w:t>
      </w:r>
      <w:r w:rsidR="0091070C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BBAFDCA" w14:textId="77777777" w:rsidR="00DA50D2" w:rsidRPr="00A35A1F" w:rsidRDefault="00F0134C" w:rsidP="00DA50D2">
      <w:pPr>
        <w:pStyle w:val="ListParagraph"/>
        <w:numPr>
          <w:ilvl w:val="0"/>
          <w:numId w:val="1"/>
        </w:numPr>
        <w:tabs>
          <w:tab w:val="left" w:pos="1170"/>
        </w:tabs>
        <w:ind w:left="0" w:firstLine="450"/>
        <w:jc w:val="both"/>
        <w:rPr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Sistemul de monitorizare și evaluare a adaptării la schimbările climatice </w:t>
      </w:r>
      <w:r w:rsidR="00DA50D2" w:rsidRPr="00A35A1F">
        <w:rPr>
          <w:rFonts w:ascii="Times New Roman" w:hAnsi="Times New Roman" w:cs="Times New Roman"/>
          <w:sz w:val="28"/>
          <w:szCs w:val="28"/>
          <w:lang w:val="ro-RO"/>
        </w:rPr>
        <w:t>are următoarele funcții:</w:t>
      </w:r>
    </w:p>
    <w:p w14:paraId="35E11A97" w14:textId="77777777" w:rsidR="00DA50D2" w:rsidRPr="00A35A1F" w:rsidRDefault="00DA50D2" w:rsidP="00DA50D2">
      <w:pPr>
        <w:pStyle w:val="ListParagraph"/>
        <w:numPr>
          <w:ilvl w:val="0"/>
          <w:numId w:val="6"/>
        </w:numPr>
        <w:tabs>
          <w:tab w:val="left" w:pos="117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rearea unui set de obiective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generale și sectoriale/individuale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monitorizare a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adapt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ării la schimbările climatice a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fiec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ui sector al economiei naționale;</w:t>
      </w:r>
    </w:p>
    <w:p w14:paraId="39FA674E" w14:textId="77777777" w:rsidR="00DA50D2" w:rsidRPr="00A35A1F" w:rsidRDefault="00DA50D2" w:rsidP="00F0134C">
      <w:pPr>
        <w:pStyle w:val="ListParagraph"/>
        <w:numPr>
          <w:ilvl w:val="0"/>
          <w:numId w:val="6"/>
        </w:numPr>
        <w:tabs>
          <w:tab w:val="left" w:pos="1170"/>
        </w:tabs>
        <w:ind w:left="0" w:firstLine="708"/>
        <w:jc w:val="both"/>
        <w:rPr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Stabilirea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indicatorilor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monitorizare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a adaptării la schimbările climatice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6706FC9A" w14:textId="164B5B0A" w:rsidR="00DA50D2" w:rsidRPr="00A35A1F" w:rsidRDefault="00F0134C" w:rsidP="00F0134C">
      <w:pPr>
        <w:pStyle w:val="ListParagraph"/>
        <w:numPr>
          <w:ilvl w:val="0"/>
          <w:numId w:val="6"/>
        </w:numPr>
        <w:tabs>
          <w:tab w:val="left" w:pos="117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Planificarea iterativă, în</w:t>
      </w:r>
      <w:r w:rsidR="008273B5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baza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observ</w:t>
      </w:r>
      <w:r w:rsidR="00DA50D2" w:rsidRPr="00A35A1F">
        <w:rPr>
          <w:rFonts w:ascii="Times New Roman" w:hAnsi="Times New Roman" w:cs="Times New Roman"/>
          <w:sz w:val="28"/>
          <w:szCs w:val="28"/>
          <w:lang w:val="ro-RO"/>
        </w:rPr>
        <w:t>ațiilor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 evidențe</w:t>
      </w:r>
      <w:r w:rsidR="00DA50D2" w:rsidRPr="00A35A1F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continue;</w:t>
      </w:r>
    </w:p>
    <w:p w14:paraId="7FF58E09" w14:textId="34C34D72" w:rsidR="00F0134C" w:rsidRPr="00A35A1F" w:rsidRDefault="00F0134C" w:rsidP="00F0134C">
      <w:pPr>
        <w:pStyle w:val="ListParagraph"/>
        <w:numPr>
          <w:ilvl w:val="0"/>
          <w:numId w:val="6"/>
        </w:numPr>
        <w:tabs>
          <w:tab w:val="left" w:pos="117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Integrarea treptată a priorităților de adaptare în planificarea</w:t>
      </w:r>
      <w:r w:rsidR="00DA50D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sectorială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56E31D" w14:textId="5585DC32" w:rsidR="00F0134C" w:rsidRPr="00A35A1F" w:rsidRDefault="00F0134C" w:rsidP="002419B7">
      <w:pPr>
        <w:pStyle w:val="ListParagraph"/>
        <w:numPr>
          <w:ilvl w:val="0"/>
          <w:numId w:val="1"/>
        </w:numPr>
        <w:tabs>
          <w:tab w:val="left" w:pos="360"/>
          <w:tab w:val="left" w:pos="117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Sistemul de monitorizare și raportare </w:t>
      </w:r>
      <w:r w:rsidR="00DA50D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are ca scop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colectarea datelor referitor la activitățile de adaptare implementate în baza următorilor indicatori:</w:t>
      </w:r>
    </w:p>
    <w:p w14:paraId="3A6AC225" w14:textId="62E47924" w:rsidR="002419B7" w:rsidRPr="00A35A1F" w:rsidRDefault="00F0134C" w:rsidP="002419B7">
      <w:pPr>
        <w:pStyle w:val="NormalIndent"/>
        <w:numPr>
          <w:ilvl w:val="0"/>
          <w:numId w:val="8"/>
        </w:numPr>
        <w:tabs>
          <w:tab w:val="left" w:pos="1170"/>
        </w:tabs>
        <w:spacing w:before="12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35A1F">
        <w:rPr>
          <w:rFonts w:ascii="Times New Roman" w:hAnsi="Times New Roman"/>
          <w:sz w:val="28"/>
          <w:szCs w:val="28"/>
        </w:rPr>
        <w:t xml:space="preserve">Indicatori  </w:t>
      </w:r>
      <w:r w:rsidRPr="00A35A1F">
        <w:rPr>
          <w:rFonts w:ascii="Times New Roman" w:hAnsi="Times New Roman"/>
          <w:sz w:val="28"/>
          <w:szCs w:val="28"/>
          <w:shd w:val="clear" w:color="auto" w:fill="FFFFFF"/>
        </w:rPr>
        <w:t>determinanți/motrici</w:t>
      </w:r>
      <w:r w:rsidR="00BF21F1" w:rsidRPr="00A35A1F">
        <w:rPr>
          <w:rFonts w:ascii="Times New Roman" w:hAnsi="Times New Roman"/>
          <w:sz w:val="28"/>
          <w:szCs w:val="28"/>
          <w:shd w:val="clear" w:color="auto" w:fill="FFFFFF"/>
        </w:rPr>
        <w:t xml:space="preserve"> (Tabelul 1)</w:t>
      </w:r>
      <w:r w:rsidR="00DA50D2" w:rsidRPr="00A35A1F">
        <w:rPr>
          <w:rFonts w:ascii="Times New Roman" w:hAnsi="Times New Roman"/>
          <w:sz w:val="28"/>
          <w:szCs w:val="28"/>
        </w:rPr>
        <w:t xml:space="preserve"> –</w:t>
      </w:r>
      <w:r w:rsidRPr="00A35A1F">
        <w:rPr>
          <w:rFonts w:ascii="Times New Roman" w:hAnsi="Times New Roman"/>
          <w:sz w:val="28"/>
          <w:szCs w:val="28"/>
        </w:rPr>
        <w:t xml:space="preserve"> măs</w:t>
      </w:r>
      <w:r w:rsidR="00DA50D2" w:rsidRPr="00A35A1F">
        <w:rPr>
          <w:rFonts w:ascii="Times New Roman" w:hAnsi="Times New Roman"/>
          <w:sz w:val="28"/>
          <w:szCs w:val="28"/>
        </w:rPr>
        <w:t xml:space="preserve">oară </w:t>
      </w:r>
      <w:r w:rsidRPr="00A35A1F">
        <w:rPr>
          <w:rFonts w:ascii="Times New Roman" w:hAnsi="Times New Roman"/>
          <w:sz w:val="28"/>
          <w:szCs w:val="28"/>
        </w:rPr>
        <w:t>rezultatul acțiunilor care vizează fact</w:t>
      </w:r>
      <w:r w:rsidR="002419B7" w:rsidRPr="00A35A1F">
        <w:rPr>
          <w:rFonts w:ascii="Times New Roman" w:hAnsi="Times New Roman"/>
          <w:sz w:val="28"/>
          <w:szCs w:val="28"/>
        </w:rPr>
        <w:t>orii de influență ai schimbării. Indicatorii din această categorie vizează măsurarea progreselor în abordarea constrîngerilor pentru planificarea adaptării. Din ace</w:t>
      </w:r>
      <w:r w:rsidR="00F72273" w:rsidRPr="00A35A1F">
        <w:rPr>
          <w:rFonts w:ascii="Times New Roman" w:hAnsi="Times New Roman"/>
          <w:sz w:val="28"/>
          <w:szCs w:val="28"/>
        </w:rPr>
        <w:t>a</w:t>
      </w:r>
      <w:r w:rsidR="002419B7" w:rsidRPr="00A35A1F">
        <w:rPr>
          <w:rFonts w:ascii="Times New Roman" w:hAnsi="Times New Roman"/>
          <w:sz w:val="28"/>
          <w:szCs w:val="28"/>
        </w:rPr>
        <w:t>stă categorie fac parte următoarele tipuri de indicatori:</w:t>
      </w:r>
    </w:p>
    <w:p w14:paraId="53B37FF0" w14:textId="720833C4" w:rsidR="00F529C5" w:rsidRPr="00A35A1F" w:rsidRDefault="002419B7" w:rsidP="00F529C5">
      <w:pPr>
        <w:pStyle w:val="NormalIndent"/>
        <w:numPr>
          <w:ilvl w:val="0"/>
          <w:numId w:val="9"/>
        </w:numPr>
        <w:spacing w:before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35A1F">
        <w:rPr>
          <w:rFonts w:ascii="Times New Roman" w:hAnsi="Times New Roman"/>
          <w:sz w:val="28"/>
          <w:szCs w:val="28"/>
        </w:rPr>
        <w:t xml:space="preserve">nivelul resurselor financiare și umane disponibile pentru planificare </w:t>
      </w:r>
      <w:r w:rsidR="00F529C5" w:rsidRPr="00A35A1F">
        <w:rPr>
          <w:rFonts w:ascii="Times New Roman" w:hAnsi="Times New Roman"/>
          <w:sz w:val="28"/>
          <w:szCs w:val="28"/>
        </w:rPr>
        <w:t>a</w:t>
      </w:r>
      <w:r w:rsidRPr="00A35A1F">
        <w:rPr>
          <w:rFonts w:ascii="Times New Roman" w:hAnsi="Times New Roman"/>
          <w:sz w:val="28"/>
          <w:szCs w:val="28"/>
        </w:rPr>
        <w:t xml:space="preserve"> acțiuni</w:t>
      </w:r>
      <w:r w:rsidR="00F529C5" w:rsidRPr="00A35A1F">
        <w:rPr>
          <w:rFonts w:ascii="Times New Roman" w:hAnsi="Times New Roman"/>
          <w:sz w:val="28"/>
          <w:szCs w:val="28"/>
        </w:rPr>
        <w:t>lor</w:t>
      </w:r>
      <w:r w:rsidRPr="00A35A1F">
        <w:rPr>
          <w:rFonts w:ascii="Times New Roman" w:hAnsi="Times New Roman"/>
          <w:sz w:val="28"/>
          <w:szCs w:val="28"/>
        </w:rPr>
        <w:t xml:space="preserve"> de adaptare la nivel</w:t>
      </w:r>
      <w:r w:rsidR="00F529C5" w:rsidRPr="00A35A1F">
        <w:rPr>
          <w:rFonts w:ascii="Times New Roman" w:hAnsi="Times New Roman"/>
          <w:sz w:val="28"/>
          <w:szCs w:val="28"/>
        </w:rPr>
        <w:t xml:space="preserve"> naționa</w:t>
      </w:r>
      <w:r w:rsidR="00F72273" w:rsidRPr="00A35A1F">
        <w:rPr>
          <w:rFonts w:ascii="Times New Roman" w:hAnsi="Times New Roman"/>
          <w:sz w:val="28"/>
          <w:szCs w:val="28"/>
        </w:rPr>
        <w:t>l</w:t>
      </w:r>
      <w:r w:rsidR="00F529C5" w:rsidRPr="00A35A1F">
        <w:rPr>
          <w:rFonts w:ascii="Times New Roman" w:hAnsi="Times New Roman"/>
          <w:sz w:val="28"/>
          <w:szCs w:val="28"/>
        </w:rPr>
        <w:t>/sectorial/local</w:t>
      </w:r>
      <w:r w:rsidRPr="00A35A1F">
        <w:rPr>
          <w:rFonts w:ascii="Times New Roman" w:hAnsi="Times New Roman"/>
          <w:sz w:val="28"/>
          <w:szCs w:val="28"/>
        </w:rPr>
        <w:t xml:space="preserve">. </w:t>
      </w:r>
    </w:p>
    <w:p w14:paraId="76DF1E15" w14:textId="77777777" w:rsidR="00F529C5" w:rsidRPr="00A35A1F" w:rsidRDefault="002419B7" w:rsidP="00F529C5">
      <w:pPr>
        <w:pStyle w:val="NormalIndent"/>
        <w:numPr>
          <w:ilvl w:val="0"/>
          <w:numId w:val="9"/>
        </w:numPr>
        <w:spacing w:before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35A1F">
        <w:rPr>
          <w:rFonts w:ascii="Times New Roman" w:hAnsi="Times New Roman"/>
          <w:sz w:val="28"/>
          <w:szCs w:val="28"/>
        </w:rPr>
        <w:t>nivelul capacități</w:t>
      </w:r>
      <w:r w:rsidR="00F529C5" w:rsidRPr="00A35A1F">
        <w:rPr>
          <w:rFonts w:ascii="Times New Roman" w:hAnsi="Times New Roman"/>
          <w:sz w:val="28"/>
          <w:szCs w:val="28"/>
        </w:rPr>
        <w:t>lor</w:t>
      </w:r>
      <w:r w:rsidRPr="00A35A1F">
        <w:rPr>
          <w:rFonts w:ascii="Times New Roman" w:hAnsi="Times New Roman"/>
          <w:sz w:val="28"/>
          <w:szCs w:val="28"/>
        </w:rPr>
        <w:t xml:space="preserve"> de planificare</w:t>
      </w:r>
      <w:r w:rsidR="00F529C5" w:rsidRPr="00A35A1F">
        <w:rPr>
          <w:rFonts w:ascii="Times New Roman" w:hAnsi="Times New Roman"/>
          <w:sz w:val="28"/>
          <w:szCs w:val="28"/>
        </w:rPr>
        <w:t xml:space="preserve"> pentru adaptare – </w:t>
      </w:r>
      <w:r w:rsidRPr="00A35A1F">
        <w:rPr>
          <w:rFonts w:ascii="Times New Roman" w:hAnsi="Times New Roman"/>
          <w:sz w:val="28"/>
          <w:szCs w:val="28"/>
        </w:rPr>
        <w:t>capacitățile</w:t>
      </w:r>
      <w:r w:rsidR="00F529C5" w:rsidRPr="00A35A1F">
        <w:rPr>
          <w:rFonts w:ascii="Times New Roman" w:hAnsi="Times New Roman"/>
          <w:sz w:val="28"/>
          <w:szCs w:val="28"/>
        </w:rPr>
        <w:t xml:space="preserve"> </w:t>
      </w:r>
      <w:r w:rsidRPr="00A35A1F">
        <w:rPr>
          <w:rFonts w:ascii="Times New Roman" w:hAnsi="Times New Roman"/>
          <w:sz w:val="28"/>
          <w:szCs w:val="28"/>
        </w:rPr>
        <w:t xml:space="preserve">individuale ale planificatorilor (abilități și cunoștințe), </w:t>
      </w:r>
      <w:r w:rsidR="00F529C5" w:rsidRPr="00A35A1F">
        <w:rPr>
          <w:rFonts w:ascii="Times New Roman" w:hAnsi="Times New Roman"/>
          <w:sz w:val="28"/>
          <w:szCs w:val="28"/>
        </w:rPr>
        <w:t xml:space="preserve">capacități </w:t>
      </w:r>
      <w:r w:rsidRPr="00A35A1F">
        <w:rPr>
          <w:rFonts w:ascii="Times New Roman" w:hAnsi="Times New Roman"/>
          <w:sz w:val="28"/>
          <w:szCs w:val="28"/>
        </w:rPr>
        <w:t>instituționale și sistemice</w:t>
      </w:r>
      <w:r w:rsidR="00F529C5" w:rsidRPr="00A35A1F">
        <w:rPr>
          <w:rFonts w:ascii="Times New Roman" w:hAnsi="Times New Roman"/>
          <w:sz w:val="28"/>
          <w:szCs w:val="28"/>
        </w:rPr>
        <w:t xml:space="preserve"> (</w:t>
      </w:r>
      <w:r w:rsidRPr="00A35A1F">
        <w:rPr>
          <w:rFonts w:ascii="Times New Roman" w:hAnsi="Times New Roman"/>
          <w:sz w:val="28"/>
          <w:szCs w:val="28"/>
        </w:rPr>
        <w:t>metodologiile, accesul la informații, competențe legale și instituționale, schimbările organizaționale ș</w:t>
      </w:r>
      <w:r w:rsidR="00F529C5" w:rsidRPr="00A35A1F">
        <w:rPr>
          <w:rFonts w:ascii="Times New Roman" w:hAnsi="Times New Roman"/>
          <w:sz w:val="28"/>
          <w:szCs w:val="28"/>
        </w:rPr>
        <w:t>.</w:t>
      </w:r>
      <w:r w:rsidRPr="00A35A1F">
        <w:rPr>
          <w:rFonts w:ascii="Times New Roman" w:hAnsi="Times New Roman"/>
          <w:sz w:val="28"/>
          <w:szCs w:val="28"/>
        </w:rPr>
        <w:t>a</w:t>
      </w:r>
      <w:r w:rsidR="00F529C5" w:rsidRPr="00A35A1F">
        <w:rPr>
          <w:rFonts w:ascii="Times New Roman" w:hAnsi="Times New Roman"/>
          <w:sz w:val="28"/>
          <w:szCs w:val="28"/>
        </w:rPr>
        <w:t>).</w:t>
      </w:r>
    </w:p>
    <w:p w14:paraId="65F88B8C" w14:textId="4A1EDA09" w:rsidR="002419B7" w:rsidRPr="00A35A1F" w:rsidRDefault="00F529C5" w:rsidP="00F529C5">
      <w:pPr>
        <w:pStyle w:val="NormalIndent"/>
        <w:numPr>
          <w:ilvl w:val="0"/>
          <w:numId w:val="9"/>
        </w:numPr>
        <w:spacing w:before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35A1F">
        <w:rPr>
          <w:rFonts w:ascii="Times New Roman" w:hAnsi="Times New Roman"/>
          <w:sz w:val="28"/>
          <w:szCs w:val="28"/>
        </w:rPr>
        <w:t xml:space="preserve">nivelul de </w:t>
      </w:r>
      <w:r w:rsidR="002419B7" w:rsidRPr="00A35A1F">
        <w:rPr>
          <w:rFonts w:ascii="Times New Roman" w:hAnsi="Times New Roman"/>
          <w:sz w:val="28"/>
          <w:szCs w:val="28"/>
        </w:rPr>
        <w:t>cunoaștere</w:t>
      </w:r>
      <w:r w:rsidRPr="00A35A1F">
        <w:rPr>
          <w:rFonts w:ascii="Times New Roman" w:hAnsi="Times New Roman"/>
          <w:sz w:val="28"/>
          <w:szCs w:val="28"/>
        </w:rPr>
        <w:t xml:space="preserve"> </w:t>
      </w:r>
      <w:r w:rsidR="002419B7" w:rsidRPr="00A35A1F">
        <w:rPr>
          <w:rFonts w:ascii="Times New Roman" w:hAnsi="Times New Roman"/>
          <w:sz w:val="28"/>
          <w:szCs w:val="28"/>
        </w:rPr>
        <w:t>a riscurilor climatice și a vulnerabilităților</w:t>
      </w:r>
      <w:r w:rsidRPr="00A35A1F">
        <w:rPr>
          <w:rFonts w:ascii="Times New Roman" w:hAnsi="Times New Roman"/>
          <w:sz w:val="28"/>
          <w:szCs w:val="28"/>
        </w:rPr>
        <w:t xml:space="preserve"> – sfera </w:t>
      </w:r>
      <w:r w:rsidR="002419B7" w:rsidRPr="00A35A1F">
        <w:rPr>
          <w:rFonts w:ascii="Times New Roman" w:hAnsi="Times New Roman"/>
          <w:sz w:val="28"/>
          <w:szCs w:val="28"/>
        </w:rPr>
        <w:t>de acțiuni neces</w:t>
      </w:r>
      <w:r w:rsidRPr="00A35A1F">
        <w:rPr>
          <w:rFonts w:ascii="Times New Roman" w:hAnsi="Times New Roman"/>
          <w:sz w:val="28"/>
          <w:szCs w:val="28"/>
        </w:rPr>
        <w:t>ară pentru atingerea rezilienței.</w:t>
      </w:r>
      <w:r w:rsidR="002419B7" w:rsidRPr="00A35A1F">
        <w:rPr>
          <w:rFonts w:ascii="Times New Roman" w:hAnsi="Times New Roman"/>
          <w:sz w:val="28"/>
          <w:szCs w:val="28"/>
        </w:rPr>
        <w:t xml:space="preserve"> </w:t>
      </w:r>
    </w:p>
    <w:p w14:paraId="7018186D" w14:textId="09875A96" w:rsidR="00F529C5" w:rsidRPr="00A35A1F" w:rsidRDefault="00BF21F1" w:rsidP="00F529C5">
      <w:pPr>
        <w:pStyle w:val="NormalIndent"/>
        <w:spacing w:before="12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A35A1F">
        <w:rPr>
          <w:rFonts w:ascii="Times New Roman" w:hAnsi="Times New Roman"/>
          <w:i/>
          <w:sz w:val="28"/>
          <w:szCs w:val="28"/>
        </w:rPr>
        <w:t xml:space="preserve">Tabelul 1: </w:t>
      </w:r>
      <w:r w:rsidR="00F529C5" w:rsidRPr="00A35A1F">
        <w:rPr>
          <w:rFonts w:ascii="Times New Roman" w:hAnsi="Times New Roman"/>
          <w:i/>
          <w:sz w:val="28"/>
          <w:szCs w:val="28"/>
        </w:rPr>
        <w:t>Indicatori determinanți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609"/>
        <w:gridCol w:w="4891"/>
      </w:tblGrid>
      <w:tr w:rsidR="00A35A1F" w:rsidRPr="00A35A1F" w14:paraId="7EA8CF4F" w14:textId="77777777" w:rsidTr="00F91376">
        <w:trPr>
          <w:trHeight w:val="615"/>
        </w:trPr>
        <w:tc>
          <w:tcPr>
            <w:tcW w:w="4395" w:type="dxa"/>
            <w:gridSpan w:val="2"/>
            <w:shd w:val="clear" w:color="auto" w:fill="4F81BD"/>
          </w:tcPr>
          <w:p w14:paraId="7C8F480F" w14:textId="77777777" w:rsidR="00F529C5" w:rsidRPr="00A35A1F" w:rsidRDefault="00F529C5" w:rsidP="00F91376">
            <w:pPr>
              <w:spacing w:before="200" w:after="200"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>Indicator determinant</w:t>
            </w:r>
          </w:p>
        </w:tc>
        <w:tc>
          <w:tcPr>
            <w:tcW w:w="5086" w:type="dxa"/>
            <w:shd w:val="clear" w:color="auto" w:fill="4F81BD"/>
          </w:tcPr>
          <w:p w14:paraId="1FCC60C3" w14:textId="77777777" w:rsidR="00F529C5" w:rsidRPr="00A35A1F" w:rsidRDefault="00F529C5" w:rsidP="00F91376">
            <w:pPr>
              <w:spacing w:before="200" w:after="200" w:line="276" w:lineRule="auto"/>
              <w:ind w:left="360"/>
              <w:contextualSpacing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>Mijloace de verificare</w:t>
            </w:r>
          </w:p>
        </w:tc>
      </w:tr>
      <w:tr w:rsidR="00A35A1F" w:rsidRPr="00A35A1F" w14:paraId="22A62E5F" w14:textId="77777777" w:rsidTr="00F91376">
        <w:tc>
          <w:tcPr>
            <w:tcW w:w="1750" w:type="dxa"/>
            <w:vMerge w:val="restart"/>
            <w:shd w:val="clear" w:color="auto" w:fill="auto"/>
          </w:tcPr>
          <w:p w14:paraId="2D260BED" w14:textId="77777777" w:rsidR="00F529C5" w:rsidRPr="00A35A1F" w:rsidRDefault="00F529C5" w:rsidP="00F91376">
            <w:pPr>
              <w:spacing w:before="200" w:after="200" w:line="276" w:lineRule="auto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Nivelul resurselor financiare și umane</w:t>
            </w:r>
            <w:r w:rsidRPr="00A35A1F">
              <w:rPr>
                <w:bCs/>
                <w:sz w:val="28"/>
                <w:szCs w:val="28"/>
                <w:lang w:val="ro-RO"/>
              </w:rPr>
              <w:br/>
            </w:r>
            <w:r w:rsidRPr="00A35A1F">
              <w:rPr>
                <w:bCs/>
                <w:sz w:val="28"/>
                <w:szCs w:val="28"/>
                <w:lang w:val="ro-RO"/>
              </w:rPr>
              <w:br/>
            </w:r>
          </w:p>
        </w:tc>
        <w:tc>
          <w:tcPr>
            <w:tcW w:w="2645" w:type="dxa"/>
            <w:shd w:val="clear" w:color="auto" w:fill="auto"/>
          </w:tcPr>
          <w:p w14:paraId="27A45140" w14:textId="6361FB9A" w:rsidR="00F529C5" w:rsidRPr="00A35A1F" w:rsidRDefault="00F529C5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% d</w:t>
            </w:r>
            <w:r w:rsidR="00F72273" w:rsidRPr="00A35A1F">
              <w:rPr>
                <w:sz w:val="28"/>
                <w:szCs w:val="28"/>
                <w:lang w:val="ro-RO"/>
              </w:rPr>
              <w:t>in bugetul național alocat reali</w:t>
            </w:r>
            <w:r w:rsidRPr="00A35A1F">
              <w:rPr>
                <w:sz w:val="28"/>
                <w:szCs w:val="28"/>
                <w:lang w:val="ro-RO"/>
              </w:rPr>
              <w:t>zării acțiunilor legate de adaptarea la schimbările clim</w:t>
            </w:r>
            <w:r w:rsidR="00BF21F1" w:rsidRPr="00A35A1F">
              <w:rPr>
                <w:sz w:val="28"/>
                <w:szCs w:val="28"/>
                <w:lang w:val="ro-RO"/>
              </w:rPr>
              <w:t>a</w:t>
            </w:r>
            <w:r w:rsidRPr="00A35A1F">
              <w:rPr>
                <w:sz w:val="28"/>
                <w:szCs w:val="28"/>
                <w:lang w:val="ro-RO"/>
              </w:rPr>
              <w:t>tice</w:t>
            </w:r>
            <w:r w:rsidR="00BF21F1" w:rsidRPr="00A35A1F">
              <w:rPr>
                <w:sz w:val="28"/>
                <w:szCs w:val="28"/>
                <w:lang w:val="ro-RO"/>
              </w:rPr>
              <w:t>.</w:t>
            </w:r>
          </w:p>
        </w:tc>
        <w:tc>
          <w:tcPr>
            <w:tcW w:w="5086" w:type="dxa"/>
            <w:shd w:val="clear" w:color="auto" w:fill="auto"/>
          </w:tcPr>
          <w:p w14:paraId="65CDC908" w14:textId="2BDB6101" w:rsidR="00F529C5" w:rsidRPr="00A35A1F" w:rsidRDefault="00F529C5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Crearea și punerea în funcțiune a sistemului de marcare climatică a bugetului, în cazul în care acțiunile din</w:t>
            </w:r>
            <w:r w:rsidR="00BF21F1" w:rsidRPr="00A35A1F">
              <w:rPr>
                <w:sz w:val="28"/>
                <w:szCs w:val="28"/>
                <w:lang w:val="ro-RO"/>
              </w:rPr>
              <w:t xml:space="preserve"> PNA, </w:t>
            </w:r>
            <w:r w:rsidRPr="00A35A1F">
              <w:rPr>
                <w:sz w:val="28"/>
                <w:szCs w:val="28"/>
                <w:lang w:val="ro-RO"/>
              </w:rPr>
              <w:t xml:space="preserve">PSA </w:t>
            </w:r>
            <w:r w:rsidR="00BF21F1" w:rsidRPr="00A35A1F">
              <w:rPr>
                <w:sz w:val="28"/>
                <w:szCs w:val="28"/>
                <w:lang w:val="ro-RO"/>
              </w:rPr>
              <w:t>și</w:t>
            </w:r>
            <w:r w:rsidRPr="00A35A1F">
              <w:rPr>
                <w:sz w:val="28"/>
                <w:szCs w:val="28"/>
                <w:lang w:val="ro-RO"/>
              </w:rPr>
              <w:t xml:space="preserve"> PA</w:t>
            </w:r>
            <w:r w:rsidR="00BF21F1" w:rsidRPr="00A35A1F">
              <w:rPr>
                <w:sz w:val="28"/>
                <w:szCs w:val="28"/>
                <w:lang w:val="ro-RO"/>
              </w:rPr>
              <w:t>I</w:t>
            </w:r>
            <w:r w:rsidRPr="00A35A1F">
              <w:rPr>
                <w:sz w:val="28"/>
                <w:szCs w:val="28"/>
                <w:lang w:val="ro-RO"/>
              </w:rPr>
              <w:t xml:space="preserve"> </w:t>
            </w:r>
            <w:r w:rsidR="00BF21F1" w:rsidRPr="00A35A1F">
              <w:rPr>
                <w:sz w:val="28"/>
                <w:szCs w:val="28"/>
                <w:lang w:val="ro-RO"/>
              </w:rPr>
              <w:t>sînt implementate cu finanțarea din</w:t>
            </w:r>
            <w:r w:rsidRPr="00A35A1F">
              <w:rPr>
                <w:sz w:val="28"/>
                <w:szCs w:val="28"/>
                <w:lang w:val="ro-RO"/>
              </w:rPr>
              <w:t xml:space="preserve"> bugetele ministerelor responsabile</w:t>
            </w:r>
            <w:r w:rsidR="00BF21F1" w:rsidRPr="00A35A1F">
              <w:rPr>
                <w:sz w:val="28"/>
                <w:szCs w:val="28"/>
                <w:lang w:val="ro-RO"/>
              </w:rPr>
              <w:t>.</w:t>
            </w:r>
          </w:p>
        </w:tc>
      </w:tr>
      <w:tr w:rsidR="00A35A1F" w:rsidRPr="00A35A1F" w14:paraId="1E6E0397" w14:textId="77777777" w:rsidTr="00F91376">
        <w:tc>
          <w:tcPr>
            <w:tcW w:w="1750" w:type="dxa"/>
            <w:vMerge/>
            <w:shd w:val="clear" w:color="auto" w:fill="auto"/>
          </w:tcPr>
          <w:p w14:paraId="5C4DACA8" w14:textId="77777777" w:rsidR="00F529C5" w:rsidRPr="00A35A1F" w:rsidRDefault="00F529C5" w:rsidP="00F91376">
            <w:pPr>
              <w:spacing w:before="200" w:after="200"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45" w:type="dxa"/>
            <w:shd w:val="clear" w:color="auto" w:fill="auto"/>
          </w:tcPr>
          <w:p w14:paraId="2AE58113" w14:textId="77777777" w:rsidR="00F529C5" w:rsidRPr="00A35A1F" w:rsidRDefault="00F529C5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 xml:space="preserve">Numărul de planificatori sectoriali / regionali alocați sau implicați </w:t>
            </w:r>
            <w:r w:rsidRPr="00A35A1F">
              <w:rPr>
                <w:sz w:val="28"/>
                <w:szCs w:val="28"/>
                <w:lang w:val="ro-RO"/>
              </w:rPr>
              <w:lastRenderedPageBreak/>
              <w:t>în planificarea și acțiunile de adaptare</w:t>
            </w:r>
          </w:p>
        </w:tc>
        <w:tc>
          <w:tcPr>
            <w:tcW w:w="5086" w:type="dxa"/>
            <w:shd w:val="clear" w:color="auto" w:fill="auto"/>
          </w:tcPr>
          <w:p w14:paraId="419579CA" w14:textId="1048A054" w:rsidR="00F529C5" w:rsidRPr="00A35A1F" w:rsidRDefault="00BF21F1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lastRenderedPageBreak/>
              <w:t>N</w:t>
            </w:r>
            <w:r w:rsidR="00F529C5" w:rsidRPr="00A35A1F">
              <w:rPr>
                <w:sz w:val="28"/>
                <w:szCs w:val="28"/>
                <w:lang w:val="ro-RO"/>
              </w:rPr>
              <w:t xml:space="preserve">umărul de persoane care au fost desemnate </w:t>
            </w:r>
            <w:r w:rsidRPr="00A35A1F">
              <w:rPr>
                <w:sz w:val="28"/>
                <w:szCs w:val="28"/>
                <w:lang w:val="ro-RO"/>
              </w:rPr>
              <w:t xml:space="preserve">în calitate de </w:t>
            </w:r>
            <w:r w:rsidR="00F529C5" w:rsidRPr="00A35A1F">
              <w:rPr>
                <w:sz w:val="28"/>
                <w:szCs w:val="28"/>
                <w:lang w:val="ro-RO"/>
              </w:rPr>
              <w:t xml:space="preserve">puncte focale sau care contribuie la planificarea </w:t>
            </w:r>
            <w:r w:rsidR="00F529C5" w:rsidRPr="00A35A1F">
              <w:rPr>
                <w:sz w:val="28"/>
                <w:szCs w:val="28"/>
                <w:lang w:val="ro-RO"/>
              </w:rPr>
              <w:lastRenderedPageBreak/>
              <w:t>adaptării</w:t>
            </w:r>
            <w:r w:rsidRPr="00A35A1F">
              <w:rPr>
                <w:sz w:val="28"/>
                <w:szCs w:val="28"/>
                <w:lang w:val="ro-RO"/>
              </w:rPr>
              <w:t xml:space="preserve"> la schimbările climatice</w:t>
            </w:r>
            <w:r w:rsidR="00F529C5" w:rsidRPr="00A35A1F">
              <w:rPr>
                <w:sz w:val="28"/>
                <w:szCs w:val="28"/>
                <w:lang w:val="ro-RO"/>
              </w:rPr>
              <w:t>.</w:t>
            </w:r>
            <w:r w:rsidR="00F529C5" w:rsidRPr="00A35A1F">
              <w:rPr>
                <w:sz w:val="28"/>
                <w:szCs w:val="28"/>
                <w:lang w:val="ro-RO"/>
              </w:rPr>
              <w:br/>
            </w:r>
          </w:p>
        </w:tc>
      </w:tr>
      <w:tr w:rsidR="00A35A1F" w:rsidRPr="00A35A1F" w14:paraId="7E7DDC2F" w14:textId="77777777" w:rsidTr="00F91376">
        <w:tc>
          <w:tcPr>
            <w:tcW w:w="1750" w:type="dxa"/>
            <w:vMerge w:val="restart"/>
            <w:shd w:val="clear" w:color="auto" w:fill="auto"/>
          </w:tcPr>
          <w:p w14:paraId="7D8C7D16" w14:textId="77777777" w:rsidR="00F529C5" w:rsidRPr="00A35A1F" w:rsidRDefault="00F529C5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lastRenderedPageBreak/>
              <w:t>Nivelul de capacități pentru planificarea adaptării</w:t>
            </w:r>
          </w:p>
        </w:tc>
        <w:tc>
          <w:tcPr>
            <w:tcW w:w="2645" w:type="dxa"/>
            <w:shd w:val="clear" w:color="auto" w:fill="auto"/>
          </w:tcPr>
          <w:p w14:paraId="11A7AEE7" w14:textId="77777777" w:rsidR="00F529C5" w:rsidRPr="00A35A1F" w:rsidRDefault="00F529C5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Nivelul capacităților instituționale pentru adaptare</w:t>
            </w:r>
          </w:p>
        </w:tc>
        <w:tc>
          <w:tcPr>
            <w:tcW w:w="5086" w:type="dxa"/>
            <w:shd w:val="clear" w:color="auto" w:fill="auto"/>
          </w:tcPr>
          <w:p w14:paraId="68ED9BC6" w14:textId="4DE5E529" w:rsidR="00F529C5" w:rsidRPr="00A35A1F" w:rsidRDefault="00BF21F1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 xml:space="preserve">Autoevaluare și atribuirea </w:t>
            </w:r>
            <w:r w:rsidR="00F529C5" w:rsidRPr="00A35A1F">
              <w:rPr>
                <w:sz w:val="28"/>
                <w:szCs w:val="28"/>
                <w:lang w:val="ro-RO"/>
              </w:rPr>
              <w:t>punctaj</w:t>
            </w:r>
            <w:r w:rsidRPr="00A35A1F">
              <w:rPr>
                <w:sz w:val="28"/>
                <w:szCs w:val="28"/>
                <w:lang w:val="ro-RO"/>
              </w:rPr>
              <w:t>ului</w:t>
            </w:r>
            <w:r w:rsidR="00F529C5" w:rsidRPr="00A35A1F">
              <w:rPr>
                <w:sz w:val="28"/>
                <w:szCs w:val="28"/>
                <w:lang w:val="ro-RO"/>
              </w:rPr>
              <w:t xml:space="preserve"> de evaluare a capacităților</w:t>
            </w:r>
            <w:r w:rsidRPr="00A35A1F">
              <w:rPr>
                <w:sz w:val="28"/>
                <w:szCs w:val="28"/>
                <w:lang w:val="ro-RO"/>
              </w:rPr>
              <w:t xml:space="preserve">. </w:t>
            </w:r>
          </w:p>
        </w:tc>
      </w:tr>
      <w:tr w:rsidR="00A35A1F" w:rsidRPr="00A35A1F" w14:paraId="7743F9F3" w14:textId="77777777" w:rsidTr="00F91376">
        <w:tc>
          <w:tcPr>
            <w:tcW w:w="1750" w:type="dxa"/>
            <w:vMerge/>
            <w:shd w:val="clear" w:color="auto" w:fill="auto"/>
          </w:tcPr>
          <w:p w14:paraId="3D74EE6F" w14:textId="77777777" w:rsidR="00F529C5" w:rsidRPr="00A35A1F" w:rsidRDefault="00F529C5" w:rsidP="00F91376">
            <w:pPr>
              <w:spacing w:before="200" w:after="200" w:line="276" w:lineRule="auto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45" w:type="dxa"/>
            <w:shd w:val="clear" w:color="auto" w:fill="auto"/>
          </w:tcPr>
          <w:p w14:paraId="49EBFFCD" w14:textId="4081165E" w:rsidR="00F529C5" w:rsidRPr="00A35A1F" w:rsidRDefault="00F529C5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 xml:space="preserve">Numărul de </w:t>
            </w:r>
            <w:r w:rsidR="00BF21F1" w:rsidRPr="00A35A1F">
              <w:rPr>
                <w:sz w:val="28"/>
                <w:szCs w:val="28"/>
                <w:lang w:val="ro-RO"/>
              </w:rPr>
              <w:t>PSA sau PAI</w:t>
            </w:r>
            <w:r w:rsidRPr="00A35A1F">
              <w:rPr>
                <w:sz w:val="28"/>
                <w:szCs w:val="28"/>
                <w:lang w:val="ro-RO"/>
              </w:rPr>
              <w:t xml:space="preserve"> în vigoare</w:t>
            </w:r>
          </w:p>
        </w:tc>
        <w:tc>
          <w:tcPr>
            <w:tcW w:w="5086" w:type="dxa"/>
            <w:shd w:val="clear" w:color="auto" w:fill="auto"/>
          </w:tcPr>
          <w:p w14:paraId="7DC12F64" w14:textId="3256F63E" w:rsidR="00F529C5" w:rsidRPr="00A35A1F" w:rsidRDefault="00BF21F1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PSA și PAI în vigoare și implementat.</w:t>
            </w:r>
          </w:p>
        </w:tc>
      </w:tr>
      <w:tr w:rsidR="00A35A1F" w:rsidRPr="00A35A1F" w14:paraId="52C5248D" w14:textId="77777777" w:rsidTr="00F91376">
        <w:tc>
          <w:tcPr>
            <w:tcW w:w="1750" w:type="dxa"/>
            <w:shd w:val="clear" w:color="auto" w:fill="auto"/>
          </w:tcPr>
          <w:p w14:paraId="05D8CB67" w14:textId="77777777" w:rsidR="00F529C5" w:rsidRPr="00A35A1F" w:rsidRDefault="00F529C5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Nivelul de cunoaștere a riscurilor climatice</w:t>
            </w:r>
          </w:p>
        </w:tc>
        <w:tc>
          <w:tcPr>
            <w:tcW w:w="2645" w:type="dxa"/>
            <w:shd w:val="clear" w:color="auto" w:fill="auto"/>
          </w:tcPr>
          <w:p w14:paraId="68FFE616" w14:textId="77777777" w:rsidR="00F529C5" w:rsidRPr="00A35A1F" w:rsidRDefault="00F529C5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Numărul evaluărilor vulnerabilităților la nivel de sector sau la nivelul întregii economii</w:t>
            </w:r>
          </w:p>
        </w:tc>
        <w:tc>
          <w:tcPr>
            <w:tcW w:w="5086" w:type="dxa"/>
            <w:shd w:val="clear" w:color="auto" w:fill="auto"/>
          </w:tcPr>
          <w:p w14:paraId="77EAC8D4" w14:textId="77777777" w:rsidR="00BF21F1" w:rsidRPr="00A35A1F" w:rsidRDefault="00BF21F1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E</w:t>
            </w:r>
            <w:r w:rsidR="00F529C5" w:rsidRPr="00A35A1F">
              <w:rPr>
                <w:sz w:val="28"/>
                <w:szCs w:val="28"/>
                <w:lang w:val="ro-RO"/>
              </w:rPr>
              <w:t>va</w:t>
            </w:r>
            <w:r w:rsidRPr="00A35A1F">
              <w:rPr>
                <w:sz w:val="28"/>
                <w:szCs w:val="28"/>
                <w:lang w:val="ro-RO"/>
              </w:rPr>
              <w:t>luări sectoriale periodice a</w:t>
            </w:r>
            <w:r w:rsidR="00F529C5" w:rsidRPr="00A35A1F">
              <w:rPr>
                <w:sz w:val="28"/>
                <w:szCs w:val="28"/>
                <w:lang w:val="ro-RO"/>
              </w:rPr>
              <w:t xml:space="preserve"> vulnerabilităților</w:t>
            </w:r>
            <w:r w:rsidRPr="00A35A1F">
              <w:rPr>
                <w:sz w:val="28"/>
                <w:szCs w:val="28"/>
                <w:lang w:val="ro-RO"/>
              </w:rPr>
              <w:t xml:space="preserve"> efectuate</w:t>
            </w:r>
            <w:r w:rsidR="00F529C5" w:rsidRPr="00A35A1F">
              <w:rPr>
                <w:sz w:val="28"/>
                <w:szCs w:val="28"/>
                <w:lang w:val="ro-RO"/>
              </w:rPr>
              <w:t xml:space="preserve">, </w:t>
            </w:r>
          </w:p>
          <w:p w14:paraId="756D261C" w14:textId="2CD6549D" w:rsidR="00BF21F1" w:rsidRPr="00A35A1F" w:rsidRDefault="00BF21F1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R</w:t>
            </w:r>
            <w:r w:rsidR="00F529C5" w:rsidRPr="00A35A1F">
              <w:rPr>
                <w:sz w:val="28"/>
                <w:szCs w:val="28"/>
                <w:lang w:val="ro-RO"/>
              </w:rPr>
              <w:t>iscuri</w:t>
            </w:r>
            <w:r w:rsidRPr="00A35A1F">
              <w:rPr>
                <w:sz w:val="28"/>
                <w:szCs w:val="28"/>
                <w:lang w:val="ro-RO"/>
              </w:rPr>
              <w:t xml:space="preserve"> stabilite,</w:t>
            </w:r>
          </w:p>
          <w:p w14:paraId="3C2AD89F" w14:textId="3578E806" w:rsidR="00F529C5" w:rsidRPr="00A35A1F" w:rsidRDefault="00BF21F1" w:rsidP="00BF21F1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Informații</w:t>
            </w:r>
            <w:r w:rsidR="00F529C5" w:rsidRPr="00A35A1F">
              <w:rPr>
                <w:sz w:val="28"/>
                <w:szCs w:val="28"/>
                <w:lang w:val="ro-RO"/>
              </w:rPr>
              <w:t xml:space="preserve"> climatice și </w:t>
            </w:r>
            <w:r w:rsidRPr="00A35A1F">
              <w:rPr>
                <w:sz w:val="28"/>
                <w:szCs w:val="28"/>
                <w:lang w:val="ro-RO"/>
              </w:rPr>
              <w:t xml:space="preserve">scenarii integrate. </w:t>
            </w:r>
          </w:p>
        </w:tc>
      </w:tr>
    </w:tbl>
    <w:p w14:paraId="1018F690" w14:textId="3F3F9FD3" w:rsidR="002419B7" w:rsidRPr="00A35A1F" w:rsidRDefault="002419B7" w:rsidP="00F529C5">
      <w:pPr>
        <w:pStyle w:val="NormalIndent"/>
        <w:tabs>
          <w:tab w:val="left" w:pos="1170"/>
        </w:tabs>
        <w:spacing w:before="12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pt-PT"/>
        </w:rPr>
      </w:pPr>
    </w:p>
    <w:p w14:paraId="37A5393C" w14:textId="303B3C97" w:rsidR="002419B7" w:rsidRPr="00A35A1F" w:rsidRDefault="00F0134C" w:rsidP="00AD693F">
      <w:pPr>
        <w:pStyle w:val="ListParagraph"/>
        <w:numPr>
          <w:ilvl w:val="0"/>
          <w:numId w:val="8"/>
        </w:numPr>
        <w:tabs>
          <w:tab w:val="left" w:pos="540"/>
          <w:tab w:val="left" w:pos="900"/>
        </w:tabs>
        <w:ind w:left="90" w:firstLine="63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Indicatori de rezultat</w:t>
      </w:r>
      <w:r w:rsidR="00AD693F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(Tabelul 2) – </w:t>
      </w:r>
      <w:r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măsoară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rezultatul acțiunilor specifice de adaptare incluse în fiecare PSA.</w:t>
      </w:r>
      <w:r w:rsidR="00BF21F1" w:rsidRPr="00A35A1F">
        <w:rPr>
          <w:lang w:val="pt-PT"/>
        </w:rPr>
        <w:t xml:space="preserve"> 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 nivel de raportare 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 referă la rezultatul direct 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observabil al unei acțiuni de adaptare. 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Indicatorii sînt aso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cia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ți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acțiunil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or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incluse în 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PNA, 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PSA</w:t>
      </w:r>
      <w:r w:rsidR="00AD693F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PAI</w:t>
      </w:r>
      <w:r w:rsidR="00BF21F1" w:rsidRPr="00A35A1F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.  </w:t>
      </w:r>
    </w:p>
    <w:p w14:paraId="0A5C993B" w14:textId="5A540F26" w:rsidR="00AD693F" w:rsidRPr="00A35A1F" w:rsidRDefault="00AD693F" w:rsidP="00AD693F">
      <w:pPr>
        <w:tabs>
          <w:tab w:val="left" w:pos="540"/>
          <w:tab w:val="left" w:pos="900"/>
        </w:tabs>
        <w:ind w:left="90"/>
        <w:jc w:val="both"/>
        <w:rPr>
          <w:i/>
          <w:sz w:val="28"/>
          <w:szCs w:val="28"/>
          <w:shd w:val="clear" w:color="auto" w:fill="FFFFFF"/>
          <w:lang w:val="ro-RO"/>
        </w:rPr>
      </w:pPr>
      <w:r w:rsidRPr="00A35A1F">
        <w:rPr>
          <w:i/>
          <w:sz w:val="28"/>
          <w:szCs w:val="28"/>
          <w:shd w:val="clear" w:color="auto" w:fill="FFFFFF"/>
          <w:lang w:val="ro-RO"/>
        </w:rPr>
        <w:t>Tabelul 2: Indicatori de rezultat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  <w:gridCol w:w="5543"/>
      </w:tblGrid>
      <w:tr w:rsidR="00A35A1F" w:rsidRPr="00A35A1F" w14:paraId="3B40A231" w14:textId="77777777" w:rsidTr="00F91376">
        <w:tc>
          <w:tcPr>
            <w:tcW w:w="3938" w:type="dxa"/>
            <w:shd w:val="clear" w:color="auto" w:fill="4F81BD"/>
          </w:tcPr>
          <w:p w14:paraId="0BBD5159" w14:textId="30CAEF99" w:rsidR="00AD693F" w:rsidRPr="00A35A1F" w:rsidRDefault="00AD693F" w:rsidP="00AD693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 xml:space="preserve">Indicatori de rezultat </w:t>
            </w:r>
          </w:p>
        </w:tc>
        <w:tc>
          <w:tcPr>
            <w:tcW w:w="6052" w:type="dxa"/>
            <w:shd w:val="clear" w:color="auto" w:fill="4F81BD"/>
          </w:tcPr>
          <w:p w14:paraId="78E66F16" w14:textId="2F357FBA" w:rsidR="00AD693F" w:rsidRPr="00A35A1F" w:rsidRDefault="00AD693F" w:rsidP="00F91376">
            <w:pPr>
              <w:spacing w:line="276" w:lineRule="auto"/>
              <w:ind w:left="360"/>
              <w:contextualSpacing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>Mijloace de verificare</w:t>
            </w:r>
          </w:p>
        </w:tc>
      </w:tr>
      <w:tr w:rsidR="00A35A1F" w:rsidRPr="00A35A1F" w14:paraId="7B385993" w14:textId="77777777" w:rsidTr="00F91376">
        <w:tc>
          <w:tcPr>
            <w:tcW w:w="3938" w:type="dxa"/>
            <w:shd w:val="clear" w:color="auto" w:fill="auto"/>
          </w:tcPr>
          <w:p w14:paraId="399B0DBD" w14:textId="3271BD51" w:rsidR="00AD693F" w:rsidRPr="00A35A1F" w:rsidRDefault="00AD693F" w:rsidP="00AD693F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Numărul persoanelor instruite în domeniul agriculturii durabile și reziliente</w:t>
            </w:r>
          </w:p>
        </w:tc>
        <w:tc>
          <w:tcPr>
            <w:tcW w:w="6052" w:type="dxa"/>
            <w:shd w:val="clear" w:color="auto" w:fill="auto"/>
          </w:tcPr>
          <w:p w14:paraId="0C6AE0A2" w14:textId="77777777" w:rsidR="00AD693F" w:rsidRPr="00A35A1F" w:rsidRDefault="00AD693F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Numărul de persoane instruite, dintre care % sunt femei</w:t>
            </w:r>
            <w:r w:rsidRPr="00A35A1F">
              <w:rPr>
                <w:sz w:val="28"/>
                <w:szCs w:val="28"/>
                <w:lang w:val="ro-RO"/>
              </w:rPr>
              <w:br/>
            </w:r>
          </w:p>
        </w:tc>
      </w:tr>
      <w:tr w:rsidR="00A35A1F" w:rsidRPr="00A35A1F" w14:paraId="07197D38" w14:textId="77777777" w:rsidTr="00F91376">
        <w:tc>
          <w:tcPr>
            <w:tcW w:w="3938" w:type="dxa"/>
            <w:shd w:val="clear" w:color="auto" w:fill="auto"/>
          </w:tcPr>
          <w:p w14:paraId="3BD15B7B" w14:textId="77777777" w:rsidR="00AD693F" w:rsidRPr="00A35A1F" w:rsidRDefault="00AD693F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Îmbunătățirea calității apei potabile</w:t>
            </w:r>
          </w:p>
        </w:tc>
        <w:tc>
          <w:tcPr>
            <w:tcW w:w="6052" w:type="dxa"/>
            <w:shd w:val="clear" w:color="auto" w:fill="auto"/>
          </w:tcPr>
          <w:p w14:paraId="69AF59EB" w14:textId="77777777" w:rsidR="00AD693F" w:rsidRPr="00A35A1F" w:rsidRDefault="00AD693F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Procentul populației cu acces la apă potabilă de calitate</w:t>
            </w:r>
          </w:p>
        </w:tc>
      </w:tr>
      <w:tr w:rsidR="00A35A1F" w:rsidRPr="00A35A1F" w14:paraId="0C8C98E8" w14:textId="77777777" w:rsidTr="00F91376">
        <w:tc>
          <w:tcPr>
            <w:tcW w:w="3938" w:type="dxa"/>
            <w:shd w:val="clear" w:color="auto" w:fill="auto"/>
          </w:tcPr>
          <w:p w14:paraId="77E56F95" w14:textId="77777777" w:rsidR="00AD693F" w:rsidRPr="00A35A1F" w:rsidRDefault="00AD693F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Revederea standardelor și regulamentelor privind construcția drumurilor</w:t>
            </w:r>
          </w:p>
        </w:tc>
        <w:tc>
          <w:tcPr>
            <w:tcW w:w="6052" w:type="dxa"/>
            <w:shd w:val="clear" w:color="auto" w:fill="auto"/>
          </w:tcPr>
          <w:p w14:paraId="37F6A7B5" w14:textId="33A97BC3" w:rsidR="00AD693F" w:rsidRPr="00A35A1F" w:rsidRDefault="00AD693F" w:rsidP="00AD693F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Numărul de reglementări privind construcția drumurilor care integrează aspecte de adaptare</w:t>
            </w:r>
            <w:r w:rsidR="00400D73" w:rsidRPr="00A35A1F">
              <w:rPr>
                <w:sz w:val="28"/>
                <w:szCs w:val="28"/>
                <w:lang w:val="ro-RO"/>
              </w:rPr>
              <w:t xml:space="preserve"> la schimbările climatice</w:t>
            </w:r>
            <w:r w:rsidRPr="00A35A1F">
              <w:rPr>
                <w:sz w:val="28"/>
                <w:szCs w:val="28"/>
                <w:lang w:val="ro-RO"/>
              </w:rPr>
              <w:br/>
            </w:r>
          </w:p>
        </w:tc>
      </w:tr>
      <w:tr w:rsidR="00A35A1F" w:rsidRPr="00A35A1F" w14:paraId="3C4A52F0" w14:textId="77777777" w:rsidTr="00F91376">
        <w:tc>
          <w:tcPr>
            <w:tcW w:w="3938" w:type="dxa"/>
            <w:shd w:val="clear" w:color="auto" w:fill="auto"/>
          </w:tcPr>
          <w:p w14:paraId="08D2C112" w14:textId="7724D32B" w:rsidR="00AD693F" w:rsidRPr="00A35A1F" w:rsidRDefault="00AD693F" w:rsidP="00AD693F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Distribuirea de echipamente de irigare prin picurare în rîndul producătorilor de culturi vegetale</w:t>
            </w:r>
          </w:p>
        </w:tc>
        <w:tc>
          <w:tcPr>
            <w:tcW w:w="6052" w:type="dxa"/>
            <w:shd w:val="clear" w:color="auto" w:fill="auto"/>
          </w:tcPr>
          <w:p w14:paraId="18457947" w14:textId="77777777" w:rsidR="00AD693F" w:rsidRPr="00A35A1F" w:rsidRDefault="00AD693F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Numărul producătorilor de produse vegetale care utilizează echipamente de irigare prin picurare.</w:t>
            </w:r>
          </w:p>
        </w:tc>
      </w:tr>
    </w:tbl>
    <w:p w14:paraId="134D183F" w14:textId="77777777" w:rsidR="00AD693F" w:rsidRPr="00A35A1F" w:rsidRDefault="00AD693F" w:rsidP="00AD693F">
      <w:pPr>
        <w:tabs>
          <w:tab w:val="left" w:pos="540"/>
          <w:tab w:val="left" w:pos="900"/>
        </w:tabs>
        <w:ind w:left="90"/>
        <w:jc w:val="both"/>
        <w:rPr>
          <w:sz w:val="28"/>
          <w:szCs w:val="28"/>
          <w:shd w:val="clear" w:color="auto" w:fill="FFFFFF"/>
          <w:lang w:val="pt-PT"/>
        </w:rPr>
      </w:pPr>
    </w:p>
    <w:p w14:paraId="14DCB650" w14:textId="0FAEBE19" w:rsidR="000D0B0C" w:rsidRPr="00A35A1F" w:rsidRDefault="00F0134C" w:rsidP="000D0B0C">
      <w:pPr>
        <w:pStyle w:val="NormalIndent"/>
        <w:numPr>
          <w:ilvl w:val="0"/>
          <w:numId w:val="8"/>
        </w:numPr>
        <w:tabs>
          <w:tab w:val="left" w:pos="1440"/>
        </w:tabs>
        <w:spacing w:before="12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35A1F">
        <w:rPr>
          <w:rFonts w:ascii="Times New Roman" w:hAnsi="Times New Roman"/>
          <w:sz w:val="28"/>
          <w:szCs w:val="28"/>
        </w:rPr>
        <w:t>Indicatori de  consecințe</w:t>
      </w:r>
      <w:r w:rsidR="00400D73" w:rsidRPr="00A35A1F">
        <w:rPr>
          <w:rFonts w:ascii="Times New Roman" w:hAnsi="Times New Roman"/>
          <w:sz w:val="28"/>
          <w:szCs w:val="28"/>
        </w:rPr>
        <w:t xml:space="preserve"> (Tabelul 3) –</w:t>
      </w:r>
      <w:r w:rsidRPr="00A35A1F">
        <w:rPr>
          <w:rFonts w:ascii="Times New Roman" w:hAnsi="Times New Roman"/>
          <w:sz w:val="28"/>
          <w:szCs w:val="28"/>
        </w:rPr>
        <w:t xml:space="preserve"> </w:t>
      </w:r>
      <w:r w:rsidRPr="00A35A1F">
        <w:rPr>
          <w:rFonts w:ascii="Times New Roman" w:hAnsi="Times New Roman"/>
          <w:sz w:val="28"/>
          <w:szCs w:val="28"/>
          <w:shd w:val="clear" w:color="auto" w:fill="FFFFFF"/>
        </w:rPr>
        <w:t>măsoară</w:t>
      </w:r>
      <w:r w:rsidR="00400D73" w:rsidRPr="00A35A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35A1F">
        <w:rPr>
          <w:rFonts w:ascii="Times New Roman" w:hAnsi="Times New Roman"/>
          <w:sz w:val="28"/>
          <w:szCs w:val="28"/>
          <w:shd w:val="clear" w:color="auto" w:fill="FFFFFF"/>
        </w:rPr>
        <w:t>rezultatul global al PSA sau PAI privind reducerea vulnerabilității sectoriale</w:t>
      </w:r>
      <w:r w:rsidR="00400D73" w:rsidRPr="00A35A1F">
        <w:rPr>
          <w:rFonts w:ascii="Times New Roman" w:hAnsi="Times New Roman"/>
          <w:sz w:val="28"/>
          <w:szCs w:val="28"/>
        </w:rPr>
        <w:t xml:space="preserve"> și adaptarea la schimbările climatice. </w:t>
      </w:r>
    </w:p>
    <w:p w14:paraId="3DBF88BE" w14:textId="77EDBBAF" w:rsidR="000D0B0C" w:rsidRPr="00A35A1F" w:rsidRDefault="000D0B0C" w:rsidP="000D0B0C">
      <w:pPr>
        <w:pStyle w:val="NormalIndent"/>
        <w:tabs>
          <w:tab w:val="left" w:pos="1440"/>
        </w:tabs>
        <w:spacing w:before="120" w:line="240" w:lineRule="auto"/>
        <w:ind w:left="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A35A1F">
        <w:rPr>
          <w:rFonts w:ascii="Times New Roman" w:hAnsi="Times New Roman"/>
          <w:i/>
          <w:sz w:val="28"/>
          <w:szCs w:val="28"/>
        </w:rPr>
        <w:t>Tabelul 4: Indicatori tematici</w:t>
      </w:r>
    </w:p>
    <w:tbl>
      <w:tblPr>
        <w:tblW w:w="4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5328"/>
      </w:tblGrid>
      <w:tr w:rsidR="00A35A1F" w:rsidRPr="00A35A1F" w14:paraId="4FF9D4AA" w14:textId="77777777" w:rsidTr="00F91376">
        <w:tc>
          <w:tcPr>
            <w:tcW w:w="2093" w:type="pct"/>
            <w:shd w:val="clear" w:color="auto" w:fill="4F81BD"/>
          </w:tcPr>
          <w:p w14:paraId="419788A2" w14:textId="77777777" w:rsidR="00400D73" w:rsidRPr="00A35A1F" w:rsidRDefault="00400D73" w:rsidP="00F9137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 xml:space="preserve">Indicatori  tematici </w:t>
            </w:r>
          </w:p>
        </w:tc>
        <w:tc>
          <w:tcPr>
            <w:tcW w:w="2907" w:type="pct"/>
            <w:shd w:val="clear" w:color="auto" w:fill="4F81BD"/>
          </w:tcPr>
          <w:p w14:paraId="6D617CB3" w14:textId="77777777" w:rsidR="00400D73" w:rsidRPr="00A35A1F" w:rsidRDefault="00400D73" w:rsidP="00F91376">
            <w:pPr>
              <w:spacing w:line="276" w:lineRule="auto"/>
              <w:ind w:left="360"/>
              <w:contextualSpacing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>Mijloace de verificare</w:t>
            </w:r>
          </w:p>
        </w:tc>
      </w:tr>
      <w:tr w:rsidR="00A35A1F" w:rsidRPr="00A35A1F" w14:paraId="699A56F1" w14:textId="77777777" w:rsidTr="00F91376">
        <w:tc>
          <w:tcPr>
            <w:tcW w:w="2093" w:type="pct"/>
            <w:shd w:val="clear" w:color="auto" w:fill="auto"/>
          </w:tcPr>
          <w:p w14:paraId="3E605E7E" w14:textId="77777777" w:rsidR="00400D73" w:rsidRPr="00A35A1F" w:rsidRDefault="00400D73" w:rsidP="00F91376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lastRenderedPageBreak/>
              <w:t>Randamentul mediu al culturilor pentru produsele-cheie</w:t>
            </w:r>
          </w:p>
        </w:tc>
        <w:tc>
          <w:tcPr>
            <w:tcW w:w="2907" w:type="pct"/>
            <w:shd w:val="clear" w:color="auto" w:fill="auto"/>
          </w:tcPr>
          <w:p w14:paraId="1215CE5C" w14:textId="77777777" w:rsidR="00400D73" w:rsidRPr="00A35A1F" w:rsidRDefault="00400D73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Măsurări directe ale recoltei globale pe principalele culturi,  la 1 ha de suprafață recoltată</w:t>
            </w:r>
          </w:p>
        </w:tc>
      </w:tr>
      <w:tr w:rsidR="00A35A1F" w:rsidRPr="00A35A1F" w14:paraId="449F750B" w14:textId="77777777" w:rsidTr="00F91376">
        <w:tc>
          <w:tcPr>
            <w:tcW w:w="2093" w:type="pct"/>
            <w:shd w:val="clear" w:color="auto" w:fill="auto"/>
          </w:tcPr>
          <w:p w14:paraId="61064C3E" w14:textId="77777777" w:rsidR="00400D73" w:rsidRPr="00A35A1F" w:rsidRDefault="00400D73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Consumul de apă în agricultură</w:t>
            </w:r>
          </w:p>
        </w:tc>
        <w:tc>
          <w:tcPr>
            <w:tcW w:w="2907" w:type="pct"/>
            <w:shd w:val="clear" w:color="auto" w:fill="auto"/>
          </w:tcPr>
          <w:p w14:paraId="49A7C78E" w14:textId="73888FD0" w:rsidR="00400D73" w:rsidRPr="00A35A1F" w:rsidRDefault="00400D73" w:rsidP="00400D73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E</w:t>
            </w:r>
            <w:r w:rsidR="00F72273" w:rsidRPr="00A35A1F">
              <w:rPr>
                <w:sz w:val="28"/>
                <w:szCs w:val="28"/>
                <w:lang w:val="ro-RO"/>
              </w:rPr>
              <w:t>valua</w:t>
            </w:r>
            <w:r w:rsidRPr="00A35A1F">
              <w:rPr>
                <w:sz w:val="28"/>
                <w:szCs w:val="28"/>
                <w:lang w:val="ro-RO"/>
              </w:rPr>
              <w:t>rea apei utilizate în producția agricolă</w:t>
            </w:r>
          </w:p>
        </w:tc>
      </w:tr>
      <w:tr w:rsidR="00A35A1F" w:rsidRPr="00A35A1F" w14:paraId="2F1E890C" w14:textId="77777777" w:rsidTr="00F91376">
        <w:tc>
          <w:tcPr>
            <w:tcW w:w="2093" w:type="pct"/>
            <w:shd w:val="clear" w:color="auto" w:fill="auto"/>
          </w:tcPr>
          <w:p w14:paraId="3459F466" w14:textId="77777777" w:rsidR="00400D73" w:rsidRPr="00A35A1F" w:rsidRDefault="00400D73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 xml:space="preserve">Procentul de terenuri acoperite de păduri  </w:t>
            </w:r>
          </w:p>
        </w:tc>
        <w:tc>
          <w:tcPr>
            <w:tcW w:w="2907" w:type="pct"/>
            <w:shd w:val="clear" w:color="auto" w:fill="auto"/>
          </w:tcPr>
          <w:p w14:paraId="7A01B8E1" w14:textId="77777777" w:rsidR="00400D73" w:rsidRPr="00A35A1F" w:rsidRDefault="00400D73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Observarea directă prin intermediul rețelei forestiere și a imaginilor GIS / satelit</w:t>
            </w:r>
          </w:p>
        </w:tc>
      </w:tr>
      <w:tr w:rsidR="00A35A1F" w:rsidRPr="00A35A1F" w14:paraId="50B6EA8B" w14:textId="77777777" w:rsidTr="00F91376">
        <w:tc>
          <w:tcPr>
            <w:tcW w:w="2093" w:type="pct"/>
            <w:shd w:val="clear" w:color="auto" w:fill="auto"/>
          </w:tcPr>
          <w:p w14:paraId="417C6E32" w14:textId="77777777" w:rsidR="00400D73" w:rsidRPr="00A35A1F" w:rsidRDefault="00400D73" w:rsidP="00F91376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Procentul de energie din surse regenerabile</w:t>
            </w:r>
          </w:p>
        </w:tc>
        <w:tc>
          <w:tcPr>
            <w:tcW w:w="2907" w:type="pct"/>
            <w:shd w:val="clear" w:color="auto" w:fill="auto"/>
          </w:tcPr>
          <w:p w14:paraId="5D9C5006" w14:textId="77777777" w:rsidR="00400D73" w:rsidRPr="00A35A1F" w:rsidRDefault="00400D73" w:rsidP="00F91376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Observarea directă prin intermediul sistemelor de aprovizionare cu energie.</w:t>
            </w:r>
          </w:p>
        </w:tc>
      </w:tr>
    </w:tbl>
    <w:p w14:paraId="09273E26" w14:textId="77777777" w:rsidR="002419B7" w:rsidRPr="00A35A1F" w:rsidRDefault="002419B7" w:rsidP="00400D73">
      <w:pPr>
        <w:tabs>
          <w:tab w:val="left" w:pos="1260"/>
        </w:tabs>
        <w:jc w:val="both"/>
        <w:rPr>
          <w:sz w:val="28"/>
          <w:szCs w:val="28"/>
          <w:lang w:val="pt-PT"/>
        </w:rPr>
      </w:pPr>
    </w:p>
    <w:p w14:paraId="3E6FEFC4" w14:textId="3FBC89E3" w:rsidR="000D0B0C" w:rsidRPr="00A35A1F" w:rsidRDefault="00F0134C" w:rsidP="000D0B0C">
      <w:pPr>
        <w:pStyle w:val="ListParagraph"/>
        <w:numPr>
          <w:ilvl w:val="0"/>
          <w:numId w:val="8"/>
        </w:numPr>
        <w:tabs>
          <w:tab w:val="left" w:pos="1260"/>
        </w:tabs>
        <w:spacing w:line="240" w:lineRule="auto"/>
        <w:ind w:left="0" w:firstLine="547"/>
        <w:jc w:val="both"/>
        <w:rPr>
          <w:lang w:val="pt-PT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Indicatori de obiective</w:t>
      </w:r>
      <w:r w:rsidR="00400D73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(Tabelul 4) –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indicatori</w:t>
      </w:r>
      <w:r w:rsidR="00400D73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concepuți pentru măsurarea rezultatului agregat al cadrului de adaptare național, privitor la impactul asupra vulnerabilității economiei moldovenești și progresele în adaptare.</w:t>
      </w:r>
      <w:r w:rsidR="000D0B0C" w:rsidRPr="00A35A1F">
        <w:rPr>
          <w:rFonts w:ascii="Times New Roman" w:hAnsi="Times New Roman"/>
          <w:sz w:val="28"/>
          <w:szCs w:val="28"/>
          <w:lang w:val="pt-PT" w:eastAsia="ru-RU"/>
        </w:rPr>
        <w:t xml:space="preserve"> Aceștia asigură măsurarea ratei de realizare a obiect</w:t>
      </w:r>
      <w:r w:rsidR="00F72273" w:rsidRPr="00A35A1F">
        <w:rPr>
          <w:rFonts w:ascii="Times New Roman" w:hAnsi="Times New Roman"/>
          <w:sz w:val="28"/>
          <w:szCs w:val="28"/>
          <w:lang w:val="pt-PT" w:eastAsia="ru-RU"/>
        </w:rPr>
        <w:t xml:space="preserve">ivelor de adaptare și nivelul </w:t>
      </w:r>
      <w:r w:rsidR="000D0B0C" w:rsidRPr="00A35A1F">
        <w:rPr>
          <w:rFonts w:ascii="Times New Roman" w:hAnsi="Times New Roman"/>
          <w:sz w:val="28"/>
          <w:szCs w:val="28"/>
          <w:lang w:val="pt-PT" w:eastAsia="ru-RU"/>
        </w:rPr>
        <w:t xml:space="preserve"> de creștere a rezilienței țării ca rezultat al implementării PNA,  PSA și PAI.  </w:t>
      </w:r>
    </w:p>
    <w:p w14:paraId="6D20D403" w14:textId="0372CBE6" w:rsidR="00F0134C" w:rsidRPr="00A35A1F" w:rsidRDefault="000D0B0C" w:rsidP="000D0B0C">
      <w:pPr>
        <w:tabs>
          <w:tab w:val="left" w:pos="1260"/>
        </w:tabs>
        <w:jc w:val="both"/>
        <w:rPr>
          <w:rFonts w:ascii="Calibri" w:hAnsi="Calibri" w:cs="Calibri"/>
          <w:i/>
          <w:sz w:val="28"/>
          <w:szCs w:val="28"/>
          <w:lang w:val="pt-PT"/>
        </w:rPr>
      </w:pPr>
      <w:r w:rsidRPr="00A35A1F">
        <w:rPr>
          <w:i/>
          <w:sz w:val="28"/>
          <w:szCs w:val="28"/>
          <w:lang w:val="pt-PT"/>
        </w:rPr>
        <w:t>Tabelul 4: Indicatori de obiective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907"/>
      </w:tblGrid>
      <w:tr w:rsidR="00A35A1F" w:rsidRPr="00A35A1F" w14:paraId="59DDB87A" w14:textId="77777777" w:rsidTr="00892C47">
        <w:tc>
          <w:tcPr>
            <w:tcW w:w="4680" w:type="dxa"/>
            <w:shd w:val="clear" w:color="auto" w:fill="4F81BD"/>
          </w:tcPr>
          <w:p w14:paraId="1F726370" w14:textId="77777777" w:rsidR="00F0134C" w:rsidRPr="00A35A1F" w:rsidRDefault="00F0134C" w:rsidP="00892C47">
            <w:pPr>
              <w:spacing w:before="200" w:after="200"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>Indicatori  de obiectiv</w:t>
            </w:r>
          </w:p>
        </w:tc>
        <w:tc>
          <w:tcPr>
            <w:tcW w:w="5310" w:type="dxa"/>
            <w:shd w:val="clear" w:color="auto" w:fill="4F81BD"/>
          </w:tcPr>
          <w:p w14:paraId="025D8C58" w14:textId="77777777" w:rsidR="00F0134C" w:rsidRPr="00A35A1F" w:rsidRDefault="00F0134C" w:rsidP="00892C47">
            <w:pPr>
              <w:spacing w:before="200" w:after="200" w:line="276" w:lineRule="auto"/>
              <w:ind w:left="360"/>
              <w:contextualSpacing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/>
                <w:bCs/>
                <w:sz w:val="28"/>
                <w:szCs w:val="28"/>
                <w:lang w:val="ro-RO"/>
              </w:rPr>
              <w:t>Mijloace de verificare</w:t>
            </w:r>
          </w:p>
        </w:tc>
      </w:tr>
      <w:tr w:rsidR="00A35A1F" w:rsidRPr="00A35A1F" w14:paraId="48C25E44" w14:textId="77777777" w:rsidTr="00892C47">
        <w:tc>
          <w:tcPr>
            <w:tcW w:w="4680" w:type="dxa"/>
            <w:shd w:val="clear" w:color="auto" w:fill="auto"/>
          </w:tcPr>
          <w:p w14:paraId="29FAF61E" w14:textId="77777777" w:rsidR="00F0134C" w:rsidRPr="00A35A1F" w:rsidRDefault="00F0134C" w:rsidP="00892C47">
            <w:pPr>
              <w:spacing w:line="276" w:lineRule="auto"/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Gradul în care creșterea economică și reducerea sărăciei sunt afectate sau restricționate negativ de variabilitatea climei și de schimbările climatice</w:t>
            </w:r>
          </w:p>
        </w:tc>
        <w:tc>
          <w:tcPr>
            <w:tcW w:w="5310" w:type="dxa"/>
            <w:shd w:val="clear" w:color="auto" w:fill="auto"/>
          </w:tcPr>
          <w:p w14:paraId="1BC0A68E" w14:textId="16828B1A" w:rsidR="00F0134C" w:rsidRPr="00A35A1F" w:rsidRDefault="00F0134C" w:rsidP="001C092C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>Autoevaluarea transectorială bazată pe un sistem de rating de la nivel jos p</w:t>
            </w:r>
            <w:r w:rsidR="000D0B0C" w:rsidRPr="00A35A1F">
              <w:rPr>
                <w:sz w:val="28"/>
                <w:szCs w:val="28"/>
                <w:lang w:val="ro-RO"/>
              </w:rPr>
              <w:t>î</w:t>
            </w:r>
            <w:r w:rsidRPr="00A35A1F">
              <w:rPr>
                <w:sz w:val="28"/>
                <w:szCs w:val="28"/>
                <w:lang w:val="ro-RO"/>
              </w:rPr>
              <w:t xml:space="preserve">nă la nivel extrem de înalt. </w:t>
            </w:r>
          </w:p>
        </w:tc>
      </w:tr>
      <w:tr w:rsidR="00F0134C" w:rsidRPr="00A35A1F" w14:paraId="2899D24C" w14:textId="77777777" w:rsidTr="00892C47">
        <w:tc>
          <w:tcPr>
            <w:tcW w:w="4680" w:type="dxa"/>
            <w:shd w:val="clear" w:color="auto" w:fill="auto"/>
          </w:tcPr>
          <w:p w14:paraId="63A737E2" w14:textId="77777777" w:rsidR="00F0134C" w:rsidRPr="00A35A1F" w:rsidRDefault="00F0134C" w:rsidP="00892C47">
            <w:pPr>
              <w:rPr>
                <w:b/>
                <w:bCs/>
                <w:sz w:val="28"/>
                <w:szCs w:val="28"/>
                <w:lang w:val="ro-RO"/>
              </w:rPr>
            </w:pPr>
            <w:r w:rsidRPr="00A35A1F">
              <w:rPr>
                <w:bCs/>
                <w:sz w:val="28"/>
                <w:szCs w:val="28"/>
                <w:lang w:val="ro-RO"/>
              </w:rPr>
              <w:t>Valoarea impactului economic datorat schimbărilor climatice / variabilității climei.</w:t>
            </w:r>
          </w:p>
        </w:tc>
        <w:tc>
          <w:tcPr>
            <w:tcW w:w="5310" w:type="dxa"/>
            <w:shd w:val="clear" w:color="auto" w:fill="auto"/>
          </w:tcPr>
          <w:p w14:paraId="2117C97F" w14:textId="63F045C7" w:rsidR="00F0134C" w:rsidRPr="00A35A1F" w:rsidRDefault="00F0134C" w:rsidP="008273B5">
            <w:pPr>
              <w:rPr>
                <w:sz w:val="28"/>
                <w:szCs w:val="28"/>
                <w:lang w:val="ro-RO"/>
              </w:rPr>
            </w:pPr>
            <w:r w:rsidRPr="00A35A1F">
              <w:rPr>
                <w:sz w:val="28"/>
                <w:szCs w:val="28"/>
                <w:lang w:val="ro-RO"/>
              </w:rPr>
              <w:t xml:space="preserve">Valoarea </w:t>
            </w:r>
            <w:r w:rsidR="000D0B0C" w:rsidRPr="00A35A1F">
              <w:rPr>
                <w:sz w:val="28"/>
                <w:szCs w:val="28"/>
                <w:lang w:val="ro-RO"/>
              </w:rPr>
              <w:t>monetară a pierderilor s</w:t>
            </w:r>
            <w:r w:rsidRPr="00A35A1F">
              <w:rPr>
                <w:sz w:val="28"/>
                <w:szCs w:val="28"/>
                <w:lang w:val="ro-RO"/>
              </w:rPr>
              <w:t>au pierderile</w:t>
            </w:r>
            <w:r w:rsidR="00F72273" w:rsidRPr="00A35A1F">
              <w:rPr>
                <w:sz w:val="28"/>
                <w:szCs w:val="28"/>
                <w:lang w:val="ro-RO"/>
              </w:rPr>
              <w:t xml:space="preserve"> (bianual</w:t>
            </w:r>
            <w:r w:rsidR="000D0B0C" w:rsidRPr="00A35A1F">
              <w:rPr>
                <w:sz w:val="28"/>
                <w:szCs w:val="28"/>
                <w:lang w:val="ro-RO"/>
              </w:rPr>
              <w:t>)</w:t>
            </w:r>
            <w:r w:rsidRPr="00A35A1F">
              <w:rPr>
                <w:sz w:val="28"/>
                <w:szCs w:val="28"/>
                <w:lang w:val="ro-RO"/>
              </w:rPr>
              <w:t xml:space="preserve"> în % din PIB</w:t>
            </w:r>
            <w:r w:rsidR="000D0B0C" w:rsidRPr="00A35A1F">
              <w:rPr>
                <w:sz w:val="28"/>
                <w:szCs w:val="28"/>
                <w:lang w:val="ro-RO"/>
              </w:rPr>
              <w:t xml:space="preserve"> (</w:t>
            </w:r>
            <w:r w:rsidRPr="00A35A1F">
              <w:rPr>
                <w:sz w:val="28"/>
                <w:szCs w:val="28"/>
                <w:lang w:val="ro-RO"/>
              </w:rPr>
              <w:t>bianual</w:t>
            </w:r>
            <w:r w:rsidR="000D0B0C" w:rsidRPr="00A35A1F">
              <w:rPr>
                <w:sz w:val="28"/>
                <w:szCs w:val="28"/>
                <w:lang w:val="ro-RO"/>
              </w:rPr>
              <w:t>)</w:t>
            </w:r>
            <w:r w:rsidRPr="00A35A1F">
              <w:rPr>
                <w:sz w:val="28"/>
                <w:szCs w:val="28"/>
                <w:lang w:val="ro-RO"/>
              </w:rPr>
              <w:t>.</w:t>
            </w:r>
          </w:p>
        </w:tc>
      </w:tr>
    </w:tbl>
    <w:p w14:paraId="30257A30" w14:textId="77777777" w:rsidR="00F0134C" w:rsidRPr="00A35A1F" w:rsidRDefault="00F0134C" w:rsidP="00F0134C">
      <w:pPr>
        <w:ind w:firstLine="708"/>
        <w:jc w:val="both"/>
        <w:rPr>
          <w:sz w:val="28"/>
          <w:szCs w:val="28"/>
          <w:lang w:val="ro-RO"/>
        </w:rPr>
      </w:pPr>
    </w:p>
    <w:p w14:paraId="4D3F2EE5" w14:textId="593239D2" w:rsidR="000744CD" w:rsidRPr="00A35A1F" w:rsidRDefault="000744CD" w:rsidP="000D0B0C">
      <w:pPr>
        <w:pStyle w:val="ListParagraph"/>
        <w:numPr>
          <w:ilvl w:val="0"/>
          <w:numId w:val="1"/>
        </w:numPr>
        <w:tabs>
          <w:tab w:val="left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Pentru fiecare indicator este elaborată fișa indicatorului. </w:t>
      </w:r>
    </w:p>
    <w:p w14:paraId="28CD4F57" w14:textId="116AD32C" w:rsidR="00F0134C" w:rsidRPr="00A35A1F" w:rsidRDefault="00F0134C" w:rsidP="000D0B0C">
      <w:pPr>
        <w:pStyle w:val="ListParagraph"/>
        <w:numPr>
          <w:ilvl w:val="0"/>
          <w:numId w:val="1"/>
        </w:numPr>
        <w:tabs>
          <w:tab w:val="left" w:pos="126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Cadrul de monitorizare și evaluare 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 adaptării la schimbările climatice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presupune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efectuarea</w:t>
      </w:r>
      <w:r w:rsidR="00F72273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monitorizării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în baza a 3 niveluri:</w:t>
      </w:r>
    </w:p>
    <w:p w14:paraId="34FCEBB9" w14:textId="77777777" w:rsidR="000744CD" w:rsidRPr="00A35A1F" w:rsidRDefault="00F0134C" w:rsidP="000744CD">
      <w:pPr>
        <w:pStyle w:val="ListParagraph"/>
        <w:numPr>
          <w:ilvl w:val="0"/>
          <w:numId w:val="11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Monitorizarea la nivel micro</w:t>
      </w:r>
      <w:r w:rsidR="000A7463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="000A7463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vi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zează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evaluarea rezultatelor de adaptare 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obținute de pe urma implementării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acțiunilor 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>de adaptare î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n cadrul sectoarelor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în bază de proiecte, programe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Raportarea la acest nivel se face prin 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ndicatorii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rezultat, formulați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în PSA.</w:t>
      </w:r>
    </w:p>
    <w:p w14:paraId="6BDA6B07" w14:textId="77777777" w:rsidR="000744CD" w:rsidRPr="00A35A1F" w:rsidRDefault="00F0134C" w:rsidP="000744CD">
      <w:pPr>
        <w:pStyle w:val="ListParagraph"/>
        <w:numPr>
          <w:ilvl w:val="0"/>
          <w:numId w:val="11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Monitorizarea la nivel mediu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–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permite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urmărirea progresului adaptării la nivel de sector sau teritorial-geografic (de exemplu regional)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>. A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cest nivel 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>de monitorizare este b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azat pe agregarea informațiilor din sector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permite urmărirea eficienței procesului de planificare a adaptării, precum și măsura în care au fost redus</w:t>
      </w:r>
      <w:r w:rsidR="00030A32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e vulnerabilitățile sectoriale,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cadrul de abilitare (condițiile regulatorii - legislative) ale implementării acțiunilor de adaptare.</w:t>
      </w:r>
      <w:r w:rsidR="00FA1901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Acest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nivel de monitorizare</w:t>
      </w:r>
      <w:r w:rsidR="00FA1901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se face prin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indicatorii </w:t>
      </w:r>
      <w:r w:rsidR="00FA1901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determinanți,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de consecințe și cei de rezultat</w:t>
      </w:r>
      <w:r w:rsidR="00FA1901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E268428" w14:textId="7FC22DF1" w:rsidR="000744CD" w:rsidRPr="00A35A1F" w:rsidRDefault="00F0134C" w:rsidP="000744CD">
      <w:pPr>
        <w:pStyle w:val="ListParagraph"/>
        <w:numPr>
          <w:ilvl w:val="0"/>
          <w:numId w:val="11"/>
        </w:numPr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lastRenderedPageBreak/>
        <w:t>Monitorizarea la nivel macro</w:t>
      </w:r>
      <w:r w:rsidR="00FA1901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–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permite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urmărirea evoluției proces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>ului de planificare națională privind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adaptare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>a la schimbările climatice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>Monitorizarea la nivel macro se face prin intermediul indicatorilor de</w:t>
      </w:r>
      <w:r w:rsidR="001C092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obiective</w:t>
      </w:r>
      <w:r w:rsidR="000744CD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920E4BE" w14:textId="77777777" w:rsidR="000744CD" w:rsidRPr="00A35A1F" w:rsidRDefault="000744CD" w:rsidP="000744CD">
      <w:pPr>
        <w:pStyle w:val="ListParagraph"/>
        <w:numPr>
          <w:ilvl w:val="0"/>
          <w:numId w:val="1"/>
        </w:numPr>
        <w:tabs>
          <w:tab w:val="left" w:pos="360"/>
          <w:tab w:val="left" w:pos="12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aportarea datelor în bază de indicatori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se face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conform termenului specificat în fișele indicatorilor în baza următoarelor etape de monitorizare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0F98B627" w14:textId="77777777" w:rsidR="000744CD" w:rsidRPr="00A35A1F" w:rsidRDefault="000744CD" w:rsidP="00EC49BA">
      <w:pPr>
        <w:pStyle w:val="ListParagraph"/>
        <w:numPr>
          <w:ilvl w:val="0"/>
          <w:numId w:val="12"/>
        </w:numPr>
        <w:tabs>
          <w:tab w:val="left" w:pos="360"/>
          <w:tab w:val="left" w:pos="1170"/>
          <w:tab w:val="left" w:pos="12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Monitorizarea la nivel micro –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anual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47EF592" w14:textId="77777777" w:rsidR="00EC49BA" w:rsidRPr="00A35A1F" w:rsidRDefault="000744CD" w:rsidP="00EC49BA">
      <w:pPr>
        <w:pStyle w:val="ListParagraph"/>
        <w:numPr>
          <w:ilvl w:val="0"/>
          <w:numId w:val="12"/>
        </w:numPr>
        <w:tabs>
          <w:tab w:val="left" w:pos="360"/>
          <w:tab w:val="left" w:pos="1170"/>
          <w:tab w:val="left" w:pos="12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Monitorizarea la nivel mediu –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anual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, o dată la 2 ani,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o dată la 4 ani (</w:t>
      </w:r>
      <w:r w:rsidR="00EC49BA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în dependență de termenul indicat în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fiș</w:t>
      </w:r>
      <w:r w:rsidR="00EC49BA" w:rsidRPr="00A35A1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indicator</w:t>
      </w:r>
      <w:r w:rsidR="00EC49BA" w:rsidRPr="00A35A1F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EC49BA" w:rsidRPr="00A35A1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F0F2E99" w14:textId="3EE57683" w:rsidR="00EC49BA" w:rsidRPr="00A35A1F" w:rsidRDefault="00EC49BA" w:rsidP="00EC49BA">
      <w:pPr>
        <w:pStyle w:val="ListParagraph"/>
        <w:numPr>
          <w:ilvl w:val="0"/>
          <w:numId w:val="12"/>
        </w:numPr>
        <w:tabs>
          <w:tab w:val="left" w:pos="360"/>
          <w:tab w:val="left" w:pos="1170"/>
          <w:tab w:val="left" w:pos="126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Monitorizarea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la nivel macro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–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o dată la 4 ani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9021591" w14:textId="57E2A721" w:rsidR="00593887" w:rsidRPr="00A35A1F" w:rsidRDefault="00EC49BA" w:rsidP="00F0134C">
      <w:pPr>
        <w:pStyle w:val="ListParagraph"/>
        <w:numPr>
          <w:ilvl w:val="0"/>
          <w:numId w:val="1"/>
        </w:numPr>
        <w:tabs>
          <w:tab w:val="left" w:pos="360"/>
          <w:tab w:val="left" w:pos="126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În scopul monitorizării standardizate </w:t>
      </w:r>
      <w:r w:rsidR="0073189B" w:rsidRPr="00A35A1F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implementării PNA, PSA și PAI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Secretariatul Comisiei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naționale va e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73189B" w:rsidRPr="00A35A1F">
        <w:rPr>
          <w:rFonts w:ascii="Times New Roman" w:hAnsi="Times New Roman" w:cs="Times New Roman"/>
          <w:sz w:val="28"/>
          <w:szCs w:val="28"/>
          <w:lang w:val="ro-RO"/>
        </w:rPr>
        <w:t>abora fișele indicatorilor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și formularele de raportare. Fișele indicatorilor și formularele de raportare sînt parte integrantă a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sistemului informațional de monitorizare, raportare și verificare în domeniul schimbărilor climatice. Secretariatul Comisiei naționale utilizează datele colectate prin sistemul informațional la co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mpilarea rapoartelor naționale de evaluare anuale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Acestea includ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informații privind progresul  implementării activităților de adaptare și rezultatele 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obținute. O dată în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4 ani 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Secretariatul Comisiei naționale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>elaborează rapoarte de evaluare și progres a activităților de adaptare la nivel de sector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care se integrează 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în raportul </w:t>
      </w:r>
      <w:r w:rsidR="00F0134C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național integrat. </w:t>
      </w:r>
    </w:p>
    <w:p w14:paraId="5C6206E7" w14:textId="2D329254" w:rsidR="00593887" w:rsidRPr="00A35A1F" w:rsidRDefault="00F0134C" w:rsidP="00F0134C">
      <w:pPr>
        <w:pStyle w:val="ListParagraph"/>
        <w:numPr>
          <w:ilvl w:val="0"/>
          <w:numId w:val="1"/>
        </w:numPr>
        <w:tabs>
          <w:tab w:val="left" w:pos="360"/>
          <w:tab w:val="left" w:pos="126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Experții Comite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tului tehnic participă la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evalua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rea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periodic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ă a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gradul</w:t>
      </w:r>
      <w:r w:rsidR="0073189B" w:rsidRPr="00A35A1F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de realizare a activităților de adaptare și obiectivelor strategice. </w:t>
      </w:r>
    </w:p>
    <w:p w14:paraId="629FC6A8" w14:textId="0824653B" w:rsidR="00593887" w:rsidRPr="00A35A1F" w:rsidRDefault="00F0134C" w:rsidP="00F0134C">
      <w:pPr>
        <w:pStyle w:val="ListParagraph"/>
        <w:numPr>
          <w:ilvl w:val="0"/>
          <w:numId w:val="1"/>
        </w:numPr>
        <w:tabs>
          <w:tab w:val="left" w:pos="360"/>
          <w:tab w:val="left" w:pos="126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Comisia națională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notifică  Guvernul cu privire la gradul </w:t>
      </w:r>
      <w:r w:rsidR="0073189B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realizare a obiectivelor de adaptare la schimbările climatice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DAA06F1" w14:textId="40222828" w:rsidR="00F0134C" w:rsidRPr="00A35A1F" w:rsidRDefault="00F0134C" w:rsidP="00F0134C">
      <w:pPr>
        <w:pStyle w:val="ListParagraph"/>
        <w:numPr>
          <w:ilvl w:val="0"/>
          <w:numId w:val="1"/>
        </w:numPr>
        <w:tabs>
          <w:tab w:val="left" w:pos="360"/>
          <w:tab w:val="left" w:pos="126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5A1F">
        <w:rPr>
          <w:rFonts w:ascii="Times New Roman" w:hAnsi="Times New Roman" w:cs="Times New Roman"/>
          <w:sz w:val="28"/>
          <w:szCs w:val="28"/>
          <w:lang w:val="ro-RO"/>
        </w:rPr>
        <w:t>Rapoartele de m</w:t>
      </w:r>
      <w:r w:rsidR="0073189B" w:rsidRPr="00A35A1F">
        <w:rPr>
          <w:rFonts w:ascii="Times New Roman" w:hAnsi="Times New Roman" w:cs="Times New Roman"/>
          <w:sz w:val="28"/>
          <w:szCs w:val="28"/>
          <w:lang w:val="ro-RO"/>
        </w:rPr>
        <w:t>onitorizare şi evaluare se prezi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>ntă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Guvernului și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3887" w:rsidRPr="00A35A1F">
        <w:rPr>
          <w:rFonts w:ascii="Times New Roman" w:hAnsi="Times New Roman" w:cs="Times New Roman"/>
          <w:sz w:val="28"/>
          <w:szCs w:val="28"/>
          <w:lang w:val="ro-RO"/>
        </w:rPr>
        <w:t>Comisiei P</w:t>
      </w:r>
      <w:r w:rsidRPr="00A35A1F">
        <w:rPr>
          <w:rFonts w:ascii="Times New Roman" w:hAnsi="Times New Roman" w:cs="Times New Roman"/>
          <w:sz w:val="28"/>
          <w:szCs w:val="28"/>
          <w:lang w:val="ro-RO"/>
        </w:rPr>
        <w:t xml:space="preserve">arlamentare de specialitate spre informare și servesc ca bază a raportării țării către CONUSC. </w:t>
      </w:r>
    </w:p>
    <w:p w14:paraId="2ED94503" w14:textId="77777777" w:rsidR="005A649C" w:rsidRPr="00A35A1F" w:rsidRDefault="005A649C">
      <w:pPr>
        <w:rPr>
          <w:lang w:val="ro-RO"/>
        </w:rPr>
      </w:pPr>
      <w:bookmarkStart w:id="1" w:name="_GoBack"/>
      <w:bookmarkEnd w:id="1"/>
    </w:p>
    <w:sectPr w:rsidR="005A649C" w:rsidRPr="00A35A1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C7C"/>
    <w:multiLevelType w:val="hybridMultilevel"/>
    <w:tmpl w:val="C8B2D596"/>
    <w:lvl w:ilvl="0" w:tplc="FE709B06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A03C16"/>
    <w:multiLevelType w:val="hybridMultilevel"/>
    <w:tmpl w:val="7A64DD7A"/>
    <w:lvl w:ilvl="0" w:tplc="73E22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A1229"/>
    <w:multiLevelType w:val="hybridMultilevel"/>
    <w:tmpl w:val="EFC60170"/>
    <w:lvl w:ilvl="0" w:tplc="1076DA4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34D2C"/>
    <w:multiLevelType w:val="hybridMultilevel"/>
    <w:tmpl w:val="29646AF2"/>
    <w:lvl w:ilvl="0" w:tplc="92DEE7A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0B7833"/>
    <w:multiLevelType w:val="hybridMultilevel"/>
    <w:tmpl w:val="D14CCB98"/>
    <w:lvl w:ilvl="0" w:tplc="B7FA7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14B6"/>
    <w:multiLevelType w:val="hybridMultilevel"/>
    <w:tmpl w:val="183C36B2"/>
    <w:lvl w:ilvl="0" w:tplc="F1B8B6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95F04"/>
    <w:multiLevelType w:val="hybridMultilevel"/>
    <w:tmpl w:val="E1AC1E1A"/>
    <w:lvl w:ilvl="0" w:tplc="0BBA5C1A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B27C3"/>
    <w:multiLevelType w:val="hybridMultilevel"/>
    <w:tmpl w:val="1DDCC944"/>
    <w:lvl w:ilvl="0" w:tplc="73E221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166A9"/>
    <w:multiLevelType w:val="hybridMultilevel"/>
    <w:tmpl w:val="6EC4C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D2AA3"/>
    <w:multiLevelType w:val="hybridMultilevel"/>
    <w:tmpl w:val="F0E8879C"/>
    <w:lvl w:ilvl="0" w:tplc="353A7D4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512F2B"/>
    <w:multiLevelType w:val="hybridMultilevel"/>
    <w:tmpl w:val="D220D00C"/>
    <w:lvl w:ilvl="0" w:tplc="D93215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52C817A">
      <w:start w:val="1"/>
      <w:numFmt w:val="decimal"/>
      <w:lvlText w:val="%2."/>
      <w:lvlJc w:val="left"/>
      <w:pPr>
        <w:ind w:left="163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89264B7"/>
    <w:multiLevelType w:val="hybridMultilevel"/>
    <w:tmpl w:val="0592E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F1"/>
    <w:rsid w:val="000131F5"/>
    <w:rsid w:val="00016089"/>
    <w:rsid w:val="00030A32"/>
    <w:rsid w:val="00054EFF"/>
    <w:rsid w:val="000622F2"/>
    <w:rsid w:val="000744CD"/>
    <w:rsid w:val="000A7463"/>
    <w:rsid w:val="000C10F4"/>
    <w:rsid w:val="000D0B0C"/>
    <w:rsid w:val="000F07B5"/>
    <w:rsid w:val="001C0605"/>
    <w:rsid w:val="001C092C"/>
    <w:rsid w:val="001F6FF1"/>
    <w:rsid w:val="002419B7"/>
    <w:rsid w:val="0030426C"/>
    <w:rsid w:val="00393530"/>
    <w:rsid w:val="003C6B96"/>
    <w:rsid w:val="00400D73"/>
    <w:rsid w:val="004420FB"/>
    <w:rsid w:val="00456315"/>
    <w:rsid w:val="004D2C14"/>
    <w:rsid w:val="004D3BC3"/>
    <w:rsid w:val="00552A8B"/>
    <w:rsid w:val="0055715A"/>
    <w:rsid w:val="00593887"/>
    <w:rsid w:val="005A649C"/>
    <w:rsid w:val="005C3D95"/>
    <w:rsid w:val="00663B80"/>
    <w:rsid w:val="006D223D"/>
    <w:rsid w:val="006F0429"/>
    <w:rsid w:val="00713A66"/>
    <w:rsid w:val="00727F21"/>
    <w:rsid w:val="0073189B"/>
    <w:rsid w:val="007B0920"/>
    <w:rsid w:val="007D647A"/>
    <w:rsid w:val="00821D0C"/>
    <w:rsid w:val="00824E80"/>
    <w:rsid w:val="008273B5"/>
    <w:rsid w:val="00832952"/>
    <w:rsid w:val="0085287E"/>
    <w:rsid w:val="00885B67"/>
    <w:rsid w:val="008A294E"/>
    <w:rsid w:val="0091070C"/>
    <w:rsid w:val="00965848"/>
    <w:rsid w:val="00A35A1F"/>
    <w:rsid w:val="00A546F9"/>
    <w:rsid w:val="00AD693F"/>
    <w:rsid w:val="00BE49AF"/>
    <w:rsid w:val="00BF21F1"/>
    <w:rsid w:val="00C75089"/>
    <w:rsid w:val="00C86DCC"/>
    <w:rsid w:val="00D971ED"/>
    <w:rsid w:val="00DA50D2"/>
    <w:rsid w:val="00E06275"/>
    <w:rsid w:val="00EC49BA"/>
    <w:rsid w:val="00ED2F2F"/>
    <w:rsid w:val="00F0134C"/>
    <w:rsid w:val="00F529C5"/>
    <w:rsid w:val="00F72273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56E6"/>
  <w15:chartTrackingRefBased/>
  <w15:docId w15:val="{ABB3AB24-4118-4D9B-8D1E-A6F178D8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01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link w:val="CaptionChar"/>
    <w:qFormat/>
    <w:rsid w:val="00F0134C"/>
    <w:pPr>
      <w:spacing w:before="120" w:after="120"/>
      <w:jc w:val="both"/>
    </w:pPr>
    <w:rPr>
      <w:rFonts w:ascii="Calibri" w:eastAsia="Calibri" w:hAnsi="Calibri" w:cs="Cordia New"/>
      <w:b/>
      <w:bCs/>
      <w:sz w:val="20"/>
      <w:szCs w:val="16"/>
      <w:lang w:val="ro-RO" w:eastAsia="en-US" w:bidi="th-TH"/>
    </w:rPr>
  </w:style>
  <w:style w:type="character" w:customStyle="1" w:styleId="CaptionChar">
    <w:name w:val="Caption Char"/>
    <w:link w:val="Caption"/>
    <w:locked/>
    <w:rsid w:val="00F0134C"/>
    <w:rPr>
      <w:rFonts w:ascii="Calibri" w:eastAsia="Calibri" w:hAnsi="Calibri" w:cs="Cordia New"/>
      <w:b/>
      <w:bCs/>
      <w:sz w:val="20"/>
      <w:szCs w:val="16"/>
      <w:lang w:val="ro-RO" w:bidi="th-TH"/>
    </w:rPr>
  </w:style>
  <w:style w:type="paragraph" w:styleId="ListParagraph">
    <w:name w:val="List Paragraph"/>
    <w:aliases w:val="List Paragraph1,List Paragraph (numbered (a)),WB Para,123 List Paragraph,Bullets,Main numbered paragraph,References,List_Paragraph,Multilevel para_II,Normal 2 DC,Numbered List Paragraph,Liste 1,ReferencesCxSpLast"/>
    <w:basedOn w:val="Normal"/>
    <w:link w:val="ListParagraphChar"/>
    <w:uiPriority w:val="34"/>
    <w:qFormat/>
    <w:rsid w:val="00F0134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1 Char,List Paragraph (numbered (a)) Char,WB Para Char,123 List Paragraph Char,Bullets Char,Main numbered paragraph Char,References Char,List_Paragraph Char,Multilevel para_II Char,Normal 2 DC Char,Liste 1 Char"/>
    <w:link w:val="ListParagraph"/>
    <w:uiPriority w:val="34"/>
    <w:locked/>
    <w:rsid w:val="00F0134C"/>
    <w:rPr>
      <w:rFonts w:ascii="Calibri" w:eastAsia="Calibri" w:hAnsi="Calibri" w:cs="Calibri"/>
      <w:lang w:val="en-US"/>
    </w:rPr>
  </w:style>
  <w:style w:type="paragraph" w:customStyle="1" w:styleId="bodytexten">
    <w:name w:val="body text en"/>
    <w:basedOn w:val="Normal"/>
    <w:autoRedefine/>
    <w:qFormat/>
    <w:rsid w:val="00F0134C"/>
    <w:pPr>
      <w:ind w:right="-1"/>
      <w:contextualSpacing/>
      <w:jc w:val="both"/>
    </w:pPr>
    <w:rPr>
      <w:bCs/>
      <w:color w:val="FFFFFF"/>
      <w:w w:val="92"/>
      <w:sz w:val="14"/>
      <w:szCs w:val="14"/>
      <w:lang w:val="ro-RO" w:eastAsia="ja-JP"/>
    </w:rPr>
  </w:style>
  <w:style w:type="paragraph" w:styleId="NormalIndent">
    <w:name w:val="Normal Indent"/>
    <w:basedOn w:val="Normal"/>
    <w:uiPriority w:val="12"/>
    <w:unhideWhenUsed/>
    <w:qFormat/>
    <w:rsid w:val="00F0134C"/>
    <w:pPr>
      <w:spacing w:before="240" w:after="120" w:line="268" w:lineRule="auto"/>
      <w:ind w:left="720"/>
      <w:contextualSpacing/>
    </w:pPr>
    <w:rPr>
      <w:rFonts w:ascii="Calibri" w:hAnsi="Calibri"/>
      <w:sz w:val="22"/>
      <w:szCs w:val="22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4C"/>
    <w:rPr>
      <w:rFonts w:ascii="Segoe UI" w:eastAsia="Times New Roman" w:hAnsi="Segoe UI" w:cs="Segoe UI"/>
      <w:sz w:val="18"/>
      <w:szCs w:val="1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4BDA-1FF7-468E-A87D-043952C7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2252</Words>
  <Characters>12842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Mediului al Republicii Moldova</Company>
  <LinksUpToDate>false</LinksUpToDate>
  <CharactersWithSpaces>15064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Lopotenco</dc:creator>
  <cp:keywords/>
  <dc:description/>
  <cp:lastModifiedBy>Veronica Lopotenco</cp:lastModifiedBy>
  <cp:revision>3</cp:revision>
  <dcterms:created xsi:type="dcterms:W3CDTF">2018-03-05T14:52:00Z</dcterms:created>
  <dcterms:modified xsi:type="dcterms:W3CDTF">2018-03-05T14:58:00Z</dcterms:modified>
</cp:coreProperties>
</file>