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835C4" w14:textId="77777777" w:rsidR="000A3539" w:rsidRPr="0007745E" w:rsidRDefault="000A3539" w:rsidP="000A3539">
      <w:pPr>
        <w:ind w:left="3600" w:firstLine="720"/>
        <w:jc w:val="right"/>
        <w:rPr>
          <w:lang w:val="ro-RO"/>
        </w:rPr>
      </w:pPr>
      <w:r w:rsidRPr="0007745E">
        <w:rPr>
          <w:lang w:val="ro-RO"/>
        </w:rPr>
        <w:t xml:space="preserve">Anexa nr. </w:t>
      </w:r>
      <w:r>
        <w:rPr>
          <w:lang w:val="ro-RO"/>
        </w:rPr>
        <w:t>2</w:t>
      </w:r>
    </w:p>
    <w:p w14:paraId="39639DB5" w14:textId="77777777" w:rsidR="000A3539" w:rsidRPr="0007745E" w:rsidRDefault="000A3539" w:rsidP="000A3539">
      <w:pPr>
        <w:ind w:left="4956"/>
        <w:jc w:val="center"/>
        <w:rPr>
          <w:lang w:val="ro-RO"/>
        </w:rPr>
      </w:pPr>
      <w:r w:rsidRPr="0007745E">
        <w:rPr>
          <w:lang w:val="ro-RO"/>
        </w:rPr>
        <w:t>la Hotărîrea Guvernului nr._____________</w:t>
      </w:r>
    </w:p>
    <w:p w14:paraId="3DA60C2F" w14:textId="77777777" w:rsidR="000A3539" w:rsidRPr="0007745E" w:rsidRDefault="000A3539" w:rsidP="000A3539">
      <w:pPr>
        <w:ind w:left="4248" w:firstLine="708"/>
        <w:rPr>
          <w:lang w:val="ro-RO"/>
        </w:rPr>
      </w:pPr>
      <w:r w:rsidRPr="0007745E">
        <w:rPr>
          <w:lang w:val="ro-RO"/>
        </w:rPr>
        <w:t xml:space="preserve">  din_________________2018</w:t>
      </w:r>
    </w:p>
    <w:p w14:paraId="262E4257" w14:textId="77777777" w:rsidR="000A3539" w:rsidRPr="0007745E" w:rsidRDefault="000A3539" w:rsidP="000A3539">
      <w:pPr>
        <w:ind w:left="3600" w:firstLine="720"/>
        <w:jc w:val="right"/>
        <w:rPr>
          <w:b/>
          <w:sz w:val="28"/>
          <w:szCs w:val="28"/>
          <w:lang w:val="ro-RO"/>
        </w:rPr>
      </w:pPr>
    </w:p>
    <w:p w14:paraId="57B3C039" w14:textId="77777777" w:rsidR="000A3539" w:rsidRPr="0007745E" w:rsidRDefault="000A3539" w:rsidP="000A3539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</w:p>
    <w:p w14:paraId="25E22286" w14:textId="77777777" w:rsidR="000A3539" w:rsidRPr="0007745E" w:rsidRDefault="000A3539" w:rsidP="000A3539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t>REGULAMENTUL</w:t>
      </w:r>
    </w:p>
    <w:p w14:paraId="6F534405" w14:textId="77777777" w:rsidR="000A3539" w:rsidRPr="0007745E" w:rsidRDefault="000A3539" w:rsidP="000A3539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t>cu privire la organizarea și funcționarea Comisiei naționale pentru schimbările climatice</w:t>
      </w:r>
    </w:p>
    <w:p w14:paraId="68656FBF" w14:textId="77777777" w:rsidR="000A3539" w:rsidRPr="0007745E" w:rsidRDefault="000A3539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167CDD03" w14:textId="77777777" w:rsidR="000A3539" w:rsidRPr="0007745E" w:rsidRDefault="000A3539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4F3781C6" w14:textId="77777777" w:rsidR="000A3539" w:rsidRPr="0007745E" w:rsidRDefault="000A3539" w:rsidP="000A3539">
      <w:pPr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t>DISPOZIȚII GENERALE</w:t>
      </w:r>
    </w:p>
    <w:p w14:paraId="1F7A5FEC" w14:textId="77777777" w:rsidR="000A3539" w:rsidRPr="0007745E" w:rsidRDefault="000A3539" w:rsidP="000A3539">
      <w:pPr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34BEB627" w14:textId="77777777" w:rsidR="000A3539" w:rsidRPr="0007745E" w:rsidRDefault="000A3539" w:rsidP="000A3539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Regulamentul </w:t>
      </w:r>
      <w:r w:rsidRPr="00E00B5D">
        <w:rPr>
          <w:sz w:val="28"/>
          <w:szCs w:val="28"/>
          <w:lang w:val="ro-RO"/>
        </w:rPr>
        <w:t>cu privire la organizarea și funcționarea Comisiei naționale pentru schimbările climatice</w:t>
      </w:r>
      <w:r w:rsidRPr="0007745E">
        <w:rPr>
          <w:sz w:val="28"/>
          <w:szCs w:val="28"/>
          <w:lang w:val="ro-RO"/>
        </w:rPr>
        <w:t xml:space="preserve"> (în continuare - Regulamentul) este elaborat în scopul implementării Hotărîrii Parlamentului nr. 404-XIII din 16 martie 1995 pentru ratificarea Convenției-cadru a Organizației Națiunilor Unite cu privire la schimbarea climei, </w:t>
      </w:r>
      <w:r w:rsidRPr="0007745E">
        <w:rPr>
          <w:rFonts w:eastAsia="Calibri"/>
          <w:sz w:val="28"/>
          <w:szCs w:val="28"/>
          <w:lang w:val="ro-RO" w:eastAsia="en-US"/>
        </w:rPr>
        <w:t>Legii nr. 29 din 13 februarie 2003</w:t>
      </w:r>
      <w:r w:rsidRPr="0007745E">
        <w:rPr>
          <w:rFonts w:eastAsia="Calibri"/>
          <w:lang w:val="ro-RO" w:eastAsia="en-US"/>
        </w:rPr>
        <w:t xml:space="preserve"> </w:t>
      </w:r>
      <w:r w:rsidRPr="0007745E">
        <w:rPr>
          <w:bCs/>
          <w:color w:val="000000"/>
          <w:sz w:val="28"/>
          <w:szCs w:val="28"/>
          <w:lang w:val="ro-RO"/>
        </w:rPr>
        <w:t>pentru aderarea Republicii Moldova la Protocolul de la Kyoto la Convenţia-cadru a Organizaţiei Naţiunilor Unite cu privire la schimbarea climei</w:t>
      </w:r>
      <w:r w:rsidRPr="0007745E">
        <w:rPr>
          <w:sz w:val="28"/>
          <w:szCs w:val="28"/>
          <w:lang w:val="ro-RO"/>
        </w:rPr>
        <w:t xml:space="preserve"> și Leg</w:t>
      </w:r>
      <w:r>
        <w:rPr>
          <w:sz w:val="28"/>
          <w:szCs w:val="28"/>
          <w:lang w:val="ro-RO"/>
        </w:rPr>
        <w:t>ii</w:t>
      </w:r>
      <w:r w:rsidRPr="0007745E">
        <w:rPr>
          <w:sz w:val="28"/>
          <w:szCs w:val="28"/>
          <w:lang w:val="ro-RO"/>
        </w:rPr>
        <w:t xml:space="preserve"> nr. 78 din 4 mai 2017 pentru ratificarea </w:t>
      </w:r>
      <w:r w:rsidRPr="0007745E">
        <w:rPr>
          <w:rStyle w:val="docbody"/>
          <w:sz w:val="28"/>
          <w:szCs w:val="28"/>
          <w:lang w:val="ro-RO"/>
        </w:rPr>
        <w:t>Acordului de la Paris</w:t>
      </w:r>
      <w:r w:rsidRPr="0007745E">
        <w:rPr>
          <w:sz w:val="28"/>
          <w:szCs w:val="28"/>
          <w:lang w:val="ro-RO"/>
        </w:rPr>
        <w:t>.</w:t>
      </w:r>
    </w:p>
    <w:p w14:paraId="135ED2B5" w14:textId="77777777" w:rsidR="000A3539" w:rsidRPr="0007745E" w:rsidRDefault="000A3539" w:rsidP="000A3539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În activitatea sa Comisia națională pentru schimbările climatice (în continuare </w:t>
      </w:r>
      <w:r>
        <w:rPr>
          <w:sz w:val="28"/>
          <w:szCs w:val="28"/>
          <w:lang w:val="ro-RO"/>
        </w:rPr>
        <w:t>-</w:t>
      </w:r>
      <w:r w:rsidRPr="0007745E">
        <w:rPr>
          <w:sz w:val="28"/>
          <w:szCs w:val="28"/>
          <w:lang w:val="ro-RO"/>
        </w:rPr>
        <w:t xml:space="preserve"> Comisia națională)  se călăuzește de Constituția Republicii Moldova, legile și hotărîrile Parlamentului, decretele Președintelui Republicii Moldova, hotărîrile și dispozițiile Guvernului, precum și de prezentul Regulament.</w:t>
      </w:r>
    </w:p>
    <w:p w14:paraId="37C629BE" w14:textId="77777777" w:rsidR="000A3539" w:rsidRPr="0007745E" w:rsidRDefault="000A3539" w:rsidP="000A3539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Comisia națională este </w:t>
      </w:r>
      <w:r>
        <w:rPr>
          <w:sz w:val="28"/>
          <w:szCs w:val="28"/>
          <w:lang w:val="ro-RO"/>
        </w:rPr>
        <w:t xml:space="preserve">un </w:t>
      </w:r>
      <w:r w:rsidRPr="0007745E">
        <w:rPr>
          <w:sz w:val="28"/>
          <w:szCs w:val="28"/>
          <w:lang w:val="ro-RO"/>
        </w:rPr>
        <w:t>organism interministerial, cu rol consultativ, fără personalitate juridică, care coordonează și promovează măsurile și acțiunile necesare apl</w:t>
      </w:r>
      <w:r>
        <w:rPr>
          <w:sz w:val="28"/>
          <w:szCs w:val="28"/>
          <w:lang w:val="ro-RO"/>
        </w:rPr>
        <w:t>i</w:t>
      </w:r>
      <w:r w:rsidRPr="0007745E">
        <w:rPr>
          <w:sz w:val="28"/>
          <w:szCs w:val="28"/>
          <w:lang w:val="ro-RO"/>
        </w:rPr>
        <w:t xml:space="preserve">cării unitare pe teritoriul Republicii Moldova a Convenției-cadru a Organizației Națiunilor Unite cu privire la schimbarea climei (în continuare – CONUSC), Protocolului de la Kyoto la CONUSC, Acordului de la Paris, precum și a prevederilor Capitolului XVI ”Politici climatice” din </w:t>
      </w:r>
      <w:r w:rsidRPr="0007745E">
        <w:rPr>
          <w:bCs/>
          <w:color w:val="000000"/>
          <w:sz w:val="28"/>
          <w:szCs w:val="28"/>
          <w:lang w:val="ro-RO"/>
        </w:rPr>
        <w:t xml:space="preserve">Acordul de Asociere între Republica Moldova, pe de o parte, şi Uniunea Europeană şi Comunitatea Europeană a Energiei Atomice şi statele membre </w:t>
      </w:r>
      <w:r>
        <w:rPr>
          <w:bCs/>
          <w:color w:val="000000"/>
          <w:sz w:val="28"/>
          <w:szCs w:val="28"/>
          <w:lang w:val="ro-RO"/>
        </w:rPr>
        <w:t>ale acestora, pe de altă parte.</w:t>
      </w:r>
    </w:p>
    <w:p w14:paraId="483C3C82" w14:textId="77777777" w:rsidR="000A3539" w:rsidRPr="0007745E" w:rsidRDefault="000A3539" w:rsidP="000A3539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Comisia națională asigură cadrul instituțional de coordonare </w:t>
      </w:r>
      <w:commentRangeStart w:id="0"/>
      <w:r w:rsidRPr="0007745E">
        <w:rPr>
          <w:sz w:val="28"/>
          <w:szCs w:val="28"/>
          <w:lang w:val="ro-RO"/>
        </w:rPr>
        <w:t>în domeniul raportării, monitorizării și verificării</w:t>
      </w:r>
      <w:commentRangeEnd w:id="0"/>
      <w:r w:rsidRPr="0007745E">
        <w:rPr>
          <w:rStyle w:val="CommentReference"/>
          <w:lang w:val="ro-RO"/>
        </w:rPr>
        <w:commentReference w:id="0"/>
      </w:r>
      <w:r w:rsidRPr="0007745E">
        <w:rPr>
          <w:sz w:val="28"/>
          <w:szCs w:val="28"/>
          <w:lang w:val="ro-RO"/>
        </w:rPr>
        <w:t>, precum și a facilitării integrării aspectelor privind schimbarea climei în programele și planurile naționale și sectoriale.</w:t>
      </w:r>
    </w:p>
    <w:p w14:paraId="49EA22F0" w14:textId="77777777" w:rsidR="000A3539" w:rsidRPr="0007745E" w:rsidRDefault="000A3539" w:rsidP="000A3539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364B379E" w14:textId="77777777" w:rsidR="000A3539" w:rsidRDefault="000A3539" w:rsidP="000A3539">
      <w:pPr>
        <w:pStyle w:val="ListParagraph"/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0A3539">
        <w:rPr>
          <w:b/>
          <w:sz w:val="28"/>
          <w:szCs w:val="28"/>
          <w:lang w:val="ro-RO"/>
        </w:rPr>
        <w:t>OBIECTIVUL ȘI FUNCȚIILE DE BAZĂ ALE COMISIEI NAȚIONALE</w:t>
      </w:r>
    </w:p>
    <w:p w14:paraId="7EA1677C" w14:textId="77777777" w:rsidR="000A3539" w:rsidRPr="000A3539" w:rsidRDefault="000A3539" w:rsidP="000A3539">
      <w:pPr>
        <w:pStyle w:val="ListParagraph"/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110BFE01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Obiectivul Comisiei naționale constă în coordonarea la nivel național a activităților care au ca scop implementarea prevederilor CONUSC și a altor tratate internaționale la care Republica Moldova este parte. </w:t>
      </w:r>
    </w:p>
    <w:p w14:paraId="141C2CE1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Comisia națională îndeplinește următoarele funcții de bază:</w:t>
      </w:r>
    </w:p>
    <w:p w14:paraId="17F27647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0A3539">
        <w:rPr>
          <w:sz w:val="28"/>
          <w:szCs w:val="28"/>
          <w:lang w:val="ro-RO"/>
        </w:rPr>
        <w:t>implementează</w:t>
      </w:r>
      <w:r w:rsidRPr="0007745E">
        <w:rPr>
          <w:sz w:val="28"/>
          <w:szCs w:val="28"/>
          <w:lang w:val="ro-RO"/>
        </w:rPr>
        <w:t xml:space="preserve"> mecanismul de coordonare a activităților în domeniul</w:t>
      </w:r>
      <w:r>
        <w:rPr>
          <w:rStyle w:val="docbody"/>
          <w:sz w:val="28"/>
          <w:szCs w:val="28"/>
          <w:lang w:val="ro-RO"/>
        </w:rPr>
        <w:t xml:space="preserve"> schimbărilor climatice;</w:t>
      </w:r>
    </w:p>
    <w:p w14:paraId="4BB040A8" w14:textId="77777777" w:rsidR="000A3539" w:rsidRPr="000A3539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commentRangeStart w:id="1"/>
      <w:r w:rsidRPr="00110093">
        <w:rPr>
          <w:rStyle w:val="docbody"/>
          <w:sz w:val="28"/>
          <w:szCs w:val="28"/>
          <w:highlight w:val="yellow"/>
          <w:lang w:val="ro-RO"/>
        </w:rPr>
        <w:lastRenderedPageBreak/>
        <w:t>implementează</w:t>
      </w:r>
      <w:r>
        <w:rPr>
          <w:rStyle w:val="docbody"/>
          <w:sz w:val="28"/>
          <w:szCs w:val="28"/>
          <w:lang w:val="ro-RO"/>
        </w:rPr>
        <w:t xml:space="preserve"> </w:t>
      </w:r>
      <w:commentRangeEnd w:id="1"/>
      <w:r>
        <w:rPr>
          <w:rStyle w:val="CommentReference"/>
        </w:rPr>
        <w:commentReference w:id="1"/>
      </w:r>
      <w:r w:rsidRPr="0007745E">
        <w:rPr>
          <w:rStyle w:val="docbody"/>
          <w:sz w:val="28"/>
          <w:szCs w:val="28"/>
          <w:lang w:val="ro-RO"/>
        </w:rPr>
        <w:t xml:space="preserve">mecanismul de monitorizare, raportare și verificare a activităților în </w:t>
      </w:r>
      <w:r>
        <w:rPr>
          <w:rStyle w:val="docbody"/>
          <w:sz w:val="28"/>
          <w:szCs w:val="28"/>
          <w:lang w:val="ro-RO"/>
        </w:rPr>
        <w:t>domeniul schimbărilor climatice;</w:t>
      </w:r>
    </w:p>
    <w:p w14:paraId="43AD5615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coordonează și promovează implementarea strategiilor în </w:t>
      </w:r>
      <w:r>
        <w:rPr>
          <w:sz w:val="28"/>
          <w:szCs w:val="28"/>
          <w:lang w:val="ro-RO"/>
        </w:rPr>
        <w:t>domeniul schimbărilor climatice;</w:t>
      </w:r>
    </w:p>
    <w:p w14:paraId="6BCC306E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coordonează metodologiile, manualele operaționale și ghidurile privind adaptarea la efectele schimbărilor climatice și</w:t>
      </w:r>
      <w:r>
        <w:rPr>
          <w:sz w:val="28"/>
          <w:szCs w:val="28"/>
          <w:lang w:val="ro-RO"/>
        </w:rPr>
        <w:t xml:space="preserve"> acțiunile adecvate de atenuare;</w:t>
      </w:r>
    </w:p>
    <w:p w14:paraId="136ACCC5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coordonează procesul de integrare a aspectelor de adaptare la schimbările climatice în doc</w:t>
      </w:r>
      <w:r>
        <w:rPr>
          <w:sz w:val="28"/>
          <w:szCs w:val="28"/>
          <w:lang w:val="ro-RO"/>
        </w:rPr>
        <w:t>umentele de politici naționale;</w:t>
      </w:r>
    </w:p>
    <w:p w14:paraId="033E6F1F" w14:textId="77777777" w:rsidR="000A3539" w:rsidRPr="00217128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217128">
        <w:rPr>
          <w:sz w:val="28"/>
          <w:szCs w:val="28"/>
          <w:lang w:val="ro-RO"/>
        </w:rPr>
        <w:t>coordonează tematic</w:t>
      </w:r>
      <w:r w:rsidR="00217128" w:rsidRPr="00217128">
        <w:rPr>
          <w:sz w:val="28"/>
          <w:szCs w:val="28"/>
          <w:lang w:val="ro-RO"/>
        </w:rPr>
        <w:t>i</w:t>
      </w:r>
      <w:r w:rsidRPr="00217128">
        <w:rPr>
          <w:sz w:val="28"/>
          <w:szCs w:val="28"/>
          <w:lang w:val="ro-RO"/>
        </w:rPr>
        <w:t>l</w:t>
      </w:r>
      <w:r w:rsidR="00217128" w:rsidRPr="00217128">
        <w:rPr>
          <w:sz w:val="28"/>
          <w:szCs w:val="28"/>
          <w:lang w:val="ro-RO"/>
        </w:rPr>
        <w:t>e</w:t>
      </w:r>
      <w:r w:rsidRPr="00217128">
        <w:rPr>
          <w:sz w:val="28"/>
          <w:szCs w:val="28"/>
          <w:lang w:val="ro-RO"/>
        </w:rPr>
        <w:t xml:space="preserve"> și măsuril</w:t>
      </w:r>
      <w:r w:rsidR="00217128" w:rsidRPr="00217128">
        <w:rPr>
          <w:sz w:val="28"/>
          <w:szCs w:val="28"/>
          <w:lang w:val="ro-RO"/>
        </w:rPr>
        <w:t>e</w:t>
      </w:r>
      <w:r w:rsidRPr="00217128">
        <w:rPr>
          <w:sz w:val="28"/>
          <w:szCs w:val="28"/>
          <w:lang w:val="ro-RO"/>
        </w:rPr>
        <w:t xml:space="preserve"> privind schimbările climatice și verifică corespunderea lor cu prioritățile naționale și sectoriale</w:t>
      </w:r>
      <w:r w:rsidR="00217128" w:rsidRPr="00217128">
        <w:rPr>
          <w:sz w:val="28"/>
          <w:szCs w:val="28"/>
          <w:lang w:val="ro-RO"/>
        </w:rPr>
        <w:t>;</w:t>
      </w:r>
    </w:p>
    <w:p w14:paraId="0D39ABAA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coordonează acțiunile în domeniul schimbărilor clima</w:t>
      </w:r>
      <w:r w:rsidR="00217128">
        <w:rPr>
          <w:sz w:val="28"/>
          <w:szCs w:val="28"/>
          <w:lang w:val="ro-RO"/>
        </w:rPr>
        <w:t>tice la nivel regional și local;</w:t>
      </w:r>
    </w:p>
    <w:p w14:paraId="787B6376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coordonează implementarea proiectelor de asistență tehnică și investiționale în </w:t>
      </w:r>
      <w:r w:rsidR="00217128">
        <w:rPr>
          <w:sz w:val="28"/>
          <w:szCs w:val="28"/>
          <w:lang w:val="ro-RO"/>
        </w:rPr>
        <w:t>domeniul schimbărilor climatice;</w:t>
      </w:r>
    </w:p>
    <w:p w14:paraId="30A39A5F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avizează planurile naționale și sectoriale de adaptare la schimbările climatice și </w:t>
      </w:r>
      <w:r w:rsidR="00217128">
        <w:rPr>
          <w:sz w:val="28"/>
          <w:szCs w:val="28"/>
          <w:lang w:val="ro-RO"/>
        </w:rPr>
        <w:t>monitorizează implementarea lor;</w:t>
      </w:r>
    </w:p>
    <w:p w14:paraId="0F660A74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monitorizează implementarea activităților în domeniul schimbărilor climatice </w:t>
      </w:r>
      <w:r w:rsidRPr="00217128">
        <w:rPr>
          <w:sz w:val="28"/>
          <w:szCs w:val="28"/>
          <w:lang w:val="ro-RO"/>
        </w:rPr>
        <w:t>realizate</w:t>
      </w:r>
      <w:r w:rsidR="00217128">
        <w:rPr>
          <w:sz w:val="28"/>
          <w:szCs w:val="28"/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>în baza acordurilor, tratatelor internaționale, proiectelor, programelor și altor  tipuri de angajamente internaționale în domeniul schimbărilor climatice</w:t>
      </w:r>
      <w:r w:rsidR="00217128">
        <w:rPr>
          <w:sz w:val="28"/>
          <w:szCs w:val="28"/>
          <w:lang w:val="ro-RO"/>
        </w:rPr>
        <w:t>;</w:t>
      </w:r>
    </w:p>
    <w:p w14:paraId="58ABB2BF" w14:textId="77777777" w:rsidR="000A3539" w:rsidRPr="00217128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217128">
        <w:rPr>
          <w:sz w:val="28"/>
          <w:szCs w:val="28"/>
          <w:lang w:val="ro-RO"/>
        </w:rPr>
        <w:t>monitorizează integrarea planului de finanțare a activităților în domeniul schimbărilor climatice în planurile de b</w:t>
      </w:r>
      <w:r w:rsidR="00217128">
        <w:rPr>
          <w:sz w:val="28"/>
          <w:szCs w:val="28"/>
          <w:lang w:val="ro-RO"/>
        </w:rPr>
        <w:t>ugetare sectorială și națională;</w:t>
      </w:r>
    </w:p>
    <w:p w14:paraId="4DF5227A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monitorizează asistența externă și bugetarea resurselor</w:t>
      </w:r>
      <w:r>
        <w:rPr>
          <w:sz w:val="28"/>
          <w:szCs w:val="28"/>
          <w:lang w:val="ro-RO"/>
        </w:rPr>
        <w:t xml:space="preserve"> naționale pentru activitățile di</w:t>
      </w:r>
      <w:r w:rsidRPr="0007745E">
        <w:rPr>
          <w:sz w:val="28"/>
          <w:szCs w:val="28"/>
          <w:lang w:val="ro-RO"/>
        </w:rPr>
        <w:t xml:space="preserve">n </w:t>
      </w:r>
      <w:r w:rsidR="00217128">
        <w:rPr>
          <w:sz w:val="28"/>
          <w:szCs w:val="28"/>
          <w:lang w:val="ro-RO"/>
        </w:rPr>
        <w:t>domeniul schimbărilor climatice;</w:t>
      </w:r>
    </w:p>
    <w:p w14:paraId="50387B09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dezvoltă și implementează cadrul de monitorizare, evaluare și raportare  privind activitățile în domeniul schimbărilor climatice</w:t>
      </w:r>
      <w:r w:rsidR="005A4297">
        <w:rPr>
          <w:sz w:val="28"/>
          <w:szCs w:val="28"/>
          <w:lang w:val="ro-RO"/>
        </w:rPr>
        <w:t>;</w:t>
      </w:r>
    </w:p>
    <w:p w14:paraId="21D4E482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asigură transparența în procesul de selectare și promovare a proiectelor din domeniul schimbărilor climatice din sectorul public, pri</w:t>
      </w:r>
      <w:r w:rsidR="005A4297">
        <w:rPr>
          <w:sz w:val="28"/>
          <w:szCs w:val="28"/>
          <w:lang w:val="ro-RO"/>
        </w:rPr>
        <w:t>vat și cel al societății civile;</w:t>
      </w:r>
    </w:p>
    <w:p w14:paraId="7F4F19B4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facilitează procesul de colaborare internațională în </w:t>
      </w:r>
      <w:r w:rsidR="005A4297">
        <w:rPr>
          <w:sz w:val="28"/>
          <w:szCs w:val="28"/>
          <w:lang w:val="ro-RO"/>
        </w:rPr>
        <w:t>domeniul schimbărilor climatice;</w:t>
      </w:r>
    </w:p>
    <w:p w14:paraId="1899FD5D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aprobă proiecte</w:t>
      </w:r>
      <w:r w:rsidRPr="0007745E">
        <w:rPr>
          <w:sz w:val="28"/>
          <w:szCs w:val="28"/>
          <w:lang w:val="ro-RO"/>
        </w:rPr>
        <w:t xml:space="preserve"> și programe în domeniul schimbărilor climatice la nivel național și sectorial în context</w:t>
      </w:r>
      <w:r w:rsidR="005A4297">
        <w:rPr>
          <w:sz w:val="28"/>
          <w:szCs w:val="28"/>
          <w:lang w:val="ro-RO"/>
        </w:rPr>
        <w:t>ul dezvoltării durabile a țării;</w:t>
      </w:r>
    </w:p>
    <w:p w14:paraId="66998CB5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aprobă criterii</w:t>
      </w:r>
      <w:r w:rsidR="005A4297">
        <w:rPr>
          <w:sz w:val="28"/>
          <w:szCs w:val="28"/>
          <w:lang w:val="ro-RO"/>
        </w:rPr>
        <w:t>le</w:t>
      </w:r>
      <w:r w:rsidRPr="0007745E">
        <w:rPr>
          <w:sz w:val="28"/>
          <w:szCs w:val="28"/>
          <w:lang w:val="ro-RO"/>
        </w:rPr>
        <w:t xml:space="preserve"> de eligibilitate a proiectelor de implementare a acțiunilor adecvat</w:t>
      </w:r>
      <w:r w:rsidR="005A4297">
        <w:rPr>
          <w:sz w:val="28"/>
          <w:szCs w:val="28"/>
          <w:lang w:val="ro-RO"/>
        </w:rPr>
        <w:t>e de atenuare la nivel național;</w:t>
      </w:r>
    </w:p>
    <w:p w14:paraId="2BB7F73D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duce evidența proiectelor în domeniul schimbărilor climati</w:t>
      </w:r>
      <w:r w:rsidR="005A4297">
        <w:rPr>
          <w:sz w:val="28"/>
          <w:szCs w:val="28"/>
          <w:lang w:val="ro-RO"/>
        </w:rPr>
        <w:t>ce aprobate pentru implementare;</w:t>
      </w:r>
    </w:p>
    <w:p w14:paraId="4B949FD3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informează anual Parlamentul privind progresul realizat în </w:t>
      </w:r>
      <w:r w:rsidR="005A4297">
        <w:rPr>
          <w:sz w:val="28"/>
          <w:szCs w:val="28"/>
          <w:lang w:val="ro-RO"/>
        </w:rPr>
        <w:t>domeniul schimbărilor climatice;</w:t>
      </w:r>
    </w:p>
    <w:p w14:paraId="1FC43221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informează publicul privind domeniul schimbărilor climatice, inclusiv despre activitatea proprie și schimbul d</w:t>
      </w:r>
      <w:r w:rsidR="005A4297">
        <w:rPr>
          <w:sz w:val="28"/>
          <w:szCs w:val="28"/>
          <w:lang w:val="ro-RO"/>
        </w:rPr>
        <w:t>e experiență cu alte instituții;</w:t>
      </w:r>
    </w:p>
    <w:p w14:paraId="44C3D29C" w14:textId="77777777" w:rsidR="000A3539" w:rsidRPr="0007745E" w:rsidRDefault="000A3539" w:rsidP="000A3539">
      <w:pPr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contribuie la soluționarea litigiilor apărute în procesul implementării proiectelor aprobate de către Comisia națională.</w:t>
      </w:r>
    </w:p>
    <w:p w14:paraId="27739479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Activitatea desfășurată de către membrii Comisiei naționale constituie atribuție de serviciu și nu este remunerată.</w:t>
      </w:r>
    </w:p>
    <w:p w14:paraId="1813ABB8" w14:textId="77777777" w:rsidR="000A3539" w:rsidRPr="0007745E" w:rsidRDefault="000A3539" w:rsidP="000A3539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45AF6971" w14:textId="77777777" w:rsidR="000A3539" w:rsidRPr="005A4297" w:rsidRDefault="005A4297" w:rsidP="005A4297">
      <w:pPr>
        <w:pStyle w:val="ListParagraph"/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5A4297">
        <w:rPr>
          <w:b/>
          <w:sz w:val="28"/>
          <w:szCs w:val="28"/>
          <w:lang w:val="ro-RO"/>
        </w:rPr>
        <w:t>DREPTURILE COMISIEI NAȚIONALE ȘI MEMBRILOR ACESTEIA</w:t>
      </w:r>
    </w:p>
    <w:p w14:paraId="756CE558" w14:textId="77777777" w:rsidR="000A3539" w:rsidRPr="0007745E" w:rsidRDefault="000A3539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6DA7643E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</w:tabs>
        <w:ind w:left="90" w:firstLine="27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Comisia națională  are dreptul:</w:t>
      </w:r>
    </w:p>
    <w:p w14:paraId="49BD815B" w14:textId="77777777" w:rsidR="000A3539" w:rsidRPr="0007745E" w:rsidRDefault="000A3539" w:rsidP="000A3539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să solicite și să colecteze rapoarte periodice de la autoritățile administrației publice centrale și locale privind evoluția planificării și implementării activităților în domeniul schimbărilor climatice</w:t>
      </w:r>
      <w:r w:rsidR="005A4297">
        <w:rPr>
          <w:sz w:val="28"/>
          <w:szCs w:val="28"/>
          <w:lang w:val="ro-RO"/>
        </w:rPr>
        <w:t>;</w:t>
      </w:r>
    </w:p>
    <w:p w14:paraId="06184A04" w14:textId="77777777" w:rsidR="000A3539" w:rsidRPr="005A4297" w:rsidRDefault="000A3539" w:rsidP="000A3539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ro-RO"/>
        </w:rPr>
      </w:pPr>
      <w:r w:rsidRPr="005A4297">
        <w:rPr>
          <w:sz w:val="28"/>
          <w:szCs w:val="28"/>
          <w:lang w:val="ro-RO"/>
        </w:rPr>
        <w:t xml:space="preserve">să adopte decizii privind chestiunile </w:t>
      </w:r>
      <w:r w:rsidR="005A4297">
        <w:rPr>
          <w:sz w:val="28"/>
          <w:szCs w:val="28"/>
          <w:lang w:val="ro-RO"/>
        </w:rPr>
        <w:t>legate de schimbările climatice;</w:t>
      </w:r>
    </w:p>
    <w:p w14:paraId="6CDC39A4" w14:textId="77777777" w:rsidR="000A3539" w:rsidRPr="0007745E" w:rsidRDefault="000A3539" w:rsidP="000A3539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să coordoneze proiectele actelor normative în </w:t>
      </w:r>
      <w:r w:rsidR="005A4297">
        <w:rPr>
          <w:sz w:val="28"/>
          <w:szCs w:val="28"/>
          <w:lang w:val="ro-RO"/>
        </w:rPr>
        <w:t>domeniul schimbărilor climatice;</w:t>
      </w:r>
    </w:p>
    <w:p w14:paraId="579C3FA3" w14:textId="77777777" w:rsidR="000A3539" w:rsidRPr="0007745E" w:rsidRDefault="000A3539" w:rsidP="000A3539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să instituie comitete tehnice pentru susținerea </w:t>
      </w:r>
      <w:r w:rsidRPr="00EA60A2">
        <w:rPr>
          <w:sz w:val="28"/>
          <w:szCs w:val="28"/>
          <w:lang w:val="ro-RO"/>
        </w:rPr>
        <w:t>activității tehnice</w:t>
      </w:r>
      <w:r w:rsidRPr="0007745E">
        <w:rPr>
          <w:sz w:val="28"/>
          <w:szCs w:val="28"/>
          <w:lang w:val="ro-RO"/>
        </w:rPr>
        <w:t xml:space="preserve"> a Comisiei națion</w:t>
      </w:r>
      <w:r>
        <w:rPr>
          <w:sz w:val="28"/>
          <w:szCs w:val="28"/>
          <w:lang w:val="ro-RO"/>
        </w:rPr>
        <w:t>a</w:t>
      </w:r>
      <w:r w:rsidRPr="0007745E">
        <w:rPr>
          <w:sz w:val="28"/>
          <w:szCs w:val="28"/>
          <w:lang w:val="ro-RO"/>
        </w:rPr>
        <w:t>le.</w:t>
      </w:r>
    </w:p>
    <w:p w14:paraId="2042422F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Membrii Comisiei naționale au dreptul: </w:t>
      </w:r>
    </w:p>
    <w:p w14:paraId="28F1C31E" w14:textId="77777777" w:rsidR="000A3539" w:rsidRPr="0007745E" w:rsidRDefault="000A3539" w:rsidP="000A3539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să participe la ședințele Comisiei naționale,</w:t>
      </w:r>
    </w:p>
    <w:p w14:paraId="5DD718A8" w14:textId="77777777" w:rsidR="000A3539" w:rsidRPr="0007745E" w:rsidRDefault="000A3539" w:rsidP="000A3539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să participe la dezbateri și luarea deciziilor în cadrul ședințelor Comisiei naționale, </w:t>
      </w:r>
    </w:p>
    <w:p w14:paraId="1FD9DF2B" w14:textId="77777777" w:rsidR="000A3539" w:rsidRPr="0007745E" w:rsidRDefault="000A3539" w:rsidP="000A3539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să propună introducerea unor subiecte pe ordinea de zi, inclusiv la începutul ședințelor Comisiei națion</w:t>
      </w:r>
      <w:r>
        <w:rPr>
          <w:sz w:val="28"/>
          <w:szCs w:val="28"/>
          <w:lang w:val="ro-RO"/>
        </w:rPr>
        <w:t>a</w:t>
      </w:r>
      <w:r w:rsidRPr="0007745E">
        <w:rPr>
          <w:sz w:val="28"/>
          <w:szCs w:val="28"/>
          <w:lang w:val="ro-RO"/>
        </w:rPr>
        <w:t xml:space="preserve">le, </w:t>
      </w:r>
    </w:p>
    <w:p w14:paraId="04532AF3" w14:textId="77777777" w:rsidR="005A4297" w:rsidRDefault="000A3539" w:rsidP="005A4297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să propună participarea unor experți la ședințele sau la activitățile Comisiei naționale.</w:t>
      </w:r>
    </w:p>
    <w:p w14:paraId="05A353D8" w14:textId="77777777" w:rsidR="00F328F0" w:rsidRDefault="00F328F0" w:rsidP="00F328F0">
      <w:pPr>
        <w:tabs>
          <w:tab w:val="left" w:pos="1134"/>
        </w:tabs>
        <w:ind w:left="720"/>
        <w:jc w:val="both"/>
        <w:rPr>
          <w:sz w:val="28"/>
          <w:szCs w:val="28"/>
          <w:lang w:val="ro-RO"/>
        </w:rPr>
      </w:pPr>
    </w:p>
    <w:p w14:paraId="65D43559" w14:textId="77777777" w:rsidR="00F328F0" w:rsidRPr="00F328F0" w:rsidRDefault="00F328F0" w:rsidP="00F328F0">
      <w:pPr>
        <w:pStyle w:val="ListParagraph"/>
        <w:numPr>
          <w:ilvl w:val="0"/>
          <w:numId w:val="1"/>
        </w:numPr>
        <w:tabs>
          <w:tab w:val="left" w:pos="1134"/>
        </w:tabs>
        <w:jc w:val="center"/>
        <w:rPr>
          <w:sz w:val="28"/>
          <w:szCs w:val="28"/>
          <w:lang w:val="ro-RO"/>
        </w:rPr>
      </w:pPr>
      <w:r w:rsidRPr="005A4297">
        <w:rPr>
          <w:b/>
          <w:sz w:val="28"/>
          <w:szCs w:val="28"/>
          <w:lang w:val="ro-RO"/>
        </w:rPr>
        <w:t>ORGANIZAREA ACTIVITĂȚII COMISIEI</w:t>
      </w:r>
    </w:p>
    <w:p w14:paraId="190F73CC" w14:textId="77777777" w:rsidR="00F328F0" w:rsidRDefault="00F328F0" w:rsidP="00F328F0">
      <w:pPr>
        <w:rPr>
          <w:sz w:val="28"/>
          <w:szCs w:val="28"/>
          <w:lang w:val="ro-RO"/>
        </w:rPr>
      </w:pPr>
    </w:p>
    <w:p w14:paraId="00DA1222" w14:textId="77777777" w:rsidR="00F328F0" w:rsidRDefault="000A3539" w:rsidP="000A3539">
      <w:pPr>
        <w:pStyle w:val="ListParagraph"/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F328F0">
        <w:rPr>
          <w:sz w:val="28"/>
          <w:szCs w:val="28"/>
          <w:lang w:val="ro-RO"/>
        </w:rPr>
        <w:t>Componența nominală a Comisiei naționale este constituită din persoane, desemnate de autoritățile publice și alte organizații membre, indicate în Anexa 1 la prezenta Hotărîre a Guvernului.</w:t>
      </w:r>
    </w:p>
    <w:p w14:paraId="48F65E98" w14:textId="77777777" w:rsidR="000A3539" w:rsidRPr="00F328F0" w:rsidRDefault="00F328F0" w:rsidP="000A3539">
      <w:pPr>
        <w:pStyle w:val="ListParagraph"/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0A3539" w:rsidRPr="00F328F0">
        <w:rPr>
          <w:sz w:val="28"/>
          <w:szCs w:val="28"/>
          <w:lang w:val="ro-RO"/>
        </w:rPr>
        <w:t>n caz de eliberare a membrilor Comisiei naționale din funcțiile deținute, sau anularea funcțiilor acestora, atribuțiile lor vor fi exercitate de persoanele nou-desemnate, inclusiv la funcțiile nou create. Acestea vor fi comunicate în scris Comisiei naționale.</w:t>
      </w:r>
    </w:p>
    <w:p w14:paraId="2E97C88F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Ședințele Comisiei naționale se convoacă semestrial sau în funcție de necesități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la solicitarea președintelui sau</w:t>
      </w:r>
      <w:r>
        <w:rPr>
          <w:sz w:val="28"/>
          <w:szCs w:val="28"/>
          <w:lang w:val="ro-RO"/>
        </w:rPr>
        <w:t xml:space="preserve"> a</w:t>
      </w:r>
      <w:r w:rsidRPr="0007745E">
        <w:rPr>
          <w:sz w:val="28"/>
          <w:szCs w:val="28"/>
          <w:lang w:val="ro-RO"/>
        </w:rPr>
        <w:t xml:space="preserve"> 1/3 din membrii Comisiei naționale. Calendarul ședințelor se publică pe pagina web oficială a Secretariatului Comisiei naționale.</w:t>
      </w:r>
    </w:p>
    <w:p w14:paraId="0FF5E500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Pentru organizarea și desfășurarea activităților, Comisia națională va fi asistată de Secretariat. </w:t>
      </w:r>
    </w:p>
    <w:p w14:paraId="675EFCAD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Toată corespondența cu privire la activitatea Comisiei și a experților este adresată Secretariatului Comisiei naționale și </w:t>
      </w:r>
      <w:r w:rsidR="00F328F0">
        <w:rPr>
          <w:sz w:val="28"/>
          <w:szCs w:val="28"/>
          <w:lang w:val="ro-RO"/>
        </w:rPr>
        <w:t>se efectuează</w:t>
      </w:r>
      <w:r w:rsidRPr="0007745E">
        <w:rPr>
          <w:sz w:val="28"/>
          <w:szCs w:val="28"/>
          <w:lang w:val="ro-RO"/>
        </w:rPr>
        <w:t xml:space="preserve"> prin intermediul acestuia.</w:t>
      </w:r>
    </w:p>
    <w:p w14:paraId="42106438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Convocarea membrilor Comisiei naționale se face de către președintele Comisiei naționale, prin intermediul Secretariatului acesteia. </w:t>
      </w:r>
      <w:r>
        <w:rPr>
          <w:sz w:val="28"/>
          <w:szCs w:val="28"/>
          <w:lang w:val="ro-RO"/>
        </w:rPr>
        <w:t xml:space="preserve">Secretariatul </w:t>
      </w:r>
      <w:r w:rsidRPr="0007745E">
        <w:rPr>
          <w:sz w:val="28"/>
          <w:szCs w:val="28"/>
          <w:lang w:val="ro-RO"/>
        </w:rPr>
        <w:t>expediază membrilor Comisiei naționale notificări pe suport de hîrtie sau în formă electronică, cu cel puțin 5 zile lucrătoare înainte de desfășurarea ședinței.</w:t>
      </w:r>
    </w:p>
    <w:p w14:paraId="09E19D5A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lastRenderedPageBreak/>
        <w:t xml:space="preserve">Ordinea de zi a ședințelor este elaborată de către Secretariatul Comisiei naționale și </w:t>
      </w:r>
      <w:r w:rsidRPr="0007745E">
        <w:rPr>
          <w:color w:val="000000"/>
          <w:sz w:val="28"/>
          <w:szCs w:val="28"/>
          <w:lang w:val="ro-RO"/>
        </w:rPr>
        <w:t xml:space="preserve">se aprobă de către Președinte. Ordinea de zi, </w:t>
      </w:r>
      <w:r w:rsidRPr="0007745E">
        <w:rPr>
          <w:sz w:val="28"/>
          <w:szCs w:val="28"/>
          <w:lang w:val="ro-RO"/>
        </w:rPr>
        <w:t>documentele și materialele aferente subiectelor de pe ordinea de zi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sînt expediate membrilor Comisiei naționale odată cu notificarea de convocare.</w:t>
      </w:r>
      <w:r w:rsidRPr="0007745E">
        <w:rPr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 xml:space="preserve">În caz de necesitate, Secretariatul Comisiei naționale poate introduce subiecte pe ordinea de zi chiar în timpul ședințelor, cu acordul președintelui sau cu aprobarea a 2/3 din numărul membrilor Comisiei naționale prezenți la ședință. </w:t>
      </w:r>
    </w:p>
    <w:p w14:paraId="2F5E337A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Ședințele Comisiei naționale se consideră deliberative, dacă la ele participă cel puțin 2/3 din numărul membrilor.</w:t>
      </w:r>
    </w:p>
    <w:p w14:paraId="4BE9A87C" w14:textId="77777777" w:rsidR="000A3539" w:rsidRPr="0007745E" w:rsidRDefault="000A3539" w:rsidP="000A3539">
      <w:pPr>
        <w:numPr>
          <w:ilvl w:val="0"/>
          <w:numId w:val="2"/>
        </w:numPr>
        <w:tabs>
          <w:tab w:val="left" w:pos="810"/>
          <w:tab w:val="left" w:pos="90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Prezența membrilor Comisiei naționale și experților invitați la ședință este obligatorie. În caz de imposibilitate a unui membru titular de a participa la ședința Comisiei naționale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acesta anunță Secretariatul cu cel puțin 3 zile lucrătoare înaintea ședinței. Membrul titular va desemna în scris un membrul supleant, care îl va înlocui o singură dată la ședința Comisiei naționale.</w:t>
      </w:r>
    </w:p>
    <w:p w14:paraId="5DF17CBB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Activitatea Comisiei naționale este condusă de președintele Comisiei naționale. În absența președintelui sau atunci cînd acesta este în imposibilitate </w:t>
      </w:r>
      <w:r w:rsidRPr="00F328F0">
        <w:rPr>
          <w:sz w:val="28"/>
          <w:szCs w:val="28"/>
          <w:lang w:val="ro-RO"/>
        </w:rPr>
        <w:t xml:space="preserve">de a-și </w:t>
      </w:r>
      <w:r w:rsidRPr="0007745E">
        <w:rPr>
          <w:sz w:val="28"/>
          <w:szCs w:val="28"/>
          <w:lang w:val="ro-RO"/>
        </w:rPr>
        <w:t xml:space="preserve">exercita funcția, atribuțiile și competențele acestuia sînt preluate de către vicepreședintele Comisiei naționale. </w:t>
      </w:r>
    </w:p>
    <w:p w14:paraId="144AEA0D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În absența vicepreședintelui sau atunci cînd acesta este în imposibilitate de a-și exercita funcția, atribuțiile acestuia sînt îndeplinite de un membru al Comisiei naționale, desemnat în scris de către vicepreședinte, dar numai pentru o singură întrunire a Comisiei naționale.</w:t>
      </w:r>
    </w:p>
    <w:p w14:paraId="1901BF94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Deciziile Comisiei naționale sînt adoptate cu majoritatea simplă de voturi a membrilor prezenți și se consemnează în procesul-verbal al ședinței.</w:t>
      </w:r>
    </w:p>
    <w:p w14:paraId="731F55D9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color w:val="000000"/>
          <w:sz w:val="28"/>
          <w:szCs w:val="28"/>
          <w:lang w:val="ro-RO"/>
        </w:rPr>
        <w:t>Procesele-verbale se întocmesc de Secretariatul Comisiei naționale și se semnează de președintele ei.</w:t>
      </w:r>
    </w:p>
    <w:p w14:paraId="142D51CF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color w:val="000000"/>
          <w:sz w:val="28"/>
          <w:szCs w:val="28"/>
          <w:lang w:val="ro-RO"/>
        </w:rPr>
        <w:t xml:space="preserve">Ordinea de zi şi procesele-verbale ale şedinţelor, deciziile şi alte documente privind activitatea Comisiei naționale destinate a fi făcute publice, se plasează pe pagina web a Secretariatului Comisiei naționale. </w:t>
      </w:r>
    </w:p>
    <w:p w14:paraId="29A81BF0" w14:textId="77777777" w:rsidR="000A3539" w:rsidRPr="0007745E" w:rsidRDefault="000A3539" w:rsidP="000A3539">
      <w:pPr>
        <w:numPr>
          <w:ilvl w:val="0"/>
          <w:numId w:val="2"/>
        </w:numPr>
        <w:tabs>
          <w:tab w:val="left" w:pos="720"/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Pentru buna desfășurare a activității sale, Comisia națională poate consulta experți în vederea soluționării aspectelor aferente domeniilor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ce fac obiectul activității Comisiei, pentru elaborarea unor opinii, puncte de vedere solicitate în conformitate cu prevederile prezentului Regulament. Experții trebuie să presteze o activitate de înaltă calitate și calificare și să fie imparțiali în activitatea pe care o desfășoară.</w:t>
      </w:r>
    </w:p>
    <w:p w14:paraId="31448055" w14:textId="77777777" w:rsidR="000A3539" w:rsidRPr="0007745E" w:rsidRDefault="000A3539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2BFC14EC" w14:textId="77777777" w:rsidR="000A3539" w:rsidRPr="00480053" w:rsidRDefault="00480053" w:rsidP="00480053">
      <w:pPr>
        <w:pStyle w:val="ListParagraph"/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480053">
        <w:rPr>
          <w:b/>
          <w:sz w:val="28"/>
          <w:szCs w:val="28"/>
          <w:lang w:val="ro-RO"/>
        </w:rPr>
        <w:t>ATRIBUȚIILE PREȘEDINTELUI COMISIEI NAȚIONALE</w:t>
      </w:r>
    </w:p>
    <w:p w14:paraId="00BB65A0" w14:textId="77777777" w:rsidR="00480053" w:rsidRPr="00480053" w:rsidRDefault="00480053" w:rsidP="00480053">
      <w:pPr>
        <w:tabs>
          <w:tab w:val="left" w:pos="1134"/>
        </w:tabs>
        <w:ind w:left="360"/>
        <w:rPr>
          <w:b/>
          <w:sz w:val="28"/>
          <w:szCs w:val="28"/>
          <w:lang w:val="ro-RO"/>
        </w:rPr>
      </w:pPr>
    </w:p>
    <w:p w14:paraId="30364DF8" w14:textId="77777777" w:rsidR="000A3539" w:rsidRPr="0007745E" w:rsidRDefault="000A3539" w:rsidP="000A3539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Președintele Comisiei naționale are următoarele atribuții: </w:t>
      </w:r>
    </w:p>
    <w:p w14:paraId="2E59E854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conduce activitatea Comisiei</w:t>
      </w:r>
      <w:r w:rsidRPr="0007745E">
        <w:rPr>
          <w:color w:val="000000"/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>și asigură îndeplinirea o</w:t>
      </w:r>
      <w:r w:rsidRPr="0007745E">
        <w:rPr>
          <w:color w:val="000000"/>
          <w:sz w:val="28"/>
          <w:szCs w:val="28"/>
          <w:lang w:val="ro-RO"/>
        </w:rPr>
        <w:t>biectivelor acesteia</w:t>
      </w:r>
      <w:r w:rsidRPr="0007745E">
        <w:rPr>
          <w:sz w:val="28"/>
          <w:szCs w:val="28"/>
          <w:lang w:val="ro-RO"/>
        </w:rPr>
        <w:t>;</w:t>
      </w:r>
    </w:p>
    <w:p w14:paraId="4A32BD90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color w:val="000000"/>
          <w:sz w:val="28"/>
          <w:szCs w:val="28"/>
          <w:lang w:val="ro-RO"/>
        </w:rPr>
        <w:t> reprezintă Comisia națională în relațiile cu Guvernul, cu alte autorități și organizații naționale și internaționale;</w:t>
      </w:r>
    </w:p>
    <w:p w14:paraId="179F13BF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asigură aplicarea corectă  în activi</w:t>
      </w:r>
      <w:r>
        <w:rPr>
          <w:sz w:val="28"/>
          <w:szCs w:val="28"/>
          <w:lang w:val="ro-RO"/>
        </w:rPr>
        <w:t>ta</w:t>
      </w:r>
      <w:r w:rsidRPr="0007745E">
        <w:rPr>
          <w:sz w:val="28"/>
          <w:szCs w:val="28"/>
          <w:lang w:val="ro-RO"/>
        </w:rPr>
        <w:t>tea Comisiei naționale a prevederilor legislației în vigoare, naționale și internaționale în domeniu, precum și ale prezentului Regulament;</w:t>
      </w:r>
    </w:p>
    <w:p w14:paraId="4CC53AB0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lastRenderedPageBreak/>
        <w:t>stabilește calendarul ședințelor și activității Comisiei naționale;</w:t>
      </w:r>
    </w:p>
    <w:p w14:paraId="45694389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organizează ședințel</w:t>
      </w:r>
      <w:r>
        <w:rPr>
          <w:sz w:val="28"/>
          <w:szCs w:val="28"/>
          <w:lang w:val="ro-RO"/>
        </w:rPr>
        <w:t>e</w:t>
      </w:r>
      <w:r w:rsidRPr="0007745E">
        <w:rPr>
          <w:sz w:val="28"/>
          <w:szCs w:val="28"/>
          <w:lang w:val="ro-RO"/>
        </w:rPr>
        <w:t xml:space="preserve"> Comisiei naționale, prin intermediul Secretariatului acesteia; </w:t>
      </w:r>
    </w:p>
    <w:p w14:paraId="7250B130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prezidează ședințele și coordonează dezbaterile;</w:t>
      </w:r>
    </w:p>
    <w:p w14:paraId="1CAA7726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semnează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în numele Comisiei naționale, documentele oficiale (avizele, deciziile, procesele-verbale etc.);</w:t>
      </w:r>
    </w:p>
    <w:p w14:paraId="52A9B842" w14:textId="77777777" w:rsidR="000A3539" w:rsidRPr="0007745E" w:rsidRDefault="000A3539" w:rsidP="000A3539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color w:val="000000"/>
          <w:sz w:val="28"/>
          <w:szCs w:val="28"/>
          <w:lang w:val="ro-RO"/>
        </w:rPr>
        <w:t>în caz de necesitate, deleagă vicepreşedin</w:t>
      </w:r>
      <w:r>
        <w:rPr>
          <w:color w:val="000000"/>
          <w:sz w:val="28"/>
          <w:szCs w:val="28"/>
          <w:lang w:val="ro-RO"/>
        </w:rPr>
        <w:t xml:space="preserve">telui </w:t>
      </w:r>
      <w:r w:rsidRPr="0007745E">
        <w:rPr>
          <w:color w:val="000000"/>
          <w:sz w:val="28"/>
          <w:szCs w:val="28"/>
          <w:lang w:val="ro-RO"/>
        </w:rPr>
        <w:t>Consiliului unele din atribuţiile sale.</w:t>
      </w:r>
    </w:p>
    <w:p w14:paraId="540E9271" w14:textId="77777777" w:rsidR="000A3539" w:rsidRPr="0007745E" w:rsidRDefault="000A3539" w:rsidP="000A3539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4E14EA6B" w14:textId="77777777" w:rsidR="000A3539" w:rsidRPr="00480053" w:rsidRDefault="00480053" w:rsidP="00480053">
      <w:pPr>
        <w:pStyle w:val="ListParagraph"/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480053">
        <w:rPr>
          <w:b/>
          <w:sz w:val="28"/>
          <w:szCs w:val="28"/>
          <w:lang w:val="ro-RO"/>
        </w:rPr>
        <w:t>ATRIBUȚIILE SECRETARIATULUI COMISIEI NAȚIONALE</w:t>
      </w:r>
    </w:p>
    <w:p w14:paraId="1371DDE5" w14:textId="77777777" w:rsidR="00480053" w:rsidRPr="00480053" w:rsidRDefault="00480053" w:rsidP="00480053">
      <w:pPr>
        <w:pStyle w:val="ListParagraph"/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125A5790" w14:textId="77777777" w:rsidR="000A3539" w:rsidRPr="0007745E" w:rsidRDefault="000A3539" w:rsidP="000A3539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Secretariatul Comisiei naționale are următoarele atribuții:</w:t>
      </w:r>
    </w:p>
    <w:p w14:paraId="2EDDD9B9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elaborează și prez</w:t>
      </w:r>
      <w:r>
        <w:rPr>
          <w:sz w:val="28"/>
          <w:szCs w:val="28"/>
          <w:lang w:val="ro-RO"/>
        </w:rPr>
        <w:t>i</w:t>
      </w:r>
      <w:r w:rsidRPr="0007745E">
        <w:rPr>
          <w:sz w:val="28"/>
          <w:szCs w:val="28"/>
          <w:lang w:val="ro-RO"/>
        </w:rPr>
        <w:t>ntă spre aprobare președintelui ordinea de zi a ședințelor Comisiei naționale;</w:t>
      </w:r>
    </w:p>
    <w:p w14:paraId="0FF660B5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convoacă  în ședință membrii Comisiei naționale și pe cei ai comitetelor tehnice;</w:t>
      </w:r>
    </w:p>
    <w:p w14:paraId="79E8B2B4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verifică existența cvorumului necesar pentru luarea deciziilor;</w:t>
      </w:r>
    </w:p>
    <w:p w14:paraId="6F1C9102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pune la dispoziți</w:t>
      </w:r>
      <w:r w:rsidRPr="0007745E">
        <w:rPr>
          <w:sz w:val="28"/>
          <w:szCs w:val="28"/>
          <w:lang w:val="ro-RO"/>
        </w:rPr>
        <w:t>a membrilor Comisiei naționale și experților comitetelor tehnice documentele și materialele ce fac obiectul ședințelor;</w:t>
      </w:r>
    </w:p>
    <w:p w14:paraId="35F3F00A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întocmește procesele-verbale ale ședințelor Comisiei naționale și ale comitetelor tehnice;</w:t>
      </w:r>
    </w:p>
    <w:p w14:paraId="6A4C8247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aduce la cunoștința părților interesate documentele și informațiile relevante;</w:t>
      </w:r>
    </w:p>
    <w:p w14:paraId="142EC50C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arhivează documentele supuse dezbaterilor Comisiei naționale și comitetelor tehnice și a oricăror altor documente legate de activitatea acesteia;</w:t>
      </w:r>
    </w:p>
    <w:p w14:paraId="614A1C5F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colectează rapoartele sectoriale de adaptare la schimbările climatice și atenuării la schimbările climatice și elaborează rapoartele naționale de adaptare la schimbările climatice;</w:t>
      </w:r>
    </w:p>
    <w:p w14:paraId="732F5F7F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administrează baza de date a indicatorilor de monitorizare, raportare și evaluare a adaptării la schimbările climatice și acțiunilor adecvate de atenuare la nivel național;</w:t>
      </w:r>
    </w:p>
    <w:p w14:paraId="7B6F760E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supraveghează executarea deciziilor Comisiei;</w:t>
      </w:r>
    </w:p>
    <w:p w14:paraId="7E10FF14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organizează concursul de selectare a experților în cadrul comitetelor tehnice;</w:t>
      </w:r>
    </w:p>
    <w:p w14:paraId="6D16962D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elaborează condițiile și termenii concursului, procedura și criteriile de evaluare a experților;</w:t>
      </w:r>
    </w:p>
    <w:p w14:paraId="168C3C8E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evaluează, selectează și propune pentru aprobare Comisiei naționale, lista experților comitetelor tehnice;</w:t>
      </w:r>
    </w:p>
    <w:p w14:paraId="1CFBBEF9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elaborează proiectul raportului anual către Parlament privind progresul realizat în domeniul schimbărilor climatice;</w:t>
      </w:r>
    </w:p>
    <w:p w14:paraId="00DA1075" w14:textId="77777777" w:rsidR="000A3539" w:rsidRPr="0007745E" w:rsidRDefault="000A3539" w:rsidP="000A3539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îndeplinește alte sarcini stabilite în cadrul ședințelor Comisiei naționale și ale comitetelor tehnice.</w:t>
      </w:r>
    </w:p>
    <w:p w14:paraId="48B5FC3F" w14:textId="77777777" w:rsidR="000A3539" w:rsidRPr="0007745E" w:rsidRDefault="000A3539" w:rsidP="000A3539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089AC905" w14:textId="77777777" w:rsidR="00480053" w:rsidRDefault="00480053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351E7260" w14:textId="77777777" w:rsidR="00480053" w:rsidRDefault="00480053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6C169122" w14:textId="77777777" w:rsidR="000A3539" w:rsidRDefault="00480053" w:rsidP="000A3539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lastRenderedPageBreak/>
        <w:t>VII</w:t>
      </w:r>
      <w:bookmarkStart w:id="2" w:name="_GoBack"/>
      <w:bookmarkEnd w:id="2"/>
      <w:r w:rsidRPr="0007745E">
        <w:rPr>
          <w:b/>
          <w:sz w:val="28"/>
          <w:szCs w:val="28"/>
          <w:lang w:val="ro-RO"/>
        </w:rPr>
        <w:t>. CONSTITUIREA COMITETELOR TEHNICE</w:t>
      </w:r>
    </w:p>
    <w:p w14:paraId="38CAB166" w14:textId="77777777" w:rsidR="00480053" w:rsidRPr="0007745E" w:rsidRDefault="00480053" w:rsidP="00480053">
      <w:pPr>
        <w:tabs>
          <w:tab w:val="left" w:pos="1134"/>
        </w:tabs>
        <w:rPr>
          <w:b/>
          <w:sz w:val="28"/>
          <w:szCs w:val="28"/>
          <w:lang w:val="ro-RO"/>
        </w:rPr>
      </w:pPr>
    </w:p>
    <w:p w14:paraId="53046D32" w14:textId="77777777" w:rsidR="000A3539" w:rsidRPr="0007745E" w:rsidRDefault="000A3539" w:rsidP="000A3539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Comisia este susținută în activitatea sa de următoarele comitete tehnice:</w:t>
      </w:r>
    </w:p>
    <w:p w14:paraId="6BDDFA84" w14:textId="77777777" w:rsidR="000A3539" w:rsidRPr="0007745E" w:rsidRDefault="000A3539" w:rsidP="000A3539">
      <w:pPr>
        <w:numPr>
          <w:ilvl w:val="0"/>
          <w:numId w:val="8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Comitetul tehnic pentru adaptarea la schimbările climatice;</w:t>
      </w:r>
    </w:p>
    <w:p w14:paraId="3DE0949C" w14:textId="77777777" w:rsidR="000A3539" w:rsidRPr="0007745E" w:rsidRDefault="000A3539" w:rsidP="000A3539">
      <w:pPr>
        <w:numPr>
          <w:ilvl w:val="0"/>
          <w:numId w:val="8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Comitetul tehnic pentru atenuarea schimbărilor climatice;</w:t>
      </w:r>
    </w:p>
    <w:p w14:paraId="6BB20BD9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Comitetele tehnice sunt create și funcționează în baza deciziei Comisiei.  </w:t>
      </w:r>
    </w:p>
    <w:p w14:paraId="287D623E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Comitetele tehnice se constituie din </w:t>
      </w:r>
      <w:r w:rsidRPr="00F328F0">
        <w:rPr>
          <w:sz w:val="28"/>
          <w:szCs w:val="28"/>
          <w:lang w:val="ro-RO"/>
        </w:rPr>
        <w:t>experți</w:t>
      </w:r>
      <w:r w:rsidR="00F328F0" w:rsidRPr="00F328F0">
        <w:rPr>
          <w:i/>
          <w:sz w:val="28"/>
          <w:szCs w:val="28"/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>din următoarele sectoare: agricol, energetic, transportului, industriei, deșeuri, forestier, sănătății.</w:t>
      </w:r>
    </w:p>
    <w:p w14:paraId="6D2EB944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Lista experților comitetelor tehnice va fi elaborată în baza concursului organizat de către Secretariatul Comisiei naționale. Secretariatul Comisiei naționale publică pe</w:t>
      </w:r>
      <w:r w:rsidRPr="0007745E">
        <w:rPr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 xml:space="preserve">pagina sa de web termenii </w:t>
      </w:r>
      <w:r>
        <w:rPr>
          <w:sz w:val="28"/>
          <w:szCs w:val="28"/>
          <w:lang w:val="ro-RO"/>
        </w:rPr>
        <w:t xml:space="preserve">și </w:t>
      </w:r>
      <w:r w:rsidRPr="0007745E">
        <w:rPr>
          <w:sz w:val="28"/>
          <w:szCs w:val="28"/>
          <w:lang w:val="ro-RO"/>
        </w:rPr>
        <w:t xml:space="preserve">condițiile concursului. În calitate de candidați </w:t>
      </w:r>
      <w:r>
        <w:rPr>
          <w:sz w:val="28"/>
          <w:szCs w:val="28"/>
          <w:lang w:val="ro-RO"/>
        </w:rPr>
        <w:t xml:space="preserve">la poziția de </w:t>
      </w:r>
      <w:r w:rsidRPr="0007745E">
        <w:rPr>
          <w:sz w:val="28"/>
          <w:szCs w:val="28"/>
          <w:lang w:val="ro-RO"/>
        </w:rPr>
        <w:t>experți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la concurs pot participa persoane fizice și juridice.</w:t>
      </w:r>
      <w:bookmarkStart w:id="3" w:name="_Hlk504516429"/>
    </w:p>
    <w:p w14:paraId="34865041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r w:rsidRPr="0007745E">
        <w:rPr>
          <w:sz w:val="28"/>
          <w:szCs w:val="28"/>
          <w:lang w:val="ro-RO"/>
        </w:rPr>
        <w:t xml:space="preserve">ermenii </w:t>
      </w:r>
      <w:r>
        <w:rPr>
          <w:sz w:val="28"/>
          <w:szCs w:val="28"/>
          <w:lang w:val="ro-RO"/>
        </w:rPr>
        <w:t>și c</w:t>
      </w:r>
      <w:r w:rsidRPr="0007745E">
        <w:rPr>
          <w:sz w:val="28"/>
          <w:szCs w:val="28"/>
          <w:lang w:val="ro-RO"/>
        </w:rPr>
        <w:t>ondițiile concursului, procedura și criteriile de evaluare a experților</w:t>
      </w:r>
      <w:bookmarkEnd w:id="3"/>
      <w:r w:rsidRPr="0007745E">
        <w:rPr>
          <w:sz w:val="28"/>
          <w:szCs w:val="28"/>
          <w:lang w:val="ro-RO"/>
        </w:rPr>
        <w:t xml:space="preserve"> </w:t>
      </w:r>
      <w:r w:rsidRPr="00F328F0">
        <w:rPr>
          <w:sz w:val="28"/>
          <w:szCs w:val="28"/>
          <w:lang w:val="ro-RO"/>
        </w:rPr>
        <w:t>pentru a fi incluși în listă</w:t>
      </w:r>
      <w:r w:rsidRPr="0007745E">
        <w:rPr>
          <w:sz w:val="28"/>
          <w:szCs w:val="28"/>
          <w:lang w:val="ro-RO"/>
        </w:rPr>
        <w:t>, sînt elaborate de către Secretariat și  aprobate în cadrul ședinței Comisiei naționale.</w:t>
      </w:r>
    </w:p>
    <w:p w14:paraId="1FC18C7B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Lista experților selectați și aprobați în cadrul ședinței Comisiei naționale se publică pe pagina web a Secretariatului. </w:t>
      </w:r>
    </w:p>
    <w:p w14:paraId="5F370D5E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Secretariatul Comisiei naționale încheie cu experții selectați ai comitetelor tehnice contracte de prestare a serviciilor de consultanță</w:t>
      </w:r>
      <w:r>
        <w:rPr>
          <w:sz w:val="28"/>
          <w:szCs w:val="28"/>
          <w:lang w:val="ro-RO"/>
        </w:rPr>
        <w:t>,</w:t>
      </w:r>
      <w:r w:rsidRPr="0007745E">
        <w:rPr>
          <w:sz w:val="28"/>
          <w:szCs w:val="28"/>
          <w:lang w:val="ro-RO"/>
        </w:rPr>
        <w:t xml:space="preserve"> conform necesităților.</w:t>
      </w:r>
    </w:p>
    <w:p w14:paraId="5E08C250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Componența comitetelor tehnice și lista experților este act</w:t>
      </w:r>
      <w:r>
        <w:rPr>
          <w:sz w:val="28"/>
          <w:szCs w:val="28"/>
          <w:lang w:val="ro-RO"/>
        </w:rPr>
        <w:t>ualizată o dată la</w:t>
      </w:r>
      <w:r w:rsidRPr="0007745E">
        <w:rPr>
          <w:sz w:val="28"/>
          <w:szCs w:val="28"/>
          <w:lang w:val="ro-RO"/>
        </w:rPr>
        <w:t xml:space="preserve"> 4 ani.</w:t>
      </w:r>
    </w:p>
    <w:p w14:paraId="111357DF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Regulamentele de activitate a Comitetelor tehnice sînt elaborate de către Secretariat și aprobate în cadrul ședinței Comisiei naționale.   </w:t>
      </w:r>
    </w:p>
    <w:p w14:paraId="2E1ED390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Comitele tehnice exercită următoarele atribuții:</w:t>
      </w:r>
    </w:p>
    <w:p w14:paraId="6FA71513" w14:textId="77777777" w:rsidR="000A3539" w:rsidRPr="0007745E" w:rsidRDefault="000A3539" w:rsidP="000A3539">
      <w:pPr>
        <w:numPr>
          <w:ilvl w:val="0"/>
          <w:numId w:val="9"/>
        </w:numPr>
        <w:tabs>
          <w:tab w:val="left" w:pos="720"/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asigură evaluarea tehnică a proiectelor de adaptare și de atenuare a schimbărilor climatice la etapa de aprobare;</w:t>
      </w:r>
    </w:p>
    <w:p w14:paraId="77E06AF7" w14:textId="77777777" w:rsidR="000A3539" w:rsidRPr="0007745E" w:rsidRDefault="000A3539" w:rsidP="000A3539">
      <w:pPr>
        <w:numPr>
          <w:ilvl w:val="0"/>
          <w:numId w:val="9"/>
        </w:numPr>
        <w:tabs>
          <w:tab w:val="left" w:pos="720"/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asigură evaluarea tehnică a proiectelor de adaptare și de atenuare a schimbărilor climatice la etapa de implementare (MRV).</w:t>
      </w:r>
    </w:p>
    <w:p w14:paraId="777489AD" w14:textId="77777777" w:rsidR="000A3539" w:rsidRPr="0007745E" w:rsidRDefault="000A3539" w:rsidP="000A3539">
      <w:pPr>
        <w:numPr>
          <w:ilvl w:val="0"/>
          <w:numId w:val="2"/>
        </w:numPr>
        <w:tabs>
          <w:tab w:val="left" w:pos="1170"/>
        </w:tabs>
        <w:ind w:left="0" w:firstLine="36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Experții comitetelor tehnice sînt responsabili pentru: </w:t>
      </w:r>
    </w:p>
    <w:p w14:paraId="4CD2AD1B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evaluarea obiectivă și imparțială a proiectelor </w:t>
      </w:r>
      <w:r w:rsidRPr="00480053">
        <w:rPr>
          <w:sz w:val="28"/>
          <w:szCs w:val="28"/>
          <w:lang w:val="ro-RO"/>
        </w:rPr>
        <w:t>înaintate spre evaluare</w:t>
      </w:r>
      <w:r w:rsidRPr="0007745E">
        <w:rPr>
          <w:sz w:val="28"/>
          <w:szCs w:val="28"/>
          <w:lang w:val="ro-RO"/>
        </w:rPr>
        <w:t>;</w:t>
      </w:r>
    </w:p>
    <w:p w14:paraId="4947B701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evaluarea obiectivă și imparțială a rapoartelor periodice privind progresul de implementare a  proiectelor;</w:t>
      </w:r>
    </w:p>
    <w:p w14:paraId="5F44852B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480053">
        <w:rPr>
          <w:sz w:val="28"/>
          <w:szCs w:val="28"/>
          <w:lang w:val="ro-RO"/>
        </w:rPr>
        <w:t>evitarea</w:t>
      </w:r>
      <w:r>
        <w:rPr>
          <w:sz w:val="28"/>
          <w:szCs w:val="28"/>
          <w:lang w:val="ro-RO"/>
        </w:rPr>
        <w:t xml:space="preserve"> </w:t>
      </w:r>
      <w:r w:rsidRPr="0007745E">
        <w:rPr>
          <w:sz w:val="28"/>
          <w:szCs w:val="28"/>
          <w:lang w:val="ro-RO"/>
        </w:rPr>
        <w:t>conflictului de interese în privința proiectelor evaluate;</w:t>
      </w:r>
    </w:p>
    <w:p w14:paraId="62B59A5C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semnarea rapoartelor de evaluare;</w:t>
      </w:r>
    </w:p>
    <w:p w14:paraId="6BEFB028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buna desfășurare a activității comitetelor; </w:t>
      </w:r>
    </w:p>
    <w:p w14:paraId="6545EE95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organizarea,  la necesitate, a întrunirilor cu părțile interesate în vederea armonizării punctelor de vedere;</w:t>
      </w:r>
    </w:p>
    <w:p w14:paraId="46DEB44D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informarea Comisiei naționale cu privire la rapoartele elaborate;</w:t>
      </w:r>
    </w:p>
    <w:p w14:paraId="68B7D692" w14:textId="77777777" w:rsidR="000A3539" w:rsidRPr="0007745E" w:rsidRDefault="000A3539" w:rsidP="000A3539">
      <w:pPr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respectarea prezentului Regulament.</w:t>
      </w:r>
    </w:p>
    <w:p w14:paraId="6FAF8EC1" w14:textId="77777777" w:rsidR="000A3539" w:rsidRDefault="000A3539" w:rsidP="000A3539">
      <w:pPr>
        <w:rPr>
          <w:lang w:val="ro-RO"/>
        </w:rPr>
      </w:pPr>
    </w:p>
    <w:p w14:paraId="3D047BA6" w14:textId="77777777" w:rsidR="000A3539" w:rsidRDefault="000A3539" w:rsidP="000A3539">
      <w:pPr>
        <w:rPr>
          <w:lang w:val="ro-RO"/>
        </w:rPr>
      </w:pPr>
    </w:p>
    <w:p w14:paraId="70085AC1" w14:textId="77777777" w:rsidR="000A3539" w:rsidRDefault="000A3539" w:rsidP="000A3539">
      <w:pPr>
        <w:rPr>
          <w:lang w:val="ro-RO"/>
        </w:rPr>
      </w:pPr>
    </w:p>
    <w:p w14:paraId="0B8E9AF3" w14:textId="77777777" w:rsidR="005A649C" w:rsidRDefault="005A649C"/>
    <w:sectPr w:rsidR="005A649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eronica Lopotenco" w:date="2018-02-28T09:11:00Z" w:initials="VL">
    <w:p w14:paraId="47BF6853" w14:textId="77777777" w:rsidR="000A3539" w:rsidRPr="002D38B2" w:rsidRDefault="000A3539" w:rsidP="000A3539">
      <w:pPr>
        <w:pStyle w:val="CommentText"/>
        <w:rPr>
          <w:lang w:val="ro-RO"/>
        </w:rPr>
      </w:pPr>
      <w:r>
        <w:rPr>
          <w:rStyle w:val="CommentReference"/>
        </w:rPr>
        <w:annotationRef/>
      </w:r>
      <w:r>
        <w:rPr>
          <w:lang w:val="ro-RO"/>
        </w:rPr>
        <w:t>Ce raportam, monitorizam si verificam???</w:t>
      </w:r>
    </w:p>
  </w:comment>
  <w:comment w:id="1" w:author="Veronica Lopotenco" w:date="2018-03-02T15:47:00Z" w:initials="VL">
    <w:p w14:paraId="15120149" w14:textId="77777777" w:rsidR="000A3539" w:rsidRPr="000A3539" w:rsidRDefault="000A3539">
      <w:pPr>
        <w:pStyle w:val="CommentText"/>
        <w:rPr>
          <w:lang w:val="ro-RO"/>
        </w:rPr>
      </w:pPr>
      <w:r>
        <w:rPr>
          <w:rStyle w:val="CommentReference"/>
        </w:rPr>
        <w:annotationRef/>
      </w:r>
      <w:r>
        <w:rPr>
          <w:lang w:val="ro-RO"/>
        </w:rPr>
        <w:t>Totusi cum ar fi corect – implementează MRV-ul sau coordoneaza implementarea MRV-ului?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BF6853" w15:done="0"/>
  <w15:commentEx w15:paraId="151201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EF"/>
    <w:multiLevelType w:val="hybridMultilevel"/>
    <w:tmpl w:val="69F2CA8C"/>
    <w:lvl w:ilvl="0" w:tplc="F66C40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73E7"/>
    <w:multiLevelType w:val="hybridMultilevel"/>
    <w:tmpl w:val="77DA6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0E"/>
    <w:multiLevelType w:val="hybridMultilevel"/>
    <w:tmpl w:val="43D6DB16"/>
    <w:lvl w:ilvl="0" w:tplc="EF1227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957FC"/>
    <w:multiLevelType w:val="hybridMultilevel"/>
    <w:tmpl w:val="7B667DF4"/>
    <w:lvl w:ilvl="0" w:tplc="C2F60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27FF3"/>
    <w:multiLevelType w:val="hybridMultilevel"/>
    <w:tmpl w:val="1A7C71B4"/>
    <w:lvl w:ilvl="0" w:tplc="F3F20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418DA"/>
    <w:multiLevelType w:val="hybridMultilevel"/>
    <w:tmpl w:val="D61C7CE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4B4B22"/>
    <w:multiLevelType w:val="hybridMultilevel"/>
    <w:tmpl w:val="8D5A5DB6"/>
    <w:lvl w:ilvl="0" w:tplc="EF122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20487A"/>
    <w:multiLevelType w:val="hybridMultilevel"/>
    <w:tmpl w:val="471C5A96"/>
    <w:lvl w:ilvl="0" w:tplc="EF1227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B1CA0"/>
    <w:multiLevelType w:val="hybridMultilevel"/>
    <w:tmpl w:val="118A32A4"/>
    <w:lvl w:ilvl="0" w:tplc="87346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C04A8"/>
    <w:multiLevelType w:val="hybridMultilevel"/>
    <w:tmpl w:val="D91C88AC"/>
    <w:lvl w:ilvl="0" w:tplc="4BC2E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C47FD"/>
    <w:multiLevelType w:val="hybridMultilevel"/>
    <w:tmpl w:val="785E4C9A"/>
    <w:lvl w:ilvl="0" w:tplc="DBEEBF9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ca Lopotenco">
    <w15:presenceInfo w15:providerId="AD" w15:userId="S-1-5-21-3100162116-2183406274-1299254288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2"/>
    <w:rsid w:val="00045452"/>
    <w:rsid w:val="000A3539"/>
    <w:rsid w:val="000F07B5"/>
    <w:rsid w:val="00217128"/>
    <w:rsid w:val="004420FB"/>
    <w:rsid w:val="00480053"/>
    <w:rsid w:val="005A4297"/>
    <w:rsid w:val="005A649C"/>
    <w:rsid w:val="00F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1620"/>
  <w15:chartTrackingRefBased/>
  <w15:docId w15:val="{7A61E4FC-BC07-4ED9-9A71-B5CAD3A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rsid w:val="000A3539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0A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39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0A353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7870-C905-4E63-8533-3EE2DAE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Mediului al Republicii Moldova</Company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Lopotenco</dc:creator>
  <cp:keywords/>
  <dc:description/>
  <cp:lastModifiedBy>Veronica Lopotenco</cp:lastModifiedBy>
  <cp:revision>2</cp:revision>
  <dcterms:created xsi:type="dcterms:W3CDTF">2018-03-02T13:45:00Z</dcterms:created>
  <dcterms:modified xsi:type="dcterms:W3CDTF">2018-03-02T14:33:00Z</dcterms:modified>
</cp:coreProperties>
</file>