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6F" w:rsidRPr="009243B9" w:rsidRDefault="00804BB2" w:rsidP="0018546F">
      <w:pPr>
        <w:pStyle w:val="Heading1"/>
        <w:jc w:val="right"/>
        <w:rPr>
          <w:i/>
          <w:iCs/>
          <w:szCs w:val="28"/>
          <w:lang w:val="ro-MD"/>
        </w:rPr>
      </w:pPr>
      <w:r w:rsidRPr="009243B9">
        <w:rPr>
          <w:i/>
          <w:iCs/>
          <w:szCs w:val="28"/>
          <w:lang w:val="ro-MD"/>
        </w:rPr>
        <w:t>Proiect</w:t>
      </w:r>
    </w:p>
    <w:p w:rsidR="0018546F" w:rsidRPr="009243B9" w:rsidRDefault="00804BB2" w:rsidP="0018546F">
      <w:pPr>
        <w:pStyle w:val="Heading2"/>
        <w:jc w:val="center"/>
        <w:rPr>
          <w:rFonts w:ascii="Times New Roman" w:hAnsi="Times New Roman" w:cs="Times New Roman"/>
          <w:i w:val="0"/>
          <w:lang w:val="ro-MD"/>
        </w:rPr>
      </w:pPr>
      <w:r w:rsidRPr="009243B9">
        <w:rPr>
          <w:rFonts w:ascii="Times New Roman" w:hAnsi="Times New Roman" w:cs="Times New Roman"/>
          <w:i w:val="0"/>
          <w:lang w:val="ro-MD"/>
        </w:rPr>
        <w:t>GUVERNUL REPUBLICII MOLDOVA</w:t>
      </w:r>
    </w:p>
    <w:p w:rsidR="0018546F" w:rsidRPr="009243B9" w:rsidRDefault="0018546F" w:rsidP="0018546F">
      <w:pPr>
        <w:jc w:val="center"/>
        <w:rPr>
          <w:rFonts w:ascii="Times New Roman" w:hAnsi="Times New Roman"/>
          <w:sz w:val="28"/>
          <w:szCs w:val="28"/>
          <w:lang w:val="ro-MD"/>
        </w:rPr>
      </w:pPr>
    </w:p>
    <w:p w:rsidR="00C4220F" w:rsidRPr="009243B9" w:rsidRDefault="00C4220F" w:rsidP="0018546F">
      <w:pPr>
        <w:jc w:val="center"/>
        <w:rPr>
          <w:rFonts w:ascii="Times New Roman" w:hAnsi="Times New Roman"/>
          <w:sz w:val="28"/>
          <w:szCs w:val="28"/>
          <w:lang w:val="ro-MD"/>
        </w:rPr>
      </w:pPr>
    </w:p>
    <w:p w:rsidR="0018546F" w:rsidRPr="009243B9" w:rsidRDefault="00804BB2" w:rsidP="0018546F">
      <w:pPr>
        <w:spacing w:line="360" w:lineRule="auto"/>
        <w:jc w:val="center"/>
        <w:rPr>
          <w:rFonts w:ascii="Times New Roman" w:hAnsi="Times New Roman"/>
          <w:sz w:val="28"/>
          <w:szCs w:val="28"/>
          <w:lang w:val="ro-MD"/>
        </w:rPr>
      </w:pPr>
      <w:r w:rsidRPr="009243B9">
        <w:rPr>
          <w:rFonts w:ascii="Times New Roman" w:hAnsi="Times New Roman"/>
          <w:b/>
          <w:sz w:val="28"/>
          <w:szCs w:val="28"/>
          <w:lang w:val="ro-MD"/>
        </w:rPr>
        <w:t>H O T Ă R Î R E</w:t>
      </w:r>
      <w:r w:rsidRPr="009243B9">
        <w:rPr>
          <w:rFonts w:ascii="Times New Roman" w:hAnsi="Times New Roman"/>
          <w:sz w:val="28"/>
          <w:szCs w:val="28"/>
          <w:lang w:val="ro-MD"/>
        </w:rPr>
        <w:t xml:space="preserve">   nr._____</w:t>
      </w:r>
    </w:p>
    <w:p w:rsidR="00C4220F" w:rsidRPr="009243B9" w:rsidRDefault="00C4220F" w:rsidP="0018546F">
      <w:pPr>
        <w:spacing w:line="360" w:lineRule="auto"/>
        <w:jc w:val="center"/>
        <w:rPr>
          <w:rFonts w:ascii="Times New Roman" w:hAnsi="Times New Roman"/>
          <w:sz w:val="28"/>
          <w:szCs w:val="28"/>
          <w:lang w:val="ro-MD"/>
        </w:rPr>
      </w:pPr>
    </w:p>
    <w:p w:rsidR="0018546F" w:rsidRPr="009243B9" w:rsidRDefault="00804BB2" w:rsidP="0018546F">
      <w:pPr>
        <w:spacing w:line="360" w:lineRule="auto"/>
        <w:jc w:val="center"/>
        <w:rPr>
          <w:rFonts w:ascii="Times New Roman" w:eastAsia="Times New Roman" w:hAnsi="Times New Roman"/>
          <w:sz w:val="28"/>
          <w:szCs w:val="28"/>
          <w:lang w:val="ro-MD"/>
        </w:rPr>
      </w:pPr>
      <w:r w:rsidRPr="009243B9">
        <w:rPr>
          <w:rFonts w:ascii="Times New Roman" w:eastAsia="Times New Roman" w:hAnsi="Times New Roman"/>
          <w:sz w:val="28"/>
          <w:szCs w:val="28"/>
          <w:lang w:val="ro-MD"/>
        </w:rPr>
        <w:t>din _________________________</w:t>
      </w:r>
    </w:p>
    <w:p w:rsidR="0018546F" w:rsidRPr="009243B9" w:rsidRDefault="0018546F" w:rsidP="0018546F">
      <w:pPr>
        <w:pStyle w:val="cn"/>
        <w:ind w:right="707"/>
        <w:rPr>
          <w:sz w:val="28"/>
          <w:szCs w:val="28"/>
          <w:lang w:val="ro-MD"/>
        </w:rPr>
      </w:pPr>
    </w:p>
    <w:p w:rsidR="00C4220F" w:rsidRPr="009243B9" w:rsidRDefault="00C4220F" w:rsidP="0018546F">
      <w:pPr>
        <w:pStyle w:val="cn"/>
        <w:ind w:right="707"/>
        <w:rPr>
          <w:sz w:val="28"/>
          <w:szCs w:val="28"/>
          <w:lang w:val="ro-MD"/>
        </w:rPr>
      </w:pPr>
    </w:p>
    <w:p w:rsidR="0018546F" w:rsidRPr="009243B9" w:rsidRDefault="00804BB2" w:rsidP="00E17990">
      <w:pPr>
        <w:pStyle w:val="tt"/>
        <w:rPr>
          <w:sz w:val="28"/>
          <w:szCs w:val="28"/>
          <w:lang w:val="ro-MD"/>
        </w:rPr>
      </w:pPr>
      <w:r w:rsidRPr="009243B9">
        <w:rPr>
          <w:sz w:val="28"/>
          <w:szCs w:val="28"/>
          <w:lang w:val="ro-MD"/>
        </w:rPr>
        <w:t>cu privire la modificarea hotărîrii Guvernului nr.110  din  23 februarie 2011</w:t>
      </w:r>
    </w:p>
    <w:p w:rsidR="0018546F" w:rsidRPr="009243B9" w:rsidRDefault="00804BB2" w:rsidP="0018546F">
      <w:pPr>
        <w:pStyle w:val="NormalWeb"/>
        <w:rPr>
          <w:sz w:val="28"/>
          <w:szCs w:val="28"/>
          <w:lang w:val="ro-MD"/>
        </w:rPr>
      </w:pPr>
      <w:r w:rsidRPr="009243B9">
        <w:rPr>
          <w:sz w:val="28"/>
          <w:szCs w:val="28"/>
          <w:lang w:val="ro-MD"/>
        </w:rPr>
        <w:t> </w:t>
      </w:r>
    </w:p>
    <w:p w:rsidR="0018546F" w:rsidRPr="009243B9" w:rsidRDefault="00804BB2" w:rsidP="0018546F">
      <w:pPr>
        <w:pStyle w:val="NormalWeb"/>
        <w:rPr>
          <w:sz w:val="28"/>
          <w:szCs w:val="28"/>
          <w:lang w:val="ro-MD"/>
        </w:rPr>
      </w:pPr>
      <w:r w:rsidRPr="009243B9">
        <w:rPr>
          <w:sz w:val="28"/>
          <w:szCs w:val="28"/>
          <w:lang w:val="ro-MD"/>
        </w:rPr>
        <w:t> </w:t>
      </w:r>
    </w:p>
    <w:p w:rsidR="004322BE" w:rsidRPr="009243B9" w:rsidRDefault="00804BB2" w:rsidP="00212051">
      <w:pPr>
        <w:pStyle w:val="cb"/>
        <w:ind w:right="-1" w:firstLine="567"/>
        <w:jc w:val="both"/>
        <w:rPr>
          <w:b w:val="0"/>
          <w:color w:val="000000" w:themeColor="text1"/>
          <w:sz w:val="28"/>
          <w:szCs w:val="28"/>
          <w:lang w:val="ro-MD"/>
        </w:rPr>
      </w:pPr>
      <w:r w:rsidRPr="009243B9">
        <w:rPr>
          <w:b w:val="0"/>
          <w:color w:val="000000" w:themeColor="text1"/>
          <w:sz w:val="28"/>
          <w:szCs w:val="28"/>
          <w:lang w:val="ro-MD"/>
        </w:rPr>
        <w:t xml:space="preserve">În temeiul art.6 alin. (1) lit.f) din </w:t>
      </w:r>
      <w:hyperlink r:id="rId6" w:history="1">
        <w:r w:rsidRPr="009243B9">
          <w:rPr>
            <w:b w:val="0"/>
            <w:sz w:val="28"/>
            <w:szCs w:val="28"/>
            <w:lang w:val="ro-MD"/>
          </w:rPr>
          <w:t>Legea nr.121-XVI din 4 mai 2007</w:t>
        </w:r>
      </w:hyperlink>
      <w:r w:rsidRPr="009243B9">
        <w:rPr>
          <w:b w:val="0"/>
          <w:color w:val="000000" w:themeColor="text1"/>
          <w:sz w:val="28"/>
          <w:szCs w:val="28"/>
          <w:lang w:val="ro-MD"/>
        </w:rPr>
        <w:t xml:space="preserve"> privind administrarea şi deetatizarea proprietăţii publice (Monitorul Oficial al Republicii Moldova, 2007, nr.90-93, art.401), cu modificările şi completările ulterioare, Guvernul HOTĂRĂŞTE: </w:t>
      </w:r>
    </w:p>
    <w:p w:rsidR="00C4220F" w:rsidRPr="009243B9" w:rsidRDefault="00C4220F" w:rsidP="0018546F">
      <w:pPr>
        <w:pStyle w:val="cb"/>
        <w:rPr>
          <w:b w:val="0"/>
          <w:color w:val="000000" w:themeColor="text1"/>
          <w:sz w:val="28"/>
          <w:szCs w:val="28"/>
          <w:lang w:val="ro-MD"/>
        </w:rPr>
      </w:pPr>
    </w:p>
    <w:p w:rsidR="00023FDB" w:rsidRPr="009243B9" w:rsidRDefault="00804BB2" w:rsidP="00023FDB">
      <w:pPr>
        <w:pStyle w:val="tt"/>
        <w:ind w:firstLine="567"/>
        <w:jc w:val="both"/>
        <w:rPr>
          <w:b w:val="0"/>
          <w:sz w:val="28"/>
          <w:szCs w:val="28"/>
          <w:lang w:val="ro-MD"/>
        </w:rPr>
      </w:pPr>
      <w:r w:rsidRPr="009243B9">
        <w:rPr>
          <w:b w:val="0"/>
          <w:color w:val="000000" w:themeColor="text1"/>
          <w:sz w:val="28"/>
          <w:szCs w:val="28"/>
          <w:lang w:val="ro-MD"/>
        </w:rPr>
        <w:t>H</w:t>
      </w:r>
      <w:hyperlink r:id="rId7" w:history="1">
        <w:r w:rsidRPr="009243B9">
          <w:rPr>
            <w:b w:val="0"/>
            <w:color w:val="000000" w:themeColor="text1"/>
            <w:sz w:val="28"/>
            <w:szCs w:val="28"/>
            <w:lang w:val="ro-MD"/>
          </w:rPr>
          <w:t>otărîrea Guvernului nr.110 din 23 februarie 20</w:t>
        </w:r>
      </w:hyperlink>
      <w:r w:rsidRPr="009243B9">
        <w:rPr>
          <w:b w:val="0"/>
          <w:sz w:val="28"/>
          <w:szCs w:val="28"/>
          <w:lang w:val="ro-MD"/>
        </w:rPr>
        <w:t>11</w:t>
      </w:r>
      <w:r w:rsidRPr="009243B9">
        <w:rPr>
          <w:b w:val="0"/>
          <w:color w:val="000000" w:themeColor="text1"/>
          <w:sz w:val="28"/>
          <w:szCs w:val="28"/>
          <w:lang w:val="ro-MD"/>
        </w:rPr>
        <w:t xml:space="preserve"> „Cu privire </w:t>
      </w:r>
      <w:r w:rsidRPr="009243B9">
        <w:rPr>
          <w:b w:val="0"/>
          <w:bCs w:val="0"/>
          <w:color w:val="000000" w:themeColor="text1"/>
          <w:sz w:val="28"/>
          <w:szCs w:val="28"/>
          <w:lang w:val="ro-MD"/>
        </w:rPr>
        <w:t>la unele aspecte ce țin de repartizarea profitului net anual al societăților pe acțiuni cu cotă de participare a statului şi al întreprinderilor de stat</w:t>
      </w:r>
      <w:r w:rsidRPr="009243B9">
        <w:rPr>
          <w:color w:val="000000" w:themeColor="text1"/>
          <w:sz w:val="28"/>
          <w:szCs w:val="28"/>
          <w:lang w:val="ro-MD"/>
        </w:rPr>
        <w:t xml:space="preserve">” </w:t>
      </w:r>
      <w:r w:rsidRPr="009243B9">
        <w:rPr>
          <w:b w:val="0"/>
          <w:color w:val="000000" w:themeColor="text1"/>
          <w:sz w:val="28"/>
          <w:szCs w:val="28"/>
          <w:lang w:val="ro-MD"/>
        </w:rPr>
        <w:t xml:space="preserve">(Monitorul Oficial al Republicii Moldova, 2011, nr.34-36, art.137), cu modificările şi completările ulterioare, se modifică </w:t>
      </w:r>
      <w:r w:rsidRPr="009243B9">
        <w:rPr>
          <w:b w:val="0"/>
          <w:sz w:val="28"/>
          <w:szCs w:val="28"/>
          <w:lang w:val="ro-MD"/>
        </w:rPr>
        <w:t>după cum urmează:</w:t>
      </w:r>
    </w:p>
    <w:p w:rsidR="00E64555" w:rsidRPr="009243B9" w:rsidRDefault="00804BB2" w:rsidP="00E64555">
      <w:pPr>
        <w:pStyle w:val="tt"/>
        <w:numPr>
          <w:ilvl w:val="0"/>
          <w:numId w:val="2"/>
        </w:numPr>
        <w:tabs>
          <w:tab w:val="left" w:pos="993"/>
        </w:tabs>
        <w:ind w:left="0" w:firstLine="567"/>
        <w:jc w:val="both"/>
        <w:rPr>
          <w:b w:val="0"/>
          <w:bCs w:val="0"/>
          <w:color w:val="000000" w:themeColor="text1"/>
          <w:sz w:val="28"/>
          <w:szCs w:val="28"/>
          <w:lang w:val="ro-MD"/>
        </w:rPr>
      </w:pPr>
      <w:r w:rsidRPr="009243B9">
        <w:rPr>
          <w:b w:val="0"/>
          <w:bCs w:val="0"/>
          <w:color w:val="000000" w:themeColor="text1"/>
          <w:sz w:val="28"/>
          <w:szCs w:val="28"/>
          <w:lang w:val="ro-MD"/>
        </w:rPr>
        <w:t>Punctul 1 va avea următorul cuprins:</w:t>
      </w:r>
    </w:p>
    <w:p w:rsidR="004322BE" w:rsidRPr="009243B9" w:rsidRDefault="00804BB2">
      <w:pPr>
        <w:pStyle w:val="tt"/>
        <w:tabs>
          <w:tab w:val="left" w:pos="993"/>
        </w:tabs>
        <w:ind w:left="567"/>
        <w:jc w:val="both"/>
        <w:rPr>
          <w:b w:val="0"/>
          <w:bCs w:val="0"/>
          <w:color w:val="000000" w:themeColor="text1"/>
          <w:sz w:val="28"/>
          <w:szCs w:val="28"/>
          <w:lang w:val="ro-MD"/>
        </w:rPr>
      </w:pPr>
      <w:r w:rsidRPr="009243B9">
        <w:rPr>
          <w:b w:val="0"/>
          <w:bCs w:val="0"/>
          <w:color w:val="000000" w:themeColor="text1"/>
          <w:sz w:val="28"/>
          <w:szCs w:val="28"/>
          <w:lang w:val="ro-MD"/>
        </w:rPr>
        <w:t>”1. Agenția Proprietății Publice:</w:t>
      </w:r>
    </w:p>
    <w:p w:rsidR="00E64555" w:rsidRPr="009243B9" w:rsidRDefault="00804BB2" w:rsidP="00E64555">
      <w:pPr>
        <w:pStyle w:val="NormalWeb"/>
        <w:rPr>
          <w:sz w:val="28"/>
          <w:szCs w:val="28"/>
          <w:lang w:val="ro-MD"/>
        </w:rPr>
      </w:pPr>
      <w:r w:rsidRPr="009243B9">
        <w:rPr>
          <w:color w:val="000000" w:themeColor="text1"/>
          <w:sz w:val="28"/>
          <w:szCs w:val="28"/>
          <w:lang w:val="ro-MD"/>
        </w:rPr>
        <w:t>1) va</w:t>
      </w:r>
      <w:r w:rsidRPr="009243B9">
        <w:rPr>
          <w:sz w:val="28"/>
          <w:szCs w:val="28"/>
          <w:lang w:val="ro-MD"/>
        </w:rPr>
        <w:t xml:space="preserve"> înainta, pînă la data de 20 ianuarie a fiecărui an, consiliilor societăţilor pe acţiuni în care cota statului depăşeşte 5 la sută din acţiunile cu drept de vot, o cerere cu privire la includerea pe ordinea de zi a adunării generale a acţionarilor a chestiunii ce ţine de repartizarea profitului net al societăţii obținut în anul precedent celui gestionar şi aprobarea normativelor de repartizare a profitului net pe anul gestionar;</w:t>
      </w:r>
    </w:p>
    <w:p w:rsidR="0018546F" w:rsidRPr="009243B9" w:rsidRDefault="00804BB2" w:rsidP="0018546F">
      <w:pPr>
        <w:pStyle w:val="NormalWeb"/>
        <w:rPr>
          <w:color w:val="000000" w:themeColor="text1"/>
          <w:sz w:val="28"/>
          <w:szCs w:val="28"/>
          <w:lang w:val="ro-MD"/>
        </w:rPr>
      </w:pPr>
      <w:r w:rsidRPr="009243B9">
        <w:rPr>
          <w:color w:val="000000" w:themeColor="text1"/>
          <w:sz w:val="28"/>
          <w:szCs w:val="28"/>
          <w:lang w:val="ro-MD"/>
        </w:rPr>
        <w:t>2) va promova, prin intermediul reprezentantului statului, la adunarea generală a acționarilor</w:t>
      </w:r>
      <w:r w:rsidR="002F21E7">
        <w:rPr>
          <w:color w:val="000000" w:themeColor="text1"/>
          <w:sz w:val="28"/>
          <w:szCs w:val="28"/>
          <w:lang w:val="ro-MD"/>
        </w:rPr>
        <w:t xml:space="preserve"> societăților pe acțiuni cu cotă majoritară de stat</w:t>
      </w:r>
      <w:r w:rsidRPr="009243B9">
        <w:rPr>
          <w:color w:val="000000" w:themeColor="text1"/>
          <w:sz w:val="28"/>
          <w:szCs w:val="28"/>
          <w:lang w:val="ro-MD"/>
        </w:rPr>
        <w:t xml:space="preserve">, adoptarea deciziei privind distribuirea, pentru plata dividendelor, a unei părţi a profitului net obținut </w:t>
      </w:r>
      <w:r w:rsidR="0072006B">
        <w:rPr>
          <w:color w:val="000000" w:themeColor="text1"/>
          <w:sz w:val="28"/>
          <w:szCs w:val="28"/>
          <w:lang w:val="ro-MD"/>
        </w:rPr>
        <w:t xml:space="preserve"> </w:t>
      </w:r>
      <w:r w:rsidRPr="009243B9">
        <w:rPr>
          <w:color w:val="000000" w:themeColor="text1"/>
          <w:sz w:val="28"/>
          <w:szCs w:val="28"/>
          <w:lang w:val="ro-MD"/>
        </w:rPr>
        <w:t>în anul precedent celui gestionar în proporţie nu mai mică de 10 la sută din valoarea totală a acestuia</w:t>
      </w:r>
      <w:r w:rsidR="0072006B">
        <w:rPr>
          <w:color w:val="000000" w:themeColor="text1"/>
          <w:sz w:val="28"/>
          <w:szCs w:val="28"/>
          <w:lang w:val="ro-MD"/>
        </w:rPr>
        <w:t>, în dependență de situația economico-financiară a societății</w:t>
      </w:r>
      <w:r w:rsidR="003052BD">
        <w:rPr>
          <w:color w:val="000000" w:themeColor="text1"/>
          <w:sz w:val="28"/>
          <w:szCs w:val="28"/>
          <w:lang w:val="ro-MD"/>
        </w:rPr>
        <w:t xml:space="preserve"> respective</w:t>
      </w:r>
      <w:r w:rsidRPr="009243B9">
        <w:rPr>
          <w:color w:val="000000" w:themeColor="text1"/>
          <w:sz w:val="28"/>
          <w:szCs w:val="28"/>
          <w:lang w:val="ro-MD"/>
        </w:rPr>
        <w:t>;</w:t>
      </w:r>
    </w:p>
    <w:p w:rsidR="00E503E3" w:rsidRPr="009243B9" w:rsidRDefault="00804BB2" w:rsidP="00E503E3">
      <w:pPr>
        <w:pStyle w:val="NormalWeb"/>
        <w:rPr>
          <w:sz w:val="28"/>
          <w:szCs w:val="28"/>
          <w:lang w:val="ro-MD"/>
        </w:rPr>
      </w:pPr>
      <w:r w:rsidRPr="009243B9">
        <w:rPr>
          <w:sz w:val="28"/>
          <w:szCs w:val="28"/>
          <w:lang w:val="ro-MD"/>
        </w:rPr>
        <w:t xml:space="preserve">3) va </w:t>
      </w:r>
      <w:r w:rsidR="0072006B">
        <w:rPr>
          <w:sz w:val="28"/>
          <w:szCs w:val="28"/>
          <w:lang w:val="ro-MD"/>
        </w:rPr>
        <w:t>decide</w:t>
      </w:r>
      <w:r w:rsidRPr="009243B9">
        <w:rPr>
          <w:sz w:val="28"/>
          <w:szCs w:val="28"/>
          <w:lang w:val="ro-MD"/>
        </w:rPr>
        <w:t xml:space="preserve">, </w:t>
      </w:r>
      <w:r w:rsidR="00525DE7" w:rsidRPr="009243B9">
        <w:rPr>
          <w:sz w:val="28"/>
          <w:szCs w:val="28"/>
          <w:lang w:val="ro-MD"/>
        </w:rPr>
        <w:t>până</w:t>
      </w:r>
      <w:r w:rsidRPr="009243B9">
        <w:rPr>
          <w:sz w:val="28"/>
          <w:szCs w:val="28"/>
          <w:lang w:val="ro-MD"/>
        </w:rPr>
        <w:t xml:space="preserve"> la data de 30 mai a anului gestionar, cu privire la defalcarea în bugetul de stat a unei părţi din profitul net obţinut</w:t>
      </w:r>
      <w:r w:rsidR="002F21E7">
        <w:rPr>
          <w:sz w:val="28"/>
          <w:szCs w:val="28"/>
          <w:lang w:val="ro-MD"/>
        </w:rPr>
        <w:t xml:space="preserve"> de întreprinder</w:t>
      </w:r>
      <w:r w:rsidR="003052BD">
        <w:rPr>
          <w:sz w:val="28"/>
          <w:szCs w:val="28"/>
          <w:lang w:val="ro-MD"/>
        </w:rPr>
        <w:t>ile</w:t>
      </w:r>
      <w:r w:rsidR="002F21E7">
        <w:rPr>
          <w:sz w:val="28"/>
          <w:szCs w:val="28"/>
          <w:lang w:val="ro-MD"/>
        </w:rPr>
        <w:t xml:space="preserve"> de stat </w:t>
      </w:r>
      <w:r w:rsidRPr="009243B9">
        <w:rPr>
          <w:sz w:val="28"/>
          <w:szCs w:val="28"/>
          <w:lang w:val="ro-MD"/>
        </w:rPr>
        <w:t xml:space="preserve"> </w:t>
      </w:r>
      <w:r w:rsidRPr="009243B9">
        <w:rPr>
          <w:color w:val="000000" w:themeColor="text1"/>
          <w:sz w:val="28"/>
          <w:szCs w:val="28"/>
          <w:lang w:val="ro-MD"/>
        </w:rPr>
        <w:t>în anul precedent celui gestionar</w:t>
      </w:r>
      <w:r w:rsidR="002F21E7">
        <w:rPr>
          <w:color w:val="000000" w:themeColor="text1"/>
          <w:sz w:val="28"/>
          <w:szCs w:val="28"/>
          <w:lang w:val="ro-MD"/>
        </w:rPr>
        <w:t xml:space="preserve"> </w:t>
      </w:r>
      <w:r w:rsidR="002F21E7" w:rsidRPr="00D03A90">
        <w:rPr>
          <w:color w:val="000000" w:themeColor="text1"/>
          <w:sz w:val="28"/>
          <w:szCs w:val="28"/>
          <w:lang w:val="ro-MD"/>
        </w:rPr>
        <w:t>în proporţie nu mai mică de 10 la sută din valoarea totală a acestuia</w:t>
      </w:r>
      <w:r w:rsidR="002F21E7">
        <w:rPr>
          <w:color w:val="000000" w:themeColor="text1"/>
          <w:sz w:val="28"/>
          <w:szCs w:val="28"/>
          <w:lang w:val="ro-MD"/>
        </w:rPr>
        <w:t>, în dependență de situația economico-financiară a întreprinderii</w:t>
      </w:r>
      <w:r w:rsidR="003052BD">
        <w:rPr>
          <w:color w:val="000000" w:themeColor="text1"/>
          <w:sz w:val="28"/>
          <w:szCs w:val="28"/>
          <w:lang w:val="ro-MD"/>
        </w:rPr>
        <w:t xml:space="preserve"> respective</w:t>
      </w:r>
      <w:r w:rsidRPr="009243B9">
        <w:rPr>
          <w:sz w:val="28"/>
          <w:szCs w:val="28"/>
          <w:lang w:val="ro-MD"/>
        </w:rPr>
        <w:t xml:space="preserve">; </w:t>
      </w:r>
    </w:p>
    <w:p w:rsidR="003D4E77" w:rsidRPr="009243B9" w:rsidRDefault="00804BB2" w:rsidP="003D4E77">
      <w:pPr>
        <w:pStyle w:val="NormalWeb"/>
        <w:rPr>
          <w:sz w:val="28"/>
          <w:szCs w:val="28"/>
          <w:lang w:val="ro-MD"/>
        </w:rPr>
      </w:pPr>
      <w:r w:rsidRPr="009243B9">
        <w:rPr>
          <w:color w:val="000000" w:themeColor="text1"/>
          <w:sz w:val="28"/>
          <w:szCs w:val="28"/>
          <w:lang w:val="ro-MD"/>
        </w:rPr>
        <w:t xml:space="preserve">4) </w:t>
      </w:r>
      <w:r w:rsidRPr="009243B9">
        <w:rPr>
          <w:sz w:val="28"/>
          <w:szCs w:val="28"/>
          <w:lang w:val="ro-MD"/>
        </w:rPr>
        <w:t xml:space="preserve">nu va promova decizii cu privire la plata dividendelor/defalcărilor în bugetul de stat, în cazul în care: </w:t>
      </w:r>
    </w:p>
    <w:p w:rsidR="003D4E77" w:rsidRPr="009243B9" w:rsidRDefault="00804BB2" w:rsidP="003D4E77">
      <w:pPr>
        <w:pStyle w:val="NormalWeb"/>
        <w:rPr>
          <w:sz w:val="28"/>
          <w:szCs w:val="28"/>
          <w:lang w:val="ro-MD"/>
        </w:rPr>
      </w:pPr>
      <w:r w:rsidRPr="009243B9">
        <w:rPr>
          <w:sz w:val="28"/>
          <w:szCs w:val="28"/>
          <w:lang w:val="ro-MD"/>
        </w:rPr>
        <w:t xml:space="preserve">a) întreprinderea este insolvabilă sau plata dividendelor/defalcărilor în bugetul de stat va conduce la insolvabilitatea ei; </w:t>
      </w:r>
    </w:p>
    <w:p w:rsidR="003D4E77" w:rsidRPr="009243B9" w:rsidRDefault="00804BB2" w:rsidP="003D4E77">
      <w:pPr>
        <w:pStyle w:val="NormalWeb"/>
        <w:rPr>
          <w:sz w:val="28"/>
          <w:szCs w:val="28"/>
          <w:lang w:val="ro-MD"/>
        </w:rPr>
      </w:pPr>
      <w:r w:rsidRPr="009243B9">
        <w:rPr>
          <w:sz w:val="28"/>
          <w:szCs w:val="28"/>
          <w:lang w:val="ro-MD"/>
        </w:rPr>
        <w:t xml:space="preserve">b) valoarea activelor nete, conform ultimilor situații financiare ale întreprinderii, este mai mică decît capitalul ei social sau va deveni mai mică în urma plăţii dividendelor/defalcărilor în bugetul de stat; </w:t>
      </w:r>
    </w:p>
    <w:p w:rsidR="003D4E77" w:rsidRPr="009243B9" w:rsidRDefault="00804BB2" w:rsidP="003D4E77">
      <w:pPr>
        <w:pStyle w:val="NormalWeb"/>
        <w:rPr>
          <w:color w:val="000000" w:themeColor="text1"/>
          <w:sz w:val="28"/>
          <w:szCs w:val="28"/>
          <w:lang w:val="ro-MD"/>
        </w:rPr>
      </w:pPr>
      <w:r w:rsidRPr="009243B9">
        <w:rPr>
          <w:color w:val="000000" w:themeColor="text1"/>
          <w:sz w:val="28"/>
          <w:szCs w:val="28"/>
          <w:lang w:val="ro-MD"/>
        </w:rPr>
        <w:t>c) întreprinderea nu dispune de mijloace financiare necesare pentru realizarea planului de afaceri/investiții, aprobat de adunarea generală a acționarilor societății pe acțiuni/consiliul de administrație al întreprinderii de stat;</w:t>
      </w:r>
    </w:p>
    <w:p w:rsidR="003D4E77" w:rsidRPr="009243B9" w:rsidRDefault="00804BB2" w:rsidP="003D4E77">
      <w:pPr>
        <w:pStyle w:val="NormalWeb"/>
        <w:rPr>
          <w:sz w:val="28"/>
          <w:szCs w:val="28"/>
          <w:lang w:val="ro-MD"/>
        </w:rPr>
      </w:pPr>
      <w:r w:rsidRPr="009243B9">
        <w:rPr>
          <w:color w:val="000000" w:themeColor="text1"/>
          <w:sz w:val="28"/>
          <w:szCs w:val="28"/>
          <w:lang w:val="ro-MD"/>
        </w:rPr>
        <w:t xml:space="preserve">d) pierderile anilor precedenți, conform </w:t>
      </w:r>
      <w:r w:rsidR="00050DD0">
        <w:rPr>
          <w:color w:val="000000" w:themeColor="text1"/>
          <w:sz w:val="28"/>
          <w:szCs w:val="28"/>
          <w:lang w:val="ro-MD"/>
        </w:rPr>
        <w:t xml:space="preserve">ultimelor </w:t>
      </w:r>
      <w:r w:rsidRPr="009243B9">
        <w:rPr>
          <w:color w:val="000000" w:themeColor="text1"/>
          <w:sz w:val="28"/>
          <w:szCs w:val="28"/>
          <w:lang w:val="ro-MD"/>
        </w:rPr>
        <w:t>situații financiare, sunt mai mari decât profitul net obținut de întreprindere;</w:t>
      </w:r>
    </w:p>
    <w:p w:rsidR="003D4E77" w:rsidRPr="009243B9" w:rsidRDefault="00804BB2" w:rsidP="003D4E77">
      <w:pPr>
        <w:pStyle w:val="NormalWeb"/>
        <w:rPr>
          <w:sz w:val="28"/>
          <w:szCs w:val="28"/>
          <w:lang w:val="ro-MD"/>
        </w:rPr>
      </w:pPr>
      <w:r w:rsidRPr="009243B9">
        <w:rPr>
          <w:sz w:val="28"/>
          <w:szCs w:val="28"/>
          <w:lang w:val="ro-MD"/>
        </w:rPr>
        <w:t>e) întreprinderea este subiect al unor acorduri în vigoare ale Republicii Moldova, care prevăd scutirea de plata dividendelor sau defalcărilor în bugetul de stat.</w:t>
      </w:r>
    </w:p>
    <w:p w:rsidR="003D4E77" w:rsidRDefault="00804BB2" w:rsidP="003D4E77">
      <w:pPr>
        <w:pStyle w:val="NormalWeb"/>
        <w:rPr>
          <w:sz w:val="28"/>
          <w:szCs w:val="28"/>
          <w:lang w:val="ro-MD"/>
        </w:rPr>
      </w:pPr>
      <w:r w:rsidRPr="009243B9">
        <w:rPr>
          <w:sz w:val="28"/>
          <w:szCs w:val="28"/>
          <w:lang w:val="ro-MD"/>
        </w:rPr>
        <w:t xml:space="preserve">5) va </w:t>
      </w:r>
      <w:r w:rsidR="00F2747B">
        <w:rPr>
          <w:sz w:val="28"/>
          <w:szCs w:val="28"/>
          <w:lang w:val="ro-MD"/>
        </w:rPr>
        <w:t xml:space="preserve">decide, în cazul întreprinderilor de stat și va </w:t>
      </w:r>
      <w:r w:rsidR="00B93759">
        <w:rPr>
          <w:sz w:val="28"/>
          <w:szCs w:val="28"/>
          <w:lang w:val="ro-MD"/>
        </w:rPr>
        <w:t>promova</w:t>
      </w:r>
      <w:r w:rsidR="00F2747B">
        <w:rPr>
          <w:sz w:val="28"/>
          <w:szCs w:val="28"/>
          <w:lang w:val="ro-MD"/>
        </w:rPr>
        <w:t>, în cazul societăților pe acțiuni cu cotă majoritară de stat,</w:t>
      </w:r>
      <w:r w:rsidR="00B93759" w:rsidRPr="009243B9">
        <w:rPr>
          <w:sz w:val="28"/>
          <w:szCs w:val="28"/>
          <w:lang w:val="ro-MD"/>
        </w:rPr>
        <w:t xml:space="preserve"> </w:t>
      </w:r>
      <w:r w:rsidR="00050DD0">
        <w:rPr>
          <w:color w:val="000000" w:themeColor="text1"/>
          <w:sz w:val="28"/>
          <w:szCs w:val="28"/>
          <w:lang w:val="ro-MD"/>
        </w:rPr>
        <w:t>adoptarea deciziei privind</w:t>
      </w:r>
      <w:r w:rsidRPr="009243B9">
        <w:rPr>
          <w:color w:val="000000" w:themeColor="text1"/>
          <w:sz w:val="28"/>
          <w:szCs w:val="28"/>
          <w:lang w:val="ro-MD"/>
        </w:rPr>
        <w:t xml:space="preserve"> </w:t>
      </w:r>
      <w:r w:rsidRPr="009243B9">
        <w:rPr>
          <w:sz w:val="28"/>
          <w:szCs w:val="28"/>
          <w:lang w:val="ro-MD"/>
        </w:rPr>
        <w:t>limitarea sumei destinate acţiunilor de filantropie (binefacere) şi sponsorizării pentru anul de gestiune pînă la 2% din profitul net obținut în anul precedent celui gestionar, dar nu mai mult de 400000 de lei.”;</w:t>
      </w:r>
    </w:p>
    <w:p w:rsidR="00A96A00" w:rsidRPr="009243B9" w:rsidRDefault="00804BB2" w:rsidP="0018546F">
      <w:pPr>
        <w:pStyle w:val="NormalWeb"/>
        <w:rPr>
          <w:color w:val="000000" w:themeColor="text1"/>
          <w:sz w:val="28"/>
          <w:szCs w:val="28"/>
          <w:lang w:val="ro-MD"/>
        </w:rPr>
      </w:pPr>
      <w:r w:rsidRPr="009243B9">
        <w:rPr>
          <w:color w:val="000000" w:themeColor="text1"/>
          <w:sz w:val="28"/>
          <w:szCs w:val="28"/>
          <w:lang w:val="ro-MD"/>
        </w:rPr>
        <w:t> 2) punctele 2, 2</w:t>
      </w:r>
      <w:r w:rsidRPr="009243B9">
        <w:rPr>
          <w:color w:val="000000" w:themeColor="text1"/>
          <w:sz w:val="28"/>
          <w:szCs w:val="28"/>
          <w:vertAlign w:val="superscript"/>
          <w:lang w:val="ro-MD"/>
        </w:rPr>
        <w:t>1</w:t>
      </w:r>
      <w:r w:rsidRPr="009243B9">
        <w:rPr>
          <w:color w:val="000000" w:themeColor="text1"/>
          <w:sz w:val="28"/>
          <w:szCs w:val="28"/>
          <w:lang w:val="ro-MD"/>
        </w:rPr>
        <w:t>, 3, 4 și  4</w:t>
      </w:r>
      <w:r w:rsidRPr="009243B9">
        <w:rPr>
          <w:color w:val="000000" w:themeColor="text1"/>
          <w:sz w:val="28"/>
          <w:szCs w:val="28"/>
          <w:vertAlign w:val="superscript"/>
          <w:lang w:val="ro-MD"/>
        </w:rPr>
        <w:t xml:space="preserve">2 </w:t>
      </w:r>
      <w:r w:rsidRPr="009243B9">
        <w:rPr>
          <w:color w:val="000000" w:themeColor="text1"/>
          <w:sz w:val="28"/>
          <w:szCs w:val="28"/>
          <w:lang w:val="ro-MD"/>
        </w:rPr>
        <w:t>se exclud.</w:t>
      </w:r>
    </w:p>
    <w:tbl>
      <w:tblPr>
        <w:tblpPr w:leftFromText="180" w:rightFromText="180" w:vertAnchor="text" w:horzAnchor="margin" w:tblpXSpec="center" w:tblpY="867"/>
        <w:tblW w:w="8789" w:type="dxa"/>
        <w:tblCellSpacing w:w="15" w:type="dxa"/>
        <w:tblCellMar>
          <w:top w:w="15" w:type="dxa"/>
          <w:left w:w="15" w:type="dxa"/>
          <w:bottom w:w="15" w:type="dxa"/>
          <w:right w:w="15" w:type="dxa"/>
        </w:tblCellMar>
        <w:tblLook w:val="04A0" w:firstRow="1" w:lastRow="0" w:firstColumn="1" w:lastColumn="0" w:noHBand="0" w:noVBand="1"/>
      </w:tblPr>
      <w:tblGrid>
        <w:gridCol w:w="6096"/>
        <w:gridCol w:w="2693"/>
      </w:tblGrid>
      <w:tr w:rsidR="0081347B" w:rsidRPr="00D03A90" w:rsidTr="00C36BD4">
        <w:trPr>
          <w:trHeight w:val="245"/>
          <w:tblCellSpacing w:w="15" w:type="dxa"/>
        </w:trPr>
        <w:tc>
          <w:tcPr>
            <w:tcW w:w="6051" w:type="dxa"/>
            <w:tcBorders>
              <w:top w:val="nil"/>
              <w:left w:val="nil"/>
              <w:bottom w:val="nil"/>
              <w:right w:val="nil"/>
            </w:tcBorders>
            <w:tcMar>
              <w:top w:w="15" w:type="dxa"/>
              <w:left w:w="45" w:type="dxa"/>
              <w:bottom w:w="15" w:type="dxa"/>
              <w:right w:w="45" w:type="dxa"/>
            </w:tcMar>
            <w:hideMark/>
          </w:tcPr>
          <w:p w:rsidR="0081347B" w:rsidRPr="009243B9" w:rsidRDefault="00804BB2" w:rsidP="00C4220F">
            <w:pPr>
              <w:rPr>
                <w:rFonts w:ascii="Times New Roman" w:hAnsi="Times New Roman"/>
                <w:b/>
                <w:bCs/>
                <w:sz w:val="28"/>
                <w:szCs w:val="28"/>
                <w:lang w:val="ro-MD"/>
              </w:rPr>
            </w:pPr>
            <w:r w:rsidRPr="009243B9">
              <w:rPr>
                <w:rFonts w:ascii="Times New Roman" w:hAnsi="Times New Roman"/>
                <w:b/>
                <w:bCs/>
                <w:sz w:val="28"/>
                <w:szCs w:val="28"/>
                <w:lang w:val="ro-MD"/>
              </w:rPr>
              <w:t>PRIM-MINISTRU</w:t>
            </w:r>
          </w:p>
        </w:tc>
        <w:tc>
          <w:tcPr>
            <w:tcW w:w="2648" w:type="dxa"/>
            <w:tcBorders>
              <w:top w:val="nil"/>
              <w:left w:val="nil"/>
              <w:bottom w:val="nil"/>
              <w:right w:val="nil"/>
            </w:tcBorders>
            <w:tcMar>
              <w:top w:w="15" w:type="dxa"/>
              <w:left w:w="45" w:type="dxa"/>
              <w:bottom w:w="15" w:type="dxa"/>
              <w:right w:w="45" w:type="dxa"/>
            </w:tcMar>
            <w:hideMark/>
          </w:tcPr>
          <w:p w:rsidR="0081347B" w:rsidRPr="009243B9" w:rsidRDefault="00804BB2" w:rsidP="00C4220F">
            <w:pPr>
              <w:rPr>
                <w:rFonts w:ascii="Times New Roman" w:hAnsi="Times New Roman"/>
                <w:b/>
                <w:bCs/>
                <w:sz w:val="28"/>
                <w:szCs w:val="28"/>
                <w:lang w:val="ro-MD"/>
              </w:rPr>
            </w:pPr>
            <w:r w:rsidRPr="009243B9">
              <w:rPr>
                <w:rFonts w:ascii="Times New Roman" w:hAnsi="Times New Roman"/>
                <w:b/>
                <w:bCs/>
                <w:sz w:val="28"/>
                <w:szCs w:val="28"/>
                <w:lang w:val="ro-MD"/>
              </w:rPr>
              <w:t xml:space="preserve">Pavel FILIP </w:t>
            </w:r>
          </w:p>
        </w:tc>
      </w:tr>
      <w:tr w:rsidR="0081347B" w:rsidRPr="00D03A90" w:rsidTr="00C36BD4">
        <w:trPr>
          <w:trHeight w:val="509"/>
          <w:tblCellSpacing w:w="15" w:type="dxa"/>
        </w:trPr>
        <w:tc>
          <w:tcPr>
            <w:tcW w:w="6051" w:type="dxa"/>
            <w:tcBorders>
              <w:top w:val="nil"/>
              <w:left w:val="nil"/>
              <w:bottom w:val="nil"/>
              <w:right w:val="nil"/>
            </w:tcBorders>
            <w:tcMar>
              <w:top w:w="15" w:type="dxa"/>
              <w:left w:w="45" w:type="dxa"/>
              <w:bottom w:w="15" w:type="dxa"/>
              <w:right w:w="45" w:type="dxa"/>
            </w:tcMar>
            <w:hideMark/>
          </w:tcPr>
          <w:p w:rsidR="0081347B" w:rsidRPr="009243B9" w:rsidRDefault="00804BB2" w:rsidP="00C4220F">
            <w:pPr>
              <w:rPr>
                <w:rFonts w:ascii="Times New Roman" w:hAnsi="Times New Roman"/>
                <w:b/>
                <w:bCs/>
                <w:sz w:val="28"/>
                <w:szCs w:val="28"/>
                <w:lang w:val="ro-MD"/>
              </w:rPr>
            </w:pPr>
            <w:r w:rsidRPr="009243B9">
              <w:rPr>
                <w:rFonts w:ascii="Times New Roman" w:hAnsi="Times New Roman"/>
                <w:b/>
                <w:bCs/>
                <w:sz w:val="28"/>
                <w:szCs w:val="28"/>
                <w:lang w:val="ro-MD"/>
              </w:rPr>
              <w:br/>
              <w:t xml:space="preserve">Contrasemnează: </w:t>
            </w:r>
          </w:p>
        </w:tc>
        <w:tc>
          <w:tcPr>
            <w:tcW w:w="2648" w:type="dxa"/>
            <w:vAlign w:val="center"/>
            <w:hideMark/>
          </w:tcPr>
          <w:p w:rsidR="0081347B" w:rsidRPr="009243B9" w:rsidRDefault="0081347B" w:rsidP="00C4220F">
            <w:pPr>
              <w:rPr>
                <w:rFonts w:ascii="Times New Roman" w:hAnsi="Times New Roman"/>
                <w:sz w:val="28"/>
                <w:szCs w:val="28"/>
                <w:lang w:val="ro-MD"/>
              </w:rPr>
            </w:pPr>
          </w:p>
        </w:tc>
      </w:tr>
      <w:tr w:rsidR="0081347B" w:rsidRPr="00D03A90" w:rsidTr="00C36BD4">
        <w:trPr>
          <w:trHeight w:val="756"/>
          <w:tblCellSpacing w:w="15" w:type="dxa"/>
        </w:trPr>
        <w:tc>
          <w:tcPr>
            <w:tcW w:w="6051" w:type="dxa"/>
            <w:tcBorders>
              <w:top w:val="nil"/>
              <w:left w:val="nil"/>
              <w:bottom w:val="nil"/>
              <w:right w:val="nil"/>
            </w:tcBorders>
            <w:tcMar>
              <w:top w:w="15" w:type="dxa"/>
              <w:left w:w="45" w:type="dxa"/>
              <w:bottom w:w="15" w:type="dxa"/>
              <w:right w:w="45" w:type="dxa"/>
            </w:tcMar>
            <w:hideMark/>
          </w:tcPr>
          <w:p w:rsidR="0081347B" w:rsidRPr="009243B9" w:rsidRDefault="00804BB2" w:rsidP="00C36BD4">
            <w:pPr>
              <w:rPr>
                <w:rFonts w:ascii="Times New Roman" w:hAnsi="Times New Roman"/>
                <w:b/>
                <w:bCs/>
                <w:sz w:val="28"/>
                <w:szCs w:val="28"/>
                <w:lang w:val="ro-MD"/>
              </w:rPr>
            </w:pPr>
            <w:r w:rsidRPr="009243B9">
              <w:rPr>
                <w:rFonts w:ascii="Times New Roman" w:hAnsi="Times New Roman"/>
                <w:b/>
                <w:bCs/>
                <w:sz w:val="28"/>
                <w:szCs w:val="28"/>
                <w:lang w:val="ro-MD"/>
              </w:rPr>
              <w:t xml:space="preserve">ministrul economiei și </w:t>
            </w:r>
            <w:r w:rsidR="009243B9">
              <w:rPr>
                <w:rFonts w:ascii="Times New Roman" w:hAnsi="Times New Roman"/>
                <w:b/>
                <w:bCs/>
                <w:sz w:val="28"/>
                <w:szCs w:val="28"/>
                <w:lang w:val="ro-MD"/>
              </w:rPr>
              <w:t>i</w:t>
            </w:r>
            <w:r w:rsidRPr="009243B9">
              <w:rPr>
                <w:rFonts w:ascii="Times New Roman" w:hAnsi="Times New Roman"/>
                <w:b/>
                <w:bCs/>
                <w:sz w:val="28"/>
                <w:szCs w:val="28"/>
                <w:lang w:val="ro-MD"/>
              </w:rPr>
              <w:t>nfrastructurii</w:t>
            </w:r>
          </w:p>
        </w:tc>
        <w:tc>
          <w:tcPr>
            <w:tcW w:w="2648" w:type="dxa"/>
            <w:tcBorders>
              <w:top w:val="nil"/>
              <w:left w:val="nil"/>
              <w:bottom w:val="nil"/>
              <w:right w:val="nil"/>
            </w:tcBorders>
            <w:tcMar>
              <w:top w:w="15" w:type="dxa"/>
              <w:left w:w="45" w:type="dxa"/>
              <w:bottom w:w="15" w:type="dxa"/>
              <w:right w:w="45" w:type="dxa"/>
            </w:tcMar>
            <w:hideMark/>
          </w:tcPr>
          <w:p w:rsidR="0081347B" w:rsidRPr="009243B9" w:rsidRDefault="00804BB2" w:rsidP="00C4220F">
            <w:pPr>
              <w:rPr>
                <w:rFonts w:ascii="Times New Roman" w:hAnsi="Times New Roman"/>
                <w:b/>
                <w:bCs/>
                <w:sz w:val="28"/>
                <w:szCs w:val="28"/>
                <w:lang w:val="ro-MD"/>
              </w:rPr>
            </w:pPr>
            <w:r w:rsidRPr="009243B9">
              <w:rPr>
                <w:rFonts w:ascii="Times New Roman" w:hAnsi="Times New Roman"/>
                <w:b/>
                <w:bCs/>
                <w:sz w:val="28"/>
                <w:szCs w:val="28"/>
                <w:lang w:val="ro-MD"/>
              </w:rPr>
              <w:t>Chiril GABURICI</w:t>
            </w:r>
          </w:p>
          <w:p w:rsidR="0081347B" w:rsidRPr="009243B9" w:rsidRDefault="0081347B" w:rsidP="00C4220F">
            <w:pPr>
              <w:rPr>
                <w:rFonts w:ascii="Times New Roman" w:hAnsi="Times New Roman"/>
                <w:b/>
                <w:bCs/>
                <w:sz w:val="28"/>
                <w:szCs w:val="28"/>
                <w:lang w:val="ro-MD"/>
              </w:rPr>
            </w:pPr>
          </w:p>
        </w:tc>
      </w:tr>
    </w:tbl>
    <w:p w:rsidR="0018546F" w:rsidRPr="009243B9" w:rsidRDefault="00804BB2" w:rsidP="0018546F">
      <w:pPr>
        <w:pStyle w:val="NormalWeb"/>
        <w:rPr>
          <w:color w:val="000000" w:themeColor="text1"/>
          <w:sz w:val="28"/>
          <w:szCs w:val="28"/>
          <w:lang w:val="ro-MD"/>
        </w:rPr>
      </w:pPr>
      <w:r w:rsidRPr="009243B9">
        <w:rPr>
          <w:color w:val="000000" w:themeColor="text1"/>
          <w:sz w:val="28"/>
          <w:szCs w:val="28"/>
          <w:lang w:val="ro-MD"/>
        </w:rPr>
        <w:t> </w:t>
      </w:r>
    </w:p>
    <w:p w:rsidR="0018546F" w:rsidRPr="009243B9" w:rsidRDefault="00804BB2" w:rsidP="0018546F">
      <w:pPr>
        <w:pStyle w:val="NormalWeb"/>
        <w:rPr>
          <w:color w:val="000000" w:themeColor="text1"/>
          <w:sz w:val="28"/>
          <w:szCs w:val="28"/>
          <w:lang w:val="ro-MD"/>
        </w:rPr>
      </w:pPr>
      <w:r w:rsidRPr="009243B9">
        <w:rPr>
          <w:color w:val="000000" w:themeColor="text1"/>
          <w:sz w:val="28"/>
          <w:szCs w:val="28"/>
          <w:lang w:val="ro-MD"/>
        </w:rPr>
        <w:t> </w:t>
      </w:r>
    </w:p>
    <w:p w:rsidR="0018546F" w:rsidRPr="009243B9" w:rsidRDefault="00804BB2" w:rsidP="0018546F">
      <w:pPr>
        <w:pStyle w:val="NormalWeb"/>
        <w:rPr>
          <w:color w:val="000000" w:themeColor="text1"/>
          <w:sz w:val="28"/>
          <w:szCs w:val="28"/>
          <w:lang w:val="ro-MD"/>
        </w:rPr>
      </w:pPr>
      <w:r w:rsidRPr="009243B9">
        <w:rPr>
          <w:color w:val="000000" w:themeColor="text1"/>
          <w:sz w:val="28"/>
          <w:szCs w:val="28"/>
          <w:lang w:val="ro-MD"/>
        </w:rPr>
        <w:t> </w:t>
      </w:r>
    </w:p>
    <w:p w:rsidR="0018546F" w:rsidRPr="009243B9" w:rsidRDefault="00804BB2" w:rsidP="0018546F">
      <w:pPr>
        <w:pStyle w:val="NormalWeb"/>
        <w:rPr>
          <w:sz w:val="28"/>
          <w:szCs w:val="28"/>
          <w:lang w:val="ro-MD"/>
        </w:rPr>
      </w:pPr>
      <w:r w:rsidRPr="009243B9">
        <w:rPr>
          <w:sz w:val="28"/>
          <w:szCs w:val="28"/>
          <w:lang w:val="ro-MD"/>
        </w:rPr>
        <w:t> </w:t>
      </w:r>
    </w:p>
    <w:p w:rsidR="0018546F" w:rsidRPr="009243B9" w:rsidRDefault="00804BB2" w:rsidP="0018546F">
      <w:pPr>
        <w:pStyle w:val="NormalWeb"/>
        <w:rPr>
          <w:sz w:val="28"/>
          <w:szCs w:val="28"/>
          <w:lang w:val="ro-MD"/>
        </w:rPr>
      </w:pPr>
      <w:r w:rsidRPr="009243B9">
        <w:rPr>
          <w:sz w:val="28"/>
          <w:szCs w:val="28"/>
          <w:lang w:val="ro-MD"/>
        </w:rPr>
        <w:t> </w:t>
      </w: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9C58AB" w:rsidP="0018546F">
      <w:pPr>
        <w:pStyle w:val="NormalWeb"/>
        <w:rPr>
          <w:sz w:val="28"/>
          <w:szCs w:val="28"/>
          <w:lang w:val="ro-MD"/>
        </w:rPr>
      </w:pPr>
    </w:p>
    <w:p w:rsidR="00FD35CD" w:rsidRPr="009243B9" w:rsidRDefault="00FD35CD" w:rsidP="0018546F">
      <w:pPr>
        <w:pStyle w:val="NormalWeb"/>
        <w:rPr>
          <w:sz w:val="28"/>
          <w:szCs w:val="28"/>
          <w:lang w:val="ro-MD"/>
        </w:rPr>
      </w:pPr>
    </w:p>
    <w:p w:rsidR="00BE31F5" w:rsidRPr="009243B9" w:rsidRDefault="00BE31F5" w:rsidP="0018546F">
      <w:pPr>
        <w:pStyle w:val="NormalWeb"/>
        <w:rPr>
          <w:sz w:val="28"/>
          <w:szCs w:val="28"/>
          <w:lang w:val="ro-MD"/>
        </w:rPr>
      </w:pPr>
    </w:p>
    <w:p w:rsidR="0078376F" w:rsidRPr="009243B9" w:rsidRDefault="0078376F" w:rsidP="0018546F">
      <w:pPr>
        <w:pStyle w:val="NormalWeb"/>
        <w:rPr>
          <w:sz w:val="28"/>
          <w:szCs w:val="28"/>
          <w:lang w:val="ro-MD"/>
        </w:rPr>
      </w:pPr>
    </w:p>
    <w:p w:rsidR="009C58AB" w:rsidRPr="009243B9" w:rsidRDefault="009C58AB" w:rsidP="0018546F">
      <w:pPr>
        <w:pStyle w:val="NormalWeb"/>
        <w:rPr>
          <w:sz w:val="28"/>
          <w:szCs w:val="28"/>
          <w:lang w:val="ro-MD"/>
        </w:rPr>
      </w:pPr>
    </w:p>
    <w:p w:rsidR="009C58AB" w:rsidRPr="009243B9" w:rsidRDefault="00804BB2" w:rsidP="009C58AB">
      <w:pPr>
        <w:jc w:val="center"/>
        <w:rPr>
          <w:rFonts w:ascii="Times New Roman" w:hAnsi="Times New Roman"/>
          <w:b/>
          <w:sz w:val="28"/>
          <w:szCs w:val="28"/>
          <w:lang w:val="ro-MD"/>
        </w:rPr>
      </w:pPr>
      <w:r w:rsidRPr="009243B9">
        <w:rPr>
          <w:rFonts w:ascii="Times New Roman" w:hAnsi="Times New Roman"/>
          <w:b/>
          <w:sz w:val="28"/>
          <w:szCs w:val="28"/>
          <w:lang w:val="ro-MD"/>
        </w:rPr>
        <w:t>Notă informativă</w:t>
      </w:r>
    </w:p>
    <w:p w:rsidR="009C58AB" w:rsidRPr="009243B9" w:rsidRDefault="00804BB2" w:rsidP="009C58AB">
      <w:pPr>
        <w:pStyle w:val="NormalWeb"/>
        <w:jc w:val="center"/>
        <w:rPr>
          <w:sz w:val="28"/>
          <w:szCs w:val="28"/>
          <w:lang w:val="ro-MD"/>
        </w:rPr>
      </w:pPr>
      <w:r w:rsidRPr="009243B9">
        <w:rPr>
          <w:sz w:val="28"/>
          <w:szCs w:val="28"/>
          <w:lang w:val="ro-MD"/>
        </w:rPr>
        <w:t>la proiectul hotărârii de Guvern cu privire la modificarea hotărârii Guvernului nr.110  din  23.02.2011</w:t>
      </w:r>
    </w:p>
    <w:p w:rsidR="00380400" w:rsidRPr="009243B9" w:rsidRDefault="00380400" w:rsidP="009C58AB">
      <w:pPr>
        <w:pStyle w:val="NormalWeb"/>
        <w:jc w:val="center"/>
        <w:rPr>
          <w:sz w:val="28"/>
          <w:szCs w:val="28"/>
          <w:lang w:val="ro-MD"/>
        </w:rPr>
      </w:pPr>
    </w:p>
    <w:p w:rsidR="00380400" w:rsidRPr="009243B9" w:rsidRDefault="00380400" w:rsidP="009C58AB">
      <w:pPr>
        <w:pStyle w:val="NormalWeb"/>
        <w:jc w:val="center"/>
        <w:rPr>
          <w:sz w:val="28"/>
          <w:szCs w:val="28"/>
          <w:lang w:val="ro-MD"/>
        </w:rPr>
      </w:pPr>
    </w:p>
    <w:p w:rsidR="00FE3FB3" w:rsidRPr="009243B9" w:rsidRDefault="00804BB2" w:rsidP="00FE3FB3">
      <w:pPr>
        <w:pStyle w:val="NormalWeb"/>
        <w:rPr>
          <w:sz w:val="28"/>
          <w:szCs w:val="28"/>
          <w:lang w:val="ro-MD"/>
        </w:rPr>
      </w:pPr>
      <w:r w:rsidRPr="009243B9">
        <w:rPr>
          <w:sz w:val="28"/>
          <w:szCs w:val="28"/>
          <w:lang w:val="ro-MD"/>
        </w:rPr>
        <w:t xml:space="preserve">Proiectul hotărârii de Guvern cu privire la modificarea hotărârii Guvernului nr.110  din  23.02.2011 „Cu privire la unele aspecte ce țin de repartizarea profitului net anual al societăților pe acțiuni cu cotă de participare a statului şi al întreprinderilor de stat” a fost elaborat ținînd cont de prevederile art.47 alin.(3) din </w:t>
      </w:r>
      <w:hyperlink r:id="rId8" w:history="1">
        <w:r w:rsidRPr="009243B9">
          <w:rPr>
            <w:sz w:val="28"/>
            <w:szCs w:val="28"/>
            <w:lang w:val="ro-MD"/>
          </w:rPr>
          <w:t>Legea nr.1134-XIII din 2 aprilie 1997</w:t>
        </w:r>
      </w:hyperlink>
      <w:r w:rsidRPr="009243B9">
        <w:rPr>
          <w:sz w:val="28"/>
          <w:szCs w:val="28"/>
          <w:lang w:val="ro-MD"/>
        </w:rPr>
        <w:t xml:space="preserve"> privind societățile pe acțiuni și art.7 din </w:t>
      </w:r>
      <w:hyperlink r:id="rId9" w:history="1">
        <w:r w:rsidRPr="009243B9">
          <w:rPr>
            <w:sz w:val="28"/>
            <w:szCs w:val="28"/>
            <w:lang w:val="ro-MD"/>
          </w:rPr>
          <w:t>Legea nr.121-XVI din 4 mai 2007</w:t>
        </w:r>
      </w:hyperlink>
      <w:r w:rsidRPr="009243B9">
        <w:rPr>
          <w:sz w:val="28"/>
          <w:szCs w:val="28"/>
          <w:lang w:val="ro-MD"/>
        </w:rPr>
        <w:t xml:space="preserve"> privind administrarea şi deetatizarea proprietății publice şi are ca scop eficientizarea procesului de gestionare a proprietății publice.</w:t>
      </w:r>
    </w:p>
    <w:p w:rsidR="00DB5AB6" w:rsidRPr="009243B9" w:rsidRDefault="00804BB2" w:rsidP="00084E5D">
      <w:pPr>
        <w:ind w:firstLine="567"/>
        <w:jc w:val="both"/>
        <w:rPr>
          <w:rFonts w:ascii="Times New Roman" w:hAnsi="Times New Roman"/>
          <w:sz w:val="28"/>
          <w:szCs w:val="28"/>
          <w:lang w:val="ro-MD"/>
        </w:rPr>
      </w:pPr>
      <w:r w:rsidRPr="009243B9">
        <w:rPr>
          <w:rFonts w:ascii="Times New Roman" w:eastAsia="Times New Roman" w:hAnsi="Times New Roman"/>
          <w:sz w:val="28"/>
          <w:szCs w:val="28"/>
          <w:lang w:val="ro-MD" w:eastAsia="en-GB"/>
        </w:rPr>
        <w:t>Proiectul hotărîrii de Guvern a fost elaborat din următoarele considerente.</w:t>
      </w:r>
    </w:p>
    <w:p w:rsidR="00E06B6D"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 xml:space="preserve">Potrivit art.47 art.(3) din Legea nr.1134/1997, profitul net poate fi utilizat pentru: a) acoperirea pierderilor din anii precedenți; b) formarea capitalului de rezervă; c) plata recompenselor către membrii consiliului societății şi ai comisiei de cenzori; d) investirea în vederea dezvoltării producției; e) plata dividendelor; precum şi pentru f) alte scopuri, în corespundere cu legislația şi cu statutul societății. </w:t>
      </w:r>
    </w:p>
    <w:p w:rsidR="00055C36"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Astfel, cadrul normativ actual stipulează că profitul net obținut de entitate poate fi utilizat în diferite scopuri și nu stabilește plafonul exact a părții din profitul net care trebuie să fie îndreptat pentru un scop sau altul, prevăzut de legislație.</w:t>
      </w:r>
    </w:p>
    <w:p w:rsidR="00903114"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 xml:space="preserve">În contextul dat menționăm că, entitățile cu capital privat în primul rînd utilizează mijloacele financiare obținute din activitatea sa, pentru dezvoltarea producției competitive pe piața, atăt internă, cît și cea externă, ca rezultat al evaluării cererii și ofertei, prin procurare a utilajelor și materialelor moderne în scopul desfășurării unei activități prodigioase. </w:t>
      </w:r>
    </w:p>
    <w:p w:rsidR="00903114"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 xml:space="preserve">În conformitate cu prevederile hotărârii de Guvern nr.110  din  23.02.2011, la moment, toate entitățile cu capital public, cu rare excepții, sunt obligate să transfere o parte din profitul net obținut pe parcursul anului sub forma de dividende/defalcări în bugetul de stat în proporție de 50 la sută pentru entități supuse privatizării și de 25 la sută pentru cele nepasibile privatizării. Drept rezultat, în majoritatea cazurilor, entitățile cu capital public, sunt lipsite de mijloace financiare necesare pentru dezvoltarea, procurarea utilajelor moderne, reprofilarea activității în direcții competitive, pentru suplinirea mijloacelor circulante, iar în unele cazuri sunt nevoite să contracteze credite pentru a transfera în bugetul de stat sumele stabilite prin decizia adunării generale/consiliului de administrație (ex.SA ”Floare-Carpet, SA ”RED-NORD”). </w:t>
      </w:r>
    </w:p>
    <w:p w:rsidR="00850F41"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 xml:space="preserve">Prin urmare, obligativitatea plății dividendelor/defalcărilor din profitul net creează  condiții pentru concurența neloială, nepermițând entităților cu capital public să activeze în condiții egale cu cele private. Ca efect, rezultatele activității economico-financiare ale entităților cu capital public sunt destul de modeste, producția fiind necompetitivă de aceea activitatea lor deseori se limitează la darea în locațiune a activelor neutilizate și/sau comercializarea acestora. </w:t>
      </w:r>
    </w:p>
    <w:p w:rsidR="001A2B55"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Odată cu acceptarea modificărilor menționate, decade necesitatea reglementărilor din punctele 2 și 2</w:t>
      </w:r>
      <w:r w:rsidRPr="009243B9">
        <w:rPr>
          <w:rFonts w:ascii="Times New Roman" w:eastAsia="Times New Roman" w:hAnsi="Times New Roman"/>
          <w:sz w:val="28"/>
          <w:szCs w:val="28"/>
          <w:vertAlign w:val="superscript"/>
          <w:lang w:val="ro-MD" w:eastAsia="en-GB"/>
        </w:rPr>
        <w:t>1</w:t>
      </w:r>
      <w:r w:rsidRPr="009243B9">
        <w:rPr>
          <w:rFonts w:ascii="Times New Roman" w:eastAsia="Times New Roman" w:hAnsi="Times New Roman"/>
          <w:sz w:val="28"/>
          <w:szCs w:val="28"/>
          <w:lang w:val="ro-MD" w:eastAsia="en-GB"/>
        </w:rPr>
        <w:t>,</w:t>
      </w:r>
      <w:r w:rsidRPr="009243B9">
        <w:rPr>
          <w:rFonts w:ascii="Times New Roman" w:eastAsia="Times New Roman" w:hAnsi="Times New Roman"/>
          <w:sz w:val="28"/>
          <w:szCs w:val="28"/>
          <w:vertAlign w:val="superscript"/>
          <w:lang w:val="ro-MD" w:eastAsia="en-GB"/>
        </w:rPr>
        <w:t xml:space="preserve"> </w:t>
      </w:r>
      <w:r w:rsidRPr="009243B9">
        <w:rPr>
          <w:rFonts w:ascii="Times New Roman" w:eastAsia="Times New Roman" w:hAnsi="Times New Roman"/>
          <w:sz w:val="28"/>
          <w:szCs w:val="28"/>
          <w:lang w:val="ro-MD" w:eastAsia="en-GB"/>
        </w:rPr>
        <w:t>respectiv se propune excluderea acestora.</w:t>
      </w:r>
    </w:p>
    <w:p w:rsidR="0004522E" w:rsidRPr="009243B9" w:rsidRDefault="00804BB2" w:rsidP="00E06B6D">
      <w:pPr>
        <w:ind w:firstLine="567"/>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Punctul 4 se propune a fi exclus reieșind din prevederile Legii nr.246/2017, potrivit cărora decizia referitor la plata defalcărilor în bugetul de stat se aprobă de fondator.</w:t>
      </w:r>
    </w:p>
    <w:p w:rsidR="0004522E" w:rsidRPr="009243B9" w:rsidRDefault="00804BB2" w:rsidP="0004522E">
      <w:pPr>
        <w:ind w:firstLine="720"/>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Realizarea proiectului dat nu implică cheltuieli financiare publice şi nu conţine prevederi de reglementare a activităţii de întreprinzător în contextul Legii cu privire la principiile de bază de reglementare a activităţii de întreprinzător nr. 235-XVI din 20.07.2006, astfel decăzând necesitatea examinării acestuia de către Grupul de lucru pentru reglementarea activităţii de întreprinzător.</w:t>
      </w:r>
    </w:p>
    <w:p w:rsidR="0004522E" w:rsidRPr="009243B9" w:rsidRDefault="00804BB2" w:rsidP="0004522E">
      <w:pPr>
        <w:ind w:firstLine="720"/>
        <w:jc w:val="both"/>
        <w:rPr>
          <w:rFonts w:ascii="Times New Roman" w:eastAsia="Times New Roman" w:hAnsi="Times New Roman"/>
          <w:sz w:val="28"/>
          <w:szCs w:val="28"/>
          <w:lang w:val="ro-MD" w:eastAsia="en-GB"/>
        </w:rPr>
      </w:pPr>
      <w:r w:rsidRPr="009243B9">
        <w:rPr>
          <w:rFonts w:ascii="Times New Roman" w:eastAsia="Times New Roman" w:hAnsi="Times New Roman"/>
          <w:sz w:val="28"/>
          <w:szCs w:val="28"/>
          <w:lang w:val="ro-MD" w:eastAsia="en-GB"/>
        </w:rPr>
        <w:t xml:space="preserve">Proiectul este supus dezbaterilor publice, fiind plasat pe pagina web a ministerului </w:t>
      </w:r>
      <w:hyperlink r:id="rId10" w:history="1">
        <w:r w:rsidRPr="009243B9">
          <w:rPr>
            <w:rFonts w:ascii="Times New Roman" w:eastAsia="Times New Roman" w:hAnsi="Times New Roman"/>
            <w:sz w:val="28"/>
            <w:szCs w:val="28"/>
            <w:lang w:val="ro-MD" w:eastAsia="en-GB"/>
          </w:rPr>
          <w:t>www.mec.gov.md</w:t>
        </w:r>
      </w:hyperlink>
      <w:r w:rsidRPr="009243B9">
        <w:rPr>
          <w:rFonts w:ascii="Times New Roman" w:eastAsia="Times New Roman" w:hAnsi="Times New Roman"/>
          <w:sz w:val="28"/>
          <w:szCs w:val="28"/>
          <w:lang w:val="ro-MD" w:eastAsia="en-GB"/>
        </w:rPr>
        <w:t xml:space="preserve"> la compartimentul Transparenţa/Anunţuri de proiecte şi consultări publice.</w:t>
      </w:r>
    </w:p>
    <w:p w:rsidR="0004522E" w:rsidRPr="009243B9" w:rsidRDefault="00804BB2" w:rsidP="0004522E">
      <w:pPr>
        <w:pStyle w:val="NormalWeb"/>
        <w:rPr>
          <w:sz w:val="28"/>
          <w:szCs w:val="28"/>
          <w:lang w:val="ro-MD"/>
        </w:rPr>
      </w:pPr>
      <w:r w:rsidRPr="009243B9">
        <w:rPr>
          <w:sz w:val="28"/>
          <w:szCs w:val="28"/>
          <w:lang w:val="ro-MD"/>
        </w:rPr>
        <w:t>În contextul celor expuse, Ministerul Economiei și Infrastructurii înaintează spre examinare proiectul hotărârii de Guvern „Cu privire la modificarea hotărârii Guvernului nr.110  din  23.02.2011”.</w:t>
      </w:r>
    </w:p>
    <w:p w:rsidR="0004522E" w:rsidRPr="009243B9" w:rsidRDefault="0004522E" w:rsidP="0004522E">
      <w:pPr>
        <w:ind w:firstLine="567"/>
        <w:jc w:val="both"/>
        <w:rPr>
          <w:rFonts w:ascii="Times New Roman" w:hAnsi="Times New Roman"/>
          <w:sz w:val="28"/>
          <w:szCs w:val="28"/>
          <w:lang w:val="ro-MD"/>
        </w:rPr>
      </w:pPr>
    </w:p>
    <w:p w:rsidR="0004522E" w:rsidRPr="009243B9" w:rsidRDefault="00804BB2" w:rsidP="0004522E">
      <w:pPr>
        <w:ind w:firstLine="567"/>
        <w:jc w:val="both"/>
        <w:rPr>
          <w:rFonts w:ascii="Times New Roman" w:hAnsi="Times New Roman"/>
          <w:sz w:val="28"/>
          <w:szCs w:val="28"/>
          <w:lang w:val="ro-MD"/>
        </w:rPr>
      </w:pPr>
      <w:r w:rsidRPr="009243B9">
        <w:rPr>
          <w:rFonts w:ascii="Times New Roman" w:hAnsi="Times New Roman"/>
          <w:sz w:val="28"/>
          <w:szCs w:val="28"/>
          <w:lang w:val="ro-MD"/>
        </w:rPr>
        <w:t xml:space="preserve">   </w:t>
      </w:r>
    </w:p>
    <w:p w:rsidR="0004522E" w:rsidRPr="009243B9" w:rsidRDefault="00804BB2" w:rsidP="00714B20">
      <w:pPr>
        <w:ind w:firstLine="425"/>
        <w:jc w:val="both"/>
        <w:rPr>
          <w:rFonts w:ascii="Times New Roman" w:hAnsi="Times New Roman"/>
          <w:b/>
          <w:sz w:val="28"/>
          <w:szCs w:val="28"/>
          <w:lang w:val="ro-MD"/>
        </w:rPr>
      </w:pPr>
      <w:r w:rsidRPr="009243B9">
        <w:rPr>
          <w:rFonts w:ascii="Times New Roman" w:hAnsi="Times New Roman"/>
          <w:b/>
          <w:sz w:val="28"/>
          <w:szCs w:val="28"/>
          <w:lang w:val="ro-MD"/>
        </w:rPr>
        <w:t xml:space="preserve"> </w:t>
      </w:r>
      <w:r w:rsidRPr="009243B9">
        <w:rPr>
          <w:rFonts w:ascii="Times New Roman" w:hAnsi="Times New Roman"/>
          <w:b/>
          <w:sz w:val="28"/>
          <w:szCs w:val="28"/>
          <w:lang w:val="ro-MD"/>
        </w:rPr>
        <w:tab/>
        <w:t>Ministrul economiei și infrastructurii                          Chiril GABURICI</w:t>
      </w:r>
    </w:p>
    <w:p w:rsidR="0004522E" w:rsidRPr="009243B9" w:rsidRDefault="0004522E" w:rsidP="00E06B6D">
      <w:pPr>
        <w:ind w:firstLine="567"/>
        <w:jc w:val="both"/>
        <w:rPr>
          <w:rFonts w:ascii="Times New Roman" w:eastAsia="Times New Roman" w:hAnsi="Times New Roman"/>
          <w:sz w:val="28"/>
          <w:szCs w:val="28"/>
          <w:lang w:val="ro-MD" w:eastAsia="en-GB"/>
        </w:rPr>
      </w:pPr>
    </w:p>
    <w:p w:rsidR="00024505" w:rsidRPr="009243B9" w:rsidRDefault="00024505" w:rsidP="00E06B6D">
      <w:pPr>
        <w:ind w:firstLine="567"/>
        <w:jc w:val="both"/>
        <w:rPr>
          <w:rFonts w:ascii="Times New Roman" w:eastAsia="Times New Roman" w:hAnsi="Times New Roman"/>
          <w:sz w:val="28"/>
          <w:szCs w:val="28"/>
          <w:lang w:val="ro-MD" w:eastAsia="en-GB"/>
        </w:rPr>
      </w:pPr>
    </w:p>
    <w:p w:rsidR="00945873" w:rsidRPr="009243B9" w:rsidRDefault="00945873"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78376F" w:rsidRPr="009243B9" w:rsidRDefault="0078376F" w:rsidP="00E06B6D">
      <w:pPr>
        <w:ind w:firstLine="567"/>
        <w:jc w:val="both"/>
        <w:rPr>
          <w:rFonts w:ascii="Times New Roman" w:eastAsia="Times New Roman" w:hAnsi="Times New Roman"/>
          <w:sz w:val="28"/>
          <w:szCs w:val="28"/>
          <w:lang w:val="ro-MD" w:eastAsia="en-GB"/>
        </w:rPr>
      </w:pPr>
    </w:p>
    <w:p w:rsidR="0078376F" w:rsidRPr="009243B9" w:rsidRDefault="0078376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D338FF" w:rsidRPr="009243B9" w:rsidRDefault="00D338FF" w:rsidP="00E06B6D">
      <w:pPr>
        <w:ind w:firstLine="567"/>
        <w:jc w:val="both"/>
        <w:rPr>
          <w:rFonts w:ascii="Times New Roman" w:eastAsia="Times New Roman" w:hAnsi="Times New Roman"/>
          <w:sz w:val="28"/>
          <w:szCs w:val="28"/>
          <w:lang w:val="ro-MD" w:eastAsia="en-GB"/>
        </w:rPr>
      </w:pPr>
    </w:p>
    <w:p w:rsidR="0078376F" w:rsidRPr="009243B9" w:rsidRDefault="0078376F" w:rsidP="00E06B6D">
      <w:pPr>
        <w:ind w:firstLine="567"/>
        <w:jc w:val="both"/>
        <w:rPr>
          <w:rFonts w:ascii="Times New Roman" w:eastAsia="Times New Roman" w:hAnsi="Times New Roman"/>
          <w:sz w:val="28"/>
          <w:szCs w:val="28"/>
          <w:lang w:val="ro-MD" w:eastAsia="en-GB"/>
        </w:rPr>
      </w:pPr>
    </w:p>
    <w:p w:rsidR="0078376F" w:rsidRPr="009243B9" w:rsidRDefault="0078376F" w:rsidP="00E06B6D">
      <w:pPr>
        <w:ind w:firstLine="567"/>
        <w:jc w:val="both"/>
        <w:rPr>
          <w:rFonts w:ascii="Times New Roman" w:eastAsia="Times New Roman" w:hAnsi="Times New Roman"/>
          <w:sz w:val="28"/>
          <w:szCs w:val="28"/>
          <w:lang w:val="ro-MD" w:eastAsia="en-GB"/>
        </w:rPr>
      </w:pPr>
    </w:p>
    <w:p w:rsidR="00084E5D" w:rsidRPr="009243B9" w:rsidRDefault="00084E5D" w:rsidP="00E06B6D">
      <w:pPr>
        <w:ind w:firstLine="567"/>
        <w:jc w:val="both"/>
        <w:rPr>
          <w:rFonts w:ascii="Times New Roman" w:eastAsia="Times New Roman" w:hAnsi="Times New Roman"/>
          <w:sz w:val="28"/>
          <w:szCs w:val="28"/>
          <w:lang w:val="ro-MD" w:eastAsia="en-GB"/>
        </w:rPr>
      </w:pPr>
    </w:p>
    <w:p w:rsidR="00084E5D" w:rsidRPr="009243B9" w:rsidRDefault="00617740" w:rsidP="00084E5D">
      <w:pPr>
        <w:rPr>
          <w:rFonts w:ascii="Times New Roman" w:hAnsi="Times New Roman"/>
          <w:sz w:val="28"/>
          <w:szCs w:val="28"/>
          <w:lang w:val="ro-MD"/>
        </w:rPr>
      </w:pPr>
      <w:r>
        <w:rPr>
          <w:rFonts w:ascii="Times New Roman" w:hAnsi="Times New Roman"/>
          <w:noProof/>
          <w:sz w:val="28"/>
          <w:szCs w:val="28"/>
          <w:lang w:val="ro-MD" w:eastAsia="en-GB"/>
        </w:rPr>
        <w:pict>
          <v:shapetype id="_x0000_t202" coordsize="21600,21600" o:spt="202" path="m,l,21600r21600,l21600,xe">
            <v:stroke joinstyle="miter"/>
            <v:path gradientshapeok="t" o:connecttype="rect"/>
          </v:shapetype>
          <v:shape id="Text Box 217" o:spid="_x0000_s1026" type="#_x0000_t202" style="position:absolute;margin-left:44.25pt;margin-top:.75pt;width:155.25pt;height:58.45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" filled="f" stroked="f">
            <v:textbox style="mso-fit-shape-to-text:t">
              <w:txbxContent>
                <w:p w:rsidR="00084E5D" w:rsidRPr="005D73BA" w:rsidRDefault="00084E5D" w:rsidP="00084E5D">
                  <w:pPr>
                    <w:contextualSpacing/>
                    <w:rPr>
                      <w:rFonts w:ascii="Calibri Light" w:hAnsi="Calibri Light" w:cs="Calibri Light"/>
                      <w:sz w:val="26"/>
                      <w:szCs w:val="26"/>
                    </w:rPr>
                  </w:pPr>
                  <w:r w:rsidRPr="005D73BA">
                    <w:rPr>
                      <w:rFonts w:ascii="Calibri Light" w:hAnsi="Calibri Light" w:cs="Calibri Light"/>
                      <w:sz w:val="26"/>
                      <w:szCs w:val="26"/>
                    </w:rPr>
                    <w:t xml:space="preserve">Ministerul Economiei </w:t>
                  </w:r>
                </w:p>
                <w:p w:rsidR="00084E5D" w:rsidRPr="005D73BA" w:rsidRDefault="00084E5D" w:rsidP="00084E5D">
                  <w:pPr>
                    <w:contextualSpacing/>
                    <w:rPr>
                      <w:rFonts w:ascii="Calibri Light" w:hAnsi="Calibri Light" w:cs="Calibri Light"/>
                      <w:sz w:val="26"/>
                      <w:szCs w:val="26"/>
                    </w:rPr>
                  </w:pPr>
                  <w:r w:rsidRPr="005D73BA">
                    <w:rPr>
                      <w:rFonts w:ascii="Calibri Light" w:hAnsi="Calibri Light" w:cs="Calibri Light"/>
                      <w:sz w:val="26"/>
                      <w:szCs w:val="26"/>
                    </w:rPr>
                    <w:t xml:space="preserve">și Infrastructurii </w:t>
                  </w:r>
                </w:p>
                <w:p w:rsidR="00084E5D" w:rsidRPr="005D73BA" w:rsidRDefault="00084E5D" w:rsidP="00084E5D">
                  <w:pPr>
                    <w:contextualSpacing/>
                    <w:rPr>
                      <w:rFonts w:ascii="Calibri Light" w:hAnsi="Calibri Light" w:cs="Calibri Light"/>
                      <w:sz w:val="26"/>
                      <w:szCs w:val="26"/>
                    </w:rPr>
                  </w:pPr>
                  <w:r w:rsidRPr="005D73BA">
                    <w:rPr>
                      <w:rFonts w:ascii="Calibri Light" w:hAnsi="Calibri Light" w:cs="Calibri Light"/>
                      <w:sz w:val="26"/>
                      <w:szCs w:val="26"/>
                    </w:rPr>
                    <w:t>al Republicii Moldova</w:t>
                  </w:r>
                </w:p>
              </w:txbxContent>
            </v:textbox>
            <w10:wrap type="square"/>
          </v:shape>
        </w:pict>
      </w:r>
      <w:r w:rsidR="0083439D">
        <w:rPr>
          <w:rFonts w:ascii="Times New Roman" w:hAnsi="Times New Roman"/>
          <w:noProof/>
          <w:sz w:val="28"/>
          <w:szCs w:val="28"/>
          <w:lang w:eastAsia="en-GB"/>
        </w:rPr>
        <w:drawing>
          <wp:anchor distT="0" distB="0" distL="114300" distR="114300" simplePos="0" relativeHeight="251656704" behindDoc="0" locked="0" layoutInCell="1" allowOverlap="1">
            <wp:simplePos x="0" y="0"/>
            <wp:positionH relativeFrom="column">
              <wp:posOffset>-57150</wp:posOffset>
            </wp:positionH>
            <wp:positionV relativeFrom="paragraph">
              <wp:posOffset>38100</wp:posOffset>
            </wp:positionV>
            <wp:extent cx="431165" cy="542925"/>
            <wp:effectExtent l="0" t="0" r="6985" b="9525"/>
            <wp:wrapNone/>
            <wp:docPr id="1" name="Picture 1"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Moldo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a:ln>
                      <a:noFill/>
                    </a:ln>
                  </pic:spPr>
                </pic:pic>
              </a:graphicData>
            </a:graphic>
          </wp:anchor>
        </w:drawing>
      </w:r>
    </w:p>
    <w:p w:rsidR="00084E5D" w:rsidRPr="009243B9" w:rsidRDefault="00084E5D" w:rsidP="00084E5D">
      <w:pPr>
        <w:ind w:firstLine="720"/>
        <w:rPr>
          <w:rFonts w:ascii="Times New Roman" w:hAnsi="Times New Roman"/>
          <w:sz w:val="28"/>
          <w:szCs w:val="28"/>
          <w:lang w:val="ro-MD"/>
        </w:rPr>
      </w:pPr>
    </w:p>
    <w:p w:rsidR="00084E5D" w:rsidRPr="009243B9" w:rsidRDefault="00084E5D" w:rsidP="00084E5D">
      <w:pPr>
        <w:ind w:left="-450"/>
        <w:rPr>
          <w:rFonts w:ascii="Times New Roman" w:hAnsi="Times New Roman"/>
          <w:sz w:val="28"/>
          <w:szCs w:val="28"/>
          <w:lang w:val="ro-MD"/>
        </w:rPr>
      </w:pPr>
    </w:p>
    <w:p w:rsidR="00084E5D" w:rsidRPr="009243B9" w:rsidRDefault="00084E5D" w:rsidP="00084E5D">
      <w:pPr>
        <w:ind w:left="-450"/>
        <w:rPr>
          <w:rFonts w:ascii="Times New Roman" w:hAnsi="Times New Roman"/>
          <w:sz w:val="28"/>
          <w:szCs w:val="28"/>
          <w:lang w:val="ro-MD"/>
        </w:rPr>
      </w:pPr>
    </w:p>
    <w:p w:rsidR="00084E5D" w:rsidRPr="009243B9" w:rsidRDefault="00804BB2" w:rsidP="00084E5D">
      <w:pPr>
        <w:ind w:left="-450"/>
        <w:rPr>
          <w:rFonts w:ascii="Times New Roman" w:hAnsi="Times New Roman"/>
          <w:sz w:val="28"/>
          <w:szCs w:val="28"/>
          <w:lang w:val="ro-MD"/>
        </w:rPr>
      </w:pPr>
      <w:r w:rsidRPr="009243B9">
        <w:rPr>
          <w:rFonts w:ascii="Times New Roman" w:hAnsi="Times New Roman"/>
          <w:sz w:val="28"/>
          <w:szCs w:val="28"/>
          <w:lang w:val="ro-MD"/>
        </w:rPr>
        <w:t xml:space="preserve">                     </w:t>
      </w:r>
    </w:p>
    <w:p w:rsidR="00084E5D" w:rsidRPr="009243B9" w:rsidRDefault="00804BB2" w:rsidP="00084E5D">
      <w:pPr>
        <w:ind w:left="-450"/>
        <w:rPr>
          <w:rFonts w:ascii="Times New Roman" w:hAnsi="Times New Roman"/>
          <w:sz w:val="18"/>
          <w:szCs w:val="18"/>
          <w:lang w:val="ro-MD"/>
        </w:rPr>
      </w:pPr>
      <w:r w:rsidRPr="009243B9">
        <w:rPr>
          <w:rFonts w:ascii="Times New Roman" w:hAnsi="Times New Roman"/>
          <w:sz w:val="28"/>
          <w:szCs w:val="28"/>
          <w:lang w:val="ro-MD"/>
        </w:rPr>
        <w:t xml:space="preserve">             </w:t>
      </w:r>
      <w:r w:rsidRPr="009243B9">
        <w:rPr>
          <w:rFonts w:ascii="Times New Roman" w:hAnsi="Times New Roman"/>
          <w:sz w:val="18"/>
          <w:szCs w:val="18"/>
          <w:lang w:val="ro-MD"/>
        </w:rPr>
        <w:t>Nr._________________</w:t>
      </w:r>
    </w:p>
    <w:p w:rsidR="00084E5D" w:rsidRPr="009243B9" w:rsidRDefault="00084E5D" w:rsidP="00084E5D">
      <w:pPr>
        <w:ind w:left="-450"/>
        <w:rPr>
          <w:rFonts w:ascii="Times New Roman" w:hAnsi="Times New Roman"/>
          <w:sz w:val="18"/>
          <w:szCs w:val="18"/>
          <w:lang w:val="ro-MD"/>
        </w:rPr>
      </w:pPr>
    </w:p>
    <w:p w:rsidR="00084E5D" w:rsidRPr="009243B9" w:rsidRDefault="00804BB2" w:rsidP="00084E5D">
      <w:pPr>
        <w:ind w:left="-450"/>
        <w:rPr>
          <w:rFonts w:ascii="Times New Roman" w:hAnsi="Times New Roman"/>
          <w:sz w:val="18"/>
          <w:szCs w:val="18"/>
          <w:lang w:val="ro-MD"/>
        </w:rPr>
      </w:pPr>
      <w:r w:rsidRPr="009243B9">
        <w:rPr>
          <w:rFonts w:ascii="Times New Roman" w:hAnsi="Times New Roman"/>
          <w:sz w:val="18"/>
          <w:szCs w:val="18"/>
          <w:lang w:val="ro-MD"/>
        </w:rPr>
        <w:t xml:space="preserve">                     _________________2018</w:t>
      </w:r>
    </w:p>
    <w:p w:rsidR="00084E5D" w:rsidRPr="009243B9" w:rsidRDefault="00804BB2" w:rsidP="00084E5D">
      <w:pPr>
        <w:jc w:val="right"/>
        <w:rPr>
          <w:rFonts w:ascii="Times New Roman" w:hAnsi="Times New Roman"/>
          <w:b/>
          <w:sz w:val="28"/>
          <w:szCs w:val="28"/>
          <w:lang w:val="ro-MD"/>
        </w:rPr>
      </w:pPr>
      <w:r w:rsidRPr="009243B9">
        <w:rPr>
          <w:rFonts w:ascii="Times New Roman" w:hAnsi="Times New Roman"/>
          <w:b/>
          <w:sz w:val="28"/>
          <w:szCs w:val="28"/>
          <w:lang w:val="ro-MD"/>
        </w:rPr>
        <w:t>Centrul Național Anticorupție</w:t>
      </w:r>
    </w:p>
    <w:p w:rsidR="00084E5D" w:rsidRPr="009243B9" w:rsidRDefault="00084E5D" w:rsidP="00084E5D">
      <w:pPr>
        <w:jc w:val="right"/>
        <w:rPr>
          <w:rFonts w:ascii="Times New Roman" w:hAnsi="Times New Roman"/>
          <w:b/>
          <w:sz w:val="28"/>
          <w:szCs w:val="28"/>
          <w:lang w:val="ro-MD"/>
        </w:rPr>
      </w:pPr>
    </w:p>
    <w:p w:rsidR="00084E5D" w:rsidRPr="009243B9" w:rsidRDefault="00084E5D" w:rsidP="00084E5D">
      <w:pPr>
        <w:jc w:val="right"/>
        <w:rPr>
          <w:rFonts w:ascii="Times New Roman" w:hAnsi="Times New Roman"/>
          <w:sz w:val="28"/>
          <w:szCs w:val="28"/>
          <w:lang w:val="ro-MD"/>
        </w:rPr>
      </w:pPr>
    </w:p>
    <w:p w:rsidR="00084E5D" w:rsidRPr="009243B9" w:rsidRDefault="00804BB2" w:rsidP="00084E5D">
      <w:pPr>
        <w:pStyle w:val="tt"/>
        <w:spacing w:line="360" w:lineRule="auto"/>
        <w:ind w:firstLine="567"/>
        <w:jc w:val="both"/>
        <w:rPr>
          <w:rFonts w:eastAsiaTheme="minorHAnsi"/>
          <w:b w:val="0"/>
          <w:sz w:val="28"/>
          <w:szCs w:val="28"/>
          <w:lang w:val="ro-MD" w:eastAsia="en-US"/>
        </w:rPr>
      </w:pPr>
      <w:r w:rsidRPr="009243B9">
        <w:rPr>
          <w:rFonts w:eastAsiaTheme="minorHAnsi"/>
          <w:b w:val="0"/>
          <w:sz w:val="28"/>
          <w:szCs w:val="28"/>
          <w:lang w:val="ro-MD" w:eastAsia="en-US"/>
        </w:rPr>
        <w:t>Ministerul Economiei și Infrastructurii a elaborat şi prezintă pentru examinare şi avizare proiectul Hotărîrii Guvernului cu privire la modificarea hotărârii Guvernului nr.110  din  23 februarie 2011.</w:t>
      </w:r>
    </w:p>
    <w:p w:rsidR="00084E5D" w:rsidRPr="009243B9" w:rsidRDefault="00804BB2" w:rsidP="00084E5D">
      <w:pPr>
        <w:spacing w:line="360" w:lineRule="auto"/>
        <w:ind w:firstLine="567"/>
        <w:jc w:val="both"/>
        <w:rPr>
          <w:rFonts w:ascii="Times New Roman" w:hAnsi="Times New Roman"/>
          <w:bCs/>
          <w:sz w:val="28"/>
          <w:szCs w:val="28"/>
          <w:lang w:val="ro-MD"/>
        </w:rPr>
      </w:pPr>
      <w:r w:rsidRPr="009243B9">
        <w:rPr>
          <w:rFonts w:ascii="Times New Roman" w:hAnsi="Times New Roman"/>
          <w:bCs/>
          <w:sz w:val="28"/>
          <w:szCs w:val="28"/>
          <w:lang w:val="ro-MD"/>
        </w:rPr>
        <w:t xml:space="preserve">Proiectul şi nota informativă la proiect pot fi accesate pe pagina oficială a Ministerului Economiei și Infrastructurii la adresa </w:t>
      </w:r>
      <w:hyperlink r:id="rId12" w:history="1">
        <w:r w:rsidRPr="009243B9">
          <w:rPr>
            <w:rFonts w:ascii="Times New Roman" w:hAnsi="Times New Roman"/>
            <w:bCs/>
            <w:sz w:val="28"/>
            <w:szCs w:val="28"/>
            <w:lang w:val="ro-MD"/>
          </w:rPr>
          <w:t>www.mec.gov.md</w:t>
        </w:r>
      </w:hyperlink>
      <w:r w:rsidRPr="009243B9">
        <w:rPr>
          <w:rFonts w:ascii="Times New Roman" w:hAnsi="Times New Roman"/>
          <w:bCs/>
          <w:sz w:val="28"/>
          <w:szCs w:val="28"/>
          <w:lang w:val="ro-MD"/>
        </w:rPr>
        <w:t>, în compartimentul “Transparența în procesul decizional”.</w:t>
      </w:r>
    </w:p>
    <w:p w:rsidR="00084E5D" w:rsidRPr="009243B9" w:rsidRDefault="00084E5D" w:rsidP="00084E5D">
      <w:pPr>
        <w:rPr>
          <w:rFonts w:ascii="Times New Roman" w:hAnsi="Times New Roman"/>
          <w:sz w:val="28"/>
          <w:szCs w:val="28"/>
          <w:lang w:val="ro-MD" w:eastAsia="ru-RU"/>
        </w:rPr>
      </w:pPr>
    </w:p>
    <w:p w:rsidR="00084E5D" w:rsidRPr="009243B9" w:rsidRDefault="00084E5D" w:rsidP="00084E5D">
      <w:pPr>
        <w:rPr>
          <w:rFonts w:ascii="Times New Roman" w:hAnsi="Times New Roman"/>
          <w:sz w:val="28"/>
          <w:szCs w:val="28"/>
          <w:lang w:val="ro-MD" w:eastAsia="ru-RU"/>
        </w:rPr>
      </w:pPr>
    </w:p>
    <w:p w:rsidR="00084E5D" w:rsidRPr="009243B9" w:rsidRDefault="00084E5D" w:rsidP="00084E5D">
      <w:pPr>
        <w:rPr>
          <w:rFonts w:ascii="Times New Roman" w:hAnsi="Times New Roman"/>
          <w:sz w:val="28"/>
          <w:szCs w:val="28"/>
          <w:lang w:val="ro-MD" w:eastAsia="ru-RU"/>
        </w:rPr>
      </w:pPr>
    </w:p>
    <w:p w:rsidR="00084E5D" w:rsidRPr="009243B9" w:rsidRDefault="00804BB2" w:rsidP="00A072D1">
      <w:pPr>
        <w:ind w:firstLine="720"/>
        <w:jc w:val="both"/>
        <w:rPr>
          <w:sz w:val="28"/>
          <w:szCs w:val="28"/>
          <w:lang w:val="ro-MD"/>
        </w:rPr>
      </w:pPr>
      <w:r w:rsidRPr="009243B9">
        <w:rPr>
          <w:rFonts w:ascii="Times New Roman" w:hAnsi="Times New Roman"/>
          <w:b/>
          <w:sz w:val="28"/>
          <w:szCs w:val="28"/>
          <w:lang w:val="ro-MD"/>
        </w:rPr>
        <w:t>Ministru                                                              Chiril GABURICI</w:t>
      </w:r>
      <w:r w:rsidRPr="009243B9">
        <w:rPr>
          <w:rFonts w:ascii="Times New Roman" w:hAnsi="Times New Roman"/>
          <w:sz w:val="28"/>
          <w:szCs w:val="28"/>
          <w:lang w:val="ro-MD" w:eastAsia="ru-RU"/>
        </w:rPr>
        <w:t xml:space="preserve">  </w:t>
      </w:r>
    </w:p>
    <w:p w:rsidR="00084E5D" w:rsidRPr="009243B9" w:rsidRDefault="00084E5D" w:rsidP="00084E5D">
      <w:pPr>
        <w:ind w:firstLine="540"/>
        <w:jc w:val="both"/>
        <w:rPr>
          <w:rFonts w:ascii="Times New Roman" w:hAnsi="Times New Roman"/>
          <w:sz w:val="28"/>
          <w:szCs w:val="28"/>
          <w:lang w:val="ro-MD"/>
        </w:rPr>
      </w:pPr>
    </w:p>
    <w:p w:rsidR="00084E5D" w:rsidRPr="009243B9" w:rsidRDefault="00084E5D" w:rsidP="00084E5D">
      <w:pPr>
        <w:ind w:firstLine="540"/>
        <w:jc w:val="both"/>
        <w:rPr>
          <w:rFonts w:ascii="Times New Roman" w:hAnsi="Times New Roman"/>
          <w:sz w:val="28"/>
          <w:szCs w:val="28"/>
          <w:lang w:val="ro-MD"/>
        </w:rPr>
      </w:pPr>
    </w:p>
    <w:p w:rsidR="00084E5D" w:rsidRPr="009243B9" w:rsidRDefault="00084E5D" w:rsidP="00084E5D">
      <w:pPr>
        <w:ind w:firstLine="540"/>
        <w:jc w:val="both"/>
        <w:rPr>
          <w:rFonts w:ascii="Times New Roman" w:hAnsi="Times New Roman"/>
          <w:sz w:val="28"/>
          <w:szCs w:val="28"/>
          <w:lang w:val="ro-MD"/>
        </w:rPr>
      </w:pPr>
    </w:p>
    <w:p w:rsidR="00084E5D" w:rsidRPr="009243B9" w:rsidRDefault="00084E5D"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D338FF" w:rsidRPr="009243B9" w:rsidRDefault="00D338FF" w:rsidP="00084E5D">
      <w:pPr>
        <w:ind w:firstLine="540"/>
        <w:jc w:val="both"/>
        <w:rPr>
          <w:rFonts w:ascii="Times New Roman" w:hAnsi="Times New Roman"/>
          <w:sz w:val="28"/>
          <w:szCs w:val="28"/>
          <w:lang w:val="ro-MD"/>
        </w:rPr>
      </w:pPr>
    </w:p>
    <w:p w:rsidR="00D338FF" w:rsidRPr="009243B9" w:rsidRDefault="00D338FF"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A072D1" w:rsidRPr="009243B9" w:rsidRDefault="00A072D1" w:rsidP="00084E5D">
      <w:pPr>
        <w:ind w:firstLine="540"/>
        <w:jc w:val="both"/>
        <w:rPr>
          <w:rFonts w:ascii="Times New Roman" w:hAnsi="Times New Roman"/>
          <w:sz w:val="28"/>
          <w:szCs w:val="28"/>
          <w:lang w:val="ro-MD"/>
        </w:rPr>
      </w:pPr>
    </w:p>
    <w:p w:rsidR="00D338FF" w:rsidRPr="009243B9" w:rsidRDefault="00D338FF" w:rsidP="00084E5D">
      <w:pPr>
        <w:ind w:firstLine="540"/>
        <w:jc w:val="both"/>
        <w:rPr>
          <w:rFonts w:ascii="Times New Roman" w:hAnsi="Times New Roman"/>
          <w:sz w:val="28"/>
          <w:szCs w:val="28"/>
          <w:lang w:val="ro-MD"/>
        </w:rPr>
      </w:pPr>
    </w:p>
    <w:p w:rsidR="00D338FF" w:rsidRPr="009243B9" w:rsidRDefault="00D338FF" w:rsidP="00084E5D">
      <w:pPr>
        <w:ind w:firstLine="540"/>
        <w:jc w:val="both"/>
        <w:rPr>
          <w:rFonts w:ascii="Times New Roman" w:hAnsi="Times New Roman"/>
          <w:sz w:val="28"/>
          <w:szCs w:val="28"/>
          <w:lang w:val="ro-MD"/>
        </w:rPr>
      </w:pPr>
    </w:p>
    <w:p w:rsidR="00084E5D" w:rsidRPr="009243B9" w:rsidRDefault="00804BB2" w:rsidP="00D338FF">
      <w:pPr>
        <w:jc w:val="both"/>
        <w:rPr>
          <w:rFonts w:ascii="Times New Roman" w:hAnsi="Times New Roman"/>
          <w:sz w:val="20"/>
          <w:szCs w:val="20"/>
          <w:lang w:val="ro-MD"/>
        </w:rPr>
      </w:pPr>
      <w:r w:rsidRPr="009243B9">
        <w:rPr>
          <w:rFonts w:ascii="Times New Roman" w:hAnsi="Times New Roman"/>
          <w:sz w:val="20"/>
          <w:szCs w:val="20"/>
          <w:lang w:val="ro-MD"/>
        </w:rPr>
        <w:t xml:space="preserve">ex. T.Demidcenco </w:t>
      </w:r>
    </w:p>
    <w:p w:rsidR="00084E5D" w:rsidRPr="009243B9" w:rsidRDefault="00804BB2" w:rsidP="00307E04">
      <w:pPr>
        <w:jc w:val="both"/>
        <w:rPr>
          <w:rFonts w:ascii="Times New Roman" w:hAnsi="Times New Roman"/>
          <w:sz w:val="20"/>
          <w:szCs w:val="20"/>
          <w:lang w:val="ro-MD"/>
        </w:rPr>
      </w:pPr>
      <w:r w:rsidRPr="009243B9">
        <w:rPr>
          <w:rFonts w:ascii="Times New Roman" w:hAnsi="Times New Roman"/>
          <w:sz w:val="20"/>
          <w:szCs w:val="20"/>
          <w:lang w:val="ro-MD"/>
        </w:rPr>
        <w:t xml:space="preserve">          250-673</w:t>
      </w:r>
    </w:p>
    <w:p w:rsidR="00804BB2" w:rsidRPr="009243B9" w:rsidRDefault="00617740" w:rsidP="009243B9">
      <w:pPr>
        <w:ind w:firstLine="1170"/>
        <w:rPr>
          <w:rFonts w:ascii="Times New Roman" w:hAnsi="Times New Roman"/>
          <w:sz w:val="28"/>
          <w:szCs w:val="28"/>
          <w:lang w:val="ro-MD"/>
        </w:rPr>
      </w:pPr>
      <w:r>
        <w:rPr>
          <w:rFonts w:ascii="Times New Roman" w:hAnsi="Times New Roman"/>
          <w:noProof/>
          <w:sz w:val="28"/>
          <w:szCs w:val="28"/>
          <w:lang w:val="ro-MD" w:eastAsia="en-GB"/>
        </w:rPr>
        <w:pict>
          <v:line id="Straight Connector 17" o:spid="_x0000_s1029" style="position:absolute;left:0;text-align:left;z-index:251661312;visibility:visible;mso-wrap-distance-top:-6e-5mm;mso-wrap-distance-bottom:-6e-5mm;mso-position-horizontal:right;mso-position-horizontal-relative:margin;mso-width-relative:margin;mso-height-relative:margin" from="1771.8pt,14.3pt" to="2260.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" strokecolor="windowText" strokeweight=".5pt">
            <v:stroke joinstyle="miter"/>
            <o:lock v:ext="edit" shapetype="f"/>
            <w10:wrap anchorx="margin"/>
          </v:line>
        </w:pict>
      </w:r>
    </w:p>
    <w:p w:rsidR="00084E5D" w:rsidRPr="009243B9" w:rsidRDefault="00804BB2" w:rsidP="00D338FF">
      <w:pPr>
        <w:jc w:val="center"/>
        <w:rPr>
          <w:rFonts w:ascii="Times New Roman" w:hAnsi="Times New Roman"/>
          <w:sz w:val="20"/>
          <w:szCs w:val="20"/>
          <w:lang w:val="ro-MD"/>
        </w:rPr>
      </w:pPr>
      <w:r w:rsidRPr="009243B9">
        <w:rPr>
          <w:rFonts w:ascii="Times New Roman" w:hAnsi="Times New Roman"/>
          <w:sz w:val="20"/>
          <w:szCs w:val="20"/>
          <w:lang w:val="ro-MD"/>
        </w:rPr>
        <w:t>Piaţa Marii Adunări Naţionale nr. 1, Chişinău, MD-2033, tel. +373-22-25-01-07, fax +373-22-23-40-64</w:t>
      </w:r>
    </w:p>
    <w:p w:rsidR="00E06B6D" w:rsidRPr="009243B9" w:rsidRDefault="00804BB2" w:rsidP="00307E04">
      <w:pPr>
        <w:ind w:firstLine="567"/>
        <w:jc w:val="both"/>
        <w:rPr>
          <w:rStyle w:val="Hyperlink"/>
          <w:rFonts w:ascii="Times New Roman" w:hAnsi="Times New Roman"/>
          <w:sz w:val="20"/>
          <w:szCs w:val="20"/>
          <w:lang w:val="ro-MD"/>
        </w:rPr>
      </w:pPr>
      <w:r w:rsidRPr="009243B9">
        <w:rPr>
          <w:rFonts w:ascii="Times New Roman" w:hAnsi="Times New Roman"/>
          <w:sz w:val="20"/>
          <w:szCs w:val="20"/>
          <w:lang w:val="ro-MD"/>
        </w:rPr>
        <w:t xml:space="preserve">             E-mail: </w:t>
      </w:r>
      <w:hyperlink r:id="rId13" w:history="1">
        <w:r w:rsidRPr="009243B9">
          <w:rPr>
            <w:rStyle w:val="Hyperlink"/>
            <w:rFonts w:ascii="Times New Roman" w:hAnsi="Times New Roman"/>
            <w:sz w:val="20"/>
            <w:szCs w:val="20"/>
            <w:lang w:val="ro-MD"/>
          </w:rPr>
          <w:t>mineconcom@mec.gov.md</w:t>
        </w:r>
      </w:hyperlink>
      <w:r w:rsidRPr="009243B9">
        <w:rPr>
          <w:rStyle w:val="Hyperlink"/>
          <w:rFonts w:ascii="Times New Roman" w:hAnsi="Times New Roman"/>
          <w:sz w:val="20"/>
          <w:szCs w:val="20"/>
          <w:lang w:val="ro-MD"/>
        </w:rPr>
        <w:t xml:space="preserve">  </w:t>
      </w:r>
      <w:r w:rsidRPr="009243B9">
        <w:rPr>
          <w:rFonts w:ascii="Times New Roman" w:hAnsi="Times New Roman"/>
          <w:sz w:val="20"/>
          <w:szCs w:val="20"/>
          <w:lang w:val="ro-MD"/>
        </w:rPr>
        <w:t xml:space="preserve">Pagina web: </w:t>
      </w:r>
      <w:hyperlink r:id="rId14" w:history="1">
        <w:r w:rsidRPr="009243B9">
          <w:rPr>
            <w:rStyle w:val="Hyperlink"/>
            <w:rFonts w:ascii="Times New Roman" w:hAnsi="Times New Roman"/>
            <w:sz w:val="20"/>
            <w:szCs w:val="20"/>
            <w:lang w:val="ro-MD"/>
          </w:rPr>
          <w:t>www.mec.gov.md</w:t>
        </w:r>
      </w:hyperlink>
    </w:p>
    <w:p w:rsidR="000903F7" w:rsidRPr="009243B9" w:rsidRDefault="000903F7" w:rsidP="00E06B6D">
      <w:pPr>
        <w:ind w:firstLine="567"/>
        <w:jc w:val="both"/>
        <w:rPr>
          <w:rStyle w:val="Hyperlink"/>
          <w:rFonts w:ascii="Times New Roman" w:hAnsi="Times New Roman"/>
          <w:sz w:val="28"/>
          <w:szCs w:val="28"/>
          <w:lang w:val="ro-MD"/>
        </w:rPr>
      </w:pPr>
    </w:p>
    <w:p w:rsidR="000903F7" w:rsidRPr="009243B9" w:rsidRDefault="000903F7"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78376F" w:rsidRPr="009243B9" w:rsidRDefault="0078376F" w:rsidP="000903F7">
      <w:pPr>
        <w:ind w:firstLine="567"/>
        <w:jc w:val="both"/>
        <w:rPr>
          <w:rFonts w:ascii="Times New Roman" w:eastAsia="Times New Roman" w:hAnsi="Times New Roman"/>
          <w:sz w:val="28"/>
          <w:szCs w:val="28"/>
          <w:lang w:val="ro-MD" w:eastAsia="en-GB"/>
        </w:rPr>
      </w:pPr>
    </w:p>
    <w:p w:rsidR="000903F7" w:rsidRPr="009243B9" w:rsidRDefault="0083439D" w:rsidP="000903F7">
      <w:pPr>
        <w:rPr>
          <w:rFonts w:ascii="Times New Roman" w:hAnsi="Times New Roman"/>
          <w:sz w:val="28"/>
          <w:szCs w:val="28"/>
          <w:lang w:val="ro-MD"/>
        </w:rPr>
      </w:pPr>
      <w:r w:rsidRPr="009243B9">
        <w:rPr>
          <w:rFonts w:ascii="Times New Roman" w:hAnsi="Times New Roman"/>
          <w:noProof/>
          <w:sz w:val="28"/>
          <w:szCs w:val="28"/>
          <w:lang w:eastAsia="en-GB"/>
        </w:rPr>
        <w:drawing>
          <wp:anchor distT="0" distB="0" distL="114300" distR="114300" simplePos="0" relativeHeight="251659776" behindDoc="0" locked="0" layoutInCell="1" allowOverlap="1">
            <wp:simplePos x="0" y="0"/>
            <wp:positionH relativeFrom="column">
              <wp:posOffset>-57150</wp:posOffset>
            </wp:positionH>
            <wp:positionV relativeFrom="paragraph">
              <wp:posOffset>38100</wp:posOffset>
            </wp:positionV>
            <wp:extent cx="431165" cy="542925"/>
            <wp:effectExtent l="0" t="0" r="6985" b="9525"/>
            <wp:wrapNone/>
            <wp:docPr id="4" name="Picture 4"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Moldo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a:ln>
                      <a:noFill/>
                    </a:ln>
                  </pic:spPr>
                </pic:pic>
              </a:graphicData>
            </a:graphic>
          </wp:anchor>
        </w:drawing>
      </w:r>
      <w:r w:rsidR="00617740">
        <w:rPr>
          <w:rFonts w:ascii="Times New Roman" w:hAnsi="Times New Roman"/>
          <w:noProof/>
          <w:sz w:val="28"/>
          <w:szCs w:val="28"/>
          <w:lang w:val="ro-MD" w:eastAsia="en-GB"/>
        </w:rPr>
        <w:pict>
          <v:shape id="Text Box 2" o:spid="_x0000_s1027" type="#_x0000_t202" style="position:absolute;margin-left:38.25pt;margin-top:.75pt;width:155.25pt;height:51.15pt;z-index:25166336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" filled="f" stroked="f">
            <v:textbox style="mso-fit-shape-to-text:t">
              <w:txbxContent>
                <w:p w:rsidR="000903F7" w:rsidRPr="0078376F" w:rsidRDefault="000903F7" w:rsidP="000903F7">
                  <w:pPr>
                    <w:contextualSpacing/>
                    <w:rPr>
                      <w:rFonts w:ascii="Calibri Light" w:hAnsi="Calibri Light" w:cs="Calibri Light"/>
                      <w:sz w:val="24"/>
                      <w:szCs w:val="24"/>
                    </w:rPr>
                  </w:pPr>
                  <w:r w:rsidRPr="0078376F">
                    <w:rPr>
                      <w:rFonts w:ascii="Calibri Light" w:hAnsi="Calibri Light" w:cs="Calibri Light"/>
                      <w:sz w:val="24"/>
                      <w:szCs w:val="24"/>
                    </w:rPr>
                    <w:t xml:space="preserve">Ministerul Economiei </w:t>
                  </w:r>
                </w:p>
                <w:p w:rsidR="000903F7" w:rsidRPr="0078376F" w:rsidRDefault="000903F7" w:rsidP="000903F7">
                  <w:pPr>
                    <w:contextualSpacing/>
                    <w:rPr>
                      <w:rFonts w:ascii="Calibri Light" w:hAnsi="Calibri Light" w:cs="Calibri Light"/>
                      <w:sz w:val="24"/>
                      <w:szCs w:val="24"/>
                    </w:rPr>
                  </w:pPr>
                  <w:r w:rsidRPr="0078376F">
                    <w:rPr>
                      <w:rFonts w:ascii="Calibri Light" w:hAnsi="Calibri Light" w:cs="Calibri Light"/>
                      <w:sz w:val="24"/>
                      <w:szCs w:val="24"/>
                    </w:rPr>
                    <w:t xml:space="preserve">și Infrastructurii </w:t>
                  </w:r>
                </w:p>
                <w:p w:rsidR="000903F7" w:rsidRPr="0078376F" w:rsidRDefault="000903F7" w:rsidP="000903F7">
                  <w:pPr>
                    <w:contextualSpacing/>
                    <w:rPr>
                      <w:rFonts w:ascii="Calibri Light" w:hAnsi="Calibri Light" w:cs="Calibri Light"/>
                      <w:sz w:val="24"/>
                      <w:szCs w:val="24"/>
                    </w:rPr>
                  </w:pPr>
                  <w:r w:rsidRPr="0078376F">
                    <w:rPr>
                      <w:rFonts w:ascii="Calibri Light" w:hAnsi="Calibri Light" w:cs="Calibri Light"/>
                      <w:sz w:val="24"/>
                      <w:szCs w:val="24"/>
                    </w:rPr>
                    <w:t>al Republicii Moldova</w:t>
                  </w:r>
                </w:p>
              </w:txbxContent>
            </v:textbox>
            <w10:wrap type="square"/>
          </v:shape>
        </w:pict>
      </w:r>
    </w:p>
    <w:p w:rsidR="000903F7" w:rsidRPr="009243B9" w:rsidRDefault="000903F7" w:rsidP="000903F7">
      <w:pPr>
        <w:ind w:firstLine="720"/>
        <w:rPr>
          <w:rFonts w:ascii="Times New Roman" w:hAnsi="Times New Roman"/>
          <w:sz w:val="28"/>
          <w:szCs w:val="28"/>
          <w:lang w:val="ro-MD"/>
        </w:rPr>
      </w:pPr>
    </w:p>
    <w:p w:rsidR="000903F7" w:rsidRPr="009243B9" w:rsidRDefault="000903F7" w:rsidP="000903F7">
      <w:pPr>
        <w:ind w:left="-450"/>
        <w:rPr>
          <w:rFonts w:ascii="Times New Roman" w:hAnsi="Times New Roman"/>
          <w:sz w:val="28"/>
          <w:szCs w:val="28"/>
          <w:lang w:val="ro-MD"/>
        </w:rPr>
      </w:pPr>
    </w:p>
    <w:p w:rsidR="000903F7" w:rsidRPr="009243B9" w:rsidRDefault="000903F7" w:rsidP="000903F7">
      <w:pPr>
        <w:ind w:left="-450"/>
        <w:rPr>
          <w:rFonts w:ascii="Times New Roman" w:hAnsi="Times New Roman"/>
          <w:sz w:val="28"/>
          <w:szCs w:val="28"/>
          <w:lang w:val="ro-MD"/>
        </w:rPr>
      </w:pPr>
    </w:p>
    <w:p w:rsidR="000903F7" w:rsidRPr="009243B9" w:rsidRDefault="00804BB2" w:rsidP="000903F7">
      <w:pPr>
        <w:ind w:left="-450"/>
        <w:rPr>
          <w:rFonts w:ascii="Times New Roman" w:hAnsi="Times New Roman"/>
          <w:sz w:val="28"/>
          <w:szCs w:val="28"/>
          <w:lang w:val="ro-MD"/>
        </w:rPr>
      </w:pPr>
      <w:r w:rsidRPr="009243B9">
        <w:rPr>
          <w:rFonts w:ascii="Times New Roman" w:hAnsi="Times New Roman"/>
          <w:sz w:val="28"/>
          <w:szCs w:val="28"/>
          <w:lang w:val="ro-MD"/>
        </w:rPr>
        <w:t xml:space="preserve">                     </w:t>
      </w:r>
    </w:p>
    <w:p w:rsidR="000903F7" w:rsidRPr="009243B9" w:rsidRDefault="00804BB2" w:rsidP="000903F7">
      <w:pPr>
        <w:ind w:left="-450"/>
        <w:rPr>
          <w:rFonts w:ascii="Times New Roman" w:hAnsi="Times New Roman"/>
          <w:sz w:val="24"/>
          <w:szCs w:val="24"/>
          <w:lang w:val="ro-MD"/>
        </w:rPr>
      </w:pPr>
      <w:r w:rsidRPr="009243B9">
        <w:rPr>
          <w:rFonts w:ascii="Times New Roman" w:hAnsi="Times New Roman"/>
          <w:sz w:val="28"/>
          <w:szCs w:val="28"/>
          <w:lang w:val="ro-MD"/>
        </w:rPr>
        <w:t xml:space="preserve">                     </w:t>
      </w:r>
      <w:r w:rsidRPr="009243B9">
        <w:rPr>
          <w:rFonts w:ascii="Times New Roman" w:hAnsi="Times New Roman"/>
          <w:sz w:val="24"/>
          <w:szCs w:val="24"/>
          <w:lang w:val="ro-MD"/>
        </w:rPr>
        <w:t>Nr._________________</w:t>
      </w:r>
    </w:p>
    <w:p w:rsidR="000903F7" w:rsidRPr="009243B9" w:rsidRDefault="000903F7" w:rsidP="000903F7">
      <w:pPr>
        <w:ind w:left="-450"/>
        <w:rPr>
          <w:rFonts w:ascii="Times New Roman" w:hAnsi="Times New Roman"/>
          <w:sz w:val="24"/>
          <w:szCs w:val="24"/>
          <w:lang w:val="ro-MD"/>
        </w:rPr>
      </w:pPr>
    </w:p>
    <w:p w:rsidR="000903F7" w:rsidRPr="009243B9" w:rsidRDefault="00804BB2" w:rsidP="000903F7">
      <w:pPr>
        <w:ind w:left="-450"/>
        <w:rPr>
          <w:rFonts w:ascii="Times New Roman" w:hAnsi="Times New Roman"/>
          <w:sz w:val="24"/>
          <w:szCs w:val="24"/>
          <w:lang w:val="ro-MD"/>
        </w:rPr>
      </w:pPr>
      <w:r w:rsidRPr="009243B9">
        <w:rPr>
          <w:rFonts w:ascii="Times New Roman" w:hAnsi="Times New Roman"/>
          <w:sz w:val="24"/>
          <w:szCs w:val="24"/>
          <w:lang w:val="ro-MD"/>
        </w:rPr>
        <w:t xml:space="preserve">                     _________________2017</w:t>
      </w:r>
    </w:p>
    <w:p w:rsidR="000903F7" w:rsidRPr="009243B9" w:rsidRDefault="000903F7" w:rsidP="000903F7">
      <w:pPr>
        <w:ind w:left="-450"/>
        <w:rPr>
          <w:rFonts w:ascii="Times New Roman" w:hAnsi="Times New Roman"/>
          <w:sz w:val="28"/>
          <w:szCs w:val="28"/>
          <w:lang w:val="ro-MD"/>
        </w:rPr>
      </w:pPr>
    </w:p>
    <w:p w:rsidR="000903F7" w:rsidRPr="009243B9" w:rsidRDefault="00804BB2" w:rsidP="000903F7">
      <w:pPr>
        <w:jc w:val="right"/>
        <w:rPr>
          <w:rFonts w:ascii="Times New Roman" w:hAnsi="Times New Roman"/>
          <w:b/>
          <w:sz w:val="28"/>
          <w:szCs w:val="28"/>
          <w:lang w:val="ro-MD"/>
        </w:rPr>
      </w:pPr>
      <w:r w:rsidRPr="009243B9">
        <w:rPr>
          <w:rFonts w:ascii="Times New Roman" w:hAnsi="Times New Roman"/>
          <w:b/>
          <w:sz w:val="28"/>
          <w:szCs w:val="28"/>
          <w:lang w:val="ro-MD"/>
        </w:rPr>
        <w:t>Centrul Național Anticorupție</w:t>
      </w:r>
    </w:p>
    <w:p w:rsidR="000903F7" w:rsidRPr="009243B9" w:rsidRDefault="000903F7" w:rsidP="000903F7">
      <w:pPr>
        <w:jc w:val="right"/>
        <w:rPr>
          <w:rFonts w:ascii="Times New Roman" w:hAnsi="Times New Roman"/>
          <w:b/>
          <w:sz w:val="28"/>
          <w:szCs w:val="28"/>
          <w:lang w:val="ro-MD"/>
        </w:rPr>
      </w:pPr>
    </w:p>
    <w:p w:rsidR="000903F7" w:rsidRPr="009243B9" w:rsidRDefault="000903F7" w:rsidP="000903F7">
      <w:pPr>
        <w:jc w:val="right"/>
        <w:rPr>
          <w:rFonts w:ascii="Times New Roman" w:hAnsi="Times New Roman"/>
          <w:sz w:val="28"/>
          <w:szCs w:val="28"/>
          <w:lang w:val="ro-MD"/>
        </w:rPr>
      </w:pPr>
    </w:p>
    <w:p w:rsidR="000903F7" w:rsidRPr="009243B9" w:rsidRDefault="00804BB2" w:rsidP="000903F7">
      <w:pPr>
        <w:spacing w:line="360" w:lineRule="auto"/>
        <w:ind w:firstLine="708"/>
        <w:jc w:val="both"/>
        <w:rPr>
          <w:rFonts w:ascii="Times New Roman" w:hAnsi="Times New Roman"/>
          <w:bCs/>
          <w:sz w:val="28"/>
          <w:szCs w:val="28"/>
          <w:lang w:val="ro-MD"/>
        </w:rPr>
      </w:pPr>
      <w:r w:rsidRPr="009243B9">
        <w:rPr>
          <w:rFonts w:ascii="Times New Roman" w:hAnsi="Times New Roman"/>
          <w:bCs/>
          <w:sz w:val="28"/>
          <w:szCs w:val="28"/>
          <w:lang w:val="ro-MD"/>
        </w:rPr>
        <w:t>Prin prezenta, în temeiul art.41 alin. (2) din Legea nr. 317-XV din 18.07.2003 privind actele normative ale Guvernului şi ale altor autorități ale administrației publice centrale şi locale, Ministerul Economiei remite spre expertiză anticorupție proiectul hotărârii de Guvern cu privire la modificarea hotărârii Guvernului nr.110  din  23.02.2011.</w:t>
      </w:r>
    </w:p>
    <w:p w:rsidR="000903F7" w:rsidRPr="009243B9" w:rsidRDefault="00804BB2" w:rsidP="000903F7">
      <w:pPr>
        <w:spacing w:line="360" w:lineRule="auto"/>
        <w:ind w:firstLine="567"/>
        <w:jc w:val="both"/>
        <w:rPr>
          <w:rFonts w:ascii="Times New Roman" w:hAnsi="Times New Roman"/>
          <w:bCs/>
          <w:sz w:val="28"/>
          <w:szCs w:val="28"/>
          <w:lang w:val="ro-MD"/>
        </w:rPr>
      </w:pPr>
      <w:r w:rsidRPr="009243B9">
        <w:rPr>
          <w:rFonts w:ascii="Times New Roman" w:hAnsi="Times New Roman"/>
          <w:bCs/>
          <w:sz w:val="28"/>
          <w:szCs w:val="28"/>
          <w:lang w:val="ro-MD"/>
        </w:rPr>
        <w:t xml:space="preserve">Proiectul şi nota informativă la proiect pot fi accesate pe pagina oficială a Ministerului Economiei la adresa </w:t>
      </w:r>
      <w:hyperlink r:id="rId15" w:history="1">
        <w:r w:rsidRPr="009243B9">
          <w:rPr>
            <w:rFonts w:ascii="Times New Roman" w:hAnsi="Times New Roman"/>
            <w:bCs/>
            <w:sz w:val="28"/>
            <w:szCs w:val="28"/>
            <w:lang w:val="ro-MD"/>
          </w:rPr>
          <w:t>www.mec.gov.md</w:t>
        </w:r>
      </w:hyperlink>
      <w:r w:rsidRPr="009243B9">
        <w:rPr>
          <w:rFonts w:ascii="Times New Roman" w:hAnsi="Times New Roman"/>
          <w:bCs/>
          <w:sz w:val="28"/>
          <w:szCs w:val="28"/>
          <w:lang w:val="ro-MD"/>
        </w:rPr>
        <w:t>, în compartimentul “Transparența în procesul decizional”.</w:t>
      </w:r>
    </w:p>
    <w:p w:rsidR="000903F7" w:rsidRPr="009243B9" w:rsidRDefault="00804BB2" w:rsidP="000903F7">
      <w:pPr>
        <w:rPr>
          <w:rFonts w:ascii="Times New Roman" w:hAnsi="Times New Roman"/>
          <w:sz w:val="28"/>
          <w:szCs w:val="28"/>
          <w:lang w:val="ro-MD" w:eastAsia="ru-RU"/>
        </w:rPr>
      </w:pPr>
      <w:r w:rsidRPr="009243B9">
        <w:rPr>
          <w:rFonts w:ascii="Times New Roman" w:hAnsi="Times New Roman"/>
          <w:sz w:val="28"/>
          <w:szCs w:val="28"/>
          <w:lang w:val="ro-MD" w:eastAsia="ru-RU"/>
        </w:rPr>
        <w:tab/>
      </w:r>
    </w:p>
    <w:p w:rsidR="0020778F" w:rsidRPr="009243B9" w:rsidRDefault="00804BB2" w:rsidP="000903F7">
      <w:pPr>
        <w:rPr>
          <w:rFonts w:ascii="Times New Roman" w:hAnsi="Times New Roman"/>
          <w:sz w:val="28"/>
          <w:szCs w:val="28"/>
          <w:lang w:val="ro-MD" w:eastAsia="ru-RU"/>
        </w:rPr>
      </w:pPr>
      <w:r w:rsidRPr="009243B9">
        <w:rPr>
          <w:rFonts w:ascii="Times New Roman" w:hAnsi="Times New Roman"/>
          <w:sz w:val="28"/>
          <w:szCs w:val="28"/>
          <w:lang w:val="ro-MD" w:eastAsia="ru-RU"/>
        </w:rPr>
        <w:t>Anexa 7 file</w:t>
      </w:r>
    </w:p>
    <w:p w:rsidR="000903F7" w:rsidRPr="009243B9" w:rsidRDefault="000903F7" w:rsidP="000903F7">
      <w:pPr>
        <w:rPr>
          <w:rFonts w:ascii="Times New Roman" w:hAnsi="Times New Roman"/>
          <w:sz w:val="28"/>
          <w:szCs w:val="28"/>
          <w:lang w:val="ro-MD" w:eastAsia="ru-RU"/>
        </w:rPr>
      </w:pPr>
    </w:p>
    <w:p w:rsidR="000903F7" w:rsidRPr="009243B9" w:rsidRDefault="000903F7" w:rsidP="000903F7">
      <w:pPr>
        <w:rPr>
          <w:rFonts w:ascii="Times New Roman" w:hAnsi="Times New Roman"/>
          <w:sz w:val="28"/>
          <w:szCs w:val="28"/>
          <w:lang w:val="ro-MD" w:eastAsia="ru-RU"/>
        </w:rPr>
      </w:pPr>
    </w:p>
    <w:p w:rsidR="000903F7" w:rsidRPr="009243B9" w:rsidRDefault="00804BB2" w:rsidP="0002463A">
      <w:pPr>
        <w:ind w:firstLine="720"/>
        <w:jc w:val="both"/>
        <w:rPr>
          <w:rFonts w:ascii="Times New Roman" w:hAnsi="Times New Roman"/>
          <w:b/>
          <w:bCs/>
          <w:sz w:val="28"/>
          <w:szCs w:val="28"/>
          <w:lang w:val="ro-MD"/>
        </w:rPr>
      </w:pPr>
      <w:r w:rsidRPr="009243B9">
        <w:rPr>
          <w:rFonts w:ascii="Times New Roman" w:hAnsi="Times New Roman"/>
          <w:sz w:val="28"/>
          <w:szCs w:val="28"/>
          <w:lang w:val="ro-MD" w:eastAsia="ru-RU"/>
        </w:rPr>
        <w:t xml:space="preserve">  </w:t>
      </w:r>
      <w:r w:rsidRPr="009243B9">
        <w:rPr>
          <w:rFonts w:ascii="Times New Roman" w:hAnsi="Times New Roman"/>
          <w:b/>
          <w:sz w:val="28"/>
          <w:szCs w:val="28"/>
          <w:lang w:val="ro-MD"/>
        </w:rPr>
        <w:t>Secretar General de Stat                                                   Iulia COSTIN</w:t>
      </w:r>
    </w:p>
    <w:p w:rsidR="000903F7" w:rsidRPr="009243B9" w:rsidRDefault="000903F7" w:rsidP="000903F7">
      <w:pPr>
        <w:pStyle w:val="Footer"/>
        <w:tabs>
          <w:tab w:val="clear" w:pos="4153"/>
          <w:tab w:val="clear" w:pos="8306"/>
          <w:tab w:val="left" w:pos="1276"/>
          <w:tab w:val="left" w:pos="9000"/>
        </w:tabs>
        <w:ind w:left="180" w:right="175"/>
        <w:jc w:val="both"/>
        <w:rPr>
          <w:sz w:val="28"/>
          <w:szCs w:val="28"/>
          <w:lang w:val="ro-MD"/>
        </w:rPr>
      </w:pPr>
    </w:p>
    <w:p w:rsidR="000903F7" w:rsidRPr="009243B9" w:rsidRDefault="000903F7" w:rsidP="000903F7">
      <w:pPr>
        <w:ind w:firstLine="540"/>
        <w:jc w:val="both"/>
        <w:rPr>
          <w:rFonts w:ascii="Times New Roman" w:hAnsi="Times New Roman"/>
          <w:sz w:val="28"/>
          <w:szCs w:val="28"/>
          <w:lang w:val="ro-MD"/>
        </w:rPr>
      </w:pPr>
    </w:p>
    <w:p w:rsidR="000903F7" w:rsidRPr="009243B9" w:rsidRDefault="00804BB2" w:rsidP="000903F7">
      <w:pPr>
        <w:jc w:val="both"/>
        <w:rPr>
          <w:rFonts w:ascii="Times New Roman" w:hAnsi="Times New Roman"/>
          <w:sz w:val="20"/>
          <w:szCs w:val="20"/>
          <w:lang w:val="ro-MD"/>
        </w:rPr>
      </w:pPr>
      <w:r w:rsidRPr="009243B9">
        <w:rPr>
          <w:rFonts w:ascii="Times New Roman" w:hAnsi="Times New Roman"/>
          <w:sz w:val="20"/>
          <w:szCs w:val="20"/>
          <w:lang w:val="ro-MD"/>
        </w:rPr>
        <w:t xml:space="preserve">ex. T.Demidcenco </w:t>
      </w:r>
    </w:p>
    <w:p w:rsidR="000903F7" w:rsidRPr="009243B9" w:rsidRDefault="00804BB2" w:rsidP="000903F7">
      <w:pPr>
        <w:jc w:val="both"/>
        <w:rPr>
          <w:rFonts w:ascii="Times New Roman" w:hAnsi="Times New Roman"/>
          <w:sz w:val="20"/>
          <w:szCs w:val="20"/>
          <w:lang w:val="ro-MD"/>
        </w:rPr>
      </w:pPr>
      <w:r w:rsidRPr="009243B9">
        <w:rPr>
          <w:rFonts w:ascii="Times New Roman" w:hAnsi="Times New Roman"/>
          <w:sz w:val="20"/>
          <w:szCs w:val="20"/>
          <w:lang w:val="ro-MD"/>
        </w:rPr>
        <w:t xml:space="preserve">          250-673</w:t>
      </w:r>
    </w:p>
    <w:p w:rsidR="000903F7" w:rsidRPr="009243B9" w:rsidRDefault="00617740" w:rsidP="000903F7">
      <w:pPr>
        <w:ind w:right="-270" w:firstLine="1170"/>
        <w:rPr>
          <w:rFonts w:ascii="Times New Roman" w:hAnsi="Times New Roman"/>
          <w:sz w:val="28"/>
          <w:szCs w:val="28"/>
          <w:lang w:val="ro-MD"/>
        </w:rPr>
      </w:pPr>
      <w:r>
        <w:rPr>
          <w:rFonts w:ascii="Times New Roman" w:hAnsi="Times New Roman"/>
          <w:noProof/>
          <w:sz w:val="28"/>
          <w:szCs w:val="28"/>
          <w:lang w:val="ro-MD" w:eastAsia="en-GB"/>
        </w:rPr>
        <w:pict>
          <v:line id="Straight Connector 3" o:spid="_x0000_s1028" style="position:absolute;left:0;text-align:left;z-index:251665408;visibility:visible;mso-wrap-distance-top:-6e-5mm;mso-wrap-distance-bottom:-6e-5mm;mso-position-horizontal:right;mso-position-horizontal-relative:margin;mso-width-relative:margin;mso-height-relative:margin" from="1771.8pt,14.3pt" to="2260.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" strokecolor="windowText" strokeweight=".5pt">
            <v:stroke joinstyle="miter"/>
            <o:lock v:ext="edit" shapetype="f"/>
            <w10:wrap anchorx="margin"/>
          </v:line>
        </w:pict>
      </w:r>
    </w:p>
    <w:p w:rsidR="000903F7" w:rsidRPr="009243B9" w:rsidRDefault="000903F7" w:rsidP="000903F7">
      <w:pPr>
        <w:jc w:val="center"/>
        <w:rPr>
          <w:rFonts w:ascii="Times New Roman" w:hAnsi="Times New Roman"/>
          <w:sz w:val="28"/>
          <w:szCs w:val="28"/>
          <w:lang w:val="ro-MD"/>
        </w:rPr>
      </w:pPr>
    </w:p>
    <w:p w:rsidR="000903F7" w:rsidRPr="009243B9" w:rsidRDefault="00804BB2" w:rsidP="000903F7">
      <w:pPr>
        <w:jc w:val="center"/>
        <w:rPr>
          <w:rFonts w:ascii="Times New Roman" w:hAnsi="Times New Roman"/>
          <w:sz w:val="20"/>
          <w:szCs w:val="20"/>
          <w:lang w:val="ro-MD"/>
        </w:rPr>
      </w:pPr>
      <w:r w:rsidRPr="009243B9">
        <w:rPr>
          <w:rFonts w:ascii="Times New Roman" w:hAnsi="Times New Roman"/>
          <w:sz w:val="20"/>
          <w:szCs w:val="20"/>
          <w:lang w:val="ro-MD"/>
        </w:rPr>
        <w:t>Piaţa Marii Adunări Naţionale nr. 1, Chişinău, MD-2033, tel. +373-22-25-01-07, fax +373-22-23-40-64</w:t>
      </w:r>
    </w:p>
    <w:p w:rsidR="000903F7" w:rsidRPr="009243B9" w:rsidRDefault="00804BB2" w:rsidP="00E06B6D">
      <w:pPr>
        <w:ind w:firstLine="567"/>
        <w:jc w:val="both"/>
        <w:rPr>
          <w:rFonts w:ascii="Times New Roman" w:hAnsi="Times New Roman"/>
          <w:sz w:val="20"/>
          <w:szCs w:val="20"/>
          <w:lang w:val="ro-MD"/>
        </w:rPr>
      </w:pPr>
      <w:r w:rsidRPr="009243B9">
        <w:rPr>
          <w:rFonts w:ascii="Times New Roman" w:hAnsi="Times New Roman"/>
          <w:sz w:val="20"/>
          <w:szCs w:val="20"/>
          <w:lang w:val="ro-MD"/>
        </w:rPr>
        <w:t xml:space="preserve">             E-mail: </w:t>
      </w:r>
      <w:hyperlink r:id="rId16" w:history="1">
        <w:r w:rsidRPr="009243B9">
          <w:rPr>
            <w:rStyle w:val="Hyperlink"/>
            <w:rFonts w:ascii="Times New Roman" w:hAnsi="Times New Roman"/>
            <w:sz w:val="20"/>
            <w:szCs w:val="20"/>
            <w:lang w:val="ro-MD"/>
          </w:rPr>
          <w:t>mineconcom@mec.gov.md</w:t>
        </w:r>
      </w:hyperlink>
      <w:r w:rsidRPr="009243B9">
        <w:rPr>
          <w:rStyle w:val="Hyperlink"/>
          <w:rFonts w:ascii="Times New Roman" w:hAnsi="Times New Roman"/>
          <w:sz w:val="20"/>
          <w:szCs w:val="20"/>
          <w:lang w:val="ro-MD"/>
        </w:rPr>
        <w:t xml:space="preserve">  </w:t>
      </w:r>
      <w:r w:rsidRPr="009243B9">
        <w:rPr>
          <w:rFonts w:ascii="Times New Roman" w:hAnsi="Times New Roman"/>
          <w:sz w:val="20"/>
          <w:szCs w:val="20"/>
          <w:lang w:val="ro-MD"/>
        </w:rPr>
        <w:t xml:space="preserve">Pagina web: </w:t>
      </w:r>
      <w:hyperlink r:id="rId17" w:history="1">
        <w:r w:rsidRPr="009243B9">
          <w:rPr>
            <w:rStyle w:val="Hyperlink"/>
            <w:rFonts w:ascii="Times New Roman" w:hAnsi="Times New Roman"/>
            <w:sz w:val="20"/>
            <w:szCs w:val="20"/>
            <w:lang w:val="ro-MD"/>
          </w:rPr>
          <w:t>www.mec.gov.md</w:t>
        </w:r>
      </w:hyperlink>
    </w:p>
    <w:sectPr w:rsidR="000903F7" w:rsidRPr="009243B9" w:rsidSect="009243B9">
      <w:pgSz w:w="11906" w:h="16838"/>
      <w:pgMar w:top="567" w:right="1133"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71B52"/>
    <w:multiLevelType w:val="hybridMultilevel"/>
    <w:tmpl w:val="AFC6B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4713F8"/>
    <w:multiLevelType w:val="hybridMultilevel"/>
    <w:tmpl w:val="DD2A30A0"/>
    <w:lvl w:ilvl="0" w:tplc="F46A419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2"/>
  </w:compat>
  <w:rsids>
    <w:rsidRoot w:val="001D7A2D"/>
    <w:rsid w:val="0000086C"/>
    <w:rsid w:val="00023FDB"/>
    <w:rsid w:val="00024505"/>
    <w:rsid w:val="0002463A"/>
    <w:rsid w:val="00025073"/>
    <w:rsid w:val="0004522E"/>
    <w:rsid w:val="0005026E"/>
    <w:rsid w:val="00050DD0"/>
    <w:rsid w:val="00055C36"/>
    <w:rsid w:val="00084E5D"/>
    <w:rsid w:val="00090072"/>
    <w:rsid w:val="000903F7"/>
    <w:rsid w:val="00094222"/>
    <w:rsid w:val="0009689C"/>
    <w:rsid w:val="000A578E"/>
    <w:rsid w:val="001165F2"/>
    <w:rsid w:val="00135257"/>
    <w:rsid w:val="00181DA1"/>
    <w:rsid w:val="0018546F"/>
    <w:rsid w:val="001A2B55"/>
    <w:rsid w:val="001A7750"/>
    <w:rsid w:val="001B44A3"/>
    <w:rsid w:val="001D25B8"/>
    <w:rsid w:val="001D7A2D"/>
    <w:rsid w:val="001E5A8A"/>
    <w:rsid w:val="0020778F"/>
    <w:rsid w:val="00212051"/>
    <w:rsid w:val="002407F7"/>
    <w:rsid w:val="0025087A"/>
    <w:rsid w:val="002A0F2E"/>
    <w:rsid w:val="002B5145"/>
    <w:rsid w:val="002C64B9"/>
    <w:rsid w:val="002D73AA"/>
    <w:rsid w:val="002D7E21"/>
    <w:rsid w:val="002F21E7"/>
    <w:rsid w:val="003052BD"/>
    <w:rsid w:val="00307E04"/>
    <w:rsid w:val="00355CAC"/>
    <w:rsid w:val="00361F46"/>
    <w:rsid w:val="00370DA0"/>
    <w:rsid w:val="00380400"/>
    <w:rsid w:val="003A3F66"/>
    <w:rsid w:val="003D4E77"/>
    <w:rsid w:val="003D744D"/>
    <w:rsid w:val="003E22D8"/>
    <w:rsid w:val="00423759"/>
    <w:rsid w:val="004322BE"/>
    <w:rsid w:val="00446F29"/>
    <w:rsid w:val="00472C6D"/>
    <w:rsid w:val="004C1ED2"/>
    <w:rsid w:val="004C440B"/>
    <w:rsid w:val="004F26AE"/>
    <w:rsid w:val="0051170B"/>
    <w:rsid w:val="00525DE7"/>
    <w:rsid w:val="00585187"/>
    <w:rsid w:val="00587CB7"/>
    <w:rsid w:val="005A6C34"/>
    <w:rsid w:val="005B204B"/>
    <w:rsid w:val="005C5452"/>
    <w:rsid w:val="005D73BA"/>
    <w:rsid w:val="006218C1"/>
    <w:rsid w:val="00681102"/>
    <w:rsid w:val="00695AEE"/>
    <w:rsid w:val="006A16D0"/>
    <w:rsid w:val="006B363A"/>
    <w:rsid w:val="006D1CD2"/>
    <w:rsid w:val="00714B20"/>
    <w:rsid w:val="0072006B"/>
    <w:rsid w:val="00734C85"/>
    <w:rsid w:val="00762768"/>
    <w:rsid w:val="00782BC1"/>
    <w:rsid w:val="0078376F"/>
    <w:rsid w:val="007E2E62"/>
    <w:rsid w:val="008036DA"/>
    <w:rsid w:val="00804396"/>
    <w:rsid w:val="00804BB2"/>
    <w:rsid w:val="0081347B"/>
    <w:rsid w:val="0083439D"/>
    <w:rsid w:val="00850F41"/>
    <w:rsid w:val="008E43F7"/>
    <w:rsid w:val="009009F1"/>
    <w:rsid w:val="00903114"/>
    <w:rsid w:val="00904D42"/>
    <w:rsid w:val="0090527B"/>
    <w:rsid w:val="0090559E"/>
    <w:rsid w:val="009242F5"/>
    <w:rsid w:val="009243B9"/>
    <w:rsid w:val="00945873"/>
    <w:rsid w:val="00956F4D"/>
    <w:rsid w:val="00965F33"/>
    <w:rsid w:val="009C58AB"/>
    <w:rsid w:val="009D005D"/>
    <w:rsid w:val="009E234A"/>
    <w:rsid w:val="009F1473"/>
    <w:rsid w:val="00A072D1"/>
    <w:rsid w:val="00A77AF8"/>
    <w:rsid w:val="00A80B16"/>
    <w:rsid w:val="00A96A00"/>
    <w:rsid w:val="00A970BA"/>
    <w:rsid w:val="00AA1854"/>
    <w:rsid w:val="00AD7B59"/>
    <w:rsid w:val="00AF6FD3"/>
    <w:rsid w:val="00B5235E"/>
    <w:rsid w:val="00B52A78"/>
    <w:rsid w:val="00B73737"/>
    <w:rsid w:val="00B7412C"/>
    <w:rsid w:val="00B93759"/>
    <w:rsid w:val="00B96344"/>
    <w:rsid w:val="00BA1662"/>
    <w:rsid w:val="00BA1FFA"/>
    <w:rsid w:val="00BB6A4A"/>
    <w:rsid w:val="00BB6EB7"/>
    <w:rsid w:val="00BD45FC"/>
    <w:rsid w:val="00BE31F5"/>
    <w:rsid w:val="00BE5F40"/>
    <w:rsid w:val="00C10B34"/>
    <w:rsid w:val="00C231D2"/>
    <w:rsid w:val="00C2737B"/>
    <w:rsid w:val="00C276C9"/>
    <w:rsid w:val="00C36BD4"/>
    <w:rsid w:val="00C4220F"/>
    <w:rsid w:val="00C45605"/>
    <w:rsid w:val="00C60586"/>
    <w:rsid w:val="00C60D45"/>
    <w:rsid w:val="00C75A1E"/>
    <w:rsid w:val="00CC38D4"/>
    <w:rsid w:val="00CE4A51"/>
    <w:rsid w:val="00CF0023"/>
    <w:rsid w:val="00D03A90"/>
    <w:rsid w:val="00D338FF"/>
    <w:rsid w:val="00D564B1"/>
    <w:rsid w:val="00D712F7"/>
    <w:rsid w:val="00D76C44"/>
    <w:rsid w:val="00DA0B91"/>
    <w:rsid w:val="00DA1BCE"/>
    <w:rsid w:val="00DA361A"/>
    <w:rsid w:val="00DB5AB6"/>
    <w:rsid w:val="00DD5C11"/>
    <w:rsid w:val="00DE1B7D"/>
    <w:rsid w:val="00DE53AE"/>
    <w:rsid w:val="00E06B6D"/>
    <w:rsid w:val="00E11B99"/>
    <w:rsid w:val="00E17990"/>
    <w:rsid w:val="00E503E3"/>
    <w:rsid w:val="00E56567"/>
    <w:rsid w:val="00E64555"/>
    <w:rsid w:val="00E959B2"/>
    <w:rsid w:val="00E95B3A"/>
    <w:rsid w:val="00ED1723"/>
    <w:rsid w:val="00ED5AD7"/>
    <w:rsid w:val="00ED709B"/>
    <w:rsid w:val="00EF7169"/>
    <w:rsid w:val="00F130BB"/>
    <w:rsid w:val="00F2747B"/>
    <w:rsid w:val="00F32330"/>
    <w:rsid w:val="00F54619"/>
    <w:rsid w:val="00F83CA0"/>
    <w:rsid w:val="00FB3BD4"/>
    <w:rsid w:val="00FD34DB"/>
    <w:rsid w:val="00FD35CD"/>
    <w:rsid w:val="00FE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DF1C7A0-CB81-42DC-95CC-311651CB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4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8546F"/>
    <w:pPr>
      <w:keepNext/>
      <w:ind w:firstLine="708"/>
      <w:outlineLvl w:val="0"/>
    </w:pPr>
    <w:rPr>
      <w:rFonts w:ascii="Times New Roman" w:eastAsia="Times New Roman" w:hAnsi="Times New Roman"/>
      <w:sz w:val="28"/>
      <w:szCs w:val="24"/>
      <w:lang w:val="en-US" w:eastAsia="ru-RU"/>
    </w:rPr>
  </w:style>
  <w:style w:type="paragraph" w:styleId="Heading2">
    <w:name w:val="heading 2"/>
    <w:basedOn w:val="Normal"/>
    <w:next w:val="Normal"/>
    <w:link w:val="Heading2Char"/>
    <w:uiPriority w:val="9"/>
    <w:qFormat/>
    <w:rsid w:val="0018546F"/>
    <w:pPr>
      <w:keepNext/>
      <w:spacing w:before="240" w:after="60"/>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6344"/>
    <w:rPr>
      <w:color w:val="0000FF"/>
      <w:u w:val="single"/>
    </w:rPr>
  </w:style>
  <w:style w:type="paragraph" w:styleId="BalloonText">
    <w:name w:val="Balloon Text"/>
    <w:basedOn w:val="Normal"/>
    <w:link w:val="BalloonTextChar"/>
    <w:uiPriority w:val="99"/>
    <w:semiHidden/>
    <w:unhideWhenUsed/>
    <w:rsid w:val="00B96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344"/>
    <w:rPr>
      <w:rFonts w:ascii="Segoe UI" w:hAnsi="Segoe UI" w:cs="Segoe UI"/>
      <w:sz w:val="18"/>
      <w:szCs w:val="18"/>
    </w:rPr>
  </w:style>
  <w:style w:type="paragraph" w:styleId="HTMLPreformatted">
    <w:name w:val="HTML Preformatted"/>
    <w:basedOn w:val="Normal"/>
    <w:link w:val="HTMLPreformattedChar"/>
    <w:uiPriority w:val="99"/>
    <w:semiHidden/>
    <w:unhideWhenUsed/>
    <w:rsid w:val="0009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0072"/>
    <w:rPr>
      <w:rFonts w:ascii="Courier New" w:eastAsia="Times New Roman" w:hAnsi="Courier New" w:cs="Courier New"/>
      <w:sz w:val="20"/>
      <w:szCs w:val="20"/>
      <w:lang w:eastAsia="en-GB"/>
    </w:rPr>
  </w:style>
  <w:style w:type="paragraph" w:styleId="NormalWeb">
    <w:name w:val="Normal (Web)"/>
    <w:basedOn w:val="Normal"/>
    <w:link w:val="NormalWebChar"/>
    <w:uiPriority w:val="99"/>
    <w:unhideWhenUsed/>
    <w:rsid w:val="00F32330"/>
    <w:pPr>
      <w:ind w:firstLine="567"/>
      <w:jc w:val="both"/>
    </w:pPr>
    <w:rPr>
      <w:rFonts w:ascii="Times New Roman" w:eastAsia="Times New Roman" w:hAnsi="Times New Roman"/>
      <w:sz w:val="24"/>
      <w:szCs w:val="24"/>
      <w:lang w:eastAsia="en-GB"/>
    </w:rPr>
  </w:style>
  <w:style w:type="paragraph" w:styleId="ListParagraph">
    <w:name w:val="List Paragraph"/>
    <w:basedOn w:val="Normal"/>
    <w:uiPriority w:val="34"/>
    <w:qFormat/>
    <w:rsid w:val="00F32330"/>
    <w:pPr>
      <w:ind w:left="720"/>
      <w:contextualSpacing/>
    </w:pPr>
  </w:style>
  <w:style w:type="paragraph" w:customStyle="1" w:styleId="tt">
    <w:name w:val="tt"/>
    <w:basedOn w:val="Normal"/>
    <w:rsid w:val="0018546F"/>
    <w:pPr>
      <w:jc w:val="center"/>
    </w:pPr>
    <w:rPr>
      <w:rFonts w:ascii="Times New Roman" w:eastAsia="Times New Roman" w:hAnsi="Times New Roman"/>
      <w:b/>
      <w:bCs/>
      <w:sz w:val="24"/>
      <w:szCs w:val="24"/>
      <w:lang w:eastAsia="en-GB"/>
    </w:rPr>
  </w:style>
  <w:style w:type="paragraph" w:customStyle="1" w:styleId="pb">
    <w:name w:val="pb"/>
    <w:basedOn w:val="Normal"/>
    <w:rsid w:val="0018546F"/>
    <w:pPr>
      <w:jc w:val="center"/>
    </w:pPr>
    <w:rPr>
      <w:rFonts w:ascii="Times New Roman" w:eastAsia="Times New Roman" w:hAnsi="Times New Roman"/>
      <w:i/>
      <w:iCs/>
      <w:color w:val="663300"/>
      <w:sz w:val="20"/>
      <w:szCs w:val="20"/>
      <w:lang w:eastAsia="en-GB"/>
    </w:rPr>
  </w:style>
  <w:style w:type="paragraph" w:customStyle="1" w:styleId="md">
    <w:name w:val="md"/>
    <w:basedOn w:val="Normal"/>
    <w:rsid w:val="0018546F"/>
    <w:pPr>
      <w:ind w:firstLine="567"/>
      <w:jc w:val="both"/>
    </w:pPr>
    <w:rPr>
      <w:rFonts w:ascii="Times New Roman" w:eastAsia="Times New Roman" w:hAnsi="Times New Roman"/>
      <w:i/>
      <w:iCs/>
      <w:color w:val="663300"/>
      <w:sz w:val="20"/>
      <w:szCs w:val="20"/>
      <w:lang w:eastAsia="en-GB"/>
    </w:rPr>
  </w:style>
  <w:style w:type="paragraph" w:customStyle="1" w:styleId="cn">
    <w:name w:val="cn"/>
    <w:basedOn w:val="Normal"/>
    <w:rsid w:val="0018546F"/>
    <w:pPr>
      <w:jc w:val="center"/>
    </w:pPr>
    <w:rPr>
      <w:rFonts w:ascii="Times New Roman" w:eastAsia="Times New Roman" w:hAnsi="Times New Roman"/>
      <w:sz w:val="24"/>
      <w:szCs w:val="24"/>
      <w:lang w:eastAsia="en-GB"/>
    </w:rPr>
  </w:style>
  <w:style w:type="paragraph" w:customStyle="1" w:styleId="cb">
    <w:name w:val="cb"/>
    <w:basedOn w:val="Normal"/>
    <w:rsid w:val="0018546F"/>
    <w:pPr>
      <w:jc w:val="center"/>
    </w:pPr>
    <w:rPr>
      <w:rFonts w:ascii="Times New Roman" w:eastAsia="Times New Roman" w:hAnsi="Times New Roman"/>
      <w:b/>
      <w:bCs/>
      <w:sz w:val="24"/>
      <w:szCs w:val="24"/>
      <w:lang w:eastAsia="en-GB"/>
    </w:rPr>
  </w:style>
  <w:style w:type="paragraph" w:customStyle="1" w:styleId="rg">
    <w:name w:val="rg"/>
    <w:basedOn w:val="Normal"/>
    <w:rsid w:val="0018546F"/>
    <w:pPr>
      <w:jc w:val="right"/>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18546F"/>
    <w:rPr>
      <w:rFonts w:ascii="Times New Roman" w:eastAsia="Times New Roman" w:hAnsi="Times New Roman" w:cs="Times New Roman"/>
      <w:sz w:val="28"/>
      <w:szCs w:val="24"/>
      <w:lang w:val="en-US" w:eastAsia="ru-RU"/>
    </w:rPr>
  </w:style>
  <w:style w:type="character" w:customStyle="1" w:styleId="Heading2Char">
    <w:name w:val="Heading 2 Char"/>
    <w:basedOn w:val="DefaultParagraphFont"/>
    <w:link w:val="Heading2"/>
    <w:uiPriority w:val="9"/>
    <w:rsid w:val="0018546F"/>
    <w:rPr>
      <w:rFonts w:ascii="Arial" w:eastAsia="Times New Roman" w:hAnsi="Arial" w:cs="Arial"/>
      <w:b/>
      <w:bCs/>
      <w:i/>
      <w:iCs/>
      <w:sz w:val="28"/>
      <w:szCs w:val="28"/>
      <w:lang w:val="ru-RU" w:eastAsia="ru-RU"/>
    </w:rPr>
  </w:style>
  <w:style w:type="character" w:customStyle="1" w:styleId="NormalWebChar">
    <w:name w:val="Normal (Web) Char"/>
    <w:basedOn w:val="DefaultParagraphFont"/>
    <w:link w:val="NormalWeb"/>
    <w:uiPriority w:val="99"/>
    <w:rsid w:val="009C58A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84E5D"/>
    <w:pPr>
      <w:tabs>
        <w:tab w:val="center" w:pos="4153"/>
        <w:tab w:val="right" w:pos="8306"/>
      </w:tabs>
    </w:pPr>
    <w:rPr>
      <w:rFonts w:ascii="Times New Roman" w:eastAsia="Times New Roman" w:hAnsi="Times New Roman"/>
      <w:sz w:val="20"/>
      <w:szCs w:val="20"/>
      <w:lang w:val="ru-RU" w:eastAsia="ru-RU"/>
    </w:rPr>
  </w:style>
  <w:style w:type="character" w:customStyle="1" w:styleId="FooterChar">
    <w:name w:val="Footer Char"/>
    <w:basedOn w:val="DefaultParagraphFont"/>
    <w:link w:val="Footer"/>
    <w:uiPriority w:val="99"/>
    <w:rsid w:val="00084E5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4510">
      <w:bodyDiv w:val="1"/>
      <w:marLeft w:val="0"/>
      <w:marRight w:val="0"/>
      <w:marTop w:val="0"/>
      <w:marBottom w:val="0"/>
      <w:divBdr>
        <w:top w:val="none" w:sz="0" w:space="0" w:color="auto"/>
        <w:left w:val="none" w:sz="0" w:space="0" w:color="auto"/>
        <w:bottom w:val="none" w:sz="0" w:space="0" w:color="auto"/>
        <w:right w:val="none" w:sz="0" w:space="0" w:color="auto"/>
      </w:divBdr>
    </w:div>
    <w:div w:id="259219615">
      <w:bodyDiv w:val="1"/>
      <w:marLeft w:val="0"/>
      <w:marRight w:val="0"/>
      <w:marTop w:val="0"/>
      <w:marBottom w:val="0"/>
      <w:divBdr>
        <w:top w:val="none" w:sz="0" w:space="0" w:color="auto"/>
        <w:left w:val="none" w:sz="0" w:space="0" w:color="auto"/>
        <w:bottom w:val="none" w:sz="0" w:space="0" w:color="auto"/>
        <w:right w:val="none" w:sz="0" w:space="0" w:color="auto"/>
      </w:divBdr>
    </w:div>
    <w:div w:id="396900838">
      <w:bodyDiv w:val="1"/>
      <w:marLeft w:val="0"/>
      <w:marRight w:val="0"/>
      <w:marTop w:val="0"/>
      <w:marBottom w:val="0"/>
      <w:divBdr>
        <w:top w:val="none" w:sz="0" w:space="0" w:color="auto"/>
        <w:left w:val="none" w:sz="0" w:space="0" w:color="auto"/>
        <w:bottom w:val="none" w:sz="0" w:space="0" w:color="auto"/>
        <w:right w:val="none" w:sz="0" w:space="0" w:color="auto"/>
      </w:divBdr>
    </w:div>
    <w:div w:id="579676142">
      <w:bodyDiv w:val="1"/>
      <w:marLeft w:val="0"/>
      <w:marRight w:val="0"/>
      <w:marTop w:val="0"/>
      <w:marBottom w:val="0"/>
      <w:divBdr>
        <w:top w:val="none" w:sz="0" w:space="0" w:color="auto"/>
        <w:left w:val="none" w:sz="0" w:space="0" w:color="auto"/>
        <w:bottom w:val="none" w:sz="0" w:space="0" w:color="auto"/>
        <w:right w:val="none" w:sz="0" w:space="0" w:color="auto"/>
      </w:divBdr>
    </w:div>
    <w:div w:id="625543880">
      <w:bodyDiv w:val="1"/>
      <w:marLeft w:val="0"/>
      <w:marRight w:val="0"/>
      <w:marTop w:val="0"/>
      <w:marBottom w:val="0"/>
      <w:divBdr>
        <w:top w:val="none" w:sz="0" w:space="0" w:color="auto"/>
        <w:left w:val="none" w:sz="0" w:space="0" w:color="auto"/>
        <w:bottom w:val="none" w:sz="0" w:space="0" w:color="auto"/>
        <w:right w:val="none" w:sz="0" w:space="0" w:color="auto"/>
      </w:divBdr>
    </w:div>
    <w:div w:id="676004107">
      <w:bodyDiv w:val="1"/>
      <w:marLeft w:val="0"/>
      <w:marRight w:val="0"/>
      <w:marTop w:val="0"/>
      <w:marBottom w:val="0"/>
      <w:divBdr>
        <w:top w:val="none" w:sz="0" w:space="0" w:color="auto"/>
        <w:left w:val="none" w:sz="0" w:space="0" w:color="auto"/>
        <w:bottom w:val="none" w:sz="0" w:space="0" w:color="auto"/>
        <w:right w:val="none" w:sz="0" w:space="0" w:color="auto"/>
      </w:divBdr>
    </w:div>
    <w:div w:id="706758946">
      <w:bodyDiv w:val="1"/>
      <w:marLeft w:val="0"/>
      <w:marRight w:val="0"/>
      <w:marTop w:val="0"/>
      <w:marBottom w:val="0"/>
      <w:divBdr>
        <w:top w:val="none" w:sz="0" w:space="0" w:color="auto"/>
        <w:left w:val="none" w:sz="0" w:space="0" w:color="auto"/>
        <w:bottom w:val="none" w:sz="0" w:space="0" w:color="auto"/>
        <w:right w:val="none" w:sz="0" w:space="0" w:color="auto"/>
      </w:divBdr>
    </w:div>
    <w:div w:id="1011030761">
      <w:bodyDiv w:val="1"/>
      <w:marLeft w:val="0"/>
      <w:marRight w:val="0"/>
      <w:marTop w:val="0"/>
      <w:marBottom w:val="0"/>
      <w:divBdr>
        <w:top w:val="none" w:sz="0" w:space="0" w:color="auto"/>
        <w:left w:val="none" w:sz="0" w:space="0" w:color="auto"/>
        <w:bottom w:val="none" w:sz="0" w:space="0" w:color="auto"/>
        <w:right w:val="none" w:sz="0" w:space="0" w:color="auto"/>
      </w:divBdr>
    </w:div>
    <w:div w:id="1253902866">
      <w:bodyDiv w:val="1"/>
      <w:marLeft w:val="0"/>
      <w:marRight w:val="0"/>
      <w:marTop w:val="0"/>
      <w:marBottom w:val="0"/>
      <w:divBdr>
        <w:top w:val="none" w:sz="0" w:space="0" w:color="auto"/>
        <w:left w:val="none" w:sz="0" w:space="0" w:color="auto"/>
        <w:bottom w:val="none" w:sz="0" w:space="0" w:color="auto"/>
        <w:right w:val="none" w:sz="0" w:space="0" w:color="auto"/>
      </w:divBdr>
    </w:div>
    <w:div w:id="1700233114">
      <w:bodyDiv w:val="1"/>
      <w:marLeft w:val="0"/>
      <w:marRight w:val="0"/>
      <w:marTop w:val="0"/>
      <w:marBottom w:val="0"/>
      <w:divBdr>
        <w:top w:val="none" w:sz="0" w:space="0" w:color="auto"/>
        <w:left w:val="none" w:sz="0" w:space="0" w:color="auto"/>
        <w:bottom w:val="none" w:sz="0" w:space="0" w:color="auto"/>
        <w:right w:val="none" w:sz="0" w:space="0" w:color="auto"/>
      </w:divBdr>
    </w:div>
    <w:div w:id="1824001196">
      <w:bodyDiv w:val="1"/>
      <w:marLeft w:val="0"/>
      <w:marRight w:val="0"/>
      <w:marTop w:val="0"/>
      <w:marBottom w:val="0"/>
      <w:divBdr>
        <w:top w:val="none" w:sz="0" w:space="0" w:color="auto"/>
        <w:left w:val="none" w:sz="0" w:space="0" w:color="auto"/>
        <w:bottom w:val="none" w:sz="0" w:space="0" w:color="auto"/>
        <w:right w:val="none" w:sz="0" w:space="0" w:color="auto"/>
      </w:divBdr>
    </w:div>
    <w:div w:id="1908881938">
      <w:bodyDiv w:val="1"/>
      <w:marLeft w:val="0"/>
      <w:marRight w:val="0"/>
      <w:marTop w:val="0"/>
      <w:marBottom w:val="0"/>
      <w:divBdr>
        <w:top w:val="none" w:sz="0" w:space="0" w:color="auto"/>
        <w:left w:val="none" w:sz="0" w:space="0" w:color="auto"/>
        <w:bottom w:val="none" w:sz="0" w:space="0" w:color="auto"/>
        <w:right w:val="none" w:sz="0" w:space="0" w:color="auto"/>
      </w:divBdr>
    </w:div>
    <w:div w:id="1969582830">
      <w:bodyDiv w:val="1"/>
      <w:marLeft w:val="0"/>
      <w:marRight w:val="0"/>
      <w:marTop w:val="0"/>
      <w:marBottom w:val="0"/>
      <w:divBdr>
        <w:top w:val="none" w:sz="0" w:space="0" w:color="auto"/>
        <w:left w:val="none" w:sz="0" w:space="0" w:color="auto"/>
        <w:bottom w:val="none" w:sz="0" w:space="0" w:color="auto"/>
        <w:right w:val="none" w:sz="0" w:space="0" w:color="auto"/>
      </w:divBdr>
    </w:div>
    <w:div w:id="2005357922">
      <w:bodyDiv w:val="1"/>
      <w:marLeft w:val="0"/>
      <w:marRight w:val="0"/>
      <w:marTop w:val="0"/>
      <w:marBottom w:val="0"/>
      <w:divBdr>
        <w:top w:val="none" w:sz="0" w:space="0" w:color="auto"/>
        <w:left w:val="none" w:sz="0" w:space="0" w:color="auto"/>
        <w:bottom w:val="none" w:sz="0" w:space="0" w:color="auto"/>
        <w:right w:val="none" w:sz="0" w:space="0" w:color="auto"/>
      </w:divBdr>
    </w:div>
    <w:div w:id="2057776050">
      <w:bodyDiv w:val="1"/>
      <w:marLeft w:val="0"/>
      <w:marRight w:val="0"/>
      <w:marTop w:val="0"/>
      <w:marBottom w:val="0"/>
      <w:divBdr>
        <w:top w:val="none" w:sz="0" w:space="0" w:color="auto"/>
        <w:left w:val="none" w:sz="0" w:space="0" w:color="auto"/>
        <w:bottom w:val="none" w:sz="0" w:space="0" w:color="auto"/>
        <w:right w:val="none" w:sz="0" w:space="0" w:color="auto"/>
      </w:divBdr>
    </w:div>
    <w:div w:id="21158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4021134" TargetMode="External"/><Relationship Id="rId13" Type="http://schemas.openxmlformats.org/officeDocument/2006/relationships/hyperlink" Target="mailto:mineconcom@mec.gov.m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HGHG200211071432" TargetMode="External"/><Relationship Id="rId12" Type="http://schemas.openxmlformats.org/officeDocument/2006/relationships/hyperlink" Target="http://www.mec.gov.md/" TargetMode="External"/><Relationship Id="rId17" Type="http://schemas.openxmlformats.org/officeDocument/2006/relationships/hyperlink" Target="http://www.mec.gov.md" TargetMode="External"/><Relationship Id="rId2" Type="http://schemas.openxmlformats.org/officeDocument/2006/relationships/numbering" Target="numbering.xml"/><Relationship Id="rId16" Type="http://schemas.openxmlformats.org/officeDocument/2006/relationships/hyperlink" Target="mailto:mineconcom@mec.gov.md" TargetMode="External"/><Relationship Id="rId1" Type="http://schemas.openxmlformats.org/officeDocument/2006/relationships/customXml" Target="../customXml/item1.xml"/><Relationship Id="rId6" Type="http://schemas.openxmlformats.org/officeDocument/2006/relationships/hyperlink" Target="lex:LPLP20070504121"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mec.gov.md/" TargetMode="External"/><Relationship Id="rId10" Type="http://schemas.openxmlformats.org/officeDocument/2006/relationships/hyperlink" Target="http://www.mec.gov.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lex:LPLP20070504121" TargetMode="External"/><Relationship Id="rId14" Type="http://schemas.openxmlformats.org/officeDocument/2006/relationships/hyperlink" Target="http://www.me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639EE-F464-4559-AB06-801436AA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1535</Words>
  <Characters>8753</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admin</cp:lastModifiedBy>
  <cp:revision>2</cp:revision>
  <cp:lastPrinted>2018-03-07T06:42:00Z</cp:lastPrinted>
  <dcterms:created xsi:type="dcterms:W3CDTF">2018-03-06T16:21:00Z</dcterms:created>
  <dcterms:modified xsi:type="dcterms:W3CDTF">2018-03-06T16:21:00Z</dcterms:modified>
</cp:coreProperties>
</file>