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33" w:rsidRPr="00243C1F" w:rsidRDefault="00F5546A" w:rsidP="002B238D">
      <w:pPr>
        <w:spacing w:after="0"/>
        <w:jc w:val="center"/>
        <w:rPr>
          <w:rFonts w:ascii="Times New Roman" w:hAnsi="Times New Roman"/>
          <w:b/>
          <w:sz w:val="28"/>
          <w:szCs w:val="28"/>
          <w:lang w:val="ro-RO"/>
        </w:rPr>
      </w:pPr>
      <w:bookmarkStart w:id="0" w:name="_GoBack"/>
      <w:bookmarkEnd w:id="0"/>
      <w:r w:rsidRPr="00243C1F">
        <w:rPr>
          <w:rFonts w:ascii="Times New Roman" w:hAnsi="Times New Roman"/>
          <w:b/>
          <w:sz w:val="28"/>
          <w:szCs w:val="28"/>
          <w:lang w:val="ro-RO"/>
        </w:rPr>
        <w:t>NOTĂ INFORMATIVĂ</w:t>
      </w:r>
    </w:p>
    <w:p w:rsidR="001D535C" w:rsidRPr="00243C1F" w:rsidRDefault="003D5933" w:rsidP="001D535C">
      <w:pPr>
        <w:spacing w:after="0"/>
        <w:jc w:val="center"/>
        <w:rPr>
          <w:rFonts w:ascii="Times New Roman" w:hAnsi="Times New Roman"/>
          <w:b/>
          <w:sz w:val="28"/>
          <w:szCs w:val="28"/>
          <w:lang w:val="ro-RO"/>
        </w:rPr>
      </w:pPr>
      <w:r w:rsidRPr="00243C1F">
        <w:rPr>
          <w:rFonts w:ascii="Times New Roman" w:hAnsi="Times New Roman"/>
          <w:b/>
          <w:sz w:val="28"/>
          <w:szCs w:val="28"/>
          <w:lang w:val="ro-RO"/>
        </w:rPr>
        <w:t xml:space="preserve">la proiectul </w:t>
      </w:r>
      <w:proofErr w:type="spellStart"/>
      <w:r w:rsidRPr="00243C1F">
        <w:rPr>
          <w:rFonts w:ascii="Times New Roman" w:hAnsi="Times New Roman"/>
          <w:b/>
          <w:sz w:val="28"/>
          <w:szCs w:val="28"/>
          <w:lang w:val="ro-RO"/>
        </w:rPr>
        <w:t>hotărîrii</w:t>
      </w:r>
      <w:proofErr w:type="spellEnd"/>
      <w:r w:rsidRPr="00243C1F">
        <w:rPr>
          <w:rFonts w:ascii="Times New Roman" w:hAnsi="Times New Roman"/>
          <w:b/>
          <w:sz w:val="28"/>
          <w:szCs w:val="28"/>
          <w:lang w:val="ro-RO"/>
        </w:rPr>
        <w:t xml:space="preserve"> Guvernului </w:t>
      </w:r>
      <w:r w:rsidR="00F5546A" w:rsidRPr="00243C1F">
        <w:rPr>
          <w:rFonts w:ascii="Times New Roman" w:hAnsi="Times New Roman"/>
          <w:b/>
          <w:sz w:val="28"/>
          <w:szCs w:val="28"/>
          <w:lang w:val="ro-RO"/>
        </w:rPr>
        <w:t>„</w:t>
      </w:r>
      <w:r w:rsidR="001D535C" w:rsidRPr="00243C1F">
        <w:rPr>
          <w:rFonts w:ascii="Times New Roman" w:hAnsi="Times New Roman"/>
          <w:b/>
          <w:sz w:val="28"/>
          <w:szCs w:val="28"/>
          <w:lang w:val="ro-RO"/>
        </w:rPr>
        <w:t xml:space="preserve">Cu privire la modificarea şi completarea </w:t>
      </w:r>
    </w:p>
    <w:p w:rsidR="001D535C" w:rsidRPr="00243C1F" w:rsidRDefault="001D535C" w:rsidP="001D535C">
      <w:pPr>
        <w:ind w:firstLine="540"/>
        <w:jc w:val="center"/>
        <w:rPr>
          <w:rFonts w:ascii="Times New Roman" w:hAnsi="Times New Roman"/>
          <w:b/>
          <w:sz w:val="28"/>
          <w:szCs w:val="28"/>
          <w:lang w:val="ro-RO"/>
        </w:rPr>
      </w:pPr>
      <w:r w:rsidRPr="00243C1F">
        <w:rPr>
          <w:rFonts w:ascii="Times New Roman" w:hAnsi="Times New Roman"/>
          <w:b/>
          <w:sz w:val="28"/>
          <w:szCs w:val="28"/>
          <w:lang w:val="ro-RO"/>
        </w:rPr>
        <w:t>Anexe</w:t>
      </w:r>
      <w:r w:rsidR="00243C1F">
        <w:rPr>
          <w:rFonts w:ascii="Times New Roman" w:hAnsi="Times New Roman"/>
          <w:b/>
          <w:sz w:val="28"/>
          <w:szCs w:val="28"/>
          <w:lang w:val="ro-RO"/>
        </w:rPr>
        <w:t>lor</w:t>
      </w:r>
      <w:r w:rsidRPr="00243C1F">
        <w:rPr>
          <w:rFonts w:ascii="Times New Roman" w:hAnsi="Times New Roman"/>
          <w:b/>
          <w:sz w:val="28"/>
          <w:szCs w:val="28"/>
          <w:lang w:val="ro-RO"/>
        </w:rPr>
        <w:t xml:space="preserve"> nr.3 și nr.9 la </w:t>
      </w:r>
      <w:proofErr w:type="spellStart"/>
      <w:r w:rsidRPr="00243C1F">
        <w:rPr>
          <w:rFonts w:ascii="Times New Roman" w:hAnsi="Times New Roman"/>
          <w:b/>
          <w:sz w:val="28"/>
          <w:szCs w:val="28"/>
          <w:lang w:val="ro-RO"/>
        </w:rPr>
        <w:t>Hotărîrea</w:t>
      </w:r>
      <w:proofErr w:type="spellEnd"/>
      <w:r w:rsidRPr="00243C1F">
        <w:rPr>
          <w:rFonts w:ascii="Times New Roman" w:hAnsi="Times New Roman"/>
          <w:b/>
          <w:sz w:val="28"/>
          <w:szCs w:val="28"/>
          <w:lang w:val="ro-RO"/>
        </w:rPr>
        <w:t xml:space="preserve"> Guvernului nr.381 din 13 aprilie 2006 și abrogarea </w:t>
      </w:r>
      <w:proofErr w:type="spellStart"/>
      <w:r w:rsidRPr="00243C1F">
        <w:rPr>
          <w:rFonts w:ascii="Times New Roman" w:hAnsi="Times New Roman"/>
          <w:b/>
          <w:sz w:val="28"/>
          <w:szCs w:val="28"/>
          <w:lang w:val="ro-RO"/>
        </w:rPr>
        <w:t>Hotărîrii</w:t>
      </w:r>
      <w:proofErr w:type="spellEnd"/>
      <w:r w:rsidRPr="00243C1F">
        <w:rPr>
          <w:rFonts w:ascii="Times New Roman" w:hAnsi="Times New Roman"/>
          <w:b/>
          <w:sz w:val="28"/>
          <w:szCs w:val="28"/>
          <w:lang w:val="ro-RO"/>
        </w:rPr>
        <w:t xml:space="preserve"> Guvernului nr.759 din 03 decembrie 1993”</w:t>
      </w:r>
    </w:p>
    <w:p w:rsidR="001D535C" w:rsidRPr="00243C1F" w:rsidRDefault="001D535C" w:rsidP="001D535C">
      <w:pPr>
        <w:pStyle w:val="Heading5"/>
        <w:ind w:firstLine="708"/>
        <w:rPr>
          <w:rFonts w:ascii="Times New Roman" w:hAnsi="Times New Roman" w:cs="Times New Roman"/>
          <w:color w:val="auto"/>
          <w:sz w:val="28"/>
          <w:szCs w:val="28"/>
          <w:lang w:val="ro-RO"/>
        </w:rPr>
      </w:pPr>
    </w:p>
    <w:p w:rsidR="001D535C" w:rsidRPr="00243C1F" w:rsidRDefault="001D535C" w:rsidP="00243C1F">
      <w:pPr>
        <w:tabs>
          <w:tab w:val="left" w:pos="540"/>
        </w:tabs>
        <w:spacing w:after="0"/>
        <w:jc w:val="both"/>
        <w:rPr>
          <w:rFonts w:ascii="Times New Roman" w:hAnsi="Times New Roman"/>
          <w:sz w:val="28"/>
          <w:szCs w:val="28"/>
          <w:lang w:val="ro-RO"/>
        </w:rPr>
      </w:pPr>
      <w:r w:rsidRPr="00243C1F">
        <w:rPr>
          <w:rFonts w:ascii="Times New Roman" w:hAnsi="Times New Roman"/>
          <w:sz w:val="28"/>
          <w:szCs w:val="28"/>
          <w:lang w:val="ro-RO"/>
        </w:rPr>
        <w:t>Proiectul este elaborat de către Ministerul Sănătăţii, Muncii și Protecției Sociale.</w:t>
      </w:r>
    </w:p>
    <w:p w:rsidR="00727002" w:rsidRPr="00243C1F" w:rsidRDefault="00727002" w:rsidP="00243C1F">
      <w:pPr>
        <w:spacing w:after="0"/>
        <w:ind w:firstLine="708"/>
        <w:jc w:val="both"/>
        <w:rPr>
          <w:rFonts w:ascii="Times New Roman" w:hAnsi="Times New Roman"/>
          <w:b/>
          <w:sz w:val="28"/>
          <w:szCs w:val="28"/>
          <w:lang w:val="ro-RO"/>
        </w:rPr>
      </w:pPr>
    </w:p>
    <w:p w:rsidR="00DA5C8A" w:rsidRPr="00243C1F" w:rsidRDefault="00F937F7" w:rsidP="00243C1F">
      <w:pPr>
        <w:pStyle w:val="ListParagraph"/>
        <w:numPr>
          <w:ilvl w:val="0"/>
          <w:numId w:val="4"/>
        </w:numPr>
        <w:spacing w:after="0"/>
        <w:jc w:val="both"/>
        <w:rPr>
          <w:rFonts w:ascii="Times New Roman" w:hAnsi="Times New Roman"/>
          <w:b/>
          <w:i/>
          <w:sz w:val="28"/>
          <w:szCs w:val="28"/>
          <w:lang w:val="ro-RO"/>
        </w:rPr>
      </w:pPr>
      <w:r w:rsidRPr="00243C1F">
        <w:rPr>
          <w:rFonts w:ascii="Times New Roman" w:hAnsi="Times New Roman"/>
          <w:b/>
          <w:i/>
          <w:sz w:val="28"/>
          <w:szCs w:val="28"/>
          <w:lang w:val="ro-RO"/>
        </w:rPr>
        <w:t xml:space="preserve">Condițiile ce au impus </w:t>
      </w:r>
      <w:r w:rsidR="00DA5C8A" w:rsidRPr="00243C1F">
        <w:rPr>
          <w:rFonts w:ascii="Times New Roman" w:hAnsi="Times New Roman"/>
          <w:b/>
          <w:i/>
          <w:sz w:val="28"/>
          <w:szCs w:val="28"/>
          <w:lang w:val="ro-RO"/>
        </w:rPr>
        <w:t>elabor</w:t>
      </w:r>
      <w:r w:rsidRPr="00243C1F">
        <w:rPr>
          <w:rFonts w:ascii="Times New Roman" w:hAnsi="Times New Roman"/>
          <w:b/>
          <w:i/>
          <w:sz w:val="28"/>
          <w:szCs w:val="28"/>
          <w:lang w:val="ro-RO"/>
        </w:rPr>
        <w:t xml:space="preserve">area </w:t>
      </w:r>
      <w:r w:rsidR="00DA5C8A" w:rsidRPr="00243C1F">
        <w:rPr>
          <w:rFonts w:ascii="Times New Roman" w:hAnsi="Times New Roman"/>
          <w:b/>
          <w:i/>
          <w:sz w:val="28"/>
          <w:szCs w:val="28"/>
          <w:lang w:val="ro-RO"/>
        </w:rPr>
        <w:t>proiectului</w:t>
      </w:r>
      <w:r w:rsidR="00DA5C8A" w:rsidRPr="00243C1F">
        <w:rPr>
          <w:rFonts w:ascii="Times New Roman" w:hAnsi="Times New Roman"/>
          <w:i/>
          <w:sz w:val="28"/>
          <w:szCs w:val="28"/>
          <w:lang w:val="ro-RO"/>
        </w:rPr>
        <w:t xml:space="preserve"> </w:t>
      </w:r>
      <w:r w:rsidR="00C71267" w:rsidRPr="00243C1F">
        <w:rPr>
          <w:rFonts w:ascii="Times New Roman" w:hAnsi="Times New Roman"/>
          <w:b/>
          <w:i/>
          <w:sz w:val="28"/>
          <w:szCs w:val="28"/>
          <w:lang w:val="ro-RO"/>
        </w:rPr>
        <w:t>de act normativ și finalitățile urmărite</w:t>
      </w:r>
    </w:p>
    <w:p w:rsidR="00FD7B34" w:rsidRPr="00243C1F" w:rsidRDefault="00FD7B34" w:rsidP="00243C1F">
      <w:pPr>
        <w:pStyle w:val="NoSpacing"/>
        <w:spacing w:line="276" w:lineRule="auto"/>
        <w:ind w:firstLine="360"/>
        <w:jc w:val="both"/>
        <w:rPr>
          <w:rFonts w:ascii="Times New Roman" w:hAnsi="Times New Roman"/>
          <w:sz w:val="28"/>
          <w:szCs w:val="28"/>
          <w:lang w:val="ro-RO"/>
        </w:rPr>
      </w:pPr>
      <w:r w:rsidRPr="00243C1F">
        <w:rPr>
          <w:rFonts w:ascii="Times New Roman" w:hAnsi="Times New Roman"/>
          <w:sz w:val="28"/>
          <w:szCs w:val="28"/>
          <w:lang w:val="ro-RO"/>
        </w:rPr>
        <w:t xml:space="preserve">Necesitatea sporirii salarizării specialiştilor Agenției Naționale pentru Sănătate Publică rezidă în primul </w:t>
      </w:r>
      <w:proofErr w:type="spellStart"/>
      <w:r w:rsidRPr="00243C1F">
        <w:rPr>
          <w:rFonts w:ascii="Times New Roman" w:hAnsi="Times New Roman"/>
          <w:sz w:val="28"/>
          <w:szCs w:val="28"/>
          <w:lang w:val="ro-RO"/>
        </w:rPr>
        <w:t>rînd</w:t>
      </w:r>
      <w:proofErr w:type="spellEnd"/>
      <w:r w:rsidRPr="00243C1F">
        <w:rPr>
          <w:rFonts w:ascii="Times New Roman" w:hAnsi="Times New Roman"/>
          <w:sz w:val="28"/>
          <w:szCs w:val="28"/>
          <w:lang w:val="ro-RO"/>
        </w:rPr>
        <w:t xml:space="preserve"> din faptul, că salariul de bază al acestora este cel mai mic din sistemul sănătății. Totodată, rolul și importanța specialiștilor a crescut semnificativ, în mare parte prin apariția noilor direcții de activitate, cum ar fi supravegherea maladiilor netransmisibile (cardiovasculare, hipertonia, bolile aparatului respirator, tumorile bolile determinate de nutriția nerațională a populației ș.a.), promovarea sănătății, urgențele de sănătate publică, etc., fapt determinat de vectorul european de dezvoltare a țării. </w:t>
      </w:r>
    </w:p>
    <w:p w:rsidR="00FD7B34" w:rsidRPr="00243C1F" w:rsidRDefault="00FD7B34"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De asemenea, specialiștii în sănătate publică efectuează  supravegherea, evaluarea şi cercetarea factorilor de mediu în raport cu starea de sănătate a populației și impactul acestora asupra sănătăţii, inclusiv în baza rezultatelor de supraveghere sanitară a staţiilor de epurare, sistemelor de canalizare, gestionarea deşeurilor, inclusiv celor toxice, centralelor termice, depozitelor angro, unități care comercializează produse chimice, etc. Un rol important le revine medicilor igieniști la participarea în comun cu medicii epidemiologi în cercetarea cazurilor de toxiinfecții alimentare,  bolilor diareice acute, tuberculoză (TBC)  și alte boli infecțioase provocate de produsele alimentare, apă, fiind supuși  la fel riscurilor de sănătate determinate de factorul biologic. </w:t>
      </w:r>
    </w:p>
    <w:p w:rsidR="00FD7B34" w:rsidRPr="00243C1F" w:rsidRDefault="00FD7B34"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Rezultatele unei analize ce ţine de exodul specialiştilor cu studii superioare şi studii medii de specialitate din domeniul sănătății publice denotă că, părăsesc serviciul preponderent persoanele tinere şi apte de muncă, inclusiv cei care deja deţin categorii de calificare profesională şi au o vechime în muncă, respectiv: - </w:t>
      </w:r>
      <w:proofErr w:type="spellStart"/>
      <w:r w:rsidRPr="00243C1F">
        <w:rPr>
          <w:rFonts w:ascii="Times New Roman" w:hAnsi="Times New Roman"/>
          <w:sz w:val="28"/>
          <w:szCs w:val="28"/>
          <w:lang w:val="ro-RO"/>
        </w:rPr>
        <w:t>pînă</w:t>
      </w:r>
      <w:proofErr w:type="spellEnd"/>
      <w:r w:rsidRPr="00243C1F">
        <w:rPr>
          <w:rFonts w:ascii="Times New Roman" w:hAnsi="Times New Roman"/>
          <w:sz w:val="28"/>
          <w:szCs w:val="28"/>
          <w:lang w:val="ro-RO"/>
        </w:rPr>
        <w:t xml:space="preserve"> la 10 ani - 15%, între 11-20 ani – 11,6%.  La baza acestui exod de personal, în primul </w:t>
      </w:r>
      <w:proofErr w:type="spellStart"/>
      <w:r w:rsidRPr="00243C1F">
        <w:rPr>
          <w:rFonts w:ascii="Times New Roman" w:hAnsi="Times New Roman"/>
          <w:sz w:val="28"/>
          <w:szCs w:val="28"/>
          <w:lang w:val="ro-RO"/>
        </w:rPr>
        <w:t>rînd</w:t>
      </w:r>
      <w:proofErr w:type="spellEnd"/>
      <w:r w:rsidRPr="00243C1F">
        <w:rPr>
          <w:rFonts w:ascii="Times New Roman" w:hAnsi="Times New Roman"/>
          <w:sz w:val="28"/>
          <w:szCs w:val="28"/>
          <w:lang w:val="ro-RO"/>
        </w:rPr>
        <w:t xml:space="preserve"> stau motivele de ordin economic, sau nesatisfacerea angajaţilor de condiţiile şi nivelul de remunerare a muncii. În acest context este foarte important de a crea un mecanism de salarizare și motivare profesională a specialiștilor adecvat sarcinilor majore, competențelor și profesionalismului înalt în activitate. În condițiile actuale este foarte dificil de a motiva tinerii specialiștii de a activa în serviciu, și reducerea exodului masiv de specialiști tineri - </w:t>
      </w:r>
      <w:r w:rsidRPr="00243C1F">
        <w:rPr>
          <w:rFonts w:ascii="Times New Roman" w:hAnsi="Times New Roman"/>
          <w:sz w:val="28"/>
          <w:szCs w:val="28"/>
          <w:lang w:val="ro-RO"/>
        </w:rPr>
        <w:lastRenderedPageBreak/>
        <w:t>absolvenți din sectorul de sănătate publică în alte domenii a sectorului de sănătate.</w:t>
      </w:r>
    </w:p>
    <w:p w:rsidR="00FD7B34" w:rsidRPr="00243C1F" w:rsidRDefault="00FD7B34"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Asigurarea şi îmbunătăţirea continuă a sănătăţii populaţiei şi dezvoltarea sistemului de sănătate este o strategie prioritară a Guvernului Republicii Moldova. Realizarea prevederilor trasate în Strategia naţională de sănătate publică în mare măsură depinde de competitivitatea şi responsabilitatea ce şi-o asumă personalul de specialitate, nivelul standardelor profesionale de serviciu, de distribuire clară a sarcinilor în activitatea de bază. Totodată, una din problemele stringente </w:t>
      </w:r>
      <w:proofErr w:type="spellStart"/>
      <w:r w:rsidRPr="00243C1F">
        <w:rPr>
          <w:rFonts w:ascii="Times New Roman" w:hAnsi="Times New Roman"/>
          <w:sz w:val="28"/>
          <w:szCs w:val="28"/>
          <w:lang w:val="ro-RO"/>
        </w:rPr>
        <w:t>rămîne</w:t>
      </w:r>
      <w:proofErr w:type="spellEnd"/>
      <w:r w:rsidRPr="00243C1F">
        <w:rPr>
          <w:rFonts w:ascii="Times New Roman" w:hAnsi="Times New Roman"/>
          <w:sz w:val="28"/>
          <w:szCs w:val="28"/>
          <w:lang w:val="ro-RO"/>
        </w:rPr>
        <w:t xml:space="preserve"> nivelul insuficient de salarizare a personalului  implicat în serviciul de sănătate publică.</w:t>
      </w:r>
    </w:p>
    <w:p w:rsidR="00FD7B34" w:rsidRPr="00243C1F" w:rsidRDefault="00FD7B34"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Astăzi, salariul tarifar al unui </w:t>
      </w:r>
      <w:proofErr w:type="spellStart"/>
      <w:r w:rsidRPr="00243C1F">
        <w:rPr>
          <w:rFonts w:ascii="Times New Roman" w:hAnsi="Times New Roman"/>
          <w:sz w:val="28"/>
          <w:szCs w:val="28"/>
          <w:lang w:val="ro-RO"/>
        </w:rPr>
        <w:t>tînăr</w:t>
      </w:r>
      <w:proofErr w:type="spellEnd"/>
      <w:r w:rsidRPr="00243C1F">
        <w:rPr>
          <w:rFonts w:ascii="Times New Roman" w:hAnsi="Times New Roman"/>
          <w:sz w:val="28"/>
          <w:szCs w:val="28"/>
          <w:lang w:val="ro-RO"/>
        </w:rPr>
        <w:t xml:space="preserve"> specialist medic în domeniu constituie 1540 lei, iar a unui lucrător medical cu studii medii de specialitate – este de 1410 lei.</w:t>
      </w:r>
    </w:p>
    <w:p w:rsidR="00FD7B34" w:rsidRPr="00243C1F" w:rsidRDefault="00FD7B34"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Îmbunătăţirea condiţiilor de salarizare personalului de specialitate din cadrul Agenției Naționale pentru Sănătate Publică, al cărui principiu fundamental de activitate este reorientarea sistemului de sănătate de la metodele de tratament şi îngrijiri medicale costisitoare spre metode cost-eficiente de promovare a sănătăţii, prevenire şi profilaxie a maladiilor, ar contribui la o economie esenţială pentru  sistemul de sănătate a mijloacelor băneşti, la diminuarea poverii economice asupra bugetului ţării produsă de nivelul înalt al morbidităţii şi mortalităţii premature (în </w:t>
      </w:r>
      <w:r w:rsidR="00176111" w:rsidRPr="00243C1F">
        <w:rPr>
          <w:rFonts w:ascii="Times New Roman" w:hAnsi="Times New Roman"/>
          <w:sz w:val="28"/>
          <w:szCs w:val="28"/>
          <w:lang w:val="ro-RO"/>
        </w:rPr>
        <w:t>vârstă</w:t>
      </w:r>
      <w:r w:rsidRPr="00243C1F">
        <w:rPr>
          <w:rFonts w:ascii="Times New Roman" w:hAnsi="Times New Roman"/>
          <w:sz w:val="28"/>
          <w:szCs w:val="28"/>
          <w:lang w:val="ro-RO"/>
        </w:rPr>
        <w:t xml:space="preserve"> aptă de muncă) în </w:t>
      </w:r>
      <w:r w:rsidR="00176111" w:rsidRPr="00243C1F">
        <w:rPr>
          <w:rFonts w:ascii="Times New Roman" w:hAnsi="Times New Roman"/>
          <w:sz w:val="28"/>
          <w:szCs w:val="28"/>
          <w:lang w:val="ro-RO"/>
        </w:rPr>
        <w:t>rândul</w:t>
      </w:r>
      <w:r w:rsidRPr="00243C1F">
        <w:rPr>
          <w:rFonts w:ascii="Times New Roman" w:hAnsi="Times New Roman"/>
          <w:sz w:val="28"/>
          <w:szCs w:val="28"/>
          <w:lang w:val="ro-RO"/>
        </w:rPr>
        <w:t xml:space="preserve"> populaţiei. </w:t>
      </w:r>
    </w:p>
    <w:p w:rsidR="00FD7B34" w:rsidRPr="00243C1F" w:rsidRDefault="00FD7B34" w:rsidP="00243C1F">
      <w:pPr>
        <w:spacing w:after="0"/>
        <w:ind w:firstLine="540"/>
        <w:jc w:val="both"/>
        <w:rPr>
          <w:rFonts w:ascii="Times New Roman" w:hAnsi="Times New Roman"/>
          <w:sz w:val="28"/>
          <w:szCs w:val="28"/>
          <w:lang w:val="ro-RO"/>
        </w:rPr>
      </w:pPr>
      <w:r w:rsidRPr="00243C1F">
        <w:rPr>
          <w:rFonts w:ascii="Times New Roman" w:hAnsi="Times New Roman"/>
          <w:sz w:val="28"/>
          <w:szCs w:val="28"/>
          <w:lang w:val="ro-RO"/>
        </w:rPr>
        <w:t>De asemenea, exigenţele şi reglementările internaţionale şi europene faţă de organizare a donării de sânge/plasmă, consolidarea eforturilor societăţii în promovarea valorii actului  de donarea sângelui voluntar şi neremunerat, stau  la baza autoasigurării ţării cu produse sanguine, necesare pentru urgenţe medicale şi situaţii excepţionale, fiind clar stipulate în Directivele Consiliului şi Parlamentului European şi recomandările Organizaţiei Mondiale a Sănătăţii.</w:t>
      </w:r>
    </w:p>
    <w:p w:rsidR="00FD7B34" w:rsidRPr="00243C1F" w:rsidRDefault="00FD7B34" w:rsidP="00243C1F">
      <w:pPr>
        <w:spacing w:after="0"/>
        <w:ind w:firstLine="540"/>
        <w:jc w:val="both"/>
        <w:rPr>
          <w:rFonts w:ascii="Times New Roman" w:hAnsi="Times New Roman"/>
          <w:sz w:val="28"/>
          <w:szCs w:val="28"/>
          <w:lang w:val="ro-RO"/>
        </w:rPr>
      </w:pPr>
      <w:r w:rsidRPr="00243C1F">
        <w:rPr>
          <w:rFonts w:ascii="Times New Roman" w:hAnsi="Times New Roman"/>
          <w:sz w:val="28"/>
          <w:szCs w:val="28"/>
          <w:lang w:val="ro-RO"/>
        </w:rPr>
        <w:t xml:space="preserve">Promovarea donării de sânge voluntare şi sistematice în Republica Moldova a luat amploare </w:t>
      </w:r>
      <w:proofErr w:type="spellStart"/>
      <w:r w:rsidRPr="00243C1F">
        <w:rPr>
          <w:rFonts w:ascii="Times New Roman" w:hAnsi="Times New Roman"/>
          <w:sz w:val="28"/>
          <w:szCs w:val="28"/>
          <w:lang w:val="ro-RO"/>
        </w:rPr>
        <w:t>începînd</w:t>
      </w:r>
      <w:proofErr w:type="spellEnd"/>
      <w:r w:rsidRPr="00243C1F">
        <w:rPr>
          <w:rFonts w:ascii="Times New Roman" w:hAnsi="Times New Roman"/>
          <w:sz w:val="28"/>
          <w:szCs w:val="28"/>
          <w:lang w:val="ro-RO"/>
        </w:rPr>
        <w:t xml:space="preserve"> cu anul 2005, constituind 13,5 la sută din numărul total de donări, iar în anul 2015 acest indicator  a atins  70 la sută. Deşi s-au întreprins acţiuni în această perioadă, totuşi în structura donărilor prevalează donatorii-rude, donatori care sunt  condiţionaţi de suferinţa (boala) rudei sau apropiatului său. Cota donărilor sistematice (permanente) este  de 19,6 la sută (în anul 2013 acest indicator a fost de 10,6 la sută). Activitatea de încurajare, promovare şi organizare a  donării de sânge,  necesită  a fi fortificată şi  realizată permanent, astfel ca în societate  să se creeze un simţ de solidaritate pentru cei ce au nevoie în transfuzii de produse sanguine, iar cei mai pregătiţi şi indicaţi pentru realizarea acestor activităţi este personalul Centrului Național de Transfuzie a Sângelui. Donatorii de  sânge</w:t>
      </w:r>
      <w:r w:rsidRPr="00243C1F">
        <w:rPr>
          <w:rFonts w:ascii="Times New Roman" w:hAnsi="Times New Roman"/>
          <w:sz w:val="28"/>
          <w:szCs w:val="28"/>
          <w:lang w:val="ro-RO"/>
        </w:rPr>
        <w:sym w:font="Symbol" w:char="F02F"/>
      </w:r>
      <w:r w:rsidRPr="00243C1F">
        <w:rPr>
          <w:rFonts w:ascii="Times New Roman" w:hAnsi="Times New Roman"/>
          <w:sz w:val="28"/>
          <w:szCs w:val="28"/>
          <w:lang w:val="ro-RO"/>
        </w:rPr>
        <w:t xml:space="preserve">componente sanguine sunt o sursă crucială a </w:t>
      </w:r>
      <w:r w:rsidRPr="00243C1F">
        <w:rPr>
          <w:rFonts w:ascii="Times New Roman" w:hAnsi="Times New Roman"/>
          <w:sz w:val="28"/>
          <w:szCs w:val="28"/>
          <w:lang w:val="ro-RO"/>
        </w:rPr>
        <w:lastRenderedPageBreak/>
        <w:t>resurselor de sănătate a ţării, iar Centrul Național de Transfuzie a  Sângelui cu un grad sporit de responsabilitate organizează procesul de promovare, recrutare, recoltare materie primă  (sânge</w:t>
      </w:r>
      <w:r w:rsidRPr="00243C1F">
        <w:rPr>
          <w:rFonts w:ascii="Times New Roman" w:hAnsi="Times New Roman"/>
          <w:sz w:val="28"/>
          <w:szCs w:val="28"/>
          <w:lang w:val="ro-RO"/>
        </w:rPr>
        <w:sym w:font="Symbol" w:char="F02F"/>
      </w:r>
      <w:r w:rsidRPr="00243C1F">
        <w:rPr>
          <w:rFonts w:ascii="Times New Roman" w:hAnsi="Times New Roman"/>
          <w:sz w:val="28"/>
          <w:szCs w:val="28"/>
          <w:lang w:val="ro-RO"/>
        </w:rPr>
        <w:t xml:space="preserve">componente sanguine),  ulterior fiind  prelucrată în produse sanguine şi eliberate în regim non-stop instituţiilor medico-sanitare, pentru  acordarea  asistenţei  </w:t>
      </w:r>
      <w:proofErr w:type="spellStart"/>
      <w:r w:rsidRPr="00243C1F">
        <w:rPr>
          <w:rFonts w:ascii="Times New Roman" w:hAnsi="Times New Roman"/>
          <w:sz w:val="28"/>
          <w:szCs w:val="28"/>
          <w:lang w:val="ro-RO"/>
        </w:rPr>
        <w:t>hemotransfuzionale</w:t>
      </w:r>
      <w:proofErr w:type="spellEnd"/>
      <w:r w:rsidRPr="00243C1F">
        <w:rPr>
          <w:rFonts w:ascii="Times New Roman" w:hAnsi="Times New Roman"/>
          <w:sz w:val="28"/>
          <w:szCs w:val="28"/>
          <w:lang w:val="ro-RO"/>
        </w:rPr>
        <w:t xml:space="preserve"> pacienţilor. </w:t>
      </w:r>
    </w:p>
    <w:p w:rsidR="00176111" w:rsidRPr="00243C1F" w:rsidRDefault="00176111" w:rsidP="00243C1F">
      <w:pPr>
        <w:spacing w:after="0"/>
        <w:ind w:firstLine="567"/>
        <w:jc w:val="both"/>
        <w:rPr>
          <w:rFonts w:ascii="Times New Roman" w:hAnsi="Times New Roman"/>
          <w:sz w:val="28"/>
          <w:szCs w:val="28"/>
          <w:lang w:val="ro-RO"/>
        </w:rPr>
      </w:pPr>
      <w:r w:rsidRPr="00243C1F">
        <w:rPr>
          <w:rFonts w:ascii="Times New Roman" w:hAnsi="Times New Roman"/>
          <w:sz w:val="28"/>
          <w:szCs w:val="28"/>
          <w:lang w:val="ro-RO"/>
        </w:rPr>
        <w:t xml:space="preserve">Actualmente salarizarea personalului angajat anterior în Centrele de Transfuzie a </w:t>
      </w:r>
      <w:proofErr w:type="spellStart"/>
      <w:r w:rsidRPr="00243C1F">
        <w:rPr>
          <w:rFonts w:ascii="Times New Roman" w:hAnsi="Times New Roman"/>
          <w:sz w:val="28"/>
          <w:szCs w:val="28"/>
          <w:lang w:val="ro-RO"/>
        </w:rPr>
        <w:t>Sîngelui</w:t>
      </w:r>
      <w:proofErr w:type="spellEnd"/>
      <w:r w:rsidRPr="00243C1F">
        <w:rPr>
          <w:rFonts w:ascii="Times New Roman" w:hAnsi="Times New Roman"/>
          <w:sz w:val="28"/>
          <w:szCs w:val="28"/>
          <w:lang w:val="ro-RO"/>
        </w:rPr>
        <w:t xml:space="preserve"> și, actualmente, în Centrul Național de Transfuzie a Sângelui se realizează după următoarele acte normative:</w:t>
      </w:r>
    </w:p>
    <w:p w:rsidR="00176111" w:rsidRPr="00243C1F" w:rsidRDefault="00AC7AAA" w:rsidP="00243C1F">
      <w:pPr>
        <w:numPr>
          <w:ilvl w:val="0"/>
          <w:numId w:val="5"/>
        </w:numPr>
        <w:tabs>
          <w:tab w:val="left" w:pos="709"/>
        </w:tabs>
        <w:spacing w:after="0"/>
        <w:ind w:left="0" w:firstLine="567"/>
        <w:jc w:val="both"/>
        <w:rPr>
          <w:rFonts w:ascii="Times New Roman" w:hAnsi="Times New Roman"/>
          <w:sz w:val="28"/>
          <w:szCs w:val="28"/>
          <w:lang w:val="ro-RO"/>
        </w:rPr>
      </w:pPr>
      <w:r w:rsidRPr="00243C1F">
        <w:rPr>
          <w:rFonts w:ascii="Times New Roman" w:hAnsi="Times New Roman"/>
          <w:sz w:val="28"/>
          <w:szCs w:val="28"/>
          <w:lang w:val="ro-RO"/>
        </w:rPr>
        <w:t>HG</w:t>
      </w:r>
      <w:r w:rsidR="00176111" w:rsidRPr="00243C1F">
        <w:rPr>
          <w:rFonts w:ascii="Times New Roman" w:hAnsi="Times New Roman"/>
          <w:sz w:val="28"/>
          <w:szCs w:val="28"/>
          <w:lang w:val="ro-RO"/>
        </w:rPr>
        <w:t xml:space="preserve"> nr.381 din 13.04.2006 cu privire la condițiile de salarizare a personalului din unitățile bugetare cu modificările și completările ulterioare, care pune în aplicare Legea nr.355 din 23.12.2005 cu privire la sistemul de salarizare în sectorul bugetar</w:t>
      </w:r>
    </w:p>
    <w:p w:rsidR="00176111" w:rsidRPr="00243C1F" w:rsidRDefault="00AC7AAA" w:rsidP="00243C1F">
      <w:pPr>
        <w:numPr>
          <w:ilvl w:val="0"/>
          <w:numId w:val="5"/>
        </w:numPr>
        <w:tabs>
          <w:tab w:val="left" w:pos="709"/>
        </w:tabs>
        <w:spacing w:after="0"/>
        <w:ind w:left="0" w:firstLine="567"/>
        <w:jc w:val="both"/>
        <w:rPr>
          <w:rFonts w:ascii="Times New Roman" w:hAnsi="Times New Roman"/>
          <w:sz w:val="28"/>
          <w:szCs w:val="28"/>
          <w:lang w:val="ro-RO"/>
        </w:rPr>
      </w:pPr>
      <w:r w:rsidRPr="00243C1F">
        <w:rPr>
          <w:rFonts w:ascii="Times New Roman" w:hAnsi="Times New Roman"/>
          <w:sz w:val="28"/>
          <w:szCs w:val="28"/>
          <w:lang w:val="ro-RO"/>
        </w:rPr>
        <w:t>HG</w:t>
      </w:r>
      <w:r w:rsidR="00176111" w:rsidRPr="00243C1F">
        <w:rPr>
          <w:rFonts w:ascii="Times New Roman" w:hAnsi="Times New Roman"/>
          <w:sz w:val="28"/>
          <w:szCs w:val="28"/>
          <w:lang w:val="ro-RO"/>
        </w:rPr>
        <w:t xml:space="preserve"> nr. 759 din 03 decembrie 1993 cu privire la încurajarea donării de sânge în Republica Moldova </w:t>
      </w:r>
    </w:p>
    <w:p w:rsidR="00FD7B34" w:rsidRPr="00243C1F" w:rsidRDefault="00FD7B34" w:rsidP="00243C1F">
      <w:pPr>
        <w:spacing w:after="0"/>
        <w:ind w:firstLine="567"/>
        <w:jc w:val="both"/>
        <w:rPr>
          <w:rFonts w:ascii="Times New Roman" w:hAnsi="Times New Roman"/>
          <w:sz w:val="28"/>
          <w:szCs w:val="28"/>
          <w:lang w:val="ro-RO"/>
        </w:rPr>
      </w:pPr>
      <w:r w:rsidRPr="00243C1F">
        <w:rPr>
          <w:rFonts w:ascii="Times New Roman" w:hAnsi="Times New Roman"/>
          <w:sz w:val="28"/>
          <w:szCs w:val="28"/>
          <w:lang w:val="ro-RO"/>
        </w:rPr>
        <w:t xml:space="preserve">În conformitate cu prevederile </w:t>
      </w:r>
      <w:r w:rsidR="00AC7AAA" w:rsidRPr="00243C1F">
        <w:rPr>
          <w:rFonts w:ascii="Times New Roman" w:hAnsi="Times New Roman"/>
          <w:sz w:val="28"/>
          <w:szCs w:val="28"/>
          <w:lang w:val="ro-RO"/>
        </w:rPr>
        <w:t>HG</w:t>
      </w:r>
      <w:r w:rsidR="00176111" w:rsidRPr="00243C1F">
        <w:rPr>
          <w:rFonts w:ascii="Times New Roman" w:hAnsi="Times New Roman"/>
          <w:sz w:val="28"/>
          <w:szCs w:val="28"/>
          <w:lang w:val="ro-RO"/>
        </w:rPr>
        <w:t xml:space="preserve"> nr.</w:t>
      </w:r>
      <w:r w:rsidRPr="00243C1F">
        <w:rPr>
          <w:rFonts w:ascii="Times New Roman" w:hAnsi="Times New Roman"/>
          <w:sz w:val="28"/>
          <w:szCs w:val="28"/>
          <w:lang w:val="ro-RO"/>
        </w:rPr>
        <w:t>759</w:t>
      </w:r>
      <w:r w:rsidR="00176111" w:rsidRPr="00243C1F">
        <w:rPr>
          <w:rFonts w:ascii="Times New Roman" w:hAnsi="Times New Roman"/>
          <w:sz w:val="28"/>
          <w:szCs w:val="28"/>
          <w:lang w:val="ro-RO"/>
        </w:rPr>
        <w:t>/</w:t>
      </w:r>
      <w:r w:rsidRPr="00243C1F">
        <w:rPr>
          <w:rFonts w:ascii="Times New Roman" w:hAnsi="Times New Roman"/>
          <w:sz w:val="28"/>
          <w:szCs w:val="28"/>
          <w:lang w:val="ro-RO"/>
        </w:rPr>
        <w:t xml:space="preserve">1993, elaborată şi pusă în aplicare întru executarea </w:t>
      </w:r>
      <w:proofErr w:type="spellStart"/>
      <w:r w:rsidRPr="00243C1F">
        <w:rPr>
          <w:rFonts w:ascii="Times New Roman" w:hAnsi="Times New Roman"/>
          <w:sz w:val="28"/>
          <w:szCs w:val="28"/>
          <w:lang w:val="ro-RO"/>
        </w:rPr>
        <w:t>Hotărîrii</w:t>
      </w:r>
      <w:proofErr w:type="spellEnd"/>
      <w:r w:rsidRPr="00243C1F">
        <w:rPr>
          <w:rFonts w:ascii="Times New Roman" w:hAnsi="Times New Roman"/>
          <w:sz w:val="28"/>
          <w:szCs w:val="28"/>
          <w:lang w:val="ro-RO"/>
        </w:rPr>
        <w:t xml:space="preserve"> Parlamentului Republicii Moldova despre punerea în aplicare a Legii privind donarea de sânge nr. 1459-XII din 25 mai 1993, </w:t>
      </w:r>
      <w:proofErr w:type="spellStart"/>
      <w:r w:rsidRPr="00243C1F">
        <w:rPr>
          <w:rFonts w:ascii="Times New Roman" w:hAnsi="Times New Roman"/>
          <w:sz w:val="28"/>
          <w:szCs w:val="28"/>
          <w:lang w:val="ro-RO"/>
        </w:rPr>
        <w:t>începînd</w:t>
      </w:r>
      <w:proofErr w:type="spellEnd"/>
      <w:r w:rsidRPr="00243C1F">
        <w:rPr>
          <w:rFonts w:ascii="Times New Roman" w:hAnsi="Times New Roman"/>
          <w:sz w:val="28"/>
          <w:szCs w:val="28"/>
          <w:lang w:val="ro-RO"/>
        </w:rPr>
        <w:t xml:space="preserve"> cu anul 1993 şi </w:t>
      </w:r>
      <w:proofErr w:type="spellStart"/>
      <w:r w:rsidRPr="00243C1F">
        <w:rPr>
          <w:rFonts w:ascii="Times New Roman" w:hAnsi="Times New Roman"/>
          <w:sz w:val="28"/>
          <w:szCs w:val="28"/>
          <w:lang w:val="ro-RO"/>
        </w:rPr>
        <w:t>pînă</w:t>
      </w:r>
      <w:proofErr w:type="spellEnd"/>
      <w:r w:rsidRPr="00243C1F">
        <w:rPr>
          <w:rFonts w:ascii="Times New Roman" w:hAnsi="Times New Roman"/>
          <w:sz w:val="28"/>
          <w:szCs w:val="28"/>
          <w:lang w:val="ro-RO"/>
        </w:rPr>
        <w:t xml:space="preserve"> în prezent</w:t>
      </w:r>
      <w:r w:rsidR="00176111" w:rsidRPr="00243C1F">
        <w:rPr>
          <w:rFonts w:ascii="Times New Roman" w:hAnsi="Times New Roman"/>
          <w:sz w:val="28"/>
          <w:szCs w:val="28"/>
          <w:lang w:val="ro-RO"/>
        </w:rPr>
        <w:t>,</w:t>
      </w:r>
      <w:r w:rsidRPr="00243C1F">
        <w:rPr>
          <w:rFonts w:ascii="Times New Roman" w:hAnsi="Times New Roman"/>
          <w:sz w:val="28"/>
          <w:szCs w:val="28"/>
          <w:lang w:val="ro-RO"/>
        </w:rPr>
        <w:t xml:space="preserve"> personalului din instituţiile serviciului de sânge ce recoltează sânge şi produce preparate în baza acestuia, a fost planificat, aprobat şi achitat spor la salariu în mărime de  40 la sută din fondul de salarizare.</w:t>
      </w:r>
    </w:p>
    <w:p w:rsidR="00FD7B34" w:rsidRPr="00243C1F" w:rsidRDefault="00FD7B34" w:rsidP="00243C1F">
      <w:pPr>
        <w:spacing w:after="0"/>
        <w:ind w:firstLine="540"/>
        <w:jc w:val="both"/>
        <w:rPr>
          <w:rFonts w:ascii="Times New Roman" w:hAnsi="Times New Roman"/>
          <w:bCs/>
          <w:sz w:val="28"/>
          <w:szCs w:val="28"/>
          <w:lang w:val="ro-RO"/>
        </w:rPr>
      </w:pPr>
      <w:r w:rsidRPr="00243C1F">
        <w:rPr>
          <w:rFonts w:ascii="Times New Roman" w:hAnsi="Times New Roman"/>
          <w:sz w:val="28"/>
          <w:szCs w:val="28"/>
          <w:lang w:val="ro-RO"/>
        </w:rPr>
        <w:t xml:space="preserve">Actualmente, în temeiul Legii cu privire la salarizarea în sectorul bugetar, toate  condiţiile de salarizare a personalului </w:t>
      </w:r>
      <w:r w:rsidRPr="00243C1F">
        <w:rPr>
          <w:rFonts w:ascii="Times New Roman" w:hAnsi="Times New Roman"/>
          <w:bCs/>
          <w:sz w:val="28"/>
          <w:szCs w:val="28"/>
          <w:lang w:val="ro-RO"/>
        </w:rPr>
        <w:t xml:space="preserve">din unităţile bugetare urmează a fi reflectate </w:t>
      </w:r>
      <w:r w:rsidRPr="00243C1F">
        <w:rPr>
          <w:rFonts w:ascii="Times New Roman" w:hAnsi="Times New Roman"/>
          <w:sz w:val="28"/>
          <w:szCs w:val="28"/>
          <w:lang w:val="ro-RO"/>
        </w:rPr>
        <w:t>în HG nr.381</w:t>
      </w:r>
      <w:r w:rsidR="00176111" w:rsidRPr="00243C1F">
        <w:rPr>
          <w:rFonts w:ascii="Times New Roman" w:hAnsi="Times New Roman"/>
          <w:sz w:val="28"/>
          <w:szCs w:val="28"/>
          <w:lang w:val="ro-RO"/>
        </w:rPr>
        <w:t>/2</w:t>
      </w:r>
      <w:r w:rsidRPr="00243C1F">
        <w:rPr>
          <w:rFonts w:ascii="Times New Roman" w:hAnsi="Times New Roman"/>
          <w:sz w:val="28"/>
          <w:szCs w:val="28"/>
          <w:lang w:val="ro-RO"/>
        </w:rPr>
        <w:t>006, respectiv  prevederile HG nr.759</w:t>
      </w:r>
      <w:r w:rsidR="00176111" w:rsidRPr="00243C1F">
        <w:rPr>
          <w:rFonts w:ascii="Times New Roman" w:hAnsi="Times New Roman"/>
          <w:sz w:val="28"/>
          <w:szCs w:val="28"/>
          <w:lang w:val="ro-RO"/>
        </w:rPr>
        <w:t>/1993</w:t>
      </w:r>
      <w:r w:rsidRPr="00243C1F">
        <w:rPr>
          <w:rFonts w:ascii="Times New Roman" w:hAnsi="Times New Roman"/>
          <w:sz w:val="28"/>
          <w:szCs w:val="28"/>
          <w:lang w:val="ro-RO"/>
        </w:rPr>
        <w:t xml:space="preserve"> necesită a fi transferate HG nr.381</w:t>
      </w:r>
      <w:r w:rsidR="00176111" w:rsidRPr="00243C1F">
        <w:rPr>
          <w:rFonts w:ascii="Times New Roman" w:hAnsi="Times New Roman"/>
          <w:sz w:val="28"/>
          <w:szCs w:val="28"/>
          <w:lang w:val="ro-RO"/>
        </w:rPr>
        <w:t>/2006</w:t>
      </w:r>
      <w:r w:rsidRPr="00243C1F">
        <w:rPr>
          <w:rFonts w:ascii="Times New Roman" w:hAnsi="Times New Roman"/>
          <w:sz w:val="28"/>
          <w:szCs w:val="28"/>
          <w:lang w:val="ro-RO"/>
        </w:rPr>
        <w:t>, în redacţie nouă</w:t>
      </w:r>
      <w:r w:rsidRPr="00243C1F">
        <w:rPr>
          <w:rFonts w:ascii="Times New Roman" w:hAnsi="Times New Roman"/>
          <w:bCs/>
          <w:sz w:val="28"/>
          <w:szCs w:val="28"/>
          <w:lang w:val="ro-RO"/>
        </w:rPr>
        <w:t xml:space="preserve">. </w:t>
      </w:r>
    </w:p>
    <w:p w:rsidR="00FD7B34" w:rsidRPr="00243C1F" w:rsidRDefault="00FD7B34" w:rsidP="00243C1F">
      <w:pPr>
        <w:spacing w:after="0"/>
        <w:ind w:firstLine="540"/>
        <w:jc w:val="both"/>
        <w:rPr>
          <w:rFonts w:ascii="Times New Roman" w:hAnsi="Times New Roman"/>
          <w:sz w:val="28"/>
          <w:szCs w:val="28"/>
          <w:lang w:val="ro-RO"/>
        </w:rPr>
      </w:pPr>
      <w:r w:rsidRPr="00243C1F">
        <w:rPr>
          <w:rFonts w:ascii="Times New Roman" w:hAnsi="Times New Roman"/>
          <w:sz w:val="28"/>
          <w:szCs w:val="28"/>
          <w:lang w:val="ro-RO"/>
        </w:rPr>
        <w:t xml:space="preserve">Totodată, drept urmare a realizării </w:t>
      </w:r>
      <w:r w:rsidR="00AC7AAA" w:rsidRPr="00243C1F">
        <w:rPr>
          <w:rFonts w:ascii="Times New Roman" w:hAnsi="Times New Roman"/>
          <w:sz w:val="28"/>
          <w:szCs w:val="28"/>
          <w:lang w:val="ro-RO"/>
        </w:rPr>
        <w:t>HG</w:t>
      </w:r>
      <w:r w:rsidRPr="00243C1F">
        <w:rPr>
          <w:rFonts w:ascii="Times New Roman" w:hAnsi="Times New Roman"/>
          <w:sz w:val="28"/>
          <w:szCs w:val="28"/>
          <w:lang w:val="ro-RO"/>
        </w:rPr>
        <w:t xml:space="preserve"> nr.410  din  01.07.2015 ”Cu privire la reorganizarea unor instituții” Centrul Național de Transfuzie a Sângelui, este unica instituție din Republica Moldova specializată în domeniul recoltării sângelui/componentelor sanguine, producerea componentelor, preparatelor biomedicale și diagnostice sanguine, ce corespunde politicelor implementate de Ministerul Sănătății</w:t>
      </w:r>
      <w:r w:rsidR="009254C0">
        <w:rPr>
          <w:rFonts w:ascii="Times New Roman" w:hAnsi="Times New Roman"/>
          <w:sz w:val="28"/>
          <w:szCs w:val="28"/>
          <w:lang w:val="ro-RO"/>
        </w:rPr>
        <w:t>, Muncii și Protecției Sociale</w:t>
      </w:r>
      <w:r w:rsidRPr="00243C1F">
        <w:rPr>
          <w:rFonts w:ascii="Times New Roman" w:hAnsi="Times New Roman"/>
          <w:sz w:val="28"/>
          <w:szCs w:val="28"/>
          <w:lang w:val="ro-RO"/>
        </w:rPr>
        <w:t xml:space="preserve"> în domeniul managementului asistenței </w:t>
      </w:r>
      <w:proofErr w:type="spellStart"/>
      <w:r w:rsidRPr="00243C1F">
        <w:rPr>
          <w:rFonts w:ascii="Times New Roman" w:hAnsi="Times New Roman"/>
          <w:sz w:val="28"/>
          <w:szCs w:val="28"/>
          <w:lang w:val="ro-RO"/>
        </w:rPr>
        <w:t>hemotransfuzionale</w:t>
      </w:r>
      <w:proofErr w:type="spellEnd"/>
      <w:r w:rsidRPr="00243C1F">
        <w:rPr>
          <w:rFonts w:ascii="Times New Roman" w:hAnsi="Times New Roman"/>
          <w:sz w:val="28"/>
          <w:szCs w:val="28"/>
          <w:lang w:val="ro-RO"/>
        </w:rPr>
        <w:t xml:space="preserve"> la nivel național. </w:t>
      </w:r>
    </w:p>
    <w:p w:rsidR="00FD7B34" w:rsidRPr="00243C1F" w:rsidRDefault="00FD7B34" w:rsidP="00243C1F">
      <w:pPr>
        <w:spacing w:after="0"/>
        <w:ind w:firstLine="708"/>
        <w:jc w:val="both"/>
        <w:rPr>
          <w:rFonts w:ascii="Times New Roman" w:hAnsi="Times New Roman"/>
          <w:sz w:val="28"/>
          <w:szCs w:val="28"/>
          <w:lang w:val="ro-RO"/>
        </w:rPr>
      </w:pPr>
      <w:r w:rsidRPr="00243C1F">
        <w:rPr>
          <w:rFonts w:ascii="Times New Roman" w:hAnsi="Times New Roman"/>
          <w:sz w:val="28"/>
          <w:szCs w:val="28"/>
          <w:lang w:val="ro-RO"/>
        </w:rPr>
        <w:t>Suplimentar este de menționat că, proiectul dat este elaborat la indicația Prim-ministrului, domnului Pavel FILIP, nr.31-11-23-394 din 06 iunie 2016, prin care, urmare sesizării Inspecției Financiare, se solicită întreprinderea acțiunilor ce se impun pentru determinarea legislației aplicabile la retribuirea muncii angajaților Centrului Național de Transfuzie a Sângelui, cu prezentarea propunerilor privind ajustarea cadrului normativ.</w:t>
      </w:r>
    </w:p>
    <w:p w:rsidR="00FD7B34" w:rsidRPr="00243C1F" w:rsidRDefault="00FD7B34" w:rsidP="00243C1F">
      <w:pPr>
        <w:tabs>
          <w:tab w:val="left" w:pos="540"/>
        </w:tabs>
        <w:spacing w:after="0"/>
        <w:jc w:val="both"/>
        <w:rPr>
          <w:rFonts w:ascii="Times New Roman" w:hAnsi="Times New Roman"/>
          <w:bCs/>
          <w:iCs/>
          <w:sz w:val="28"/>
          <w:szCs w:val="28"/>
          <w:lang w:val="ro-RO"/>
        </w:rPr>
      </w:pPr>
      <w:r w:rsidRPr="00243C1F">
        <w:rPr>
          <w:rFonts w:ascii="Times New Roman" w:hAnsi="Times New Roman"/>
          <w:bCs/>
          <w:iCs/>
          <w:sz w:val="28"/>
          <w:szCs w:val="28"/>
          <w:lang w:val="ro-RO"/>
        </w:rPr>
        <w:tab/>
        <w:t xml:space="preserve">Concomitent, aceste modificări vor </w:t>
      </w:r>
      <w:r w:rsidRPr="00243C1F">
        <w:rPr>
          <w:rStyle w:val="docbody"/>
          <w:rFonts w:ascii="Times New Roman" w:hAnsi="Times New Roman"/>
          <w:sz w:val="28"/>
          <w:szCs w:val="28"/>
          <w:lang w:val="ro-RO"/>
        </w:rPr>
        <w:t xml:space="preserve">reglementa într-o singură </w:t>
      </w:r>
      <w:r w:rsidR="00AC7AAA" w:rsidRPr="00243C1F">
        <w:rPr>
          <w:rStyle w:val="docbody"/>
          <w:rFonts w:ascii="Times New Roman" w:hAnsi="Times New Roman"/>
          <w:sz w:val="28"/>
          <w:szCs w:val="28"/>
          <w:lang w:val="ro-RO"/>
        </w:rPr>
        <w:t>HG</w:t>
      </w:r>
      <w:r w:rsidRPr="00243C1F">
        <w:rPr>
          <w:rStyle w:val="docbody"/>
          <w:rFonts w:ascii="Times New Roman" w:hAnsi="Times New Roman"/>
          <w:sz w:val="28"/>
          <w:szCs w:val="28"/>
          <w:lang w:val="ro-RO"/>
        </w:rPr>
        <w:t xml:space="preserve">, toate condiţiile de salarizare a personalului Centrului Național de Transfuzie  a </w:t>
      </w:r>
      <w:r w:rsidRPr="00243C1F">
        <w:rPr>
          <w:rStyle w:val="docbody"/>
          <w:rFonts w:ascii="Times New Roman" w:hAnsi="Times New Roman"/>
          <w:sz w:val="28"/>
          <w:szCs w:val="28"/>
          <w:lang w:val="ro-RO"/>
        </w:rPr>
        <w:lastRenderedPageBreak/>
        <w:t xml:space="preserve">Sângelui, </w:t>
      </w:r>
      <w:r w:rsidRPr="00243C1F">
        <w:rPr>
          <w:rFonts w:ascii="Times New Roman" w:hAnsi="Times New Roman"/>
          <w:bCs/>
          <w:iCs/>
          <w:sz w:val="28"/>
          <w:szCs w:val="28"/>
          <w:lang w:val="ro-RO"/>
        </w:rPr>
        <w:t xml:space="preserve">va spori eficienţa în </w:t>
      </w:r>
      <w:r w:rsidRPr="00243C1F">
        <w:rPr>
          <w:rFonts w:ascii="Times New Roman" w:hAnsi="Times New Roman"/>
          <w:sz w:val="28"/>
          <w:szCs w:val="28"/>
          <w:lang w:val="ro-RO"/>
        </w:rPr>
        <w:t>încurajarea şi promovarea donării de sânge</w:t>
      </w:r>
      <w:r w:rsidRPr="00243C1F">
        <w:rPr>
          <w:rFonts w:ascii="Times New Roman" w:hAnsi="Times New Roman"/>
          <w:sz w:val="28"/>
          <w:szCs w:val="28"/>
          <w:lang w:val="ro-RO"/>
        </w:rPr>
        <w:sym w:font="Symbol" w:char="F02F"/>
      </w:r>
      <w:r w:rsidRPr="00243C1F">
        <w:rPr>
          <w:rFonts w:ascii="Times New Roman" w:hAnsi="Times New Roman"/>
          <w:sz w:val="28"/>
          <w:szCs w:val="28"/>
          <w:lang w:val="ro-RO"/>
        </w:rPr>
        <w:t>componente sanguine, în organizarea donării, recoltarea materiei prime (sânge</w:t>
      </w:r>
      <w:r w:rsidRPr="00243C1F">
        <w:rPr>
          <w:rFonts w:ascii="Times New Roman" w:hAnsi="Times New Roman"/>
          <w:sz w:val="28"/>
          <w:szCs w:val="28"/>
          <w:lang w:val="ro-RO"/>
        </w:rPr>
        <w:sym w:font="Symbol" w:char="F02F"/>
      </w:r>
      <w:r w:rsidRPr="00243C1F">
        <w:rPr>
          <w:rFonts w:ascii="Times New Roman" w:hAnsi="Times New Roman"/>
          <w:sz w:val="28"/>
          <w:szCs w:val="28"/>
          <w:lang w:val="ro-RO"/>
        </w:rPr>
        <w:t>componente sanguine) şi prelucrarea acestora</w:t>
      </w:r>
      <w:r w:rsidRPr="00243C1F">
        <w:rPr>
          <w:rFonts w:ascii="Times New Roman" w:hAnsi="Times New Roman"/>
          <w:bCs/>
          <w:iCs/>
          <w:sz w:val="28"/>
          <w:szCs w:val="28"/>
          <w:lang w:val="ro-RO"/>
        </w:rPr>
        <w:t>.</w:t>
      </w:r>
    </w:p>
    <w:p w:rsidR="00FD7B34" w:rsidRPr="00243C1F" w:rsidRDefault="00FD7B34"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În acest sens, se propun completări la anexa nr. 3 la H</w:t>
      </w:r>
      <w:r w:rsidR="0092536D" w:rsidRPr="00243C1F">
        <w:rPr>
          <w:rFonts w:ascii="Times New Roman" w:hAnsi="Times New Roman"/>
          <w:sz w:val="28"/>
          <w:szCs w:val="28"/>
          <w:lang w:val="ro-RO"/>
        </w:rPr>
        <w:t>G</w:t>
      </w:r>
      <w:r w:rsidRPr="00243C1F">
        <w:rPr>
          <w:rFonts w:ascii="Times New Roman" w:hAnsi="Times New Roman"/>
          <w:sz w:val="28"/>
          <w:szCs w:val="28"/>
          <w:lang w:val="ro-RO"/>
        </w:rPr>
        <w:t xml:space="preserve"> nr. 381</w:t>
      </w:r>
      <w:r w:rsidR="0092536D" w:rsidRPr="00243C1F">
        <w:rPr>
          <w:rFonts w:ascii="Times New Roman" w:hAnsi="Times New Roman"/>
          <w:sz w:val="28"/>
          <w:szCs w:val="28"/>
          <w:lang w:val="ro-RO"/>
        </w:rPr>
        <w:t>/2006</w:t>
      </w:r>
      <w:r w:rsidRPr="00243C1F">
        <w:rPr>
          <w:rFonts w:ascii="Times New Roman" w:hAnsi="Times New Roman"/>
          <w:sz w:val="28"/>
          <w:szCs w:val="28"/>
          <w:lang w:val="ro-RO"/>
        </w:rPr>
        <w:t>.</w:t>
      </w:r>
    </w:p>
    <w:p w:rsidR="00FD7B34" w:rsidRPr="00243C1F" w:rsidRDefault="00FD7B34" w:rsidP="00243C1F">
      <w:pPr>
        <w:pStyle w:val="NoSpacing"/>
        <w:spacing w:line="276" w:lineRule="auto"/>
        <w:ind w:firstLine="851"/>
        <w:jc w:val="both"/>
        <w:rPr>
          <w:rFonts w:ascii="Times New Roman" w:hAnsi="Times New Roman"/>
          <w:sz w:val="28"/>
          <w:szCs w:val="28"/>
          <w:lang w:val="ro-RO"/>
        </w:rPr>
      </w:pPr>
    </w:p>
    <w:p w:rsidR="003F634A" w:rsidRPr="00243C1F" w:rsidRDefault="003F634A" w:rsidP="00243C1F">
      <w:pPr>
        <w:pStyle w:val="NoSpacing"/>
        <w:numPr>
          <w:ilvl w:val="0"/>
          <w:numId w:val="4"/>
        </w:numPr>
        <w:spacing w:line="276" w:lineRule="auto"/>
        <w:jc w:val="both"/>
        <w:rPr>
          <w:rFonts w:ascii="Times New Roman" w:hAnsi="Times New Roman"/>
          <w:b/>
          <w:i/>
          <w:sz w:val="28"/>
          <w:szCs w:val="28"/>
          <w:lang w:val="ro-RO"/>
        </w:rPr>
      </w:pPr>
      <w:r w:rsidRPr="00243C1F">
        <w:rPr>
          <w:rFonts w:ascii="Times New Roman" w:hAnsi="Times New Roman"/>
          <w:b/>
          <w:i/>
          <w:sz w:val="28"/>
          <w:szCs w:val="28"/>
          <w:lang w:val="ro-RO"/>
        </w:rPr>
        <w:t>Principalele prevederi</w:t>
      </w:r>
      <w:r w:rsidR="00637339" w:rsidRPr="00243C1F">
        <w:rPr>
          <w:rFonts w:ascii="Times New Roman" w:hAnsi="Times New Roman"/>
          <w:b/>
          <w:i/>
          <w:sz w:val="28"/>
          <w:szCs w:val="28"/>
          <w:lang w:val="ro-RO"/>
        </w:rPr>
        <w:t>, locul actului în sistemul de acte normative, evidențierea elementelor</w:t>
      </w:r>
      <w:r w:rsidRPr="00243C1F">
        <w:rPr>
          <w:rFonts w:ascii="Times New Roman" w:hAnsi="Times New Roman"/>
          <w:b/>
          <w:i/>
          <w:sz w:val="28"/>
          <w:szCs w:val="28"/>
          <w:lang w:val="ro-RO"/>
        </w:rPr>
        <w:t xml:space="preserve"> noi </w:t>
      </w:r>
    </w:p>
    <w:p w:rsidR="006A7575" w:rsidRPr="00243C1F" w:rsidRDefault="00EA38EC"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Principalele prevederi și elemente noi care se propun spre aprobare în conținutul proiectului respectiv, vizează </w:t>
      </w:r>
      <w:r w:rsidR="006A7575" w:rsidRPr="00243C1F">
        <w:rPr>
          <w:rFonts w:ascii="Times New Roman" w:hAnsi="Times New Roman"/>
          <w:sz w:val="28"/>
          <w:szCs w:val="28"/>
          <w:lang w:val="ro-RO"/>
        </w:rPr>
        <w:t xml:space="preserve">aspecte privind stabilirea unui spor la salariu pentru angajații Agenției Naționale pentru Sănătate Publică  și Centrului Național de Transfuzie a </w:t>
      </w:r>
      <w:proofErr w:type="spellStart"/>
      <w:r w:rsidR="006A7575" w:rsidRPr="00243C1F">
        <w:rPr>
          <w:rFonts w:ascii="Times New Roman" w:hAnsi="Times New Roman"/>
          <w:sz w:val="28"/>
          <w:szCs w:val="28"/>
          <w:lang w:val="ro-RO"/>
        </w:rPr>
        <w:t>Sîngelui</w:t>
      </w:r>
      <w:proofErr w:type="spellEnd"/>
      <w:r w:rsidR="006A7575" w:rsidRPr="00243C1F">
        <w:rPr>
          <w:rFonts w:ascii="Times New Roman" w:hAnsi="Times New Roman"/>
          <w:sz w:val="28"/>
          <w:szCs w:val="28"/>
          <w:lang w:val="ro-RO"/>
        </w:rPr>
        <w:t>.</w:t>
      </w:r>
    </w:p>
    <w:p w:rsidR="006A7575" w:rsidRPr="00243C1F" w:rsidRDefault="001A40D3"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Astfel, </w:t>
      </w:r>
      <w:r w:rsidR="006A7575" w:rsidRPr="00243C1F">
        <w:rPr>
          <w:rFonts w:ascii="Times New Roman" w:hAnsi="Times New Roman"/>
          <w:sz w:val="28"/>
          <w:szCs w:val="28"/>
          <w:lang w:val="ro-RO"/>
        </w:rPr>
        <w:t xml:space="preserve">se propune, pentru personalul Agenției Naționale pentru Sănătate Publică, </w:t>
      </w:r>
      <w:r w:rsidR="001C5FF3" w:rsidRPr="00243C1F">
        <w:rPr>
          <w:rFonts w:ascii="Times New Roman" w:hAnsi="Times New Roman"/>
          <w:sz w:val="28"/>
          <w:szCs w:val="28"/>
          <w:lang w:val="ro-RO"/>
        </w:rPr>
        <w:t xml:space="preserve">stabilirea unui spor lunar la salariu pentru înaltă competenţă profesională, intensitatea muncii şi caracterul specific al activității - în mărime de </w:t>
      </w:r>
      <w:r w:rsidR="00C239FD" w:rsidRPr="00243C1F">
        <w:rPr>
          <w:rFonts w:ascii="Times New Roman" w:hAnsi="Times New Roman"/>
          <w:sz w:val="28"/>
          <w:szCs w:val="28"/>
          <w:lang w:val="ro-RO"/>
        </w:rPr>
        <w:t>80 l</w:t>
      </w:r>
      <w:r w:rsidR="001C5FF3" w:rsidRPr="00243C1F">
        <w:rPr>
          <w:rFonts w:ascii="Times New Roman" w:hAnsi="Times New Roman"/>
          <w:sz w:val="28"/>
          <w:szCs w:val="28"/>
          <w:lang w:val="ro-RO"/>
        </w:rPr>
        <w:t>a sută din salariul de funcţie</w:t>
      </w:r>
      <w:r w:rsidR="00904D80" w:rsidRPr="00243C1F">
        <w:rPr>
          <w:rFonts w:ascii="Times New Roman" w:hAnsi="Times New Roman"/>
          <w:sz w:val="28"/>
          <w:szCs w:val="28"/>
          <w:lang w:val="ro-RO"/>
        </w:rPr>
        <w:t xml:space="preserve">,  </w:t>
      </w:r>
      <w:proofErr w:type="spellStart"/>
      <w:r w:rsidR="00904D80" w:rsidRPr="00243C1F">
        <w:rPr>
          <w:rFonts w:ascii="Times New Roman" w:hAnsi="Times New Roman"/>
          <w:sz w:val="28"/>
          <w:szCs w:val="28"/>
          <w:lang w:val="ro-RO"/>
        </w:rPr>
        <w:t>ţinîndu-se</w:t>
      </w:r>
      <w:proofErr w:type="spellEnd"/>
      <w:r w:rsidR="00904D80" w:rsidRPr="00243C1F">
        <w:rPr>
          <w:rFonts w:ascii="Times New Roman" w:hAnsi="Times New Roman"/>
          <w:sz w:val="28"/>
          <w:szCs w:val="28"/>
          <w:lang w:val="ro-RO"/>
        </w:rPr>
        <w:t xml:space="preserve"> cont de sporul pentru vechimea în muncă. </w:t>
      </w:r>
    </w:p>
    <w:p w:rsidR="00DB00D0" w:rsidRPr="00243C1F" w:rsidRDefault="00904D80"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Pentru plata sporului se vor utiliza  mijloace alocate în volum de 80 la sută din suma mijloacelor pentru plata salariilor de funcţie conform schemei de încadrare aprobate şi sporului pentru vechimea în muncă.</w:t>
      </w:r>
      <w:r w:rsidR="00DB00D0" w:rsidRPr="00243C1F">
        <w:rPr>
          <w:rFonts w:ascii="Times New Roman" w:hAnsi="Times New Roman"/>
          <w:sz w:val="28"/>
          <w:szCs w:val="28"/>
          <w:lang w:val="ro-RO"/>
        </w:rPr>
        <w:t xml:space="preserve"> </w:t>
      </w:r>
    </w:p>
    <w:p w:rsidR="006A7575" w:rsidRPr="00243C1F" w:rsidRDefault="006A7575" w:rsidP="00243C1F">
      <w:pPr>
        <w:spacing w:after="0"/>
        <w:ind w:firstLine="708"/>
        <w:jc w:val="both"/>
        <w:rPr>
          <w:rFonts w:ascii="Times New Roman" w:hAnsi="Times New Roman"/>
          <w:sz w:val="28"/>
          <w:szCs w:val="28"/>
          <w:lang w:val="ro-RO"/>
        </w:rPr>
      </w:pPr>
      <w:r w:rsidRPr="00243C1F">
        <w:rPr>
          <w:rFonts w:ascii="Times New Roman" w:hAnsi="Times New Roman"/>
          <w:sz w:val="28"/>
          <w:szCs w:val="28"/>
          <w:lang w:val="ro-RO"/>
        </w:rPr>
        <w:t>Î</w:t>
      </w:r>
      <w:r w:rsidRPr="00243C1F">
        <w:rPr>
          <w:rStyle w:val="docbody"/>
          <w:rFonts w:ascii="Times New Roman" w:hAnsi="Times New Roman"/>
          <w:sz w:val="28"/>
          <w:szCs w:val="28"/>
          <w:lang w:val="ro-RO"/>
        </w:rPr>
        <w:t>ntru evitarea unor eventuale discordanţe între actele legislative, p</w:t>
      </w:r>
      <w:r w:rsidRPr="00243C1F">
        <w:rPr>
          <w:rFonts w:ascii="Times New Roman" w:hAnsi="Times New Roman"/>
          <w:sz w:val="28"/>
          <w:szCs w:val="28"/>
          <w:lang w:val="ro-RO"/>
        </w:rPr>
        <w:t xml:space="preserve">rin proiectul înaintat, se propune de a </w:t>
      </w:r>
      <w:r w:rsidRPr="00243C1F">
        <w:rPr>
          <w:rStyle w:val="docbody"/>
          <w:rFonts w:ascii="Times New Roman" w:hAnsi="Times New Roman"/>
          <w:sz w:val="28"/>
          <w:szCs w:val="28"/>
          <w:lang w:val="ro-RO"/>
        </w:rPr>
        <w:t xml:space="preserve">reglementa într-o singură </w:t>
      </w:r>
      <w:r w:rsidR="00AC7AAA" w:rsidRPr="00243C1F">
        <w:rPr>
          <w:rStyle w:val="docbody"/>
          <w:rFonts w:ascii="Times New Roman" w:hAnsi="Times New Roman"/>
          <w:sz w:val="28"/>
          <w:szCs w:val="28"/>
          <w:lang w:val="ro-RO"/>
        </w:rPr>
        <w:t>HG</w:t>
      </w:r>
      <w:r w:rsidRPr="00243C1F">
        <w:rPr>
          <w:rStyle w:val="docbody"/>
          <w:rFonts w:ascii="Times New Roman" w:hAnsi="Times New Roman"/>
          <w:sz w:val="28"/>
          <w:szCs w:val="28"/>
          <w:lang w:val="ro-RO"/>
        </w:rPr>
        <w:t xml:space="preserve"> toate condiţiile de salarizare a personalului Centrului Național de Transfuzie  a Sângelui, așadar</w:t>
      </w:r>
      <w:r w:rsidRPr="00243C1F">
        <w:rPr>
          <w:rFonts w:ascii="Times New Roman" w:hAnsi="Times New Roman"/>
          <w:sz w:val="28"/>
          <w:szCs w:val="28"/>
          <w:lang w:val="ro-RO"/>
        </w:rPr>
        <w:t xml:space="preserve"> se propune de a completa punctul 8 din anexa nr.3 la </w:t>
      </w:r>
      <w:r w:rsidR="00AC7AAA" w:rsidRPr="00243C1F">
        <w:rPr>
          <w:rFonts w:ascii="Times New Roman" w:hAnsi="Times New Roman"/>
          <w:sz w:val="28"/>
          <w:szCs w:val="28"/>
          <w:lang w:val="ro-RO"/>
        </w:rPr>
        <w:t>HG</w:t>
      </w:r>
      <w:r w:rsidRPr="00243C1F">
        <w:rPr>
          <w:rFonts w:ascii="Times New Roman" w:hAnsi="Times New Roman"/>
          <w:sz w:val="28"/>
          <w:szCs w:val="28"/>
          <w:lang w:val="ro-RO"/>
        </w:rPr>
        <w:t xml:space="preserve"> nr.381/2006 c</w:t>
      </w:r>
      <w:r w:rsidRPr="00243C1F">
        <w:rPr>
          <w:rFonts w:ascii="Times New Roman" w:hAnsi="Times New Roman"/>
          <w:bCs/>
          <w:sz w:val="28"/>
          <w:szCs w:val="28"/>
          <w:lang w:val="ro-RO"/>
        </w:rPr>
        <w:t xml:space="preserve">u un punct nou l) </w:t>
      </w:r>
      <w:r w:rsidRPr="00243C1F">
        <w:rPr>
          <w:rFonts w:ascii="Times New Roman" w:hAnsi="Times New Roman"/>
          <w:sz w:val="28"/>
          <w:szCs w:val="28"/>
          <w:lang w:val="ro-RO"/>
        </w:rPr>
        <w:t xml:space="preserve">cu următorul cuprins: </w:t>
      </w:r>
    </w:p>
    <w:p w:rsidR="006A7575" w:rsidRPr="00243C1F" w:rsidRDefault="006A7575" w:rsidP="00243C1F">
      <w:pPr>
        <w:spacing w:after="0"/>
        <w:ind w:firstLine="708"/>
        <w:jc w:val="both"/>
        <w:rPr>
          <w:rFonts w:ascii="Times New Roman" w:hAnsi="Times New Roman"/>
          <w:sz w:val="28"/>
          <w:szCs w:val="28"/>
          <w:lang w:val="ro-RO"/>
        </w:rPr>
      </w:pPr>
      <w:r w:rsidRPr="00243C1F">
        <w:rPr>
          <w:rFonts w:ascii="Times New Roman" w:hAnsi="Times New Roman"/>
          <w:sz w:val="28"/>
          <w:szCs w:val="28"/>
          <w:lang w:val="ro-RO"/>
        </w:rPr>
        <w:t>„l) personalului Centrul Național de Transfuzie a Sângelui - spor lunar în mărime de 40 la sută calculat din salariul de funcţie.”</w:t>
      </w:r>
    </w:p>
    <w:p w:rsidR="006A7575" w:rsidRPr="00243C1F" w:rsidRDefault="006A7575" w:rsidP="00243C1F">
      <w:pPr>
        <w:spacing w:after="0"/>
        <w:ind w:firstLine="708"/>
        <w:jc w:val="both"/>
        <w:rPr>
          <w:rFonts w:ascii="Times New Roman" w:hAnsi="Times New Roman"/>
          <w:sz w:val="28"/>
          <w:szCs w:val="28"/>
          <w:lang w:val="ro-RO"/>
        </w:rPr>
      </w:pPr>
      <w:r w:rsidRPr="00243C1F">
        <w:rPr>
          <w:rFonts w:ascii="Times New Roman" w:hAnsi="Times New Roman"/>
          <w:sz w:val="28"/>
          <w:szCs w:val="28"/>
          <w:lang w:val="ro-RO"/>
        </w:rPr>
        <w:t xml:space="preserve">Prin includerea noului punct în </w:t>
      </w:r>
      <w:r w:rsidR="00AC7AAA" w:rsidRPr="00243C1F">
        <w:rPr>
          <w:rFonts w:ascii="Times New Roman" w:hAnsi="Times New Roman"/>
          <w:sz w:val="28"/>
          <w:szCs w:val="28"/>
          <w:lang w:val="ro-RO"/>
        </w:rPr>
        <w:t>HG</w:t>
      </w:r>
      <w:r w:rsidRPr="00243C1F">
        <w:rPr>
          <w:rFonts w:ascii="Times New Roman" w:hAnsi="Times New Roman"/>
          <w:sz w:val="28"/>
          <w:szCs w:val="28"/>
          <w:lang w:val="ro-RO"/>
        </w:rPr>
        <w:t xml:space="preserve"> nr.381/2006 și abrogarea </w:t>
      </w:r>
      <w:r w:rsidR="00AC7AAA" w:rsidRPr="00243C1F">
        <w:rPr>
          <w:rFonts w:ascii="Times New Roman" w:hAnsi="Times New Roman"/>
          <w:sz w:val="28"/>
          <w:szCs w:val="28"/>
          <w:lang w:val="ro-RO"/>
        </w:rPr>
        <w:t>HG</w:t>
      </w:r>
      <w:r w:rsidRPr="00243C1F">
        <w:rPr>
          <w:rFonts w:ascii="Times New Roman" w:hAnsi="Times New Roman"/>
          <w:sz w:val="28"/>
          <w:szCs w:val="28"/>
          <w:lang w:val="ro-RO"/>
        </w:rPr>
        <w:t xml:space="preserve"> nr.759/1993 se va atinge scopul final de a reglementa într-un singur act normativ toate condițiile de salarizare a personalului Centrului Național de Transfuzie.</w:t>
      </w:r>
    </w:p>
    <w:p w:rsidR="006A7575" w:rsidRPr="00243C1F" w:rsidRDefault="004B53E3"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Proiectul prevede, de asemenea, amendamentul privind </w:t>
      </w:r>
      <w:r w:rsidR="006A7575" w:rsidRPr="00243C1F">
        <w:rPr>
          <w:rFonts w:ascii="Times New Roman" w:hAnsi="Times New Roman"/>
          <w:sz w:val="28"/>
          <w:szCs w:val="28"/>
          <w:lang w:val="ro-RO"/>
        </w:rPr>
        <w:t>premier</w:t>
      </w:r>
      <w:r w:rsidR="00A510CA" w:rsidRPr="00243C1F">
        <w:rPr>
          <w:rFonts w:ascii="Times New Roman" w:hAnsi="Times New Roman"/>
          <w:sz w:val="28"/>
          <w:szCs w:val="28"/>
          <w:lang w:val="ro-RO"/>
        </w:rPr>
        <w:t>ea</w:t>
      </w:r>
      <w:r w:rsidR="006A7575" w:rsidRPr="00243C1F">
        <w:rPr>
          <w:rFonts w:ascii="Times New Roman" w:hAnsi="Times New Roman"/>
          <w:sz w:val="28"/>
          <w:szCs w:val="28"/>
          <w:lang w:val="ro-RO"/>
        </w:rPr>
        <w:t xml:space="preserve"> personalului Agenției Naționale pentru Sănătate Publică în mărimea a 6 fonduri lunare pe an, calculate în raport cu salariile de bază, </w:t>
      </w:r>
      <w:proofErr w:type="spellStart"/>
      <w:r w:rsidR="006A7575" w:rsidRPr="00243C1F">
        <w:rPr>
          <w:rFonts w:ascii="Times New Roman" w:hAnsi="Times New Roman"/>
          <w:sz w:val="28"/>
          <w:szCs w:val="28"/>
          <w:lang w:val="ro-RO"/>
        </w:rPr>
        <w:t>ținîndu-se</w:t>
      </w:r>
      <w:proofErr w:type="spellEnd"/>
      <w:r w:rsidR="006A7575" w:rsidRPr="00243C1F">
        <w:rPr>
          <w:rFonts w:ascii="Times New Roman" w:hAnsi="Times New Roman"/>
          <w:sz w:val="28"/>
          <w:szCs w:val="28"/>
          <w:lang w:val="ro-RO"/>
        </w:rPr>
        <w:t xml:space="preserve"> cont de sporurile și suplimentele stabilite în conformitate cu legislația în vigoare, în limita cheltuielilor de personal aprobate pe an.</w:t>
      </w:r>
    </w:p>
    <w:p w:rsidR="006A7575" w:rsidRPr="00243C1F" w:rsidRDefault="006A7575" w:rsidP="00243C1F">
      <w:pPr>
        <w:spacing w:after="0"/>
        <w:ind w:firstLine="708"/>
        <w:jc w:val="both"/>
        <w:rPr>
          <w:rFonts w:ascii="Times New Roman" w:hAnsi="Times New Roman"/>
          <w:sz w:val="28"/>
          <w:szCs w:val="28"/>
          <w:lang w:val="ro-RO"/>
        </w:rPr>
      </w:pPr>
      <w:r w:rsidRPr="00243C1F">
        <w:rPr>
          <w:rFonts w:ascii="Times New Roman" w:hAnsi="Times New Roman"/>
          <w:sz w:val="28"/>
          <w:szCs w:val="28"/>
          <w:lang w:val="ro-RO"/>
        </w:rPr>
        <w:t>Drept urmare a realizării HG</w:t>
      </w:r>
      <w:r w:rsidR="00AC7AAA" w:rsidRPr="00243C1F">
        <w:rPr>
          <w:rFonts w:ascii="Times New Roman" w:hAnsi="Times New Roman"/>
          <w:sz w:val="28"/>
          <w:szCs w:val="28"/>
          <w:lang w:val="ro-RO"/>
        </w:rPr>
        <w:t xml:space="preserve"> </w:t>
      </w:r>
      <w:r w:rsidRPr="00243C1F">
        <w:rPr>
          <w:rFonts w:ascii="Times New Roman" w:hAnsi="Times New Roman"/>
          <w:sz w:val="28"/>
          <w:szCs w:val="28"/>
          <w:lang w:val="ro-RO"/>
        </w:rPr>
        <w:t>nr.410  din  01.07.2015 ”Cu privire la reorganizarea unor instituții” se propune ca</w:t>
      </w:r>
      <w:r w:rsidRPr="00243C1F">
        <w:rPr>
          <w:rFonts w:ascii="Times New Roman" w:hAnsi="Times New Roman"/>
          <w:b/>
          <w:sz w:val="28"/>
          <w:szCs w:val="28"/>
          <w:lang w:val="ro-RO"/>
        </w:rPr>
        <w:t xml:space="preserve"> </w:t>
      </w:r>
      <w:r w:rsidRPr="00243C1F">
        <w:rPr>
          <w:rFonts w:ascii="Times New Roman" w:hAnsi="Times New Roman"/>
          <w:sz w:val="28"/>
          <w:szCs w:val="28"/>
          <w:lang w:val="ro-RO"/>
        </w:rPr>
        <w:t xml:space="preserve">în tot textul </w:t>
      </w:r>
      <w:r w:rsidR="00E11E9F" w:rsidRPr="00243C1F">
        <w:rPr>
          <w:rFonts w:ascii="Times New Roman" w:hAnsi="Times New Roman"/>
          <w:sz w:val="28"/>
          <w:szCs w:val="28"/>
          <w:lang w:val="ro-RO"/>
        </w:rPr>
        <w:t xml:space="preserve">anexelor </w:t>
      </w:r>
      <w:r w:rsidR="00AC7AAA" w:rsidRPr="00243C1F">
        <w:rPr>
          <w:rFonts w:ascii="Times New Roman" w:hAnsi="Times New Roman"/>
          <w:sz w:val="28"/>
          <w:szCs w:val="28"/>
          <w:lang w:val="ro-RO"/>
        </w:rPr>
        <w:t>HG</w:t>
      </w:r>
      <w:r w:rsidR="00E11E9F" w:rsidRPr="00243C1F">
        <w:rPr>
          <w:rFonts w:ascii="Times New Roman" w:hAnsi="Times New Roman"/>
          <w:sz w:val="28"/>
          <w:szCs w:val="28"/>
          <w:lang w:val="ro-RO"/>
        </w:rPr>
        <w:t xml:space="preserve"> nr.381/2006, </w:t>
      </w:r>
      <w:r w:rsidRPr="00243C1F">
        <w:rPr>
          <w:rFonts w:ascii="Times New Roman" w:hAnsi="Times New Roman"/>
          <w:sz w:val="28"/>
          <w:szCs w:val="28"/>
          <w:lang w:val="ro-RO"/>
        </w:rPr>
        <w:t xml:space="preserve">sintagmele „centrele (staţiile) de  transfuzie a sângelui” „staţii de transfuzie a sângelui” să  se substituie cu sintagma „Centrul Național de Transfuzie a Sângelui”, </w:t>
      </w:r>
      <w:proofErr w:type="spellStart"/>
      <w:r w:rsidRPr="00243C1F">
        <w:rPr>
          <w:rFonts w:ascii="Times New Roman" w:hAnsi="Times New Roman"/>
          <w:sz w:val="28"/>
          <w:szCs w:val="28"/>
          <w:lang w:val="ro-RO"/>
        </w:rPr>
        <w:t>cuvîntul</w:t>
      </w:r>
      <w:proofErr w:type="spellEnd"/>
      <w:r w:rsidRPr="00243C1F">
        <w:rPr>
          <w:rFonts w:ascii="Times New Roman" w:hAnsi="Times New Roman"/>
          <w:sz w:val="28"/>
          <w:szCs w:val="28"/>
          <w:lang w:val="ro-RO"/>
        </w:rPr>
        <w:t xml:space="preserve"> „staţii” cu sintagma  „centrul”. </w:t>
      </w:r>
    </w:p>
    <w:p w:rsidR="006A7575" w:rsidRPr="00243C1F" w:rsidRDefault="006A7575" w:rsidP="00243C1F">
      <w:pPr>
        <w:spacing w:after="0"/>
        <w:ind w:firstLine="540"/>
        <w:jc w:val="both"/>
        <w:rPr>
          <w:rFonts w:ascii="Times New Roman" w:hAnsi="Times New Roman"/>
          <w:sz w:val="28"/>
          <w:szCs w:val="28"/>
          <w:lang w:val="ro-RO"/>
        </w:rPr>
      </w:pPr>
      <w:r w:rsidRPr="00243C1F">
        <w:rPr>
          <w:rFonts w:ascii="Times New Roman" w:hAnsi="Times New Roman"/>
          <w:sz w:val="28"/>
          <w:szCs w:val="28"/>
          <w:lang w:val="ro-RO"/>
        </w:rPr>
        <w:lastRenderedPageBreak/>
        <w:tab/>
        <w:t xml:space="preserve">Perfecţionarea tehnologiilor de  recoltare nu  numai de sânge  dar  şi  componente sanguine, impune ca conținutul tabelului nr. 5 la anexa nr. 3 „Indicii de clasificare pe categorii” pentru Centrele de  Transfuzie a Sângelui a se expune în variantă modificată și anume poziţia „Cantitatea de sânge colectat, cu prelucrarea în componente şi preparate cel puţin de 85 % (litri)” din coloana „Indicii de clasificare pe categorii”, se substituie cu sintagma „Cantitatea  de  sânge/ componente  sanguine recoltate  şi  prelucrate   (kilograme)”. </w:t>
      </w:r>
    </w:p>
    <w:p w:rsidR="006A7575" w:rsidRPr="00243C1F" w:rsidRDefault="006A7575" w:rsidP="00243C1F">
      <w:pPr>
        <w:pStyle w:val="NoSpacing"/>
        <w:spacing w:line="276" w:lineRule="auto"/>
        <w:jc w:val="both"/>
        <w:rPr>
          <w:rFonts w:ascii="Times New Roman" w:hAnsi="Times New Roman"/>
          <w:sz w:val="28"/>
          <w:szCs w:val="28"/>
          <w:lang w:val="ro-RO"/>
        </w:rPr>
      </w:pPr>
    </w:p>
    <w:p w:rsidR="003A3F88" w:rsidRPr="00243C1F" w:rsidRDefault="003A3F88" w:rsidP="00243C1F">
      <w:pPr>
        <w:pStyle w:val="NoSpacing"/>
        <w:spacing w:line="276" w:lineRule="auto"/>
        <w:ind w:firstLine="540"/>
        <w:jc w:val="both"/>
        <w:rPr>
          <w:rFonts w:ascii="Times New Roman" w:hAnsi="Times New Roman"/>
          <w:b/>
          <w:i/>
          <w:sz w:val="28"/>
          <w:szCs w:val="28"/>
          <w:lang w:val="ro-RO"/>
        </w:rPr>
      </w:pPr>
      <w:r w:rsidRPr="00243C1F">
        <w:rPr>
          <w:rFonts w:ascii="Times New Roman" w:hAnsi="Times New Roman"/>
          <w:b/>
          <w:i/>
          <w:sz w:val="28"/>
          <w:szCs w:val="28"/>
          <w:lang w:val="ro-RO"/>
        </w:rPr>
        <w:t>3. Descrierea gradului de  compatibilitate a prevederilor proiectului cu legislația Uniunii Europene</w:t>
      </w:r>
    </w:p>
    <w:p w:rsidR="003A3F88" w:rsidRPr="00243C1F" w:rsidRDefault="009B0BAD"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 xml:space="preserve">Prezentul proiect </w:t>
      </w:r>
      <w:r w:rsidR="003A3F88" w:rsidRPr="00243C1F">
        <w:rPr>
          <w:rFonts w:ascii="Times New Roman" w:hAnsi="Times New Roman"/>
          <w:sz w:val="28"/>
          <w:szCs w:val="28"/>
          <w:lang w:val="ro-RO"/>
        </w:rPr>
        <w:t>nu contravine legislației Uniunii Europene.</w:t>
      </w:r>
    </w:p>
    <w:p w:rsidR="006E1324" w:rsidRPr="00243C1F" w:rsidRDefault="006E1324" w:rsidP="00243C1F">
      <w:pPr>
        <w:pStyle w:val="NoSpacing"/>
        <w:spacing w:line="276" w:lineRule="auto"/>
        <w:ind w:firstLine="851"/>
        <w:jc w:val="both"/>
        <w:rPr>
          <w:rFonts w:ascii="Times New Roman" w:hAnsi="Times New Roman"/>
          <w:sz w:val="28"/>
          <w:szCs w:val="28"/>
          <w:lang w:val="ro-RO"/>
        </w:rPr>
      </w:pPr>
    </w:p>
    <w:p w:rsidR="00DA5C8A" w:rsidRPr="00243C1F" w:rsidRDefault="006E1324" w:rsidP="00243C1F">
      <w:pPr>
        <w:pStyle w:val="NoSpacing"/>
        <w:spacing w:line="276" w:lineRule="auto"/>
        <w:ind w:firstLine="567"/>
        <w:jc w:val="both"/>
        <w:rPr>
          <w:rFonts w:ascii="Times New Roman" w:hAnsi="Times New Roman"/>
          <w:b/>
          <w:i/>
          <w:sz w:val="28"/>
          <w:szCs w:val="28"/>
          <w:lang w:val="ro-RO"/>
        </w:rPr>
      </w:pPr>
      <w:r w:rsidRPr="00243C1F">
        <w:rPr>
          <w:rFonts w:ascii="Times New Roman" w:hAnsi="Times New Roman"/>
          <w:b/>
          <w:i/>
          <w:sz w:val="28"/>
          <w:szCs w:val="28"/>
          <w:lang w:val="ro-RO"/>
        </w:rPr>
        <w:t xml:space="preserve">4. </w:t>
      </w:r>
      <w:r w:rsidR="00DA5C8A" w:rsidRPr="00243C1F">
        <w:rPr>
          <w:rFonts w:ascii="Times New Roman" w:hAnsi="Times New Roman"/>
          <w:b/>
          <w:i/>
          <w:sz w:val="28"/>
          <w:szCs w:val="28"/>
          <w:lang w:val="ro-RO"/>
        </w:rPr>
        <w:t xml:space="preserve">Fundamentarea economico-financiară </w:t>
      </w:r>
    </w:p>
    <w:p w:rsidR="00B3064B" w:rsidRPr="00243C1F" w:rsidRDefault="00E86A47"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În conformitate cu HG nr. 05</w:t>
      </w:r>
      <w:r w:rsidR="00067464" w:rsidRPr="00243C1F">
        <w:rPr>
          <w:rFonts w:ascii="Times New Roman" w:hAnsi="Times New Roman"/>
          <w:sz w:val="28"/>
          <w:szCs w:val="28"/>
          <w:lang w:val="ro-RO"/>
        </w:rPr>
        <w:t>/2017</w:t>
      </w:r>
      <w:r w:rsidRPr="00243C1F">
        <w:rPr>
          <w:rFonts w:ascii="Times New Roman" w:hAnsi="Times New Roman"/>
          <w:sz w:val="28"/>
          <w:szCs w:val="28"/>
          <w:lang w:val="ro-RO"/>
        </w:rPr>
        <w:t>, în subordinea Ministerului Sănătăţii, Muncii și Protecției Sociale  a fost instituită Agenția Națională pentru Sănătate Publică prin fuziunea a 39 de instituții medicale: Centrul Național de Sănătate Publică, 36 Centre de Sănătate Publică municipale și raionale, Centrul Național de Management în Sănătate, Consiliul de Evaluare și Acreditare în Sănătate</w:t>
      </w:r>
      <w:r w:rsidR="00CB187C" w:rsidRPr="00243C1F">
        <w:rPr>
          <w:rFonts w:ascii="Times New Roman" w:hAnsi="Times New Roman"/>
          <w:sz w:val="28"/>
          <w:szCs w:val="28"/>
          <w:lang w:val="ro-RO"/>
        </w:rPr>
        <w:t>, care în total aveau un efectiv – limită de personal în număr de 2864,75 de unități</w:t>
      </w:r>
      <w:r w:rsidRPr="00243C1F">
        <w:rPr>
          <w:rFonts w:ascii="Times New Roman" w:hAnsi="Times New Roman"/>
          <w:sz w:val="28"/>
          <w:szCs w:val="28"/>
          <w:lang w:val="ro-RO"/>
        </w:rPr>
        <w:t>.</w:t>
      </w:r>
      <w:r w:rsidR="00F13552" w:rsidRPr="00243C1F">
        <w:rPr>
          <w:rFonts w:ascii="Times New Roman" w:hAnsi="Times New Roman"/>
          <w:sz w:val="28"/>
          <w:szCs w:val="28"/>
          <w:lang w:val="ro-RO"/>
        </w:rPr>
        <w:t xml:space="preserve"> </w:t>
      </w:r>
      <w:r w:rsidR="0028033A" w:rsidRPr="00243C1F">
        <w:rPr>
          <w:rFonts w:ascii="Times New Roman" w:hAnsi="Times New Roman"/>
          <w:sz w:val="28"/>
          <w:szCs w:val="28"/>
          <w:lang w:val="ro-RO"/>
        </w:rPr>
        <w:t xml:space="preserve">Totodată, potrivit </w:t>
      </w:r>
      <w:r w:rsidR="00AC7AAA" w:rsidRPr="00243C1F">
        <w:rPr>
          <w:rFonts w:ascii="Times New Roman" w:hAnsi="Times New Roman"/>
          <w:sz w:val="28"/>
          <w:szCs w:val="28"/>
          <w:lang w:val="ro-RO"/>
        </w:rPr>
        <w:t xml:space="preserve"> </w:t>
      </w:r>
      <w:r w:rsidR="0028033A" w:rsidRPr="00243C1F">
        <w:rPr>
          <w:rFonts w:ascii="Times New Roman" w:hAnsi="Times New Roman"/>
          <w:sz w:val="28"/>
          <w:szCs w:val="28"/>
          <w:lang w:val="ro-RO"/>
        </w:rPr>
        <w:t xml:space="preserve">Legii  nr.175 din 21 iulie 2017 pentru modificarea și completarea unor acte legislative, Agenția a preluat funcțiile de control asupra activității de întreprinzător în domeniul sănătății care anterior erau exercitate de către Agenția Transplantului,  Inspectoratul farmaceutic, Comitetul permanent de control asupra drogurilor. </w:t>
      </w:r>
    </w:p>
    <w:p w:rsidR="00807724" w:rsidRDefault="00067464"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Subsidiar</w:t>
      </w:r>
      <w:r w:rsidR="00CB187C" w:rsidRPr="00243C1F">
        <w:rPr>
          <w:rFonts w:ascii="Times New Roman" w:hAnsi="Times New Roman"/>
          <w:sz w:val="28"/>
          <w:szCs w:val="28"/>
          <w:lang w:val="ro-RO"/>
        </w:rPr>
        <w:t>,</w:t>
      </w:r>
      <w:r w:rsidRPr="00243C1F">
        <w:rPr>
          <w:rFonts w:ascii="Times New Roman" w:hAnsi="Times New Roman"/>
          <w:sz w:val="28"/>
          <w:szCs w:val="28"/>
          <w:lang w:val="ro-RO"/>
        </w:rPr>
        <w:t xml:space="preserve"> prin HG nr.1090/2017, pentru Agenție a fost stabilit efectivul – limită de personal în număr de 1560 de unități</w:t>
      </w:r>
      <w:r w:rsidR="0028033A" w:rsidRPr="00243C1F">
        <w:rPr>
          <w:rFonts w:ascii="Times New Roman" w:hAnsi="Times New Roman"/>
          <w:sz w:val="28"/>
          <w:szCs w:val="28"/>
          <w:lang w:val="ro-RO"/>
        </w:rPr>
        <w:t>. Respectiv,</w:t>
      </w:r>
      <w:r w:rsidR="00CB187C" w:rsidRPr="00243C1F">
        <w:rPr>
          <w:rFonts w:ascii="Times New Roman" w:hAnsi="Times New Roman"/>
          <w:sz w:val="28"/>
          <w:szCs w:val="28"/>
          <w:lang w:val="ro-RO"/>
        </w:rPr>
        <w:t xml:space="preserve"> </w:t>
      </w:r>
      <w:r w:rsidR="00723C00" w:rsidRPr="00243C1F">
        <w:rPr>
          <w:rFonts w:ascii="Times New Roman" w:hAnsi="Times New Roman"/>
          <w:sz w:val="28"/>
          <w:szCs w:val="28"/>
          <w:lang w:val="ro-RO"/>
        </w:rPr>
        <w:t xml:space="preserve">reducerea unităților </w:t>
      </w:r>
      <w:r w:rsidR="00723C00">
        <w:rPr>
          <w:rFonts w:ascii="Times New Roman" w:hAnsi="Times New Roman"/>
          <w:sz w:val="28"/>
          <w:szCs w:val="28"/>
          <w:lang w:val="ro-RO"/>
        </w:rPr>
        <w:t>va</w:t>
      </w:r>
      <w:r w:rsidR="00723C00" w:rsidRPr="00243C1F">
        <w:rPr>
          <w:rFonts w:ascii="Times New Roman" w:hAnsi="Times New Roman"/>
          <w:sz w:val="28"/>
          <w:szCs w:val="28"/>
          <w:lang w:val="ro-RO"/>
        </w:rPr>
        <w:t xml:space="preserve"> </w:t>
      </w:r>
      <w:r w:rsidR="00723C00">
        <w:rPr>
          <w:rFonts w:ascii="Times New Roman" w:hAnsi="Times New Roman"/>
          <w:sz w:val="28"/>
          <w:szCs w:val="28"/>
          <w:lang w:val="ro-RO"/>
        </w:rPr>
        <w:t>contribui la economisirea surselor financiare, care</w:t>
      </w:r>
      <w:r w:rsidR="00723C00" w:rsidRPr="00243C1F">
        <w:rPr>
          <w:rFonts w:ascii="Times New Roman" w:hAnsi="Times New Roman"/>
          <w:sz w:val="28"/>
          <w:szCs w:val="28"/>
          <w:lang w:val="ro-RO"/>
        </w:rPr>
        <w:t xml:space="preserve"> </w:t>
      </w:r>
      <w:r w:rsidR="00723C00">
        <w:rPr>
          <w:rFonts w:ascii="Times New Roman" w:hAnsi="Times New Roman"/>
          <w:sz w:val="28"/>
          <w:szCs w:val="28"/>
          <w:lang w:val="ro-RO"/>
        </w:rPr>
        <w:t xml:space="preserve">ulterior vor fi îndreptate </w:t>
      </w:r>
      <w:r w:rsidR="00CB187C" w:rsidRPr="00243C1F">
        <w:rPr>
          <w:rFonts w:ascii="Times New Roman" w:hAnsi="Times New Roman"/>
          <w:sz w:val="28"/>
          <w:szCs w:val="28"/>
          <w:lang w:val="ro-RO"/>
        </w:rPr>
        <w:t>pentru  motivarea personalului Agenției.</w:t>
      </w:r>
    </w:p>
    <w:p w:rsidR="00B3064B" w:rsidRPr="00243C1F" w:rsidRDefault="007C3043" w:rsidP="00243C1F">
      <w:pPr>
        <w:pStyle w:val="NoSpacing"/>
        <w:spacing w:line="276" w:lineRule="auto"/>
        <w:ind w:firstLine="567"/>
        <w:jc w:val="both"/>
        <w:rPr>
          <w:rFonts w:ascii="Times New Roman" w:hAnsi="Times New Roman"/>
          <w:sz w:val="28"/>
          <w:szCs w:val="28"/>
          <w:lang w:val="ro-RO"/>
        </w:rPr>
      </w:pPr>
      <w:r>
        <w:rPr>
          <w:rFonts w:ascii="Times New Roman" w:hAnsi="Times New Roman"/>
          <w:sz w:val="28"/>
          <w:szCs w:val="28"/>
          <w:lang w:val="ro-RO"/>
        </w:rPr>
        <w:t xml:space="preserve">Costul estimativ al cheltuielilor de personal </w:t>
      </w:r>
      <w:r w:rsidR="00BE7BAA">
        <w:rPr>
          <w:rFonts w:ascii="Times New Roman" w:hAnsi="Times New Roman"/>
          <w:sz w:val="28"/>
          <w:szCs w:val="28"/>
          <w:lang w:val="ro-RO"/>
        </w:rPr>
        <w:t>pentru Agenția Națională pentru</w:t>
      </w:r>
      <w:r w:rsidR="00BE7BAA" w:rsidRPr="007C3043">
        <w:rPr>
          <w:rFonts w:ascii="Times New Roman" w:hAnsi="Times New Roman"/>
          <w:sz w:val="28"/>
          <w:szCs w:val="28"/>
          <w:lang w:val="ro-RO"/>
        </w:rPr>
        <w:t xml:space="preserve"> </w:t>
      </w:r>
      <w:r w:rsidR="00BE7BAA" w:rsidRPr="00243C1F">
        <w:rPr>
          <w:rFonts w:ascii="Times New Roman" w:hAnsi="Times New Roman"/>
          <w:sz w:val="28"/>
          <w:szCs w:val="28"/>
          <w:lang w:val="ro-RO"/>
        </w:rPr>
        <w:t>Sănătate Publică</w:t>
      </w:r>
      <w:r w:rsidR="00BE7BAA">
        <w:rPr>
          <w:rFonts w:ascii="Times New Roman" w:hAnsi="Times New Roman"/>
          <w:sz w:val="28"/>
          <w:szCs w:val="28"/>
          <w:lang w:val="ro-RO"/>
        </w:rPr>
        <w:t>, inclusiv cu punerea</w:t>
      </w:r>
      <w:r>
        <w:rPr>
          <w:rFonts w:ascii="Times New Roman" w:hAnsi="Times New Roman"/>
          <w:sz w:val="28"/>
          <w:szCs w:val="28"/>
          <w:lang w:val="ro-RO"/>
        </w:rPr>
        <w:t xml:space="preserve"> î</w:t>
      </w:r>
      <w:r w:rsidR="00807724">
        <w:rPr>
          <w:rFonts w:ascii="Times New Roman" w:hAnsi="Times New Roman"/>
          <w:sz w:val="28"/>
          <w:szCs w:val="28"/>
          <w:lang w:val="ro-RO"/>
        </w:rPr>
        <w:t xml:space="preserve">n aplicare a prevederilor </w:t>
      </w:r>
      <w:r>
        <w:rPr>
          <w:rFonts w:ascii="Times New Roman" w:hAnsi="Times New Roman"/>
          <w:sz w:val="28"/>
          <w:szCs w:val="28"/>
          <w:lang w:val="ro-RO"/>
        </w:rPr>
        <w:t xml:space="preserve">prezentei </w:t>
      </w:r>
      <w:proofErr w:type="spellStart"/>
      <w:r>
        <w:rPr>
          <w:rFonts w:ascii="Times New Roman" w:hAnsi="Times New Roman"/>
          <w:sz w:val="28"/>
          <w:szCs w:val="28"/>
          <w:lang w:val="ro-RO"/>
        </w:rPr>
        <w:t>hotărîri</w:t>
      </w:r>
      <w:proofErr w:type="spellEnd"/>
      <w:r>
        <w:rPr>
          <w:rFonts w:ascii="Times New Roman" w:hAnsi="Times New Roman"/>
          <w:sz w:val="28"/>
          <w:szCs w:val="28"/>
          <w:lang w:val="ro-RO"/>
        </w:rPr>
        <w:t xml:space="preserve"> va constitui circa </w:t>
      </w:r>
      <w:r w:rsidR="00BE7BAA">
        <w:rPr>
          <w:rFonts w:ascii="Times New Roman" w:hAnsi="Times New Roman"/>
          <w:sz w:val="28"/>
          <w:szCs w:val="28"/>
          <w:lang w:val="ro-RO"/>
        </w:rPr>
        <w:t xml:space="preserve"> </w:t>
      </w:r>
      <w:r>
        <w:rPr>
          <w:rFonts w:ascii="Times New Roman" w:hAnsi="Times New Roman"/>
          <w:sz w:val="28"/>
          <w:szCs w:val="28"/>
          <w:lang w:val="ro-RO"/>
        </w:rPr>
        <w:t>64 003,1 mii lei</w:t>
      </w:r>
      <w:r w:rsidR="00BE7BAA">
        <w:rPr>
          <w:rFonts w:ascii="Times New Roman" w:hAnsi="Times New Roman"/>
          <w:sz w:val="28"/>
          <w:szCs w:val="28"/>
          <w:lang w:val="ro-RO"/>
        </w:rPr>
        <w:t xml:space="preserve"> (10 667,2 mii lei*6 luni), care se încadrează în alocațiile aprobate în anul 2018 la capitolul cheltuieli de personal 150 143,6 mii lei.</w:t>
      </w:r>
    </w:p>
    <w:p w:rsidR="00A75F3E" w:rsidRPr="00243C1F" w:rsidRDefault="00A75F3E" w:rsidP="00243C1F">
      <w:pPr>
        <w:spacing w:after="0"/>
        <w:ind w:firstLine="540"/>
        <w:jc w:val="both"/>
        <w:rPr>
          <w:rFonts w:ascii="Times New Roman" w:hAnsi="Times New Roman"/>
          <w:sz w:val="28"/>
          <w:szCs w:val="28"/>
          <w:lang w:val="ro-RO"/>
        </w:rPr>
      </w:pPr>
      <w:r w:rsidRPr="00243C1F">
        <w:rPr>
          <w:rFonts w:ascii="Times New Roman" w:hAnsi="Times New Roman"/>
          <w:sz w:val="28"/>
          <w:szCs w:val="28"/>
          <w:lang w:val="ro-RO"/>
        </w:rPr>
        <w:t>În conformitate cu prevederile H</w:t>
      </w:r>
      <w:r w:rsidR="00BB34A0" w:rsidRPr="00243C1F">
        <w:rPr>
          <w:rFonts w:ascii="Times New Roman" w:hAnsi="Times New Roman"/>
          <w:sz w:val="28"/>
          <w:szCs w:val="28"/>
          <w:lang w:val="ro-RO"/>
        </w:rPr>
        <w:t>G</w:t>
      </w:r>
      <w:r w:rsidRPr="00243C1F">
        <w:rPr>
          <w:rFonts w:ascii="Times New Roman" w:hAnsi="Times New Roman"/>
          <w:sz w:val="28"/>
          <w:szCs w:val="28"/>
          <w:lang w:val="ro-RO"/>
        </w:rPr>
        <w:t xml:space="preserve"> nr.759/1993, </w:t>
      </w:r>
      <w:proofErr w:type="spellStart"/>
      <w:r w:rsidRPr="00243C1F">
        <w:rPr>
          <w:rFonts w:ascii="Times New Roman" w:hAnsi="Times New Roman"/>
          <w:sz w:val="28"/>
          <w:szCs w:val="28"/>
          <w:lang w:val="ro-RO"/>
        </w:rPr>
        <w:t>începînd</w:t>
      </w:r>
      <w:proofErr w:type="spellEnd"/>
      <w:r w:rsidRPr="00243C1F">
        <w:rPr>
          <w:rFonts w:ascii="Times New Roman" w:hAnsi="Times New Roman"/>
          <w:sz w:val="28"/>
          <w:szCs w:val="28"/>
          <w:lang w:val="ro-RO"/>
        </w:rPr>
        <w:t xml:space="preserve"> cu anul 1993 şi </w:t>
      </w:r>
      <w:proofErr w:type="spellStart"/>
      <w:r w:rsidRPr="00243C1F">
        <w:rPr>
          <w:rFonts w:ascii="Times New Roman" w:hAnsi="Times New Roman"/>
          <w:sz w:val="28"/>
          <w:szCs w:val="28"/>
          <w:lang w:val="ro-RO"/>
        </w:rPr>
        <w:t>pînă</w:t>
      </w:r>
      <w:proofErr w:type="spellEnd"/>
      <w:r w:rsidRPr="00243C1F">
        <w:rPr>
          <w:rFonts w:ascii="Times New Roman" w:hAnsi="Times New Roman"/>
          <w:sz w:val="28"/>
          <w:szCs w:val="28"/>
          <w:lang w:val="ro-RO"/>
        </w:rPr>
        <w:t xml:space="preserve"> în prezent, personalului din instituţiile serviciului de sânge ce recoltează sânge şi produce preparate în baza acestuia, a fost planificat, aprobat şi achitat spor la salariu în mărime de  40 la sută din fondul de salarizare.</w:t>
      </w:r>
    </w:p>
    <w:p w:rsidR="00243C1F" w:rsidRPr="007F6932" w:rsidRDefault="00243C1F" w:rsidP="00243C1F">
      <w:pPr>
        <w:pStyle w:val="Style6"/>
        <w:widowControl/>
        <w:spacing w:line="276" w:lineRule="auto"/>
        <w:ind w:firstLine="567"/>
        <w:rPr>
          <w:rFonts w:ascii="Times New Roman" w:hAnsi="Times New Roman" w:cs="Times New Roman"/>
          <w:sz w:val="28"/>
          <w:szCs w:val="28"/>
          <w:lang w:val="ro-RO"/>
        </w:rPr>
      </w:pPr>
      <w:r w:rsidRPr="007F6932">
        <w:rPr>
          <w:rFonts w:ascii="Times New Roman" w:hAnsi="Times New Roman" w:cs="Times New Roman"/>
          <w:sz w:val="28"/>
          <w:szCs w:val="28"/>
          <w:lang w:val="ro-RO"/>
        </w:rPr>
        <w:t xml:space="preserve">Pentru anul 2018 Centrului Național de Transfuzie a Sângelui nu i-au fost aprobate alocațiile financiare în suma deplină necesară achitării acestui spor la </w:t>
      </w:r>
      <w:r w:rsidRPr="007F6932">
        <w:rPr>
          <w:rFonts w:ascii="Times New Roman" w:hAnsi="Times New Roman" w:cs="Times New Roman"/>
          <w:sz w:val="28"/>
          <w:szCs w:val="28"/>
          <w:lang w:val="ro-RO"/>
        </w:rPr>
        <w:lastRenderedPageBreak/>
        <w:t>salariu, deficitul la acest capitol constituind circa 1 037,0 mii lei. Acest deficit se propune a fi acoperit din contul economiilor și neutilizării alocațiilor financiare de către instituțiile subordonate Ministerului la capitolul cheltuieli de personal, cu excepția celor prevăzute pentru Agenția Națională pentru Sănătate Publică.</w:t>
      </w:r>
    </w:p>
    <w:p w:rsidR="00243C1F" w:rsidRPr="007F6932" w:rsidRDefault="00243C1F" w:rsidP="00243C1F">
      <w:pPr>
        <w:pStyle w:val="NoSpacing"/>
        <w:spacing w:line="276" w:lineRule="auto"/>
        <w:ind w:firstLine="567"/>
        <w:jc w:val="both"/>
        <w:rPr>
          <w:rFonts w:ascii="Times New Roman" w:hAnsi="Times New Roman"/>
          <w:sz w:val="28"/>
          <w:szCs w:val="28"/>
          <w:lang w:val="ro-RO"/>
        </w:rPr>
      </w:pPr>
      <w:r w:rsidRPr="007F6932">
        <w:rPr>
          <w:rFonts w:ascii="Times New Roman" w:hAnsi="Times New Roman"/>
          <w:sz w:val="28"/>
          <w:szCs w:val="28"/>
          <w:lang w:val="ro-RO"/>
        </w:rPr>
        <w:t xml:space="preserve">Respectiv, implementarea prevederilor proiectului </w:t>
      </w:r>
      <w:r w:rsidR="003E6514">
        <w:rPr>
          <w:rFonts w:ascii="Times New Roman" w:hAnsi="Times New Roman"/>
          <w:sz w:val="28"/>
          <w:szCs w:val="28"/>
          <w:lang w:val="ro-RO"/>
        </w:rPr>
        <w:t xml:space="preserve">în cauză </w:t>
      </w:r>
      <w:r w:rsidRPr="007F6932">
        <w:rPr>
          <w:rFonts w:ascii="Times New Roman" w:hAnsi="Times New Roman"/>
          <w:sz w:val="28"/>
          <w:szCs w:val="28"/>
          <w:lang w:val="ro-RO"/>
        </w:rPr>
        <w:t xml:space="preserve">nu necesită cheltuieli financiare suplimentare din bugetul de stat, întrucât aceste plăți de stimulare se </w:t>
      </w:r>
      <w:r w:rsidR="003E6514">
        <w:rPr>
          <w:rFonts w:ascii="Times New Roman" w:hAnsi="Times New Roman"/>
          <w:sz w:val="28"/>
          <w:szCs w:val="28"/>
          <w:lang w:val="ro-RO"/>
        </w:rPr>
        <w:t xml:space="preserve">vor </w:t>
      </w:r>
      <w:r w:rsidRPr="007F6932">
        <w:rPr>
          <w:rFonts w:ascii="Times New Roman" w:hAnsi="Times New Roman"/>
          <w:sz w:val="28"/>
          <w:szCs w:val="28"/>
          <w:lang w:val="ro-RO"/>
        </w:rPr>
        <w:t>calcul</w:t>
      </w:r>
      <w:r w:rsidR="003E6514">
        <w:rPr>
          <w:rFonts w:ascii="Times New Roman" w:hAnsi="Times New Roman"/>
          <w:sz w:val="28"/>
          <w:szCs w:val="28"/>
          <w:lang w:val="ro-RO"/>
        </w:rPr>
        <w:t>a și achita</w:t>
      </w:r>
      <w:r w:rsidRPr="007F6932">
        <w:rPr>
          <w:rFonts w:ascii="Times New Roman" w:hAnsi="Times New Roman"/>
          <w:sz w:val="28"/>
          <w:szCs w:val="28"/>
          <w:lang w:val="ro-RO"/>
        </w:rPr>
        <w:t xml:space="preserve"> din </w:t>
      </w:r>
      <w:r w:rsidR="003E6514">
        <w:rPr>
          <w:rFonts w:ascii="Times New Roman" w:hAnsi="Times New Roman"/>
          <w:sz w:val="28"/>
          <w:szCs w:val="28"/>
          <w:lang w:val="ro-RO"/>
        </w:rPr>
        <w:t xml:space="preserve">contul </w:t>
      </w:r>
      <w:r w:rsidR="0014016A">
        <w:rPr>
          <w:rFonts w:ascii="Times New Roman" w:hAnsi="Times New Roman"/>
          <w:sz w:val="28"/>
          <w:szCs w:val="28"/>
          <w:lang w:val="ro-RO"/>
        </w:rPr>
        <w:t xml:space="preserve">și în limita </w:t>
      </w:r>
      <w:r w:rsidRPr="007F6932">
        <w:rPr>
          <w:rFonts w:ascii="Times New Roman" w:hAnsi="Times New Roman"/>
          <w:sz w:val="28"/>
          <w:szCs w:val="28"/>
          <w:lang w:val="ro-RO"/>
        </w:rPr>
        <w:t xml:space="preserve">mijloacelor </w:t>
      </w:r>
      <w:r w:rsidR="0014016A">
        <w:rPr>
          <w:rFonts w:ascii="Times New Roman" w:hAnsi="Times New Roman"/>
          <w:sz w:val="28"/>
          <w:szCs w:val="28"/>
          <w:lang w:val="ro-RO"/>
        </w:rPr>
        <w:t>financiare preconizate</w:t>
      </w:r>
      <w:r w:rsidRPr="007F6932">
        <w:rPr>
          <w:rFonts w:ascii="Times New Roman" w:hAnsi="Times New Roman"/>
          <w:sz w:val="28"/>
          <w:szCs w:val="28"/>
          <w:lang w:val="ro-RO"/>
        </w:rPr>
        <w:t xml:space="preserve"> pentru retribuirea muncii pe anul respectiv.</w:t>
      </w:r>
    </w:p>
    <w:p w:rsidR="00A75F3E" w:rsidRPr="00243C1F" w:rsidRDefault="0014016A" w:rsidP="0014016A">
      <w:pPr>
        <w:tabs>
          <w:tab w:val="left" w:pos="7710"/>
        </w:tabs>
        <w:spacing w:after="0"/>
        <w:jc w:val="both"/>
        <w:rPr>
          <w:rFonts w:ascii="Times New Roman" w:hAnsi="Times New Roman"/>
          <w:b/>
          <w:bCs/>
          <w:i/>
          <w:iCs/>
          <w:sz w:val="28"/>
          <w:szCs w:val="28"/>
          <w:lang w:val="ro-RO"/>
        </w:rPr>
      </w:pPr>
      <w:r>
        <w:rPr>
          <w:rFonts w:ascii="Times New Roman" w:hAnsi="Times New Roman"/>
          <w:b/>
          <w:bCs/>
          <w:i/>
          <w:iCs/>
          <w:sz w:val="28"/>
          <w:szCs w:val="28"/>
          <w:lang w:val="ro-RO"/>
        </w:rPr>
        <w:tab/>
      </w:r>
    </w:p>
    <w:p w:rsidR="00C22895" w:rsidRPr="00243C1F" w:rsidRDefault="00243C1F" w:rsidP="00243C1F">
      <w:pPr>
        <w:tabs>
          <w:tab w:val="left" w:pos="540"/>
        </w:tabs>
        <w:spacing w:after="0"/>
        <w:jc w:val="both"/>
        <w:rPr>
          <w:rFonts w:ascii="Times New Roman" w:hAnsi="Times New Roman"/>
          <w:b/>
          <w:bCs/>
          <w:i/>
          <w:iCs/>
          <w:sz w:val="28"/>
          <w:szCs w:val="28"/>
          <w:lang w:val="ro-RO"/>
        </w:rPr>
      </w:pPr>
      <w:r>
        <w:rPr>
          <w:rFonts w:ascii="Times New Roman" w:hAnsi="Times New Roman"/>
          <w:b/>
          <w:bCs/>
          <w:i/>
          <w:iCs/>
          <w:sz w:val="28"/>
          <w:szCs w:val="28"/>
          <w:lang w:val="ro-RO"/>
        </w:rPr>
        <w:tab/>
      </w:r>
      <w:r w:rsidR="00C22895" w:rsidRPr="00243C1F">
        <w:rPr>
          <w:rFonts w:ascii="Times New Roman" w:hAnsi="Times New Roman"/>
          <w:b/>
          <w:bCs/>
          <w:i/>
          <w:iCs/>
          <w:sz w:val="28"/>
          <w:szCs w:val="28"/>
          <w:lang w:val="ro-RO"/>
        </w:rPr>
        <w:t>5. Rezultatele scontate</w:t>
      </w:r>
    </w:p>
    <w:p w:rsidR="00C22895" w:rsidRPr="00243C1F" w:rsidRDefault="000B111F" w:rsidP="00243C1F">
      <w:pPr>
        <w:tabs>
          <w:tab w:val="left" w:pos="540"/>
        </w:tabs>
        <w:spacing w:after="0"/>
        <w:jc w:val="both"/>
        <w:rPr>
          <w:rStyle w:val="docbody"/>
          <w:rFonts w:ascii="Times New Roman" w:hAnsi="Times New Roman"/>
          <w:sz w:val="28"/>
          <w:szCs w:val="28"/>
          <w:lang w:val="ro-RO"/>
        </w:rPr>
      </w:pPr>
      <w:r w:rsidRPr="00243C1F">
        <w:rPr>
          <w:rFonts w:ascii="Times New Roman" w:hAnsi="Times New Roman"/>
          <w:sz w:val="28"/>
          <w:szCs w:val="28"/>
          <w:lang w:val="ro-RO"/>
        </w:rPr>
        <w:tab/>
        <w:t xml:space="preserve">Scopul acestor modificări este îmbunătăţirea condiţiilor de salarizare </w:t>
      </w:r>
      <w:r w:rsidR="001C1541" w:rsidRPr="00243C1F">
        <w:rPr>
          <w:rFonts w:ascii="Times New Roman" w:hAnsi="Times New Roman"/>
          <w:sz w:val="28"/>
          <w:szCs w:val="28"/>
          <w:lang w:val="ro-RO"/>
        </w:rPr>
        <w:t xml:space="preserve">a </w:t>
      </w:r>
      <w:r w:rsidRPr="00243C1F">
        <w:rPr>
          <w:rFonts w:ascii="Times New Roman" w:hAnsi="Times New Roman"/>
          <w:sz w:val="28"/>
          <w:szCs w:val="28"/>
          <w:lang w:val="ro-RO"/>
        </w:rPr>
        <w:t xml:space="preserve">personalului de specialitate din cadrul Agenției Naționale pentru Sănătate Publică, precum și </w:t>
      </w:r>
      <w:r w:rsidR="00C22895" w:rsidRPr="00243C1F">
        <w:rPr>
          <w:rFonts w:ascii="Times New Roman" w:hAnsi="Times New Roman"/>
          <w:sz w:val="28"/>
          <w:szCs w:val="28"/>
          <w:lang w:val="ro-RO"/>
        </w:rPr>
        <w:t>excluderea interpretărilor duble</w:t>
      </w:r>
      <w:r w:rsidR="001C1541" w:rsidRPr="00243C1F">
        <w:rPr>
          <w:rFonts w:ascii="Times New Roman" w:hAnsi="Times New Roman"/>
          <w:sz w:val="28"/>
          <w:szCs w:val="28"/>
          <w:lang w:val="ro-RO"/>
        </w:rPr>
        <w:t xml:space="preserve"> și</w:t>
      </w:r>
      <w:r w:rsidR="00C22895" w:rsidRPr="00243C1F">
        <w:rPr>
          <w:rFonts w:ascii="Times New Roman" w:hAnsi="Times New Roman"/>
          <w:sz w:val="28"/>
          <w:szCs w:val="28"/>
          <w:lang w:val="ro-RO"/>
        </w:rPr>
        <w:t xml:space="preserve"> actualizarea actelor normative în vigoare</w:t>
      </w:r>
      <w:r w:rsidR="001C1541" w:rsidRPr="00243C1F">
        <w:rPr>
          <w:rFonts w:ascii="Times New Roman" w:hAnsi="Times New Roman"/>
          <w:sz w:val="28"/>
          <w:szCs w:val="28"/>
          <w:lang w:val="ro-RO"/>
        </w:rPr>
        <w:t>, prin</w:t>
      </w:r>
      <w:r w:rsidR="00C22895" w:rsidRPr="00243C1F">
        <w:rPr>
          <w:rFonts w:ascii="Times New Roman" w:hAnsi="Times New Roman"/>
          <w:sz w:val="28"/>
          <w:szCs w:val="28"/>
          <w:lang w:val="ro-RO"/>
        </w:rPr>
        <w:t xml:space="preserve"> stabilirea unor reglementări clare</w:t>
      </w:r>
      <w:r w:rsidR="001C1541" w:rsidRPr="00243C1F">
        <w:rPr>
          <w:rFonts w:ascii="Times New Roman" w:hAnsi="Times New Roman"/>
          <w:sz w:val="28"/>
          <w:szCs w:val="28"/>
          <w:lang w:val="ro-RO"/>
        </w:rPr>
        <w:t>,</w:t>
      </w:r>
      <w:r w:rsidR="00C22895" w:rsidRPr="00243C1F">
        <w:rPr>
          <w:rFonts w:ascii="Times New Roman" w:hAnsi="Times New Roman"/>
          <w:sz w:val="28"/>
          <w:szCs w:val="28"/>
          <w:lang w:val="ro-RO"/>
        </w:rPr>
        <w:t xml:space="preserve"> în aprecierea condiţiilor de salarizare </w:t>
      </w:r>
      <w:r w:rsidR="001C1541" w:rsidRPr="00243C1F">
        <w:rPr>
          <w:rFonts w:ascii="Times New Roman" w:hAnsi="Times New Roman"/>
          <w:sz w:val="28"/>
          <w:szCs w:val="28"/>
          <w:lang w:val="ro-RO"/>
        </w:rPr>
        <w:t xml:space="preserve">a </w:t>
      </w:r>
      <w:r w:rsidR="00C22895" w:rsidRPr="00243C1F">
        <w:rPr>
          <w:rFonts w:ascii="Times New Roman" w:hAnsi="Times New Roman"/>
          <w:sz w:val="28"/>
          <w:szCs w:val="28"/>
          <w:lang w:val="ro-RO"/>
        </w:rPr>
        <w:t xml:space="preserve">personalului </w:t>
      </w:r>
      <w:r w:rsidR="00C22895" w:rsidRPr="00243C1F">
        <w:rPr>
          <w:rStyle w:val="docbody"/>
          <w:rFonts w:ascii="Times New Roman" w:hAnsi="Times New Roman"/>
          <w:sz w:val="28"/>
          <w:szCs w:val="28"/>
          <w:lang w:val="ro-RO"/>
        </w:rPr>
        <w:t>Centrului de Transfuzie a Sângelui.</w:t>
      </w:r>
    </w:p>
    <w:p w:rsidR="00A75F3E" w:rsidRPr="00243C1F" w:rsidRDefault="00A75F3E" w:rsidP="00243C1F">
      <w:pPr>
        <w:pStyle w:val="NoSpacing"/>
        <w:spacing w:line="276" w:lineRule="auto"/>
        <w:ind w:firstLine="567"/>
        <w:jc w:val="both"/>
        <w:rPr>
          <w:rFonts w:ascii="Times New Roman" w:hAnsi="Times New Roman"/>
          <w:sz w:val="28"/>
          <w:szCs w:val="28"/>
          <w:lang w:val="ro-RO"/>
        </w:rPr>
      </w:pPr>
    </w:p>
    <w:p w:rsidR="00732507" w:rsidRPr="00243C1F" w:rsidRDefault="00F07928" w:rsidP="00243C1F">
      <w:pPr>
        <w:pStyle w:val="NoSpacing"/>
        <w:spacing w:line="276" w:lineRule="auto"/>
        <w:ind w:firstLine="567"/>
        <w:jc w:val="both"/>
        <w:rPr>
          <w:rFonts w:ascii="Times New Roman" w:hAnsi="Times New Roman"/>
          <w:sz w:val="28"/>
          <w:szCs w:val="28"/>
          <w:lang w:val="ro-RO"/>
        </w:rPr>
      </w:pPr>
      <w:r w:rsidRPr="00243C1F">
        <w:rPr>
          <w:rFonts w:ascii="Times New Roman" w:hAnsi="Times New Roman"/>
          <w:sz w:val="28"/>
          <w:szCs w:val="28"/>
          <w:lang w:val="ro-RO"/>
        </w:rPr>
        <w:t>În contextul celor menționate mai sus, considerăm oportună şi necesară aprobarea proiectului propus.</w:t>
      </w:r>
    </w:p>
    <w:p w:rsidR="00A612CD" w:rsidRPr="00243C1F" w:rsidRDefault="00A612CD" w:rsidP="00243C1F">
      <w:pPr>
        <w:pStyle w:val="NoSpacing"/>
        <w:spacing w:line="276" w:lineRule="auto"/>
        <w:ind w:firstLine="851"/>
        <w:jc w:val="both"/>
        <w:rPr>
          <w:rFonts w:ascii="Times New Roman" w:hAnsi="Times New Roman"/>
          <w:sz w:val="28"/>
          <w:szCs w:val="28"/>
          <w:lang w:val="ro-RO"/>
        </w:rPr>
      </w:pPr>
    </w:p>
    <w:p w:rsidR="00643C6D" w:rsidRDefault="00643C6D" w:rsidP="00243C1F">
      <w:pPr>
        <w:pStyle w:val="NoSpacing"/>
        <w:spacing w:line="276" w:lineRule="auto"/>
        <w:ind w:firstLine="851"/>
        <w:jc w:val="both"/>
        <w:rPr>
          <w:rFonts w:ascii="Times New Roman" w:hAnsi="Times New Roman"/>
          <w:sz w:val="28"/>
          <w:szCs w:val="28"/>
          <w:lang w:val="ro-RO"/>
        </w:rPr>
      </w:pPr>
    </w:p>
    <w:p w:rsidR="00643C6D" w:rsidRDefault="00643C6D" w:rsidP="00243C1F">
      <w:pPr>
        <w:pStyle w:val="NoSpacing"/>
        <w:spacing w:line="276" w:lineRule="auto"/>
        <w:ind w:firstLine="851"/>
        <w:jc w:val="both"/>
        <w:rPr>
          <w:rFonts w:ascii="Times New Roman" w:hAnsi="Times New Roman"/>
          <w:sz w:val="28"/>
          <w:szCs w:val="28"/>
          <w:lang w:val="ro-RO"/>
        </w:rPr>
      </w:pPr>
    </w:p>
    <w:p w:rsidR="00643C6D" w:rsidRDefault="00643C6D" w:rsidP="00243C1F">
      <w:pPr>
        <w:pStyle w:val="NoSpacing"/>
        <w:spacing w:line="276" w:lineRule="auto"/>
        <w:ind w:firstLine="851"/>
        <w:jc w:val="both"/>
        <w:rPr>
          <w:rFonts w:ascii="Times New Roman" w:hAnsi="Times New Roman"/>
          <w:sz w:val="28"/>
          <w:szCs w:val="28"/>
          <w:lang w:val="ro-RO"/>
        </w:rPr>
      </w:pPr>
    </w:p>
    <w:p w:rsidR="00643C6D" w:rsidRDefault="00643C6D" w:rsidP="00243C1F">
      <w:pPr>
        <w:pStyle w:val="NoSpacing"/>
        <w:spacing w:line="276" w:lineRule="auto"/>
        <w:ind w:firstLine="851"/>
        <w:jc w:val="both"/>
        <w:rPr>
          <w:rFonts w:ascii="Times New Roman" w:hAnsi="Times New Roman"/>
          <w:sz w:val="28"/>
          <w:szCs w:val="28"/>
          <w:lang w:val="ro-RO"/>
        </w:rPr>
      </w:pPr>
    </w:p>
    <w:p w:rsidR="00643C6D" w:rsidRDefault="00643C6D" w:rsidP="00243C1F">
      <w:pPr>
        <w:pStyle w:val="NoSpacing"/>
        <w:spacing w:line="276" w:lineRule="auto"/>
        <w:ind w:firstLine="851"/>
        <w:jc w:val="both"/>
        <w:rPr>
          <w:rFonts w:ascii="Times New Roman" w:hAnsi="Times New Roman"/>
          <w:sz w:val="28"/>
          <w:szCs w:val="28"/>
          <w:lang w:val="ro-RO"/>
        </w:rPr>
      </w:pPr>
    </w:p>
    <w:p w:rsidR="00243C1F" w:rsidRPr="007F6932" w:rsidRDefault="00243C1F" w:rsidP="00243C1F">
      <w:pPr>
        <w:pStyle w:val="NoSpacing"/>
        <w:spacing w:line="276" w:lineRule="auto"/>
        <w:ind w:firstLine="851"/>
        <w:jc w:val="both"/>
        <w:rPr>
          <w:rFonts w:ascii="Times New Roman" w:hAnsi="Times New Roman"/>
          <w:b/>
          <w:bCs/>
          <w:i/>
          <w:iCs/>
          <w:sz w:val="28"/>
          <w:szCs w:val="28"/>
          <w:lang w:val="ro-RO"/>
        </w:rPr>
      </w:pPr>
      <w:r>
        <w:rPr>
          <w:rFonts w:ascii="Times New Roman" w:hAnsi="Times New Roman"/>
          <w:b/>
          <w:sz w:val="28"/>
          <w:szCs w:val="28"/>
          <w:lang w:val="ro-RO"/>
        </w:rPr>
        <w:t xml:space="preserve">Ministru                                                     </w:t>
      </w:r>
      <w:r w:rsidRPr="007F6932">
        <w:rPr>
          <w:rFonts w:ascii="Times New Roman" w:hAnsi="Times New Roman"/>
          <w:b/>
          <w:sz w:val="28"/>
          <w:szCs w:val="28"/>
          <w:lang w:val="ro-RO"/>
        </w:rPr>
        <w:t>Svetlana CEBOTARI</w:t>
      </w:r>
    </w:p>
    <w:p w:rsidR="008C2A83" w:rsidRPr="00243C1F" w:rsidRDefault="008C2A83" w:rsidP="00243C1F">
      <w:pPr>
        <w:pStyle w:val="NoSpacing"/>
        <w:spacing w:line="276" w:lineRule="auto"/>
        <w:ind w:firstLine="851"/>
        <w:jc w:val="both"/>
        <w:rPr>
          <w:rFonts w:ascii="Times New Roman" w:hAnsi="Times New Roman"/>
          <w:b/>
          <w:bCs/>
          <w:i/>
          <w:iCs/>
          <w:sz w:val="28"/>
          <w:szCs w:val="28"/>
          <w:lang w:val="ro-RO"/>
        </w:rPr>
      </w:pPr>
    </w:p>
    <w:sectPr w:rsidR="008C2A83" w:rsidRPr="00243C1F" w:rsidSect="00643C6D">
      <w:pgSz w:w="11906" w:h="16838"/>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07"/>
    <w:multiLevelType w:val="hybridMultilevel"/>
    <w:tmpl w:val="4F9A1556"/>
    <w:lvl w:ilvl="0" w:tplc="B498C036">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3CC80024"/>
    <w:multiLevelType w:val="hybridMultilevel"/>
    <w:tmpl w:val="D08882D8"/>
    <w:lvl w:ilvl="0" w:tplc="430CAE8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575E6B89"/>
    <w:multiLevelType w:val="hybridMultilevel"/>
    <w:tmpl w:val="71567D06"/>
    <w:lvl w:ilvl="0" w:tplc="D6122C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D8D2AD7"/>
    <w:multiLevelType w:val="hybridMultilevel"/>
    <w:tmpl w:val="771C1178"/>
    <w:lvl w:ilvl="0" w:tplc="AD66CC1A">
      <w:start w:val="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4">
    <w:nsid w:val="6CD14B15"/>
    <w:multiLevelType w:val="hybridMultilevel"/>
    <w:tmpl w:val="9B581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33"/>
    <w:rsid w:val="00016D10"/>
    <w:rsid w:val="00022A65"/>
    <w:rsid w:val="0004285B"/>
    <w:rsid w:val="000602CB"/>
    <w:rsid w:val="00060524"/>
    <w:rsid w:val="00067464"/>
    <w:rsid w:val="0007761B"/>
    <w:rsid w:val="00086853"/>
    <w:rsid w:val="000941CE"/>
    <w:rsid w:val="000A071A"/>
    <w:rsid w:val="000A160A"/>
    <w:rsid w:val="000B111F"/>
    <w:rsid w:val="000C1726"/>
    <w:rsid w:val="000C3649"/>
    <w:rsid w:val="000C4FEC"/>
    <w:rsid w:val="000D20FC"/>
    <w:rsid w:val="000D54F9"/>
    <w:rsid w:val="0012028C"/>
    <w:rsid w:val="00134F10"/>
    <w:rsid w:val="0013516E"/>
    <w:rsid w:val="0014016A"/>
    <w:rsid w:val="00164111"/>
    <w:rsid w:val="00167557"/>
    <w:rsid w:val="00171561"/>
    <w:rsid w:val="0017180D"/>
    <w:rsid w:val="00176111"/>
    <w:rsid w:val="001870AF"/>
    <w:rsid w:val="001A40D3"/>
    <w:rsid w:val="001B1E0F"/>
    <w:rsid w:val="001C1541"/>
    <w:rsid w:val="001C5FF3"/>
    <w:rsid w:val="001D535C"/>
    <w:rsid w:val="001E3774"/>
    <w:rsid w:val="001F56E9"/>
    <w:rsid w:val="00205C12"/>
    <w:rsid w:val="002072EB"/>
    <w:rsid w:val="0021537B"/>
    <w:rsid w:val="00222DD2"/>
    <w:rsid w:val="00234F8B"/>
    <w:rsid w:val="00235CEE"/>
    <w:rsid w:val="00236B67"/>
    <w:rsid w:val="00243C1F"/>
    <w:rsid w:val="0025230E"/>
    <w:rsid w:val="00254A02"/>
    <w:rsid w:val="0027194D"/>
    <w:rsid w:val="002738C3"/>
    <w:rsid w:val="0028033A"/>
    <w:rsid w:val="00285277"/>
    <w:rsid w:val="0028613B"/>
    <w:rsid w:val="002A10E0"/>
    <w:rsid w:val="002A180E"/>
    <w:rsid w:val="002B238D"/>
    <w:rsid w:val="002C1DAD"/>
    <w:rsid w:val="002C252F"/>
    <w:rsid w:val="002E2B19"/>
    <w:rsid w:val="002F2586"/>
    <w:rsid w:val="00311E2B"/>
    <w:rsid w:val="00324E4A"/>
    <w:rsid w:val="003555B4"/>
    <w:rsid w:val="00372B2A"/>
    <w:rsid w:val="00372FDE"/>
    <w:rsid w:val="003818EA"/>
    <w:rsid w:val="003827F5"/>
    <w:rsid w:val="0038514B"/>
    <w:rsid w:val="00396B83"/>
    <w:rsid w:val="003A0C81"/>
    <w:rsid w:val="003A235F"/>
    <w:rsid w:val="003A3F88"/>
    <w:rsid w:val="003B533D"/>
    <w:rsid w:val="003C3E1D"/>
    <w:rsid w:val="003C6DFD"/>
    <w:rsid w:val="003D5933"/>
    <w:rsid w:val="003D68A0"/>
    <w:rsid w:val="003E0222"/>
    <w:rsid w:val="003E15F7"/>
    <w:rsid w:val="003E1FD7"/>
    <w:rsid w:val="003E6514"/>
    <w:rsid w:val="003F634A"/>
    <w:rsid w:val="00400011"/>
    <w:rsid w:val="00403009"/>
    <w:rsid w:val="004049E8"/>
    <w:rsid w:val="00404EB8"/>
    <w:rsid w:val="004179D7"/>
    <w:rsid w:val="00442EDE"/>
    <w:rsid w:val="00471A85"/>
    <w:rsid w:val="00474B24"/>
    <w:rsid w:val="004813B6"/>
    <w:rsid w:val="00493B82"/>
    <w:rsid w:val="00497708"/>
    <w:rsid w:val="004A4868"/>
    <w:rsid w:val="004B1A4F"/>
    <w:rsid w:val="004B53E3"/>
    <w:rsid w:val="004C0DBC"/>
    <w:rsid w:val="004C39BB"/>
    <w:rsid w:val="004D3916"/>
    <w:rsid w:val="004F6DAD"/>
    <w:rsid w:val="0050159B"/>
    <w:rsid w:val="00503B8E"/>
    <w:rsid w:val="005504A5"/>
    <w:rsid w:val="0055406D"/>
    <w:rsid w:val="00562436"/>
    <w:rsid w:val="005907CD"/>
    <w:rsid w:val="005967FF"/>
    <w:rsid w:val="005979F6"/>
    <w:rsid w:val="005A0C25"/>
    <w:rsid w:val="005A5132"/>
    <w:rsid w:val="005A5861"/>
    <w:rsid w:val="005A58CD"/>
    <w:rsid w:val="005B086A"/>
    <w:rsid w:val="005B48F2"/>
    <w:rsid w:val="005B7F81"/>
    <w:rsid w:val="005C55DA"/>
    <w:rsid w:val="005D47DC"/>
    <w:rsid w:val="005D6E0C"/>
    <w:rsid w:val="005D7F96"/>
    <w:rsid w:val="005E1803"/>
    <w:rsid w:val="005F10B8"/>
    <w:rsid w:val="005F39F0"/>
    <w:rsid w:val="005F6284"/>
    <w:rsid w:val="00600CCB"/>
    <w:rsid w:val="006137EA"/>
    <w:rsid w:val="006253E5"/>
    <w:rsid w:val="00637339"/>
    <w:rsid w:val="00643C6D"/>
    <w:rsid w:val="0066533C"/>
    <w:rsid w:val="0067327F"/>
    <w:rsid w:val="00683CB7"/>
    <w:rsid w:val="00696427"/>
    <w:rsid w:val="006A00FB"/>
    <w:rsid w:val="006A489C"/>
    <w:rsid w:val="006A7575"/>
    <w:rsid w:val="006B125E"/>
    <w:rsid w:val="006E1324"/>
    <w:rsid w:val="006E5613"/>
    <w:rsid w:val="0070576C"/>
    <w:rsid w:val="0070661B"/>
    <w:rsid w:val="007075A1"/>
    <w:rsid w:val="00710100"/>
    <w:rsid w:val="00712A1F"/>
    <w:rsid w:val="00721FFA"/>
    <w:rsid w:val="00723C00"/>
    <w:rsid w:val="00727002"/>
    <w:rsid w:val="0073069E"/>
    <w:rsid w:val="00732507"/>
    <w:rsid w:val="00740E9F"/>
    <w:rsid w:val="00744E23"/>
    <w:rsid w:val="00764424"/>
    <w:rsid w:val="00775B25"/>
    <w:rsid w:val="00796336"/>
    <w:rsid w:val="007A2378"/>
    <w:rsid w:val="007A3384"/>
    <w:rsid w:val="007A36F1"/>
    <w:rsid w:val="007A7848"/>
    <w:rsid w:val="007B5B8B"/>
    <w:rsid w:val="007C0655"/>
    <w:rsid w:val="007C3043"/>
    <w:rsid w:val="007C34ED"/>
    <w:rsid w:val="007D0E81"/>
    <w:rsid w:val="007E7B35"/>
    <w:rsid w:val="007F4479"/>
    <w:rsid w:val="008075B6"/>
    <w:rsid w:val="00807724"/>
    <w:rsid w:val="00816A52"/>
    <w:rsid w:val="00827AB6"/>
    <w:rsid w:val="008314CB"/>
    <w:rsid w:val="008766D8"/>
    <w:rsid w:val="0089338E"/>
    <w:rsid w:val="008A0EFA"/>
    <w:rsid w:val="008A5C1F"/>
    <w:rsid w:val="008C2A83"/>
    <w:rsid w:val="008C6F7B"/>
    <w:rsid w:val="008D13EC"/>
    <w:rsid w:val="008D5832"/>
    <w:rsid w:val="008D7E8A"/>
    <w:rsid w:val="00904D80"/>
    <w:rsid w:val="00917FAB"/>
    <w:rsid w:val="0092536D"/>
    <w:rsid w:val="009254C0"/>
    <w:rsid w:val="00927499"/>
    <w:rsid w:val="00960680"/>
    <w:rsid w:val="0096546E"/>
    <w:rsid w:val="00982598"/>
    <w:rsid w:val="00985B21"/>
    <w:rsid w:val="009A0B9C"/>
    <w:rsid w:val="009A600B"/>
    <w:rsid w:val="009B0BAD"/>
    <w:rsid w:val="009B6211"/>
    <w:rsid w:val="009C254B"/>
    <w:rsid w:val="009D26C5"/>
    <w:rsid w:val="009E1952"/>
    <w:rsid w:val="009E3F6E"/>
    <w:rsid w:val="009E51AD"/>
    <w:rsid w:val="009F51F7"/>
    <w:rsid w:val="00A11F99"/>
    <w:rsid w:val="00A13437"/>
    <w:rsid w:val="00A21CB6"/>
    <w:rsid w:val="00A32E37"/>
    <w:rsid w:val="00A351C7"/>
    <w:rsid w:val="00A36144"/>
    <w:rsid w:val="00A438D3"/>
    <w:rsid w:val="00A510CA"/>
    <w:rsid w:val="00A54342"/>
    <w:rsid w:val="00A612CD"/>
    <w:rsid w:val="00A66C6B"/>
    <w:rsid w:val="00A75F3E"/>
    <w:rsid w:val="00A85629"/>
    <w:rsid w:val="00A860E9"/>
    <w:rsid w:val="00A91345"/>
    <w:rsid w:val="00AA7E1D"/>
    <w:rsid w:val="00AB6CB8"/>
    <w:rsid w:val="00AC7AAA"/>
    <w:rsid w:val="00AD6A2A"/>
    <w:rsid w:val="00AE0D22"/>
    <w:rsid w:val="00AF2C19"/>
    <w:rsid w:val="00AF7472"/>
    <w:rsid w:val="00B01B0B"/>
    <w:rsid w:val="00B2228B"/>
    <w:rsid w:val="00B30100"/>
    <w:rsid w:val="00B3064B"/>
    <w:rsid w:val="00B34936"/>
    <w:rsid w:val="00B45298"/>
    <w:rsid w:val="00B57804"/>
    <w:rsid w:val="00B778B9"/>
    <w:rsid w:val="00BB34A0"/>
    <w:rsid w:val="00BB4ADC"/>
    <w:rsid w:val="00BC57A8"/>
    <w:rsid w:val="00BE7BAA"/>
    <w:rsid w:val="00BF6F39"/>
    <w:rsid w:val="00C22895"/>
    <w:rsid w:val="00C239FD"/>
    <w:rsid w:val="00C36000"/>
    <w:rsid w:val="00C46046"/>
    <w:rsid w:val="00C52C70"/>
    <w:rsid w:val="00C55B80"/>
    <w:rsid w:val="00C64FAA"/>
    <w:rsid w:val="00C65C01"/>
    <w:rsid w:val="00C71267"/>
    <w:rsid w:val="00C7412B"/>
    <w:rsid w:val="00C76B37"/>
    <w:rsid w:val="00C9205B"/>
    <w:rsid w:val="00CA3C2C"/>
    <w:rsid w:val="00CB187C"/>
    <w:rsid w:val="00CD3858"/>
    <w:rsid w:val="00CD6CA1"/>
    <w:rsid w:val="00CF4620"/>
    <w:rsid w:val="00CF71B1"/>
    <w:rsid w:val="00D01312"/>
    <w:rsid w:val="00D02DD9"/>
    <w:rsid w:val="00D148E4"/>
    <w:rsid w:val="00D204CC"/>
    <w:rsid w:val="00D313A4"/>
    <w:rsid w:val="00D5768D"/>
    <w:rsid w:val="00D638D2"/>
    <w:rsid w:val="00D66293"/>
    <w:rsid w:val="00D71679"/>
    <w:rsid w:val="00D9008C"/>
    <w:rsid w:val="00DA0CF8"/>
    <w:rsid w:val="00DA5C8A"/>
    <w:rsid w:val="00DA6F5D"/>
    <w:rsid w:val="00DB00D0"/>
    <w:rsid w:val="00DB15A5"/>
    <w:rsid w:val="00DE2FB2"/>
    <w:rsid w:val="00E02EF5"/>
    <w:rsid w:val="00E11DFE"/>
    <w:rsid w:val="00E11E9F"/>
    <w:rsid w:val="00E5540B"/>
    <w:rsid w:val="00E62F97"/>
    <w:rsid w:val="00E64D52"/>
    <w:rsid w:val="00E80D48"/>
    <w:rsid w:val="00E82355"/>
    <w:rsid w:val="00E86A47"/>
    <w:rsid w:val="00E935D3"/>
    <w:rsid w:val="00E974B1"/>
    <w:rsid w:val="00EA0ACB"/>
    <w:rsid w:val="00EA38EC"/>
    <w:rsid w:val="00EA75D8"/>
    <w:rsid w:val="00EB7198"/>
    <w:rsid w:val="00EC0191"/>
    <w:rsid w:val="00EC1051"/>
    <w:rsid w:val="00EC2810"/>
    <w:rsid w:val="00F071B7"/>
    <w:rsid w:val="00F07928"/>
    <w:rsid w:val="00F13552"/>
    <w:rsid w:val="00F234CD"/>
    <w:rsid w:val="00F3647C"/>
    <w:rsid w:val="00F55331"/>
    <w:rsid w:val="00F5546A"/>
    <w:rsid w:val="00F56C52"/>
    <w:rsid w:val="00F83F8A"/>
    <w:rsid w:val="00F842F0"/>
    <w:rsid w:val="00F843BF"/>
    <w:rsid w:val="00F8466B"/>
    <w:rsid w:val="00F860E4"/>
    <w:rsid w:val="00F873A6"/>
    <w:rsid w:val="00F90C2F"/>
    <w:rsid w:val="00F92EAE"/>
    <w:rsid w:val="00F937F7"/>
    <w:rsid w:val="00FA39A2"/>
    <w:rsid w:val="00FB0B0F"/>
    <w:rsid w:val="00FB31CB"/>
    <w:rsid w:val="00FB5C6B"/>
    <w:rsid w:val="00FC6FB5"/>
    <w:rsid w:val="00FD34E3"/>
    <w:rsid w:val="00FD45E3"/>
    <w:rsid w:val="00FD7B34"/>
    <w:rsid w:val="00FE192A"/>
    <w:rsid w:val="00FE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933"/>
    <w:pPr>
      <w:spacing w:after="200" w:line="276" w:lineRule="auto"/>
    </w:pPr>
    <w:rPr>
      <w:rFonts w:ascii="Calibri" w:hAnsi="Calibri"/>
      <w:sz w:val="22"/>
      <w:szCs w:val="22"/>
      <w:lang w:val="ru-RU" w:eastAsia="ru-RU"/>
    </w:rPr>
  </w:style>
  <w:style w:type="paragraph" w:styleId="Heading1">
    <w:name w:val="heading 1"/>
    <w:basedOn w:val="Normal"/>
    <w:next w:val="Normal"/>
    <w:link w:val="Heading1Char"/>
    <w:qFormat/>
    <w:rsid w:val="00060524"/>
    <w:pPr>
      <w:keepNext/>
      <w:spacing w:line="240" w:lineRule="auto"/>
      <w:ind w:firstLine="360"/>
      <w:jc w:val="right"/>
      <w:outlineLvl w:val="0"/>
    </w:pPr>
    <w:rPr>
      <w:rFonts w:ascii="Times New Roman" w:hAnsi="Times New Roman"/>
      <w:color w:val="000000"/>
      <w:sz w:val="28"/>
      <w:szCs w:val="28"/>
      <w:lang w:val="ro-RO"/>
    </w:rPr>
  </w:style>
  <w:style w:type="paragraph" w:styleId="Heading3">
    <w:name w:val="heading 3"/>
    <w:basedOn w:val="Normal"/>
    <w:next w:val="Normal"/>
    <w:link w:val="Heading3Char"/>
    <w:qFormat/>
    <w:rsid w:val="00060524"/>
    <w:pPr>
      <w:keepNext/>
      <w:spacing w:before="240" w:after="60" w:line="240" w:lineRule="auto"/>
      <w:outlineLvl w:val="2"/>
    </w:pPr>
    <w:rPr>
      <w:rFonts w:ascii="Arial" w:hAnsi="Arial" w:cs="Arial"/>
      <w:b/>
      <w:bCs/>
      <w:sz w:val="26"/>
      <w:szCs w:val="26"/>
      <w:lang w:val="ro-RO"/>
    </w:rPr>
  </w:style>
  <w:style w:type="paragraph" w:styleId="Heading5">
    <w:name w:val="heading 5"/>
    <w:basedOn w:val="Normal"/>
    <w:next w:val="Normal"/>
    <w:link w:val="Heading5Char"/>
    <w:semiHidden/>
    <w:unhideWhenUsed/>
    <w:qFormat/>
    <w:rsid w:val="001D53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1A85"/>
    <w:rPr>
      <w:rFonts w:ascii="Tahoma" w:hAnsi="Tahoma" w:cs="Tahoma"/>
      <w:sz w:val="16"/>
      <w:szCs w:val="16"/>
    </w:rPr>
  </w:style>
  <w:style w:type="paragraph" w:customStyle="1" w:styleId="CharChar1">
    <w:name w:val="Char Char1"/>
    <w:basedOn w:val="Normal"/>
    <w:rsid w:val="00C65C01"/>
    <w:pPr>
      <w:spacing w:after="160" w:line="240" w:lineRule="exact"/>
    </w:pPr>
    <w:rPr>
      <w:rFonts w:ascii="Arial" w:eastAsia="Batang" w:hAnsi="Arial" w:cs="Arial"/>
      <w:sz w:val="20"/>
      <w:szCs w:val="20"/>
      <w:lang w:val="en-US" w:eastAsia="en-US"/>
    </w:rPr>
  </w:style>
  <w:style w:type="paragraph" w:customStyle="1" w:styleId="CharChar">
    <w:name w:val="Char Char"/>
    <w:basedOn w:val="Normal"/>
    <w:rsid w:val="00016D10"/>
    <w:pPr>
      <w:spacing w:after="160" w:line="240" w:lineRule="exact"/>
    </w:pPr>
    <w:rPr>
      <w:rFonts w:ascii="Arial" w:eastAsia="Batang" w:hAnsi="Arial" w:cs="Arial"/>
      <w:sz w:val="20"/>
      <w:szCs w:val="20"/>
      <w:lang w:val="en-US" w:eastAsia="en-US"/>
    </w:rPr>
  </w:style>
  <w:style w:type="paragraph" w:styleId="BodyText">
    <w:name w:val="Body Text"/>
    <w:basedOn w:val="Normal"/>
    <w:rsid w:val="000C3649"/>
    <w:pPr>
      <w:spacing w:after="120" w:line="240" w:lineRule="auto"/>
    </w:pPr>
    <w:rPr>
      <w:rFonts w:ascii="Times New Roman" w:hAnsi="Times New Roman"/>
      <w:sz w:val="24"/>
      <w:szCs w:val="24"/>
    </w:rPr>
  </w:style>
  <w:style w:type="paragraph" w:styleId="BodyTextIndent">
    <w:name w:val="Body Text Indent"/>
    <w:basedOn w:val="Normal"/>
    <w:link w:val="BodyTextIndentChar"/>
    <w:rsid w:val="00060524"/>
    <w:pPr>
      <w:spacing w:after="120"/>
      <w:ind w:left="283"/>
    </w:pPr>
  </w:style>
  <w:style w:type="character" w:customStyle="1" w:styleId="BodyTextIndentChar">
    <w:name w:val="Body Text Indent Char"/>
    <w:link w:val="BodyTextIndent"/>
    <w:rsid w:val="00060524"/>
    <w:rPr>
      <w:rFonts w:ascii="Calibri" w:hAnsi="Calibri"/>
      <w:sz w:val="22"/>
      <w:szCs w:val="22"/>
      <w:lang w:val="ru-RU" w:eastAsia="ru-RU"/>
    </w:rPr>
  </w:style>
  <w:style w:type="paragraph" w:styleId="BodyTextIndent2">
    <w:name w:val="Body Text Indent 2"/>
    <w:basedOn w:val="Normal"/>
    <w:link w:val="BodyTextIndent2Char"/>
    <w:rsid w:val="00060524"/>
    <w:pPr>
      <w:spacing w:after="120" w:line="480" w:lineRule="auto"/>
      <w:ind w:left="283"/>
    </w:pPr>
  </w:style>
  <w:style w:type="character" w:customStyle="1" w:styleId="BodyTextIndent2Char">
    <w:name w:val="Body Text Indent 2 Char"/>
    <w:link w:val="BodyTextIndent2"/>
    <w:rsid w:val="00060524"/>
    <w:rPr>
      <w:rFonts w:ascii="Calibri" w:hAnsi="Calibri"/>
      <w:sz w:val="22"/>
      <w:szCs w:val="22"/>
      <w:lang w:val="ru-RU" w:eastAsia="ru-RU"/>
    </w:rPr>
  </w:style>
  <w:style w:type="character" w:customStyle="1" w:styleId="Heading1Char">
    <w:name w:val="Heading 1 Char"/>
    <w:link w:val="Heading1"/>
    <w:rsid w:val="00060524"/>
    <w:rPr>
      <w:color w:val="000000"/>
      <w:sz w:val="28"/>
      <w:szCs w:val="28"/>
      <w:lang w:val="ro-RO" w:eastAsia="ru-RU"/>
    </w:rPr>
  </w:style>
  <w:style w:type="character" w:customStyle="1" w:styleId="Heading3Char">
    <w:name w:val="Heading 3 Char"/>
    <w:link w:val="Heading3"/>
    <w:rsid w:val="00060524"/>
    <w:rPr>
      <w:rFonts w:ascii="Arial" w:hAnsi="Arial" w:cs="Arial"/>
      <w:b/>
      <w:bCs/>
      <w:sz w:val="26"/>
      <w:szCs w:val="26"/>
      <w:lang w:val="ro-RO" w:eastAsia="ru-RU"/>
    </w:rPr>
  </w:style>
  <w:style w:type="paragraph" w:customStyle="1" w:styleId="cn">
    <w:name w:val="cn"/>
    <w:basedOn w:val="Normal"/>
    <w:rsid w:val="00060524"/>
    <w:pPr>
      <w:spacing w:after="0" w:line="240" w:lineRule="auto"/>
      <w:jc w:val="center"/>
    </w:pPr>
    <w:rPr>
      <w:rFonts w:ascii="Times New Roman" w:hAnsi="Times New Roman"/>
      <w:sz w:val="24"/>
      <w:szCs w:val="24"/>
    </w:rPr>
  </w:style>
  <w:style w:type="paragraph" w:customStyle="1" w:styleId="tt">
    <w:name w:val="tt"/>
    <w:basedOn w:val="Normal"/>
    <w:rsid w:val="00060524"/>
    <w:pPr>
      <w:spacing w:after="0" w:line="240" w:lineRule="auto"/>
      <w:jc w:val="center"/>
    </w:pPr>
    <w:rPr>
      <w:rFonts w:ascii="Times New Roman" w:hAnsi="Times New Roman"/>
      <w:b/>
      <w:bCs/>
      <w:sz w:val="24"/>
      <w:szCs w:val="24"/>
    </w:rPr>
  </w:style>
  <w:style w:type="paragraph" w:customStyle="1" w:styleId="rg">
    <w:name w:val="rg"/>
    <w:basedOn w:val="Normal"/>
    <w:rsid w:val="001C5FF3"/>
    <w:pPr>
      <w:spacing w:after="0" w:line="240" w:lineRule="auto"/>
      <w:jc w:val="right"/>
    </w:pPr>
    <w:rPr>
      <w:rFonts w:ascii="Times New Roman" w:hAnsi="Times New Roman"/>
      <w:sz w:val="24"/>
      <w:szCs w:val="24"/>
    </w:rPr>
  </w:style>
  <w:style w:type="character" w:customStyle="1" w:styleId="FontStyle14">
    <w:name w:val="Font Style14"/>
    <w:rsid w:val="001C5FF3"/>
    <w:rPr>
      <w:rFonts w:ascii="Times New Roman" w:hAnsi="Times New Roman" w:cs="Times New Roman"/>
      <w:sz w:val="22"/>
      <w:szCs w:val="22"/>
    </w:rPr>
  </w:style>
  <w:style w:type="table" w:styleId="TableGrid">
    <w:name w:val="Table Grid"/>
    <w:basedOn w:val="TableNormal"/>
    <w:rsid w:val="00381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basedOn w:val="DefaultParagraphFont"/>
    <w:rsid w:val="00F3647C"/>
  </w:style>
  <w:style w:type="character" w:customStyle="1" w:styleId="2">
    <w:name w:val="Основной текст (2)_"/>
    <w:basedOn w:val="DefaultParagraphFont"/>
    <w:link w:val="20"/>
    <w:locked/>
    <w:rsid w:val="006253E5"/>
    <w:rPr>
      <w:sz w:val="30"/>
      <w:szCs w:val="30"/>
      <w:shd w:val="clear" w:color="auto" w:fill="FFFFFF"/>
    </w:rPr>
  </w:style>
  <w:style w:type="paragraph" w:customStyle="1" w:styleId="20">
    <w:name w:val="Основной текст (2)"/>
    <w:basedOn w:val="Normal"/>
    <w:link w:val="2"/>
    <w:rsid w:val="006253E5"/>
    <w:pPr>
      <w:shd w:val="clear" w:color="auto" w:fill="FFFFFF"/>
      <w:spacing w:before="300" w:after="0" w:line="0" w:lineRule="atLeast"/>
    </w:pPr>
    <w:rPr>
      <w:rFonts w:ascii="Times New Roman" w:hAnsi="Times New Roman"/>
      <w:sz w:val="30"/>
      <w:szCs w:val="30"/>
      <w:lang w:val="ro-RO" w:eastAsia="ro-RO"/>
    </w:rPr>
  </w:style>
  <w:style w:type="paragraph" w:styleId="ListParagraph">
    <w:name w:val="List Paragraph"/>
    <w:basedOn w:val="Normal"/>
    <w:uiPriority w:val="34"/>
    <w:qFormat/>
    <w:rsid w:val="0004285B"/>
    <w:pPr>
      <w:ind w:left="720"/>
      <w:contextualSpacing/>
    </w:pPr>
  </w:style>
  <w:style w:type="paragraph" w:styleId="NoSpacing">
    <w:name w:val="No Spacing"/>
    <w:uiPriority w:val="1"/>
    <w:qFormat/>
    <w:rsid w:val="002B238D"/>
    <w:rPr>
      <w:rFonts w:ascii="Calibri" w:hAnsi="Calibri"/>
      <w:sz w:val="22"/>
      <w:szCs w:val="22"/>
      <w:lang w:val="ru-RU" w:eastAsia="ru-RU"/>
    </w:rPr>
  </w:style>
  <w:style w:type="character" w:customStyle="1" w:styleId="Heading5Char">
    <w:name w:val="Heading 5 Char"/>
    <w:basedOn w:val="DefaultParagraphFont"/>
    <w:link w:val="Heading5"/>
    <w:semiHidden/>
    <w:rsid w:val="001D535C"/>
    <w:rPr>
      <w:rFonts w:asciiTheme="majorHAnsi" w:eastAsiaTheme="majorEastAsia" w:hAnsiTheme="majorHAnsi" w:cstheme="majorBidi"/>
      <w:color w:val="243F60" w:themeColor="accent1" w:themeShade="7F"/>
      <w:sz w:val="22"/>
      <w:szCs w:val="22"/>
      <w:lang w:val="ru-RU" w:eastAsia="ru-RU"/>
    </w:rPr>
  </w:style>
  <w:style w:type="paragraph" w:customStyle="1" w:styleId="CharChar10">
    <w:name w:val="Char Char1"/>
    <w:basedOn w:val="Normal"/>
    <w:rsid w:val="001D535C"/>
    <w:pPr>
      <w:spacing w:after="160" w:line="240" w:lineRule="exact"/>
    </w:pPr>
    <w:rPr>
      <w:rFonts w:ascii="Arial" w:eastAsia="Batang" w:hAnsi="Arial" w:cs="Arial"/>
      <w:sz w:val="20"/>
      <w:szCs w:val="20"/>
      <w:lang w:val="en-US" w:eastAsia="en-US"/>
    </w:rPr>
  </w:style>
  <w:style w:type="character" w:customStyle="1" w:styleId="docbody">
    <w:name w:val="doc_body"/>
    <w:rsid w:val="00FD7B34"/>
    <w:rPr>
      <w:rFonts w:cs="Times New Roman"/>
    </w:rPr>
  </w:style>
  <w:style w:type="paragraph" w:customStyle="1" w:styleId="Style6">
    <w:name w:val="Style6"/>
    <w:basedOn w:val="Normal"/>
    <w:rsid w:val="00A75F3E"/>
    <w:pPr>
      <w:widowControl w:val="0"/>
      <w:autoSpaceDE w:val="0"/>
      <w:autoSpaceDN w:val="0"/>
      <w:adjustRightInd w:val="0"/>
      <w:spacing w:after="0" w:line="323" w:lineRule="exact"/>
      <w:ind w:firstLine="554"/>
      <w:jc w:val="both"/>
    </w:pPr>
    <w:rPr>
      <w:rFonts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933"/>
    <w:pPr>
      <w:spacing w:after="200" w:line="276" w:lineRule="auto"/>
    </w:pPr>
    <w:rPr>
      <w:rFonts w:ascii="Calibri" w:hAnsi="Calibri"/>
      <w:sz w:val="22"/>
      <w:szCs w:val="22"/>
      <w:lang w:val="ru-RU" w:eastAsia="ru-RU"/>
    </w:rPr>
  </w:style>
  <w:style w:type="paragraph" w:styleId="Heading1">
    <w:name w:val="heading 1"/>
    <w:basedOn w:val="Normal"/>
    <w:next w:val="Normal"/>
    <w:link w:val="Heading1Char"/>
    <w:qFormat/>
    <w:rsid w:val="00060524"/>
    <w:pPr>
      <w:keepNext/>
      <w:spacing w:line="240" w:lineRule="auto"/>
      <w:ind w:firstLine="360"/>
      <w:jc w:val="right"/>
      <w:outlineLvl w:val="0"/>
    </w:pPr>
    <w:rPr>
      <w:rFonts w:ascii="Times New Roman" w:hAnsi="Times New Roman"/>
      <w:color w:val="000000"/>
      <w:sz w:val="28"/>
      <w:szCs w:val="28"/>
      <w:lang w:val="ro-RO"/>
    </w:rPr>
  </w:style>
  <w:style w:type="paragraph" w:styleId="Heading3">
    <w:name w:val="heading 3"/>
    <w:basedOn w:val="Normal"/>
    <w:next w:val="Normal"/>
    <w:link w:val="Heading3Char"/>
    <w:qFormat/>
    <w:rsid w:val="00060524"/>
    <w:pPr>
      <w:keepNext/>
      <w:spacing w:before="240" w:after="60" w:line="240" w:lineRule="auto"/>
      <w:outlineLvl w:val="2"/>
    </w:pPr>
    <w:rPr>
      <w:rFonts w:ascii="Arial" w:hAnsi="Arial" w:cs="Arial"/>
      <w:b/>
      <w:bCs/>
      <w:sz w:val="26"/>
      <w:szCs w:val="26"/>
      <w:lang w:val="ro-RO"/>
    </w:rPr>
  </w:style>
  <w:style w:type="paragraph" w:styleId="Heading5">
    <w:name w:val="heading 5"/>
    <w:basedOn w:val="Normal"/>
    <w:next w:val="Normal"/>
    <w:link w:val="Heading5Char"/>
    <w:semiHidden/>
    <w:unhideWhenUsed/>
    <w:qFormat/>
    <w:rsid w:val="001D53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1A85"/>
    <w:rPr>
      <w:rFonts w:ascii="Tahoma" w:hAnsi="Tahoma" w:cs="Tahoma"/>
      <w:sz w:val="16"/>
      <w:szCs w:val="16"/>
    </w:rPr>
  </w:style>
  <w:style w:type="paragraph" w:customStyle="1" w:styleId="CharChar1">
    <w:name w:val="Char Char1"/>
    <w:basedOn w:val="Normal"/>
    <w:rsid w:val="00C65C01"/>
    <w:pPr>
      <w:spacing w:after="160" w:line="240" w:lineRule="exact"/>
    </w:pPr>
    <w:rPr>
      <w:rFonts w:ascii="Arial" w:eastAsia="Batang" w:hAnsi="Arial" w:cs="Arial"/>
      <w:sz w:val="20"/>
      <w:szCs w:val="20"/>
      <w:lang w:val="en-US" w:eastAsia="en-US"/>
    </w:rPr>
  </w:style>
  <w:style w:type="paragraph" w:customStyle="1" w:styleId="CharChar">
    <w:name w:val="Char Char"/>
    <w:basedOn w:val="Normal"/>
    <w:rsid w:val="00016D10"/>
    <w:pPr>
      <w:spacing w:after="160" w:line="240" w:lineRule="exact"/>
    </w:pPr>
    <w:rPr>
      <w:rFonts w:ascii="Arial" w:eastAsia="Batang" w:hAnsi="Arial" w:cs="Arial"/>
      <w:sz w:val="20"/>
      <w:szCs w:val="20"/>
      <w:lang w:val="en-US" w:eastAsia="en-US"/>
    </w:rPr>
  </w:style>
  <w:style w:type="paragraph" w:styleId="BodyText">
    <w:name w:val="Body Text"/>
    <w:basedOn w:val="Normal"/>
    <w:rsid w:val="000C3649"/>
    <w:pPr>
      <w:spacing w:after="120" w:line="240" w:lineRule="auto"/>
    </w:pPr>
    <w:rPr>
      <w:rFonts w:ascii="Times New Roman" w:hAnsi="Times New Roman"/>
      <w:sz w:val="24"/>
      <w:szCs w:val="24"/>
    </w:rPr>
  </w:style>
  <w:style w:type="paragraph" w:styleId="BodyTextIndent">
    <w:name w:val="Body Text Indent"/>
    <w:basedOn w:val="Normal"/>
    <w:link w:val="BodyTextIndentChar"/>
    <w:rsid w:val="00060524"/>
    <w:pPr>
      <w:spacing w:after="120"/>
      <w:ind w:left="283"/>
    </w:pPr>
  </w:style>
  <w:style w:type="character" w:customStyle="1" w:styleId="BodyTextIndentChar">
    <w:name w:val="Body Text Indent Char"/>
    <w:link w:val="BodyTextIndent"/>
    <w:rsid w:val="00060524"/>
    <w:rPr>
      <w:rFonts w:ascii="Calibri" w:hAnsi="Calibri"/>
      <w:sz w:val="22"/>
      <w:szCs w:val="22"/>
      <w:lang w:val="ru-RU" w:eastAsia="ru-RU"/>
    </w:rPr>
  </w:style>
  <w:style w:type="paragraph" w:styleId="BodyTextIndent2">
    <w:name w:val="Body Text Indent 2"/>
    <w:basedOn w:val="Normal"/>
    <w:link w:val="BodyTextIndent2Char"/>
    <w:rsid w:val="00060524"/>
    <w:pPr>
      <w:spacing w:after="120" w:line="480" w:lineRule="auto"/>
      <w:ind w:left="283"/>
    </w:pPr>
  </w:style>
  <w:style w:type="character" w:customStyle="1" w:styleId="BodyTextIndent2Char">
    <w:name w:val="Body Text Indent 2 Char"/>
    <w:link w:val="BodyTextIndent2"/>
    <w:rsid w:val="00060524"/>
    <w:rPr>
      <w:rFonts w:ascii="Calibri" w:hAnsi="Calibri"/>
      <w:sz w:val="22"/>
      <w:szCs w:val="22"/>
      <w:lang w:val="ru-RU" w:eastAsia="ru-RU"/>
    </w:rPr>
  </w:style>
  <w:style w:type="character" w:customStyle="1" w:styleId="Heading1Char">
    <w:name w:val="Heading 1 Char"/>
    <w:link w:val="Heading1"/>
    <w:rsid w:val="00060524"/>
    <w:rPr>
      <w:color w:val="000000"/>
      <w:sz w:val="28"/>
      <w:szCs w:val="28"/>
      <w:lang w:val="ro-RO" w:eastAsia="ru-RU"/>
    </w:rPr>
  </w:style>
  <w:style w:type="character" w:customStyle="1" w:styleId="Heading3Char">
    <w:name w:val="Heading 3 Char"/>
    <w:link w:val="Heading3"/>
    <w:rsid w:val="00060524"/>
    <w:rPr>
      <w:rFonts w:ascii="Arial" w:hAnsi="Arial" w:cs="Arial"/>
      <w:b/>
      <w:bCs/>
      <w:sz w:val="26"/>
      <w:szCs w:val="26"/>
      <w:lang w:val="ro-RO" w:eastAsia="ru-RU"/>
    </w:rPr>
  </w:style>
  <w:style w:type="paragraph" w:customStyle="1" w:styleId="cn">
    <w:name w:val="cn"/>
    <w:basedOn w:val="Normal"/>
    <w:rsid w:val="00060524"/>
    <w:pPr>
      <w:spacing w:after="0" w:line="240" w:lineRule="auto"/>
      <w:jc w:val="center"/>
    </w:pPr>
    <w:rPr>
      <w:rFonts w:ascii="Times New Roman" w:hAnsi="Times New Roman"/>
      <w:sz w:val="24"/>
      <w:szCs w:val="24"/>
    </w:rPr>
  </w:style>
  <w:style w:type="paragraph" w:customStyle="1" w:styleId="tt">
    <w:name w:val="tt"/>
    <w:basedOn w:val="Normal"/>
    <w:rsid w:val="00060524"/>
    <w:pPr>
      <w:spacing w:after="0" w:line="240" w:lineRule="auto"/>
      <w:jc w:val="center"/>
    </w:pPr>
    <w:rPr>
      <w:rFonts w:ascii="Times New Roman" w:hAnsi="Times New Roman"/>
      <w:b/>
      <w:bCs/>
      <w:sz w:val="24"/>
      <w:szCs w:val="24"/>
    </w:rPr>
  </w:style>
  <w:style w:type="paragraph" w:customStyle="1" w:styleId="rg">
    <w:name w:val="rg"/>
    <w:basedOn w:val="Normal"/>
    <w:rsid w:val="001C5FF3"/>
    <w:pPr>
      <w:spacing w:after="0" w:line="240" w:lineRule="auto"/>
      <w:jc w:val="right"/>
    </w:pPr>
    <w:rPr>
      <w:rFonts w:ascii="Times New Roman" w:hAnsi="Times New Roman"/>
      <w:sz w:val="24"/>
      <w:szCs w:val="24"/>
    </w:rPr>
  </w:style>
  <w:style w:type="character" w:customStyle="1" w:styleId="FontStyle14">
    <w:name w:val="Font Style14"/>
    <w:rsid w:val="001C5FF3"/>
    <w:rPr>
      <w:rFonts w:ascii="Times New Roman" w:hAnsi="Times New Roman" w:cs="Times New Roman"/>
      <w:sz w:val="22"/>
      <w:szCs w:val="22"/>
    </w:rPr>
  </w:style>
  <w:style w:type="table" w:styleId="TableGrid">
    <w:name w:val="Table Grid"/>
    <w:basedOn w:val="TableNormal"/>
    <w:rsid w:val="00381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basedOn w:val="DefaultParagraphFont"/>
    <w:rsid w:val="00F3647C"/>
  </w:style>
  <w:style w:type="character" w:customStyle="1" w:styleId="2">
    <w:name w:val="Основной текст (2)_"/>
    <w:basedOn w:val="DefaultParagraphFont"/>
    <w:link w:val="20"/>
    <w:locked/>
    <w:rsid w:val="006253E5"/>
    <w:rPr>
      <w:sz w:val="30"/>
      <w:szCs w:val="30"/>
      <w:shd w:val="clear" w:color="auto" w:fill="FFFFFF"/>
    </w:rPr>
  </w:style>
  <w:style w:type="paragraph" w:customStyle="1" w:styleId="20">
    <w:name w:val="Основной текст (2)"/>
    <w:basedOn w:val="Normal"/>
    <w:link w:val="2"/>
    <w:rsid w:val="006253E5"/>
    <w:pPr>
      <w:shd w:val="clear" w:color="auto" w:fill="FFFFFF"/>
      <w:spacing w:before="300" w:after="0" w:line="0" w:lineRule="atLeast"/>
    </w:pPr>
    <w:rPr>
      <w:rFonts w:ascii="Times New Roman" w:hAnsi="Times New Roman"/>
      <w:sz w:val="30"/>
      <w:szCs w:val="30"/>
      <w:lang w:val="ro-RO" w:eastAsia="ro-RO"/>
    </w:rPr>
  </w:style>
  <w:style w:type="paragraph" w:styleId="ListParagraph">
    <w:name w:val="List Paragraph"/>
    <w:basedOn w:val="Normal"/>
    <w:uiPriority w:val="34"/>
    <w:qFormat/>
    <w:rsid w:val="0004285B"/>
    <w:pPr>
      <w:ind w:left="720"/>
      <w:contextualSpacing/>
    </w:pPr>
  </w:style>
  <w:style w:type="paragraph" w:styleId="NoSpacing">
    <w:name w:val="No Spacing"/>
    <w:uiPriority w:val="1"/>
    <w:qFormat/>
    <w:rsid w:val="002B238D"/>
    <w:rPr>
      <w:rFonts w:ascii="Calibri" w:hAnsi="Calibri"/>
      <w:sz w:val="22"/>
      <w:szCs w:val="22"/>
      <w:lang w:val="ru-RU" w:eastAsia="ru-RU"/>
    </w:rPr>
  </w:style>
  <w:style w:type="character" w:customStyle="1" w:styleId="Heading5Char">
    <w:name w:val="Heading 5 Char"/>
    <w:basedOn w:val="DefaultParagraphFont"/>
    <w:link w:val="Heading5"/>
    <w:semiHidden/>
    <w:rsid w:val="001D535C"/>
    <w:rPr>
      <w:rFonts w:asciiTheme="majorHAnsi" w:eastAsiaTheme="majorEastAsia" w:hAnsiTheme="majorHAnsi" w:cstheme="majorBidi"/>
      <w:color w:val="243F60" w:themeColor="accent1" w:themeShade="7F"/>
      <w:sz w:val="22"/>
      <w:szCs w:val="22"/>
      <w:lang w:val="ru-RU" w:eastAsia="ru-RU"/>
    </w:rPr>
  </w:style>
  <w:style w:type="paragraph" w:customStyle="1" w:styleId="CharChar10">
    <w:name w:val="Char Char1"/>
    <w:basedOn w:val="Normal"/>
    <w:rsid w:val="001D535C"/>
    <w:pPr>
      <w:spacing w:after="160" w:line="240" w:lineRule="exact"/>
    </w:pPr>
    <w:rPr>
      <w:rFonts w:ascii="Arial" w:eastAsia="Batang" w:hAnsi="Arial" w:cs="Arial"/>
      <w:sz w:val="20"/>
      <w:szCs w:val="20"/>
      <w:lang w:val="en-US" w:eastAsia="en-US"/>
    </w:rPr>
  </w:style>
  <w:style w:type="character" w:customStyle="1" w:styleId="docbody">
    <w:name w:val="doc_body"/>
    <w:rsid w:val="00FD7B34"/>
    <w:rPr>
      <w:rFonts w:cs="Times New Roman"/>
    </w:rPr>
  </w:style>
  <w:style w:type="paragraph" w:customStyle="1" w:styleId="Style6">
    <w:name w:val="Style6"/>
    <w:basedOn w:val="Normal"/>
    <w:rsid w:val="00A75F3E"/>
    <w:pPr>
      <w:widowControl w:val="0"/>
      <w:autoSpaceDE w:val="0"/>
      <w:autoSpaceDN w:val="0"/>
      <w:adjustRightInd w:val="0"/>
      <w:spacing w:after="0" w:line="323" w:lineRule="exact"/>
      <w:ind w:firstLine="554"/>
      <w:jc w:val="both"/>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202006">
      <w:bodyDiv w:val="1"/>
      <w:marLeft w:val="0"/>
      <w:marRight w:val="0"/>
      <w:marTop w:val="0"/>
      <w:marBottom w:val="0"/>
      <w:divBdr>
        <w:top w:val="none" w:sz="0" w:space="0" w:color="auto"/>
        <w:left w:val="none" w:sz="0" w:space="0" w:color="auto"/>
        <w:bottom w:val="none" w:sz="0" w:space="0" w:color="auto"/>
        <w:right w:val="none" w:sz="0" w:space="0" w:color="auto"/>
      </w:divBdr>
    </w:div>
    <w:div w:id="17893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B04BF-C82F-4811-ADE7-C19ED429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12680</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informativă</vt:lpstr>
      <vt:lpstr>Notă informativă </vt:lpstr>
    </vt:vector>
  </TitlesOfParts>
  <Company>ATM</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juristi</dc:creator>
  <cp:lastModifiedBy>user</cp:lastModifiedBy>
  <cp:revision>2</cp:revision>
  <cp:lastPrinted>2018-03-06T10:52:00Z</cp:lastPrinted>
  <dcterms:created xsi:type="dcterms:W3CDTF">2018-03-06T12:23:00Z</dcterms:created>
  <dcterms:modified xsi:type="dcterms:W3CDTF">2018-03-06T12:23:00Z</dcterms:modified>
</cp:coreProperties>
</file>