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853" w:rsidRPr="009C1F88" w:rsidRDefault="00C976DB" w:rsidP="00C976DB">
      <w:pPr>
        <w:spacing w:after="120"/>
        <w:jc w:val="center"/>
        <w:rPr>
          <w:b/>
          <w:lang w:val="ro-RO"/>
        </w:rPr>
      </w:pPr>
      <w:r w:rsidRPr="009C1F88">
        <w:rPr>
          <w:b/>
          <w:lang w:val="ro-RO"/>
        </w:rPr>
        <w:t>NOTĂ INFORMATIVĂ</w:t>
      </w:r>
    </w:p>
    <w:p w:rsidR="00672853" w:rsidRPr="009C1F88" w:rsidRDefault="00672853" w:rsidP="00C976DB">
      <w:pPr>
        <w:jc w:val="center"/>
        <w:rPr>
          <w:b/>
          <w:lang w:val="ro-RO"/>
        </w:rPr>
      </w:pPr>
      <w:r w:rsidRPr="009C1F88">
        <w:rPr>
          <w:b/>
          <w:lang w:val="ro-RO"/>
        </w:rPr>
        <w:t xml:space="preserve">la proiectul de lege </w:t>
      </w:r>
      <w:r w:rsidR="00062486" w:rsidRPr="009C1F88">
        <w:rPr>
          <w:b/>
          <w:bCs/>
          <w:lang w:val="ro-RO"/>
        </w:rPr>
        <w:t>pentru modificarea și c</w:t>
      </w:r>
      <w:r w:rsidR="00CB75F4" w:rsidRPr="009C1F88">
        <w:rPr>
          <w:b/>
          <w:bCs/>
          <w:lang w:val="ro-RO"/>
        </w:rPr>
        <w:t>ompletarea Legii nr. 77 din 21 aprilie 2016 cu privire la parcurile pentru tehnologia informației</w:t>
      </w:r>
    </w:p>
    <w:p w:rsidR="003E709A" w:rsidRPr="009C1F88" w:rsidRDefault="003E709A" w:rsidP="00C976DB">
      <w:pPr>
        <w:jc w:val="both"/>
        <w:rPr>
          <w:b/>
          <w:bCs/>
          <w:sz w:val="12"/>
          <w:szCs w:val="12"/>
          <w:lang w:val="ro-RO"/>
        </w:rPr>
      </w:pPr>
    </w:p>
    <w:p w:rsidR="00C976DB" w:rsidRPr="009C1F88" w:rsidRDefault="00C976DB" w:rsidP="00085A0C">
      <w:pPr>
        <w:pStyle w:val="ListParagraph"/>
        <w:numPr>
          <w:ilvl w:val="0"/>
          <w:numId w:val="18"/>
        </w:numPr>
        <w:spacing w:before="120" w:after="120"/>
        <w:rPr>
          <w:b/>
          <w:bCs/>
          <w:i/>
          <w:lang w:val="ro-RO"/>
        </w:rPr>
      </w:pPr>
      <w:r w:rsidRPr="009C1F88">
        <w:rPr>
          <w:b/>
          <w:bCs/>
          <w:i/>
          <w:lang w:val="ro-RO"/>
        </w:rPr>
        <w:t>Cauzele care au condiționat elaborarea proiectului</w:t>
      </w:r>
    </w:p>
    <w:p w:rsidR="00CB3A7F" w:rsidRPr="009C1F88" w:rsidRDefault="004A7676" w:rsidP="00A57424">
      <w:pPr>
        <w:spacing w:before="120" w:after="120" w:line="276" w:lineRule="auto"/>
        <w:jc w:val="both"/>
        <w:rPr>
          <w:bCs/>
          <w:lang w:val="ro-RO"/>
        </w:rPr>
      </w:pPr>
      <w:r w:rsidRPr="009C1F88">
        <w:rPr>
          <w:bCs/>
          <w:lang w:val="ro-RO"/>
        </w:rPr>
        <w:t>Prezentul p</w:t>
      </w:r>
      <w:r w:rsidR="003E709A" w:rsidRPr="009C1F88">
        <w:rPr>
          <w:bCs/>
          <w:lang w:val="ro-RO"/>
        </w:rPr>
        <w:t xml:space="preserve">roiect de lege </w:t>
      </w:r>
      <w:r w:rsidRPr="009C1F88">
        <w:rPr>
          <w:bCs/>
          <w:lang w:val="ro-RO"/>
        </w:rPr>
        <w:t xml:space="preserve">a fost elaborat în vederea </w:t>
      </w:r>
      <w:r w:rsidR="003E709A" w:rsidRPr="009C1F88">
        <w:rPr>
          <w:bCs/>
          <w:lang w:val="ro-RO"/>
        </w:rPr>
        <w:t>complet</w:t>
      </w:r>
      <w:r w:rsidRPr="009C1F88">
        <w:rPr>
          <w:bCs/>
          <w:lang w:val="ro-RO"/>
        </w:rPr>
        <w:t>ării</w:t>
      </w:r>
      <w:r w:rsidR="003E709A" w:rsidRPr="009C1F88">
        <w:rPr>
          <w:bCs/>
          <w:lang w:val="ro-RO"/>
        </w:rPr>
        <w:t xml:space="preserve"> Legii </w:t>
      </w:r>
      <w:r w:rsidRPr="009C1F88">
        <w:rPr>
          <w:bCs/>
          <w:lang w:val="ro-RO"/>
        </w:rPr>
        <w:t xml:space="preserve">nr.77 din 21 aprilie 2016 </w:t>
      </w:r>
      <w:r w:rsidR="003E709A" w:rsidRPr="009C1F88">
        <w:rPr>
          <w:bCs/>
          <w:lang w:val="ro-RO"/>
        </w:rPr>
        <w:t>cu privire la parcurile pentru tehnologia informației</w:t>
      </w:r>
      <w:r w:rsidRPr="009C1F88">
        <w:rPr>
          <w:bCs/>
          <w:lang w:val="ro-RO"/>
        </w:rPr>
        <w:t xml:space="preserve">, pentru a </w:t>
      </w:r>
      <w:r w:rsidR="003E709A" w:rsidRPr="009C1F88">
        <w:rPr>
          <w:bCs/>
          <w:lang w:val="ro-RO"/>
        </w:rPr>
        <w:t>extinde</w:t>
      </w:r>
      <w:r w:rsidRPr="009C1F88">
        <w:rPr>
          <w:bCs/>
          <w:lang w:val="ro-RO"/>
        </w:rPr>
        <w:t xml:space="preserve"> </w:t>
      </w:r>
      <w:r w:rsidR="00417BFC" w:rsidRPr="009C1F88">
        <w:rPr>
          <w:bCs/>
          <w:lang w:val="ro-RO"/>
        </w:rPr>
        <w:t xml:space="preserve">lista </w:t>
      </w:r>
      <w:r w:rsidR="004F141C" w:rsidRPr="009C1F88">
        <w:rPr>
          <w:bCs/>
          <w:lang w:val="ro-RO"/>
        </w:rPr>
        <w:t>activităților</w:t>
      </w:r>
      <w:r w:rsidR="00417BFC" w:rsidRPr="009C1F88">
        <w:rPr>
          <w:bCs/>
          <w:lang w:val="ro-RO"/>
        </w:rPr>
        <w:t xml:space="preserve"> care pot fi desfășurate în cadrul parcului pentru tehnologia informației</w:t>
      </w:r>
      <w:r w:rsidR="00B42E35" w:rsidRPr="009C1F88">
        <w:rPr>
          <w:bCs/>
          <w:lang w:val="ro-RO"/>
        </w:rPr>
        <w:t xml:space="preserve">, precum și oferirea unui mediu propice pentru dezvoltarea businessului în domeniul </w:t>
      </w:r>
      <w:r w:rsidR="001E5802" w:rsidRPr="009C1F88">
        <w:rPr>
          <w:bCs/>
          <w:lang w:val="ro-RO"/>
        </w:rPr>
        <w:t>tehnologiei informației</w:t>
      </w:r>
      <w:r w:rsidR="00B42E35" w:rsidRPr="009C1F88">
        <w:rPr>
          <w:bCs/>
          <w:lang w:val="ro-RO"/>
        </w:rPr>
        <w:t>.</w:t>
      </w:r>
      <w:r w:rsidR="001E5802" w:rsidRPr="009C1F88">
        <w:rPr>
          <w:bCs/>
          <w:lang w:val="ro-RO"/>
        </w:rPr>
        <w:t xml:space="preserve"> </w:t>
      </w:r>
    </w:p>
    <w:p w:rsidR="003E709A" w:rsidRPr="009C1F88" w:rsidRDefault="001E5802" w:rsidP="00A57424">
      <w:pPr>
        <w:spacing w:before="120" w:after="120" w:line="276" w:lineRule="auto"/>
        <w:jc w:val="both"/>
        <w:rPr>
          <w:bCs/>
          <w:lang w:val="ro-RO"/>
        </w:rPr>
      </w:pPr>
      <w:r w:rsidRPr="009C1F88">
        <w:rPr>
          <w:bCs/>
          <w:lang w:val="ro-RO"/>
        </w:rPr>
        <w:t xml:space="preserve">Proiectul de lege a fost elaborat în scopul perfecționării cadrului de reglementare previzibil, de motivare a </w:t>
      </w:r>
      <w:proofErr w:type="spellStart"/>
      <w:r w:rsidRPr="009C1F88">
        <w:rPr>
          <w:bCs/>
          <w:lang w:val="ro-RO"/>
        </w:rPr>
        <w:t>antreprenoriatului</w:t>
      </w:r>
      <w:proofErr w:type="spellEnd"/>
      <w:r w:rsidRPr="009C1F88">
        <w:rPr>
          <w:bCs/>
          <w:lang w:val="ro-RO"/>
        </w:rPr>
        <w:t>, dezvoltarea de noi produse, dezvoltarea talentelor/capitalului uman.</w:t>
      </w:r>
    </w:p>
    <w:p w:rsidR="00CB3A7F" w:rsidRPr="009C1F88" w:rsidRDefault="00254744" w:rsidP="00254744">
      <w:pPr>
        <w:spacing w:before="120" w:after="120" w:line="276" w:lineRule="auto"/>
        <w:jc w:val="both"/>
        <w:rPr>
          <w:bCs/>
          <w:lang w:val="ro-RO"/>
        </w:rPr>
      </w:pPr>
      <w:r w:rsidRPr="009C1F88">
        <w:rPr>
          <w:bCs/>
          <w:lang w:val="ro-RO"/>
        </w:rPr>
        <w:t xml:space="preserve">La implementarea prevederilor Legii nr.77 din 21 aprilie 2016 au fost identificate </w:t>
      </w:r>
      <w:r w:rsidR="00704F1C" w:rsidRPr="009C1F88">
        <w:rPr>
          <w:bCs/>
          <w:lang w:val="ro-RO"/>
        </w:rPr>
        <w:t xml:space="preserve">noi </w:t>
      </w:r>
      <w:r w:rsidR="00CB3A7F" w:rsidRPr="009C1F88">
        <w:rPr>
          <w:bCs/>
          <w:lang w:val="ro-RO"/>
        </w:rPr>
        <w:t>genuri de activitate</w:t>
      </w:r>
      <w:r w:rsidR="00704F1C" w:rsidRPr="009C1F88">
        <w:rPr>
          <w:bCs/>
          <w:lang w:val="ro-RO"/>
        </w:rPr>
        <w:t xml:space="preserve"> </w:t>
      </w:r>
      <w:r w:rsidRPr="009C1F88">
        <w:rPr>
          <w:bCs/>
          <w:lang w:val="ro-RO"/>
        </w:rPr>
        <w:t>aplicabile</w:t>
      </w:r>
      <w:r w:rsidR="00704F1C" w:rsidRPr="009C1F88">
        <w:rPr>
          <w:bCs/>
          <w:lang w:val="ro-RO"/>
        </w:rPr>
        <w:t xml:space="preserve"> domeniului TI, precum cercetarea-dezvoltarea</w:t>
      </w:r>
      <w:r w:rsidR="00A7395E" w:rsidRPr="009C1F88">
        <w:rPr>
          <w:bCs/>
          <w:lang w:val="ro-RO"/>
        </w:rPr>
        <w:t xml:space="preserve"> (R&amp;D)</w:t>
      </w:r>
      <w:r w:rsidR="00704F1C" w:rsidRPr="009C1F88">
        <w:rPr>
          <w:bCs/>
          <w:lang w:val="ro-RO"/>
        </w:rPr>
        <w:t xml:space="preserve"> și </w:t>
      </w:r>
      <w:r w:rsidR="00CB3A7F" w:rsidRPr="009C1F88">
        <w:rPr>
          <w:bCs/>
          <w:lang w:val="ro-RO"/>
        </w:rPr>
        <w:t>activitatea de instruire în domeniul TIC. Prin urmare, rezidenții vor avea posibilitatea să producă și dezvolte produse proprii cu un nivel înalt de sofisticare.</w:t>
      </w:r>
    </w:p>
    <w:p w:rsidR="00254744" w:rsidRPr="009C1F88" w:rsidRDefault="00254744" w:rsidP="00A57424">
      <w:pPr>
        <w:spacing w:before="120" w:after="120" w:line="276" w:lineRule="auto"/>
        <w:jc w:val="both"/>
        <w:rPr>
          <w:bCs/>
          <w:lang w:val="ro-RO"/>
        </w:rPr>
      </w:pPr>
      <w:r w:rsidRPr="009C1F88">
        <w:rPr>
          <w:bCs/>
          <w:lang w:val="ro-RO"/>
        </w:rPr>
        <w:t xml:space="preserve">În legătură cu dezvoltarea de </w:t>
      </w:r>
      <w:r w:rsidR="003577E2" w:rsidRPr="009C1F88">
        <w:rPr>
          <w:bCs/>
          <w:lang w:val="ro-RO"/>
        </w:rPr>
        <w:t xml:space="preserve">tehnici moderne și </w:t>
      </w:r>
      <w:r w:rsidRPr="009C1F88">
        <w:rPr>
          <w:bCs/>
          <w:lang w:val="ro-RO"/>
        </w:rPr>
        <w:t>produse inovative în do</w:t>
      </w:r>
      <w:r w:rsidR="005965E8" w:rsidRPr="009C1F88">
        <w:rPr>
          <w:bCs/>
          <w:lang w:val="ro-RO"/>
        </w:rPr>
        <w:t xml:space="preserve">meniul tehnologiei informației și a face față progresului, </w:t>
      </w:r>
      <w:r w:rsidRPr="009C1F88">
        <w:rPr>
          <w:bCs/>
          <w:lang w:val="ro-MD"/>
        </w:rPr>
        <w:t>aplicabilitatea Legii nr.77 necesită a fi extinsă și asupra altor domenii, precum instruirea</w:t>
      </w:r>
      <w:r w:rsidR="00704F1C" w:rsidRPr="009C1F88">
        <w:rPr>
          <w:bCs/>
          <w:lang w:val="ro-MD"/>
        </w:rPr>
        <w:t xml:space="preserve">, </w:t>
      </w:r>
      <w:r w:rsidRPr="009C1F88">
        <w:rPr>
          <w:bCs/>
          <w:lang w:val="ro-MD"/>
        </w:rPr>
        <w:t>cercetarea - dezvoltarea</w:t>
      </w:r>
      <w:r w:rsidR="00704F1C" w:rsidRPr="009C1F88">
        <w:rPr>
          <w:bCs/>
          <w:lang w:val="ro-MD"/>
        </w:rPr>
        <w:t xml:space="preserve"> în tehnologia informației</w:t>
      </w:r>
      <w:r w:rsidRPr="009C1F88">
        <w:rPr>
          <w:bCs/>
          <w:lang w:val="ro-MD"/>
        </w:rPr>
        <w:t>.</w:t>
      </w:r>
    </w:p>
    <w:p w:rsidR="008A0521" w:rsidRPr="009C1F88" w:rsidRDefault="00B80B63" w:rsidP="00085A0C">
      <w:pPr>
        <w:pStyle w:val="ListParagraph"/>
        <w:numPr>
          <w:ilvl w:val="0"/>
          <w:numId w:val="18"/>
        </w:numPr>
        <w:spacing w:before="120" w:after="240"/>
        <w:jc w:val="both"/>
        <w:rPr>
          <w:bCs/>
          <w:lang w:val="ro-RO"/>
        </w:rPr>
      </w:pPr>
      <w:r w:rsidRPr="009C1F88">
        <w:rPr>
          <w:b/>
          <w:bCs/>
          <w:i/>
          <w:lang w:val="ro-RO"/>
        </w:rPr>
        <w:t xml:space="preserve">Principalele prevederi ale proiectului și evidențierea elementelor novatorii </w:t>
      </w:r>
    </w:p>
    <w:p w:rsidR="008E2D90" w:rsidRPr="009C1F88" w:rsidRDefault="008E2D90" w:rsidP="008E2D90">
      <w:pPr>
        <w:pStyle w:val="ListParagraph"/>
        <w:spacing w:before="120" w:after="240"/>
        <w:jc w:val="both"/>
        <w:rPr>
          <w:bCs/>
          <w:sz w:val="12"/>
          <w:szCs w:val="12"/>
          <w:lang w:val="ro-RO"/>
        </w:rPr>
      </w:pPr>
    </w:p>
    <w:p w:rsidR="00417BFC" w:rsidRPr="009C1F88" w:rsidRDefault="00CB359B" w:rsidP="00085A0C">
      <w:pPr>
        <w:pStyle w:val="ListParagraph"/>
        <w:numPr>
          <w:ilvl w:val="1"/>
          <w:numId w:val="19"/>
        </w:numPr>
        <w:spacing w:after="157" w:line="276" w:lineRule="auto"/>
        <w:ind w:left="0" w:right="51" w:firstLine="0"/>
        <w:jc w:val="both"/>
        <w:rPr>
          <w:bCs/>
          <w:lang w:val="ro-RO"/>
        </w:rPr>
      </w:pPr>
      <w:r w:rsidRPr="009C1F88">
        <w:rPr>
          <w:bCs/>
          <w:lang w:val="ro-RO"/>
        </w:rPr>
        <w:t xml:space="preserve">O primă </w:t>
      </w:r>
      <w:r w:rsidR="00BD14ED" w:rsidRPr="009C1F88">
        <w:rPr>
          <w:bCs/>
          <w:lang w:val="ro-RO"/>
        </w:rPr>
        <w:t>completare</w:t>
      </w:r>
      <w:r w:rsidRPr="009C1F88">
        <w:rPr>
          <w:bCs/>
          <w:lang w:val="ro-RO"/>
        </w:rPr>
        <w:t xml:space="preserve"> se referă la activitățile care pot fi desfășurate în cadrul parcului pentru tehnologia informației. </w:t>
      </w:r>
      <w:r w:rsidR="00417BFC" w:rsidRPr="009C1F88">
        <w:rPr>
          <w:bCs/>
          <w:lang w:val="ro-RO"/>
        </w:rPr>
        <w:t>A</w:t>
      </w:r>
      <w:r w:rsidR="00C0086F" w:rsidRPr="009C1F88">
        <w:rPr>
          <w:bCs/>
          <w:lang w:val="ro-RO"/>
        </w:rPr>
        <w:t>ctivul de bază al afacerilor TI</w:t>
      </w:r>
      <w:r w:rsidR="00417BFC" w:rsidRPr="009C1F88">
        <w:rPr>
          <w:bCs/>
          <w:lang w:val="ro-RO"/>
        </w:rPr>
        <w:t xml:space="preserve"> este capitalul um</w:t>
      </w:r>
      <w:r w:rsidR="00C0086F" w:rsidRPr="009C1F88">
        <w:rPr>
          <w:bCs/>
          <w:lang w:val="ro-RO"/>
        </w:rPr>
        <w:t>an. În</w:t>
      </w:r>
      <w:r w:rsidR="00417BFC" w:rsidRPr="009C1F88">
        <w:rPr>
          <w:bCs/>
          <w:lang w:val="ro-RO"/>
        </w:rPr>
        <w:t xml:space="preserve"> cele cca. 400 companii active din domeniul </w:t>
      </w:r>
      <w:r w:rsidR="00AC3299" w:rsidRPr="009C1F88">
        <w:rPr>
          <w:bCs/>
          <w:lang w:val="ro-RO"/>
        </w:rPr>
        <w:t>TI</w:t>
      </w:r>
      <w:r w:rsidR="00417BFC" w:rsidRPr="009C1F88">
        <w:rPr>
          <w:bCs/>
          <w:lang w:val="ro-RO"/>
        </w:rPr>
        <w:t xml:space="preserve"> activează </w:t>
      </w:r>
      <w:r w:rsidR="00AC3299" w:rsidRPr="009C1F88">
        <w:rPr>
          <w:bCs/>
          <w:lang w:val="ro-RO"/>
        </w:rPr>
        <w:t>circa 10</w:t>
      </w:r>
      <w:r w:rsidR="00417BFC" w:rsidRPr="009C1F88">
        <w:rPr>
          <w:bCs/>
          <w:lang w:val="ro-RO"/>
        </w:rPr>
        <w:t xml:space="preserve"> mii de angajați, </w:t>
      </w:r>
      <w:r w:rsidR="00AA3C22" w:rsidRPr="009C1F88">
        <w:rPr>
          <w:bCs/>
          <w:lang w:val="ro-RO"/>
        </w:rPr>
        <w:t xml:space="preserve">dar </w:t>
      </w:r>
      <w:r w:rsidR="00062486" w:rsidRPr="009C1F88">
        <w:rPr>
          <w:bCs/>
          <w:lang w:val="ro-RO"/>
        </w:rPr>
        <w:t xml:space="preserve">cu toate acestea </w:t>
      </w:r>
      <w:r w:rsidR="00417BFC" w:rsidRPr="009C1F88">
        <w:rPr>
          <w:bCs/>
          <w:lang w:val="ro-RO"/>
        </w:rPr>
        <w:t>se constată o insuficiență de specialiști calificați estimat la circa 1000 persoane</w:t>
      </w:r>
      <w:r w:rsidR="00825BBE" w:rsidRPr="009C1F88">
        <w:rPr>
          <w:bCs/>
          <w:lang w:val="ro-RO"/>
        </w:rPr>
        <w:t xml:space="preserve"> pe an</w:t>
      </w:r>
      <w:r w:rsidR="00417BFC" w:rsidRPr="009C1F88">
        <w:rPr>
          <w:bCs/>
          <w:lang w:val="ro-RO"/>
        </w:rPr>
        <w:t xml:space="preserve">, </w:t>
      </w:r>
      <w:r w:rsidR="00825BBE" w:rsidRPr="009C1F88">
        <w:rPr>
          <w:bCs/>
          <w:lang w:val="ro-RO"/>
        </w:rPr>
        <w:t xml:space="preserve">iar </w:t>
      </w:r>
      <w:r w:rsidR="00417BFC" w:rsidRPr="009C1F88">
        <w:rPr>
          <w:bCs/>
          <w:lang w:val="ro-RO"/>
        </w:rPr>
        <w:t xml:space="preserve">numărul absolvenților în acest domeniul este de circa </w:t>
      </w:r>
      <w:r w:rsidR="00AC3299" w:rsidRPr="009C1F88">
        <w:rPr>
          <w:bCs/>
          <w:lang w:val="ro-RO"/>
        </w:rPr>
        <w:t>800</w:t>
      </w:r>
      <w:r w:rsidR="00417BFC" w:rsidRPr="009C1F88">
        <w:rPr>
          <w:bCs/>
          <w:lang w:val="ro-RO"/>
        </w:rPr>
        <w:t xml:space="preserve"> persoane pe an. Cauzele rezidă în metodele de instruire care nu satisfac exigențele industriei.  </w:t>
      </w:r>
    </w:p>
    <w:p w:rsidR="00417BFC" w:rsidRPr="009C1F88" w:rsidRDefault="00417BFC" w:rsidP="00211D11">
      <w:pPr>
        <w:spacing w:after="109" w:line="276" w:lineRule="auto"/>
        <w:ind w:left="-5" w:right="51" w:hanging="10"/>
        <w:jc w:val="both"/>
        <w:rPr>
          <w:bCs/>
          <w:lang w:val="ro-RO"/>
        </w:rPr>
      </w:pPr>
      <w:r w:rsidRPr="009C1F88">
        <w:rPr>
          <w:bCs/>
          <w:lang w:val="ro-RO"/>
        </w:rPr>
        <w:t>Astfel, este stringent necesar de a construi un climat favorabil dialogului și cooperării dintre indus</w:t>
      </w:r>
      <w:r w:rsidR="007D7BF7" w:rsidRPr="009C1F88">
        <w:rPr>
          <w:bCs/>
          <w:lang w:val="ro-RO"/>
        </w:rPr>
        <w:t>tria TI și mediul educațional, academic</w:t>
      </w:r>
      <w:r w:rsidR="00AA3C22" w:rsidRPr="009C1F88">
        <w:rPr>
          <w:bCs/>
          <w:lang w:val="ro-RO"/>
        </w:rPr>
        <w:t xml:space="preserve">, </w:t>
      </w:r>
      <w:r w:rsidRPr="009C1F88">
        <w:rPr>
          <w:bCs/>
          <w:lang w:val="ro-RO"/>
        </w:rPr>
        <w:t xml:space="preserve">fiind absolut oportun extinderea activităților pentru companiile </w:t>
      </w:r>
      <w:r w:rsidR="007D7BF7" w:rsidRPr="009C1F88">
        <w:rPr>
          <w:bCs/>
          <w:lang w:val="ro-RO"/>
        </w:rPr>
        <w:t>TI</w:t>
      </w:r>
      <w:r w:rsidRPr="009C1F88">
        <w:rPr>
          <w:bCs/>
          <w:lang w:val="ro-RO"/>
        </w:rPr>
        <w:t xml:space="preserve"> care livrează cursuri de perfecționare în </w:t>
      </w:r>
      <w:r w:rsidR="007D7BF7" w:rsidRPr="009C1F88">
        <w:rPr>
          <w:bCs/>
          <w:lang w:val="ro-RO"/>
        </w:rPr>
        <w:t>acest domeniu</w:t>
      </w:r>
      <w:r w:rsidRPr="009C1F88">
        <w:rPr>
          <w:bCs/>
          <w:lang w:val="ro-RO"/>
        </w:rPr>
        <w:t>.</w:t>
      </w:r>
    </w:p>
    <w:p w:rsidR="003B673D" w:rsidRPr="009C1F88" w:rsidRDefault="003B673D" w:rsidP="003B673D">
      <w:pPr>
        <w:spacing w:after="109" w:line="276" w:lineRule="auto"/>
        <w:ind w:left="-5" w:right="51" w:hanging="10"/>
        <w:jc w:val="both"/>
        <w:rPr>
          <w:bCs/>
          <w:lang w:val="ro-RO"/>
        </w:rPr>
      </w:pPr>
      <w:r w:rsidRPr="009C1F88">
        <w:rPr>
          <w:bCs/>
          <w:lang w:val="ro-RO"/>
        </w:rPr>
        <w:t xml:space="preserve">Rolul TI este vital în dezvoltarea inovațiilor. Astfel, se constată că „abordarea sistemelor naționale de inovare subliniază faptul că fluxurile de tehnologie și informații între oameni, întreprinderi și instituții sunt esențiale pentru procesul inovator”. </w:t>
      </w:r>
    </w:p>
    <w:p w:rsidR="003B673D" w:rsidRPr="009C1F88" w:rsidRDefault="003B673D" w:rsidP="003B673D">
      <w:pPr>
        <w:spacing w:after="109" w:line="276" w:lineRule="auto"/>
        <w:ind w:left="-5" w:right="51" w:hanging="10"/>
        <w:jc w:val="both"/>
        <w:rPr>
          <w:bCs/>
          <w:lang w:val="ro-RO"/>
        </w:rPr>
      </w:pPr>
      <w:r w:rsidRPr="009C1F88">
        <w:rPr>
          <w:bCs/>
          <w:lang w:val="ro-RO"/>
        </w:rPr>
        <w:t>Inovația este unul din cei 12 piloni care formează competitivitatea unei economii, iar economiile cu un nivel înalt de dezvoltare al inovațiilor sunt și cele mai competitive. La acest capitol Republica Moldova are un nivel de dezvoltare rudimentar. O demonstrează în acest sens și ultimul raport privind Indicele Global al Competitivității, în care în dreptul indicatorului Inovații, Moldova ocupă abia poziția 128 din 137 state analizate cu un scor de 2,6 din 7.</w:t>
      </w:r>
    </w:p>
    <w:p w:rsidR="00417BFC" w:rsidRPr="009C1F88" w:rsidRDefault="00417BFC" w:rsidP="00211D11">
      <w:pPr>
        <w:spacing w:before="120" w:line="276" w:lineRule="auto"/>
        <w:jc w:val="both"/>
        <w:rPr>
          <w:bCs/>
          <w:lang w:val="ro-RO"/>
        </w:rPr>
      </w:pPr>
      <w:r w:rsidRPr="009C1F88">
        <w:rPr>
          <w:bCs/>
          <w:lang w:val="ro-RO"/>
        </w:rPr>
        <w:t xml:space="preserve">Prin urmare, activitatea parcului </w:t>
      </w:r>
      <w:r w:rsidR="00A7395E" w:rsidRPr="009C1F88">
        <w:rPr>
          <w:bCs/>
          <w:lang w:val="ro-RO"/>
        </w:rPr>
        <w:t>TI</w:t>
      </w:r>
      <w:r w:rsidRPr="009C1F88">
        <w:rPr>
          <w:bCs/>
          <w:lang w:val="ro-RO"/>
        </w:rPr>
        <w:t xml:space="preserve"> este oportun de a </w:t>
      </w:r>
      <w:r w:rsidR="00A7395E" w:rsidRPr="009C1F88">
        <w:rPr>
          <w:bCs/>
          <w:lang w:val="ro-RO"/>
        </w:rPr>
        <w:t>fi extinsă</w:t>
      </w:r>
      <w:r w:rsidRPr="009C1F88">
        <w:rPr>
          <w:bCs/>
          <w:lang w:val="ro-RO"/>
        </w:rPr>
        <w:t xml:space="preserve"> și spre </w:t>
      </w:r>
      <w:r w:rsidR="00A7395E" w:rsidRPr="009C1F88">
        <w:rPr>
          <w:bCs/>
          <w:lang w:val="ro-RO"/>
        </w:rPr>
        <w:t>activitatea didactică TI</w:t>
      </w:r>
      <w:r w:rsidRPr="009C1F88">
        <w:rPr>
          <w:bCs/>
          <w:lang w:val="ro-RO"/>
        </w:rPr>
        <w:t>, califica</w:t>
      </w:r>
      <w:r w:rsidR="00A7395E" w:rsidRPr="009C1F88">
        <w:rPr>
          <w:bCs/>
          <w:lang w:val="ro-RO"/>
        </w:rPr>
        <w:t xml:space="preserve">re/recalificare a personalului </w:t>
      </w:r>
      <w:r w:rsidRPr="009C1F88">
        <w:rPr>
          <w:bCs/>
          <w:lang w:val="ro-RO"/>
        </w:rPr>
        <w:t>T</w:t>
      </w:r>
      <w:r w:rsidR="00A7395E" w:rsidRPr="009C1F88">
        <w:rPr>
          <w:bCs/>
          <w:lang w:val="ro-RO"/>
        </w:rPr>
        <w:t>I</w:t>
      </w:r>
      <w:r w:rsidRPr="009C1F88">
        <w:rPr>
          <w:bCs/>
          <w:lang w:val="ro-RO"/>
        </w:rPr>
        <w:t xml:space="preserve">, programe de mentorat, crearea de parteneriate dintre companiile rezidente ale parcului și </w:t>
      </w:r>
      <w:r w:rsidR="007D7BF7" w:rsidRPr="009C1F88">
        <w:rPr>
          <w:bCs/>
          <w:lang w:val="ro-RO"/>
        </w:rPr>
        <w:t>mediul</w:t>
      </w:r>
      <w:r w:rsidRPr="009C1F88">
        <w:rPr>
          <w:bCs/>
          <w:lang w:val="ro-RO"/>
        </w:rPr>
        <w:t xml:space="preserve"> academic. </w:t>
      </w:r>
      <w:r w:rsidR="00AC3299" w:rsidRPr="009C1F88">
        <w:rPr>
          <w:bCs/>
          <w:lang w:val="ro-RO"/>
        </w:rPr>
        <w:t>Prin cercetare</w:t>
      </w:r>
      <w:r w:rsidR="00A7395E" w:rsidRPr="009C1F88">
        <w:rPr>
          <w:bCs/>
          <w:lang w:val="ro-RO"/>
        </w:rPr>
        <w:t>-dezvoltare</w:t>
      </w:r>
      <w:r w:rsidR="00AC3299" w:rsidRPr="009C1F88">
        <w:rPr>
          <w:bCs/>
          <w:lang w:val="ro-RO"/>
        </w:rPr>
        <w:t xml:space="preserve"> </w:t>
      </w:r>
      <w:r w:rsidR="00D807E9" w:rsidRPr="009C1F88">
        <w:rPr>
          <w:bCs/>
          <w:lang w:val="ro-RO"/>
        </w:rPr>
        <w:t>ne propunem</w:t>
      </w:r>
      <w:r w:rsidR="00A7395E" w:rsidRPr="009C1F88">
        <w:rPr>
          <w:bCs/>
          <w:lang w:val="ro-RO"/>
        </w:rPr>
        <w:t xml:space="preserve"> să creăm baza pentru inovare și stimulare a cercetării, </w:t>
      </w:r>
      <w:r w:rsidR="00AA3C22" w:rsidRPr="009C1F88">
        <w:rPr>
          <w:bCs/>
          <w:lang w:val="ro-RO"/>
        </w:rPr>
        <w:t xml:space="preserve">încadrând-le </w:t>
      </w:r>
      <w:r w:rsidR="00D807E9" w:rsidRPr="009C1F88">
        <w:rPr>
          <w:bCs/>
          <w:lang w:val="ro-RO"/>
        </w:rPr>
        <w:t>în prevederile Legii nr.77.</w:t>
      </w:r>
    </w:p>
    <w:p w:rsidR="003B673D" w:rsidRPr="009C1F88" w:rsidRDefault="00417BFC" w:rsidP="00CF42E9">
      <w:pPr>
        <w:spacing w:before="120" w:after="120" w:line="276" w:lineRule="auto"/>
        <w:jc w:val="both"/>
        <w:rPr>
          <w:bCs/>
          <w:lang w:val="ro-RO"/>
        </w:rPr>
      </w:pPr>
      <w:r w:rsidRPr="009C1F88">
        <w:rPr>
          <w:bCs/>
          <w:lang w:val="ro-RO"/>
        </w:rPr>
        <w:lastRenderedPageBreak/>
        <w:t xml:space="preserve">În acest scop, inițiativa legislativă propune completarea art.8 al Legii prin introducerea unor activități noi, eligibile desfășurate de către rezidenții parcului pentru </w:t>
      </w:r>
      <w:r w:rsidR="00AC5E13" w:rsidRPr="009C1F88">
        <w:rPr>
          <w:bCs/>
          <w:lang w:val="ro-RO"/>
        </w:rPr>
        <w:t xml:space="preserve">TI, care au directă tangență cu activitatea acestora, </w:t>
      </w:r>
      <w:r w:rsidR="00BD08C5" w:rsidRPr="009C1F88">
        <w:rPr>
          <w:bCs/>
          <w:lang w:val="ro-RO"/>
        </w:rPr>
        <w:t>completând</w:t>
      </w:r>
      <w:r w:rsidR="00AC5E13" w:rsidRPr="009C1F88">
        <w:rPr>
          <w:bCs/>
          <w:lang w:val="ro-RO"/>
        </w:rPr>
        <w:t>-o și variind-o în domeniile de care are nevoie Republica Moldova.</w:t>
      </w:r>
    </w:p>
    <w:p w:rsidR="00986E65" w:rsidRPr="009C1F88" w:rsidRDefault="00986E65" w:rsidP="00C976DB">
      <w:pPr>
        <w:spacing w:before="120" w:after="120"/>
        <w:jc w:val="both"/>
        <w:rPr>
          <w:bCs/>
          <w:lang w:val="ro-RO"/>
        </w:rPr>
      </w:pPr>
      <w:r w:rsidRPr="009C1F88">
        <w:rPr>
          <w:b/>
          <w:bCs/>
          <w:lang w:val="ro-RO"/>
        </w:rPr>
        <w:t>Articolul 8 se completează cu următoarele litere cu următorul conținut:</w:t>
      </w:r>
    </w:p>
    <w:p w:rsidR="00CF42E9" w:rsidRPr="00CF42E9" w:rsidRDefault="00CF42E9" w:rsidP="00CF42E9">
      <w:pPr>
        <w:tabs>
          <w:tab w:val="left" w:pos="900"/>
        </w:tabs>
        <w:ind w:left="360"/>
        <w:jc w:val="both"/>
        <w:rPr>
          <w:bCs/>
          <w:lang w:val="ro-RO"/>
        </w:rPr>
      </w:pPr>
      <w:r w:rsidRPr="00CF42E9">
        <w:rPr>
          <w:bCs/>
          <w:lang w:val="ro-RO"/>
        </w:rPr>
        <w:t>„i)</w:t>
      </w:r>
      <w:r w:rsidRPr="00CF42E9">
        <w:rPr>
          <w:bCs/>
          <w:lang w:val="ro-RO"/>
        </w:rPr>
        <w:tab/>
        <w:t>Alte forme de învățământ (85.59), exclusiv:</w:t>
      </w:r>
    </w:p>
    <w:p w:rsidR="00CF42E9" w:rsidRPr="00CF42E9" w:rsidRDefault="00CF42E9" w:rsidP="00CF42E9">
      <w:pPr>
        <w:numPr>
          <w:ilvl w:val="0"/>
          <w:numId w:val="20"/>
        </w:numPr>
        <w:tabs>
          <w:tab w:val="left" w:pos="1620"/>
        </w:tabs>
        <w:spacing w:after="200" w:line="276" w:lineRule="auto"/>
        <w:contextualSpacing/>
        <w:jc w:val="both"/>
        <w:rPr>
          <w:bCs/>
          <w:lang w:val="ro-RO"/>
        </w:rPr>
      </w:pPr>
      <w:r w:rsidRPr="00CF42E9">
        <w:rPr>
          <w:bCs/>
          <w:lang w:val="ro-RO"/>
        </w:rPr>
        <w:t>instruirea în domeniul calculatoarelor;</w:t>
      </w:r>
    </w:p>
    <w:p w:rsidR="00CF42E9" w:rsidRPr="00CF42E9" w:rsidRDefault="00CF42E9" w:rsidP="00CF42E9">
      <w:pPr>
        <w:numPr>
          <w:ilvl w:val="0"/>
          <w:numId w:val="23"/>
        </w:numPr>
        <w:spacing w:after="200" w:line="276" w:lineRule="auto"/>
        <w:ind w:left="900" w:hanging="450"/>
        <w:contextualSpacing/>
        <w:jc w:val="both"/>
        <w:rPr>
          <w:bCs/>
          <w:lang w:val="ro-RO"/>
        </w:rPr>
      </w:pPr>
      <w:r w:rsidRPr="00CF42E9">
        <w:rPr>
          <w:bCs/>
          <w:lang w:val="ro-RO"/>
        </w:rPr>
        <w:t>Activități de cercetare-dezvoltare în alte științe naturale și inginerie (72.19), exclusiv:</w:t>
      </w:r>
    </w:p>
    <w:p w:rsidR="00CF42E9" w:rsidRPr="00CF42E9" w:rsidRDefault="00CF42E9" w:rsidP="00CF42E9">
      <w:pPr>
        <w:numPr>
          <w:ilvl w:val="0"/>
          <w:numId w:val="20"/>
        </w:numPr>
        <w:spacing w:after="200" w:line="276" w:lineRule="auto"/>
        <w:contextualSpacing/>
        <w:jc w:val="both"/>
        <w:rPr>
          <w:bCs/>
          <w:lang w:val="ro-RO"/>
        </w:rPr>
      </w:pPr>
      <w:r w:rsidRPr="00CF42E9">
        <w:rPr>
          <w:bCs/>
          <w:lang w:val="ro-RO"/>
        </w:rPr>
        <w:t>servicii de cercetare și dezvoltare experimentală în matematică (72.19.11)</w:t>
      </w:r>
    </w:p>
    <w:p w:rsidR="00CF42E9" w:rsidRPr="00CF42E9" w:rsidRDefault="00CF42E9" w:rsidP="00CF42E9">
      <w:pPr>
        <w:numPr>
          <w:ilvl w:val="0"/>
          <w:numId w:val="20"/>
        </w:numPr>
        <w:spacing w:after="200" w:line="276" w:lineRule="auto"/>
        <w:contextualSpacing/>
        <w:jc w:val="both"/>
        <w:rPr>
          <w:bCs/>
          <w:lang w:val="ro-RO"/>
        </w:rPr>
      </w:pPr>
      <w:r w:rsidRPr="00CF42E9">
        <w:rPr>
          <w:bCs/>
          <w:lang w:val="ro-RO"/>
        </w:rPr>
        <w:t>servicii de cercetare și dezvoltare experimentală în calculatoare și științe informatice (72.19.12)</w:t>
      </w:r>
    </w:p>
    <w:p w:rsidR="00CF42E9" w:rsidRPr="00CF42E9" w:rsidRDefault="00CF42E9" w:rsidP="00CF42E9">
      <w:pPr>
        <w:numPr>
          <w:ilvl w:val="0"/>
          <w:numId w:val="20"/>
        </w:numPr>
        <w:spacing w:after="200" w:line="276" w:lineRule="auto"/>
        <w:contextualSpacing/>
        <w:jc w:val="both"/>
        <w:rPr>
          <w:bCs/>
          <w:lang w:val="ro-RO"/>
        </w:rPr>
      </w:pPr>
      <w:r w:rsidRPr="00CF42E9">
        <w:rPr>
          <w:bCs/>
          <w:lang w:val="ro-RO"/>
        </w:rPr>
        <w:t>servicii de cercetare și dezvoltare experimentală în fizică (72.19.13)</w:t>
      </w:r>
    </w:p>
    <w:p w:rsidR="00CF42E9" w:rsidRPr="00CF42E9" w:rsidRDefault="00CF42E9" w:rsidP="00CF42E9">
      <w:pPr>
        <w:numPr>
          <w:ilvl w:val="0"/>
          <w:numId w:val="20"/>
        </w:numPr>
        <w:spacing w:after="200" w:line="276" w:lineRule="auto"/>
        <w:contextualSpacing/>
        <w:jc w:val="both"/>
        <w:rPr>
          <w:bCs/>
          <w:lang w:val="ro-RO"/>
        </w:rPr>
      </w:pPr>
      <w:r w:rsidRPr="00CF42E9">
        <w:rPr>
          <w:bCs/>
          <w:lang w:val="ro-RO"/>
        </w:rPr>
        <w:t>servicii de cercetare și dezvoltare experimentală în nanotehnologie (72.19.21)</w:t>
      </w:r>
    </w:p>
    <w:p w:rsidR="00CF42E9" w:rsidRPr="00CF42E9" w:rsidRDefault="00CF42E9" w:rsidP="00CF42E9">
      <w:pPr>
        <w:numPr>
          <w:ilvl w:val="0"/>
          <w:numId w:val="20"/>
        </w:numPr>
        <w:spacing w:after="200" w:line="276" w:lineRule="auto"/>
        <w:contextualSpacing/>
        <w:jc w:val="both"/>
        <w:rPr>
          <w:bCs/>
          <w:lang w:val="ro-RO"/>
        </w:rPr>
      </w:pPr>
      <w:r w:rsidRPr="00CF42E9">
        <w:rPr>
          <w:bCs/>
          <w:lang w:val="ro-RO"/>
        </w:rPr>
        <w:t>alte servicii de cercetare și dezvoltare experimentală în inginerie și tehnologie, cu excepția biotehnologiei (72.19.29)</w:t>
      </w:r>
    </w:p>
    <w:p w:rsidR="00CF42E9" w:rsidRPr="00CF42E9" w:rsidRDefault="00CF42E9" w:rsidP="00CF42E9">
      <w:pPr>
        <w:numPr>
          <w:ilvl w:val="0"/>
          <w:numId w:val="20"/>
        </w:numPr>
        <w:spacing w:after="240" w:line="276" w:lineRule="auto"/>
        <w:contextualSpacing/>
        <w:jc w:val="both"/>
        <w:rPr>
          <w:bCs/>
          <w:lang w:val="ro-RO"/>
        </w:rPr>
      </w:pPr>
      <w:r w:rsidRPr="00CF42E9">
        <w:rPr>
          <w:bCs/>
          <w:lang w:val="ro-RO"/>
        </w:rPr>
        <w:t>servicii de cercetare și dezvoltare a proiectelor originale în științe naturale și inginerie, cu excepția biotehnologiei (72.19.50);</w:t>
      </w:r>
    </w:p>
    <w:p w:rsidR="00CF42E9" w:rsidRPr="00CF42E9" w:rsidRDefault="00CF42E9" w:rsidP="00CF42E9">
      <w:pPr>
        <w:numPr>
          <w:ilvl w:val="0"/>
          <w:numId w:val="23"/>
        </w:numPr>
        <w:spacing w:after="200" w:line="276" w:lineRule="auto"/>
        <w:ind w:left="900" w:hanging="450"/>
        <w:contextualSpacing/>
        <w:jc w:val="both"/>
        <w:rPr>
          <w:bCs/>
          <w:lang w:val="ro-RO"/>
        </w:rPr>
      </w:pPr>
      <w:r w:rsidRPr="00CF42E9">
        <w:rPr>
          <w:bCs/>
          <w:lang w:val="ro-RO"/>
        </w:rPr>
        <w:t>Activități de cercetare-dezvoltare în biotehnologie (72.11), exclusiv:</w:t>
      </w:r>
    </w:p>
    <w:p w:rsidR="00CF42E9" w:rsidRPr="00CF42E9" w:rsidRDefault="00CF42E9" w:rsidP="00CF42E9">
      <w:pPr>
        <w:numPr>
          <w:ilvl w:val="0"/>
          <w:numId w:val="21"/>
        </w:numPr>
        <w:spacing w:after="200" w:line="276" w:lineRule="auto"/>
        <w:contextualSpacing/>
        <w:jc w:val="both"/>
        <w:rPr>
          <w:bCs/>
          <w:lang w:val="ro-RO"/>
        </w:rPr>
      </w:pPr>
      <w:r w:rsidRPr="00CF42E9">
        <w:rPr>
          <w:bCs/>
          <w:lang w:val="ro-RO"/>
        </w:rPr>
        <w:t>cercetare-dezvoltare experimentală în domeniul bioinformaticii: construcții de baze de date în geonomică, ordonare de proteine, procese complexe de modelare biologică, inclusiv sisteme biologice</w:t>
      </w:r>
    </w:p>
    <w:p w:rsidR="00CF42E9" w:rsidRPr="00CF42E9" w:rsidRDefault="00CF42E9" w:rsidP="00CF42E9">
      <w:pPr>
        <w:numPr>
          <w:ilvl w:val="0"/>
          <w:numId w:val="21"/>
        </w:numPr>
        <w:spacing w:after="200" w:line="276" w:lineRule="auto"/>
        <w:contextualSpacing/>
        <w:jc w:val="both"/>
        <w:rPr>
          <w:bCs/>
          <w:lang w:val="ro-RO"/>
        </w:rPr>
      </w:pPr>
      <w:r w:rsidRPr="00CF42E9">
        <w:rPr>
          <w:bCs/>
          <w:lang w:val="ro-RO"/>
        </w:rPr>
        <w:t xml:space="preserve">cercetare-dezvoltare experimentală în domeniul </w:t>
      </w:r>
      <w:proofErr w:type="spellStart"/>
      <w:r w:rsidRPr="00CF42E9">
        <w:rPr>
          <w:bCs/>
          <w:lang w:val="ro-RO"/>
        </w:rPr>
        <w:t>nanobiotehnologiei</w:t>
      </w:r>
      <w:proofErr w:type="spellEnd"/>
      <w:r w:rsidRPr="00CF42E9">
        <w:rPr>
          <w:bCs/>
          <w:lang w:val="ro-RO"/>
        </w:rPr>
        <w:t xml:space="preserve">: unelte și procese </w:t>
      </w:r>
      <w:proofErr w:type="spellStart"/>
      <w:r w:rsidRPr="00CF42E9">
        <w:rPr>
          <w:bCs/>
          <w:lang w:val="ro-RO"/>
        </w:rPr>
        <w:t>nano</w:t>
      </w:r>
      <w:proofErr w:type="spellEnd"/>
      <w:r w:rsidRPr="00CF42E9">
        <w:rPr>
          <w:bCs/>
          <w:lang w:val="ro-RO"/>
        </w:rPr>
        <w:t>/</w:t>
      </w:r>
      <w:proofErr w:type="spellStart"/>
      <w:r w:rsidRPr="00CF42E9">
        <w:rPr>
          <w:bCs/>
          <w:lang w:val="ro-RO"/>
        </w:rPr>
        <w:t>microfabricaţie</w:t>
      </w:r>
      <w:proofErr w:type="spellEnd"/>
      <w:r w:rsidRPr="00CF42E9">
        <w:rPr>
          <w:bCs/>
          <w:lang w:val="ro-RO"/>
        </w:rPr>
        <w:t xml:space="preserve"> folosite la construcția de dispozitive pentru studierea biosistemelor și aplicațiilor în medicație, diagnostice etc.;</w:t>
      </w:r>
    </w:p>
    <w:p w:rsidR="00CF42E9" w:rsidRPr="00CF42E9" w:rsidRDefault="00CF42E9" w:rsidP="00CF42E9">
      <w:pPr>
        <w:numPr>
          <w:ilvl w:val="0"/>
          <w:numId w:val="23"/>
        </w:numPr>
        <w:spacing w:after="200" w:line="276" w:lineRule="auto"/>
        <w:ind w:left="900" w:hanging="450"/>
        <w:contextualSpacing/>
        <w:jc w:val="both"/>
        <w:rPr>
          <w:bCs/>
          <w:lang w:val="ro-RO"/>
        </w:rPr>
      </w:pPr>
      <w:r w:rsidRPr="00CF42E9">
        <w:rPr>
          <w:bCs/>
          <w:lang w:val="ro-RO"/>
        </w:rPr>
        <w:t>Fabricarea componentelor electronice (module) (26.11), exclusiv:</w:t>
      </w:r>
    </w:p>
    <w:p w:rsidR="00CF42E9" w:rsidRPr="00CF42E9" w:rsidRDefault="00CF42E9" w:rsidP="00CF42E9">
      <w:pPr>
        <w:numPr>
          <w:ilvl w:val="0"/>
          <w:numId w:val="22"/>
        </w:numPr>
        <w:spacing w:after="200" w:line="276" w:lineRule="auto"/>
        <w:contextualSpacing/>
        <w:jc w:val="both"/>
        <w:rPr>
          <w:bCs/>
          <w:lang w:val="ro-RO"/>
        </w:rPr>
      </w:pPr>
      <w:r w:rsidRPr="00CF42E9">
        <w:rPr>
          <w:bCs/>
          <w:lang w:val="ro-RO"/>
        </w:rPr>
        <w:t>fabricarea de microprocesoare</w:t>
      </w:r>
    </w:p>
    <w:p w:rsidR="00CF42E9" w:rsidRPr="00CF42E9" w:rsidRDefault="00CF42E9" w:rsidP="00CF42E9">
      <w:pPr>
        <w:numPr>
          <w:ilvl w:val="0"/>
          <w:numId w:val="22"/>
        </w:numPr>
        <w:spacing w:after="200" w:line="276" w:lineRule="auto"/>
        <w:contextualSpacing/>
        <w:jc w:val="both"/>
        <w:rPr>
          <w:bCs/>
          <w:lang w:val="ro-RO"/>
        </w:rPr>
      </w:pPr>
      <w:r w:rsidRPr="00CF42E9">
        <w:rPr>
          <w:bCs/>
          <w:lang w:val="ro-RO"/>
        </w:rPr>
        <w:t>fabricarea de circuite integrate (analogice, digitale sau hibride);</w:t>
      </w:r>
    </w:p>
    <w:p w:rsidR="00CF42E9" w:rsidRPr="00CF42E9" w:rsidRDefault="00CF42E9" w:rsidP="00CF42E9">
      <w:pPr>
        <w:numPr>
          <w:ilvl w:val="0"/>
          <w:numId w:val="23"/>
        </w:numPr>
        <w:tabs>
          <w:tab w:val="left" w:pos="900"/>
        </w:tabs>
        <w:spacing w:after="200" w:line="276" w:lineRule="auto"/>
        <w:ind w:left="900" w:hanging="450"/>
        <w:contextualSpacing/>
        <w:jc w:val="both"/>
        <w:rPr>
          <w:bCs/>
          <w:lang w:val="ro-RO"/>
        </w:rPr>
      </w:pPr>
      <w:r w:rsidRPr="00CF42E9">
        <w:rPr>
          <w:bCs/>
          <w:lang w:val="ro-RO"/>
        </w:rPr>
        <w:t>Servicii de obținere de filme de animație (în format digital) (59.12.15);</w:t>
      </w:r>
    </w:p>
    <w:p w:rsidR="00A35BE9" w:rsidRPr="009C1F88" w:rsidRDefault="00CF42E9" w:rsidP="00CF42E9">
      <w:pPr>
        <w:numPr>
          <w:ilvl w:val="0"/>
          <w:numId w:val="23"/>
        </w:numPr>
        <w:spacing w:after="200" w:line="276" w:lineRule="auto"/>
        <w:ind w:left="900" w:hanging="450"/>
        <w:contextualSpacing/>
        <w:jc w:val="both"/>
        <w:rPr>
          <w:bCs/>
          <w:lang w:val="ro-RO"/>
        </w:rPr>
      </w:pPr>
      <w:r w:rsidRPr="00CF42E9">
        <w:rPr>
          <w:bCs/>
          <w:lang w:val="ro-RO"/>
        </w:rPr>
        <w:t>Servicii de design specializat (în format digital) (74.10)”.</w:t>
      </w:r>
    </w:p>
    <w:p w:rsidR="009605C3" w:rsidRPr="009C1F88" w:rsidRDefault="009605C3" w:rsidP="009605C3">
      <w:pPr>
        <w:spacing w:after="200" w:line="276" w:lineRule="auto"/>
        <w:ind w:left="900"/>
        <w:contextualSpacing/>
        <w:jc w:val="both"/>
        <w:rPr>
          <w:bCs/>
          <w:sz w:val="12"/>
          <w:szCs w:val="12"/>
          <w:lang w:val="ro-RO"/>
        </w:rPr>
      </w:pPr>
    </w:p>
    <w:p w:rsidR="004459A5" w:rsidRPr="009C1F88" w:rsidRDefault="004459A5" w:rsidP="00211D11">
      <w:pPr>
        <w:spacing w:before="120" w:after="120" w:line="276" w:lineRule="auto"/>
        <w:jc w:val="both"/>
        <w:rPr>
          <w:bCs/>
          <w:lang w:val="ro-RO"/>
        </w:rPr>
      </w:pPr>
      <w:r w:rsidRPr="009C1F88">
        <w:rPr>
          <w:bCs/>
          <w:lang w:val="ro-RO"/>
        </w:rPr>
        <w:t xml:space="preserve">Pe fundalul tehnologizării și luând în considerație faptul, că anumite </w:t>
      </w:r>
      <w:r w:rsidR="00A3694B" w:rsidRPr="009C1F88">
        <w:rPr>
          <w:bCs/>
          <w:lang w:val="ro-RO"/>
        </w:rPr>
        <w:t>segmente economice</w:t>
      </w:r>
      <w:r w:rsidRPr="009C1F88">
        <w:rPr>
          <w:bCs/>
          <w:lang w:val="ro-RO"/>
        </w:rPr>
        <w:t xml:space="preserve"> înguste a microprocesoarelor cu soft integrat a</w:t>
      </w:r>
      <w:r w:rsidR="00A3694B" w:rsidRPr="009C1F88">
        <w:rPr>
          <w:bCs/>
          <w:lang w:val="ro-RO"/>
        </w:rPr>
        <w:t>u</w:t>
      </w:r>
      <w:r w:rsidRPr="009C1F88">
        <w:rPr>
          <w:bCs/>
          <w:lang w:val="ro-RO"/>
        </w:rPr>
        <w:t xml:space="preserve"> perspective de dezvoltare în Republica Moldova (industria </w:t>
      </w:r>
      <w:proofErr w:type="spellStart"/>
      <w:r w:rsidRPr="009C1F88">
        <w:rPr>
          <w:bCs/>
          <w:lang w:val="ro-RO"/>
        </w:rPr>
        <w:t>automotive</w:t>
      </w:r>
      <w:proofErr w:type="spellEnd"/>
      <w:r w:rsidRPr="009C1F88">
        <w:rPr>
          <w:bCs/>
          <w:lang w:val="ro-RO"/>
        </w:rPr>
        <w:t xml:space="preserve">) se propune completarea </w:t>
      </w:r>
      <w:r w:rsidR="002A04F4" w:rsidRPr="009C1F88">
        <w:rPr>
          <w:bCs/>
          <w:lang w:val="ro-RO"/>
        </w:rPr>
        <w:t>art. 8 cu lit. l) activități de fabricare de microprocesoare.</w:t>
      </w:r>
    </w:p>
    <w:p w:rsidR="007574B9" w:rsidRPr="009C1F88" w:rsidRDefault="00062486" w:rsidP="00211D11">
      <w:pPr>
        <w:spacing w:before="120" w:after="120" w:line="276" w:lineRule="auto"/>
        <w:jc w:val="both"/>
        <w:rPr>
          <w:bCs/>
          <w:lang w:val="ro-MD"/>
        </w:rPr>
      </w:pPr>
      <w:r w:rsidRPr="009C1F88">
        <w:rPr>
          <w:bCs/>
          <w:lang w:val="ro-RO"/>
        </w:rPr>
        <w:t>În acest context,</w:t>
      </w:r>
      <w:r w:rsidR="002F3FA3" w:rsidRPr="009C1F88">
        <w:rPr>
          <w:bCs/>
          <w:lang w:val="ro-RO"/>
        </w:rPr>
        <w:t xml:space="preserve"> </w:t>
      </w:r>
      <w:r w:rsidR="00F23DAE" w:rsidRPr="009C1F88">
        <w:rPr>
          <w:bCs/>
          <w:lang w:val="ro-RO"/>
        </w:rPr>
        <w:t>parc</w:t>
      </w:r>
      <w:r w:rsidR="002F3FA3" w:rsidRPr="009C1F88">
        <w:rPr>
          <w:bCs/>
          <w:lang w:val="ro-RO"/>
        </w:rPr>
        <w:t>ul</w:t>
      </w:r>
      <w:r w:rsidR="00F23DAE" w:rsidRPr="009C1F88">
        <w:rPr>
          <w:bCs/>
          <w:lang w:val="ro-RO"/>
        </w:rPr>
        <w:t xml:space="preserve"> din industria tehnologiei informației </w:t>
      </w:r>
      <w:r w:rsidR="002F3FA3" w:rsidRPr="009C1F88">
        <w:rPr>
          <w:bCs/>
          <w:lang w:val="ro-RO"/>
        </w:rPr>
        <w:t>va</w:t>
      </w:r>
      <w:r w:rsidR="00F23DAE" w:rsidRPr="009C1F88">
        <w:rPr>
          <w:bCs/>
          <w:lang w:val="ro-RO"/>
        </w:rPr>
        <w:t xml:space="preserve"> oferi un mediu propice pentru </w:t>
      </w:r>
      <w:r w:rsidR="00AC3299" w:rsidRPr="009C1F88">
        <w:rPr>
          <w:bCs/>
          <w:lang w:val="ro-RO"/>
        </w:rPr>
        <w:t>cercetarea/</w:t>
      </w:r>
      <w:r w:rsidR="00F23DAE" w:rsidRPr="009C1F88">
        <w:rPr>
          <w:bCs/>
          <w:lang w:val="ro-RO"/>
        </w:rPr>
        <w:t xml:space="preserve">dezvoltarea businessului în domeniul TI, </w:t>
      </w:r>
      <w:r w:rsidR="00AC3299" w:rsidRPr="009C1F88">
        <w:rPr>
          <w:bCs/>
          <w:lang w:val="ro-RO"/>
        </w:rPr>
        <w:t>crearea produselor inovative în d</w:t>
      </w:r>
      <w:r w:rsidR="00AA3C22" w:rsidRPr="009C1F88">
        <w:rPr>
          <w:bCs/>
          <w:lang w:val="ro-RO"/>
        </w:rPr>
        <w:t>omeniu</w:t>
      </w:r>
      <w:r w:rsidR="00AC3299" w:rsidRPr="009C1F88">
        <w:rPr>
          <w:bCs/>
          <w:lang w:val="ro-RO"/>
        </w:rPr>
        <w:t xml:space="preserve"> biotehnologiei, inginerie electronice, </w:t>
      </w:r>
      <w:r w:rsidR="00F23DAE" w:rsidRPr="009C1F88">
        <w:rPr>
          <w:bCs/>
          <w:lang w:val="ro-RO"/>
        </w:rPr>
        <w:t xml:space="preserve">precum </w:t>
      </w:r>
      <w:proofErr w:type="spellStart"/>
      <w:r w:rsidR="00F23DAE" w:rsidRPr="009C1F88">
        <w:rPr>
          <w:bCs/>
          <w:lang w:val="ro-RO"/>
        </w:rPr>
        <w:t>şi</w:t>
      </w:r>
      <w:proofErr w:type="spellEnd"/>
      <w:r w:rsidR="00F23DAE" w:rsidRPr="009C1F88">
        <w:rPr>
          <w:bCs/>
          <w:lang w:val="ro-RO"/>
        </w:rPr>
        <w:t xml:space="preserve"> </w:t>
      </w:r>
      <w:r w:rsidR="002F3FA3" w:rsidRPr="009C1F88">
        <w:rPr>
          <w:bCs/>
          <w:lang w:val="ro-RO"/>
        </w:rPr>
        <w:t>atragerea specialiștilor</w:t>
      </w:r>
      <w:r w:rsidR="00F23DAE" w:rsidRPr="009C1F88">
        <w:rPr>
          <w:bCs/>
          <w:lang w:val="ro-RO"/>
        </w:rPr>
        <w:t xml:space="preserve"> </w:t>
      </w:r>
      <w:r w:rsidR="002F3FA3" w:rsidRPr="009C1F88">
        <w:rPr>
          <w:bCs/>
          <w:lang w:val="ro-RO"/>
        </w:rPr>
        <w:t>calificați</w:t>
      </w:r>
      <w:r w:rsidR="00F23DAE" w:rsidRPr="009C1F88">
        <w:rPr>
          <w:bCs/>
          <w:lang w:val="ro-RO"/>
        </w:rPr>
        <w:t xml:space="preserve"> în scopul elaborării</w:t>
      </w:r>
      <w:r w:rsidR="00AC3299" w:rsidRPr="009C1F88">
        <w:rPr>
          <w:bCs/>
          <w:lang w:val="ro-RO"/>
        </w:rPr>
        <w:t xml:space="preserve"> </w:t>
      </w:r>
      <w:proofErr w:type="spellStart"/>
      <w:r w:rsidR="00AC3299" w:rsidRPr="009C1F88">
        <w:rPr>
          <w:bCs/>
          <w:lang w:val="ro-RO"/>
        </w:rPr>
        <w:t>şi</w:t>
      </w:r>
      <w:proofErr w:type="spellEnd"/>
      <w:r w:rsidR="00AC3299" w:rsidRPr="009C1F88">
        <w:rPr>
          <w:bCs/>
          <w:lang w:val="ro-RO"/>
        </w:rPr>
        <w:t xml:space="preserve"> implementării produselor/</w:t>
      </w:r>
      <w:r w:rsidR="00F23DAE" w:rsidRPr="009C1F88">
        <w:rPr>
          <w:bCs/>
          <w:lang w:val="ro-RO"/>
        </w:rPr>
        <w:t xml:space="preserve">serviciilor TI competitive </w:t>
      </w:r>
      <w:r w:rsidR="002F3FA3" w:rsidRPr="009C1F88">
        <w:rPr>
          <w:bCs/>
          <w:lang w:val="ro-RO"/>
        </w:rPr>
        <w:t>atât</w:t>
      </w:r>
      <w:r w:rsidR="00F23DAE" w:rsidRPr="009C1F88">
        <w:rPr>
          <w:bCs/>
          <w:lang w:val="ro-RO"/>
        </w:rPr>
        <w:t xml:space="preserve"> pentru </w:t>
      </w:r>
      <w:r w:rsidR="002F3FA3" w:rsidRPr="009C1F88">
        <w:rPr>
          <w:bCs/>
          <w:lang w:val="ro-RO"/>
        </w:rPr>
        <w:t>piața</w:t>
      </w:r>
      <w:r w:rsidR="00F23DAE" w:rsidRPr="009C1F88">
        <w:rPr>
          <w:bCs/>
          <w:lang w:val="ro-RO"/>
        </w:rPr>
        <w:t xml:space="preserve"> locală, dar în special pentru cea externă.</w:t>
      </w:r>
    </w:p>
    <w:p w:rsidR="00BD08C5" w:rsidRPr="009C1F88" w:rsidRDefault="00CB359B" w:rsidP="00281332">
      <w:pPr>
        <w:pStyle w:val="NoSpacing"/>
        <w:rPr>
          <w:b/>
          <w:lang w:val="ro-RO"/>
        </w:rPr>
      </w:pPr>
      <w:r w:rsidRPr="009C1F88">
        <w:rPr>
          <w:lang w:val="ro-RO"/>
        </w:rPr>
        <w:t xml:space="preserve">O </w:t>
      </w:r>
      <w:r w:rsidR="00BD14ED" w:rsidRPr="009C1F88">
        <w:rPr>
          <w:lang w:val="ro-RO"/>
        </w:rPr>
        <w:t>completare</w:t>
      </w:r>
      <w:r w:rsidR="00A268A8" w:rsidRPr="009C1F88">
        <w:rPr>
          <w:lang w:val="ro-RO"/>
        </w:rPr>
        <w:t xml:space="preserve"> necesară vizează</w:t>
      </w:r>
      <w:r w:rsidR="00F440F2" w:rsidRPr="009C1F88">
        <w:rPr>
          <w:lang w:val="ro-RO"/>
        </w:rPr>
        <w:t xml:space="preserve"> </w:t>
      </w:r>
      <w:r w:rsidR="00A268A8" w:rsidRPr="009C1F88">
        <w:rPr>
          <w:lang w:val="ro-RO"/>
        </w:rPr>
        <w:t>scutirea rezidenților</w:t>
      </w:r>
      <w:r w:rsidR="00F440F2" w:rsidRPr="009C1F88">
        <w:rPr>
          <w:lang w:val="ro-RO"/>
        </w:rPr>
        <w:t xml:space="preserve"> parcu</w:t>
      </w:r>
      <w:r w:rsidR="00A268A8" w:rsidRPr="009C1F88">
        <w:rPr>
          <w:lang w:val="ro-RO"/>
        </w:rPr>
        <w:t>lui</w:t>
      </w:r>
      <w:r w:rsidR="00F440F2" w:rsidRPr="009C1F88">
        <w:rPr>
          <w:lang w:val="ro-RO"/>
        </w:rPr>
        <w:t xml:space="preserve"> </w:t>
      </w:r>
      <w:r w:rsidR="009D634E" w:rsidRPr="009C1F88">
        <w:rPr>
          <w:lang w:val="ro-RO"/>
        </w:rPr>
        <w:t>TI</w:t>
      </w:r>
      <w:r w:rsidR="00F440F2" w:rsidRPr="009C1F88">
        <w:rPr>
          <w:lang w:val="ro-RO"/>
        </w:rPr>
        <w:t xml:space="preserve"> de plata taxelor vamale și TVA la importul</w:t>
      </w:r>
      <w:r w:rsidR="00BD08C5" w:rsidRPr="009C1F88">
        <w:rPr>
          <w:lang w:val="ro-RO"/>
        </w:rPr>
        <w:t xml:space="preserve"> echipamentelor și softului</w:t>
      </w:r>
      <w:r w:rsidR="00A268A8" w:rsidRPr="009C1F88">
        <w:rPr>
          <w:lang w:val="ro-RO"/>
        </w:rPr>
        <w:t>,</w:t>
      </w:r>
      <w:r w:rsidR="00041FCB" w:rsidRPr="009C1F88">
        <w:rPr>
          <w:lang w:val="ro-RO"/>
        </w:rPr>
        <w:t xml:space="preserve"> </w:t>
      </w:r>
      <w:r w:rsidR="00BD08C5" w:rsidRPr="009C1F88">
        <w:rPr>
          <w:lang w:val="ro-RO"/>
        </w:rPr>
        <w:t>necesar</w:t>
      </w:r>
      <w:r w:rsidR="00F440F2" w:rsidRPr="009C1F88">
        <w:rPr>
          <w:lang w:val="ro-RO"/>
        </w:rPr>
        <w:t xml:space="preserve"> pentru realizarea genurilor de activitate</w:t>
      </w:r>
      <w:r w:rsidR="009D634E" w:rsidRPr="009C1F88">
        <w:rPr>
          <w:lang w:val="ro-RO"/>
        </w:rPr>
        <w:t>,</w:t>
      </w:r>
      <w:r w:rsidR="00F440F2" w:rsidRPr="009C1F88">
        <w:rPr>
          <w:lang w:val="ro-RO"/>
        </w:rPr>
        <w:t xml:space="preserve"> care pot fi </w:t>
      </w:r>
      <w:r w:rsidRPr="009C1F88">
        <w:rPr>
          <w:lang w:val="ro-RO"/>
        </w:rPr>
        <w:t>desfășurate</w:t>
      </w:r>
      <w:r w:rsidR="00F440F2" w:rsidRPr="009C1F88">
        <w:rPr>
          <w:lang w:val="ro-RO"/>
        </w:rPr>
        <w:t xml:space="preserve"> în parcurile </w:t>
      </w:r>
      <w:r w:rsidR="009D634E" w:rsidRPr="009C1F88">
        <w:rPr>
          <w:lang w:val="ro-RO"/>
        </w:rPr>
        <w:t>TI</w:t>
      </w:r>
      <w:r w:rsidR="00F440F2" w:rsidRPr="009C1F88">
        <w:rPr>
          <w:lang w:val="ro-RO"/>
        </w:rPr>
        <w:t xml:space="preserve">. </w:t>
      </w:r>
    </w:p>
    <w:p w:rsidR="00BD08C5" w:rsidRPr="009C1F88" w:rsidRDefault="00BD08C5" w:rsidP="00BD08C5">
      <w:pPr>
        <w:pStyle w:val="ListParagraph"/>
        <w:spacing w:before="120" w:after="240" w:line="276" w:lineRule="auto"/>
        <w:ind w:left="0"/>
        <w:jc w:val="both"/>
        <w:rPr>
          <w:b/>
          <w:bCs/>
          <w:sz w:val="12"/>
          <w:szCs w:val="12"/>
          <w:lang w:val="ro-RO"/>
        </w:rPr>
      </w:pPr>
    </w:p>
    <w:p w:rsidR="00041FCB" w:rsidRPr="009C1F88" w:rsidRDefault="00041FCB" w:rsidP="00BD08C5">
      <w:pPr>
        <w:pStyle w:val="ListParagraph"/>
        <w:spacing w:before="120" w:after="120" w:line="276" w:lineRule="auto"/>
        <w:ind w:left="0"/>
        <w:jc w:val="both"/>
        <w:rPr>
          <w:b/>
          <w:bCs/>
          <w:lang w:val="ro-RO"/>
        </w:rPr>
      </w:pPr>
      <w:r w:rsidRPr="009C1F88">
        <w:rPr>
          <w:b/>
          <w:bCs/>
          <w:lang w:val="ro-RO"/>
        </w:rPr>
        <w:t>Articolul 15 alineatul (1) se completează cu litera a)</w:t>
      </w:r>
      <w:r w:rsidRPr="009C1F88">
        <w:rPr>
          <w:b/>
          <w:bCs/>
          <w:vertAlign w:val="superscript"/>
          <w:lang w:val="ro-RO"/>
        </w:rPr>
        <w:t xml:space="preserve">1 </w:t>
      </w:r>
      <w:r w:rsidRPr="009C1F88">
        <w:rPr>
          <w:b/>
          <w:bCs/>
          <w:lang w:val="ro-RO"/>
        </w:rPr>
        <w:t>cu următorul conținut:</w:t>
      </w:r>
    </w:p>
    <w:p w:rsidR="00041FCB" w:rsidRPr="009C1F88" w:rsidRDefault="003B673D" w:rsidP="00211D11">
      <w:pPr>
        <w:spacing w:before="120" w:line="276" w:lineRule="auto"/>
        <w:jc w:val="both"/>
        <w:rPr>
          <w:bCs/>
          <w:lang w:val="ro-RO"/>
        </w:rPr>
      </w:pPr>
      <w:r w:rsidRPr="009C1F88">
        <w:rPr>
          <w:bCs/>
          <w:lang w:val="ro-RO"/>
        </w:rPr>
        <w:t>„a)</w:t>
      </w:r>
      <w:r w:rsidRPr="009C1F88">
        <w:rPr>
          <w:bCs/>
          <w:vertAlign w:val="superscript"/>
          <w:lang w:val="ro-RO"/>
        </w:rPr>
        <w:t>1</w:t>
      </w:r>
      <w:r w:rsidRPr="009C1F88">
        <w:rPr>
          <w:bCs/>
          <w:lang w:val="ro-RO"/>
        </w:rPr>
        <w:t xml:space="preserve"> scutirea de la plata taxelor vamale și TVA la importul tehnicii de calcul, produselor program, echipamentului de rețea, monitoarelor, precum și părților componente ale acestora</w:t>
      </w:r>
      <w:r w:rsidR="00F636B5" w:rsidRPr="009C1F88">
        <w:rPr>
          <w:bCs/>
          <w:lang w:val="ro-RO"/>
        </w:rPr>
        <w:t>,</w:t>
      </w:r>
      <w:r w:rsidRPr="009C1F88">
        <w:rPr>
          <w:bCs/>
          <w:lang w:val="ro-RO"/>
        </w:rPr>
        <w:t xml:space="preserve"> necesare pentru realizarea genurilor de</w:t>
      </w:r>
      <w:r w:rsidR="009D634E" w:rsidRPr="009C1F88">
        <w:rPr>
          <w:bCs/>
          <w:lang w:val="ro-RO"/>
        </w:rPr>
        <w:t xml:space="preserve"> activitate stipulate în art. 8</w:t>
      </w:r>
      <w:r w:rsidRPr="009C1F88">
        <w:rPr>
          <w:bCs/>
          <w:lang w:val="ro-RO"/>
        </w:rPr>
        <w:t xml:space="preserve">” </w:t>
      </w:r>
      <w:r w:rsidR="00041FCB" w:rsidRPr="009C1F88">
        <w:rPr>
          <w:bCs/>
          <w:lang w:val="ro-RO"/>
        </w:rPr>
        <w:t xml:space="preserve"> </w:t>
      </w:r>
    </w:p>
    <w:p w:rsidR="003868E4" w:rsidRPr="009C1F88" w:rsidRDefault="003868E4" w:rsidP="00211D11">
      <w:pPr>
        <w:spacing w:before="120" w:line="276" w:lineRule="auto"/>
        <w:jc w:val="both"/>
        <w:rPr>
          <w:bCs/>
          <w:i/>
          <w:lang w:val="ro-RO"/>
        </w:rPr>
      </w:pPr>
      <w:r w:rsidRPr="009C1F88">
        <w:rPr>
          <w:bCs/>
          <w:i/>
          <w:lang w:val="ro-RO"/>
        </w:rPr>
        <w:lastRenderedPageBreak/>
        <w:t>Descrierea situației:</w:t>
      </w:r>
    </w:p>
    <w:p w:rsidR="00F440F2" w:rsidRPr="009C1F88" w:rsidRDefault="00F440F2" w:rsidP="00B91E7D">
      <w:pPr>
        <w:spacing w:line="276" w:lineRule="auto"/>
        <w:jc w:val="both"/>
        <w:rPr>
          <w:bCs/>
          <w:lang w:val="ro-RO"/>
        </w:rPr>
      </w:pPr>
      <w:r w:rsidRPr="009C1F88">
        <w:rPr>
          <w:bCs/>
          <w:lang w:val="ro-RO"/>
        </w:rPr>
        <w:t>Conform modului general stabilit, pentru importul de mărfuri (bunuri) se percep următoarele drepturi de import:</w:t>
      </w:r>
    </w:p>
    <w:p w:rsidR="00F440F2" w:rsidRPr="009C1F88" w:rsidRDefault="00F440F2" w:rsidP="00211D11">
      <w:pPr>
        <w:pStyle w:val="ListParagraph"/>
        <w:numPr>
          <w:ilvl w:val="0"/>
          <w:numId w:val="9"/>
        </w:numPr>
        <w:tabs>
          <w:tab w:val="left" w:pos="450"/>
        </w:tabs>
        <w:spacing w:line="276" w:lineRule="auto"/>
        <w:jc w:val="both"/>
        <w:rPr>
          <w:bCs/>
          <w:lang w:val="ro-RO"/>
        </w:rPr>
      </w:pPr>
      <w:r w:rsidRPr="009C1F88">
        <w:rPr>
          <w:bCs/>
          <w:lang w:val="ro-RO"/>
        </w:rPr>
        <w:t xml:space="preserve">taxa vamală; </w:t>
      </w:r>
    </w:p>
    <w:p w:rsidR="00F440F2" w:rsidRPr="009C1F88" w:rsidRDefault="00F440F2" w:rsidP="00211D11">
      <w:pPr>
        <w:pStyle w:val="ListParagraph"/>
        <w:numPr>
          <w:ilvl w:val="0"/>
          <w:numId w:val="9"/>
        </w:numPr>
        <w:tabs>
          <w:tab w:val="left" w:pos="450"/>
        </w:tabs>
        <w:spacing w:line="276" w:lineRule="auto"/>
        <w:jc w:val="both"/>
        <w:rPr>
          <w:bCs/>
          <w:lang w:val="ro-RO"/>
        </w:rPr>
      </w:pPr>
      <w:r w:rsidRPr="009C1F88">
        <w:rPr>
          <w:bCs/>
          <w:lang w:val="ro-RO"/>
        </w:rPr>
        <w:t xml:space="preserve">taxa pe valoarea adăugată; </w:t>
      </w:r>
    </w:p>
    <w:p w:rsidR="00F440F2" w:rsidRPr="009C1F88" w:rsidRDefault="00F440F2" w:rsidP="00211D11">
      <w:pPr>
        <w:pStyle w:val="ListParagraph"/>
        <w:numPr>
          <w:ilvl w:val="0"/>
          <w:numId w:val="9"/>
        </w:numPr>
        <w:tabs>
          <w:tab w:val="left" w:pos="450"/>
        </w:tabs>
        <w:spacing w:line="276" w:lineRule="auto"/>
        <w:jc w:val="both"/>
        <w:rPr>
          <w:bCs/>
          <w:lang w:val="ro-RO"/>
        </w:rPr>
      </w:pPr>
      <w:r w:rsidRPr="009C1F88">
        <w:rPr>
          <w:bCs/>
          <w:lang w:val="ro-RO"/>
        </w:rPr>
        <w:t xml:space="preserve">accizele; </w:t>
      </w:r>
    </w:p>
    <w:p w:rsidR="00F440F2" w:rsidRPr="009C1F88" w:rsidRDefault="00F440F2" w:rsidP="00211D11">
      <w:pPr>
        <w:pStyle w:val="ListParagraph"/>
        <w:numPr>
          <w:ilvl w:val="0"/>
          <w:numId w:val="9"/>
        </w:numPr>
        <w:tabs>
          <w:tab w:val="left" w:pos="450"/>
        </w:tabs>
        <w:spacing w:line="276" w:lineRule="auto"/>
        <w:jc w:val="both"/>
        <w:rPr>
          <w:bCs/>
          <w:lang w:val="ro-RO"/>
        </w:rPr>
      </w:pPr>
      <w:r w:rsidRPr="009C1F88">
        <w:rPr>
          <w:bCs/>
          <w:lang w:val="ro-RO"/>
        </w:rPr>
        <w:t xml:space="preserve">taxa pentru proceduri vamale. </w:t>
      </w:r>
    </w:p>
    <w:p w:rsidR="00F440F2" w:rsidRPr="009C1F88" w:rsidRDefault="009D634E" w:rsidP="00211D11">
      <w:pPr>
        <w:spacing w:before="120" w:line="276" w:lineRule="auto"/>
        <w:jc w:val="both"/>
        <w:rPr>
          <w:bCs/>
          <w:lang w:val="ro-RO"/>
        </w:rPr>
      </w:pPr>
      <w:r w:rsidRPr="009C1F88">
        <w:rPr>
          <w:bCs/>
          <w:lang w:val="ro-RO"/>
        </w:rPr>
        <w:t>Cu toate că</w:t>
      </w:r>
      <w:r w:rsidR="00F440F2" w:rsidRPr="009C1F88">
        <w:rPr>
          <w:bCs/>
          <w:lang w:val="ro-RO"/>
        </w:rPr>
        <w:t xml:space="preserve">, </w:t>
      </w:r>
      <w:proofErr w:type="spellStart"/>
      <w:r w:rsidR="00F440F2" w:rsidRPr="009C1F88">
        <w:rPr>
          <w:bCs/>
          <w:lang w:val="ro-RO"/>
        </w:rPr>
        <w:t>legislaţia</w:t>
      </w:r>
      <w:proofErr w:type="spellEnd"/>
      <w:r w:rsidR="00F440F2" w:rsidRPr="009C1F88">
        <w:rPr>
          <w:bCs/>
          <w:lang w:val="ro-RO"/>
        </w:rPr>
        <w:t xml:space="preserve"> vamală </w:t>
      </w:r>
      <w:proofErr w:type="spellStart"/>
      <w:r w:rsidR="00F440F2" w:rsidRPr="009C1F88">
        <w:rPr>
          <w:bCs/>
          <w:lang w:val="ro-RO"/>
        </w:rPr>
        <w:t>şi</w:t>
      </w:r>
      <w:proofErr w:type="spellEnd"/>
      <w:r w:rsidR="00F440F2" w:rsidRPr="009C1F88">
        <w:rPr>
          <w:bCs/>
          <w:lang w:val="ro-RO"/>
        </w:rPr>
        <w:t xml:space="preserve"> fiscală actuală prevede anumite </w:t>
      </w:r>
      <w:r w:rsidRPr="009C1F88">
        <w:rPr>
          <w:bCs/>
          <w:lang w:val="ro-RO"/>
        </w:rPr>
        <w:t>facilități</w:t>
      </w:r>
      <w:r w:rsidR="00F440F2" w:rsidRPr="009C1F88">
        <w:rPr>
          <w:bCs/>
          <w:lang w:val="ro-RO"/>
        </w:rPr>
        <w:t xml:space="preserve"> la impo</w:t>
      </w:r>
      <w:r w:rsidRPr="009C1F88">
        <w:rPr>
          <w:bCs/>
          <w:lang w:val="ro-RO"/>
        </w:rPr>
        <w:t>rtul anumitor tipuri de bunuri, se consideră optimal sistematizarea lor în forma propusă și oferirea investitorilor a unei perspective mai clare. Facilități</w:t>
      </w:r>
      <w:r w:rsidR="00F440F2" w:rsidRPr="009C1F88">
        <w:rPr>
          <w:bCs/>
          <w:lang w:val="ro-RO"/>
        </w:rPr>
        <w:t xml:space="preserve"> tarifare sunt </w:t>
      </w:r>
      <w:r w:rsidRPr="009C1F88">
        <w:rPr>
          <w:bCs/>
          <w:lang w:val="ro-RO"/>
        </w:rPr>
        <w:t>desfășurate în</w:t>
      </w:r>
      <w:r w:rsidR="00F440F2" w:rsidRPr="009C1F88">
        <w:rPr>
          <w:bCs/>
          <w:lang w:val="ro-RO"/>
        </w:rPr>
        <w:t xml:space="preserve"> Legea nr. 1380 din 20.11.1997 cu privire la tariful vamal , iar </w:t>
      </w:r>
      <w:proofErr w:type="spellStart"/>
      <w:r w:rsidR="00F440F2" w:rsidRPr="009C1F88">
        <w:rPr>
          <w:bCs/>
          <w:lang w:val="ro-RO"/>
        </w:rPr>
        <w:t>facilităţi</w:t>
      </w:r>
      <w:proofErr w:type="spellEnd"/>
      <w:r w:rsidR="00F440F2" w:rsidRPr="009C1F88">
        <w:rPr>
          <w:bCs/>
          <w:lang w:val="ro-RO"/>
        </w:rPr>
        <w:t xml:space="preserve"> fiscale – prin </w:t>
      </w:r>
      <w:proofErr w:type="spellStart"/>
      <w:r w:rsidR="00F440F2" w:rsidRPr="009C1F88">
        <w:rPr>
          <w:bCs/>
          <w:lang w:val="ro-RO"/>
        </w:rPr>
        <w:t>legislaţia</w:t>
      </w:r>
      <w:proofErr w:type="spellEnd"/>
      <w:r w:rsidR="00F440F2" w:rsidRPr="009C1F88">
        <w:rPr>
          <w:bCs/>
          <w:lang w:val="ro-RO"/>
        </w:rPr>
        <w:t xml:space="preserve"> fiscală în vigoare.  </w:t>
      </w:r>
    </w:p>
    <w:p w:rsidR="00F440F2" w:rsidRPr="009C1F88" w:rsidRDefault="00F440F2" w:rsidP="00211D11">
      <w:pPr>
        <w:spacing w:before="120" w:line="276" w:lineRule="auto"/>
        <w:jc w:val="both"/>
        <w:rPr>
          <w:bCs/>
          <w:lang w:val="ro-RO"/>
        </w:rPr>
      </w:pPr>
      <w:r w:rsidRPr="009C1F88">
        <w:rPr>
          <w:bCs/>
          <w:lang w:val="ro-RO"/>
        </w:rPr>
        <w:t xml:space="preserve">Astfel, potrivit normelor aplicabile, importul activelor materiale pe termen lung destinate includerii în capitalul statutar este scutit de taxe vamale </w:t>
      </w:r>
      <w:proofErr w:type="spellStart"/>
      <w:r w:rsidRPr="009C1F88">
        <w:rPr>
          <w:bCs/>
          <w:lang w:val="ro-RO"/>
        </w:rPr>
        <w:t>şi</w:t>
      </w:r>
      <w:proofErr w:type="spellEnd"/>
      <w:r w:rsidRPr="009C1F88">
        <w:rPr>
          <w:bCs/>
          <w:lang w:val="ro-RO"/>
        </w:rPr>
        <w:t xml:space="preserve"> TVA. Norma respectivă a fost reintrodusă în anul 2014. </w:t>
      </w:r>
    </w:p>
    <w:p w:rsidR="00F440F2" w:rsidRPr="009C1F88" w:rsidRDefault="00F440F2" w:rsidP="00211D11">
      <w:pPr>
        <w:spacing w:before="120" w:line="276" w:lineRule="auto"/>
        <w:jc w:val="both"/>
        <w:rPr>
          <w:bCs/>
          <w:lang w:val="ro-RO"/>
        </w:rPr>
      </w:pPr>
      <w:r w:rsidRPr="009C1F88">
        <w:rPr>
          <w:bCs/>
          <w:lang w:val="ro-RO"/>
        </w:rPr>
        <w:t xml:space="preserve">Pentru a beneficia de această facilitate, companiile trebuie să asigure că aceste active întrunesc cumulativ următoarele </w:t>
      </w:r>
      <w:proofErr w:type="spellStart"/>
      <w:r w:rsidRPr="009C1F88">
        <w:rPr>
          <w:bCs/>
          <w:lang w:val="ro-RO"/>
        </w:rPr>
        <w:t>condiţii</w:t>
      </w:r>
      <w:proofErr w:type="spellEnd"/>
      <w:r w:rsidRPr="009C1F88">
        <w:rPr>
          <w:bCs/>
          <w:lang w:val="ro-RO"/>
        </w:rPr>
        <w:t>:</w:t>
      </w:r>
    </w:p>
    <w:p w:rsidR="00F440F2" w:rsidRPr="009C1F88" w:rsidRDefault="00F440F2" w:rsidP="00211D11">
      <w:pPr>
        <w:pStyle w:val="ListParagraph"/>
        <w:numPr>
          <w:ilvl w:val="0"/>
          <w:numId w:val="10"/>
        </w:numPr>
        <w:tabs>
          <w:tab w:val="left" w:pos="450"/>
        </w:tabs>
        <w:spacing w:before="120" w:line="276" w:lineRule="auto"/>
        <w:jc w:val="both"/>
        <w:rPr>
          <w:bCs/>
          <w:lang w:val="ro-RO"/>
        </w:rPr>
      </w:pPr>
      <w:r w:rsidRPr="009C1F88">
        <w:rPr>
          <w:bCs/>
          <w:lang w:val="ro-RO"/>
        </w:rPr>
        <w:t>sunt destinate includerii în capitalul statutar;</w:t>
      </w:r>
    </w:p>
    <w:p w:rsidR="00F440F2" w:rsidRPr="009C1F88" w:rsidRDefault="00F440F2" w:rsidP="00211D11">
      <w:pPr>
        <w:pStyle w:val="ListParagraph"/>
        <w:numPr>
          <w:ilvl w:val="0"/>
          <w:numId w:val="10"/>
        </w:numPr>
        <w:tabs>
          <w:tab w:val="left" w:pos="450"/>
        </w:tabs>
        <w:spacing w:before="120" w:line="276" w:lineRule="auto"/>
        <w:jc w:val="both"/>
        <w:rPr>
          <w:bCs/>
          <w:lang w:val="ro-RO"/>
        </w:rPr>
      </w:pPr>
      <w:r w:rsidRPr="009C1F88">
        <w:rPr>
          <w:bCs/>
          <w:lang w:val="ro-RO"/>
        </w:rPr>
        <w:t xml:space="preserve">sunt utilizate nemijlocit la fabricarea produselor, la prestarea serviciilor </w:t>
      </w:r>
      <w:proofErr w:type="spellStart"/>
      <w:r w:rsidRPr="009C1F88">
        <w:rPr>
          <w:bCs/>
          <w:lang w:val="ro-RO"/>
        </w:rPr>
        <w:t>şi</w:t>
      </w:r>
      <w:proofErr w:type="spellEnd"/>
      <w:r w:rsidRPr="009C1F88">
        <w:rPr>
          <w:bCs/>
          <w:lang w:val="ro-RO"/>
        </w:rPr>
        <w:t>/sau la executarea lucrărilor;</w:t>
      </w:r>
    </w:p>
    <w:p w:rsidR="00F440F2" w:rsidRPr="009C1F88" w:rsidRDefault="00F440F2" w:rsidP="00211D11">
      <w:pPr>
        <w:pStyle w:val="ListParagraph"/>
        <w:numPr>
          <w:ilvl w:val="0"/>
          <w:numId w:val="10"/>
        </w:numPr>
        <w:tabs>
          <w:tab w:val="left" w:pos="450"/>
        </w:tabs>
        <w:spacing w:before="120" w:line="276" w:lineRule="auto"/>
        <w:jc w:val="both"/>
        <w:rPr>
          <w:bCs/>
          <w:lang w:val="ro-RO"/>
        </w:rPr>
      </w:pPr>
      <w:r w:rsidRPr="009C1F88">
        <w:rPr>
          <w:bCs/>
          <w:lang w:val="ro-RO"/>
        </w:rPr>
        <w:t xml:space="preserve">uzura acestor active materiale se raportează la costul produselor fabricate, serviciilor prestate </w:t>
      </w:r>
      <w:proofErr w:type="spellStart"/>
      <w:r w:rsidRPr="009C1F88">
        <w:rPr>
          <w:bCs/>
          <w:lang w:val="ro-RO"/>
        </w:rPr>
        <w:t>şi</w:t>
      </w:r>
      <w:proofErr w:type="spellEnd"/>
      <w:r w:rsidRPr="009C1F88">
        <w:rPr>
          <w:bCs/>
          <w:lang w:val="ro-RO"/>
        </w:rPr>
        <w:t xml:space="preserve">/sau lucrărilor executate în procesul de producere, prestare a serviciilor </w:t>
      </w:r>
      <w:proofErr w:type="spellStart"/>
      <w:r w:rsidRPr="009C1F88">
        <w:rPr>
          <w:bCs/>
          <w:lang w:val="ro-RO"/>
        </w:rPr>
        <w:t>şi</w:t>
      </w:r>
      <w:proofErr w:type="spellEnd"/>
      <w:r w:rsidRPr="009C1F88">
        <w:rPr>
          <w:bCs/>
          <w:lang w:val="ro-RO"/>
        </w:rPr>
        <w:t>/sau executare a lucrărilor;</w:t>
      </w:r>
    </w:p>
    <w:p w:rsidR="00F440F2" w:rsidRPr="009C1F88" w:rsidRDefault="00F440F2" w:rsidP="00211D11">
      <w:pPr>
        <w:pStyle w:val="ListParagraph"/>
        <w:numPr>
          <w:ilvl w:val="0"/>
          <w:numId w:val="10"/>
        </w:numPr>
        <w:tabs>
          <w:tab w:val="left" w:pos="450"/>
        </w:tabs>
        <w:spacing w:before="120" w:line="276" w:lineRule="auto"/>
        <w:jc w:val="both"/>
        <w:rPr>
          <w:bCs/>
          <w:lang w:val="ro-RO"/>
        </w:rPr>
      </w:pPr>
      <w:r w:rsidRPr="009C1F88">
        <w:rPr>
          <w:bCs/>
          <w:lang w:val="ro-RO"/>
        </w:rPr>
        <w:t xml:space="preserve">aceste active nu vor fi comercializate, transmise în arendă, </w:t>
      </w:r>
      <w:proofErr w:type="spellStart"/>
      <w:r w:rsidRPr="009C1F88">
        <w:rPr>
          <w:bCs/>
          <w:lang w:val="ro-RO"/>
        </w:rPr>
        <w:t>locaţiune</w:t>
      </w:r>
      <w:proofErr w:type="spellEnd"/>
      <w:r w:rsidRPr="009C1F88">
        <w:rPr>
          <w:bCs/>
          <w:lang w:val="ro-RO"/>
        </w:rPr>
        <w:t xml:space="preserve">, uzufruct, leasing </w:t>
      </w:r>
      <w:proofErr w:type="spellStart"/>
      <w:r w:rsidRPr="009C1F88">
        <w:rPr>
          <w:bCs/>
          <w:lang w:val="ro-RO"/>
        </w:rPr>
        <w:t>operaţional</w:t>
      </w:r>
      <w:proofErr w:type="spellEnd"/>
      <w:r w:rsidRPr="009C1F88">
        <w:rPr>
          <w:bCs/>
          <w:lang w:val="ro-RO"/>
        </w:rPr>
        <w:t xml:space="preserve"> sau financiar pe parcursul a trei ani de la data validării </w:t>
      </w:r>
      <w:proofErr w:type="spellStart"/>
      <w:r w:rsidRPr="009C1F88">
        <w:rPr>
          <w:bCs/>
          <w:lang w:val="ro-RO"/>
        </w:rPr>
        <w:t>declaraţiei</w:t>
      </w:r>
      <w:proofErr w:type="spellEnd"/>
      <w:r w:rsidRPr="009C1F88">
        <w:rPr>
          <w:bCs/>
          <w:lang w:val="ro-RO"/>
        </w:rPr>
        <w:t xml:space="preserve"> vamale respective sau eliberării facturii fiscale. </w:t>
      </w:r>
    </w:p>
    <w:p w:rsidR="00F440F2" w:rsidRPr="009C1F88" w:rsidRDefault="00F440F2" w:rsidP="00211D11">
      <w:pPr>
        <w:spacing w:before="120" w:line="276" w:lineRule="auto"/>
        <w:jc w:val="both"/>
        <w:rPr>
          <w:bCs/>
          <w:lang w:val="ro-RO"/>
        </w:rPr>
      </w:pPr>
      <w:r w:rsidRPr="009C1F88">
        <w:rPr>
          <w:bCs/>
          <w:lang w:val="ro-RO"/>
        </w:rPr>
        <w:t xml:space="preserve">În cazul în care mărfurile sunt puse în liberă </w:t>
      </w:r>
      <w:proofErr w:type="spellStart"/>
      <w:r w:rsidRPr="009C1F88">
        <w:rPr>
          <w:bCs/>
          <w:lang w:val="ro-RO"/>
        </w:rPr>
        <w:t>circulaţie</w:t>
      </w:r>
      <w:proofErr w:type="spellEnd"/>
      <w:r w:rsidRPr="009C1F88">
        <w:rPr>
          <w:bCs/>
          <w:lang w:val="ro-RO"/>
        </w:rPr>
        <w:t xml:space="preserve"> cu acordarea </w:t>
      </w:r>
      <w:proofErr w:type="spellStart"/>
      <w:r w:rsidRPr="009C1F88">
        <w:rPr>
          <w:bCs/>
          <w:lang w:val="ro-RO"/>
        </w:rPr>
        <w:t>facilităţilor</w:t>
      </w:r>
      <w:proofErr w:type="spellEnd"/>
      <w:r w:rsidRPr="009C1F88">
        <w:rPr>
          <w:bCs/>
          <w:lang w:val="ro-RO"/>
        </w:rPr>
        <w:t xml:space="preserve"> fiscale </w:t>
      </w:r>
      <w:proofErr w:type="spellStart"/>
      <w:r w:rsidRPr="009C1F88">
        <w:rPr>
          <w:bCs/>
          <w:lang w:val="ro-RO"/>
        </w:rPr>
        <w:t>şi</w:t>
      </w:r>
      <w:proofErr w:type="spellEnd"/>
      <w:r w:rsidRPr="009C1F88">
        <w:rPr>
          <w:bCs/>
          <w:lang w:val="ro-RO"/>
        </w:rPr>
        <w:t xml:space="preserve"> vamale pe motivul </w:t>
      </w:r>
      <w:proofErr w:type="spellStart"/>
      <w:r w:rsidRPr="009C1F88">
        <w:rPr>
          <w:bCs/>
          <w:lang w:val="ro-RO"/>
        </w:rPr>
        <w:t>destinaţiei</w:t>
      </w:r>
      <w:proofErr w:type="spellEnd"/>
      <w:r w:rsidRPr="009C1F88">
        <w:rPr>
          <w:bCs/>
          <w:lang w:val="ro-RO"/>
        </w:rPr>
        <w:t xml:space="preserve"> lor finale, ele rămân sub supravegherea vamală </w:t>
      </w:r>
      <w:proofErr w:type="spellStart"/>
      <w:r w:rsidRPr="009C1F88">
        <w:rPr>
          <w:bCs/>
          <w:lang w:val="ro-RO"/>
        </w:rPr>
        <w:t>şi</w:t>
      </w:r>
      <w:proofErr w:type="spellEnd"/>
      <w:r w:rsidRPr="009C1F88">
        <w:rPr>
          <w:bCs/>
          <w:lang w:val="ro-RO"/>
        </w:rPr>
        <w:t xml:space="preserve"> pot fi supuse auditului </w:t>
      </w:r>
      <w:proofErr w:type="spellStart"/>
      <w:r w:rsidRPr="009C1F88">
        <w:rPr>
          <w:bCs/>
          <w:lang w:val="ro-RO"/>
        </w:rPr>
        <w:t>postvămuire</w:t>
      </w:r>
      <w:proofErr w:type="spellEnd"/>
      <w:r w:rsidRPr="009C1F88">
        <w:rPr>
          <w:bCs/>
          <w:lang w:val="ro-RO"/>
        </w:rPr>
        <w:t xml:space="preserve"> în curs de cinci ani după încetarea supravegherii vamale pentru scopul verificării respectării </w:t>
      </w:r>
      <w:proofErr w:type="spellStart"/>
      <w:r w:rsidRPr="009C1F88">
        <w:rPr>
          <w:bCs/>
          <w:lang w:val="ro-RO"/>
        </w:rPr>
        <w:t>cerinţelor</w:t>
      </w:r>
      <w:proofErr w:type="spellEnd"/>
      <w:r w:rsidRPr="009C1F88">
        <w:rPr>
          <w:bCs/>
          <w:lang w:val="ro-RO"/>
        </w:rPr>
        <w:t xml:space="preserve"> </w:t>
      </w:r>
      <w:proofErr w:type="spellStart"/>
      <w:r w:rsidRPr="009C1F88">
        <w:rPr>
          <w:bCs/>
          <w:lang w:val="ro-RO"/>
        </w:rPr>
        <w:t>legislaţiei</w:t>
      </w:r>
      <w:proofErr w:type="spellEnd"/>
      <w:r w:rsidRPr="009C1F88">
        <w:rPr>
          <w:bCs/>
          <w:lang w:val="ro-RO"/>
        </w:rPr>
        <w:t xml:space="preserve">.  </w:t>
      </w:r>
    </w:p>
    <w:p w:rsidR="00C976DB" w:rsidRPr="009C1F88" w:rsidRDefault="00F440F2" w:rsidP="003868E4">
      <w:pPr>
        <w:spacing w:before="120" w:after="120" w:line="276" w:lineRule="auto"/>
        <w:jc w:val="both"/>
        <w:rPr>
          <w:bCs/>
          <w:lang w:val="ro-RO"/>
        </w:rPr>
      </w:pPr>
      <w:r w:rsidRPr="009C1F88">
        <w:rPr>
          <w:bCs/>
          <w:lang w:val="ro-RO"/>
        </w:rPr>
        <w:t>Totodată, potrivit Legii cu privire la tariful vamal, unele tipuri de mărfuri sunt supu</w:t>
      </w:r>
      <w:bookmarkStart w:id="0" w:name="_Toc383075917"/>
      <w:bookmarkStart w:id="1" w:name="_Toc383525976"/>
      <w:r w:rsidR="00C976DB" w:rsidRPr="009C1F88">
        <w:rPr>
          <w:bCs/>
          <w:lang w:val="ro-RO"/>
        </w:rPr>
        <w:t xml:space="preserve">se tarifului vamal </w:t>
      </w:r>
      <w:bookmarkStart w:id="2" w:name="_GoBack"/>
      <w:r w:rsidR="00C976DB" w:rsidRPr="009C1F88">
        <w:rPr>
          <w:bCs/>
          <w:lang w:val="ro-RO"/>
        </w:rPr>
        <w:t>la cota zero.</w:t>
      </w:r>
    </w:p>
    <w:bookmarkEnd w:id="0"/>
    <w:bookmarkEnd w:id="1"/>
    <w:bookmarkEnd w:id="2"/>
    <w:p w:rsidR="004B5AA6" w:rsidRPr="009C1F88" w:rsidRDefault="004B5AA6" w:rsidP="003868E4">
      <w:pPr>
        <w:spacing w:after="120" w:line="276" w:lineRule="auto"/>
        <w:jc w:val="both"/>
        <w:rPr>
          <w:lang w:val="ro-RO" w:eastAsia="en-US"/>
        </w:rPr>
      </w:pPr>
      <w:r w:rsidRPr="009C1F88">
        <w:rPr>
          <w:lang w:val="ro-RO" w:eastAsia="en-US"/>
        </w:rPr>
        <w:t>Potrivit studiului „</w:t>
      </w:r>
      <w:proofErr w:type="spellStart"/>
      <w:r w:rsidRPr="009C1F88">
        <w:rPr>
          <w:lang w:val="ro-RO" w:eastAsia="en-US"/>
        </w:rPr>
        <w:t>Doing</w:t>
      </w:r>
      <w:proofErr w:type="spellEnd"/>
      <w:r w:rsidRPr="009C1F88">
        <w:rPr>
          <w:lang w:val="ro-RO" w:eastAsia="en-US"/>
        </w:rPr>
        <w:t xml:space="preserve"> Business 2014: </w:t>
      </w:r>
      <w:proofErr w:type="spellStart"/>
      <w:r w:rsidRPr="009C1F88">
        <w:rPr>
          <w:lang w:val="ro-RO" w:eastAsia="en-US"/>
        </w:rPr>
        <w:t>Understanding</w:t>
      </w:r>
      <w:proofErr w:type="spellEnd"/>
      <w:r w:rsidRPr="009C1F88">
        <w:rPr>
          <w:lang w:val="ro-RO" w:eastAsia="en-US"/>
        </w:rPr>
        <w:t xml:space="preserve"> </w:t>
      </w:r>
      <w:proofErr w:type="spellStart"/>
      <w:r w:rsidRPr="009C1F88">
        <w:rPr>
          <w:lang w:val="ro-RO" w:eastAsia="en-US"/>
        </w:rPr>
        <w:t>Smarter</w:t>
      </w:r>
      <w:proofErr w:type="spellEnd"/>
      <w:r w:rsidRPr="009C1F88">
        <w:rPr>
          <w:lang w:val="ro-RO" w:eastAsia="en-US"/>
        </w:rPr>
        <w:t xml:space="preserve"> </w:t>
      </w:r>
      <w:proofErr w:type="spellStart"/>
      <w:r w:rsidRPr="009C1F88">
        <w:rPr>
          <w:lang w:val="ro-RO" w:eastAsia="en-US"/>
        </w:rPr>
        <w:t>Regulations</w:t>
      </w:r>
      <w:proofErr w:type="spellEnd"/>
      <w:r w:rsidRPr="009C1F88">
        <w:rPr>
          <w:lang w:val="ro-RO" w:eastAsia="en-US"/>
        </w:rPr>
        <w:t xml:space="preserve"> for </w:t>
      </w:r>
      <w:proofErr w:type="spellStart"/>
      <w:r w:rsidRPr="009C1F88">
        <w:rPr>
          <w:lang w:val="ro-RO" w:eastAsia="en-US"/>
        </w:rPr>
        <w:t>Small</w:t>
      </w:r>
      <w:proofErr w:type="spellEnd"/>
      <w:r w:rsidRPr="009C1F88">
        <w:rPr>
          <w:lang w:val="ro-RO" w:eastAsia="en-US"/>
        </w:rPr>
        <w:t xml:space="preserve"> </w:t>
      </w:r>
      <w:proofErr w:type="spellStart"/>
      <w:r w:rsidRPr="009C1F88">
        <w:rPr>
          <w:lang w:val="ro-RO" w:eastAsia="en-US"/>
        </w:rPr>
        <w:t>and</w:t>
      </w:r>
      <w:proofErr w:type="spellEnd"/>
      <w:r w:rsidRPr="009C1F88">
        <w:rPr>
          <w:lang w:val="ro-RO" w:eastAsia="en-US"/>
        </w:rPr>
        <w:t xml:space="preserve"> Medium-</w:t>
      </w:r>
      <w:proofErr w:type="spellStart"/>
      <w:r w:rsidRPr="009C1F88">
        <w:rPr>
          <w:lang w:val="ro-RO" w:eastAsia="en-US"/>
        </w:rPr>
        <w:t>Size</w:t>
      </w:r>
      <w:proofErr w:type="spellEnd"/>
      <w:r w:rsidRPr="009C1F88">
        <w:rPr>
          <w:lang w:val="ro-RO" w:eastAsia="en-US"/>
        </w:rPr>
        <w:t xml:space="preserve"> Enterprises”</w:t>
      </w:r>
      <w:r w:rsidR="003868E4" w:rsidRPr="009C1F88">
        <w:rPr>
          <w:lang w:val="ro-RO" w:eastAsia="en-US"/>
        </w:rPr>
        <w:t>,</w:t>
      </w:r>
      <w:r w:rsidRPr="009C1F88">
        <w:rPr>
          <w:lang w:val="ro-RO" w:eastAsia="en-US"/>
        </w:rPr>
        <w:t xml:space="preserve"> elaborat de Banca M</w:t>
      </w:r>
      <w:r w:rsidR="00085A0C" w:rsidRPr="009C1F88">
        <w:rPr>
          <w:lang w:val="ro-RO" w:eastAsia="en-US"/>
        </w:rPr>
        <w:t>ondială, Republica Moldova ocupa</w:t>
      </w:r>
      <w:r w:rsidRPr="009C1F88">
        <w:rPr>
          <w:lang w:val="ro-RO" w:eastAsia="en-US"/>
        </w:rPr>
        <w:t xml:space="preserve"> locul 15</w:t>
      </w:r>
      <w:r w:rsidR="003868E4" w:rsidRPr="009C1F88">
        <w:rPr>
          <w:lang w:val="ro-RO" w:eastAsia="en-US"/>
        </w:rPr>
        <w:t>0 din 189 pentru simplitatea de</w:t>
      </w:r>
      <w:r w:rsidRPr="009C1F88">
        <w:rPr>
          <w:lang w:val="ro-RO" w:eastAsia="en-US"/>
        </w:rPr>
        <w:t xml:space="preserve"> efectuare a </w:t>
      </w:r>
      <w:proofErr w:type="spellStart"/>
      <w:r w:rsidRPr="009C1F88">
        <w:rPr>
          <w:lang w:val="ro-RO" w:eastAsia="en-US"/>
        </w:rPr>
        <w:t>comerţul</w:t>
      </w:r>
      <w:proofErr w:type="spellEnd"/>
      <w:r w:rsidRPr="009C1F88">
        <w:rPr>
          <w:lang w:val="ro-RO" w:eastAsia="en-US"/>
        </w:rPr>
        <w:t xml:space="preserve"> extern. Astfel, potrivit datelor furnizat</w:t>
      </w:r>
      <w:r w:rsidR="00085A0C" w:rsidRPr="009C1F88">
        <w:rPr>
          <w:lang w:val="ro-RO" w:eastAsia="en-US"/>
        </w:rPr>
        <w:t>e de acest studiu, o companie medie</w:t>
      </w:r>
      <w:r w:rsidRPr="009C1F88">
        <w:rPr>
          <w:lang w:val="ro-RO" w:eastAsia="en-US"/>
        </w:rPr>
        <w:t xml:space="preserve"> din Republica Moldova are nevoie în mediu de 35 de zile pentru a efectua import </w:t>
      </w:r>
      <w:proofErr w:type="spellStart"/>
      <w:r w:rsidRPr="009C1F88">
        <w:rPr>
          <w:lang w:val="ro-RO" w:eastAsia="en-US"/>
        </w:rPr>
        <w:t>şi</w:t>
      </w:r>
      <w:proofErr w:type="spellEnd"/>
      <w:r w:rsidRPr="009C1F88">
        <w:rPr>
          <w:lang w:val="ro-RO" w:eastAsia="en-US"/>
        </w:rPr>
        <w:t xml:space="preserve"> trebuie să suporte costuri de 1.870 dolari SUA pentru a importa un container. </w:t>
      </w:r>
    </w:p>
    <w:p w:rsidR="004B5AA6" w:rsidRPr="009C1F88" w:rsidRDefault="004B5AA6" w:rsidP="00B91E7D">
      <w:pPr>
        <w:spacing w:after="120" w:line="276" w:lineRule="auto"/>
        <w:jc w:val="both"/>
        <w:rPr>
          <w:lang w:val="ro-RO" w:eastAsia="en-US"/>
        </w:rPr>
      </w:pPr>
      <w:r w:rsidRPr="009C1F88">
        <w:rPr>
          <w:lang w:val="ro-RO" w:eastAsia="en-US"/>
        </w:rPr>
        <w:t xml:space="preserve">Activitatea companiilor din domeniul IT este strict legată de tehnologii </w:t>
      </w:r>
      <w:proofErr w:type="spellStart"/>
      <w:r w:rsidRPr="009C1F88">
        <w:rPr>
          <w:lang w:val="ro-RO" w:eastAsia="en-US"/>
        </w:rPr>
        <w:t>informaţionale</w:t>
      </w:r>
      <w:proofErr w:type="spellEnd"/>
      <w:r w:rsidRPr="009C1F88">
        <w:rPr>
          <w:lang w:val="ro-RO" w:eastAsia="en-US"/>
        </w:rPr>
        <w:t xml:space="preserve"> înalte. Echipamentele </w:t>
      </w:r>
      <w:proofErr w:type="spellStart"/>
      <w:r w:rsidRPr="009C1F88">
        <w:rPr>
          <w:lang w:val="ro-RO" w:eastAsia="en-US"/>
        </w:rPr>
        <w:t>şi</w:t>
      </w:r>
      <w:proofErr w:type="spellEnd"/>
      <w:r w:rsidRPr="009C1F88">
        <w:rPr>
          <w:lang w:val="ro-RO" w:eastAsia="en-US"/>
        </w:rPr>
        <w:t xml:space="preserve"> sistemele necesare pentru activitatea dată sunt supuse unei uzuri morale </w:t>
      </w:r>
      <w:r w:rsidR="00085A0C" w:rsidRPr="009C1F88">
        <w:rPr>
          <w:lang w:val="ro-RO" w:eastAsia="en-US"/>
        </w:rPr>
        <w:t>accelerate</w:t>
      </w:r>
      <w:r w:rsidRPr="009C1F88">
        <w:rPr>
          <w:lang w:val="ro-RO" w:eastAsia="en-US"/>
        </w:rPr>
        <w:t xml:space="preserve">. Astfel, pentru a fi competitivi, companiile care activează în domeniul IT  sunt nevoite să fie în pas cu cele mai recente dezvoltări tehnologice </w:t>
      </w:r>
      <w:proofErr w:type="spellStart"/>
      <w:r w:rsidRPr="009C1F88">
        <w:rPr>
          <w:lang w:val="ro-RO" w:eastAsia="en-US"/>
        </w:rPr>
        <w:t>şi</w:t>
      </w:r>
      <w:proofErr w:type="spellEnd"/>
      <w:r w:rsidRPr="009C1F88">
        <w:rPr>
          <w:lang w:val="ro-RO" w:eastAsia="en-US"/>
        </w:rPr>
        <w:t xml:space="preserve"> </w:t>
      </w:r>
      <w:proofErr w:type="spellStart"/>
      <w:r w:rsidRPr="009C1F88">
        <w:rPr>
          <w:lang w:val="ro-RO" w:eastAsia="en-US"/>
        </w:rPr>
        <w:t>informaţionale</w:t>
      </w:r>
      <w:proofErr w:type="spellEnd"/>
      <w:r w:rsidRPr="009C1F88">
        <w:rPr>
          <w:lang w:val="ro-RO" w:eastAsia="en-US"/>
        </w:rPr>
        <w:t xml:space="preserve">, </w:t>
      </w:r>
      <w:proofErr w:type="spellStart"/>
      <w:r w:rsidRPr="009C1F88">
        <w:rPr>
          <w:lang w:val="ro-RO" w:eastAsia="en-US"/>
        </w:rPr>
        <w:t>şi</w:t>
      </w:r>
      <w:proofErr w:type="spellEnd"/>
      <w:r w:rsidRPr="009C1F88">
        <w:rPr>
          <w:lang w:val="ro-RO" w:eastAsia="en-US"/>
        </w:rPr>
        <w:t xml:space="preserve"> periodic să-</w:t>
      </w:r>
      <w:proofErr w:type="spellStart"/>
      <w:r w:rsidRPr="009C1F88">
        <w:rPr>
          <w:lang w:val="ro-RO" w:eastAsia="en-US"/>
        </w:rPr>
        <w:t>şi</w:t>
      </w:r>
      <w:proofErr w:type="spellEnd"/>
      <w:r w:rsidRPr="009C1F88">
        <w:rPr>
          <w:lang w:val="ro-RO" w:eastAsia="en-US"/>
        </w:rPr>
        <w:t xml:space="preserve"> reînnoiască fondurile fixe. </w:t>
      </w:r>
    </w:p>
    <w:p w:rsidR="004B5AA6" w:rsidRPr="009C1F88" w:rsidRDefault="004B5AA6" w:rsidP="003868E4">
      <w:pPr>
        <w:spacing w:after="120" w:line="276" w:lineRule="auto"/>
        <w:jc w:val="both"/>
        <w:rPr>
          <w:lang w:val="ro-RO" w:eastAsia="en-US"/>
        </w:rPr>
      </w:pPr>
      <w:r w:rsidRPr="009C1F88">
        <w:rPr>
          <w:lang w:val="ro-RO" w:eastAsia="en-US"/>
        </w:rPr>
        <w:t xml:space="preserve">Aproape toate echipamente necesare pentru implementarea </w:t>
      </w:r>
      <w:proofErr w:type="spellStart"/>
      <w:r w:rsidRPr="009C1F88">
        <w:rPr>
          <w:lang w:val="ro-RO" w:eastAsia="en-US"/>
        </w:rPr>
        <w:t>activităţilor</w:t>
      </w:r>
      <w:proofErr w:type="spellEnd"/>
      <w:r w:rsidRPr="009C1F88">
        <w:rPr>
          <w:lang w:val="ro-RO" w:eastAsia="en-US"/>
        </w:rPr>
        <w:t xml:space="preserve"> din domeniul IT sunt importate în Moldova din alte </w:t>
      </w:r>
      <w:proofErr w:type="spellStart"/>
      <w:r w:rsidRPr="009C1F88">
        <w:rPr>
          <w:lang w:val="ro-RO" w:eastAsia="en-US"/>
        </w:rPr>
        <w:t>ţări</w:t>
      </w:r>
      <w:proofErr w:type="spellEnd"/>
      <w:r w:rsidRPr="009C1F88">
        <w:rPr>
          <w:lang w:val="ro-RO" w:eastAsia="en-US"/>
        </w:rPr>
        <w:t xml:space="preserve">. Respectiv, companiile IT suportă cheltuieli </w:t>
      </w:r>
      <w:proofErr w:type="spellStart"/>
      <w:r w:rsidRPr="009C1F88">
        <w:rPr>
          <w:lang w:val="ro-RO" w:eastAsia="en-US"/>
        </w:rPr>
        <w:t>adiţionale</w:t>
      </w:r>
      <w:proofErr w:type="spellEnd"/>
      <w:r w:rsidRPr="009C1F88">
        <w:rPr>
          <w:lang w:val="ro-RO" w:eastAsia="en-US"/>
        </w:rPr>
        <w:t xml:space="preserve"> la procurarea </w:t>
      </w:r>
      <w:r w:rsidRPr="009C1F88">
        <w:rPr>
          <w:lang w:val="ro-RO" w:eastAsia="en-US"/>
        </w:rPr>
        <w:lastRenderedPageBreak/>
        <w:t xml:space="preserve">fondurilor fixe </w:t>
      </w:r>
      <w:proofErr w:type="spellStart"/>
      <w:r w:rsidRPr="009C1F88">
        <w:rPr>
          <w:lang w:val="ro-RO" w:eastAsia="en-US"/>
        </w:rPr>
        <w:t>şi</w:t>
      </w:r>
      <w:proofErr w:type="spellEnd"/>
      <w:r w:rsidRPr="009C1F88">
        <w:rPr>
          <w:lang w:val="ro-RO" w:eastAsia="en-US"/>
        </w:rPr>
        <w:t xml:space="preserve"> accesoriilor aferente în formă de taxe vamale </w:t>
      </w:r>
      <w:r w:rsidR="00B9481F" w:rsidRPr="009C1F88">
        <w:rPr>
          <w:lang w:val="ro-RO" w:eastAsia="en-US"/>
        </w:rPr>
        <w:t>și</w:t>
      </w:r>
      <w:r w:rsidRPr="009C1F88">
        <w:rPr>
          <w:lang w:val="ro-RO" w:eastAsia="en-US"/>
        </w:rPr>
        <w:t xml:space="preserve"> taxe pentru proceduri vamale, având un impact semnificativ asupra fluxului mijloacelor </w:t>
      </w:r>
      <w:r w:rsidR="00B9481F" w:rsidRPr="009C1F88">
        <w:rPr>
          <w:lang w:val="ro-RO" w:eastAsia="en-US"/>
        </w:rPr>
        <w:t>bănești</w:t>
      </w:r>
      <w:r w:rsidRPr="009C1F88">
        <w:rPr>
          <w:lang w:val="ro-RO" w:eastAsia="en-US"/>
        </w:rPr>
        <w:t>.</w:t>
      </w:r>
    </w:p>
    <w:p w:rsidR="004B5AA6" w:rsidRPr="009C1F88" w:rsidRDefault="004B5AA6" w:rsidP="003868E4">
      <w:pPr>
        <w:spacing w:after="120" w:line="276" w:lineRule="auto"/>
        <w:jc w:val="both"/>
        <w:rPr>
          <w:lang w:val="ro-RO" w:eastAsia="en-US"/>
        </w:rPr>
      </w:pPr>
      <w:r w:rsidRPr="009C1F88">
        <w:rPr>
          <w:lang w:val="ro-RO" w:eastAsia="en-US"/>
        </w:rPr>
        <w:t xml:space="preserve">Mai mult decât atât, în prezent există multe provocări cu care se confruntă companiile din domeniul IT la importul bunurilor necesare pentru activitatea lor de bază, </w:t>
      </w:r>
      <w:r w:rsidR="00B9481F" w:rsidRPr="009C1F88">
        <w:rPr>
          <w:lang w:val="ro-RO" w:eastAsia="en-US"/>
        </w:rPr>
        <w:t>și</w:t>
      </w:r>
      <w:r w:rsidRPr="009C1F88">
        <w:rPr>
          <w:lang w:val="ro-RO" w:eastAsia="en-US"/>
        </w:rPr>
        <w:t xml:space="preserve"> anume:</w:t>
      </w:r>
    </w:p>
    <w:p w:rsidR="004B5AA6" w:rsidRPr="009C1F88" w:rsidRDefault="004B5AA6" w:rsidP="0028714C">
      <w:pPr>
        <w:numPr>
          <w:ilvl w:val="0"/>
          <w:numId w:val="4"/>
        </w:numPr>
        <w:spacing w:after="240" w:line="276" w:lineRule="auto"/>
        <w:ind w:left="810" w:hanging="450"/>
        <w:contextualSpacing/>
        <w:jc w:val="both"/>
        <w:rPr>
          <w:rFonts w:eastAsia="Calibri"/>
          <w:lang w:val="ro-RO" w:eastAsia="en-US"/>
        </w:rPr>
      </w:pPr>
      <w:r w:rsidRPr="009C1F88">
        <w:rPr>
          <w:rFonts w:eastAsia="Calibri"/>
          <w:lang w:val="ro-RO" w:eastAsia="en-US"/>
        </w:rPr>
        <w:t>politica neconsecventă de aplicare a taxelor vamale la importul de echipamente (de exemplu, pentru monitorul care este declarat parte componentă a calculatorului se aplică taxa vamală de 0%, iar pentru monitorul care se declară separat – taxa de 5%);</w:t>
      </w:r>
    </w:p>
    <w:p w:rsidR="004B5AA6" w:rsidRPr="009C1F88" w:rsidRDefault="00B9481F" w:rsidP="0028714C">
      <w:pPr>
        <w:numPr>
          <w:ilvl w:val="0"/>
          <w:numId w:val="4"/>
        </w:numPr>
        <w:spacing w:after="240" w:line="276" w:lineRule="auto"/>
        <w:ind w:left="810" w:hanging="450"/>
        <w:contextualSpacing/>
        <w:jc w:val="both"/>
        <w:rPr>
          <w:rFonts w:eastAsia="Calibri"/>
          <w:lang w:val="ro-RO" w:eastAsia="en-US"/>
        </w:rPr>
      </w:pPr>
      <w:r w:rsidRPr="009C1F88">
        <w:rPr>
          <w:rFonts w:eastAsia="Calibri"/>
          <w:lang w:val="ro-RO" w:eastAsia="en-US"/>
        </w:rPr>
        <w:t>dificultăți</w:t>
      </w:r>
      <w:r w:rsidR="004B5AA6" w:rsidRPr="009C1F88">
        <w:rPr>
          <w:rFonts w:eastAsia="Calibri"/>
          <w:lang w:val="ro-RO" w:eastAsia="en-US"/>
        </w:rPr>
        <w:t xml:space="preserve"> la atribuirea bunurilor importate la </w:t>
      </w:r>
      <w:r w:rsidRPr="009C1F88">
        <w:rPr>
          <w:rFonts w:eastAsia="Calibri"/>
          <w:lang w:val="ro-RO" w:eastAsia="en-US"/>
        </w:rPr>
        <w:t>poziții</w:t>
      </w:r>
      <w:r w:rsidR="004B5AA6" w:rsidRPr="009C1F88">
        <w:rPr>
          <w:rFonts w:eastAsia="Calibri"/>
          <w:lang w:val="ro-RO" w:eastAsia="en-US"/>
        </w:rPr>
        <w:t xml:space="preserve"> tarifare;</w:t>
      </w:r>
    </w:p>
    <w:p w:rsidR="004B5AA6" w:rsidRPr="009C1F88" w:rsidRDefault="004B5AA6" w:rsidP="0028714C">
      <w:pPr>
        <w:numPr>
          <w:ilvl w:val="0"/>
          <w:numId w:val="4"/>
        </w:numPr>
        <w:spacing w:after="240" w:line="276" w:lineRule="auto"/>
        <w:ind w:left="810" w:hanging="450"/>
        <w:contextualSpacing/>
        <w:jc w:val="both"/>
        <w:rPr>
          <w:rFonts w:eastAsia="Calibri"/>
          <w:lang w:val="ro-RO" w:eastAsia="en-US"/>
        </w:rPr>
      </w:pPr>
      <w:r w:rsidRPr="009C1F88">
        <w:rPr>
          <w:rFonts w:eastAsia="Calibri"/>
          <w:lang w:val="ro-RO" w:eastAsia="en-US"/>
        </w:rPr>
        <w:t xml:space="preserve">fenomenul de economie tenebră în ceea ce </w:t>
      </w:r>
      <w:r w:rsidR="00B9481F" w:rsidRPr="009C1F88">
        <w:rPr>
          <w:rFonts w:eastAsia="Calibri"/>
          <w:lang w:val="ro-RO" w:eastAsia="en-US"/>
        </w:rPr>
        <w:t>ține</w:t>
      </w:r>
      <w:r w:rsidRPr="009C1F88">
        <w:rPr>
          <w:rFonts w:eastAsia="Calibri"/>
          <w:lang w:val="ro-RO" w:eastAsia="en-US"/>
        </w:rPr>
        <w:t xml:space="preserve"> de importul bunurilor necesare pentru implementarea procesului IT.</w:t>
      </w:r>
    </w:p>
    <w:p w:rsidR="00085A0C" w:rsidRPr="009C1F88" w:rsidRDefault="004B5AA6" w:rsidP="00085A0C">
      <w:pPr>
        <w:spacing w:after="200" w:line="276" w:lineRule="auto"/>
        <w:contextualSpacing/>
        <w:jc w:val="both"/>
        <w:rPr>
          <w:rFonts w:eastAsia="Calibri"/>
          <w:lang w:val="ro-RO" w:eastAsia="en-US"/>
        </w:rPr>
      </w:pPr>
      <w:r w:rsidRPr="009C1F88">
        <w:rPr>
          <w:rFonts w:eastAsia="Calibri"/>
          <w:lang w:val="ro-RO" w:eastAsia="en-US"/>
        </w:rPr>
        <w:t xml:space="preserve">Ca urmare a provocărilor sus </w:t>
      </w:r>
      <w:r w:rsidR="00B9481F" w:rsidRPr="009C1F88">
        <w:rPr>
          <w:rFonts w:eastAsia="Calibri"/>
          <w:lang w:val="ro-RO" w:eastAsia="en-US"/>
        </w:rPr>
        <w:t>menționate</w:t>
      </w:r>
      <w:r w:rsidRPr="009C1F88">
        <w:rPr>
          <w:rFonts w:eastAsia="Calibri"/>
          <w:lang w:val="ro-RO" w:eastAsia="en-US"/>
        </w:rPr>
        <w:t xml:space="preserve">, companiile din domeniul IT se confruntă cu probleme care au un impact direct asupra </w:t>
      </w:r>
      <w:r w:rsidR="00B9481F" w:rsidRPr="009C1F88">
        <w:rPr>
          <w:rFonts w:eastAsia="Calibri"/>
          <w:lang w:val="ro-RO" w:eastAsia="en-US"/>
        </w:rPr>
        <w:t>activității</w:t>
      </w:r>
      <w:r w:rsidRPr="009C1F88">
        <w:rPr>
          <w:rFonts w:eastAsia="Calibri"/>
          <w:lang w:val="ro-RO" w:eastAsia="en-US"/>
        </w:rPr>
        <w:t xml:space="preserve"> lor de business.</w:t>
      </w:r>
      <w:r w:rsidR="00A31F65" w:rsidRPr="009C1F88">
        <w:rPr>
          <w:rFonts w:eastAsia="Calibri"/>
          <w:lang w:val="ro-RO" w:eastAsia="en-US"/>
        </w:rPr>
        <w:t xml:space="preserve"> </w:t>
      </w:r>
    </w:p>
    <w:p w:rsidR="00085A0C" w:rsidRPr="009C1F88" w:rsidRDefault="00B9481F" w:rsidP="00B9481F">
      <w:pPr>
        <w:pStyle w:val="ListParagraph"/>
        <w:numPr>
          <w:ilvl w:val="1"/>
          <w:numId w:val="19"/>
        </w:numPr>
        <w:spacing w:after="120" w:line="276" w:lineRule="auto"/>
        <w:ind w:left="720" w:hanging="720"/>
        <w:jc w:val="both"/>
        <w:rPr>
          <w:rFonts w:eastAsia="Calibri"/>
          <w:lang w:val="ro-RO" w:eastAsia="en-US"/>
        </w:rPr>
      </w:pPr>
      <w:r w:rsidRPr="009C1F88">
        <w:rPr>
          <w:rFonts w:eastAsia="Calibri"/>
          <w:lang w:val="ro-RO" w:eastAsia="en-US"/>
        </w:rPr>
        <w:t xml:space="preserve">O altă </w:t>
      </w:r>
      <w:r w:rsidR="00A268A8" w:rsidRPr="009C1F88">
        <w:rPr>
          <w:rFonts w:eastAsia="Calibri"/>
          <w:lang w:val="ro-RO" w:eastAsia="en-US"/>
        </w:rPr>
        <w:t>modificare</w:t>
      </w:r>
      <w:r w:rsidRPr="009C1F88">
        <w:rPr>
          <w:rFonts w:eastAsia="Calibri"/>
          <w:lang w:val="ro-RO" w:eastAsia="en-US"/>
        </w:rPr>
        <w:t xml:space="preserve"> se referă la modificarea art. 18 „Auditul obligatoriu”.</w:t>
      </w:r>
    </w:p>
    <w:p w:rsidR="00B9481F" w:rsidRPr="009C1F88" w:rsidRDefault="00B9481F" w:rsidP="00360A8E">
      <w:pPr>
        <w:spacing w:after="120" w:line="276" w:lineRule="auto"/>
        <w:jc w:val="both"/>
        <w:rPr>
          <w:rFonts w:eastAsia="Calibri"/>
          <w:lang w:val="ro-RO" w:eastAsia="en-US"/>
        </w:rPr>
      </w:pPr>
      <w:r w:rsidRPr="009C1F88">
        <w:rPr>
          <w:rFonts w:eastAsia="Calibri"/>
          <w:b/>
          <w:lang w:val="ro-RO" w:eastAsia="en-US"/>
        </w:rPr>
        <w:t xml:space="preserve">Articolul 18. „Audit obligatoriu” se expune în următoarea redacție </w:t>
      </w:r>
      <w:r w:rsidRPr="009C1F88">
        <w:rPr>
          <w:rFonts w:eastAsia="Calibri"/>
          <w:lang w:val="ro-RO" w:eastAsia="en-US"/>
        </w:rPr>
        <w:t xml:space="preserve">„Activitatea rezidenților parcului este supusă anual, în mod obligatoriu, verificării, conform standardelor internaționale din domeniul activității de audit, a îndeplinirii indicatorilor necesari pentru dobândirea și menținerea statutul rezidentului parcului pentru tehnologia informației. Verificarea este efectuată de către societățile de audit sau auditori calificați, selectați pe bază de concurs de către Administrația parcului conform criteriilor stabilite de aceasta. Rezultatele verificării se publică pe pagina web oficială a Ministerului Economiei și Infrastructurii, pe pagina web oficială a parcului </w:t>
      </w:r>
      <w:proofErr w:type="spellStart"/>
      <w:r w:rsidRPr="009C1F88">
        <w:rPr>
          <w:rFonts w:eastAsia="Calibri"/>
          <w:lang w:val="ro-RO" w:eastAsia="en-US"/>
        </w:rPr>
        <w:t>şi</w:t>
      </w:r>
      <w:proofErr w:type="spellEnd"/>
      <w:r w:rsidRPr="009C1F88">
        <w:rPr>
          <w:rFonts w:eastAsia="Calibri"/>
          <w:lang w:val="ro-RO" w:eastAsia="en-US"/>
        </w:rPr>
        <w:t xml:space="preserve"> pe portalul guvernamental unic de date deschise”.</w:t>
      </w:r>
    </w:p>
    <w:p w:rsidR="00B9481F" w:rsidRPr="009C1F88" w:rsidRDefault="00B9481F" w:rsidP="00360A8E">
      <w:pPr>
        <w:spacing w:line="276" w:lineRule="auto"/>
        <w:jc w:val="both"/>
        <w:rPr>
          <w:rFonts w:eastAsia="Calibri"/>
          <w:lang w:val="ro-RO" w:eastAsia="en-US"/>
        </w:rPr>
      </w:pPr>
      <w:r w:rsidRPr="009C1F88">
        <w:rPr>
          <w:rFonts w:eastAsia="Calibri"/>
          <w:lang w:val="ro-RO" w:eastAsia="en-US"/>
        </w:rPr>
        <w:t xml:space="preserve">Din definițiile </w:t>
      </w:r>
      <w:r w:rsidR="00360A8E" w:rsidRPr="009C1F88">
        <w:rPr>
          <w:rFonts w:eastAsia="Calibri"/>
          <w:lang w:val="ro-RO" w:eastAsia="en-US"/>
        </w:rPr>
        <w:t xml:space="preserve">Legii nr.61 din 16.03.2007 privind activitatea de audit și Legii contabilității nr. 113 din 27.04.2007 </w:t>
      </w:r>
      <w:r w:rsidRPr="009C1F88">
        <w:rPr>
          <w:rFonts w:eastAsia="Calibri"/>
          <w:lang w:val="ro-RO" w:eastAsia="en-US"/>
        </w:rPr>
        <w:t>rezultă caracterul general al auditului, care presupune exprimarea unei opinii de audit asupra întregului set de situații financiare și, deci, efectuarea procedurilor ce acoperă întreaga activitate a unei întreprinderi. Ca rezultat, efectuarea unui audit ar presupune:</w:t>
      </w:r>
    </w:p>
    <w:p w:rsidR="00B9481F" w:rsidRPr="009C1F88" w:rsidRDefault="00B9481F" w:rsidP="00360A8E">
      <w:pPr>
        <w:spacing w:line="276" w:lineRule="auto"/>
        <w:jc w:val="both"/>
        <w:rPr>
          <w:rFonts w:eastAsia="Calibri"/>
          <w:lang w:val="ro-RO" w:eastAsia="en-US"/>
        </w:rPr>
      </w:pPr>
      <w:r w:rsidRPr="009C1F88">
        <w:rPr>
          <w:rFonts w:eastAsia="Calibri"/>
          <w:lang w:val="ro-RO" w:eastAsia="en-US"/>
        </w:rPr>
        <w:t>1)</w:t>
      </w:r>
      <w:r w:rsidRPr="009C1F88">
        <w:rPr>
          <w:rFonts w:eastAsia="Calibri"/>
          <w:lang w:val="ro-RO" w:eastAsia="en-US"/>
        </w:rPr>
        <w:tab/>
        <w:t>costuri adiționale semnificative – pentru acoperirea, prin proceduri de audit, a întregii activități ale întreprinderii,</w:t>
      </w:r>
    </w:p>
    <w:p w:rsidR="00B9481F" w:rsidRPr="009C1F88" w:rsidRDefault="00B9481F" w:rsidP="00360A8E">
      <w:pPr>
        <w:spacing w:after="120" w:line="276" w:lineRule="auto"/>
        <w:jc w:val="both"/>
        <w:rPr>
          <w:rFonts w:eastAsia="Calibri"/>
          <w:lang w:val="ro-RO" w:eastAsia="en-US"/>
        </w:rPr>
      </w:pPr>
      <w:r w:rsidRPr="009C1F88">
        <w:rPr>
          <w:rFonts w:eastAsia="Calibri"/>
          <w:lang w:val="ro-RO" w:eastAsia="en-US"/>
        </w:rPr>
        <w:t>2)</w:t>
      </w:r>
      <w:r w:rsidRPr="009C1F88">
        <w:rPr>
          <w:rFonts w:eastAsia="Calibri"/>
          <w:lang w:val="ro-RO" w:eastAsia="en-US"/>
        </w:rPr>
        <w:tab/>
        <w:t>opinia de audit constituie o exprimare auditorului asupra conformității situațiilor financiare cu standardele relevante de raportare și realitatea informației prezentate.</w:t>
      </w:r>
    </w:p>
    <w:p w:rsidR="00B9481F" w:rsidRPr="009C1F88" w:rsidRDefault="00B9481F" w:rsidP="00360A8E">
      <w:pPr>
        <w:spacing w:line="276" w:lineRule="auto"/>
        <w:jc w:val="both"/>
        <w:rPr>
          <w:rFonts w:eastAsia="Calibri"/>
          <w:lang w:val="ro-RO" w:eastAsia="en-US"/>
        </w:rPr>
      </w:pPr>
      <w:r w:rsidRPr="009C1F88">
        <w:rPr>
          <w:rFonts w:eastAsia="Calibri"/>
          <w:lang w:val="ro-RO" w:eastAsia="en-US"/>
        </w:rPr>
        <w:t>Totodată, Legea nr.77 din 21.04.2016 setează o listă de indicatori ce trebuie îndepliniți pentru dobândirea și menținerea statutului de rezident al unui parc pentru tehnologia informației:</w:t>
      </w:r>
    </w:p>
    <w:p w:rsidR="00B9481F" w:rsidRPr="009C1F88" w:rsidRDefault="00360A8E" w:rsidP="00360A8E">
      <w:pPr>
        <w:spacing w:line="276" w:lineRule="auto"/>
        <w:jc w:val="both"/>
        <w:rPr>
          <w:rFonts w:eastAsia="Calibri"/>
          <w:lang w:val="ro-RO" w:eastAsia="en-US"/>
        </w:rPr>
      </w:pPr>
      <w:r w:rsidRPr="009C1F88">
        <w:rPr>
          <w:rFonts w:eastAsia="Calibri"/>
          <w:lang w:val="ro-RO" w:eastAsia="en-US"/>
        </w:rPr>
        <w:t>a)</w:t>
      </w:r>
      <w:r w:rsidRPr="009C1F88">
        <w:rPr>
          <w:rFonts w:eastAsia="Calibri"/>
          <w:lang w:val="ro-RO" w:eastAsia="en-US"/>
        </w:rPr>
        <w:tab/>
      </w:r>
      <w:r w:rsidR="00B9481F" w:rsidRPr="009C1F88">
        <w:rPr>
          <w:rFonts w:eastAsia="Calibri"/>
          <w:lang w:val="ro-RO" w:eastAsia="en-US"/>
        </w:rPr>
        <w:t xml:space="preserve">Articolul 2 din activitate principală – activitate care generează 70% sau mai mult din venitul din </w:t>
      </w:r>
      <w:proofErr w:type="spellStart"/>
      <w:r w:rsidR="00B9481F" w:rsidRPr="009C1F88">
        <w:rPr>
          <w:rFonts w:eastAsia="Calibri"/>
          <w:lang w:val="ro-RO" w:eastAsia="en-US"/>
        </w:rPr>
        <w:t>vînzări</w:t>
      </w:r>
      <w:proofErr w:type="spellEnd"/>
      <w:r w:rsidR="00B9481F" w:rsidRPr="009C1F88">
        <w:rPr>
          <w:rFonts w:eastAsia="Calibri"/>
          <w:lang w:val="ro-RO" w:eastAsia="en-US"/>
        </w:rPr>
        <w:t xml:space="preserve"> al rezidentului parcului.</w:t>
      </w:r>
    </w:p>
    <w:p w:rsidR="00B9481F" w:rsidRPr="009C1F88" w:rsidRDefault="00B9481F" w:rsidP="00360A8E">
      <w:pPr>
        <w:spacing w:line="276" w:lineRule="auto"/>
        <w:jc w:val="both"/>
        <w:rPr>
          <w:rFonts w:eastAsia="Calibri"/>
          <w:lang w:val="ro-RO" w:eastAsia="en-US"/>
        </w:rPr>
      </w:pPr>
      <w:r w:rsidRPr="009C1F88">
        <w:rPr>
          <w:rFonts w:eastAsia="Calibri"/>
          <w:lang w:val="ro-RO" w:eastAsia="en-US"/>
        </w:rPr>
        <w:t>b)</w:t>
      </w:r>
      <w:r w:rsidRPr="009C1F88">
        <w:rPr>
          <w:rFonts w:eastAsia="Calibri"/>
          <w:lang w:val="ro-RO" w:eastAsia="en-US"/>
        </w:rPr>
        <w:tab/>
        <w:t xml:space="preserve">Articolul 8 din Legea sus menționată stipulează care sunt activitățile principale </w:t>
      </w:r>
      <w:proofErr w:type="spellStart"/>
      <w:r w:rsidRPr="009C1F88">
        <w:rPr>
          <w:rFonts w:eastAsia="Calibri"/>
          <w:lang w:val="ro-RO" w:eastAsia="en-US"/>
        </w:rPr>
        <w:t>desfăşurate</w:t>
      </w:r>
      <w:proofErr w:type="spellEnd"/>
      <w:r w:rsidRPr="009C1F88">
        <w:rPr>
          <w:rFonts w:eastAsia="Calibri"/>
          <w:lang w:val="ro-RO" w:eastAsia="en-US"/>
        </w:rPr>
        <w:t xml:space="preserve"> în parc.</w:t>
      </w:r>
    </w:p>
    <w:p w:rsidR="00B9481F" w:rsidRPr="009C1F88" w:rsidRDefault="00B9481F" w:rsidP="00360A8E">
      <w:pPr>
        <w:spacing w:line="276" w:lineRule="auto"/>
        <w:jc w:val="both"/>
        <w:rPr>
          <w:rFonts w:eastAsia="Calibri"/>
          <w:lang w:val="ro-RO" w:eastAsia="en-US"/>
        </w:rPr>
      </w:pPr>
      <w:r w:rsidRPr="009C1F88">
        <w:rPr>
          <w:rFonts w:eastAsia="Calibri"/>
          <w:lang w:val="ro-RO" w:eastAsia="en-US"/>
        </w:rPr>
        <w:t>c)</w:t>
      </w:r>
      <w:r w:rsidRPr="009C1F88">
        <w:rPr>
          <w:rFonts w:eastAsia="Calibri"/>
          <w:lang w:val="ro-RO" w:eastAsia="en-US"/>
        </w:rPr>
        <w:tab/>
        <w:t xml:space="preserve">Articolul 15 al Legii nr.77 din 21.04.2016 prevede obligarea rezidentului parcului să achite impozitul în mărime de 7% din venitul din vânzări, care însă nu va fi sub suma minimă stabilită. Suma minimă a impozitului unic perceput de la rezidenții parcurilor pentru tehnologia informației se va determina lunar per angajat </w:t>
      </w:r>
      <w:proofErr w:type="spellStart"/>
      <w:r w:rsidRPr="009C1F88">
        <w:rPr>
          <w:rFonts w:eastAsia="Calibri"/>
          <w:lang w:val="ro-RO" w:eastAsia="en-US"/>
        </w:rPr>
        <w:t>şi</w:t>
      </w:r>
      <w:proofErr w:type="spellEnd"/>
      <w:r w:rsidRPr="009C1F88">
        <w:rPr>
          <w:rFonts w:eastAsia="Calibri"/>
          <w:lang w:val="ro-RO" w:eastAsia="en-US"/>
        </w:rPr>
        <w:t xml:space="preserve"> va constitui 30% din cuantumul salariului mediu lunar pe economie, prognozat pentru anul aferent perioadei fiscale a impozitului respectiv.</w:t>
      </w:r>
    </w:p>
    <w:p w:rsidR="00B9481F" w:rsidRPr="009C1F88" w:rsidRDefault="00B9481F" w:rsidP="00360A8E">
      <w:pPr>
        <w:spacing w:after="120" w:line="276" w:lineRule="auto"/>
        <w:jc w:val="both"/>
        <w:rPr>
          <w:rFonts w:eastAsia="Calibri"/>
          <w:lang w:val="ro-RO" w:eastAsia="en-US"/>
        </w:rPr>
      </w:pPr>
      <w:r w:rsidRPr="009C1F88">
        <w:rPr>
          <w:rFonts w:eastAsia="Calibri"/>
          <w:lang w:val="ro-RO" w:eastAsia="en-US"/>
        </w:rPr>
        <w:t xml:space="preserve">Prin urmare, în baza celor menționate mai sus, rezidenții parcului sunt obligați să respecte și urmează să fie verificați de auditori doar în ceia ce privește: venitul din vânzări din activitățile principale să fie nu mai mic de 70%, plata impozitului unic de 7%, dar nu mai mic de minimum stabilit în legislație, </w:t>
      </w:r>
      <w:r w:rsidRPr="009C1F88">
        <w:rPr>
          <w:rFonts w:eastAsia="Calibri"/>
          <w:lang w:val="ro-RO" w:eastAsia="en-US"/>
        </w:rPr>
        <w:lastRenderedPageBreak/>
        <w:t>confirmarea genului de activitate, stabilirea numărului de angajați (care au lucrat cel puțin 1 zi pe parcursul lunii).</w:t>
      </w:r>
    </w:p>
    <w:p w:rsidR="00B9481F" w:rsidRPr="009C1F88" w:rsidRDefault="00B9481F" w:rsidP="00360A8E">
      <w:pPr>
        <w:spacing w:after="120" w:line="276" w:lineRule="auto"/>
        <w:jc w:val="both"/>
        <w:rPr>
          <w:rFonts w:eastAsia="Calibri"/>
          <w:lang w:val="ro-RO" w:eastAsia="en-US"/>
        </w:rPr>
      </w:pPr>
      <w:r w:rsidRPr="009C1F88">
        <w:rPr>
          <w:rFonts w:eastAsia="Calibri"/>
          <w:lang w:val="ro-RO" w:eastAsia="en-US"/>
        </w:rPr>
        <w:t xml:space="preserve">Furnizarea informației cu astfel de indicatori se regăsește inclusiv în Regulamentul de înregistrare a rezidenților parcului pentru tehnologia informației „Moldova IT </w:t>
      </w:r>
      <w:proofErr w:type="spellStart"/>
      <w:r w:rsidRPr="009C1F88">
        <w:rPr>
          <w:rFonts w:eastAsia="Calibri"/>
          <w:lang w:val="ro-RO" w:eastAsia="en-US"/>
        </w:rPr>
        <w:t>park</w:t>
      </w:r>
      <w:proofErr w:type="spellEnd"/>
      <w:r w:rsidRPr="009C1F88">
        <w:rPr>
          <w:rFonts w:eastAsia="Calibri"/>
          <w:lang w:val="ro-RO" w:eastAsia="en-US"/>
        </w:rPr>
        <w:t xml:space="preserve">” al </w:t>
      </w:r>
      <w:r w:rsidR="00360A8E" w:rsidRPr="009C1F88">
        <w:rPr>
          <w:rFonts w:eastAsia="Calibri"/>
          <w:lang w:val="ro-RO" w:eastAsia="en-US"/>
        </w:rPr>
        <w:t>Hotărârii</w:t>
      </w:r>
      <w:r w:rsidRPr="009C1F88">
        <w:rPr>
          <w:rFonts w:eastAsia="Calibri"/>
          <w:lang w:val="ro-RO" w:eastAsia="en-US"/>
        </w:rPr>
        <w:t xml:space="preserve"> Guvernului nr.1144 din 20.12.2017 și în special, modul de raportare a rezidenților Parcului către Administrația Parcului.</w:t>
      </w:r>
    </w:p>
    <w:p w:rsidR="00B9481F" w:rsidRPr="009C1F88" w:rsidRDefault="00B9481F" w:rsidP="00360A8E">
      <w:pPr>
        <w:spacing w:after="120" w:line="276" w:lineRule="auto"/>
        <w:jc w:val="both"/>
        <w:rPr>
          <w:rFonts w:eastAsia="Calibri"/>
          <w:lang w:val="ro-RO" w:eastAsia="en-US"/>
        </w:rPr>
      </w:pPr>
      <w:r w:rsidRPr="009C1F88">
        <w:rPr>
          <w:rFonts w:eastAsia="Calibri"/>
          <w:lang w:val="ro-RO" w:eastAsia="en-US"/>
        </w:rPr>
        <w:t xml:space="preserve">Astfel, efectuarea verificării indicatorilor de mai sus presupune în sine o </w:t>
      </w:r>
      <w:r w:rsidR="00360A8E" w:rsidRPr="009C1F88">
        <w:rPr>
          <w:rFonts w:eastAsia="Calibri"/>
          <w:lang w:val="ro-RO" w:eastAsia="en-US"/>
        </w:rPr>
        <w:t xml:space="preserve">procedură cu caracter de audit </w:t>
      </w:r>
      <w:r w:rsidRPr="009C1F88">
        <w:rPr>
          <w:rFonts w:eastAsia="Calibri"/>
          <w:lang w:val="ro-RO" w:eastAsia="en-US"/>
        </w:rPr>
        <w:t xml:space="preserve">unor elemente specifice ale situațiilor financiare anuale, efectuat de către societățile de audit sau auditori calificați, conform unor criterii stabilite. Astfel de proceduri sunt prevăzute de Standardul Internațional de Audit ISA 805 „Considerente speciale – audituri ale componentelor individuale ale </w:t>
      </w:r>
      <w:r w:rsidR="00360A8E" w:rsidRPr="009C1F88">
        <w:rPr>
          <w:rFonts w:eastAsia="Calibri"/>
          <w:lang w:val="ro-RO" w:eastAsia="en-US"/>
        </w:rPr>
        <w:t>situațiilor</w:t>
      </w:r>
      <w:r w:rsidRPr="009C1F88">
        <w:rPr>
          <w:rFonts w:eastAsia="Calibri"/>
          <w:lang w:val="ro-RO" w:eastAsia="en-US"/>
        </w:rPr>
        <w:t xml:space="preserve"> financiare, elementelor specifice, conturi sau aspecte ale </w:t>
      </w:r>
      <w:r w:rsidR="00360A8E" w:rsidRPr="009C1F88">
        <w:rPr>
          <w:rFonts w:eastAsia="Calibri"/>
          <w:lang w:val="ro-RO" w:eastAsia="en-US"/>
        </w:rPr>
        <w:t>situațiilor</w:t>
      </w:r>
      <w:r w:rsidRPr="009C1F88">
        <w:rPr>
          <w:rFonts w:eastAsia="Calibri"/>
          <w:lang w:val="ro-RO" w:eastAsia="en-US"/>
        </w:rPr>
        <w:t xml:space="preserve"> financiare de audit” sau ISRS 4400 Misiuni pe baza procedurilor convenite privind informațiile financiare.”</w:t>
      </w:r>
    </w:p>
    <w:p w:rsidR="00B9481F" w:rsidRPr="009C1F88" w:rsidRDefault="00B9481F" w:rsidP="00B9481F">
      <w:pPr>
        <w:spacing w:after="200" w:line="276" w:lineRule="auto"/>
        <w:jc w:val="both"/>
        <w:rPr>
          <w:rFonts w:eastAsia="Calibri"/>
          <w:lang w:val="ro-RO" w:eastAsia="en-US"/>
        </w:rPr>
      </w:pPr>
      <w:r w:rsidRPr="009C1F88">
        <w:rPr>
          <w:rFonts w:eastAsia="Calibri"/>
          <w:lang w:val="ro-RO" w:eastAsia="en-US"/>
        </w:rPr>
        <w:t>Modificarea propusă aduce un caracter de concretizare a procedurilor de verificare care urmează a fi efectuate, cu concretizarea standardului exact ISA 805 sau ISRS 4400 la etapa ulterioară prin consultări cu autoritatea de reglementare din domeniu.</w:t>
      </w:r>
    </w:p>
    <w:p w:rsidR="00A16731" w:rsidRPr="009C1F88" w:rsidRDefault="008A0521" w:rsidP="00085A0C">
      <w:pPr>
        <w:pStyle w:val="ListParagraph"/>
        <w:numPr>
          <w:ilvl w:val="0"/>
          <w:numId w:val="19"/>
        </w:numPr>
        <w:spacing w:after="200" w:line="276" w:lineRule="auto"/>
        <w:ind w:firstLine="0"/>
        <w:jc w:val="both"/>
        <w:rPr>
          <w:rFonts w:eastAsia="Calibri"/>
          <w:lang w:val="ro-RO" w:eastAsia="en-US"/>
        </w:rPr>
      </w:pPr>
      <w:r w:rsidRPr="009C1F88">
        <w:rPr>
          <w:rFonts w:eastAsia="Calibri"/>
          <w:b/>
          <w:i/>
          <w:lang w:val="ro-RO" w:eastAsia="en-US"/>
        </w:rPr>
        <w:t>Impactul proiectului</w:t>
      </w:r>
    </w:p>
    <w:p w:rsidR="00211D11" w:rsidRPr="009C1F88" w:rsidRDefault="008A0521" w:rsidP="00211D11">
      <w:pPr>
        <w:spacing w:after="120" w:line="276" w:lineRule="auto"/>
        <w:jc w:val="both"/>
        <w:rPr>
          <w:rFonts w:eastAsia="Calibri"/>
          <w:lang w:val="ro-RO" w:eastAsia="en-US"/>
        </w:rPr>
      </w:pPr>
      <w:r w:rsidRPr="009C1F88">
        <w:rPr>
          <w:rFonts w:eastAsia="Calibri"/>
          <w:lang w:val="ro-RO" w:eastAsia="en-US"/>
        </w:rPr>
        <w:t xml:space="preserve">Adoptarea prezentului proiect de lege are ca și impact consolidarea celui mai important activ al industriei – capitalul uman – în vederea asigurării avantajelor competitive ale Moldovei în această industrie, </w:t>
      </w:r>
      <w:r w:rsidR="00A31F65" w:rsidRPr="009C1F88">
        <w:rPr>
          <w:rFonts w:eastAsia="Calibri"/>
          <w:lang w:val="ro-RO" w:eastAsia="en-US"/>
        </w:rPr>
        <w:t xml:space="preserve">precum și </w:t>
      </w:r>
      <w:r w:rsidRPr="009C1F88">
        <w:rPr>
          <w:rFonts w:eastAsia="Calibri"/>
          <w:lang w:val="ro-RO" w:eastAsia="en-US"/>
        </w:rPr>
        <w:t>îmbunătățir</w:t>
      </w:r>
      <w:r w:rsidR="00A31F65" w:rsidRPr="009C1F88">
        <w:rPr>
          <w:rFonts w:eastAsia="Calibri"/>
          <w:lang w:val="ro-RO" w:eastAsia="en-US"/>
        </w:rPr>
        <w:t>ea</w:t>
      </w:r>
      <w:r w:rsidRPr="009C1F88">
        <w:rPr>
          <w:rFonts w:eastAsia="Calibri"/>
          <w:lang w:val="ro-RO" w:eastAsia="en-US"/>
        </w:rPr>
        <w:t xml:space="preserve"> mecanismului de dezvoltare al activității companiilor din sectorul </w:t>
      </w:r>
      <w:r w:rsidR="00A31F65" w:rsidRPr="009C1F88">
        <w:rPr>
          <w:rFonts w:eastAsia="Calibri"/>
          <w:lang w:val="ro-RO" w:eastAsia="en-US"/>
        </w:rPr>
        <w:t>TI.</w:t>
      </w:r>
      <w:r w:rsidRPr="009C1F88">
        <w:rPr>
          <w:rFonts w:eastAsia="Calibri"/>
          <w:lang w:val="ro-RO" w:eastAsia="en-US"/>
        </w:rPr>
        <w:t xml:space="preserve"> </w:t>
      </w:r>
      <w:r w:rsidR="00A31F65" w:rsidRPr="009C1F88">
        <w:rPr>
          <w:rFonts w:eastAsia="Calibri"/>
          <w:lang w:val="ro-RO" w:eastAsia="en-US"/>
        </w:rPr>
        <w:t>Implementarea proiectului de față va avea următorul impact</w:t>
      </w:r>
      <w:r w:rsidR="00211D11" w:rsidRPr="009C1F88">
        <w:rPr>
          <w:rFonts w:eastAsia="Calibri"/>
          <w:lang w:val="ro-RO" w:eastAsia="en-US"/>
        </w:rPr>
        <w:t xml:space="preserve"> cantitativ și calitativ:</w:t>
      </w:r>
    </w:p>
    <w:p w:rsidR="00211D11" w:rsidRPr="009C1F88" w:rsidRDefault="004B5AA6" w:rsidP="00211D11">
      <w:pPr>
        <w:spacing w:after="120" w:line="276" w:lineRule="auto"/>
        <w:jc w:val="both"/>
        <w:rPr>
          <w:rFonts w:eastAsia="Calibri"/>
          <w:lang w:val="ro-RO" w:eastAsia="en-US"/>
        </w:rPr>
      </w:pPr>
      <w:r w:rsidRPr="009C1F88">
        <w:rPr>
          <w:rFonts w:eastAsia="Calibri"/>
          <w:lang w:val="ro-RO" w:eastAsia="en-US"/>
        </w:rPr>
        <w:t xml:space="preserve">Scutirea de plata taxelor vamale la importul monitoarelor, tehnicii de calcul, echipamentului de </w:t>
      </w:r>
      <w:proofErr w:type="spellStart"/>
      <w:r w:rsidRPr="009C1F88">
        <w:rPr>
          <w:rFonts w:eastAsia="Calibri"/>
          <w:lang w:val="ro-RO" w:eastAsia="en-US"/>
        </w:rPr>
        <w:t>reţea</w:t>
      </w:r>
      <w:proofErr w:type="spellEnd"/>
      <w:r w:rsidRPr="009C1F88">
        <w:rPr>
          <w:rFonts w:eastAsia="Calibri"/>
          <w:lang w:val="ro-RO" w:eastAsia="en-US"/>
        </w:rPr>
        <w:t xml:space="preserve">, </w:t>
      </w:r>
      <w:proofErr w:type="spellStart"/>
      <w:r w:rsidRPr="009C1F88">
        <w:rPr>
          <w:rFonts w:eastAsia="Calibri"/>
          <w:lang w:val="ro-RO" w:eastAsia="en-US"/>
        </w:rPr>
        <w:t>părţilor</w:t>
      </w:r>
      <w:proofErr w:type="spellEnd"/>
      <w:r w:rsidRPr="009C1F88">
        <w:rPr>
          <w:rFonts w:eastAsia="Calibri"/>
          <w:lang w:val="ro-RO" w:eastAsia="en-US"/>
        </w:rPr>
        <w:t xml:space="preserve"> componente ale acestora, precum </w:t>
      </w:r>
      <w:proofErr w:type="spellStart"/>
      <w:r w:rsidRPr="009C1F88">
        <w:rPr>
          <w:rFonts w:eastAsia="Calibri"/>
          <w:lang w:val="ro-RO" w:eastAsia="en-US"/>
        </w:rPr>
        <w:t>şi</w:t>
      </w:r>
      <w:proofErr w:type="spellEnd"/>
      <w:r w:rsidRPr="009C1F88">
        <w:rPr>
          <w:rFonts w:eastAsia="Calibri"/>
          <w:lang w:val="ro-RO" w:eastAsia="en-US"/>
        </w:rPr>
        <w:t xml:space="preserve"> echipamentelor accesorii necesare pentru realizarea genurilor de activitate care pot fi </w:t>
      </w:r>
      <w:proofErr w:type="spellStart"/>
      <w:r w:rsidRPr="009C1F88">
        <w:rPr>
          <w:rFonts w:eastAsia="Calibri"/>
          <w:lang w:val="ro-RO" w:eastAsia="en-US"/>
        </w:rPr>
        <w:t>desfăşurate</w:t>
      </w:r>
      <w:proofErr w:type="spellEnd"/>
      <w:r w:rsidRPr="009C1F88">
        <w:rPr>
          <w:rFonts w:eastAsia="Calibri"/>
          <w:lang w:val="ro-RO" w:eastAsia="en-US"/>
        </w:rPr>
        <w:t xml:space="preserve"> în parcurile </w:t>
      </w:r>
      <w:r w:rsidR="00211D11" w:rsidRPr="009C1F88">
        <w:rPr>
          <w:rFonts w:eastAsia="Calibri"/>
          <w:lang w:val="ro-RO" w:eastAsia="en-US"/>
        </w:rPr>
        <w:t>TI</w:t>
      </w:r>
      <w:r w:rsidRPr="009C1F88">
        <w:rPr>
          <w:rFonts w:eastAsia="Calibri"/>
          <w:lang w:val="ro-RO" w:eastAsia="en-US"/>
        </w:rPr>
        <w:t xml:space="preserve">, va avea ca </w:t>
      </w:r>
      <w:proofErr w:type="spellStart"/>
      <w:r w:rsidRPr="009C1F88">
        <w:rPr>
          <w:rFonts w:eastAsia="Calibri"/>
          <w:lang w:val="ro-RO" w:eastAsia="en-US"/>
        </w:rPr>
        <w:t>şi</w:t>
      </w:r>
      <w:proofErr w:type="spellEnd"/>
      <w:r w:rsidRPr="009C1F88">
        <w:rPr>
          <w:rFonts w:eastAsia="Calibri"/>
          <w:lang w:val="ro-RO" w:eastAsia="en-US"/>
        </w:rPr>
        <w:t xml:space="preserve"> efect diminuarea încasărilor anuale aferente taxelor vamale la buget cu cel </w:t>
      </w:r>
      <w:proofErr w:type="spellStart"/>
      <w:r w:rsidRPr="009C1F88">
        <w:rPr>
          <w:rFonts w:eastAsia="Calibri"/>
          <w:lang w:val="ro-RO" w:eastAsia="en-US"/>
        </w:rPr>
        <w:t>puţin</w:t>
      </w:r>
      <w:proofErr w:type="spellEnd"/>
      <w:r w:rsidRPr="009C1F88">
        <w:rPr>
          <w:rFonts w:eastAsia="Calibri"/>
          <w:lang w:val="ro-RO" w:eastAsia="en-US"/>
        </w:rPr>
        <w:t xml:space="preserve"> 2.160 mii de lei. </w:t>
      </w:r>
    </w:p>
    <w:p w:rsidR="00211D11" w:rsidRPr="009C1F88" w:rsidRDefault="00211D11" w:rsidP="00211D11">
      <w:pPr>
        <w:spacing w:after="120" w:line="276" w:lineRule="auto"/>
        <w:jc w:val="both"/>
        <w:rPr>
          <w:rFonts w:eastAsia="Calibri"/>
          <w:lang w:val="ro-RO" w:eastAsia="en-US"/>
        </w:rPr>
      </w:pPr>
      <w:r w:rsidRPr="009C1F88">
        <w:rPr>
          <w:rFonts w:eastAsia="Calibri"/>
          <w:lang w:val="ro-RO" w:eastAsia="en-US"/>
        </w:rPr>
        <w:t>Introducerea scutirii de plata taxelor vamale va reprezenta pentru rezidenții parcurilor TI o posibilitate de a-</w:t>
      </w:r>
      <w:proofErr w:type="spellStart"/>
      <w:r w:rsidRPr="009C1F88">
        <w:rPr>
          <w:rFonts w:eastAsia="Calibri"/>
          <w:lang w:val="ro-RO" w:eastAsia="en-US"/>
        </w:rPr>
        <w:t>şi</w:t>
      </w:r>
      <w:proofErr w:type="spellEnd"/>
      <w:r w:rsidRPr="009C1F88">
        <w:rPr>
          <w:rFonts w:eastAsia="Calibri"/>
          <w:lang w:val="ro-RO" w:eastAsia="en-US"/>
        </w:rPr>
        <w:t xml:space="preserve"> reduce costurile la importul de bunuri indispensabile activităților desfășurate. </w:t>
      </w:r>
    </w:p>
    <w:p w:rsidR="00211D11" w:rsidRPr="009C1F88" w:rsidRDefault="00211D11" w:rsidP="00211D11">
      <w:pPr>
        <w:spacing w:after="120" w:line="276" w:lineRule="auto"/>
        <w:jc w:val="both"/>
        <w:rPr>
          <w:rFonts w:eastAsia="Calibri"/>
          <w:lang w:val="ro-RO" w:eastAsia="en-US"/>
        </w:rPr>
      </w:pPr>
      <w:r w:rsidRPr="009C1F88">
        <w:rPr>
          <w:rFonts w:eastAsia="Calibri"/>
          <w:lang w:val="ro-RO" w:eastAsia="en-US"/>
        </w:rPr>
        <w:t xml:space="preserve">Astfel, introducerea scutirii de taxele vamale la importul bunurilor necesare pentru </w:t>
      </w:r>
      <w:proofErr w:type="spellStart"/>
      <w:r w:rsidRPr="009C1F88">
        <w:rPr>
          <w:rFonts w:eastAsia="Calibri"/>
          <w:lang w:val="ro-RO" w:eastAsia="en-US"/>
        </w:rPr>
        <w:t>desfăşurarea</w:t>
      </w:r>
      <w:proofErr w:type="spellEnd"/>
      <w:r w:rsidRPr="009C1F88">
        <w:rPr>
          <w:rFonts w:eastAsia="Calibri"/>
          <w:lang w:val="ro-RO" w:eastAsia="en-US"/>
        </w:rPr>
        <w:t xml:space="preserve"> </w:t>
      </w:r>
      <w:proofErr w:type="spellStart"/>
      <w:r w:rsidRPr="009C1F88">
        <w:rPr>
          <w:rFonts w:eastAsia="Calibri"/>
          <w:lang w:val="ro-RO" w:eastAsia="en-US"/>
        </w:rPr>
        <w:t>activităţilor</w:t>
      </w:r>
      <w:proofErr w:type="spellEnd"/>
      <w:r w:rsidRPr="009C1F88">
        <w:rPr>
          <w:rFonts w:eastAsia="Calibri"/>
          <w:lang w:val="ro-RO" w:eastAsia="en-US"/>
        </w:rPr>
        <w:t xml:space="preserve"> permise pentru </w:t>
      </w:r>
      <w:proofErr w:type="spellStart"/>
      <w:r w:rsidRPr="009C1F88">
        <w:rPr>
          <w:rFonts w:eastAsia="Calibri"/>
          <w:lang w:val="ro-RO" w:eastAsia="en-US"/>
        </w:rPr>
        <w:t>rezidenţii</w:t>
      </w:r>
      <w:proofErr w:type="spellEnd"/>
      <w:r w:rsidRPr="009C1F88">
        <w:rPr>
          <w:rFonts w:eastAsia="Calibri"/>
          <w:lang w:val="ro-RO" w:eastAsia="en-US"/>
        </w:rPr>
        <w:t xml:space="preserve"> parcurilor TI, va determina</w:t>
      </w:r>
      <w:r w:rsidR="002266F1" w:rsidRPr="009C1F88">
        <w:rPr>
          <w:rFonts w:eastAsia="Calibri"/>
          <w:lang w:val="ro-RO" w:eastAsia="en-US"/>
        </w:rPr>
        <w:t xml:space="preserve"> simplificarea procedurilor și va stimula genurile de activitate desfășurate în parcurile TI ce în final vor avea impact general asupra economiei naționale, promovării investițiilor, cercetării și inovării TI</w:t>
      </w:r>
      <w:r w:rsidRPr="009C1F88">
        <w:rPr>
          <w:rFonts w:eastAsia="Calibri"/>
          <w:lang w:val="ro-RO" w:eastAsia="en-US"/>
        </w:rPr>
        <w:t xml:space="preserve">. Totodată, această oportunitate ar avea un impact direct asupra </w:t>
      </w:r>
      <w:proofErr w:type="spellStart"/>
      <w:r w:rsidRPr="009C1F88">
        <w:rPr>
          <w:rFonts w:eastAsia="Calibri"/>
          <w:lang w:val="ro-RO" w:eastAsia="en-US"/>
        </w:rPr>
        <w:t>competitivităţii</w:t>
      </w:r>
      <w:proofErr w:type="spellEnd"/>
      <w:r w:rsidRPr="009C1F88">
        <w:rPr>
          <w:rFonts w:eastAsia="Calibri"/>
          <w:lang w:val="ro-RO" w:eastAsia="en-US"/>
        </w:rPr>
        <w:t xml:space="preserve"> produselor </w:t>
      </w:r>
      <w:proofErr w:type="spellStart"/>
      <w:r w:rsidRPr="009C1F88">
        <w:rPr>
          <w:rFonts w:eastAsia="Calibri"/>
          <w:lang w:val="ro-RO" w:eastAsia="en-US"/>
        </w:rPr>
        <w:t>rezidenţilor</w:t>
      </w:r>
      <w:proofErr w:type="spellEnd"/>
      <w:r w:rsidRPr="009C1F88">
        <w:rPr>
          <w:rFonts w:eastAsia="Calibri"/>
          <w:lang w:val="ro-RO" w:eastAsia="en-US"/>
        </w:rPr>
        <w:t xml:space="preserve"> parcurilor TI atât pe </w:t>
      </w:r>
      <w:proofErr w:type="spellStart"/>
      <w:r w:rsidRPr="009C1F88">
        <w:rPr>
          <w:rFonts w:eastAsia="Calibri"/>
          <w:lang w:val="ro-RO" w:eastAsia="en-US"/>
        </w:rPr>
        <w:t>piaţa</w:t>
      </w:r>
      <w:proofErr w:type="spellEnd"/>
      <w:r w:rsidRPr="009C1F88">
        <w:rPr>
          <w:rFonts w:eastAsia="Calibri"/>
          <w:lang w:val="ro-RO" w:eastAsia="en-US"/>
        </w:rPr>
        <w:t xml:space="preserve"> </w:t>
      </w:r>
      <w:proofErr w:type="spellStart"/>
      <w:r w:rsidRPr="009C1F88">
        <w:rPr>
          <w:rFonts w:eastAsia="Calibri"/>
          <w:lang w:val="ro-RO" w:eastAsia="en-US"/>
        </w:rPr>
        <w:t>naţională</w:t>
      </w:r>
      <w:proofErr w:type="spellEnd"/>
      <w:r w:rsidRPr="009C1F88">
        <w:rPr>
          <w:rFonts w:eastAsia="Calibri"/>
          <w:lang w:val="ro-RO" w:eastAsia="en-US"/>
        </w:rPr>
        <w:t xml:space="preserve">, atât </w:t>
      </w:r>
      <w:proofErr w:type="spellStart"/>
      <w:r w:rsidRPr="009C1F88">
        <w:rPr>
          <w:rFonts w:eastAsia="Calibri"/>
          <w:lang w:val="ro-RO" w:eastAsia="en-US"/>
        </w:rPr>
        <w:t>şi</w:t>
      </w:r>
      <w:proofErr w:type="spellEnd"/>
      <w:r w:rsidRPr="009C1F88">
        <w:rPr>
          <w:rFonts w:eastAsia="Calibri"/>
          <w:lang w:val="ro-RO" w:eastAsia="en-US"/>
        </w:rPr>
        <w:t xml:space="preserve"> pe </w:t>
      </w:r>
      <w:proofErr w:type="spellStart"/>
      <w:r w:rsidRPr="009C1F88">
        <w:rPr>
          <w:rFonts w:eastAsia="Calibri"/>
          <w:lang w:val="ro-RO" w:eastAsia="en-US"/>
        </w:rPr>
        <w:t>piaţa</w:t>
      </w:r>
      <w:proofErr w:type="spellEnd"/>
      <w:r w:rsidRPr="009C1F88">
        <w:rPr>
          <w:rFonts w:eastAsia="Calibri"/>
          <w:lang w:val="ro-RO" w:eastAsia="en-US"/>
        </w:rPr>
        <w:t xml:space="preserve"> </w:t>
      </w:r>
      <w:proofErr w:type="spellStart"/>
      <w:r w:rsidRPr="009C1F88">
        <w:rPr>
          <w:rFonts w:eastAsia="Calibri"/>
          <w:lang w:val="ro-RO" w:eastAsia="en-US"/>
        </w:rPr>
        <w:t>internaţională</w:t>
      </w:r>
      <w:proofErr w:type="spellEnd"/>
      <w:r w:rsidRPr="009C1F88">
        <w:rPr>
          <w:rFonts w:eastAsia="Calibri"/>
          <w:lang w:val="ro-RO" w:eastAsia="en-US"/>
        </w:rPr>
        <w:t xml:space="preserve">. </w:t>
      </w:r>
    </w:p>
    <w:p w:rsidR="00211D11" w:rsidRPr="009C1F88" w:rsidRDefault="00211D11" w:rsidP="00211D11">
      <w:pPr>
        <w:spacing w:after="200" w:line="276" w:lineRule="auto"/>
        <w:jc w:val="both"/>
        <w:rPr>
          <w:rFonts w:eastAsia="Calibri"/>
          <w:lang w:val="ro-RO" w:eastAsia="en-US"/>
        </w:rPr>
      </w:pPr>
      <w:r w:rsidRPr="009C1F88">
        <w:rPr>
          <w:rFonts w:eastAsia="Calibri"/>
          <w:lang w:val="ro-RO" w:eastAsia="en-US"/>
        </w:rPr>
        <w:t xml:space="preserve">Mai mult decât atât, scutirea de plata TVA la importurile respective va avea un impact pozitiv asupra gestionării fluxului mijloacelor </w:t>
      </w:r>
      <w:proofErr w:type="spellStart"/>
      <w:r w:rsidRPr="009C1F88">
        <w:rPr>
          <w:rFonts w:eastAsia="Calibri"/>
          <w:lang w:val="ro-RO" w:eastAsia="en-US"/>
        </w:rPr>
        <w:t>băneşti</w:t>
      </w:r>
      <w:proofErr w:type="spellEnd"/>
      <w:r w:rsidRPr="009C1F88">
        <w:rPr>
          <w:rFonts w:eastAsia="Calibri"/>
          <w:lang w:val="ro-RO" w:eastAsia="en-US"/>
        </w:rPr>
        <w:t xml:space="preserve"> al </w:t>
      </w:r>
      <w:proofErr w:type="spellStart"/>
      <w:r w:rsidRPr="009C1F88">
        <w:rPr>
          <w:rFonts w:eastAsia="Calibri"/>
          <w:lang w:val="ro-RO" w:eastAsia="en-US"/>
        </w:rPr>
        <w:t>rezidenţilor</w:t>
      </w:r>
      <w:proofErr w:type="spellEnd"/>
      <w:r w:rsidRPr="009C1F88">
        <w:rPr>
          <w:rFonts w:eastAsia="Calibri"/>
          <w:lang w:val="ro-RO" w:eastAsia="en-US"/>
        </w:rPr>
        <w:t xml:space="preserve"> parcurilor, care vor putea să investească aceste mijloace </w:t>
      </w:r>
      <w:proofErr w:type="spellStart"/>
      <w:r w:rsidRPr="009C1F88">
        <w:rPr>
          <w:rFonts w:eastAsia="Calibri"/>
          <w:lang w:val="ro-RO" w:eastAsia="en-US"/>
        </w:rPr>
        <w:t>băneşti</w:t>
      </w:r>
      <w:proofErr w:type="spellEnd"/>
      <w:r w:rsidRPr="009C1F88">
        <w:rPr>
          <w:rFonts w:eastAsia="Calibri"/>
          <w:lang w:val="ro-RO" w:eastAsia="en-US"/>
        </w:rPr>
        <w:t xml:space="preserve"> în dezvoltarea afacerilor lor.</w:t>
      </w:r>
    </w:p>
    <w:p w:rsidR="004B5AA6" w:rsidRPr="009C1F88" w:rsidRDefault="00211D11" w:rsidP="003868E4">
      <w:pPr>
        <w:spacing w:after="120" w:line="276" w:lineRule="auto"/>
        <w:jc w:val="both"/>
        <w:rPr>
          <w:rFonts w:eastAsia="Calibri"/>
          <w:lang w:val="ro-RO" w:eastAsia="en-US"/>
        </w:rPr>
      </w:pPr>
      <w:r w:rsidRPr="009C1F88">
        <w:rPr>
          <w:rFonts w:eastAsia="Calibri"/>
          <w:lang w:val="ro-RO" w:eastAsia="en-US"/>
        </w:rPr>
        <w:t xml:space="preserve">Astfel, scutirea rezidenților parcurilor IT de plata taxelor vamale </w:t>
      </w:r>
      <w:proofErr w:type="spellStart"/>
      <w:r w:rsidRPr="009C1F88">
        <w:rPr>
          <w:rFonts w:eastAsia="Calibri"/>
          <w:lang w:val="ro-RO" w:eastAsia="en-US"/>
        </w:rPr>
        <w:t>şi</w:t>
      </w:r>
      <w:proofErr w:type="spellEnd"/>
      <w:r w:rsidRPr="009C1F88">
        <w:rPr>
          <w:rFonts w:eastAsia="Calibri"/>
          <w:lang w:val="ro-RO" w:eastAsia="en-US"/>
        </w:rPr>
        <w:t xml:space="preserve"> TVA la importul echipamentelor necesare pentru realizarea genurilor de activitate care pot fi </w:t>
      </w:r>
      <w:proofErr w:type="spellStart"/>
      <w:r w:rsidRPr="009C1F88">
        <w:rPr>
          <w:rFonts w:eastAsia="Calibri"/>
          <w:lang w:val="ro-RO" w:eastAsia="en-US"/>
        </w:rPr>
        <w:t>desfăşurate</w:t>
      </w:r>
      <w:proofErr w:type="spellEnd"/>
      <w:r w:rsidRPr="009C1F88">
        <w:rPr>
          <w:rFonts w:eastAsia="Calibri"/>
          <w:lang w:val="ro-RO" w:eastAsia="en-US"/>
        </w:rPr>
        <w:t xml:space="preserve"> în parcurile IT, va avea un impact pozitiv pentru activitatea companiilor date din punct de vedere al </w:t>
      </w:r>
      <w:r w:rsidR="002266F1" w:rsidRPr="009C1F88">
        <w:rPr>
          <w:rFonts w:eastAsia="Calibri"/>
          <w:lang w:val="ro-RO" w:eastAsia="en-US"/>
        </w:rPr>
        <w:t>optimizării</w:t>
      </w:r>
      <w:r w:rsidRPr="009C1F88">
        <w:rPr>
          <w:rFonts w:eastAsia="Calibri"/>
          <w:lang w:val="ro-RO" w:eastAsia="en-US"/>
        </w:rPr>
        <w:t xml:space="preserve"> costuri</w:t>
      </w:r>
      <w:r w:rsidR="002266F1" w:rsidRPr="009C1F88">
        <w:rPr>
          <w:rFonts w:eastAsia="Calibri"/>
          <w:lang w:val="ro-RO" w:eastAsia="en-US"/>
        </w:rPr>
        <w:t>lor</w:t>
      </w:r>
      <w:r w:rsidRPr="009C1F88">
        <w:rPr>
          <w:rFonts w:eastAsia="Calibri"/>
          <w:lang w:val="ro-RO" w:eastAsia="en-US"/>
        </w:rPr>
        <w:t xml:space="preserve">. </w:t>
      </w:r>
    </w:p>
    <w:p w:rsidR="00621375" w:rsidRPr="009C1F88" w:rsidRDefault="00621375" w:rsidP="003868E4">
      <w:pPr>
        <w:spacing w:after="120" w:line="276" w:lineRule="auto"/>
        <w:jc w:val="both"/>
        <w:rPr>
          <w:rFonts w:eastAsia="Calibri"/>
          <w:lang w:val="ro-RO" w:eastAsia="en-US"/>
        </w:rPr>
      </w:pPr>
    </w:p>
    <w:p w:rsidR="00621375" w:rsidRPr="009C1F88" w:rsidRDefault="00621375" w:rsidP="003868E4">
      <w:pPr>
        <w:spacing w:after="120" w:line="276" w:lineRule="auto"/>
        <w:jc w:val="both"/>
        <w:rPr>
          <w:rFonts w:eastAsia="Calibri"/>
          <w:lang w:val="ro-RO" w:eastAsia="en-US"/>
        </w:rPr>
      </w:pPr>
    </w:p>
    <w:p w:rsidR="00621375" w:rsidRPr="009C1F88" w:rsidRDefault="00621375" w:rsidP="003868E4">
      <w:pPr>
        <w:spacing w:after="120" w:line="276" w:lineRule="auto"/>
        <w:jc w:val="both"/>
        <w:rPr>
          <w:rFonts w:eastAsia="Calibri"/>
          <w:lang w:val="ro-RO" w:eastAsia="en-US"/>
        </w:rPr>
      </w:pPr>
    </w:p>
    <w:p w:rsidR="00621375" w:rsidRPr="009C1F88" w:rsidRDefault="003663CB" w:rsidP="003663CB">
      <w:pPr>
        <w:spacing w:after="120" w:line="276" w:lineRule="auto"/>
        <w:ind w:firstLine="708"/>
        <w:jc w:val="both"/>
        <w:rPr>
          <w:rFonts w:eastAsia="Calibri"/>
          <w:b/>
          <w:lang w:val="ro-RO" w:eastAsia="en-US"/>
        </w:rPr>
      </w:pPr>
      <w:r w:rsidRPr="009C1F88">
        <w:rPr>
          <w:rFonts w:eastAsia="Calibri"/>
          <w:b/>
          <w:lang w:val="ro-RO" w:eastAsia="en-US"/>
        </w:rPr>
        <w:t>Secretar General de Stat</w:t>
      </w:r>
      <w:r w:rsidRPr="009C1F88">
        <w:rPr>
          <w:rFonts w:eastAsia="Calibri"/>
          <w:b/>
          <w:lang w:val="ro-RO" w:eastAsia="en-US"/>
        </w:rPr>
        <w:tab/>
      </w:r>
      <w:r w:rsidRPr="009C1F88">
        <w:rPr>
          <w:rFonts w:eastAsia="Calibri"/>
          <w:b/>
          <w:lang w:val="ro-RO" w:eastAsia="en-US"/>
        </w:rPr>
        <w:tab/>
      </w:r>
      <w:r w:rsidRPr="009C1F88">
        <w:rPr>
          <w:rFonts w:eastAsia="Calibri"/>
          <w:b/>
          <w:lang w:val="ro-RO" w:eastAsia="en-US"/>
        </w:rPr>
        <w:tab/>
      </w:r>
      <w:r w:rsidRPr="009C1F88">
        <w:rPr>
          <w:rFonts w:eastAsia="Calibri"/>
          <w:b/>
          <w:lang w:val="ro-RO" w:eastAsia="en-US"/>
        </w:rPr>
        <w:tab/>
      </w:r>
      <w:r w:rsidRPr="009C1F88">
        <w:rPr>
          <w:rFonts w:eastAsia="Calibri"/>
          <w:b/>
          <w:lang w:val="ro-RO" w:eastAsia="en-US"/>
        </w:rPr>
        <w:tab/>
        <w:t>Iulia COSTIN</w:t>
      </w:r>
    </w:p>
    <w:sectPr w:rsidR="00621375" w:rsidRPr="009C1F88" w:rsidSect="00B91E7D">
      <w:footerReference w:type="default" r:id="rId8"/>
      <w:pgSz w:w="11906" w:h="16838"/>
      <w:pgMar w:top="851" w:right="850" w:bottom="108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B65" w:rsidRDefault="00AF7B65" w:rsidP="004B5AA6">
      <w:r>
        <w:separator/>
      </w:r>
    </w:p>
  </w:endnote>
  <w:endnote w:type="continuationSeparator" w:id="0">
    <w:p w:rsidR="00AF7B65" w:rsidRDefault="00AF7B65" w:rsidP="004B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301893"/>
      <w:docPartObj>
        <w:docPartGallery w:val="Page Numbers (Bottom of Page)"/>
        <w:docPartUnique/>
      </w:docPartObj>
    </w:sdtPr>
    <w:sdtEndPr>
      <w:rPr>
        <w:noProof/>
      </w:rPr>
    </w:sdtEndPr>
    <w:sdtContent>
      <w:p w:rsidR="00211D11" w:rsidRDefault="00211D11">
        <w:pPr>
          <w:pStyle w:val="Footer"/>
          <w:jc w:val="right"/>
        </w:pPr>
        <w:r>
          <w:fldChar w:fldCharType="begin"/>
        </w:r>
        <w:r>
          <w:instrText xml:space="preserve"> PAGE   \* MERGEFORMAT </w:instrText>
        </w:r>
        <w:r>
          <w:fldChar w:fldCharType="separate"/>
        </w:r>
        <w:r w:rsidR="009B141E">
          <w:rPr>
            <w:noProof/>
          </w:rPr>
          <w:t>4</w:t>
        </w:r>
        <w:r>
          <w:rPr>
            <w:noProof/>
          </w:rPr>
          <w:fldChar w:fldCharType="end"/>
        </w:r>
      </w:p>
    </w:sdtContent>
  </w:sdt>
  <w:p w:rsidR="00211D11" w:rsidRDefault="00211D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B65" w:rsidRDefault="00AF7B65" w:rsidP="004B5AA6">
      <w:r>
        <w:separator/>
      </w:r>
    </w:p>
  </w:footnote>
  <w:footnote w:type="continuationSeparator" w:id="0">
    <w:p w:rsidR="00AF7B65" w:rsidRDefault="00AF7B65" w:rsidP="004B5A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11B92"/>
    <w:multiLevelType w:val="hybridMultilevel"/>
    <w:tmpl w:val="098A3930"/>
    <w:lvl w:ilvl="0" w:tplc="490484E0">
      <w:start w:val="1"/>
      <w:numFmt w:val="bullet"/>
      <w:lvlText w:val=""/>
      <w:lvlJc w:val="left"/>
      <w:pPr>
        <w:ind w:left="1647" w:hanging="360"/>
      </w:pPr>
      <w:rPr>
        <w:rFonts w:ascii="Wingdings" w:hAnsi="Wingdings" w:hint="default"/>
        <w:sz w:val="20"/>
        <w:szCs w:val="20"/>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nsid w:val="07A044F8"/>
    <w:multiLevelType w:val="hybridMultilevel"/>
    <w:tmpl w:val="704A24EC"/>
    <w:lvl w:ilvl="0" w:tplc="463CE52C">
      <w:numFmt w:val="bullet"/>
      <w:lvlText w:val="-"/>
      <w:lvlJc w:val="left"/>
      <w:pPr>
        <w:ind w:left="1211" w:hanging="360"/>
      </w:pPr>
      <w:rPr>
        <w:rFonts w:ascii="Times New Roman" w:eastAsia="Times New Roman" w:hAnsi="Times New Roman" w:cs="Times New Roman" w:hint="default"/>
        <w:color w:val="00000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nsid w:val="0DF22C7E"/>
    <w:multiLevelType w:val="hybridMultilevel"/>
    <w:tmpl w:val="23165120"/>
    <w:lvl w:ilvl="0" w:tplc="9D568DF2">
      <w:start w:val="1"/>
      <w:numFmt w:val="bullet"/>
      <w:lvlText w:val=""/>
      <w:lvlJc w:val="left"/>
      <w:pPr>
        <w:ind w:left="1592" w:hanging="360"/>
      </w:pPr>
      <w:rPr>
        <w:rFonts w:ascii="Wingdings" w:hAnsi="Wingdings" w:hint="default"/>
        <w:sz w:val="20"/>
        <w:szCs w:val="20"/>
      </w:rPr>
    </w:lvl>
    <w:lvl w:ilvl="1" w:tplc="04090003" w:tentative="1">
      <w:start w:val="1"/>
      <w:numFmt w:val="bullet"/>
      <w:lvlText w:val="o"/>
      <w:lvlJc w:val="left"/>
      <w:pPr>
        <w:ind w:left="2312" w:hanging="360"/>
      </w:pPr>
      <w:rPr>
        <w:rFonts w:ascii="Courier New" w:hAnsi="Courier New" w:cs="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cs="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cs="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3">
    <w:nsid w:val="2E5C2AC0"/>
    <w:multiLevelType w:val="hybridMultilevel"/>
    <w:tmpl w:val="D0ACDAC2"/>
    <w:lvl w:ilvl="0" w:tplc="F3F0E36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65DF0"/>
    <w:multiLevelType w:val="hybridMultilevel"/>
    <w:tmpl w:val="95263968"/>
    <w:lvl w:ilvl="0" w:tplc="CF78A722">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66B6248"/>
    <w:multiLevelType w:val="hybridMultilevel"/>
    <w:tmpl w:val="C6F087F8"/>
    <w:lvl w:ilvl="0" w:tplc="BBFE89B6">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A1B5F12"/>
    <w:multiLevelType w:val="multilevel"/>
    <w:tmpl w:val="D92E5800"/>
    <w:lvl w:ilvl="0">
      <w:start w:val="2"/>
      <w:numFmt w:val="decimal"/>
      <w:lvlText w:val="%1."/>
      <w:lvlJc w:val="left"/>
      <w:pPr>
        <w:ind w:left="360" w:hanging="360"/>
      </w:pPr>
      <w:rPr>
        <w:rFonts w:hint="default"/>
        <w:b/>
        <w:i/>
      </w:rPr>
    </w:lvl>
    <w:lvl w:ilvl="1">
      <w:start w:val="1"/>
      <w:numFmt w:val="decimal"/>
      <w:lvlText w:val="%1.%2."/>
      <w:lvlJc w:val="left"/>
      <w:pPr>
        <w:ind w:left="396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3ABD11DB"/>
    <w:multiLevelType w:val="hybridMultilevel"/>
    <w:tmpl w:val="76D8CD68"/>
    <w:lvl w:ilvl="0" w:tplc="04090017">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21202D"/>
    <w:multiLevelType w:val="hybridMultilevel"/>
    <w:tmpl w:val="EFCC2270"/>
    <w:lvl w:ilvl="0" w:tplc="93BC2BEA">
      <w:start w:val="1"/>
      <w:numFmt w:val="bullet"/>
      <w:lvlText w:val=""/>
      <w:lvlJc w:val="left"/>
      <w:pPr>
        <w:ind w:left="721"/>
      </w:pPr>
      <w:rPr>
        <w:rFonts w:ascii="Wingdings" w:hAnsi="Wingdings" w:hint="default"/>
        <w:b w:val="0"/>
        <w:i w:val="0"/>
        <w:strike w:val="0"/>
        <w:dstrike w:val="0"/>
        <w:color w:val="auto"/>
        <w:sz w:val="22"/>
        <w:szCs w:val="22"/>
        <w:u w:val="none" w:color="000000"/>
        <w:bdr w:val="none" w:sz="0" w:space="0" w:color="auto"/>
        <w:shd w:val="clear" w:color="auto" w:fill="auto"/>
        <w:vertAlign w:val="baseline"/>
      </w:rPr>
    </w:lvl>
    <w:lvl w:ilvl="1" w:tplc="2C1A6562">
      <w:start w:val="1"/>
      <w:numFmt w:val="bullet"/>
      <w:lvlText w:val="o"/>
      <w:lvlJc w:val="left"/>
      <w:pPr>
        <w:ind w:left="1440"/>
      </w:pPr>
      <w:rPr>
        <w:rFonts w:ascii="Wingdings 2" w:eastAsia="Wingdings 2" w:hAnsi="Wingdings 2" w:cs="Wingdings 2"/>
        <w:b w:val="0"/>
        <w:i w:val="0"/>
        <w:strike w:val="0"/>
        <w:dstrike w:val="0"/>
        <w:color w:val="002060"/>
        <w:sz w:val="22"/>
        <w:szCs w:val="22"/>
        <w:u w:val="none" w:color="000000"/>
        <w:bdr w:val="none" w:sz="0" w:space="0" w:color="auto"/>
        <w:shd w:val="clear" w:color="auto" w:fill="auto"/>
        <w:vertAlign w:val="baseline"/>
      </w:rPr>
    </w:lvl>
    <w:lvl w:ilvl="2" w:tplc="C4E05076">
      <w:start w:val="1"/>
      <w:numFmt w:val="bullet"/>
      <w:lvlText w:val="▪"/>
      <w:lvlJc w:val="left"/>
      <w:pPr>
        <w:ind w:left="2160"/>
      </w:pPr>
      <w:rPr>
        <w:rFonts w:ascii="Wingdings 2" w:eastAsia="Wingdings 2" w:hAnsi="Wingdings 2" w:cs="Wingdings 2"/>
        <w:b w:val="0"/>
        <w:i w:val="0"/>
        <w:strike w:val="0"/>
        <w:dstrike w:val="0"/>
        <w:color w:val="002060"/>
        <w:sz w:val="22"/>
        <w:szCs w:val="22"/>
        <w:u w:val="none" w:color="000000"/>
        <w:bdr w:val="none" w:sz="0" w:space="0" w:color="auto"/>
        <w:shd w:val="clear" w:color="auto" w:fill="auto"/>
        <w:vertAlign w:val="baseline"/>
      </w:rPr>
    </w:lvl>
    <w:lvl w:ilvl="3" w:tplc="33C6C4EC">
      <w:start w:val="1"/>
      <w:numFmt w:val="bullet"/>
      <w:lvlText w:val="•"/>
      <w:lvlJc w:val="left"/>
      <w:pPr>
        <w:ind w:left="2880"/>
      </w:pPr>
      <w:rPr>
        <w:rFonts w:ascii="Wingdings 2" w:eastAsia="Wingdings 2" w:hAnsi="Wingdings 2" w:cs="Wingdings 2"/>
        <w:b w:val="0"/>
        <w:i w:val="0"/>
        <w:strike w:val="0"/>
        <w:dstrike w:val="0"/>
        <w:color w:val="002060"/>
        <w:sz w:val="22"/>
        <w:szCs w:val="22"/>
        <w:u w:val="none" w:color="000000"/>
        <w:bdr w:val="none" w:sz="0" w:space="0" w:color="auto"/>
        <w:shd w:val="clear" w:color="auto" w:fill="auto"/>
        <w:vertAlign w:val="baseline"/>
      </w:rPr>
    </w:lvl>
    <w:lvl w:ilvl="4" w:tplc="4F92F29A">
      <w:start w:val="1"/>
      <w:numFmt w:val="bullet"/>
      <w:lvlText w:val="o"/>
      <w:lvlJc w:val="left"/>
      <w:pPr>
        <w:ind w:left="3600"/>
      </w:pPr>
      <w:rPr>
        <w:rFonts w:ascii="Wingdings 2" w:eastAsia="Wingdings 2" w:hAnsi="Wingdings 2" w:cs="Wingdings 2"/>
        <w:b w:val="0"/>
        <w:i w:val="0"/>
        <w:strike w:val="0"/>
        <w:dstrike w:val="0"/>
        <w:color w:val="002060"/>
        <w:sz w:val="22"/>
        <w:szCs w:val="22"/>
        <w:u w:val="none" w:color="000000"/>
        <w:bdr w:val="none" w:sz="0" w:space="0" w:color="auto"/>
        <w:shd w:val="clear" w:color="auto" w:fill="auto"/>
        <w:vertAlign w:val="baseline"/>
      </w:rPr>
    </w:lvl>
    <w:lvl w:ilvl="5" w:tplc="A7E20842">
      <w:start w:val="1"/>
      <w:numFmt w:val="bullet"/>
      <w:lvlText w:val="▪"/>
      <w:lvlJc w:val="left"/>
      <w:pPr>
        <w:ind w:left="4320"/>
      </w:pPr>
      <w:rPr>
        <w:rFonts w:ascii="Wingdings 2" w:eastAsia="Wingdings 2" w:hAnsi="Wingdings 2" w:cs="Wingdings 2"/>
        <w:b w:val="0"/>
        <w:i w:val="0"/>
        <w:strike w:val="0"/>
        <w:dstrike w:val="0"/>
        <w:color w:val="002060"/>
        <w:sz w:val="22"/>
        <w:szCs w:val="22"/>
        <w:u w:val="none" w:color="000000"/>
        <w:bdr w:val="none" w:sz="0" w:space="0" w:color="auto"/>
        <w:shd w:val="clear" w:color="auto" w:fill="auto"/>
        <w:vertAlign w:val="baseline"/>
      </w:rPr>
    </w:lvl>
    <w:lvl w:ilvl="6" w:tplc="32F64F30">
      <w:start w:val="1"/>
      <w:numFmt w:val="bullet"/>
      <w:lvlText w:val="•"/>
      <w:lvlJc w:val="left"/>
      <w:pPr>
        <w:ind w:left="5040"/>
      </w:pPr>
      <w:rPr>
        <w:rFonts w:ascii="Wingdings 2" w:eastAsia="Wingdings 2" w:hAnsi="Wingdings 2" w:cs="Wingdings 2"/>
        <w:b w:val="0"/>
        <w:i w:val="0"/>
        <w:strike w:val="0"/>
        <w:dstrike w:val="0"/>
        <w:color w:val="002060"/>
        <w:sz w:val="22"/>
        <w:szCs w:val="22"/>
        <w:u w:val="none" w:color="000000"/>
        <w:bdr w:val="none" w:sz="0" w:space="0" w:color="auto"/>
        <w:shd w:val="clear" w:color="auto" w:fill="auto"/>
        <w:vertAlign w:val="baseline"/>
      </w:rPr>
    </w:lvl>
    <w:lvl w:ilvl="7" w:tplc="56E04E36">
      <w:start w:val="1"/>
      <w:numFmt w:val="bullet"/>
      <w:lvlText w:val="o"/>
      <w:lvlJc w:val="left"/>
      <w:pPr>
        <w:ind w:left="5760"/>
      </w:pPr>
      <w:rPr>
        <w:rFonts w:ascii="Wingdings 2" w:eastAsia="Wingdings 2" w:hAnsi="Wingdings 2" w:cs="Wingdings 2"/>
        <w:b w:val="0"/>
        <w:i w:val="0"/>
        <w:strike w:val="0"/>
        <w:dstrike w:val="0"/>
        <w:color w:val="002060"/>
        <w:sz w:val="22"/>
        <w:szCs w:val="22"/>
        <w:u w:val="none" w:color="000000"/>
        <w:bdr w:val="none" w:sz="0" w:space="0" w:color="auto"/>
        <w:shd w:val="clear" w:color="auto" w:fill="auto"/>
        <w:vertAlign w:val="baseline"/>
      </w:rPr>
    </w:lvl>
    <w:lvl w:ilvl="8" w:tplc="EFA42D8E">
      <w:start w:val="1"/>
      <w:numFmt w:val="bullet"/>
      <w:lvlText w:val="▪"/>
      <w:lvlJc w:val="left"/>
      <w:pPr>
        <w:ind w:left="6480"/>
      </w:pPr>
      <w:rPr>
        <w:rFonts w:ascii="Wingdings 2" w:eastAsia="Wingdings 2" w:hAnsi="Wingdings 2" w:cs="Wingdings 2"/>
        <w:b w:val="0"/>
        <w:i w:val="0"/>
        <w:strike w:val="0"/>
        <w:dstrike w:val="0"/>
        <w:color w:val="002060"/>
        <w:sz w:val="22"/>
        <w:szCs w:val="22"/>
        <w:u w:val="none" w:color="000000"/>
        <w:bdr w:val="none" w:sz="0" w:space="0" w:color="auto"/>
        <w:shd w:val="clear" w:color="auto" w:fill="auto"/>
        <w:vertAlign w:val="baseline"/>
      </w:rPr>
    </w:lvl>
  </w:abstractNum>
  <w:abstractNum w:abstractNumId="9">
    <w:nsid w:val="4986710D"/>
    <w:multiLevelType w:val="hybridMultilevel"/>
    <w:tmpl w:val="FBC8F528"/>
    <w:lvl w:ilvl="0" w:tplc="22125638">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0">
    <w:nsid w:val="4F2F72A9"/>
    <w:multiLevelType w:val="hybridMultilevel"/>
    <w:tmpl w:val="F8160918"/>
    <w:lvl w:ilvl="0" w:tplc="58867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8E61C1"/>
    <w:multiLevelType w:val="hybridMultilevel"/>
    <w:tmpl w:val="B9D8289A"/>
    <w:lvl w:ilvl="0" w:tplc="F78436B4">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A595E7A"/>
    <w:multiLevelType w:val="hybridMultilevel"/>
    <w:tmpl w:val="518828AE"/>
    <w:lvl w:ilvl="0" w:tplc="12C0A51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8E0AA6"/>
    <w:multiLevelType w:val="hybridMultilevel"/>
    <w:tmpl w:val="B9F46B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D051C6"/>
    <w:multiLevelType w:val="hybridMultilevel"/>
    <w:tmpl w:val="C9E00B88"/>
    <w:lvl w:ilvl="0" w:tplc="AB78B7D6">
      <w:start w:val="1"/>
      <w:numFmt w:val="decimal"/>
      <w:lvlText w:val="(%1)"/>
      <w:lvlJc w:val="left"/>
      <w:pPr>
        <w:tabs>
          <w:tab w:val="num" w:pos="710"/>
        </w:tabs>
        <w:ind w:left="710" w:firstLine="0"/>
      </w:pPr>
      <w:rPr>
        <w:rFonts w:ascii="Times New Roman" w:hAnsi="Times New Roman" w:cs="Times New Roman" w:hint="default"/>
      </w:rPr>
    </w:lvl>
    <w:lvl w:ilvl="1" w:tplc="AA38D24A">
      <w:start w:val="1"/>
      <w:numFmt w:val="lowerLetter"/>
      <w:lvlText w:val="%2)"/>
      <w:lvlJc w:val="left"/>
      <w:pPr>
        <w:ind w:left="2181" w:hanging="360"/>
      </w:pPr>
      <w:rPr>
        <w:rFonts w:hint="default"/>
      </w:r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15">
    <w:nsid w:val="66506483"/>
    <w:multiLevelType w:val="multilevel"/>
    <w:tmpl w:val="03763184"/>
    <w:lvl w:ilvl="0">
      <w:start w:val="1"/>
      <w:numFmt w:val="decimal"/>
      <w:lvlText w:val="%1."/>
      <w:lvlJc w:val="left"/>
      <w:pPr>
        <w:ind w:left="360" w:hanging="360"/>
      </w:pPr>
      <w:rPr>
        <w:color w:val="auto"/>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7933F5E"/>
    <w:multiLevelType w:val="hybridMultilevel"/>
    <w:tmpl w:val="2684DA9C"/>
    <w:lvl w:ilvl="0" w:tplc="447CD954">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nsid w:val="6F8E6EFC"/>
    <w:multiLevelType w:val="hybridMultilevel"/>
    <w:tmpl w:val="90489EB0"/>
    <w:lvl w:ilvl="0" w:tplc="494E9078">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B54436"/>
    <w:multiLevelType w:val="hybridMultilevel"/>
    <w:tmpl w:val="6894946C"/>
    <w:lvl w:ilvl="0" w:tplc="828826B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BF3257"/>
    <w:multiLevelType w:val="hybridMultilevel"/>
    <w:tmpl w:val="3E3E6540"/>
    <w:lvl w:ilvl="0" w:tplc="2BCEF540">
      <w:start w:val="1"/>
      <w:numFmt w:val="lowerLetter"/>
      <w:lvlText w:val="%1)"/>
      <w:lvlJc w:val="left"/>
      <w:pPr>
        <w:ind w:left="2181" w:hanging="360"/>
      </w:pPr>
      <w:rPr>
        <w:rFonts w:cs="Times New Roman" w:hint="default"/>
      </w:rPr>
    </w:lvl>
    <w:lvl w:ilvl="1" w:tplc="4BAA4FAC">
      <w:start w:val="1"/>
      <w:numFmt w:val="decimal"/>
      <w:lvlText w:val="%2."/>
      <w:lvlJc w:val="left"/>
      <w:pPr>
        <w:tabs>
          <w:tab w:val="num" w:pos="3228"/>
        </w:tabs>
        <w:ind w:left="3228" w:hanging="1035"/>
      </w:pPr>
      <w:rPr>
        <w:rFonts w:hint="default"/>
      </w:rPr>
    </w:lvl>
    <w:lvl w:ilvl="2" w:tplc="0419001B" w:tentative="1">
      <w:start w:val="1"/>
      <w:numFmt w:val="lowerRoman"/>
      <w:lvlText w:val="%3."/>
      <w:lvlJc w:val="right"/>
      <w:pPr>
        <w:tabs>
          <w:tab w:val="num" w:pos="3273"/>
        </w:tabs>
        <w:ind w:left="3273" w:hanging="180"/>
      </w:pPr>
    </w:lvl>
    <w:lvl w:ilvl="3" w:tplc="0419000F" w:tentative="1">
      <w:start w:val="1"/>
      <w:numFmt w:val="decimal"/>
      <w:lvlText w:val="%4."/>
      <w:lvlJc w:val="left"/>
      <w:pPr>
        <w:tabs>
          <w:tab w:val="num" w:pos="3993"/>
        </w:tabs>
        <w:ind w:left="3993" w:hanging="360"/>
      </w:pPr>
    </w:lvl>
    <w:lvl w:ilvl="4" w:tplc="04190019" w:tentative="1">
      <w:start w:val="1"/>
      <w:numFmt w:val="lowerLetter"/>
      <w:lvlText w:val="%5."/>
      <w:lvlJc w:val="left"/>
      <w:pPr>
        <w:tabs>
          <w:tab w:val="num" w:pos="4713"/>
        </w:tabs>
        <w:ind w:left="4713" w:hanging="360"/>
      </w:pPr>
    </w:lvl>
    <w:lvl w:ilvl="5" w:tplc="0419001B" w:tentative="1">
      <w:start w:val="1"/>
      <w:numFmt w:val="lowerRoman"/>
      <w:lvlText w:val="%6."/>
      <w:lvlJc w:val="right"/>
      <w:pPr>
        <w:tabs>
          <w:tab w:val="num" w:pos="5433"/>
        </w:tabs>
        <w:ind w:left="5433" w:hanging="180"/>
      </w:pPr>
    </w:lvl>
    <w:lvl w:ilvl="6" w:tplc="0419000F" w:tentative="1">
      <w:start w:val="1"/>
      <w:numFmt w:val="decimal"/>
      <w:lvlText w:val="%7."/>
      <w:lvlJc w:val="left"/>
      <w:pPr>
        <w:tabs>
          <w:tab w:val="num" w:pos="6153"/>
        </w:tabs>
        <w:ind w:left="6153" w:hanging="360"/>
      </w:pPr>
    </w:lvl>
    <w:lvl w:ilvl="7" w:tplc="04190019" w:tentative="1">
      <w:start w:val="1"/>
      <w:numFmt w:val="lowerLetter"/>
      <w:lvlText w:val="%8."/>
      <w:lvlJc w:val="left"/>
      <w:pPr>
        <w:tabs>
          <w:tab w:val="num" w:pos="6873"/>
        </w:tabs>
        <w:ind w:left="6873" w:hanging="360"/>
      </w:pPr>
    </w:lvl>
    <w:lvl w:ilvl="8" w:tplc="0419001B" w:tentative="1">
      <w:start w:val="1"/>
      <w:numFmt w:val="lowerRoman"/>
      <w:lvlText w:val="%9."/>
      <w:lvlJc w:val="right"/>
      <w:pPr>
        <w:tabs>
          <w:tab w:val="num" w:pos="7593"/>
        </w:tabs>
        <w:ind w:left="7593" w:hanging="180"/>
      </w:pPr>
    </w:lvl>
  </w:abstractNum>
  <w:abstractNum w:abstractNumId="20">
    <w:nsid w:val="71616BF5"/>
    <w:multiLevelType w:val="hybridMultilevel"/>
    <w:tmpl w:val="B7C8203C"/>
    <w:lvl w:ilvl="0" w:tplc="EE76DB2C">
      <w:start w:val="1"/>
      <w:numFmt w:val="bullet"/>
      <w:lvlText w:val=""/>
      <w:lvlJc w:val="left"/>
      <w:pPr>
        <w:ind w:left="1647" w:hanging="360"/>
      </w:pPr>
      <w:rPr>
        <w:rFonts w:ascii="Wingdings" w:hAnsi="Wingdings" w:hint="default"/>
        <w:sz w:val="20"/>
        <w:szCs w:val="20"/>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1">
    <w:nsid w:val="75F345DF"/>
    <w:multiLevelType w:val="hybridMultilevel"/>
    <w:tmpl w:val="05C00DF4"/>
    <w:lvl w:ilvl="0" w:tplc="ABAECA8A">
      <w:start w:val="1"/>
      <w:numFmt w:val="bullet"/>
      <w:lvlText w:val=""/>
      <w:lvlJc w:val="left"/>
      <w:pPr>
        <w:ind w:left="720" w:hanging="360"/>
      </w:pPr>
      <w:rPr>
        <w:rFonts w:ascii="Wingdings" w:hAnsi="Wingdings"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65B50DE"/>
    <w:multiLevelType w:val="hybridMultilevel"/>
    <w:tmpl w:val="4B66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191AB3"/>
    <w:multiLevelType w:val="multilevel"/>
    <w:tmpl w:val="4506622E"/>
    <w:lvl w:ilvl="0">
      <w:start w:val="1"/>
      <w:numFmt w:val="decimal"/>
      <w:lvlText w:val="%1."/>
      <w:lvlJc w:val="left"/>
      <w:pPr>
        <w:ind w:left="1068" w:hanging="360"/>
      </w:pPr>
      <w:rPr>
        <w:rFonts w:hint="default"/>
        <w:b/>
        <w:i/>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19"/>
  </w:num>
  <w:num w:numId="2">
    <w:abstractNumId w:val="14"/>
  </w:num>
  <w:num w:numId="3">
    <w:abstractNumId w:val="15"/>
  </w:num>
  <w:num w:numId="4">
    <w:abstractNumId w:val="21"/>
  </w:num>
  <w:num w:numId="5">
    <w:abstractNumId w:val="13"/>
  </w:num>
  <w:num w:numId="6">
    <w:abstractNumId w:val="9"/>
  </w:num>
  <w:num w:numId="7">
    <w:abstractNumId w:val="10"/>
  </w:num>
  <w:num w:numId="8">
    <w:abstractNumId w:val="16"/>
  </w:num>
  <w:num w:numId="9">
    <w:abstractNumId w:val="18"/>
  </w:num>
  <w:num w:numId="10">
    <w:abstractNumId w:val="3"/>
  </w:num>
  <w:num w:numId="11">
    <w:abstractNumId w:val="23"/>
  </w:num>
  <w:num w:numId="12">
    <w:abstractNumId w:val="8"/>
  </w:num>
  <w:num w:numId="13">
    <w:abstractNumId w:val="0"/>
  </w:num>
  <w:num w:numId="14">
    <w:abstractNumId w:val="2"/>
  </w:num>
  <w:num w:numId="15">
    <w:abstractNumId w:val="20"/>
  </w:num>
  <w:num w:numId="16">
    <w:abstractNumId w:val="22"/>
  </w:num>
  <w:num w:numId="17">
    <w:abstractNumId w:val="12"/>
  </w:num>
  <w:num w:numId="18">
    <w:abstractNumId w:val="17"/>
  </w:num>
  <w:num w:numId="19">
    <w:abstractNumId w:val="6"/>
  </w:num>
  <w:num w:numId="20">
    <w:abstractNumId w:val="4"/>
  </w:num>
  <w:num w:numId="21">
    <w:abstractNumId w:val="5"/>
  </w:num>
  <w:num w:numId="22">
    <w:abstractNumId w:val="11"/>
  </w:num>
  <w:num w:numId="23">
    <w:abstractNumId w:val="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D47"/>
    <w:rsid w:val="00012038"/>
    <w:rsid w:val="00012B51"/>
    <w:rsid w:val="0002024B"/>
    <w:rsid w:val="00041FCB"/>
    <w:rsid w:val="00061BC9"/>
    <w:rsid w:val="00062486"/>
    <w:rsid w:val="00065BF2"/>
    <w:rsid w:val="00071D79"/>
    <w:rsid w:val="00085A0C"/>
    <w:rsid w:val="000B020A"/>
    <w:rsid w:val="000C1B7F"/>
    <w:rsid w:val="000D31ED"/>
    <w:rsid w:val="0010148B"/>
    <w:rsid w:val="00123FE4"/>
    <w:rsid w:val="001255FC"/>
    <w:rsid w:val="00131F9D"/>
    <w:rsid w:val="001468B2"/>
    <w:rsid w:val="001E4B4E"/>
    <w:rsid w:val="001E5802"/>
    <w:rsid w:val="00211D11"/>
    <w:rsid w:val="00213B6F"/>
    <w:rsid w:val="00221542"/>
    <w:rsid w:val="00221F28"/>
    <w:rsid w:val="00223F74"/>
    <w:rsid w:val="002266F1"/>
    <w:rsid w:val="00227E35"/>
    <w:rsid w:val="00254744"/>
    <w:rsid w:val="00263489"/>
    <w:rsid w:val="00281332"/>
    <w:rsid w:val="0028714C"/>
    <w:rsid w:val="002953A4"/>
    <w:rsid w:val="002A04F4"/>
    <w:rsid w:val="002C3C64"/>
    <w:rsid w:val="002D7DF0"/>
    <w:rsid w:val="002F3FA3"/>
    <w:rsid w:val="002F4ACA"/>
    <w:rsid w:val="00304C1B"/>
    <w:rsid w:val="003110FE"/>
    <w:rsid w:val="00311CD6"/>
    <w:rsid w:val="00311F2F"/>
    <w:rsid w:val="0031677B"/>
    <w:rsid w:val="00323324"/>
    <w:rsid w:val="003577E2"/>
    <w:rsid w:val="00360A8E"/>
    <w:rsid w:val="003663CB"/>
    <w:rsid w:val="003868E4"/>
    <w:rsid w:val="003A2E09"/>
    <w:rsid w:val="003B673D"/>
    <w:rsid w:val="003D5349"/>
    <w:rsid w:val="003D7BBF"/>
    <w:rsid w:val="003E32AD"/>
    <w:rsid w:val="003E4768"/>
    <w:rsid w:val="003E709A"/>
    <w:rsid w:val="003F28F3"/>
    <w:rsid w:val="003F40E9"/>
    <w:rsid w:val="004009A0"/>
    <w:rsid w:val="00415B28"/>
    <w:rsid w:val="00417BFC"/>
    <w:rsid w:val="00421A12"/>
    <w:rsid w:val="00430125"/>
    <w:rsid w:val="00435674"/>
    <w:rsid w:val="00444E8F"/>
    <w:rsid w:val="004459A5"/>
    <w:rsid w:val="0046022D"/>
    <w:rsid w:val="004660C5"/>
    <w:rsid w:val="00472FA4"/>
    <w:rsid w:val="00473582"/>
    <w:rsid w:val="0049452C"/>
    <w:rsid w:val="00497841"/>
    <w:rsid w:val="004A7676"/>
    <w:rsid w:val="004B5AA6"/>
    <w:rsid w:val="004E0D09"/>
    <w:rsid w:val="004F141C"/>
    <w:rsid w:val="005141C9"/>
    <w:rsid w:val="00535755"/>
    <w:rsid w:val="005458FC"/>
    <w:rsid w:val="00561C7D"/>
    <w:rsid w:val="005866A8"/>
    <w:rsid w:val="005914CF"/>
    <w:rsid w:val="005965E8"/>
    <w:rsid w:val="00596BD2"/>
    <w:rsid w:val="005C1BAC"/>
    <w:rsid w:val="005C2B88"/>
    <w:rsid w:val="005F3AB5"/>
    <w:rsid w:val="00600F41"/>
    <w:rsid w:val="00610016"/>
    <w:rsid w:val="006109BF"/>
    <w:rsid w:val="00621375"/>
    <w:rsid w:val="00624056"/>
    <w:rsid w:val="0065183A"/>
    <w:rsid w:val="00672853"/>
    <w:rsid w:val="00676D31"/>
    <w:rsid w:val="006814A2"/>
    <w:rsid w:val="00683A3F"/>
    <w:rsid w:val="00690E5D"/>
    <w:rsid w:val="006B19D4"/>
    <w:rsid w:val="006E1491"/>
    <w:rsid w:val="006E570E"/>
    <w:rsid w:val="006F5822"/>
    <w:rsid w:val="00704F1C"/>
    <w:rsid w:val="00730C2A"/>
    <w:rsid w:val="00734E2E"/>
    <w:rsid w:val="0074236E"/>
    <w:rsid w:val="00754184"/>
    <w:rsid w:val="007574B9"/>
    <w:rsid w:val="00797CF5"/>
    <w:rsid w:val="007A7583"/>
    <w:rsid w:val="007B4ADC"/>
    <w:rsid w:val="007C133B"/>
    <w:rsid w:val="007D2476"/>
    <w:rsid w:val="007D7BF7"/>
    <w:rsid w:val="007E3AE7"/>
    <w:rsid w:val="007F0AF7"/>
    <w:rsid w:val="008145B3"/>
    <w:rsid w:val="00821825"/>
    <w:rsid w:val="00825BBE"/>
    <w:rsid w:val="0085765E"/>
    <w:rsid w:val="0087117C"/>
    <w:rsid w:val="00877720"/>
    <w:rsid w:val="0088410E"/>
    <w:rsid w:val="008A0521"/>
    <w:rsid w:val="008A123D"/>
    <w:rsid w:val="008B7B75"/>
    <w:rsid w:val="008C2448"/>
    <w:rsid w:val="008C63EE"/>
    <w:rsid w:val="008E2D90"/>
    <w:rsid w:val="008E5499"/>
    <w:rsid w:val="008F62E7"/>
    <w:rsid w:val="0092200E"/>
    <w:rsid w:val="0094044B"/>
    <w:rsid w:val="009474A7"/>
    <w:rsid w:val="009605C3"/>
    <w:rsid w:val="009817EE"/>
    <w:rsid w:val="00983F40"/>
    <w:rsid w:val="00986E65"/>
    <w:rsid w:val="009874D7"/>
    <w:rsid w:val="009B141E"/>
    <w:rsid w:val="009C1F88"/>
    <w:rsid w:val="009C7E5E"/>
    <w:rsid w:val="009D634E"/>
    <w:rsid w:val="009E3EFF"/>
    <w:rsid w:val="009E4ECE"/>
    <w:rsid w:val="009F370B"/>
    <w:rsid w:val="00A067FC"/>
    <w:rsid w:val="00A07D70"/>
    <w:rsid w:val="00A16731"/>
    <w:rsid w:val="00A20635"/>
    <w:rsid w:val="00A267EA"/>
    <w:rsid w:val="00A268A8"/>
    <w:rsid w:val="00A30684"/>
    <w:rsid w:val="00A31F65"/>
    <w:rsid w:val="00A35BE9"/>
    <w:rsid w:val="00A3694B"/>
    <w:rsid w:val="00A45BC3"/>
    <w:rsid w:val="00A50213"/>
    <w:rsid w:val="00A5189A"/>
    <w:rsid w:val="00A57424"/>
    <w:rsid w:val="00A65E32"/>
    <w:rsid w:val="00A7395E"/>
    <w:rsid w:val="00A82AE3"/>
    <w:rsid w:val="00AA186A"/>
    <w:rsid w:val="00AA3C22"/>
    <w:rsid w:val="00AB117D"/>
    <w:rsid w:val="00AC3299"/>
    <w:rsid w:val="00AC5E13"/>
    <w:rsid w:val="00AF7B65"/>
    <w:rsid w:val="00B108A2"/>
    <w:rsid w:val="00B12345"/>
    <w:rsid w:val="00B42E35"/>
    <w:rsid w:val="00B80B63"/>
    <w:rsid w:val="00B850FF"/>
    <w:rsid w:val="00B91E7D"/>
    <w:rsid w:val="00B92F9D"/>
    <w:rsid w:val="00B9481F"/>
    <w:rsid w:val="00BA4AFA"/>
    <w:rsid w:val="00BA50EF"/>
    <w:rsid w:val="00BB2AD8"/>
    <w:rsid w:val="00BD08C5"/>
    <w:rsid w:val="00BD14ED"/>
    <w:rsid w:val="00BD3BBA"/>
    <w:rsid w:val="00BD5F00"/>
    <w:rsid w:val="00BD639A"/>
    <w:rsid w:val="00C0086F"/>
    <w:rsid w:val="00C0789C"/>
    <w:rsid w:val="00C11B10"/>
    <w:rsid w:val="00C17452"/>
    <w:rsid w:val="00C271B2"/>
    <w:rsid w:val="00C4278D"/>
    <w:rsid w:val="00C53920"/>
    <w:rsid w:val="00C6449C"/>
    <w:rsid w:val="00C7237B"/>
    <w:rsid w:val="00C93167"/>
    <w:rsid w:val="00C96D47"/>
    <w:rsid w:val="00C976DB"/>
    <w:rsid w:val="00CB359B"/>
    <w:rsid w:val="00CB3A7F"/>
    <w:rsid w:val="00CB48D1"/>
    <w:rsid w:val="00CB75F4"/>
    <w:rsid w:val="00CC1D4C"/>
    <w:rsid w:val="00CF42E9"/>
    <w:rsid w:val="00CF7A8B"/>
    <w:rsid w:val="00D0357F"/>
    <w:rsid w:val="00D051F6"/>
    <w:rsid w:val="00D17662"/>
    <w:rsid w:val="00D17A45"/>
    <w:rsid w:val="00D230EE"/>
    <w:rsid w:val="00D42361"/>
    <w:rsid w:val="00D44C47"/>
    <w:rsid w:val="00D7358A"/>
    <w:rsid w:val="00D77343"/>
    <w:rsid w:val="00D807E9"/>
    <w:rsid w:val="00D932E0"/>
    <w:rsid w:val="00DB29C6"/>
    <w:rsid w:val="00DC10F4"/>
    <w:rsid w:val="00DC7BEF"/>
    <w:rsid w:val="00DD5F66"/>
    <w:rsid w:val="00DE4296"/>
    <w:rsid w:val="00DF7DC5"/>
    <w:rsid w:val="00E01279"/>
    <w:rsid w:val="00E13A03"/>
    <w:rsid w:val="00E2090F"/>
    <w:rsid w:val="00E23633"/>
    <w:rsid w:val="00E43C6A"/>
    <w:rsid w:val="00E45233"/>
    <w:rsid w:val="00E45C71"/>
    <w:rsid w:val="00E53776"/>
    <w:rsid w:val="00E551D9"/>
    <w:rsid w:val="00E6056F"/>
    <w:rsid w:val="00E80711"/>
    <w:rsid w:val="00EC7AE8"/>
    <w:rsid w:val="00EC7D61"/>
    <w:rsid w:val="00ED3BA7"/>
    <w:rsid w:val="00F04B00"/>
    <w:rsid w:val="00F10827"/>
    <w:rsid w:val="00F11DB9"/>
    <w:rsid w:val="00F13C5A"/>
    <w:rsid w:val="00F23DAE"/>
    <w:rsid w:val="00F31A10"/>
    <w:rsid w:val="00F3314C"/>
    <w:rsid w:val="00F440F2"/>
    <w:rsid w:val="00F479C4"/>
    <w:rsid w:val="00F57A69"/>
    <w:rsid w:val="00F636B5"/>
    <w:rsid w:val="00F65EBD"/>
    <w:rsid w:val="00F84488"/>
    <w:rsid w:val="00F863BD"/>
    <w:rsid w:val="00F86E35"/>
    <w:rsid w:val="00F970C1"/>
    <w:rsid w:val="00FA27DB"/>
    <w:rsid w:val="00FA3E73"/>
    <w:rsid w:val="00FB39E2"/>
    <w:rsid w:val="00FC32A0"/>
    <w:rsid w:val="00FE58D2"/>
    <w:rsid w:val="00FF6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F8F76D-F2D8-43D8-9408-C6355D31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85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72853"/>
    <w:rPr>
      <w:color w:val="0000FF"/>
      <w:u w:val="single"/>
    </w:rPr>
  </w:style>
  <w:style w:type="character" w:customStyle="1" w:styleId="apple-style-span">
    <w:name w:val="apple-style-span"/>
    <w:basedOn w:val="DefaultParagraphFont"/>
    <w:rsid w:val="00672853"/>
  </w:style>
  <w:style w:type="character" w:customStyle="1" w:styleId="apple-converted-space">
    <w:name w:val="apple-converted-space"/>
    <w:basedOn w:val="DefaultParagraphFont"/>
    <w:rsid w:val="00672853"/>
  </w:style>
  <w:style w:type="character" w:styleId="Strong">
    <w:name w:val="Strong"/>
    <w:qFormat/>
    <w:rsid w:val="00672853"/>
    <w:rPr>
      <w:b/>
      <w:bCs/>
    </w:rPr>
  </w:style>
  <w:style w:type="character" w:styleId="CommentReference">
    <w:name w:val="annotation reference"/>
    <w:basedOn w:val="DefaultParagraphFont"/>
    <w:uiPriority w:val="99"/>
    <w:semiHidden/>
    <w:unhideWhenUsed/>
    <w:rsid w:val="00E23633"/>
    <w:rPr>
      <w:sz w:val="16"/>
      <w:szCs w:val="16"/>
    </w:rPr>
  </w:style>
  <w:style w:type="paragraph" w:styleId="CommentText">
    <w:name w:val="annotation text"/>
    <w:basedOn w:val="Normal"/>
    <w:link w:val="CommentTextChar"/>
    <w:uiPriority w:val="99"/>
    <w:semiHidden/>
    <w:unhideWhenUsed/>
    <w:rsid w:val="00E23633"/>
    <w:rPr>
      <w:sz w:val="20"/>
      <w:szCs w:val="20"/>
    </w:rPr>
  </w:style>
  <w:style w:type="character" w:customStyle="1" w:styleId="CommentTextChar">
    <w:name w:val="Comment Text Char"/>
    <w:basedOn w:val="DefaultParagraphFont"/>
    <w:link w:val="CommentText"/>
    <w:uiPriority w:val="99"/>
    <w:semiHidden/>
    <w:rsid w:val="00E23633"/>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E23633"/>
    <w:rPr>
      <w:b/>
      <w:bCs/>
    </w:rPr>
  </w:style>
  <w:style w:type="character" w:customStyle="1" w:styleId="CommentSubjectChar">
    <w:name w:val="Comment Subject Char"/>
    <w:basedOn w:val="CommentTextChar"/>
    <w:link w:val="CommentSubject"/>
    <w:uiPriority w:val="99"/>
    <w:semiHidden/>
    <w:rsid w:val="00E23633"/>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E23633"/>
    <w:rPr>
      <w:rFonts w:ascii="Tahoma" w:hAnsi="Tahoma" w:cs="Tahoma"/>
      <w:sz w:val="16"/>
      <w:szCs w:val="16"/>
    </w:rPr>
  </w:style>
  <w:style w:type="character" w:customStyle="1" w:styleId="BalloonTextChar">
    <w:name w:val="Balloon Text Char"/>
    <w:basedOn w:val="DefaultParagraphFont"/>
    <w:link w:val="BalloonText"/>
    <w:uiPriority w:val="99"/>
    <w:semiHidden/>
    <w:rsid w:val="00E23633"/>
    <w:rPr>
      <w:rFonts w:ascii="Tahoma" w:eastAsia="Times New Roman" w:hAnsi="Tahoma" w:cs="Tahoma"/>
      <w:sz w:val="16"/>
      <w:szCs w:val="16"/>
      <w:lang w:eastAsia="ru-RU"/>
    </w:rPr>
  </w:style>
  <w:style w:type="paragraph" w:styleId="FootnoteText">
    <w:name w:val="footnote text"/>
    <w:basedOn w:val="Normal"/>
    <w:link w:val="FootnoteTextChar"/>
    <w:uiPriority w:val="99"/>
    <w:semiHidden/>
    <w:unhideWhenUsed/>
    <w:rsid w:val="004B5AA6"/>
    <w:rPr>
      <w:sz w:val="20"/>
      <w:szCs w:val="20"/>
    </w:rPr>
  </w:style>
  <w:style w:type="character" w:customStyle="1" w:styleId="FootnoteTextChar">
    <w:name w:val="Footnote Text Char"/>
    <w:basedOn w:val="DefaultParagraphFont"/>
    <w:link w:val="FootnoteText"/>
    <w:uiPriority w:val="99"/>
    <w:semiHidden/>
    <w:rsid w:val="004B5AA6"/>
    <w:rPr>
      <w:rFonts w:ascii="Times New Roman" w:eastAsia="Times New Roman" w:hAnsi="Times New Roman" w:cs="Times New Roman"/>
      <w:sz w:val="20"/>
      <w:szCs w:val="20"/>
      <w:lang w:eastAsia="ru-RU"/>
    </w:rPr>
  </w:style>
  <w:style w:type="character" w:styleId="FootnoteReference">
    <w:name w:val="footnote reference"/>
    <w:uiPriority w:val="99"/>
    <w:unhideWhenUsed/>
    <w:rsid w:val="004B5AA6"/>
    <w:rPr>
      <w:vertAlign w:val="superscript"/>
    </w:rPr>
  </w:style>
  <w:style w:type="paragraph" w:customStyle="1" w:styleId="footnotedescription">
    <w:name w:val="footnote description"/>
    <w:next w:val="Normal"/>
    <w:link w:val="footnotedescriptionChar"/>
    <w:hidden/>
    <w:rsid w:val="00EC7D61"/>
    <w:pPr>
      <w:spacing w:after="0" w:line="259" w:lineRule="auto"/>
    </w:pPr>
    <w:rPr>
      <w:rFonts w:ascii="Cambria" w:eastAsia="Cambria" w:hAnsi="Cambria" w:cs="Cambria"/>
      <w:color w:val="000000"/>
      <w:sz w:val="20"/>
      <w:lang w:val="en-US"/>
    </w:rPr>
  </w:style>
  <w:style w:type="character" w:customStyle="1" w:styleId="footnotedescriptionChar">
    <w:name w:val="footnote description Char"/>
    <w:link w:val="footnotedescription"/>
    <w:rsid w:val="00EC7D61"/>
    <w:rPr>
      <w:rFonts w:ascii="Cambria" w:eastAsia="Cambria" w:hAnsi="Cambria" w:cs="Cambria"/>
      <w:color w:val="000000"/>
      <w:sz w:val="20"/>
      <w:lang w:val="en-US"/>
    </w:rPr>
  </w:style>
  <w:style w:type="character" w:customStyle="1" w:styleId="footnotemark">
    <w:name w:val="footnote mark"/>
    <w:hidden/>
    <w:rsid w:val="00EC7D61"/>
    <w:rPr>
      <w:rFonts w:ascii="Calibri" w:eastAsia="Calibri" w:hAnsi="Calibri" w:cs="Calibri"/>
      <w:color w:val="000000"/>
      <w:sz w:val="20"/>
      <w:vertAlign w:val="superscript"/>
    </w:rPr>
  </w:style>
  <w:style w:type="paragraph" w:styleId="HTMLPreformatted">
    <w:name w:val="HTML Preformatted"/>
    <w:basedOn w:val="Normal"/>
    <w:link w:val="HTMLPreformattedChar"/>
    <w:uiPriority w:val="99"/>
    <w:semiHidden/>
    <w:unhideWhenUsed/>
    <w:rsid w:val="0022154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21542"/>
    <w:rPr>
      <w:rFonts w:ascii="Consolas" w:eastAsia="Times New Roman" w:hAnsi="Consolas" w:cs="Consolas"/>
      <w:sz w:val="20"/>
      <w:szCs w:val="20"/>
      <w:lang w:eastAsia="ru-RU"/>
    </w:rPr>
  </w:style>
  <w:style w:type="paragraph" w:styleId="ListParagraph">
    <w:name w:val="List Paragraph"/>
    <w:basedOn w:val="Normal"/>
    <w:uiPriority w:val="34"/>
    <w:qFormat/>
    <w:rsid w:val="00B850FF"/>
    <w:pPr>
      <w:ind w:left="720"/>
      <w:contextualSpacing/>
    </w:pPr>
  </w:style>
  <w:style w:type="paragraph" w:styleId="Header">
    <w:name w:val="header"/>
    <w:basedOn w:val="Normal"/>
    <w:link w:val="HeaderChar"/>
    <w:uiPriority w:val="99"/>
    <w:unhideWhenUsed/>
    <w:rsid w:val="00211D11"/>
    <w:pPr>
      <w:tabs>
        <w:tab w:val="center" w:pos="4680"/>
        <w:tab w:val="right" w:pos="9360"/>
      </w:tabs>
    </w:pPr>
  </w:style>
  <w:style w:type="character" w:customStyle="1" w:styleId="HeaderChar">
    <w:name w:val="Header Char"/>
    <w:basedOn w:val="DefaultParagraphFont"/>
    <w:link w:val="Header"/>
    <w:uiPriority w:val="99"/>
    <w:rsid w:val="00211D11"/>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211D11"/>
    <w:pPr>
      <w:tabs>
        <w:tab w:val="center" w:pos="4680"/>
        <w:tab w:val="right" w:pos="9360"/>
      </w:tabs>
    </w:pPr>
  </w:style>
  <w:style w:type="character" w:customStyle="1" w:styleId="FooterChar">
    <w:name w:val="Footer Char"/>
    <w:basedOn w:val="DefaultParagraphFont"/>
    <w:link w:val="Footer"/>
    <w:uiPriority w:val="99"/>
    <w:rsid w:val="00211D11"/>
    <w:rPr>
      <w:rFonts w:ascii="Times New Roman" w:eastAsia="Times New Roman" w:hAnsi="Times New Roman" w:cs="Times New Roman"/>
      <w:sz w:val="24"/>
      <w:szCs w:val="24"/>
      <w:lang w:eastAsia="ru-RU"/>
    </w:rPr>
  </w:style>
  <w:style w:type="character" w:customStyle="1" w:styleId="object">
    <w:name w:val="object"/>
    <w:basedOn w:val="DefaultParagraphFont"/>
    <w:rsid w:val="002C3C64"/>
  </w:style>
  <w:style w:type="paragraph" w:styleId="NoSpacing">
    <w:name w:val="No Spacing"/>
    <w:uiPriority w:val="1"/>
    <w:qFormat/>
    <w:rsid w:val="0028133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63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6A7F2-53A0-462B-B0D1-1654801A3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2490</Words>
  <Characters>14198</Characters>
  <Application>Microsoft Office Word</Application>
  <DocSecurity>0</DocSecurity>
  <Lines>118</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Cusca Andrei</dc:creator>
  <cp:lastModifiedBy>Oxana</cp:lastModifiedBy>
  <cp:revision>4</cp:revision>
  <cp:lastPrinted>2018-02-26T11:50:00Z</cp:lastPrinted>
  <dcterms:created xsi:type="dcterms:W3CDTF">2018-02-26T11:44:00Z</dcterms:created>
  <dcterms:modified xsi:type="dcterms:W3CDTF">2018-02-26T15:06:00Z</dcterms:modified>
</cp:coreProperties>
</file>